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304F0" w14:textId="77777777" w:rsidR="00E13A59" w:rsidRDefault="00E13A59" w:rsidP="00E13A59">
      <w:pPr>
        <w:bidi/>
        <w:jc w:val="center"/>
        <w:rPr>
          <w:rFonts w:ascii="Traditional Arabic" w:hAnsi="Traditional Arabic" w:cs="Traditional Arabic"/>
          <w:b/>
          <w:bCs/>
          <w:sz w:val="28"/>
          <w:szCs w:val="28"/>
          <w:rtl/>
          <w:lang w:bidi="ar-JO"/>
        </w:rPr>
      </w:pPr>
      <w:r>
        <w:rPr>
          <w:noProof/>
          <w:lang w:val="en-US"/>
        </w:rPr>
        <w:drawing>
          <wp:inline distT="0" distB="0" distL="0" distR="0" wp14:anchorId="5E8A92A8" wp14:editId="16860789">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00E13572" w14:textId="77777777" w:rsidR="00134C67" w:rsidRDefault="00E13A59" w:rsidP="00E13A59">
      <w:pPr>
        <w:bidi/>
        <w:jc w:val="center"/>
        <w:rPr>
          <w:rFonts w:ascii="Traditional Arabic" w:hAnsi="Traditional Arabic" w:cs="Traditional Arabic"/>
          <w:b/>
          <w:bCs/>
          <w:sz w:val="28"/>
          <w:szCs w:val="28"/>
          <w:rtl/>
          <w:lang w:bidi="ar-JO"/>
        </w:rPr>
      </w:pPr>
      <w:r w:rsidRPr="00E13A59">
        <w:rPr>
          <w:rFonts w:ascii="Traditional Arabic" w:hAnsi="Traditional Arabic" w:cs="Traditional Arabic"/>
          <w:b/>
          <w:bCs/>
          <w:sz w:val="28"/>
          <w:szCs w:val="28"/>
          <w:rtl/>
          <w:lang w:bidi="ar-JO"/>
        </w:rPr>
        <w:t>جامعة مداوشن</w:t>
      </w:r>
    </w:p>
    <w:p w14:paraId="5ACC0A1D" w14:textId="77777777" w:rsidR="00AC700A" w:rsidRDefault="00AC700A" w:rsidP="00AC700A">
      <w:pPr>
        <w:bidi/>
        <w:jc w:val="center"/>
        <w:rPr>
          <w:rFonts w:ascii="Traditional Arabic" w:hAnsi="Traditional Arabic" w:cs="Traditional Arabic"/>
          <w:b/>
          <w:bCs/>
          <w:sz w:val="24"/>
          <w:szCs w:val="24"/>
          <w:rtl/>
          <w:lang w:bidi="ar-JO"/>
        </w:rPr>
      </w:pPr>
      <w:r w:rsidRPr="00AC700A">
        <w:rPr>
          <w:rFonts w:ascii="Traditional Arabic" w:hAnsi="Traditional Arabic" w:cs="Traditional Arabic" w:hint="cs"/>
          <w:b/>
          <w:bCs/>
          <w:sz w:val="24"/>
          <w:szCs w:val="24"/>
          <w:rtl/>
          <w:lang w:bidi="ar-JO"/>
        </w:rPr>
        <w:t>كلية الادارة</w:t>
      </w:r>
    </w:p>
    <w:p w14:paraId="60ACE11D" w14:textId="77777777" w:rsidR="00AC700A" w:rsidRPr="00AC700A" w:rsidRDefault="00AC700A" w:rsidP="00AC700A">
      <w:pPr>
        <w:bidi/>
        <w:jc w:val="center"/>
        <w:rPr>
          <w:sz w:val="20"/>
          <w:szCs w:val="20"/>
          <w:rtl/>
          <w:lang w:bidi="ar-JO"/>
        </w:rPr>
      </w:pPr>
    </w:p>
    <w:p w14:paraId="6344EE06" w14:textId="77777777" w:rsidR="00355BBF" w:rsidRPr="00355BBF" w:rsidRDefault="00355BBF" w:rsidP="00355BBF">
      <w:pPr>
        <w:bidi/>
        <w:jc w:val="center"/>
        <w:rPr>
          <w:rFonts w:ascii="Traditional Arabic" w:eastAsia="Calibri" w:hAnsi="Traditional Arabic" w:cs="Traditional Arabic"/>
          <w:b/>
          <w:bCs/>
          <w:noProof/>
          <w:sz w:val="36"/>
          <w:szCs w:val="36"/>
          <w:rtl/>
          <w:lang w:val="en-US"/>
        </w:rPr>
      </w:pPr>
      <w:r w:rsidRPr="00355BBF">
        <w:rPr>
          <w:rFonts w:ascii="Traditional Arabic" w:eastAsia="Calibri" w:hAnsi="Traditional Arabic" w:cs="Traditional Arabic"/>
          <w:b/>
          <w:bCs/>
          <w:noProof/>
          <w:sz w:val="36"/>
          <w:szCs w:val="36"/>
          <w:rtl/>
          <w:lang w:val="en-US"/>
        </w:rPr>
        <w:t>إدارة المعرفة كمدخل لتحسين أداء العاملين: دراسة تطبيقية على شركة موبايلي السعودية للاتصالات</w:t>
      </w:r>
    </w:p>
    <w:p w14:paraId="666C49DF" w14:textId="77777777" w:rsidR="00E13A59" w:rsidRDefault="00E13A59" w:rsidP="00E13A59">
      <w:pPr>
        <w:bidi/>
        <w:jc w:val="center"/>
        <w:rPr>
          <w:rFonts w:ascii="Traditional Arabic" w:hAnsi="Traditional Arabic" w:cs="Traditional Arabic"/>
          <w:b/>
          <w:bCs/>
          <w:sz w:val="28"/>
          <w:szCs w:val="28"/>
          <w:rtl/>
        </w:rPr>
      </w:pPr>
    </w:p>
    <w:p w14:paraId="635AED37" w14:textId="77777777" w:rsidR="00AC700A" w:rsidRDefault="00E13A59" w:rsidP="00E13A59">
      <w:pPr>
        <w:bidi/>
        <w:jc w:val="center"/>
        <w:rPr>
          <w:rFonts w:ascii="Traditional Arabic" w:hAnsi="Traditional Arabic" w:cs="Traditional Arabic"/>
          <w:b/>
          <w:bCs/>
          <w:sz w:val="28"/>
          <w:szCs w:val="28"/>
          <w:rtl/>
        </w:rPr>
      </w:pPr>
      <w:r w:rsidRPr="00E13A59">
        <w:rPr>
          <w:rFonts w:ascii="Traditional Arabic" w:hAnsi="Traditional Arabic" w:cs="Traditional Arabic"/>
          <w:b/>
          <w:bCs/>
          <w:sz w:val="28"/>
          <w:szCs w:val="28"/>
          <w:rtl/>
        </w:rPr>
        <w:t xml:space="preserve">اعداد: </w:t>
      </w:r>
    </w:p>
    <w:p w14:paraId="324B44D4" w14:textId="77777777" w:rsidR="00355BBF" w:rsidRDefault="00355BBF" w:rsidP="00355BBF">
      <w:pPr>
        <w:bidi/>
        <w:jc w:val="center"/>
        <w:rPr>
          <w:rFonts w:ascii="Traditional Arabic" w:hAnsi="Traditional Arabic" w:cs="Traditional Arabic"/>
          <w:b/>
          <w:bCs/>
          <w:sz w:val="28"/>
          <w:szCs w:val="28"/>
          <w:rtl/>
        </w:rPr>
      </w:pPr>
      <w:r w:rsidRPr="00355BBF">
        <w:rPr>
          <w:rFonts w:ascii="Traditional Arabic" w:hAnsi="Traditional Arabic" w:cs="Traditional Arabic" w:hint="cs"/>
          <w:b/>
          <w:bCs/>
          <w:sz w:val="28"/>
          <w:szCs w:val="28"/>
          <w:rtl/>
        </w:rPr>
        <w:t xml:space="preserve">سامي محمد سعيد الجوجو </w:t>
      </w:r>
    </w:p>
    <w:p w14:paraId="0C9C376F" w14:textId="77777777" w:rsidR="00AC700A" w:rsidRDefault="00AC700A" w:rsidP="00355BBF">
      <w:pPr>
        <w:bidi/>
        <w:jc w:val="center"/>
        <w:rPr>
          <w:rFonts w:ascii="Traditional Arabic" w:hAnsi="Traditional Arabic" w:cs="Traditional Arabic"/>
          <w:b/>
          <w:bCs/>
          <w:sz w:val="24"/>
          <w:szCs w:val="24"/>
          <w:rtl/>
        </w:rPr>
      </w:pPr>
      <w:r w:rsidRPr="00AC700A">
        <w:rPr>
          <w:rFonts w:ascii="Traditional Arabic" w:hAnsi="Traditional Arabic" w:cs="Traditional Arabic" w:hint="cs"/>
          <w:b/>
          <w:bCs/>
          <w:sz w:val="24"/>
          <w:szCs w:val="24"/>
          <w:rtl/>
        </w:rPr>
        <w:t>المملكة العربية السعودية</w:t>
      </w:r>
    </w:p>
    <w:p w14:paraId="60075C90" w14:textId="77777777" w:rsidR="00AC700A" w:rsidRDefault="00AC700A" w:rsidP="00AC700A">
      <w:pPr>
        <w:bidi/>
        <w:jc w:val="center"/>
        <w:rPr>
          <w:rFonts w:ascii="Traditional Arabic" w:hAnsi="Traditional Arabic" w:cs="Traditional Arabic"/>
          <w:b/>
          <w:bCs/>
          <w:sz w:val="24"/>
          <w:szCs w:val="24"/>
          <w:rtl/>
        </w:rPr>
      </w:pPr>
    </w:p>
    <w:p w14:paraId="1576E5D8" w14:textId="52E0A004" w:rsid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رسالة  مقدمة لجامعة م</w:t>
      </w:r>
      <w:r w:rsidR="00D1713C">
        <w:rPr>
          <w:rFonts w:ascii="Traditional Arabic" w:hAnsi="Traditional Arabic" w:cs="Traditional Arabic" w:hint="cs"/>
          <w:b/>
          <w:bCs/>
          <w:sz w:val="24"/>
          <w:szCs w:val="24"/>
          <w:rtl/>
        </w:rPr>
        <w:t>ي</w:t>
      </w:r>
      <w:r>
        <w:rPr>
          <w:rFonts w:ascii="Traditional Arabic" w:hAnsi="Traditional Arabic" w:cs="Traditional Arabic" w:hint="cs"/>
          <w:b/>
          <w:bCs/>
          <w:sz w:val="24"/>
          <w:szCs w:val="24"/>
          <w:rtl/>
        </w:rPr>
        <w:t>داوشن لاستكمال متطلبات نيل درجة الدكتوراه</w:t>
      </w:r>
    </w:p>
    <w:p w14:paraId="0D5C47AB" w14:textId="77777777" w:rsidR="00AC700A" w:rsidRPr="00AC700A" w:rsidRDefault="00AC700A" w:rsidP="00AC700A">
      <w:pPr>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 في الادارة</w:t>
      </w:r>
    </w:p>
    <w:p w14:paraId="28362771" w14:textId="77777777" w:rsidR="00134C67" w:rsidRDefault="00134C67" w:rsidP="00134C67">
      <w:pPr>
        <w:bidi/>
        <w:rPr>
          <w:rtl/>
          <w:lang w:bidi="ar-JO"/>
        </w:rPr>
      </w:pPr>
    </w:p>
    <w:p w14:paraId="4093D5FE" w14:textId="77777777" w:rsidR="00134C67" w:rsidRDefault="00134C67" w:rsidP="00134C67">
      <w:pPr>
        <w:bidi/>
        <w:rPr>
          <w:rtl/>
          <w:lang w:bidi="ar-JO"/>
        </w:rPr>
      </w:pPr>
    </w:p>
    <w:p w14:paraId="0285571B" w14:textId="77777777" w:rsidR="00134C67" w:rsidRDefault="00134C67" w:rsidP="00134C67">
      <w:pPr>
        <w:bidi/>
        <w:rPr>
          <w:rtl/>
          <w:lang w:bidi="ar-JO"/>
        </w:rPr>
      </w:pPr>
    </w:p>
    <w:p w14:paraId="506B5484" w14:textId="77777777" w:rsidR="00134C67" w:rsidRDefault="00134C67" w:rsidP="00134C67">
      <w:pPr>
        <w:bidi/>
        <w:rPr>
          <w:rtl/>
          <w:lang w:bidi="ar-JO"/>
        </w:rPr>
      </w:pPr>
    </w:p>
    <w:p w14:paraId="40961E27" w14:textId="77777777" w:rsidR="00134C67" w:rsidRDefault="00134C67" w:rsidP="00134C67">
      <w:pPr>
        <w:bidi/>
        <w:rPr>
          <w:rtl/>
          <w:lang w:bidi="ar-JO"/>
        </w:rPr>
      </w:pPr>
    </w:p>
    <w:p w14:paraId="5A0F929C" w14:textId="77777777" w:rsidR="00134C67" w:rsidRDefault="00AC700A" w:rsidP="00AC700A">
      <w:pPr>
        <w:bidi/>
        <w:jc w:val="center"/>
        <w:rPr>
          <w:rtl/>
          <w:lang w:bidi="ar-JO"/>
        </w:rPr>
      </w:pPr>
      <w:r>
        <w:rPr>
          <w:noProof/>
          <w:lang w:val="en-US"/>
        </w:rPr>
        <w:lastRenderedPageBreak/>
        <w:drawing>
          <wp:inline distT="0" distB="0" distL="0" distR="0" wp14:anchorId="13AFAA3B" wp14:editId="40A1B413">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22785FB6" w14:textId="77777777" w:rsidR="00AC700A" w:rsidRDefault="00F5310D" w:rsidP="00AC700A">
      <w:pPr>
        <w:jc w:val="center"/>
        <w:rPr>
          <w:rFonts w:asciiTheme="majorBidi" w:hAnsiTheme="majorBidi" w:cstheme="majorBidi"/>
          <w:b/>
          <w:bCs/>
          <w:sz w:val="24"/>
          <w:szCs w:val="24"/>
          <w:lang w:val="en-US" w:bidi="ar-JO"/>
        </w:rPr>
      </w:pPr>
      <w:r w:rsidRPr="00AC700A">
        <w:rPr>
          <w:rFonts w:asciiTheme="majorBidi" w:hAnsiTheme="majorBidi" w:cstheme="majorBidi"/>
          <w:b/>
          <w:bCs/>
          <w:sz w:val="28"/>
          <w:szCs w:val="28"/>
          <w:lang w:val="en-US" w:bidi="ar-JO"/>
        </w:rPr>
        <w:t>M</w:t>
      </w:r>
      <w:r w:rsidRPr="00AC700A">
        <w:rPr>
          <w:rFonts w:asciiTheme="majorBidi" w:hAnsiTheme="majorBidi" w:cstheme="majorBidi"/>
          <w:b/>
          <w:bCs/>
          <w:sz w:val="28"/>
          <w:szCs w:val="28"/>
          <w:lang w:val="en-US" w:bidi="ar-AE"/>
        </w:rPr>
        <w:t>IDOCEAN</w:t>
      </w:r>
      <w:r w:rsidRPr="00AC700A">
        <w:rPr>
          <w:rFonts w:asciiTheme="majorBidi" w:hAnsiTheme="majorBidi" w:cstheme="majorBidi"/>
          <w:b/>
          <w:bCs/>
          <w:sz w:val="28"/>
          <w:szCs w:val="28"/>
          <w:lang w:val="en-US" w:bidi="ar-JO"/>
        </w:rPr>
        <w:t xml:space="preserve"> UNIVERSITY</w:t>
      </w:r>
      <w:r w:rsidR="00AC700A" w:rsidRPr="00AC700A">
        <w:rPr>
          <w:rFonts w:asciiTheme="majorBidi" w:hAnsiTheme="majorBidi" w:cstheme="majorBidi"/>
          <w:lang w:val="en-US" w:bidi="ar-JO"/>
        </w:rPr>
        <w:br/>
      </w:r>
    </w:p>
    <w:p w14:paraId="7EFC9850" w14:textId="77777777" w:rsidR="00AC700A" w:rsidRDefault="00AC700A" w:rsidP="00AC700A">
      <w:pPr>
        <w:jc w:val="center"/>
        <w:rPr>
          <w:rFonts w:asciiTheme="majorBidi" w:hAnsiTheme="majorBidi" w:cstheme="majorBidi"/>
          <w:b/>
          <w:bCs/>
          <w:sz w:val="24"/>
          <w:szCs w:val="24"/>
          <w:lang w:val="en-US" w:bidi="ar-JO"/>
        </w:rPr>
      </w:pPr>
    </w:p>
    <w:p w14:paraId="3B6C350A" w14:textId="77777777" w:rsidR="00AC700A" w:rsidRDefault="00AC700A" w:rsidP="00AC700A">
      <w:pPr>
        <w:jc w:val="center"/>
        <w:rPr>
          <w:rFonts w:asciiTheme="majorBidi" w:hAnsiTheme="majorBidi" w:cstheme="majorBidi"/>
          <w:b/>
          <w:bCs/>
          <w:sz w:val="24"/>
          <w:szCs w:val="24"/>
          <w:lang w:val="en-US" w:bidi="ar-JO"/>
        </w:rPr>
      </w:pPr>
    </w:p>
    <w:p w14:paraId="413BA3C3" w14:textId="77777777" w:rsidR="00AC700A" w:rsidRPr="00AC700A" w:rsidRDefault="00AC700A" w:rsidP="00AC700A">
      <w:pPr>
        <w:jc w:val="center"/>
        <w:rPr>
          <w:rFonts w:asciiTheme="majorBidi" w:hAnsiTheme="majorBidi" w:cstheme="majorBidi"/>
          <w:lang w:val="en-US" w:bidi="ar-JO"/>
        </w:rPr>
      </w:pPr>
      <w:r w:rsidRPr="00AC700A">
        <w:rPr>
          <w:rFonts w:asciiTheme="majorBidi" w:hAnsiTheme="majorBidi" w:cstheme="majorBidi"/>
          <w:b/>
          <w:bCs/>
          <w:sz w:val="24"/>
          <w:szCs w:val="24"/>
          <w:lang w:val="en-US" w:bidi="ar-JO"/>
        </w:rPr>
        <w:t>Faculty of Management</w:t>
      </w:r>
    </w:p>
    <w:p w14:paraId="28065598" w14:textId="77777777" w:rsidR="00AC700A" w:rsidRDefault="00AC700A" w:rsidP="00AC700A">
      <w:pPr>
        <w:jc w:val="center"/>
        <w:rPr>
          <w:rFonts w:asciiTheme="majorBidi" w:hAnsiTheme="majorBidi" w:cstheme="majorBidi"/>
          <w:b/>
          <w:bCs/>
          <w:sz w:val="36"/>
          <w:szCs w:val="36"/>
          <w:lang w:val="en-US" w:bidi="ar-JO"/>
        </w:rPr>
      </w:pPr>
    </w:p>
    <w:p w14:paraId="160E7553" w14:textId="77777777" w:rsidR="00AC700A" w:rsidRDefault="00AC700A" w:rsidP="00AC700A">
      <w:pPr>
        <w:jc w:val="center"/>
        <w:rPr>
          <w:rFonts w:asciiTheme="majorBidi" w:hAnsiTheme="majorBidi" w:cstheme="majorBidi"/>
          <w:b/>
          <w:bCs/>
          <w:sz w:val="36"/>
          <w:szCs w:val="36"/>
          <w:lang w:val="en-US" w:bidi="ar-JO"/>
        </w:rPr>
      </w:pPr>
    </w:p>
    <w:p w14:paraId="43B7A11B" w14:textId="77777777" w:rsidR="00AC700A" w:rsidRDefault="00355BBF" w:rsidP="00355BBF">
      <w:pPr>
        <w:jc w:val="center"/>
        <w:rPr>
          <w:rFonts w:asciiTheme="majorBidi" w:hAnsiTheme="majorBidi" w:cstheme="majorBidi"/>
          <w:b/>
          <w:bCs/>
          <w:sz w:val="36"/>
          <w:szCs w:val="36"/>
          <w:rtl/>
          <w:lang w:val="en-US" w:bidi="ar-JO"/>
        </w:rPr>
      </w:pPr>
      <w:r w:rsidRPr="00355BBF">
        <w:rPr>
          <w:rFonts w:asciiTheme="majorBidi" w:hAnsiTheme="majorBidi" w:cstheme="majorBidi"/>
          <w:b/>
          <w:bCs/>
          <w:sz w:val="36"/>
          <w:szCs w:val="36"/>
          <w:lang w:val="en-US" w:bidi="ar-JO"/>
        </w:rPr>
        <w:t>Knowledge Management as an Approach to Improving Employee Performance: An Applied Study on Mobily Saudi Telecommunications Company</w:t>
      </w:r>
    </w:p>
    <w:p w14:paraId="76AC6C3C" w14:textId="77777777" w:rsidR="00355BBF" w:rsidRDefault="00355BBF" w:rsidP="00355BBF">
      <w:pPr>
        <w:jc w:val="center"/>
        <w:rPr>
          <w:rFonts w:asciiTheme="majorBidi" w:hAnsiTheme="majorBidi" w:cstheme="majorBidi"/>
          <w:b/>
          <w:bCs/>
          <w:sz w:val="28"/>
          <w:szCs w:val="28"/>
          <w:lang w:val="en-US" w:bidi="ar-JO"/>
        </w:rPr>
      </w:pPr>
    </w:p>
    <w:p w14:paraId="4FC13B6C" w14:textId="77777777" w:rsidR="00AC700A" w:rsidRDefault="00AC700A" w:rsidP="00AC700A">
      <w:pPr>
        <w:jc w:val="center"/>
        <w:rPr>
          <w:rFonts w:asciiTheme="majorBidi" w:hAnsiTheme="majorBidi" w:cstheme="majorBidi"/>
          <w:b/>
          <w:bCs/>
          <w:sz w:val="28"/>
          <w:szCs w:val="28"/>
          <w:lang w:val="en-US" w:bidi="ar-JO"/>
        </w:rPr>
      </w:pPr>
    </w:p>
    <w:p w14:paraId="4311815D" w14:textId="77777777" w:rsidR="00AC700A" w:rsidRDefault="00AC700A" w:rsidP="00AC700A">
      <w:pPr>
        <w:jc w:val="center"/>
        <w:rPr>
          <w:rFonts w:asciiTheme="majorBidi" w:hAnsiTheme="majorBidi" w:cstheme="majorBidi"/>
          <w:b/>
          <w:bCs/>
          <w:sz w:val="28"/>
          <w:szCs w:val="28"/>
          <w:lang w:val="en-US" w:bidi="ar-JO"/>
        </w:rPr>
      </w:pPr>
      <w:r w:rsidRPr="00AC700A">
        <w:rPr>
          <w:rFonts w:asciiTheme="majorBidi" w:hAnsiTheme="majorBidi" w:cstheme="majorBidi"/>
          <w:b/>
          <w:bCs/>
          <w:sz w:val="28"/>
          <w:szCs w:val="28"/>
          <w:lang w:val="en-US" w:bidi="ar-JO"/>
        </w:rPr>
        <w:t>Prepared by:</w:t>
      </w:r>
      <w:r w:rsidRPr="00AC700A">
        <w:rPr>
          <w:rFonts w:asciiTheme="majorBidi" w:hAnsiTheme="majorBidi" w:cstheme="majorBidi"/>
          <w:lang w:val="en-US" w:bidi="ar-JO"/>
        </w:rPr>
        <w:br/>
      </w:r>
    </w:p>
    <w:p w14:paraId="119CB28A" w14:textId="1FD154BC" w:rsidR="00AC700A" w:rsidRPr="00F5310D" w:rsidRDefault="00C33B0B" w:rsidP="00F5310D">
      <w:pPr>
        <w:jc w:val="center"/>
        <w:rPr>
          <w:rFonts w:asciiTheme="majorBidi" w:hAnsiTheme="majorBidi" w:cstheme="majorBidi"/>
          <w:lang w:val="en-US" w:bidi="ar-JO"/>
        </w:rPr>
      </w:pPr>
      <w:r>
        <w:rPr>
          <w:rFonts w:asciiTheme="majorBidi" w:hAnsiTheme="majorBidi" w:cstheme="majorBidi"/>
          <w:b/>
          <w:bCs/>
          <w:sz w:val="28"/>
          <w:szCs w:val="28"/>
          <w:lang w:val="en-US" w:bidi="ar-AE"/>
        </w:rPr>
        <w:t>SAMI MOHAMMED SAEED ALJAWJAW</w:t>
      </w:r>
      <w:r w:rsidR="00AC700A" w:rsidRPr="00AC700A">
        <w:rPr>
          <w:rFonts w:asciiTheme="majorBidi" w:hAnsiTheme="majorBidi" w:cstheme="majorBidi"/>
          <w:lang w:val="en-US" w:bidi="ar-JO"/>
        </w:rPr>
        <w:br/>
      </w:r>
      <w:r w:rsidR="00AC700A" w:rsidRPr="00AC700A">
        <w:rPr>
          <w:rFonts w:asciiTheme="majorBidi" w:hAnsiTheme="majorBidi" w:cstheme="majorBidi"/>
          <w:b/>
          <w:bCs/>
          <w:sz w:val="24"/>
          <w:szCs w:val="24"/>
          <w:lang w:val="en-US" w:bidi="ar-JO"/>
        </w:rPr>
        <w:t>Kingdom of Saudi Arabia</w:t>
      </w:r>
    </w:p>
    <w:p w14:paraId="437A253C" w14:textId="77777777" w:rsidR="00AC700A" w:rsidRDefault="00AC700A" w:rsidP="00AC700A">
      <w:pPr>
        <w:jc w:val="center"/>
        <w:rPr>
          <w:rFonts w:asciiTheme="majorBidi" w:hAnsiTheme="majorBidi" w:cstheme="majorBidi"/>
          <w:sz w:val="24"/>
          <w:szCs w:val="24"/>
          <w:lang w:val="en-US" w:bidi="ar-JO"/>
        </w:rPr>
      </w:pPr>
    </w:p>
    <w:p w14:paraId="3FF3451D" w14:textId="77777777" w:rsidR="00F5310D" w:rsidRPr="00AD0094" w:rsidRDefault="00AC700A" w:rsidP="00AD0094">
      <w:pPr>
        <w:jc w:val="center"/>
        <w:rPr>
          <w:rFonts w:asciiTheme="majorBidi" w:hAnsiTheme="majorBidi" w:cstheme="majorBidi"/>
          <w:sz w:val="24"/>
          <w:szCs w:val="24"/>
          <w:rtl/>
          <w:lang w:val="en-US" w:bidi="ar-JO"/>
        </w:rPr>
        <w:sectPr w:rsidR="00F5310D" w:rsidRPr="00AD0094" w:rsidSect="00907976">
          <w:footerReference w:type="default" r:id="rId9"/>
          <w:footerReference w:type="first" r:id="rId10"/>
          <w:pgSz w:w="12240" w:h="15840"/>
          <w:pgMar w:top="1440" w:right="1440" w:bottom="1440" w:left="1440" w:header="720" w:footer="720" w:gutter="0"/>
          <w:cols w:space="720"/>
          <w:titlePg/>
          <w:docGrid w:linePitch="360"/>
        </w:sectPr>
      </w:pPr>
      <w:r w:rsidRPr="00AC700A">
        <w:rPr>
          <w:rFonts w:asciiTheme="majorBidi" w:hAnsiTheme="majorBidi" w:cstheme="majorBidi"/>
          <w:sz w:val="24"/>
          <w:szCs w:val="24"/>
          <w:lang w:val="en-US" w:bidi="ar-JO"/>
        </w:rPr>
        <w:t>A dissertation submitted to Midocean University in partial fulfillment of the requirements</w:t>
      </w:r>
      <w:r w:rsidRPr="00AC700A">
        <w:rPr>
          <w:rFonts w:asciiTheme="majorBidi" w:hAnsiTheme="majorBidi" w:cstheme="majorBidi"/>
          <w:sz w:val="24"/>
          <w:szCs w:val="24"/>
          <w:lang w:val="en-US" w:bidi="ar-JO"/>
        </w:rPr>
        <w:br/>
        <w:t xml:space="preserve">for the degree of Doctor of </w:t>
      </w:r>
      <w:r>
        <w:rPr>
          <w:rFonts w:asciiTheme="majorBidi" w:hAnsiTheme="majorBidi" w:cstheme="majorBidi"/>
          <w:sz w:val="24"/>
          <w:szCs w:val="24"/>
          <w:lang w:val="en-US" w:bidi="ar-JO"/>
        </w:rPr>
        <w:t xml:space="preserve">Philosophy (Ph.D.) in </w:t>
      </w:r>
      <w:r w:rsidR="003A3C8B">
        <w:rPr>
          <w:rFonts w:asciiTheme="majorBidi" w:hAnsiTheme="majorBidi" w:cstheme="majorBidi"/>
          <w:sz w:val="24"/>
          <w:szCs w:val="24"/>
          <w:lang w:val="en-US" w:bidi="ar-JO"/>
        </w:rPr>
        <w:t>Management</w:t>
      </w:r>
    </w:p>
    <w:p w14:paraId="72AF4CF6" w14:textId="77777777" w:rsidR="00134C67" w:rsidRPr="00355BBF" w:rsidRDefault="00134C67" w:rsidP="003A3C8B">
      <w:pPr>
        <w:bidi/>
        <w:jc w:val="center"/>
        <w:rPr>
          <w:rFonts w:ascii="Arial-BoldMT" w:cs="Arial-BoldMT"/>
          <w:b/>
          <w:bCs/>
          <w:sz w:val="36"/>
          <w:szCs w:val="36"/>
          <w:rtl/>
          <w:lang w:val="en-US"/>
        </w:rPr>
      </w:pPr>
      <w:r w:rsidRPr="00355BBF">
        <w:rPr>
          <w:rFonts w:ascii="Arial-BoldMT" w:cs="Arial-BoldMT" w:hint="cs"/>
          <w:b/>
          <w:bCs/>
          <w:sz w:val="36"/>
          <w:szCs w:val="36"/>
          <w:rtl/>
          <w:lang w:val="en-US"/>
        </w:rPr>
        <w:lastRenderedPageBreak/>
        <w:t>الفصل</w:t>
      </w:r>
      <w:r w:rsidRPr="00355BBF">
        <w:rPr>
          <w:rFonts w:ascii="Arial-BoldMT" w:cs="Arial-BoldMT"/>
          <w:b/>
          <w:bCs/>
          <w:sz w:val="36"/>
          <w:szCs w:val="36"/>
          <w:lang w:val="en-US"/>
        </w:rPr>
        <w:t xml:space="preserve"> </w:t>
      </w:r>
      <w:r w:rsidRPr="00355BBF">
        <w:rPr>
          <w:rFonts w:ascii="Arial-BoldMT" w:cs="Arial-BoldMT" w:hint="cs"/>
          <w:b/>
          <w:bCs/>
          <w:sz w:val="36"/>
          <w:szCs w:val="36"/>
          <w:rtl/>
          <w:lang w:val="en-US"/>
        </w:rPr>
        <w:t xml:space="preserve">الأول </w:t>
      </w:r>
      <w:r w:rsidRPr="00355BBF">
        <w:rPr>
          <w:rFonts w:ascii="Arial-BoldMT" w:cs="Arial-BoldMT"/>
          <w:b/>
          <w:bCs/>
          <w:sz w:val="36"/>
          <w:szCs w:val="36"/>
          <w:lang w:val="en-US"/>
        </w:rPr>
        <w:t>)</w:t>
      </w:r>
      <w:r w:rsidRPr="00355BBF">
        <w:rPr>
          <w:rFonts w:ascii="Arial-BoldMT" w:cs="Arial-BoldMT" w:hint="cs"/>
          <w:b/>
          <w:bCs/>
          <w:sz w:val="36"/>
          <w:szCs w:val="36"/>
          <w:rtl/>
          <w:lang w:val="en-US"/>
        </w:rPr>
        <w:t>الإطار</w:t>
      </w:r>
      <w:r w:rsidRPr="00355BBF">
        <w:rPr>
          <w:rFonts w:ascii="Arial-BoldMT" w:cs="Arial-BoldMT"/>
          <w:b/>
          <w:bCs/>
          <w:sz w:val="36"/>
          <w:szCs w:val="36"/>
          <w:lang w:val="en-US"/>
        </w:rPr>
        <w:t xml:space="preserve"> </w:t>
      </w:r>
      <w:r w:rsidR="003A3C8B" w:rsidRPr="00355BBF">
        <w:rPr>
          <w:rFonts w:ascii="Arial-BoldMT" w:cs="Arial-BoldMT" w:hint="cs"/>
          <w:b/>
          <w:bCs/>
          <w:sz w:val="36"/>
          <w:szCs w:val="36"/>
          <w:rtl/>
          <w:lang w:val="en-US"/>
        </w:rPr>
        <w:t>المنهجي للدراسة</w:t>
      </w:r>
      <w:r w:rsidRPr="00355BBF">
        <w:rPr>
          <w:rFonts w:ascii="Arial-BoldMT" w:cs="Arial-BoldMT"/>
          <w:b/>
          <w:bCs/>
          <w:sz w:val="36"/>
          <w:szCs w:val="36"/>
          <w:lang w:val="en-US"/>
        </w:rPr>
        <w:t>(</w:t>
      </w:r>
    </w:p>
    <w:p w14:paraId="4A287AFE" w14:textId="77777777" w:rsidR="00134C67" w:rsidRPr="00355BBF" w:rsidRDefault="00134C67" w:rsidP="00134C67">
      <w:pPr>
        <w:bidi/>
        <w:rPr>
          <w:rFonts w:ascii="Calibri-Bold" w:hAnsi="Calibri-Bold" w:cs="Calibri-Bold"/>
          <w:b/>
          <w:bCs/>
          <w:sz w:val="28"/>
          <w:szCs w:val="28"/>
          <w:rtl/>
          <w:lang w:val="en-US"/>
        </w:rPr>
      </w:pPr>
    </w:p>
    <w:p w14:paraId="0E034568" w14:textId="77777777" w:rsidR="007F6900" w:rsidRPr="00355BBF" w:rsidRDefault="007F6900" w:rsidP="007F6900">
      <w:pPr>
        <w:bidi/>
        <w:rPr>
          <w:rFonts w:ascii="Calibri-Bold" w:hAnsi="Calibri-Bold" w:cs="Calibri-Bold"/>
          <w:b/>
          <w:bCs/>
          <w:sz w:val="28"/>
          <w:szCs w:val="28"/>
          <w:rtl/>
          <w:lang w:val="en-US"/>
        </w:rPr>
      </w:pPr>
    </w:p>
    <w:p w14:paraId="2E8A662C" w14:textId="77777777" w:rsidR="00286636" w:rsidRPr="00355BBF" w:rsidRDefault="00286636" w:rsidP="00B8790A">
      <w:pPr>
        <w:bidi/>
        <w:spacing w:line="360" w:lineRule="auto"/>
        <w:jc w:val="both"/>
        <w:rPr>
          <w:rFonts w:ascii="Traditional Arabic" w:hAnsi="Traditional Arabic" w:cs="Traditional Arabic"/>
          <w:b/>
          <w:bCs/>
          <w:sz w:val="32"/>
          <w:szCs w:val="32"/>
          <w:rtl/>
        </w:rPr>
      </w:pPr>
      <w:r w:rsidRPr="00355BBF">
        <w:rPr>
          <w:rFonts w:ascii="Traditional Arabic" w:hAnsi="Traditional Arabic" w:cs="Traditional Arabic" w:hint="cs"/>
          <w:b/>
          <w:bCs/>
          <w:sz w:val="32"/>
          <w:szCs w:val="32"/>
          <w:rtl/>
        </w:rPr>
        <w:t>ال</w:t>
      </w:r>
      <w:r w:rsidRPr="00355BBF">
        <w:rPr>
          <w:rFonts w:ascii="Traditional Arabic" w:hAnsi="Traditional Arabic" w:cs="Traditional Arabic"/>
          <w:b/>
          <w:bCs/>
          <w:sz w:val="32"/>
          <w:szCs w:val="32"/>
          <w:rtl/>
        </w:rPr>
        <w:t xml:space="preserve">مقدمة </w:t>
      </w:r>
    </w:p>
    <w:p w14:paraId="0E7E7317" w14:textId="77777777" w:rsidR="00B8790A" w:rsidRDefault="00282E46" w:rsidP="00B8790A">
      <w:pPr>
        <w:bidi/>
        <w:spacing w:line="360" w:lineRule="auto"/>
        <w:jc w:val="both"/>
        <w:rPr>
          <w:rFonts w:ascii="Traditional Arabic" w:hAnsi="Traditional Arabic" w:cs="Traditional Arabic"/>
          <w:sz w:val="28"/>
          <w:szCs w:val="28"/>
          <w:rtl/>
        </w:rPr>
      </w:pPr>
      <w:r w:rsidRPr="00282E46">
        <w:rPr>
          <w:rFonts w:ascii="Traditional Arabic" w:hAnsi="Traditional Arabic" w:cs="Traditional Arabic"/>
          <w:sz w:val="28"/>
          <w:szCs w:val="28"/>
          <w:rtl/>
        </w:rPr>
        <w:t xml:space="preserve">في ظل التحولات السريعة التي يشهدها العالم في ميدان الاقتصاد الرقمي وتكنولوجيا المعلومات، أصبحت المعرفة أحد أهم الموارد الاستراتيجية التي تسعى المؤسسات إلى توظيفها لتحقيق التميز وتحسين الأداء الوظيفي. ولم تعد الأصول التقليدية كافية لضمان استدامة النجاح المؤسسي، بل باتت القدرة على توليد المعرفة وتوظيفها بفعالية أحد أهم محددات التنافسية والابتكار. فالمؤسسات التي تدرك أهمية المعرفة وتسعى إلى اكتسابها ومشاركتها وتطبيقها بكفاءة، تصبح أكثر قدرة على التكيف مع المتغيرات، وتحقيق الأهداف، والاحتفاظ بالميزة التنافسية (اليعربي، 2021؛ </w:t>
      </w:r>
      <w:r w:rsidRPr="00282E46">
        <w:rPr>
          <w:rFonts w:ascii="Traditional Arabic" w:hAnsi="Traditional Arabic" w:cs="Traditional Arabic"/>
          <w:sz w:val="28"/>
          <w:szCs w:val="28"/>
        </w:rPr>
        <w:t>Alyoubi et al., 2018</w:t>
      </w:r>
      <w:r w:rsidRPr="00282E46">
        <w:rPr>
          <w:rFonts w:ascii="Traditional Arabic" w:hAnsi="Traditional Arabic" w:cs="Traditional Arabic"/>
          <w:sz w:val="28"/>
          <w:szCs w:val="28"/>
          <w:rtl/>
        </w:rPr>
        <w:t>). ولهذا، لم يعد ينظر إلى المعرفة كمورد داعم فقط، بل أصبحت محورًا رئيسيًا في إعادة تشكيل الهيكل الإداري والعمليات التنظيمية داخل المؤسسات الحديثة.</w:t>
      </w:r>
    </w:p>
    <w:p w14:paraId="2411E950" w14:textId="77777777" w:rsidR="00282E46" w:rsidRPr="00B8790A" w:rsidRDefault="00282E46" w:rsidP="00282E46">
      <w:pPr>
        <w:bidi/>
        <w:spacing w:line="360" w:lineRule="auto"/>
        <w:jc w:val="both"/>
        <w:rPr>
          <w:rFonts w:ascii="Traditional Arabic" w:hAnsi="Traditional Arabic" w:cs="Traditional Arabic"/>
          <w:sz w:val="28"/>
          <w:szCs w:val="28"/>
          <w:rtl/>
        </w:rPr>
      </w:pPr>
    </w:p>
    <w:p w14:paraId="5E305F21" w14:textId="77777777" w:rsidR="00B8790A" w:rsidRDefault="00B8790A" w:rsidP="00B8790A">
      <w:pPr>
        <w:bidi/>
        <w:spacing w:line="360" w:lineRule="auto"/>
        <w:jc w:val="both"/>
        <w:rPr>
          <w:rFonts w:ascii="Traditional Arabic" w:hAnsi="Traditional Arabic" w:cs="Traditional Arabic"/>
          <w:sz w:val="28"/>
          <w:szCs w:val="28"/>
          <w:rtl/>
        </w:rPr>
      </w:pPr>
      <w:r w:rsidRPr="00B8790A">
        <w:rPr>
          <w:rFonts w:ascii="Traditional Arabic" w:hAnsi="Traditional Arabic" w:cs="Traditional Arabic"/>
          <w:sz w:val="28"/>
          <w:szCs w:val="28"/>
          <w:rtl/>
        </w:rPr>
        <w:t xml:space="preserve">يعد مفهوم "إدارة المعرفة" من المفاهيم المعاصرة التي أثبتت فاعليتها في دعم اتخاذ القرار وتحسين أداء العاملين، سواء من خلال تعزيز الابتكار، أو زيادة الكفاءة، أو تحقيق رضا العملاء، أو رفع مستوى الالتزام الوظيفي (الأقرع، 2020؛ </w:t>
      </w:r>
      <w:r w:rsidRPr="00B8790A">
        <w:rPr>
          <w:rFonts w:ascii="Traditional Arabic" w:hAnsi="Traditional Arabic" w:cs="Traditional Arabic"/>
          <w:sz w:val="28"/>
          <w:szCs w:val="28"/>
        </w:rPr>
        <w:t>Pelealu, 2022</w:t>
      </w:r>
      <w:r w:rsidRPr="00B8790A">
        <w:rPr>
          <w:rFonts w:ascii="Traditional Arabic" w:hAnsi="Traditional Arabic" w:cs="Traditional Arabic"/>
          <w:sz w:val="28"/>
          <w:szCs w:val="28"/>
          <w:rtl/>
        </w:rPr>
        <w:t xml:space="preserve">؛ </w:t>
      </w:r>
      <w:r w:rsidRPr="00B8790A">
        <w:rPr>
          <w:rFonts w:ascii="Traditional Arabic" w:hAnsi="Traditional Arabic" w:cs="Traditional Arabic"/>
          <w:sz w:val="28"/>
          <w:szCs w:val="28"/>
        </w:rPr>
        <w:t>Swanson et al., 2020</w:t>
      </w:r>
      <w:r w:rsidRPr="00B8790A">
        <w:rPr>
          <w:rFonts w:ascii="Traditional Arabic" w:hAnsi="Traditional Arabic" w:cs="Traditional Arabic"/>
          <w:sz w:val="28"/>
          <w:szCs w:val="28"/>
          <w:rtl/>
        </w:rPr>
        <w:t>). وتؤكد الأدبيات أن تطبيق إدارة المعرفة لا يقتصر على الجانب التقني أو الإجرائي، بل يتطلب ثقافة تنظيمية تشجع على المشاركة الفاعلة والتعلم المستمر، وهو ما ينعكس بدوره على تحسين جودة الأداء ورفع كفاءة الموظفين. كما أن تفعيل إدارة المعرفة يرتبط إيجابياً بتحقيق الرضا الوظيفي وزيادة الولاء التنظيمي، مما ينعكس بشكل مباشر على جودة الأداء المؤسسي (</w:t>
      </w:r>
      <w:r w:rsidRPr="00B8790A">
        <w:rPr>
          <w:rFonts w:ascii="Traditional Arabic" w:hAnsi="Traditional Arabic" w:cs="Traditional Arabic"/>
          <w:sz w:val="28"/>
          <w:szCs w:val="28"/>
        </w:rPr>
        <w:t>Karyatun et al., 2023</w:t>
      </w:r>
      <w:r w:rsidRPr="00B8790A">
        <w:rPr>
          <w:rFonts w:ascii="Traditional Arabic" w:hAnsi="Traditional Arabic" w:cs="Traditional Arabic"/>
          <w:sz w:val="28"/>
          <w:szCs w:val="28"/>
          <w:rtl/>
        </w:rPr>
        <w:t>؛ عيد، 2021).</w:t>
      </w:r>
    </w:p>
    <w:p w14:paraId="00BE5041" w14:textId="77777777" w:rsidR="00B8790A" w:rsidRPr="00B8790A" w:rsidRDefault="00B8790A" w:rsidP="00B8790A">
      <w:pPr>
        <w:bidi/>
        <w:spacing w:line="360" w:lineRule="auto"/>
        <w:jc w:val="both"/>
        <w:rPr>
          <w:rFonts w:ascii="Traditional Arabic" w:hAnsi="Traditional Arabic" w:cs="Traditional Arabic"/>
          <w:sz w:val="28"/>
          <w:szCs w:val="28"/>
          <w:rtl/>
        </w:rPr>
      </w:pPr>
    </w:p>
    <w:p w14:paraId="20198A3C" w14:textId="77777777" w:rsidR="00B8790A" w:rsidRDefault="00B8790A" w:rsidP="00282E46">
      <w:pPr>
        <w:bidi/>
        <w:spacing w:line="360" w:lineRule="auto"/>
        <w:jc w:val="both"/>
        <w:rPr>
          <w:rFonts w:ascii="Traditional Arabic" w:hAnsi="Traditional Arabic" w:cs="Traditional Arabic"/>
          <w:sz w:val="28"/>
          <w:szCs w:val="28"/>
          <w:rtl/>
        </w:rPr>
      </w:pPr>
      <w:r w:rsidRPr="00B8790A">
        <w:rPr>
          <w:rFonts w:ascii="Traditional Arabic" w:hAnsi="Traditional Arabic" w:cs="Traditional Arabic"/>
          <w:sz w:val="28"/>
          <w:szCs w:val="28"/>
          <w:rtl/>
        </w:rPr>
        <w:lastRenderedPageBreak/>
        <w:t>أشارت العديد من الدراسات إلى الدور الإيجابي لإدارة المعرفة في تعزيز أداء العاملين، مثل دراسة مدلول والموسوي (2021)، التي أظهرت وجود علاقة ارتباط إيجابية بين استراتيجيات إدارة المعرفة ومستوى الأداء الوظيفي لأعضاء هيئة التدريس في جامعة الكوفة، وكذلك دراسة عيد (2021) التي أثبتت أن تطبيق ممارسات إدارة المعرفة ساهم بشكل كبير في تحسين أداء العاملين في هيئة المجتمعات العمرانية الجديدة. كما تشير نتائج دراسة أبو جمعة والمغربي (2020) إلى أن إدارة المعرفة لها دور كبير في تحسين جودة العمل والالتزام داخل المؤسسات الصناعية، ما يعكس الحاجة إلى تبني نهج معرفي متكامل في بيئات العمل المختلفة</w:t>
      </w:r>
      <w:r w:rsidRPr="00B8790A">
        <w:rPr>
          <w:rFonts w:ascii="Traditional Arabic" w:hAnsi="Traditional Arabic" w:cs="Traditional Arabic"/>
          <w:sz w:val="28"/>
          <w:szCs w:val="28"/>
        </w:rPr>
        <w:t>.</w:t>
      </w:r>
      <w:r w:rsidR="00282E46">
        <w:rPr>
          <w:rFonts w:ascii="Traditional Arabic" w:hAnsi="Traditional Arabic" w:cs="Traditional Arabic" w:hint="cs"/>
          <w:sz w:val="28"/>
          <w:szCs w:val="28"/>
          <w:rtl/>
        </w:rPr>
        <w:t xml:space="preserve"> </w:t>
      </w:r>
      <w:r w:rsidRPr="00B8790A">
        <w:rPr>
          <w:rFonts w:ascii="Traditional Arabic" w:hAnsi="Traditional Arabic" w:cs="Traditional Arabic"/>
          <w:sz w:val="28"/>
          <w:szCs w:val="28"/>
          <w:rtl/>
        </w:rPr>
        <w:t>في هذا السياق، تنطلق هذه الدراسة لتسليط الضوء على واقع إدارة المعرفة في شركة موبايلي السعودية، وتحليل أثرها على أداء العاملين من خلال أبعاده المختلفة، في محاولة لتقديم فهم أعمق لكيفية استثمار المعرفة لتحسين أداء رأس المال البشري في بيئة الأعمال السعودية، وتعزيز القدرة التنافسية للمؤسسة في سوق يتسم بالديناميكية والتغيير المتسارع.</w:t>
      </w:r>
    </w:p>
    <w:p w14:paraId="0ED8D141" w14:textId="77777777" w:rsidR="00B8790A" w:rsidRDefault="00B8790A" w:rsidP="00B8790A">
      <w:pPr>
        <w:bidi/>
        <w:spacing w:line="360" w:lineRule="auto"/>
        <w:jc w:val="both"/>
        <w:rPr>
          <w:rFonts w:ascii="Traditional Arabic" w:hAnsi="Traditional Arabic" w:cs="Traditional Arabic"/>
          <w:sz w:val="28"/>
          <w:szCs w:val="28"/>
          <w:rtl/>
        </w:rPr>
      </w:pPr>
    </w:p>
    <w:p w14:paraId="2EE06519" w14:textId="77777777" w:rsidR="00134C67" w:rsidRPr="00355BBF" w:rsidRDefault="00134C67" w:rsidP="00B8790A">
      <w:pPr>
        <w:bidi/>
        <w:spacing w:line="360" w:lineRule="auto"/>
        <w:jc w:val="both"/>
        <w:rPr>
          <w:rFonts w:ascii="Traditional Arabic" w:hAnsi="Traditional Arabic" w:cs="Traditional Arabic"/>
          <w:b/>
          <w:bCs/>
          <w:sz w:val="32"/>
          <w:szCs w:val="32"/>
          <w:rtl/>
        </w:rPr>
      </w:pPr>
      <w:r w:rsidRPr="00355BBF">
        <w:rPr>
          <w:rFonts w:ascii="Traditional Arabic" w:hAnsi="Traditional Arabic" w:cs="Traditional Arabic"/>
          <w:b/>
          <w:bCs/>
          <w:sz w:val="32"/>
          <w:szCs w:val="32"/>
          <w:rtl/>
        </w:rPr>
        <w:t>مشكلة الدراسة</w:t>
      </w:r>
    </w:p>
    <w:p w14:paraId="71932DEF" w14:textId="77777777" w:rsidR="00282E46" w:rsidRP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2E46">
        <w:rPr>
          <w:rFonts w:ascii="Traditional Arabic" w:eastAsia="Times New Roman" w:hAnsi="Traditional Arabic" w:cs="Traditional Arabic"/>
          <w:sz w:val="28"/>
          <w:szCs w:val="28"/>
          <w:rtl/>
        </w:rPr>
        <w:t>رغم ما أثبتته الدراسات السابقة من أن لإدارة المعرفة تأثيرًا إيجابيًا وملموسًا على الأداء الوظيفي في مختلف البيئات التنظيمية، إلا أن أغلب هذه الدراسات تركزت على قطاعات التعليم العالي أو الصناعة، كما في دراسة مدلول والموسوي (2021) التي أكدت وجود علاقة إيجابية بين استراتيجيات إدارة المعرفة والأداء الوظيفي لأعضاء هيئة التدريس في جامعة الكوفة، ودراسة عيد (2021) التي أثبتت تأثيرًا إيجابيًا لإدارة المعرفة على أداء العاملين في هيئة المجتمعات العمرانية الجديدة بمصر، مع توصيات بتعزيز التدريب وتحسين تدفق المعرفة. كما بينت دراسة اليعربي (2021) أن التأثير كان متوسطًا في بيئة تعليمية بسلطنة عمان، وأوصت بضرورة تعزيز ثقافة المشاركة وربط المكافآت بممارسات المعرفة، فيما ركزت دراسات أخرى مثل أبو جمعة والمغربي (2020) وخالد (2020) على المؤسسات الصناعية وأشارت إلى دور إدارة المعرفة في تحسين الأداء، مع الحاجة إلى تطوير البنية التحتية وتعيين مختصين</w:t>
      </w:r>
      <w:r w:rsidRPr="00282E46">
        <w:rPr>
          <w:rFonts w:ascii="Traditional Arabic" w:eastAsia="Times New Roman" w:hAnsi="Traditional Arabic" w:cs="Traditional Arabic"/>
          <w:sz w:val="28"/>
          <w:szCs w:val="28"/>
        </w:rPr>
        <w:t>.</w:t>
      </w:r>
    </w:p>
    <w:p w14:paraId="365614B6" w14:textId="77777777" w:rsidR="00282E46" w:rsidRP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1F65551F" w14:textId="77777777" w:rsidR="00282E46" w:rsidRP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2E46">
        <w:rPr>
          <w:rFonts w:ascii="Traditional Arabic" w:eastAsia="Times New Roman" w:hAnsi="Traditional Arabic" w:cs="Traditional Arabic"/>
          <w:sz w:val="28"/>
          <w:szCs w:val="28"/>
          <w:rtl/>
        </w:rPr>
        <w:lastRenderedPageBreak/>
        <w:t xml:space="preserve">إضافة إلى </w:t>
      </w:r>
      <w:r>
        <w:rPr>
          <w:rFonts w:ascii="Traditional Arabic" w:eastAsia="Times New Roman" w:hAnsi="Traditional Arabic" w:cs="Traditional Arabic" w:hint="cs"/>
          <w:sz w:val="28"/>
          <w:szCs w:val="28"/>
          <w:rtl/>
        </w:rPr>
        <w:t>ما سبق</w:t>
      </w:r>
      <w:r w:rsidRPr="00282E46">
        <w:rPr>
          <w:rFonts w:ascii="Traditional Arabic" w:eastAsia="Times New Roman" w:hAnsi="Traditional Arabic" w:cs="Traditional Arabic"/>
          <w:sz w:val="28"/>
          <w:szCs w:val="28"/>
          <w:rtl/>
        </w:rPr>
        <w:t>، ركزت دراسات أجنبية حديثة مثل</w:t>
      </w:r>
      <w:r w:rsidRPr="00282E46">
        <w:rPr>
          <w:rFonts w:ascii="Traditional Arabic" w:eastAsia="Times New Roman" w:hAnsi="Traditional Arabic" w:cs="Traditional Arabic"/>
          <w:sz w:val="28"/>
          <w:szCs w:val="28"/>
        </w:rPr>
        <w:t xml:space="preserve"> Yumhi et al. (2024) </w:t>
      </w:r>
      <w:r w:rsidRPr="00282E46">
        <w:rPr>
          <w:rFonts w:ascii="Traditional Arabic" w:eastAsia="Times New Roman" w:hAnsi="Traditional Arabic" w:cs="Traditional Arabic"/>
          <w:sz w:val="28"/>
          <w:szCs w:val="28"/>
          <w:rtl/>
        </w:rPr>
        <w:t>و</w:t>
      </w:r>
      <w:r w:rsidRPr="00282E46">
        <w:rPr>
          <w:rFonts w:ascii="Traditional Arabic" w:eastAsia="Times New Roman" w:hAnsi="Traditional Arabic" w:cs="Traditional Arabic"/>
          <w:sz w:val="28"/>
          <w:szCs w:val="28"/>
        </w:rPr>
        <w:t xml:space="preserve">Palupiningtyas et al. (2024) </w:t>
      </w:r>
      <w:r w:rsidRPr="00282E46">
        <w:rPr>
          <w:rFonts w:ascii="Traditional Arabic" w:eastAsia="Times New Roman" w:hAnsi="Traditional Arabic" w:cs="Traditional Arabic"/>
          <w:sz w:val="28"/>
          <w:szCs w:val="28"/>
          <w:rtl/>
        </w:rPr>
        <w:t>على تصميم أنظمة إدارة معرفة رقمية لدعم الأداء المؤسسي، وخلصت إلى أن هذه الأنظمة ساهمت في تحسين الوصول إلى المعرفة وتسهيل مشاركتها. كما تناولت دراسة</w:t>
      </w:r>
      <w:r w:rsidRPr="00282E46">
        <w:rPr>
          <w:rFonts w:ascii="Traditional Arabic" w:eastAsia="Times New Roman" w:hAnsi="Traditional Arabic" w:cs="Traditional Arabic"/>
          <w:sz w:val="28"/>
          <w:szCs w:val="28"/>
        </w:rPr>
        <w:t xml:space="preserve"> Karyatun et al. (2023) </w:t>
      </w:r>
      <w:r w:rsidRPr="00282E46">
        <w:rPr>
          <w:rFonts w:ascii="Traditional Arabic" w:eastAsia="Times New Roman" w:hAnsi="Traditional Arabic" w:cs="Traditional Arabic"/>
          <w:sz w:val="28"/>
          <w:szCs w:val="28"/>
          <w:rtl/>
        </w:rPr>
        <w:t>العلاقة بين إدارة المعرفة وسلوك المواطنة التنظيمية عبر الرضا الوظيفي، بينما ناقشت</w:t>
      </w:r>
      <w:r w:rsidRPr="00282E46">
        <w:rPr>
          <w:rFonts w:ascii="Traditional Arabic" w:eastAsia="Times New Roman" w:hAnsi="Traditional Arabic" w:cs="Traditional Arabic"/>
          <w:sz w:val="28"/>
          <w:szCs w:val="28"/>
        </w:rPr>
        <w:t xml:space="preserve"> Tamsah et al. (2023) </w:t>
      </w:r>
      <w:r w:rsidRPr="00282E46">
        <w:rPr>
          <w:rFonts w:ascii="Traditional Arabic" w:eastAsia="Times New Roman" w:hAnsi="Traditional Arabic" w:cs="Traditional Arabic"/>
          <w:sz w:val="28"/>
          <w:szCs w:val="28"/>
          <w:rtl/>
        </w:rPr>
        <w:t>أهمية إدارة المعرفة والمواهب في رفع أداء العاملين في مراكز الصحة العامة في ظل الثورة الصناعية الرابعة</w:t>
      </w:r>
      <w:r w:rsidRPr="00282E46">
        <w:rPr>
          <w:rFonts w:ascii="Traditional Arabic" w:eastAsia="Times New Roman" w:hAnsi="Traditional Arabic" w:cs="Traditional Arabic"/>
          <w:sz w:val="28"/>
          <w:szCs w:val="28"/>
        </w:rPr>
        <w:t>.</w:t>
      </w:r>
    </w:p>
    <w:p w14:paraId="0D7F5949" w14:textId="77777777" w:rsidR="00282E46" w:rsidRP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699102E2" w14:textId="77777777" w:rsid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2E46">
        <w:rPr>
          <w:rFonts w:ascii="Traditional Arabic" w:eastAsia="Times New Roman" w:hAnsi="Traditional Arabic" w:cs="Traditional Arabic"/>
          <w:sz w:val="28"/>
          <w:szCs w:val="28"/>
          <w:rtl/>
        </w:rPr>
        <w:t>رغم أهمية هذه الجهود البحثية، إلا أنه يمكن ملاحظة وجود قصور واضح في تناول موضوع إدارة المعرفة ضمن قطاع الاتصالات في البيئة السعودية، وهو قطاع يُعد من أكثر القطاعات اعتمادًا على المعرفة والخبرات الفنية والتكنولوجيا الحديثة. كما أن معظم الدراسات ركزت على جانب واحد من الأداء أو لم تتناول أبعاده المتعددة بشكل تفصيلي، مثل الكفاءة الوظيفية، والابتكار وحل المشكلات، ورضا العملاء، والالتزام الوظيفي. أضف إلى ذلك، أن بعض الدراسات (مثل خالد، 2020) أظهرت وجود تحديات تتعلق بضعف نشر المعرفة وغياب أدوات فعالة لنقلها وتخزينها، مما يشير إلى فجوة بين النظرية والتطبيق في هذا المجال</w:t>
      </w:r>
      <w:r w:rsidRPr="00282E46">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282E46">
        <w:rPr>
          <w:rFonts w:ascii="Traditional Arabic" w:eastAsia="Times New Roman" w:hAnsi="Traditional Arabic" w:cs="Traditional Arabic"/>
          <w:sz w:val="28"/>
          <w:szCs w:val="28"/>
          <w:rtl/>
        </w:rPr>
        <w:t>من هذا المنطلق، تنبع مشكلة الدراسة الحالية من الحاجة إلى تحليل مدى مساهمة ممارسات إدارة المعرفة (اكتساب المعرفة، مشاركة المعرفة، تطبيق المعرفة) في تحسين أداء العاملين في قطاع الاتصالات، وتحديدًا في شركة موبايلي السعودية، وذلك من خلال دراسة الأبعاد الأربعة للأداء الوظيفي: الكفاءة، الابتكار، رضا العملاء، والالتزام الوظيفي. وتكمن أهمية معالجة هذه المشكلة في توفير دليل علمي وعملي لصناع القرار داخل المؤسسة حول سبل توظيف المعرفة لتعزيز رأس المال البشري وتحقيق أداء مؤسسي مستدام في بيئة تتسم بالتغير السريع والتنافسية العالية.</w:t>
      </w:r>
    </w:p>
    <w:p w14:paraId="7B288F3C" w14:textId="77777777" w:rsid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5E0BE9A8" w14:textId="77777777" w:rsid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p>
    <w:p w14:paraId="0A0FAB6D" w14:textId="77777777" w:rsidR="00286636" w:rsidRPr="00355BBF" w:rsidRDefault="00286636" w:rsidP="00282E4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55BBF">
        <w:rPr>
          <w:rFonts w:ascii="Traditional Arabic" w:eastAsia="Times New Roman" w:hAnsi="Traditional Arabic" w:cs="Traditional Arabic"/>
          <w:b/>
          <w:bCs/>
          <w:sz w:val="32"/>
          <w:szCs w:val="32"/>
          <w:rtl/>
        </w:rPr>
        <w:lastRenderedPageBreak/>
        <w:t>تساؤلات الدراسة</w:t>
      </w:r>
    </w:p>
    <w:p w14:paraId="16301C76" w14:textId="77777777" w:rsid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282E46">
        <w:rPr>
          <w:rFonts w:ascii="Traditional Arabic" w:eastAsia="Times New Roman" w:hAnsi="Traditional Arabic" w:cs="Traditional Arabic"/>
          <w:sz w:val="28"/>
          <w:szCs w:val="28"/>
          <w:rtl/>
        </w:rPr>
        <w:t>انطلاقًا من الفجوة البحثية التي كشفت عنها الأدبيات السابقة، والتي أظهرت محدودية الدراسات التطبيقية في بيئة قطاع الاتصالات السعودي، وتحديدًا في ما يتعلق بدور إدارة المعرفة في تحسين الأداء الوظيفي بمستوياته المتعددة، تبرز الحاجة إلى فحص دقيق للعلاقة بين ممارسات إدارة المعرفة وأداء العاملين داخل هذا القطاع الحيوي. ويُعد تناول هذه العلاقة من منظور شمولي يشمل أبعادًا متعددة لكل من إدارة المعرفة (الاكتساب، المشاركة، التطبيق) والأداء الوظيفي (الكفاءة، الابتكار، رضا العملاء، الالتزام)، أمرًا ضروريًا لفهم آليات التأثير، واقتراح سبل عملية لتحسين الأداء التنظيمي. وبناءً على ذلك، سعت هذه الدراسة إلى بناء تساؤلات واضحة ومترابطة للإجابة عن الإشكالية البحثية التي تم تحديدها.</w:t>
      </w:r>
    </w:p>
    <w:p w14:paraId="4EC0A69E" w14:textId="77777777" w:rsidR="00355BBF" w:rsidRPr="00282E46" w:rsidRDefault="00282E46" w:rsidP="00282E46">
      <w:pPr>
        <w:bidi/>
        <w:spacing w:before="100" w:beforeAutospacing="1" w:after="100" w:afterAutospacing="1" w:line="360" w:lineRule="auto"/>
        <w:jc w:val="both"/>
        <w:rPr>
          <w:rFonts w:ascii="Traditional Arabic" w:eastAsia="Times New Roman" w:hAnsi="Traditional Arabic" w:cs="Traditional Arabic"/>
          <w:sz w:val="28"/>
          <w:szCs w:val="28"/>
          <w:lang w:val="en-US"/>
        </w:rPr>
      </w:pPr>
      <w:r>
        <w:rPr>
          <w:rFonts w:ascii="Traditional Arabic" w:eastAsia="Times New Roman" w:hAnsi="Traditional Arabic" w:cs="Traditional Arabic" w:hint="cs"/>
          <w:sz w:val="28"/>
          <w:szCs w:val="28"/>
          <w:rtl/>
        </w:rPr>
        <w:t xml:space="preserve">بشكل ادق، </w:t>
      </w:r>
      <w:r w:rsidR="00907976" w:rsidRPr="00355BBF">
        <w:rPr>
          <w:rFonts w:ascii="Traditional Arabic" w:eastAsia="Times New Roman" w:hAnsi="Traditional Arabic" w:cs="Traditional Arabic" w:hint="cs"/>
          <w:sz w:val="28"/>
          <w:szCs w:val="28"/>
          <w:rtl/>
        </w:rPr>
        <w:t>هدفت</w:t>
      </w:r>
      <w:r w:rsidR="00134C67" w:rsidRPr="00355BBF">
        <w:rPr>
          <w:rFonts w:ascii="Traditional Arabic" w:eastAsia="Times New Roman" w:hAnsi="Traditional Arabic" w:cs="Traditional Arabic"/>
          <w:sz w:val="28"/>
          <w:szCs w:val="28"/>
          <w:rtl/>
        </w:rPr>
        <w:t xml:space="preserve"> هذه الدراسة </w:t>
      </w:r>
      <w:r>
        <w:rPr>
          <w:rFonts w:ascii="Traditional Arabic" w:eastAsia="Times New Roman" w:hAnsi="Traditional Arabic" w:cs="Traditional Arabic"/>
          <w:sz w:val="28"/>
          <w:szCs w:val="28"/>
          <w:rtl/>
        </w:rPr>
        <w:t>الى الاجابة عن التساؤل</w:t>
      </w:r>
      <w:r>
        <w:rPr>
          <w:rFonts w:ascii="Traditional Arabic" w:eastAsia="Times New Roman" w:hAnsi="Traditional Arabic" w:cs="Traditional Arabic" w:hint="cs"/>
          <w:sz w:val="28"/>
          <w:szCs w:val="28"/>
          <w:rtl/>
        </w:rPr>
        <w:t xml:space="preserve"> الرئيسي التالي</w:t>
      </w:r>
      <w:r w:rsidR="00134C67" w:rsidRPr="00355BBF">
        <w:rPr>
          <w:rFonts w:ascii="Traditional Arabic" w:eastAsia="Times New Roman" w:hAnsi="Traditional Arabic" w:cs="Traditional Arabic"/>
          <w:sz w:val="28"/>
          <w:szCs w:val="28"/>
          <w:rtl/>
        </w:rPr>
        <w:t>:</w:t>
      </w:r>
      <w:r>
        <w:rPr>
          <w:rFonts w:ascii="Traditional Arabic" w:eastAsia="Times New Roman" w:hAnsi="Traditional Arabic" w:cs="Traditional Arabic" w:hint="cs"/>
          <w:sz w:val="28"/>
          <w:szCs w:val="28"/>
          <w:rtl/>
          <w:lang w:val="en-US"/>
        </w:rPr>
        <w:t xml:space="preserve"> </w:t>
      </w:r>
      <w:r w:rsidRPr="00282E46">
        <w:rPr>
          <w:rFonts w:ascii="Traditional Arabic" w:eastAsia="Times New Roman" w:hAnsi="Traditional Arabic" w:cs="Traditional Arabic" w:hint="cs"/>
          <w:b/>
          <w:bCs/>
          <w:sz w:val="28"/>
          <w:szCs w:val="28"/>
          <w:rtl/>
          <w:lang w:val="en-US"/>
        </w:rPr>
        <w:t>"</w:t>
      </w:r>
      <w:r w:rsidR="00355BBF" w:rsidRPr="00282E46">
        <w:rPr>
          <w:rFonts w:ascii="Traditional Arabic" w:hAnsi="Traditional Arabic" w:cs="Traditional Arabic"/>
          <w:b/>
          <w:bCs/>
          <w:sz w:val="28"/>
          <w:szCs w:val="28"/>
          <w:rtl/>
        </w:rPr>
        <w:t>ما أثر إدارة المعرفة بأبعادها (اكتساب، مشاركة، تطبيق) على اداء العاملين في شركة موبايلي من خلال أبعاده (الكفاءة، الابتكار، رضا العملاء، الالتزام)؟</w:t>
      </w:r>
      <w:r w:rsidRPr="00282E46">
        <w:rPr>
          <w:rFonts w:ascii="Traditional Arabic" w:hAnsi="Traditional Arabic" w:cs="Traditional Arabic" w:hint="cs"/>
          <w:b/>
          <w:bCs/>
          <w:sz w:val="28"/>
          <w:szCs w:val="28"/>
          <w:rtl/>
        </w:rPr>
        <w:t>"</w:t>
      </w:r>
    </w:p>
    <w:p w14:paraId="4FC4EDBD" w14:textId="77777777" w:rsidR="00355BBF" w:rsidRPr="00355BBF" w:rsidRDefault="00355BBF" w:rsidP="00355BBF">
      <w:pPr>
        <w:bidi/>
        <w:spacing w:line="360" w:lineRule="auto"/>
        <w:rPr>
          <w:rFonts w:ascii="Traditional Arabic" w:hAnsi="Traditional Arabic" w:cs="Traditional Arabic"/>
          <w:sz w:val="28"/>
          <w:szCs w:val="28"/>
          <w:lang w:val="en-US"/>
        </w:rPr>
      </w:pPr>
      <w:r>
        <w:rPr>
          <w:rFonts w:ascii="Traditional Arabic" w:hAnsi="Traditional Arabic" w:cs="Traditional Arabic" w:hint="cs"/>
          <w:sz w:val="28"/>
          <w:szCs w:val="28"/>
          <w:rtl/>
        </w:rPr>
        <w:t>ي</w:t>
      </w:r>
      <w:r w:rsidR="00282E46">
        <w:rPr>
          <w:rFonts w:ascii="Traditional Arabic" w:hAnsi="Traditional Arabic" w:cs="Traditional Arabic"/>
          <w:sz w:val="28"/>
          <w:szCs w:val="28"/>
          <w:rtl/>
        </w:rPr>
        <w:t>تفرع من</w:t>
      </w:r>
      <w:r w:rsidR="00282E46">
        <w:rPr>
          <w:rFonts w:ascii="Traditional Arabic" w:hAnsi="Traditional Arabic" w:cs="Traditional Arabic" w:hint="cs"/>
          <w:sz w:val="28"/>
          <w:szCs w:val="28"/>
          <w:rtl/>
        </w:rPr>
        <w:t>ه</w:t>
      </w:r>
      <w:r w:rsidRPr="00355BBF">
        <w:rPr>
          <w:rFonts w:ascii="Traditional Arabic" w:hAnsi="Traditional Arabic" w:cs="Traditional Arabic"/>
          <w:sz w:val="28"/>
          <w:szCs w:val="28"/>
          <w:rtl/>
        </w:rPr>
        <w:t xml:space="preserve"> الاسئلة الفرعية التالية:</w:t>
      </w:r>
    </w:p>
    <w:p w14:paraId="50E14C8B" w14:textId="2FCB219E" w:rsidR="00355BBF" w:rsidRPr="00355BBF" w:rsidRDefault="00282E46" w:rsidP="00355BBF">
      <w:pPr>
        <w:pStyle w:val="a5"/>
        <w:numPr>
          <w:ilvl w:val="0"/>
          <w:numId w:val="9"/>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1.1</w:t>
      </w:r>
      <w:r w:rsidR="00355BBF" w:rsidRPr="00355BBF">
        <w:rPr>
          <w:rFonts w:ascii="Traditional Arabic" w:hAnsi="Traditional Arabic" w:cs="Traditional Arabic" w:hint="cs"/>
          <w:sz w:val="28"/>
          <w:szCs w:val="28"/>
          <w:rtl/>
        </w:rPr>
        <w:t xml:space="preserve">: </w:t>
      </w:r>
      <w:r w:rsidR="00355BBF" w:rsidRPr="00355BBF">
        <w:rPr>
          <w:rFonts w:ascii="Traditional Arabic" w:hAnsi="Traditional Arabic" w:cs="Traditional Arabic"/>
          <w:sz w:val="28"/>
          <w:szCs w:val="28"/>
          <w:rtl/>
        </w:rPr>
        <w:t>ما أثر إدارة المعرفة بأبعادها (اكتساب، مشاركة، تطبيق) على الكفاءة الوظيفية للعاملين في شركة موب</w:t>
      </w:r>
      <w:r w:rsidR="00BD4FB7">
        <w:rPr>
          <w:rFonts w:ascii="Traditional Arabic" w:hAnsi="Traditional Arabic" w:cs="Traditional Arabic" w:hint="cs"/>
          <w:sz w:val="28"/>
          <w:szCs w:val="28"/>
          <w:rtl/>
        </w:rPr>
        <w:t>اي</w:t>
      </w:r>
      <w:r w:rsidR="00355BBF" w:rsidRPr="00355BBF">
        <w:rPr>
          <w:rFonts w:ascii="Traditional Arabic" w:hAnsi="Traditional Arabic" w:cs="Traditional Arabic"/>
          <w:sz w:val="28"/>
          <w:szCs w:val="28"/>
          <w:rtl/>
        </w:rPr>
        <w:t>لي؟</w:t>
      </w:r>
    </w:p>
    <w:p w14:paraId="6E424503" w14:textId="35E64140" w:rsidR="00355BBF" w:rsidRPr="00355BBF" w:rsidRDefault="00282E46" w:rsidP="00355BBF">
      <w:pPr>
        <w:pStyle w:val="a5"/>
        <w:numPr>
          <w:ilvl w:val="0"/>
          <w:numId w:val="9"/>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1.2</w:t>
      </w:r>
      <w:r w:rsidR="00355BBF" w:rsidRPr="00355BBF">
        <w:rPr>
          <w:rFonts w:ascii="Traditional Arabic" w:hAnsi="Traditional Arabic" w:cs="Traditional Arabic" w:hint="cs"/>
          <w:sz w:val="28"/>
          <w:szCs w:val="28"/>
          <w:rtl/>
        </w:rPr>
        <w:t xml:space="preserve">: </w:t>
      </w:r>
      <w:r w:rsidR="00355BBF" w:rsidRPr="00355BBF">
        <w:rPr>
          <w:rFonts w:ascii="Traditional Arabic" w:hAnsi="Traditional Arabic" w:cs="Traditional Arabic"/>
          <w:sz w:val="28"/>
          <w:szCs w:val="28"/>
          <w:rtl/>
        </w:rPr>
        <w:t>ما أثر إدارة المعرفة بأبعادها (اكتساب، مشاركة، تطبيق)  على الابتكار وحل المشكلات لدى العاملين في شركة موب</w:t>
      </w:r>
      <w:r w:rsidR="00732DCA">
        <w:rPr>
          <w:rFonts w:ascii="Traditional Arabic" w:hAnsi="Traditional Arabic" w:cs="Traditional Arabic" w:hint="cs"/>
          <w:sz w:val="28"/>
          <w:szCs w:val="28"/>
          <w:rtl/>
        </w:rPr>
        <w:t>ا</w:t>
      </w:r>
      <w:r w:rsidR="00355BBF" w:rsidRPr="00355BBF">
        <w:rPr>
          <w:rFonts w:ascii="Traditional Arabic" w:hAnsi="Traditional Arabic" w:cs="Traditional Arabic"/>
          <w:sz w:val="28"/>
          <w:szCs w:val="28"/>
          <w:rtl/>
        </w:rPr>
        <w:t>يلي ؟</w:t>
      </w:r>
    </w:p>
    <w:p w14:paraId="7F5E8018" w14:textId="77777777" w:rsidR="00355BBF" w:rsidRPr="00355BBF" w:rsidRDefault="00282E46" w:rsidP="00355BBF">
      <w:pPr>
        <w:pStyle w:val="a5"/>
        <w:numPr>
          <w:ilvl w:val="0"/>
          <w:numId w:val="9"/>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1.3</w:t>
      </w:r>
      <w:r w:rsidR="00355BBF" w:rsidRPr="00355BBF">
        <w:rPr>
          <w:rFonts w:ascii="Traditional Arabic" w:hAnsi="Traditional Arabic" w:cs="Traditional Arabic" w:hint="cs"/>
          <w:sz w:val="28"/>
          <w:szCs w:val="28"/>
          <w:rtl/>
        </w:rPr>
        <w:t xml:space="preserve">: </w:t>
      </w:r>
      <w:r w:rsidR="00355BBF" w:rsidRPr="00355BBF">
        <w:rPr>
          <w:rFonts w:ascii="Traditional Arabic" w:hAnsi="Traditional Arabic" w:cs="Traditional Arabic"/>
          <w:sz w:val="28"/>
          <w:szCs w:val="28"/>
          <w:rtl/>
        </w:rPr>
        <w:t>ما أثر إدارة المعرفة بأبعادها (اكتساب، مشاركة، تطبيق) على رضا العملاء؟</w:t>
      </w:r>
    </w:p>
    <w:p w14:paraId="67650A3C" w14:textId="77777777" w:rsidR="00355BBF" w:rsidRPr="00355BBF" w:rsidRDefault="00282E46" w:rsidP="00355BBF">
      <w:pPr>
        <w:pStyle w:val="a5"/>
        <w:numPr>
          <w:ilvl w:val="0"/>
          <w:numId w:val="9"/>
        </w:numPr>
        <w:bidi/>
        <w:spacing w:line="360" w:lineRule="auto"/>
        <w:rPr>
          <w:rFonts w:ascii="Traditional Arabic" w:hAnsi="Traditional Arabic" w:cs="Traditional Arabic"/>
          <w:sz w:val="28"/>
          <w:szCs w:val="28"/>
        </w:rPr>
      </w:pPr>
      <w:r>
        <w:rPr>
          <w:rFonts w:ascii="Traditional Arabic" w:hAnsi="Traditional Arabic" w:cs="Traditional Arabic" w:hint="cs"/>
          <w:sz w:val="28"/>
          <w:szCs w:val="28"/>
          <w:rtl/>
        </w:rPr>
        <w:t>1.4</w:t>
      </w:r>
      <w:r w:rsidR="00355BBF" w:rsidRPr="00355BBF">
        <w:rPr>
          <w:rFonts w:ascii="Traditional Arabic" w:hAnsi="Traditional Arabic" w:cs="Traditional Arabic" w:hint="cs"/>
          <w:sz w:val="28"/>
          <w:szCs w:val="28"/>
          <w:rtl/>
        </w:rPr>
        <w:t xml:space="preserve">: </w:t>
      </w:r>
      <w:r w:rsidR="00355BBF" w:rsidRPr="00355BBF">
        <w:rPr>
          <w:rFonts w:ascii="Traditional Arabic" w:hAnsi="Traditional Arabic" w:cs="Traditional Arabic"/>
          <w:sz w:val="28"/>
          <w:szCs w:val="28"/>
          <w:rtl/>
        </w:rPr>
        <w:t>ما أثر إدارة المعرفة بأبعادها (اكتساب، مشاركة، تطبيق)  على الالتزام الوظيفي للعاملين في شركة موبيلي؟</w:t>
      </w:r>
    </w:p>
    <w:p w14:paraId="2A4680D5" w14:textId="77777777" w:rsidR="00355BBF" w:rsidRDefault="00355BBF" w:rsidP="00286636">
      <w:pPr>
        <w:bidi/>
        <w:spacing w:line="360" w:lineRule="auto"/>
        <w:rPr>
          <w:rFonts w:ascii="Traditional Arabic" w:hAnsi="Traditional Arabic" w:cs="Traditional Arabic"/>
          <w:b/>
          <w:bCs/>
          <w:sz w:val="32"/>
          <w:szCs w:val="32"/>
          <w:highlight w:val="yellow"/>
          <w:rtl/>
          <w:lang w:val="en-US"/>
        </w:rPr>
      </w:pPr>
    </w:p>
    <w:p w14:paraId="6DC92778" w14:textId="77777777" w:rsidR="00282E46" w:rsidRDefault="00282E46" w:rsidP="00282E46">
      <w:pPr>
        <w:bidi/>
        <w:spacing w:line="360" w:lineRule="auto"/>
        <w:rPr>
          <w:rFonts w:ascii="Traditional Arabic" w:hAnsi="Traditional Arabic" w:cs="Traditional Arabic"/>
          <w:b/>
          <w:bCs/>
          <w:sz w:val="32"/>
          <w:szCs w:val="32"/>
          <w:highlight w:val="yellow"/>
          <w:lang w:val="en-US"/>
        </w:rPr>
      </w:pPr>
    </w:p>
    <w:p w14:paraId="58FC1A5B" w14:textId="77777777" w:rsidR="00286636" w:rsidRPr="00672A58" w:rsidRDefault="00286636" w:rsidP="00355BBF">
      <w:pPr>
        <w:bidi/>
        <w:spacing w:line="360" w:lineRule="auto"/>
        <w:rPr>
          <w:rFonts w:ascii="Traditional Arabic" w:hAnsi="Traditional Arabic" w:cs="Traditional Arabic"/>
          <w:b/>
          <w:bCs/>
          <w:sz w:val="32"/>
          <w:szCs w:val="32"/>
          <w:rtl/>
        </w:rPr>
      </w:pPr>
      <w:r w:rsidRPr="00672A58">
        <w:rPr>
          <w:rFonts w:ascii="Traditional Arabic" w:hAnsi="Traditional Arabic" w:cs="Traditional Arabic"/>
          <w:b/>
          <w:bCs/>
          <w:sz w:val="32"/>
          <w:szCs w:val="32"/>
          <w:rtl/>
        </w:rPr>
        <w:lastRenderedPageBreak/>
        <w:t>أهمية الدراسة</w:t>
      </w:r>
    </w:p>
    <w:p w14:paraId="5A8C0753" w14:textId="77777777" w:rsidR="00282E46" w:rsidRPr="00282E46" w:rsidRDefault="00282E46" w:rsidP="00282E46">
      <w:pPr>
        <w:bidi/>
        <w:spacing w:line="360" w:lineRule="auto"/>
        <w:rPr>
          <w:rFonts w:ascii="Traditional Arabic" w:hAnsi="Traditional Arabic" w:cs="Traditional Arabic"/>
          <w:b/>
          <w:bCs/>
          <w:sz w:val="28"/>
          <w:szCs w:val="28"/>
          <w:lang w:val="en-US"/>
        </w:rPr>
      </w:pPr>
      <w:r w:rsidRPr="00282E46">
        <w:rPr>
          <w:rFonts w:ascii="Traditional Arabic" w:hAnsi="Traditional Arabic" w:cs="Traditional Arabic"/>
          <w:b/>
          <w:bCs/>
          <w:sz w:val="28"/>
          <w:szCs w:val="28"/>
          <w:rtl/>
        </w:rPr>
        <w:t>أولًا: الأهمية النظرية</w:t>
      </w:r>
    </w:p>
    <w:p w14:paraId="4901D511" w14:textId="77777777" w:rsidR="00282E46" w:rsidRDefault="00282E46" w:rsidP="00282E46">
      <w:pPr>
        <w:bidi/>
        <w:spacing w:line="360" w:lineRule="auto"/>
        <w:jc w:val="both"/>
        <w:rPr>
          <w:rFonts w:ascii="Traditional Arabic" w:hAnsi="Traditional Arabic" w:cs="Traditional Arabic"/>
          <w:sz w:val="28"/>
          <w:szCs w:val="28"/>
          <w:rtl/>
          <w:lang w:val="en-US"/>
        </w:rPr>
      </w:pPr>
      <w:r w:rsidRPr="00282E46">
        <w:rPr>
          <w:rFonts w:ascii="Traditional Arabic" w:hAnsi="Traditional Arabic" w:cs="Traditional Arabic"/>
          <w:sz w:val="28"/>
          <w:szCs w:val="28"/>
          <w:rtl/>
        </w:rPr>
        <w:t>تنبع الأهمية النظرية لهذه الدراسة من مساهمتها في إثراء الأدبيات العربية المتخصصة في مجال إدارة المعرفة، ولا سيما في سياق ربط ممارساتها بتحسين أداء العاملين في بيئات العمل الخليجية والعربية عمومًا، والسعودية على وجه الخصوص. فرغم الانتشار الواسع لمفهوم إدارة المعرفة عالميًا، إلا أن التطبيق العربي لا يزال في مرحلة متقدمة من التأسيس، ويعاني من نقص في الأطر البحثية التي تدرس العلاقة بين المعرفة والأداء المؤسسي من منظور شامل ومتكامل. وتأتي أهمية هذه الدراسة لتعويض هذا النقص من خلال تقديم نموذج تطبيقي داخل بيئة الاتصالات السعودية، وهو ما يُعد من المساهمات النظرية التي يمكن أن تكون مرجعًا لدراسات لاحقة في قطاعات مختلفة. وتؤكد الحاجة لمثل هذه الجهود ما أظهرته دراسة أحمد (2020)، التي بيّنت وجود ضعف في عمليات نشر المعرفة وتطبيقها في المؤسسات الصناعية السودانية، مما يشير إلى أن تحديات إدارة المعرفة ليست حكرًا على قطاع أو دولة بعينها، بل تمثل ظاهرة ممتدة في أغلب السياقات العربية</w:t>
      </w:r>
      <w:r w:rsidRPr="00282E46">
        <w:rPr>
          <w:rFonts w:ascii="Traditional Arabic" w:hAnsi="Traditional Arabic" w:cs="Traditional Arabic"/>
          <w:sz w:val="28"/>
          <w:szCs w:val="28"/>
          <w:lang w:val="en-US"/>
        </w:rPr>
        <w:t>.</w:t>
      </w:r>
    </w:p>
    <w:p w14:paraId="6657C5D0" w14:textId="77777777" w:rsidR="00282E46" w:rsidRPr="00282E46" w:rsidRDefault="00282E46" w:rsidP="00282E46">
      <w:pPr>
        <w:bidi/>
        <w:spacing w:line="360" w:lineRule="auto"/>
        <w:jc w:val="both"/>
        <w:rPr>
          <w:rFonts w:ascii="Traditional Arabic" w:hAnsi="Traditional Arabic" w:cs="Traditional Arabic"/>
          <w:sz w:val="28"/>
          <w:szCs w:val="28"/>
          <w:lang w:val="en-US"/>
        </w:rPr>
      </w:pPr>
    </w:p>
    <w:p w14:paraId="504CB832" w14:textId="77777777" w:rsidR="00282E46" w:rsidRPr="00282E46" w:rsidRDefault="00282E46" w:rsidP="00282E46">
      <w:pPr>
        <w:bidi/>
        <w:spacing w:line="360" w:lineRule="auto"/>
        <w:jc w:val="both"/>
        <w:rPr>
          <w:rFonts w:ascii="Traditional Arabic" w:hAnsi="Traditional Arabic" w:cs="Traditional Arabic"/>
          <w:b/>
          <w:bCs/>
          <w:sz w:val="28"/>
          <w:szCs w:val="28"/>
          <w:lang w:val="en-US"/>
        </w:rPr>
      </w:pPr>
      <w:r w:rsidRPr="00282E46">
        <w:rPr>
          <w:rFonts w:ascii="Traditional Arabic" w:hAnsi="Traditional Arabic" w:cs="Traditional Arabic"/>
          <w:b/>
          <w:bCs/>
          <w:sz w:val="28"/>
          <w:szCs w:val="28"/>
          <w:rtl/>
        </w:rPr>
        <w:t>ثانيًا: الأهمية التطبيقية</w:t>
      </w:r>
    </w:p>
    <w:p w14:paraId="2A4324C4" w14:textId="77777777" w:rsidR="00AD0094" w:rsidRPr="00282E46" w:rsidRDefault="00282E46" w:rsidP="00282E46">
      <w:pPr>
        <w:bidi/>
        <w:spacing w:line="360" w:lineRule="auto"/>
        <w:jc w:val="both"/>
        <w:rPr>
          <w:rFonts w:ascii="Traditional Arabic" w:hAnsi="Traditional Arabic" w:cs="Traditional Arabic"/>
          <w:sz w:val="28"/>
          <w:szCs w:val="28"/>
          <w:rtl/>
          <w:lang w:val="en-US" w:bidi="ar-JO"/>
        </w:rPr>
      </w:pPr>
      <w:r w:rsidRPr="00282E46">
        <w:rPr>
          <w:rFonts w:ascii="Traditional Arabic" w:hAnsi="Traditional Arabic" w:cs="Traditional Arabic"/>
          <w:sz w:val="28"/>
          <w:szCs w:val="28"/>
          <w:rtl/>
        </w:rPr>
        <w:t>تتمثل الأهمية التطبيقية لهذه الدراسة في كونها تقدم إطارًا عمليًا قابلاً للتنفيذ يمكن أن يستفيد منه صناع القرار في شركة موبايلي، بهدف تطوير ممارسات إدارة المعرفة بما يعزز الأداء الوظيفي في أبعاده المختلفة، كالكفاءة، والابتكار، ورضا العملاء، والالتزام الوظيفي. كما يمكن أن تسهم مخرجات هذه الدراسة في تحسين آليات تدفق المعرفة داخل بيئة العمل، ومعالجة التحديات المرتبطة بالمشاركة المعرفية، وغياب الثقافة التنظيمية الداعمة، وهي التحديات التي أشار إليها كل من عيد (2021) والأقرع (2020) في دراستهما حول محدودية التدريب وتخصيص الوقت للتعلم. وتكمن أهمية هذا الجانب في أن قطاع الاتصالات يعتمد بدرجة كبيرة على رأس المال المعرفي، وبالتالي فإن تحسين طرق إدارة هذا المورد يمكن أن ينعكس مباشرة على جودة الخدمات المقدمة، ومستوى رضا العملاء، وتحقيق ميزة تنافسية مستدامة</w:t>
      </w:r>
      <w:r w:rsidRPr="00282E46">
        <w:rPr>
          <w:rFonts w:ascii="Traditional Arabic" w:hAnsi="Traditional Arabic" w:cs="Traditional Arabic"/>
          <w:sz w:val="28"/>
          <w:szCs w:val="28"/>
          <w:lang w:val="en-US"/>
        </w:rPr>
        <w:t>.</w:t>
      </w:r>
    </w:p>
    <w:p w14:paraId="6CE63B6E" w14:textId="77777777" w:rsidR="003146FE" w:rsidRDefault="00286636" w:rsidP="003146FE">
      <w:pPr>
        <w:bidi/>
        <w:spacing w:line="360" w:lineRule="auto"/>
        <w:rPr>
          <w:rFonts w:ascii="Traditional Arabic" w:hAnsi="Traditional Arabic" w:cs="Traditional Arabic"/>
          <w:b/>
          <w:bCs/>
          <w:sz w:val="32"/>
          <w:szCs w:val="32"/>
          <w:rtl/>
        </w:rPr>
      </w:pPr>
      <w:r w:rsidRPr="00672A58">
        <w:rPr>
          <w:rFonts w:ascii="Traditional Arabic" w:hAnsi="Traditional Arabic" w:cs="Traditional Arabic"/>
          <w:b/>
          <w:bCs/>
          <w:sz w:val="32"/>
          <w:szCs w:val="32"/>
          <w:rtl/>
        </w:rPr>
        <w:lastRenderedPageBreak/>
        <w:t>أهداف الدراسة</w:t>
      </w:r>
    </w:p>
    <w:p w14:paraId="5782EF0F" w14:textId="77777777" w:rsidR="003146FE" w:rsidRPr="00BC5B38" w:rsidRDefault="003146FE" w:rsidP="003146FE">
      <w:pPr>
        <w:bidi/>
        <w:spacing w:line="360" w:lineRule="auto"/>
        <w:jc w:val="both"/>
        <w:rPr>
          <w:rFonts w:ascii="Traditional Arabic" w:hAnsi="Traditional Arabic" w:cs="Traditional Arabic"/>
          <w:sz w:val="28"/>
          <w:szCs w:val="28"/>
          <w:lang w:val="en-US"/>
        </w:rPr>
      </w:pPr>
      <w:r w:rsidRPr="00BC5B38">
        <w:rPr>
          <w:rFonts w:ascii="Traditional Arabic" w:hAnsi="Traditional Arabic" w:cs="Traditional Arabic"/>
          <w:sz w:val="28"/>
          <w:szCs w:val="28"/>
          <w:rtl/>
        </w:rPr>
        <w:t>تهدف هذه الدراسة إلى استكشاف مدى تطبيق ممارسات إدارة المعرفة في شركة موبايلي من خلال التركيز على أبعادها الثلاثة</w:t>
      </w:r>
      <w:r w:rsidRPr="00BC5B38">
        <w:rPr>
          <w:rFonts w:ascii="Traditional Arabic" w:hAnsi="Traditional Arabic" w:cs="Traditional Arabic"/>
          <w:sz w:val="28"/>
          <w:szCs w:val="28"/>
          <w:lang w:val="en-US"/>
        </w:rPr>
        <w:t xml:space="preserve">: </w:t>
      </w:r>
      <w:r w:rsidRPr="00BC5B38">
        <w:rPr>
          <w:rFonts w:ascii="Traditional Arabic" w:hAnsi="Traditional Arabic" w:cs="Traditional Arabic"/>
          <w:sz w:val="28"/>
          <w:szCs w:val="28"/>
          <w:rtl/>
        </w:rPr>
        <w:t>اكتساب المعرفة، مشاركة المعرفة، وتطبيق المعرفة، وذلك بهدف فهم واقع الممارسات المعرفية داخل بيئة العمل في قطاع الاتصالات السعودي. كما تسعى الدراسة إلى التعرف على مستوى أداء العاملين في شركة موبايلي من خلال أربعة أبعاد رئيسية تمثل مؤشرات جوهرية للأداء الوظيفي، وهي</w:t>
      </w:r>
      <w:r w:rsidRPr="00BC5B38">
        <w:rPr>
          <w:rFonts w:ascii="Traditional Arabic" w:hAnsi="Traditional Arabic" w:cs="Traditional Arabic"/>
          <w:sz w:val="28"/>
          <w:szCs w:val="28"/>
          <w:lang w:val="en-US"/>
        </w:rPr>
        <w:t xml:space="preserve">: </w:t>
      </w:r>
      <w:r w:rsidRPr="00BC5B38">
        <w:rPr>
          <w:rFonts w:ascii="Traditional Arabic" w:hAnsi="Traditional Arabic" w:cs="Traditional Arabic"/>
          <w:sz w:val="28"/>
          <w:szCs w:val="28"/>
          <w:rtl/>
        </w:rPr>
        <w:t>الكفاءة الوظيفية، والابتكار وحل المشكلات، ورضا العملاء، والالتزام الوظيفي</w:t>
      </w:r>
      <w:r w:rsidRPr="00BC5B38">
        <w:rPr>
          <w:rFonts w:ascii="Traditional Arabic" w:hAnsi="Traditional Arabic" w:cs="Traditional Arabic"/>
          <w:sz w:val="28"/>
          <w:szCs w:val="28"/>
          <w:lang w:val="en-US"/>
        </w:rPr>
        <w:t>.</w:t>
      </w:r>
    </w:p>
    <w:p w14:paraId="5519F547" w14:textId="77777777" w:rsidR="003146FE" w:rsidRPr="00BC5B38" w:rsidRDefault="003146FE" w:rsidP="003146FE">
      <w:pPr>
        <w:bidi/>
        <w:spacing w:line="360" w:lineRule="auto"/>
        <w:rPr>
          <w:rFonts w:ascii="Traditional Arabic" w:hAnsi="Traditional Arabic" w:cs="Traditional Arabic"/>
          <w:sz w:val="28"/>
          <w:szCs w:val="28"/>
          <w:rtl/>
          <w:lang w:val="en-US" w:bidi="ar-JO"/>
        </w:rPr>
      </w:pPr>
      <w:r w:rsidRPr="00BC5B38">
        <w:rPr>
          <w:rFonts w:ascii="Traditional Arabic" w:hAnsi="Traditional Arabic" w:cs="Traditional Arabic"/>
          <w:sz w:val="28"/>
          <w:szCs w:val="28"/>
          <w:rtl/>
        </w:rPr>
        <w:t xml:space="preserve">إضافة إلى ذلك، </w:t>
      </w:r>
      <w:r w:rsidRPr="00BC5B38">
        <w:rPr>
          <w:rFonts w:ascii="Traditional Arabic" w:hAnsi="Traditional Arabic" w:cs="Traditional Arabic" w:hint="cs"/>
          <w:sz w:val="28"/>
          <w:szCs w:val="28"/>
          <w:rtl/>
        </w:rPr>
        <w:t>فان الهدف الرئيسي للدراسة هو:</w:t>
      </w:r>
    </w:p>
    <w:p w14:paraId="5FE39509" w14:textId="77777777" w:rsidR="00672A58" w:rsidRPr="00BC5B38" w:rsidRDefault="00672A58" w:rsidP="003146FE">
      <w:pPr>
        <w:pStyle w:val="a5"/>
        <w:numPr>
          <w:ilvl w:val="0"/>
          <w:numId w:val="12"/>
        </w:numPr>
        <w:bidi/>
        <w:spacing w:line="360" w:lineRule="auto"/>
        <w:rPr>
          <w:rFonts w:ascii="Traditional Arabic" w:hAnsi="Traditional Arabic" w:cs="Traditional Arabic"/>
          <w:sz w:val="28"/>
          <w:szCs w:val="28"/>
          <w:rtl/>
        </w:rPr>
      </w:pPr>
      <w:r w:rsidRPr="00BC5B38">
        <w:rPr>
          <w:rFonts w:ascii="Traditional Arabic" w:hAnsi="Traditional Arabic" w:cs="Traditional Arabic"/>
          <w:sz w:val="28"/>
          <w:szCs w:val="28"/>
          <w:rtl/>
        </w:rPr>
        <w:t>تحليل أثر إدارة المعرفة بأبعادها الثلاثة (الاكتساب، المشاركة، التطبيق) على أداء العاملين في شركة موبايلي من خلال أبعاده (الكفاءة، الابتكار، رضا العملاء، الالتزام).</w:t>
      </w:r>
    </w:p>
    <w:p w14:paraId="38D957DB" w14:textId="77777777" w:rsidR="00672A58" w:rsidRPr="00BC5B38" w:rsidRDefault="003146FE" w:rsidP="003146FE">
      <w:pPr>
        <w:bidi/>
        <w:spacing w:line="360" w:lineRule="auto"/>
        <w:rPr>
          <w:rFonts w:ascii="Traditional Arabic" w:hAnsi="Traditional Arabic" w:cs="Traditional Arabic"/>
          <w:sz w:val="28"/>
          <w:szCs w:val="28"/>
          <w:rtl/>
        </w:rPr>
      </w:pPr>
      <w:r w:rsidRPr="00BC5B38">
        <w:rPr>
          <w:rFonts w:ascii="Traditional Arabic" w:hAnsi="Traditional Arabic" w:cs="Traditional Arabic" w:hint="cs"/>
          <w:sz w:val="28"/>
          <w:szCs w:val="28"/>
          <w:rtl/>
        </w:rPr>
        <w:t xml:space="preserve">وينبثق من هذا الهدف الرئيسي </w:t>
      </w:r>
      <w:r w:rsidR="00672A58" w:rsidRPr="00BC5B38">
        <w:rPr>
          <w:rFonts w:ascii="Traditional Arabic" w:hAnsi="Traditional Arabic" w:cs="Traditional Arabic"/>
          <w:sz w:val="28"/>
          <w:szCs w:val="28"/>
          <w:rtl/>
        </w:rPr>
        <w:t xml:space="preserve">الأهداف الفرعية </w:t>
      </w:r>
      <w:r w:rsidRPr="00BC5B38">
        <w:rPr>
          <w:rFonts w:ascii="Traditional Arabic" w:hAnsi="Traditional Arabic" w:cs="Traditional Arabic" w:hint="cs"/>
          <w:sz w:val="28"/>
          <w:szCs w:val="28"/>
          <w:rtl/>
        </w:rPr>
        <w:t>التالية:</w:t>
      </w:r>
    </w:p>
    <w:p w14:paraId="050C4162" w14:textId="008E8A0D" w:rsidR="003146FE" w:rsidRPr="00BC5B38" w:rsidRDefault="003146FE" w:rsidP="003146FE">
      <w:pPr>
        <w:bidi/>
        <w:spacing w:line="360" w:lineRule="auto"/>
        <w:rPr>
          <w:rFonts w:ascii="Traditional Arabic" w:hAnsi="Traditional Arabic" w:cs="Traditional Arabic"/>
          <w:sz w:val="28"/>
          <w:szCs w:val="28"/>
          <w:rtl/>
        </w:rPr>
      </w:pPr>
      <w:r w:rsidRPr="00BC5B38">
        <w:rPr>
          <w:rFonts w:ascii="Traditional Arabic" w:hAnsi="Traditional Arabic" w:cs="Traditional Arabic" w:hint="cs"/>
          <w:sz w:val="28"/>
          <w:szCs w:val="28"/>
          <w:rtl/>
        </w:rPr>
        <w:t>1.1</w:t>
      </w:r>
      <w:r w:rsidR="00672A58" w:rsidRPr="00BC5B38">
        <w:rPr>
          <w:rFonts w:ascii="Traditional Arabic" w:hAnsi="Traditional Arabic" w:cs="Traditional Arabic"/>
          <w:sz w:val="28"/>
          <w:szCs w:val="28"/>
        </w:rPr>
        <w:t xml:space="preserve"> </w:t>
      </w:r>
      <w:r w:rsidR="00672A58" w:rsidRPr="00BC5B38">
        <w:rPr>
          <w:rFonts w:ascii="Traditional Arabic" w:hAnsi="Traditional Arabic" w:cs="Traditional Arabic"/>
          <w:sz w:val="28"/>
          <w:szCs w:val="28"/>
          <w:rtl/>
        </w:rPr>
        <w:t>تحليل أثر إدارة المعرفة على الكفاءة الوظيفية للعاملين في شركة موب</w:t>
      </w:r>
      <w:r w:rsidR="00D22D82">
        <w:rPr>
          <w:rFonts w:ascii="Traditional Arabic" w:hAnsi="Traditional Arabic" w:cs="Traditional Arabic" w:hint="cs"/>
          <w:sz w:val="28"/>
          <w:szCs w:val="28"/>
          <w:rtl/>
        </w:rPr>
        <w:t>ا</w:t>
      </w:r>
      <w:r w:rsidR="00672A58" w:rsidRPr="00BC5B38">
        <w:rPr>
          <w:rFonts w:ascii="Traditional Arabic" w:hAnsi="Traditional Arabic" w:cs="Traditional Arabic"/>
          <w:sz w:val="28"/>
          <w:szCs w:val="28"/>
          <w:rtl/>
        </w:rPr>
        <w:t>يلي</w:t>
      </w:r>
      <w:r w:rsidR="00672A58" w:rsidRPr="00BC5B38">
        <w:rPr>
          <w:rFonts w:ascii="Traditional Arabic" w:hAnsi="Traditional Arabic" w:cs="Traditional Arabic"/>
          <w:sz w:val="28"/>
          <w:szCs w:val="28"/>
        </w:rPr>
        <w:t>.</w:t>
      </w:r>
    </w:p>
    <w:p w14:paraId="4234F164" w14:textId="7752BADC" w:rsidR="00672A58" w:rsidRPr="00BC5B38" w:rsidRDefault="003146FE" w:rsidP="003146FE">
      <w:pPr>
        <w:bidi/>
        <w:spacing w:line="360" w:lineRule="auto"/>
        <w:rPr>
          <w:rFonts w:ascii="Traditional Arabic" w:hAnsi="Traditional Arabic" w:cs="Traditional Arabic"/>
          <w:sz w:val="28"/>
          <w:szCs w:val="28"/>
          <w:rtl/>
        </w:rPr>
      </w:pPr>
      <w:r w:rsidRPr="00BC5B38">
        <w:rPr>
          <w:rFonts w:ascii="Traditional Arabic" w:hAnsi="Traditional Arabic" w:cs="Traditional Arabic" w:hint="cs"/>
          <w:sz w:val="28"/>
          <w:szCs w:val="28"/>
          <w:rtl/>
        </w:rPr>
        <w:t>1.2</w:t>
      </w:r>
      <w:r w:rsidR="00672A58" w:rsidRPr="00BC5B38">
        <w:rPr>
          <w:rFonts w:ascii="Traditional Arabic" w:hAnsi="Traditional Arabic" w:cs="Traditional Arabic"/>
          <w:sz w:val="28"/>
          <w:szCs w:val="28"/>
        </w:rPr>
        <w:t xml:space="preserve">  </w:t>
      </w:r>
      <w:r w:rsidR="00672A58" w:rsidRPr="00BC5B38">
        <w:rPr>
          <w:rFonts w:ascii="Traditional Arabic" w:hAnsi="Traditional Arabic" w:cs="Traditional Arabic"/>
          <w:sz w:val="28"/>
          <w:szCs w:val="28"/>
          <w:rtl/>
        </w:rPr>
        <w:t>تحليل أثر إدارة المعرفة على الابتكار وحل المشكلات لدى العاملين في شركة موب</w:t>
      </w:r>
      <w:r w:rsidR="00D22D82">
        <w:rPr>
          <w:rFonts w:ascii="Traditional Arabic" w:hAnsi="Traditional Arabic" w:cs="Traditional Arabic" w:hint="cs"/>
          <w:sz w:val="28"/>
          <w:szCs w:val="28"/>
          <w:rtl/>
        </w:rPr>
        <w:t>ا</w:t>
      </w:r>
      <w:r w:rsidR="00672A58" w:rsidRPr="00BC5B38">
        <w:rPr>
          <w:rFonts w:ascii="Traditional Arabic" w:hAnsi="Traditional Arabic" w:cs="Traditional Arabic"/>
          <w:sz w:val="28"/>
          <w:szCs w:val="28"/>
          <w:rtl/>
        </w:rPr>
        <w:t>يلي</w:t>
      </w:r>
      <w:r w:rsidR="00672A58" w:rsidRPr="00BC5B38">
        <w:rPr>
          <w:rFonts w:ascii="Traditional Arabic" w:hAnsi="Traditional Arabic" w:cs="Traditional Arabic"/>
          <w:sz w:val="28"/>
          <w:szCs w:val="28"/>
        </w:rPr>
        <w:t>.</w:t>
      </w:r>
    </w:p>
    <w:p w14:paraId="041D6A4A" w14:textId="3BD77539" w:rsidR="003146FE" w:rsidRPr="00BC5B38" w:rsidRDefault="003146FE" w:rsidP="003146FE">
      <w:pPr>
        <w:bidi/>
        <w:spacing w:line="360" w:lineRule="auto"/>
        <w:rPr>
          <w:rFonts w:ascii="Traditional Arabic" w:hAnsi="Traditional Arabic" w:cs="Traditional Arabic"/>
          <w:sz w:val="28"/>
          <w:szCs w:val="28"/>
          <w:rtl/>
        </w:rPr>
      </w:pPr>
      <w:r w:rsidRPr="00BC5B38">
        <w:rPr>
          <w:rFonts w:ascii="Traditional Arabic" w:hAnsi="Traditional Arabic" w:cs="Traditional Arabic" w:hint="cs"/>
          <w:sz w:val="28"/>
          <w:szCs w:val="28"/>
          <w:rtl/>
        </w:rPr>
        <w:t xml:space="preserve">1.3: </w:t>
      </w:r>
      <w:r w:rsidR="00672A58" w:rsidRPr="00BC5B38">
        <w:rPr>
          <w:rFonts w:ascii="Traditional Arabic" w:hAnsi="Traditional Arabic" w:cs="Traditional Arabic"/>
          <w:sz w:val="28"/>
          <w:szCs w:val="28"/>
          <w:rtl/>
        </w:rPr>
        <w:t>تحليل أثر إدارة المعرفة على رضا العملاء لدى شركة موب</w:t>
      </w:r>
      <w:r w:rsidR="00D22D82">
        <w:rPr>
          <w:rFonts w:ascii="Traditional Arabic" w:hAnsi="Traditional Arabic" w:cs="Traditional Arabic" w:hint="cs"/>
          <w:sz w:val="28"/>
          <w:szCs w:val="28"/>
          <w:rtl/>
        </w:rPr>
        <w:t>ا</w:t>
      </w:r>
      <w:r w:rsidR="00672A58" w:rsidRPr="00BC5B38">
        <w:rPr>
          <w:rFonts w:ascii="Traditional Arabic" w:hAnsi="Traditional Arabic" w:cs="Traditional Arabic"/>
          <w:sz w:val="28"/>
          <w:szCs w:val="28"/>
          <w:rtl/>
        </w:rPr>
        <w:t>يلي</w:t>
      </w:r>
      <w:r w:rsidR="00672A58" w:rsidRPr="00BC5B38">
        <w:rPr>
          <w:rFonts w:ascii="Traditional Arabic" w:hAnsi="Traditional Arabic" w:cs="Traditional Arabic"/>
          <w:sz w:val="28"/>
          <w:szCs w:val="28"/>
        </w:rPr>
        <w:t>.</w:t>
      </w:r>
    </w:p>
    <w:p w14:paraId="77834E01" w14:textId="53B8CEEB" w:rsidR="007F6900" w:rsidRPr="00BC5B38" w:rsidRDefault="003146FE" w:rsidP="003146FE">
      <w:pPr>
        <w:bidi/>
        <w:spacing w:line="360" w:lineRule="auto"/>
        <w:rPr>
          <w:rFonts w:ascii="Traditional Arabic" w:hAnsi="Traditional Arabic" w:cs="Traditional Arabic"/>
          <w:sz w:val="28"/>
          <w:szCs w:val="28"/>
          <w:rtl/>
        </w:rPr>
      </w:pPr>
      <w:r w:rsidRPr="00BC5B38">
        <w:rPr>
          <w:rFonts w:ascii="Traditional Arabic" w:hAnsi="Traditional Arabic" w:cs="Traditional Arabic" w:hint="cs"/>
          <w:sz w:val="28"/>
          <w:szCs w:val="28"/>
          <w:rtl/>
        </w:rPr>
        <w:t xml:space="preserve">1.4: </w:t>
      </w:r>
      <w:r w:rsidR="00672A58" w:rsidRPr="00BC5B38">
        <w:rPr>
          <w:rFonts w:ascii="Traditional Arabic" w:hAnsi="Traditional Arabic" w:cs="Traditional Arabic"/>
          <w:sz w:val="28"/>
          <w:szCs w:val="28"/>
          <w:rtl/>
        </w:rPr>
        <w:t>تحليل أثر إدارة المعرفة على الالتزام الوظيفي للعاملين في شركة موب</w:t>
      </w:r>
      <w:r w:rsidR="00D22D82">
        <w:rPr>
          <w:rFonts w:ascii="Traditional Arabic" w:hAnsi="Traditional Arabic" w:cs="Traditional Arabic" w:hint="cs"/>
          <w:sz w:val="28"/>
          <w:szCs w:val="28"/>
          <w:rtl/>
        </w:rPr>
        <w:t>ا</w:t>
      </w:r>
      <w:r w:rsidR="00672A58" w:rsidRPr="00BC5B38">
        <w:rPr>
          <w:rFonts w:ascii="Traditional Arabic" w:hAnsi="Traditional Arabic" w:cs="Traditional Arabic"/>
          <w:sz w:val="28"/>
          <w:szCs w:val="28"/>
          <w:rtl/>
        </w:rPr>
        <w:t>يلي.</w:t>
      </w:r>
    </w:p>
    <w:p w14:paraId="03547441" w14:textId="77777777" w:rsidR="00BC5B38" w:rsidRDefault="00BC5B38" w:rsidP="007F6900">
      <w:pPr>
        <w:bidi/>
        <w:spacing w:line="360" w:lineRule="auto"/>
        <w:rPr>
          <w:rFonts w:ascii="Traditional Arabic" w:hAnsi="Traditional Arabic" w:cs="Traditional Arabic"/>
          <w:b/>
          <w:bCs/>
          <w:sz w:val="32"/>
          <w:szCs w:val="32"/>
          <w:rtl/>
        </w:rPr>
      </w:pPr>
    </w:p>
    <w:p w14:paraId="59FC86B4" w14:textId="77777777" w:rsidR="00BC5B38" w:rsidRDefault="00BC5B38" w:rsidP="00BC5B38">
      <w:pPr>
        <w:bidi/>
        <w:spacing w:line="360" w:lineRule="auto"/>
        <w:rPr>
          <w:rFonts w:ascii="Traditional Arabic" w:hAnsi="Traditional Arabic" w:cs="Traditional Arabic"/>
          <w:b/>
          <w:bCs/>
          <w:sz w:val="32"/>
          <w:szCs w:val="32"/>
          <w:rtl/>
        </w:rPr>
      </w:pPr>
    </w:p>
    <w:p w14:paraId="47C87DDC" w14:textId="77777777" w:rsidR="00BC5B38" w:rsidRDefault="00BC5B38" w:rsidP="00BC5B38">
      <w:pPr>
        <w:bidi/>
        <w:spacing w:line="360" w:lineRule="auto"/>
        <w:rPr>
          <w:rFonts w:ascii="Traditional Arabic" w:hAnsi="Traditional Arabic" w:cs="Traditional Arabic"/>
          <w:b/>
          <w:bCs/>
          <w:sz w:val="32"/>
          <w:szCs w:val="32"/>
          <w:rtl/>
        </w:rPr>
      </w:pPr>
    </w:p>
    <w:p w14:paraId="719142ED" w14:textId="77777777" w:rsidR="00286636" w:rsidRPr="00672A58" w:rsidRDefault="00286636" w:rsidP="00BC5B38">
      <w:pPr>
        <w:bidi/>
        <w:spacing w:line="360" w:lineRule="auto"/>
        <w:rPr>
          <w:rFonts w:ascii="Traditional Arabic" w:hAnsi="Traditional Arabic" w:cs="Traditional Arabic"/>
          <w:b/>
          <w:bCs/>
          <w:sz w:val="32"/>
          <w:szCs w:val="32"/>
          <w:rtl/>
        </w:rPr>
      </w:pPr>
      <w:r w:rsidRPr="00672A58">
        <w:rPr>
          <w:rFonts w:ascii="Traditional Arabic" w:hAnsi="Traditional Arabic" w:cs="Traditional Arabic"/>
          <w:b/>
          <w:bCs/>
          <w:sz w:val="32"/>
          <w:szCs w:val="32"/>
          <w:rtl/>
        </w:rPr>
        <w:lastRenderedPageBreak/>
        <w:t>فرضيات الدراسة</w:t>
      </w:r>
    </w:p>
    <w:p w14:paraId="6CC16E6A" w14:textId="77777777" w:rsidR="00BC5B38" w:rsidRPr="00BC5B38" w:rsidRDefault="00BC5B38" w:rsidP="00BC5B38">
      <w:pPr>
        <w:bidi/>
        <w:spacing w:line="360" w:lineRule="auto"/>
        <w:jc w:val="both"/>
        <w:rPr>
          <w:rFonts w:ascii="Traditional Arabic" w:eastAsia="Calibri" w:hAnsi="Traditional Arabic" w:cs="Traditional Arabic"/>
          <w:sz w:val="28"/>
          <w:szCs w:val="28"/>
          <w:lang w:val="en-US"/>
        </w:rPr>
      </w:pPr>
      <w:r w:rsidRPr="00BC5B38">
        <w:rPr>
          <w:rFonts w:ascii="Traditional Arabic" w:eastAsia="Calibri" w:hAnsi="Traditional Arabic" w:cs="Traditional Arabic"/>
          <w:sz w:val="28"/>
          <w:szCs w:val="28"/>
          <w:rtl/>
        </w:rPr>
        <w:t>استنادًا إلى أهداف الدراسة وتساؤلاتها، تم صياغة الفرضية الرئيسية التالية</w:t>
      </w:r>
      <w:r w:rsidRPr="00BC5B38">
        <w:rPr>
          <w:rFonts w:ascii="Traditional Arabic" w:eastAsia="Calibri" w:hAnsi="Traditional Arabic" w:cs="Traditional Arabic"/>
          <w:sz w:val="28"/>
          <w:szCs w:val="28"/>
        </w:rPr>
        <w:t>:</w:t>
      </w:r>
    </w:p>
    <w:p w14:paraId="53B5BD23" w14:textId="77777777" w:rsidR="00BC5B38" w:rsidRPr="00BC5B38" w:rsidRDefault="00BC5B38" w:rsidP="00BC5B38">
      <w:pPr>
        <w:bidi/>
        <w:spacing w:line="360" w:lineRule="auto"/>
        <w:jc w:val="both"/>
        <w:rPr>
          <w:rFonts w:ascii="Traditional Arabic" w:eastAsia="Calibri" w:hAnsi="Traditional Arabic" w:cs="Traditional Arabic"/>
          <w:sz w:val="28"/>
          <w:szCs w:val="28"/>
          <w:rtl/>
        </w:rPr>
      </w:pPr>
      <w:r>
        <w:rPr>
          <w:rFonts w:ascii="Traditional Arabic" w:eastAsia="Calibri" w:hAnsi="Traditional Arabic" w:cs="Traditional Arabic"/>
          <w:sz w:val="28"/>
          <w:szCs w:val="28"/>
        </w:rPr>
        <w:t xml:space="preserve"> </w:t>
      </w:r>
      <w:r w:rsidRPr="00BC5B38">
        <w:rPr>
          <w:rFonts w:ascii="Traditional Arabic" w:eastAsia="Calibri" w:hAnsi="Traditional Arabic" w:cs="Traditional Arabic"/>
          <w:b/>
          <w:bCs/>
          <w:sz w:val="28"/>
          <w:szCs w:val="28"/>
        </w:rPr>
        <w:t>:H1</w:t>
      </w:r>
      <w:r w:rsidRPr="00BC5B38">
        <w:rPr>
          <w:rFonts w:ascii="Traditional Arabic" w:eastAsia="Calibri" w:hAnsi="Traditional Arabic" w:cs="Traditional Arabic"/>
          <w:sz w:val="28"/>
          <w:szCs w:val="28"/>
          <w:rtl/>
        </w:rPr>
        <w:t>يوجد أثر ذو دلالة إحصائية لممارسات إدارة المعرفة مجتمعة (اكتساب المعرفة، مشاركة المعرفة، تطبيق المعرفة) على أداء العاملين في شركة موبايلي</w:t>
      </w:r>
      <w:r w:rsidRPr="00BC5B38">
        <w:rPr>
          <w:rFonts w:ascii="Traditional Arabic" w:eastAsia="Calibri" w:hAnsi="Traditional Arabic" w:cs="Traditional Arabic"/>
          <w:sz w:val="28"/>
          <w:szCs w:val="28"/>
        </w:rPr>
        <w:t>.</w:t>
      </w:r>
    </w:p>
    <w:p w14:paraId="7E25BF74" w14:textId="77777777" w:rsidR="00BC5B38" w:rsidRPr="00BC5B38" w:rsidRDefault="00BC5B38" w:rsidP="00BC5B38">
      <w:pPr>
        <w:bidi/>
        <w:spacing w:line="360" w:lineRule="auto"/>
        <w:jc w:val="both"/>
        <w:rPr>
          <w:rFonts w:ascii="Traditional Arabic" w:eastAsia="Calibri" w:hAnsi="Traditional Arabic" w:cs="Traditional Arabic"/>
          <w:sz w:val="28"/>
          <w:szCs w:val="28"/>
          <w:rtl/>
        </w:rPr>
      </w:pPr>
    </w:p>
    <w:p w14:paraId="092EB9E2" w14:textId="77777777" w:rsidR="00BC5B38" w:rsidRPr="00BC5B38" w:rsidRDefault="00BC5B38" w:rsidP="00BC5B38">
      <w:pPr>
        <w:bidi/>
        <w:spacing w:line="360" w:lineRule="auto"/>
        <w:jc w:val="both"/>
        <w:rPr>
          <w:rFonts w:ascii="Traditional Arabic" w:eastAsia="Calibri" w:hAnsi="Traditional Arabic" w:cs="Traditional Arabic"/>
          <w:sz w:val="28"/>
          <w:szCs w:val="28"/>
          <w:lang w:val="en-US"/>
        </w:rPr>
      </w:pPr>
      <w:r w:rsidRPr="00BC5B38">
        <w:rPr>
          <w:rFonts w:ascii="Traditional Arabic" w:eastAsia="Calibri" w:hAnsi="Traditional Arabic" w:cs="Traditional Arabic"/>
          <w:sz w:val="28"/>
          <w:szCs w:val="28"/>
          <w:rtl/>
        </w:rPr>
        <w:t>يتفرع عن هذه الفرضية الرئيسية الفرضيات الفرعية التالية</w:t>
      </w:r>
      <w:r w:rsidRPr="00BC5B38">
        <w:rPr>
          <w:rFonts w:ascii="Traditional Arabic" w:eastAsia="Calibri" w:hAnsi="Traditional Arabic" w:cs="Traditional Arabic"/>
          <w:sz w:val="28"/>
          <w:szCs w:val="28"/>
        </w:rPr>
        <w:t>:</w:t>
      </w:r>
    </w:p>
    <w:p w14:paraId="609DC693" w14:textId="77777777" w:rsidR="00BC5B38" w:rsidRPr="00BC5B38" w:rsidRDefault="00BC5B38" w:rsidP="00BC5B38">
      <w:pPr>
        <w:bidi/>
        <w:spacing w:line="360" w:lineRule="auto"/>
        <w:jc w:val="both"/>
        <w:rPr>
          <w:rFonts w:ascii="Traditional Arabic" w:eastAsia="Calibri" w:hAnsi="Traditional Arabic" w:cs="Traditional Arabic"/>
          <w:sz w:val="28"/>
          <w:szCs w:val="28"/>
          <w:lang w:val="en-US"/>
        </w:rPr>
      </w:pPr>
      <w:r>
        <w:rPr>
          <w:rFonts w:ascii="Traditional Arabic" w:eastAsia="Calibri" w:hAnsi="Traditional Arabic" w:cs="Traditional Arabic"/>
          <w:sz w:val="28"/>
          <w:szCs w:val="28"/>
        </w:rPr>
        <w:t xml:space="preserve"> :</w:t>
      </w:r>
      <w:r w:rsidRPr="00BC5B38">
        <w:rPr>
          <w:rFonts w:ascii="Traditional Arabic" w:eastAsia="Calibri" w:hAnsi="Traditional Arabic" w:cs="Traditional Arabic"/>
          <w:sz w:val="28"/>
          <w:szCs w:val="28"/>
        </w:rPr>
        <w:t>H1.1</w:t>
      </w:r>
      <w:r w:rsidRPr="00BC5B38">
        <w:rPr>
          <w:rFonts w:ascii="Traditional Arabic" w:eastAsia="Calibri" w:hAnsi="Traditional Arabic" w:cs="Traditional Arabic"/>
          <w:sz w:val="28"/>
          <w:szCs w:val="28"/>
          <w:rtl/>
        </w:rPr>
        <w:t>يوجد أثر ذو دلالة إحصائية لممارسات إدارة المعرفة مجتمعة (اكتساب، مشاركة، تطبيق) على الكفاءة الوظيفية للعاملين في شركة موبايلي</w:t>
      </w:r>
      <w:r w:rsidRPr="00BC5B38">
        <w:rPr>
          <w:rFonts w:ascii="Traditional Arabic" w:eastAsia="Calibri" w:hAnsi="Traditional Arabic" w:cs="Traditional Arabic"/>
          <w:sz w:val="28"/>
          <w:szCs w:val="28"/>
        </w:rPr>
        <w:t>.</w:t>
      </w:r>
    </w:p>
    <w:p w14:paraId="1FD7ED71" w14:textId="77777777" w:rsidR="00BC5B38" w:rsidRPr="00BC5B38" w:rsidRDefault="00BC5B38" w:rsidP="00BC5B38">
      <w:pPr>
        <w:bidi/>
        <w:spacing w:line="360" w:lineRule="auto"/>
        <w:jc w:val="both"/>
        <w:rPr>
          <w:rFonts w:ascii="Traditional Arabic" w:eastAsia="Calibri" w:hAnsi="Traditional Arabic" w:cs="Traditional Arabic"/>
          <w:sz w:val="28"/>
          <w:szCs w:val="28"/>
          <w:lang w:val="en-US"/>
        </w:rPr>
      </w:pPr>
      <w:r>
        <w:rPr>
          <w:rFonts w:ascii="Traditional Arabic" w:eastAsia="Calibri" w:hAnsi="Traditional Arabic" w:cs="Traditional Arabic"/>
          <w:sz w:val="28"/>
          <w:szCs w:val="28"/>
        </w:rPr>
        <w:t xml:space="preserve"> :</w:t>
      </w:r>
      <w:r w:rsidRPr="00BC5B38">
        <w:rPr>
          <w:rFonts w:ascii="Traditional Arabic" w:eastAsia="Calibri" w:hAnsi="Traditional Arabic" w:cs="Traditional Arabic"/>
          <w:sz w:val="28"/>
          <w:szCs w:val="28"/>
        </w:rPr>
        <w:t>H1.2</w:t>
      </w:r>
      <w:r w:rsidRPr="00BC5B38">
        <w:rPr>
          <w:rFonts w:ascii="Traditional Arabic" w:eastAsia="Calibri" w:hAnsi="Traditional Arabic" w:cs="Traditional Arabic"/>
          <w:sz w:val="28"/>
          <w:szCs w:val="28"/>
          <w:rtl/>
        </w:rPr>
        <w:t>يوجد أثر ذو دلالة إحصائية لممارسات إدارة المعرفة مجتمعة (اكتساب، مشاركة، تطبيق) على الابتكار وحل المشكلات لدى العاملين في شركة موبايلي</w:t>
      </w:r>
      <w:r w:rsidRPr="00BC5B38">
        <w:rPr>
          <w:rFonts w:ascii="Traditional Arabic" w:eastAsia="Calibri" w:hAnsi="Traditional Arabic" w:cs="Traditional Arabic"/>
          <w:sz w:val="28"/>
          <w:szCs w:val="28"/>
        </w:rPr>
        <w:t>.</w:t>
      </w:r>
    </w:p>
    <w:p w14:paraId="39BCBB14" w14:textId="77777777" w:rsidR="00BC5B38" w:rsidRPr="00BC5B38" w:rsidRDefault="00BC5B38" w:rsidP="00BC5B38">
      <w:pPr>
        <w:bidi/>
        <w:spacing w:line="360" w:lineRule="auto"/>
        <w:jc w:val="both"/>
        <w:rPr>
          <w:rFonts w:ascii="Traditional Arabic" w:eastAsia="Calibri" w:hAnsi="Traditional Arabic" w:cs="Traditional Arabic"/>
          <w:sz w:val="28"/>
          <w:szCs w:val="28"/>
          <w:rtl/>
        </w:rPr>
      </w:pPr>
      <w:r>
        <w:rPr>
          <w:rFonts w:ascii="Traditional Arabic" w:eastAsia="Calibri" w:hAnsi="Traditional Arabic" w:cs="Traditional Arabic"/>
          <w:sz w:val="28"/>
          <w:szCs w:val="28"/>
        </w:rPr>
        <w:t>:</w:t>
      </w:r>
      <w:r w:rsidRPr="00BC5B38">
        <w:rPr>
          <w:rFonts w:ascii="Traditional Arabic" w:eastAsia="Calibri" w:hAnsi="Traditional Arabic" w:cs="Traditional Arabic"/>
          <w:sz w:val="28"/>
          <w:szCs w:val="28"/>
        </w:rPr>
        <w:t>H1.3</w:t>
      </w:r>
      <w:r>
        <w:rPr>
          <w:rFonts w:ascii="Traditional Arabic" w:eastAsia="Calibri" w:hAnsi="Traditional Arabic" w:cs="Traditional Arabic" w:hint="cs"/>
          <w:sz w:val="28"/>
          <w:szCs w:val="28"/>
          <w:rtl/>
        </w:rPr>
        <w:t xml:space="preserve"> </w:t>
      </w:r>
      <w:r w:rsidRPr="00BC5B38">
        <w:rPr>
          <w:rFonts w:ascii="Traditional Arabic" w:eastAsia="Calibri" w:hAnsi="Traditional Arabic" w:cs="Traditional Arabic"/>
          <w:sz w:val="28"/>
          <w:szCs w:val="28"/>
          <w:rtl/>
        </w:rPr>
        <w:t>يوجد أثر ذو دلالة إحصائية لممارسات إدارة المعرفة مجتمعة (اكتساب، مشاركة، تطبيق) على رضا العملاء لدى شركة موبايلي</w:t>
      </w:r>
      <w:r w:rsidRPr="00BC5B38">
        <w:rPr>
          <w:rFonts w:ascii="Traditional Arabic" w:eastAsia="Calibri" w:hAnsi="Traditional Arabic" w:cs="Traditional Arabic"/>
          <w:sz w:val="28"/>
          <w:szCs w:val="28"/>
        </w:rPr>
        <w:t>.</w:t>
      </w:r>
    </w:p>
    <w:p w14:paraId="1861BC7E" w14:textId="77777777" w:rsidR="00134C67" w:rsidRDefault="00BC5B38" w:rsidP="00BC5B38">
      <w:pPr>
        <w:bidi/>
        <w:spacing w:line="360" w:lineRule="auto"/>
        <w:jc w:val="both"/>
        <w:rPr>
          <w:rFonts w:ascii="Traditional Arabic" w:eastAsia="Calibri" w:hAnsi="Traditional Arabic" w:cs="Traditional Arabic"/>
          <w:sz w:val="28"/>
          <w:szCs w:val="28"/>
          <w:rtl/>
        </w:rPr>
      </w:pPr>
      <w:r w:rsidRPr="00BC5B38">
        <w:rPr>
          <w:rFonts w:ascii="Traditional Arabic" w:eastAsia="Calibri" w:hAnsi="Traditional Arabic" w:cs="Traditional Arabic"/>
          <w:sz w:val="28"/>
          <w:szCs w:val="28"/>
        </w:rPr>
        <w:t>H1.4</w:t>
      </w:r>
      <w:r w:rsidRPr="00BC5B38">
        <w:rPr>
          <w:rFonts w:ascii="Traditional Arabic" w:eastAsia="Calibri" w:hAnsi="Traditional Arabic" w:cs="Traditional Arabic"/>
          <w:sz w:val="28"/>
          <w:szCs w:val="28"/>
          <w:rtl/>
        </w:rPr>
        <w:t>: يوجد أثر ذو دلالة إحصائية لممارسات إدارة المعرفة مجتمعة (اكتساب، مشاركة، تطبيق) على الالتزام الوظيفي للعاملين في شركة موبايلي.</w:t>
      </w:r>
    </w:p>
    <w:p w14:paraId="7888F986" w14:textId="77777777" w:rsidR="00BC5B38" w:rsidRDefault="00BC5B38" w:rsidP="00BC5B38">
      <w:pPr>
        <w:bidi/>
        <w:spacing w:line="360" w:lineRule="auto"/>
        <w:jc w:val="both"/>
        <w:rPr>
          <w:rFonts w:ascii="Traditional Arabic" w:hAnsi="Traditional Arabic" w:cs="Traditional Arabic"/>
          <w:b/>
          <w:bCs/>
          <w:sz w:val="28"/>
          <w:szCs w:val="28"/>
          <w:highlight w:val="yellow"/>
          <w:rtl/>
          <w:lang w:val="en-US"/>
        </w:rPr>
      </w:pPr>
    </w:p>
    <w:p w14:paraId="39D97C05" w14:textId="77777777" w:rsidR="00BC5B38" w:rsidRDefault="00BC5B38" w:rsidP="00BC5B38">
      <w:pPr>
        <w:bidi/>
        <w:spacing w:line="360" w:lineRule="auto"/>
        <w:jc w:val="both"/>
        <w:rPr>
          <w:rFonts w:ascii="Traditional Arabic" w:hAnsi="Traditional Arabic" w:cs="Traditional Arabic"/>
          <w:b/>
          <w:bCs/>
          <w:sz w:val="28"/>
          <w:szCs w:val="28"/>
          <w:highlight w:val="yellow"/>
          <w:rtl/>
          <w:lang w:val="en-US"/>
        </w:rPr>
      </w:pPr>
    </w:p>
    <w:p w14:paraId="6777ACD9" w14:textId="77777777" w:rsidR="00BC5B38" w:rsidRPr="00355BBF" w:rsidRDefault="00BC5B38" w:rsidP="00BC5B38">
      <w:pPr>
        <w:bidi/>
        <w:spacing w:line="360" w:lineRule="auto"/>
        <w:jc w:val="both"/>
        <w:rPr>
          <w:rFonts w:ascii="Traditional Arabic" w:hAnsi="Traditional Arabic" w:cs="Traditional Arabic"/>
          <w:b/>
          <w:bCs/>
          <w:sz w:val="28"/>
          <w:szCs w:val="28"/>
          <w:highlight w:val="yellow"/>
          <w:rtl/>
          <w:lang w:val="en-US"/>
        </w:rPr>
      </w:pPr>
    </w:p>
    <w:p w14:paraId="752EE349" w14:textId="77777777" w:rsidR="009D6275" w:rsidRPr="00FD6D72" w:rsidRDefault="009D6275" w:rsidP="009D6275">
      <w:pPr>
        <w:bidi/>
        <w:spacing w:line="360" w:lineRule="auto"/>
        <w:rPr>
          <w:rFonts w:ascii="Traditional Arabic" w:hAnsi="Traditional Arabic" w:cs="Traditional Arabic"/>
          <w:b/>
          <w:bCs/>
          <w:sz w:val="32"/>
          <w:szCs w:val="32"/>
          <w:rtl/>
        </w:rPr>
      </w:pPr>
      <w:r w:rsidRPr="00FD6D72">
        <w:rPr>
          <w:rFonts w:ascii="Traditional Arabic" w:hAnsi="Traditional Arabic" w:cs="Traditional Arabic"/>
          <w:b/>
          <w:bCs/>
          <w:sz w:val="32"/>
          <w:szCs w:val="32"/>
          <w:rtl/>
        </w:rPr>
        <w:lastRenderedPageBreak/>
        <w:t>مفاهيم الدراسة</w:t>
      </w:r>
    </w:p>
    <w:p w14:paraId="22D25B49" w14:textId="77777777" w:rsidR="00C56E8B" w:rsidRPr="00FD6D72" w:rsidRDefault="00BC5B38" w:rsidP="00FD6D72">
      <w:pPr>
        <w:bidi/>
        <w:spacing w:line="360" w:lineRule="auto"/>
        <w:rPr>
          <w:rFonts w:ascii="Traditional Arabic" w:hAnsi="Traditional Arabic" w:cs="Traditional Arabic"/>
          <w:sz w:val="28"/>
          <w:szCs w:val="28"/>
          <w:rtl/>
        </w:rPr>
      </w:pPr>
      <w:r>
        <w:rPr>
          <w:rFonts w:ascii="Traditional Arabic" w:hAnsi="Traditional Arabic" w:cs="Traditional Arabic"/>
          <w:sz w:val="28"/>
          <w:szCs w:val="28"/>
          <w:rtl/>
        </w:rPr>
        <w:t>ت</w:t>
      </w:r>
      <w:r w:rsidR="00C56E8B" w:rsidRPr="00FD6D72">
        <w:rPr>
          <w:rFonts w:ascii="Traditional Arabic" w:hAnsi="Traditional Arabic" w:cs="Traditional Arabic"/>
          <w:sz w:val="28"/>
          <w:szCs w:val="28"/>
          <w:rtl/>
        </w:rPr>
        <w:t xml:space="preserve">عد المفاهيم الأساسية المحددة في هذه الدراسة ضرورية لفهم أبعاد البحث وتحليل نتائجه بدقة، وقد تم تحديد التعريف الإجرائي لكل منها بما يتناسب مع سياق </w:t>
      </w:r>
      <w:r w:rsidR="00FD6D72" w:rsidRPr="00FD6D72">
        <w:rPr>
          <w:rFonts w:ascii="Traditional Arabic" w:hAnsi="Traditional Arabic" w:cs="Traditional Arabic" w:hint="cs"/>
          <w:sz w:val="28"/>
          <w:szCs w:val="28"/>
          <w:rtl/>
        </w:rPr>
        <w:t>الدراسة واهدافها</w:t>
      </w:r>
      <w:r w:rsidR="00C56E8B" w:rsidRPr="00FD6D72">
        <w:rPr>
          <w:rFonts w:ascii="Traditional Arabic" w:hAnsi="Traditional Arabic" w:cs="Traditional Arabic"/>
          <w:sz w:val="28"/>
          <w:szCs w:val="28"/>
          <w:rtl/>
        </w:rPr>
        <w:t>. وفيما يلي توضيح لهذه المفاهيم</w:t>
      </w:r>
      <w:r w:rsidR="00C56E8B" w:rsidRPr="00FD6D72">
        <w:rPr>
          <w:rFonts w:ascii="Traditional Arabic" w:hAnsi="Traditional Arabic" w:cs="Traditional Arabic"/>
          <w:sz w:val="28"/>
          <w:szCs w:val="28"/>
        </w:rPr>
        <w:t>:</w:t>
      </w:r>
    </w:p>
    <w:p w14:paraId="7B04CB6B" w14:textId="77777777" w:rsidR="00FD6D72" w:rsidRPr="00FD6D72" w:rsidRDefault="00FD6D72" w:rsidP="00FD6D72">
      <w:pPr>
        <w:pStyle w:val="a5"/>
        <w:numPr>
          <w:ilvl w:val="0"/>
          <w:numId w:val="13"/>
        </w:num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lang w:bidi="ar-AE"/>
        </w:rPr>
      </w:pPr>
      <w:r w:rsidRPr="00FD6D72">
        <w:rPr>
          <w:rFonts w:ascii="Traditional Arabic" w:eastAsia="Times New Roman" w:hAnsi="Traditional Arabic" w:cs="Traditional Arabic"/>
          <w:b/>
          <w:bCs/>
          <w:sz w:val="28"/>
          <w:szCs w:val="28"/>
          <w:rtl/>
        </w:rPr>
        <w:t xml:space="preserve">إدارة المعرفة </w:t>
      </w:r>
      <w:r w:rsidRPr="00FD6D72">
        <w:rPr>
          <w:rFonts w:ascii="Traditional Arabic" w:eastAsia="Times New Roman" w:hAnsi="Traditional Arabic" w:cs="Traditional Arabic"/>
          <w:b/>
          <w:bCs/>
          <w:sz w:val="28"/>
          <w:szCs w:val="28"/>
        </w:rPr>
        <w:t xml:space="preserve"> </w:t>
      </w:r>
    </w:p>
    <w:p w14:paraId="01FCC827" w14:textId="77777777" w:rsidR="00FD6D72" w:rsidRPr="00FD6D72" w:rsidRDefault="00FD6D72" w:rsidP="00BC5B38">
      <w:pPr>
        <w:bidi/>
        <w:spacing w:before="100" w:beforeAutospacing="1" w:after="100" w:afterAutospacing="1" w:line="360" w:lineRule="auto"/>
        <w:jc w:val="both"/>
        <w:outlineLvl w:val="2"/>
        <w:rPr>
          <w:rFonts w:ascii="Traditional Arabic" w:eastAsia="Times New Roman" w:hAnsi="Traditional Arabic" w:cs="Traditional Arabic"/>
          <w:sz w:val="28"/>
          <w:szCs w:val="28"/>
        </w:rPr>
      </w:pPr>
      <w:r w:rsidRPr="00FD6D72">
        <w:rPr>
          <w:rFonts w:ascii="Traditional Arabic" w:eastAsia="Times New Roman" w:hAnsi="Traditional Arabic" w:cs="Traditional Arabic"/>
          <w:sz w:val="28"/>
          <w:szCs w:val="28"/>
          <w:rtl/>
        </w:rPr>
        <w:t>التعريف الاصطلاحي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lang w:bidi="ar-AE"/>
        </w:rPr>
        <w:t xml:space="preserve"> </w:t>
      </w:r>
      <w:r w:rsidRPr="00FD6D72">
        <w:rPr>
          <w:rFonts w:ascii="Traditional Arabic" w:eastAsia="Times New Roman" w:hAnsi="Traditional Arabic" w:cs="Traditional Arabic"/>
          <w:sz w:val="28"/>
          <w:szCs w:val="28"/>
          <w:rtl/>
        </w:rPr>
        <w:t xml:space="preserve">إدارة المعرفة هي مجموعة من العمليات التنظيمية التي تهدف إلى اكتساب المعرفة وتخزينها ومشاركتها وتطبيقها داخل المؤسسة، بما يسهم في دعم اتخاذ القرار وتحسين الأداء العام للعاملين والمؤسسة </w:t>
      </w:r>
      <w:r w:rsidRPr="00FD6D72">
        <w:rPr>
          <w:rFonts w:ascii="Traditional Arabic" w:eastAsia="Times New Roman" w:hAnsi="Traditional Arabic" w:cs="Traditional Arabic"/>
          <w:sz w:val="28"/>
          <w:szCs w:val="28"/>
        </w:rPr>
        <w:t>Palupiningtyas et al. 2024)</w:t>
      </w:r>
      <w:r w:rsidR="00BC5B38">
        <w:rPr>
          <w:rFonts w:ascii="Traditional Arabic" w:eastAsia="Times New Roman" w:hAnsi="Traditional Arabic" w:cs="Traditional Arabic" w:hint="cs"/>
          <w:sz w:val="28"/>
          <w:szCs w:val="28"/>
          <w:rtl/>
        </w:rPr>
        <w:t>)</w:t>
      </w:r>
      <w:r w:rsidRPr="00FD6D72">
        <w:rPr>
          <w:rFonts w:ascii="Traditional Arabic" w:eastAsia="Times New Roman" w:hAnsi="Traditional Arabic" w:cs="Traditional Arabic"/>
          <w:sz w:val="28"/>
          <w:szCs w:val="28"/>
          <w:rtl/>
        </w:rPr>
        <w:t>.</w:t>
      </w:r>
    </w:p>
    <w:p w14:paraId="59973272" w14:textId="77777777" w:rsidR="00FD6D72" w:rsidRPr="00FD6D72" w:rsidRDefault="00FD6D72" w:rsidP="00FD6D72">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الإجرائي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lang w:bidi="ar-AE"/>
        </w:rPr>
        <w:t xml:space="preserve"> </w:t>
      </w:r>
      <w:r w:rsidRPr="00FD6D72">
        <w:rPr>
          <w:rFonts w:ascii="Traditional Arabic" w:eastAsia="Times New Roman" w:hAnsi="Traditional Arabic" w:cs="Traditional Arabic"/>
          <w:sz w:val="28"/>
          <w:szCs w:val="28"/>
          <w:rtl/>
        </w:rPr>
        <w:t>في هذه الدراسة، تُقاس إدارة المعرفة بأبعادها الثلاثة (اكتساب المعرفة، مشاركة المعرفة، تطبيق المعرفة) من خلال استبانة موجهة للعاملين في شركة موبيلي، بهدف قياس مدى ممارستهم لهذه الأبعاد في بيئة العمل</w:t>
      </w:r>
      <w:r w:rsidRPr="00FD6D72">
        <w:rPr>
          <w:rFonts w:ascii="Traditional Arabic" w:eastAsia="Times New Roman" w:hAnsi="Traditional Arabic" w:cs="Traditional Arabic"/>
          <w:sz w:val="28"/>
          <w:szCs w:val="28"/>
        </w:rPr>
        <w:t>.</w:t>
      </w:r>
    </w:p>
    <w:p w14:paraId="187714B0" w14:textId="77777777" w:rsidR="00FD6D72" w:rsidRPr="00FD6D72" w:rsidRDefault="00FD6D72" w:rsidP="00BC5B38">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b/>
          <w:bCs/>
          <w:sz w:val="28"/>
          <w:szCs w:val="28"/>
        </w:rPr>
      </w:pPr>
      <w:r w:rsidRPr="00FD6D72">
        <w:rPr>
          <w:rFonts w:ascii="Traditional Arabic" w:eastAsia="Times New Roman" w:hAnsi="Traditional Arabic" w:cs="Traditional Arabic"/>
          <w:b/>
          <w:bCs/>
          <w:sz w:val="28"/>
          <w:szCs w:val="28"/>
          <w:rtl/>
        </w:rPr>
        <w:t>اكتساب المعرفة</w:t>
      </w:r>
      <w:r w:rsidRPr="00FD6D72">
        <w:rPr>
          <w:rFonts w:ascii="Traditional Arabic" w:eastAsia="Times New Roman" w:hAnsi="Traditional Arabic" w:cs="Traditional Arabic"/>
          <w:b/>
          <w:bCs/>
          <w:sz w:val="28"/>
          <w:szCs w:val="28"/>
        </w:rPr>
        <w:t xml:space="preserve"> </w:t>
      </w:r>
    </w:p>
    <w:p w14:paraId="2B61632E" w14:textId="77777777" w:rsidR="00BC5B38" w:rsidRDefault="00BC5B38" w:rsidP="00BC5B38">
      <w:pPr>
        <w:bidi/>
        <w:spacing w:before="100" w:beforeAutospacing="1" w:after="100" w:afterAutospacing="1" w:line="360" w:lineRule="auto"/>
        <w:outlineLvl w:val="3"/>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يشير اكتساب المعرفة إلى العمليات التي يتم من خلالها الحصول على المعلومات والخبرات والمعارف من مصادر داخلية وخارجية، بهدف دعم أنشطة المنظمة وتطويرها. ويشمل ذلك التعلّم من التجارب السابقة، والاستفادة من الخبرات المتراكمة، والتفاعل مع البيئة المحيطة من خلال التدريب أو الشراكات أو استخدام التكنولوجيا (</w:t>
      </w:r>
      <w:r w:rsidRPr="00BC5B38">
        <w:rPr>
          <w:rFonts w:ascii="Traditional Arabic" w:eastAsia="Times New Roman" w:hAnsi="Traditional Arabic" w:cs="Traditional Arabic"/>
          <w:sz w:val="28"/>
          <w:szCs w:val="28"/>
        </w:rPr>
        <w:t>Alyoubi et al., 2018</w:t>
      </w:r>
      <w:r w:rsidRPr="00BC5B38">
        <w:rPr>
          <w:rFonts w:ascii="Traditional Arabic" w:eastAsia="Times New Roman" w:hAnsi="Traditional Arabic" w:cs="Traditional Arabic"/>
          <w:sz w:val="28"/>
          <w:szCs w:val="28"/>
          <w:rtl/>
        </w:rPr>
        <w:t>). ويُعد هذا البعد من أهم عناصر إدارة المعرفة، إذ يُمثل المرحلة الأولى في بناء قاعدة معرفية تُمكّن المنظمة من تحسين أدائها ومواكبة التغيرات.</w:t>
      </w:r>
    </w:p>
    <w:p w14:paraId="52269AE0" w14:textId="77777777" w:rsidR="00FD6D72" w:rsidRDefault="00FD6D72" w:rsidP="00BC5B38">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الإجرائي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rPr>
        <w:t xml:space="preserve"> يقصد به مدى قدرة شركة موبايلي على الحصول على المعرفة والمعلومات من مصادر متنوعة، وتضمينها ضمن سياساتها وخططها. ويتم قياسها من خلال فقرات تتعلق بمصادر المعرفة، التحديث المستمر، والتعلم المؤسسي</w:t>
      </w:r>
      <w:r w:rsidRPr="00FD6D72">
        <w:rPr>
          <w:rFonts w:ascii="Traditional Arabic" w:eastAsia="Times New Roman" w:hAnsi="Traditional Arabic" w:cs="Traditional Arabic"/>
          <w:sz w:val="28"/>
          <w:szCs w:val="28"/>
        </w:rPr>
        <w:t>.</w:t>
      </w:r>
    </w:p>
    <w:p w14:paraId="2E1061F0" w14:textId="77777777" w:rsidR="00FD6D72" w:rsidRDefault="00FD6D72" w:rsidP="00FD6D72">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p>
    <w:p w14:paraId="4589F081" w14:textId="77777777" w:rsidR="00FD6D72" w:rsidRPr="00FD6D72" w:rsidRDefault="00FD6D72" w:rsidP="00FD6D72">
      <w:pPr>
        <w:bidi/>
        <w:spacing w:before="100" w:beforeAutospacing="1" w:after="100" w:afterAutospacing="1" w:line="360" w:lineRule="auto"/>
        <w:jc w:val="both"/>
        <w:outlineLvl w:val="3"/>
        <w:rPr>
          <w:rFonts w:ascii="Traditional Arabic" w:eastAsia="Times New Roman" w:hAnsi="Traditional Arabic" w:cs="Traditional Arabic"/>
          <w:sz w:val="28"/>
          <w:szCs w:val="28"/>
          <w:rtl/>
          <w:lang w:bidi="ar-AE"/>
        </w:rPr>
      </w:pPr>
    </w:p>
    <w:p w14:paraId="57DC672B" w14:textId="77777777" w:rsidR="00FD6D72" w:rsidRPr="00FD6D72" w:rsidRDefault="00FD6D72" w:rsidP="00FD6D72">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lang w:bidi="ar-AE"/>
        </w:rPr>
      </w:pPr>
      <w:r w:rsidRPr="00FD6D72">
        <w:rPr>
          <w:rFonts w:ascii="Traditional Arabic" w:eastAsia="Times New Roman" w:hAnsi="Traditional Arabic" w:cs="Traditional Arabic"/>
          <w:b/>
          <w:bCs/>
          <w:sz w:val="28"/>
          <w:szCs w:val="28"/>
          <w:rtl/>
        </w:rPr>
        <w:t>مشاركة المعرفة</w:t>
      </w:r>
    </w:p>
    <w:p w14:paraId="3D6EC273" w14:textId="77777777" w:rsidR="00BC5B38" w:rsidRDefault="00BC5B38" w:rsidP="00BC5B38">
      <w:pPr>
        <w:bidi/>
        <w:spacing w:before="100" w:beforeAutospacing="1" w:after="100" w:afterAutospacing="1" w:line="360" w:lineRule="auto"/>
        <w:outlineLvl w:val="3"/>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تعني مشاركة المعرفة الجهود التي يبذلها الأفراد داخل المؤسسة لتبادل المعلومات والخبرات والأفكار بشكل طوعي ومنتظم، بهدف تحسين العمليات واتخاذ قرارات أفضل. وتتمثل المشاركة الفعالة في بناء بيئة تشجع على التعاون والانفتاح والثقة بين الموظفين (</w:t>
      </w:r>
      <w:r w:rsidRPr="00BC5B38">
        <w:rPr>
          <w:rFonts w:ascii="Traditional Arabic" w:eastAsia="Times New Roman" w:hAnsi="Traditional Arabic" w:cs="Traditional Arabic"/>
          <w:sz w:val="28"/>
          <w:szCs w:val="28"/>
        </w:rPr>
        <w:t>Swanson et al., 2020</w:t>
      </w:r>
      <w:r w:rsidRPr="00BC5B38">
        <w:rPr>
          <w:rFonts w:ascii="Traditional Arabic" w:eastAsia="Times New Roman" w:hAnsi="Traditional Arabic" w:cs="Traditional Arabic"/>
          <w:sz w:val="28"/>
          <w:szCs w:val="28"/>
          <w:rtl/>
        </w:rPr>
        <w:t>)، كما تساهم في تحويل المعرفة الفردية إلى معرفة تنظيمية يمكن للجميع الاستفادة منها. وقد أظهرت دراسة الأقرع (2020) أهمية تخصيص الوقت والموارد الكافية لتسهيل هذا النوع من التبادل داخل المؤسسات الحكومية.</w:t>
      </w:r>
    </w:p>
    <w:p w14:paraId="5D2689D8" w14:textId="77777777" w:rsidR="00FD6D72" w:rsidRPr="00FD6D72" w:rsidRDefault="00FD6D72" w:rsidP="00BC5B38">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الإجرائي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rPr>
        <w:t xml:space="preserve"> يقصد بها مدى استعداد العاملين في شركة موبايلي لتبادل المعارف والمعلومات والخبرات مع زملائهم، ويُقاس عبر بنود تتعلق بروح التعاون، وفتح قنوات التواصل، وتشجيع تبادل المعرفة في بيئة العمل</w:t>
      </w:r>
      <w:r w:rsidRPr="00FD6D72">
        <w:rPr>
          <w:rFonts w:ascii="Traditional Arabic" w:eastAsia="Times New Roman" w:hAnsi="Traditional Arabic" w:cs="Traditional Arabic"/>
          <w:sz w:val="28"/>
          <w:szCs w:val="28"/>
        </w:rPr>
        <w:t>.</w:t>
      </w:r>
    </w:p>
    <w:p w14:paraId="2A831C08" w14:textId="77777777" w:rsidR="00FD6D72" w:rsidRPr="00FD6D72" w:rsidRDefault="00FD6D72" w:rsidP="00BC5B38">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b/>
          <w:bCs/>
          <w:sz w:val="28"/>
          <w:szCs w:val="28"/>
        </w:rPr>
      </w:pPr>
      <w:r w:rsidRPr="00FD6D72">
        <w:rPr>
          <w:rFonts w:ascii="Traditional Arabic" w:eastAsia="Times New Roman" w:hAnsi="Traditional Arabic" w:cs="Traditional Arabic"/>
          <w:b/>
          <w:bCs/>
          <w:sz w:val="28"/>
          <w:szCs w:val="28"/>
          <w:rtl/>
        </w:rPr>
        <w:t>تطبيق المعرفة</w:t>
      </w:r>
      <w:r w:rsidRPr="00FD6D72">
        <w:rPr>
          <w:rFonts w:ascii="Traditional Arabic" w:eastAsia="Times New Roman" w:hAnsi="Traditional Arabic" w:cs="Traditional Arabic"/>
          <w:b/>
          <w:bCs/>
          <w:sz w:val="28"/>
          <w:szCs w:val="28"/>
        </w:rPr>
        <w:t xml:space="preserve"> </w:t>
      </w:r>
    </w:p>
    <w:p w14:paraId="02D71C5A" w14:textId="77777777" w:rsidR="00BC5B38" w:rsidRDefault="00BC5B38" w:rsidP="00BC5B38">
      <w:pPr>
        <w:bidi/>
        <w:spacing w:before="100" w:beforeAutospacing="1" w:after="100" w:afterAutospacing="1" w:line="360" w:lineRule="auto"/>
        <w:outlineLvl w:val="3"/>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يقصد بتطبيق المعرفة القدرة على استخدام المعارف المكتسبة في تنفيذ المهام، وحل المشكلات، واتخاذ قرارات فعالة، وتحقيق أهداف العمل. ويعد هذا البعد من أكثر أبعاد إدارة المعرفة ارتباطًا بالأداء العملي للموظفين، حيث يعكس مدى ترجمة المعرفة النظرية إلى ممارسات واقعية ملموسة (</w:t>
      </w:r>
      <w:r w:rsidRPr="00BC5B38">
        <w:rPr>
          <w:rFonts w:ascii="Traditional Arabic" w:eastAsia="Times New Roman" w:hAnsi="Traditional Arabic" w:cs="Traditional Arabic"/>
          <w:sz w:val="28"/>
          <w:szCs w:val="28"/>
        </w:rPr>
        <w:t>Pelealu, 2022</w:t>
      </w:r>
      <w:r w:rsidRPr="00BC5B38">
        <w:rPr>
          <w:rFonts w:ascii="Traditional Arabic" w:eastAsia="Times New Roman" w:hAnsi="Traditional Arabic" w:cs="Traditional Arabic"/>
          <w:sz w:val="28"/>
          <w:szCs w:val="28"/>
          <w:rtl/>
        </w:rPr>
        <w:t>؛ عيد، 2021). فالمعرفة إن لم تُطبق وتُستخدم بكفاءة، تبقى مجرد معلومات غير مستثمرة، ما يحدّ من أثرها على التطوير المؤسسي.</w:t>
      </w:r>
    </w:p>
    <w:p w14:paraId="11675A14" w14:textId="77777777" w:rsidR="00FD6D72" w:rsidRPr="00FD6D72" w:rsidRDefault="00FD6D72" w:rsidP="00BC5B38">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الإجرائي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rPr>
        <w:t xml:space="preserve"> يقصد به مدى قدرة موظفي موبايلي على استخدام المعرفة المكتسبة أو المتوفرة في تحسين الأداء، حل المشكلات، تطوير الخدمات، ويُقاس من خلال فقرات تتناول قدرة الموظف على الاستفادة من المعرفة عمليًا</w:t>
      </w:r>
      <w:r w:rsidRPr="00FD6D72">
        <w:rPr>
          <w:rFonts w:ascii="Traditional Arabic" w:eastAsia="Times New Roman" w:hAnsi="Traditional Arabic" w:cs="Traditional Arabic"/>
          <w:sz w:val="28"/>
          <w:szCs w:val="28"/>
        </w:rPr>
        <w:t>.</w:t>
      </w:r>
    </w:p>
    <w:p w14:paraId="44F75948" w14:textId="77777777" w:rsidR="00FD6D72" w:rsidRPr="00FD6D72" w:rsidRDefault="00FD6D72" w:rsidP="00FD6D72">
      <w:pPr>
        <w:pStyle w:val="a5"/>
        <w:numPr>
          <w:ilvl w:val="0"/>
          <w:numId w:val="13"/>
        </w:numPr>
        <w:bidi/>
        <w:spacing w:after="0" w:line="360" w:lineRule="auto"/>
        <w:jc w:val="both"/>
        <w:rPr>
          <w:rFonts w:ascii="Traditional Arabic" w:eastAsia="Times New Roman" w:hAnsi="Traditional Arabic" w:cs="Traditional Arabic"/>
          <w:b/>
          <w:bCs/>
          <w:sz w:val="28"/>
          <w:szCs w:val="28"/>
        </w:rPr>
      </w:pPr>
      <w:r w:rsidRPr="00FD6D72">
        <w:rPr>
          <w:rFonts w:ascii="Traditional Arabic" w:eastAsia="Times New Roman" w:hAnsi="Traditional Arabic" w:cs="Traditional Arabic"/>
          <w:b/>
          <w:bCs/>
          <w:sz w:val="28"/>
          <w:szCs w:val="28"/>
          <w:rtl/>
        </w:rPr>
        <w:t>أداء العاملين</w:t>
      </w:r>
    </w:p>
    <w:p w14:paraId="6028E97C" w14:textId="77777777" w:rsidR="00FD6D72" w:rsidRPr="00FD6D72" w:rsidRDefault="00FD6D72" w:rsidP="00BC5B38">
      <w:pPr>
        <w:bidi/>
        <w:spacing w:before="100" w:beforeAutospacing="1" w:after="100" w:afterAutospacing="1" w:line="360" w:lineRule="auto"/>
        <w:jc w:val="both"/>
        <w:outlineLvl w:val="3"/>
        <w:rPr>
          <w:rFonts w:ascii="Traditional Arabic" w:eastAsia="Times New Roman" w:hAnsi="Traditional Arabic" w:cs="Traditional Arabic"/>
          <w:sz w:val="28"/>
          <w:szCs w:val="28"/>
          <w:rtl/>
          <w:lang w:bidi="ar-AE"/>
        </w:rPr>
      </w:pPr>
      <w:r w:rsidRPr="00FD6D72">
        <w:rPr>
          <w:rFonts w:ascii="Traditional Arabic" w:eastAsia="Times New Roman" w:hAnsi="Traditional Arabic" w:cs="Traditional Arabic"/>
          <w:sz w:val="28"/>
          <w:szCs w:val="28"/>
          <w:rtl/>
        </w:rPr>
        <w:lastRenderedPageBreak/>
        <w:t>التعريف الاصطلاحي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lang w:bidi="ar-AE"/>
        </w:rPr>
        <w:t xml:space="preserve"> </w:t>
      </w:r>
      <w:r w:rsidRPr="00FD6D72">
        <w:rPr>
          <w:rFonts w:ascii="Traditional Arabic" w:eastAsia="Times New Roman" w:hAnsi="Traditional Arabic" w:cs="Traditional Arabic"/>
          <w:sz w:val="28"/>
          <w:szCs w:val="28"/>
          <w:rtl/>
        </w:rPr>
        <w:t>يعرف أداء العاملين بأنه مستوى كفاءة الفرد في تنفيذ مهامه وفق المعايير المطلوبة، ويشمل مجموعة من الأبعاد مثل الكفاءة، الإبداع، رضا العملاء، والالتزام الوظيفي</w:t>
      </w:r>
      <w:r w:rsidR="00BC5B38">
        <w:rPr>
          <w:rFonts w:ascii="Traditional Arabic" w:eastAsia="Times New Roman" w:hAnsi="Traditional Arabic" w:cs="Traditional Arabic" w:hint="cs"/>
          <w:sz w:val="28"/>
          <w:szCs w:val="28"/>
          <w:rtl/>
        </w:rPr>
        <w:t xml:space="preserve"> حسب </w:t>
      </w:r>
      <w:r w:rsidRPr="00FD6D72">
        <w:rPr>
          <w:rFonts w:ascii="Traditional Arabic" w:eastAsia="Times New Roman" w:hAnsi="Traditional Arabic" w:cs="Traditional Arabic"/>
          <w:sz w:val="28"/>
          <w:szCs w:val="28"/>
        </w:rPr>
        <w:t>.Tamsah et al. (2023)</w:t>
      </w:r>
    </w:p>
    <w:p w14:paraId="1C921B15" w14:textId="77777777" w:rsidR="00FD6D72" w:rsidRPr="00FD6D72" w:rsidRDefault="00FD6D72" w:rsidP="00FD6D72">
      <w:pPr>
        <w:bidi/>
        <w:spacing w:before="100" w:beforeAutospacing="1" w:after="100" w:afterAutospacing="1" w:line="360" w:lineRule="auto"/>
        <w:jc w:val="both"/>
        <w:outlineLvl w:val="3"/>
        <w:rPr>
          <w:rFonts w:ascii="Traditional Arabic" w:eastAsia="Times New Roman" w:hAnsi="Traditional Arabic" w:cs="Traditional Arabic"/>
          <w:sz w:val="28"/>
          <w:szCs w:val="28"/>
        </w:rPr>
      </w:pPr>
      <w:r w:rsidRPr="00FD6D72">
        <w:rPr>
          <w:rFonts w:ascii="Traditional Arabic" w:eastAsia="Times New Roman" w:hAnsi="Traditional Arabic" w:cs="Traditional Arabic"/>
          <w:sz w:val="28"/>
          <w:szCs w:val="28"/>
          <w:rtl/>
        </w:rPr>
        <w:t>التعريف الإجرائي</w:t>
      </w:r>
      <w:r w:rsidRPr="00FD6D72">
        <w:rPr>
          <w:rFonts w:ascii="Traditional Arabic" w:eastAsia="Times New Roman" w:hAnsi="Traditional Arabic" w:cs="Traditional Arabic"/>
          <w:sz w:val="28"/>
          <w:szCs w:val="28"/>
        </w:rPr>
        <w:t>:</w:t>
      </w:r>
      <w:r w:rsidRPr="00FD6D72">
        <w:rPr>
          <w:rFonts w:ascii="Traditional Arabic" w:eastAsia="Times New Roman" w:hAnsi="Traditional Arabic" w:cs="Traditional Arabic"/>
          <w:sz w:val="28"/>
          <w:szCs w:val="28"/>
          <w:rtl/>
          <w:lang w:bidi="ar-AE"/>
        </w:rPr>
        <w:t xml:space="preserve"> </w:t>
      </w:r>
      <w:r w:rsidRPr="00FD6D72">
        <w:rPr>
          <w:rFonts w:ascii="Traditional Arabic" w:eastAsia="Times New Roman" w:hAnsi="Traditional Arabic" w:cs="Traditional Arabic"/>
          <w:sz w:val="28"/>
          <w:szCs w:val="28"/>
          <w:rtl/>
        </w:rPr>
        <w:t>في هذه الدراسة، يُقاس أداء العاملين في شركة موبيلي من خلال أربعة أبعاد: (الكفاءة الوظيفية، الابتكار وحل المشكلات، رضا العملاء، الالتزام الوظيفي)، باستخدام مقياس ليكرت خماسي لقياس مستوى إدراك الموظفين لأدائهم</w:t>
      </w:r>
      <w:r w:rsidRPr="00FD6D72">
        <w:rPr>
          <w:rFonts w:ascii="Traditional Arabic" w:eastAsia="Times New Roman" w:hAnsi="Traditional Arabic" w:cs="Traditional Arabic"/>
          <w:sz w:val="28"/>
          <w:szCs w:val="28"/>
        </w:rPr>
        <w:t>.</w:t>
      </w:r>
    </w:p>
    <w:p w14:paraId="2C25B0B9" w14:textId="77777777" w:rsidR="00FD6D72" w:rsidRPr="00FD6D72" w:rsidRDefault="00FD6D72" w:rsidP="00FD6D72">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b/>
          <w:bCs/>
          <w:sz w:val="28"/>
          <w:szCs w:val="28"/>
          <w:rtl/>
        </w:rPr>
        <w:t>الكفاءة الوظيفية</w:t>
      </w:r>
      <w:r w:rsidRPr="00FD6D72">
        <w:rPr>
          <w:rFonts w:ascii="Traditional Arabic" w:eastAsia="Times New Roman" w:hAnsi="Traditional Arabic" w:cs="Traditional Arabic"/>
          <w:b/>
          <w:bCs/>
          <w:sz w:val="28"/>
          <w:szCs w:val="28"/>
        </w:rPr>
        <w:t xml:space="preserve"> </w:t>
      </w:r>
    </w:p>
    <w:p w14:paraId="3CF9769C" w14:textId="77777777" w:rsidR="00BC5B38" w:rsidRDefault="00BC5B38" w:rsidP="00BC5B38">
      <w:pPr>
        <w:bidi/>
        <w:spacing w:before="100" w:beforeAutospacing="1" w:after="100" w:afterAutospacing="1" w:line="360" w:lineRule="auto"/>
        <w:outlineLvl w:val="3"/>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تشير الكفاءة الوظيفية إلى قدرة الموظف على أداء المهام الموكلة إليه بدقة عالية، وإنتاجية متزايدة، ضمن الإطار الزمني المحدد، مع الاستخدام الأمثل للموارد المتاحة (</w:t>
      </w:r>
      <w:r w:rsidRPr="00BC5B38">
        <w:rPr>
          <w:rFonts w:ascii="Traditional Arabic" w:eastAsia="Times New Roman" w:hAnsi="Traditional Arabic" w:cs="Traditional Arabic"/>
          <w:sz w:val="28"/>
          <w:szCs w:val="28"/>
        </w:rPr>
        <w:t>Alyoubi et al., 2018</w:t>
      </w:r>
      <w:r w:rsidRPr="00BC5B38">
        <w:rPr>
          <w:rFonts w:ascii="Traditional Arabic" w:eastAsia="Times New Roman" w:hAnsi="Traditional Arabic" w:cs="Traditional Arabic"/>
          <w:sz w:val="28"/>
          <w:szCs w:val="28"/>
          <w:rtl/>
        </w:rPr>
        <w:t>). وتُعد الكفاءة معيارًا أساسيًا لقياس فعالية الأداء في المؤسسات، حيث تركز على جودة الإنجاز وسرعته، مما يسهم في تحقيق أهداف المنظمة بشكل فعال.</w:t>
      </w:r>
    </w:p>
    <w:p w14:paraId="49480A80" w14:textId="77777777" w:rsidR="00FD6D72" w:rsidRPr="00C33CF6" w:rsidRDefault="00FD6D72" w:rsidP="00C33CF6">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الاجرائي: تقاس من خلال فقرات تستهدف دقة الإنجاز، الإنتاجية، القدرة على إنجاز المهام في الوقت المحدد، وحسن استخدام الموارد</w:t>
      </w:r>
      <w:r w:rsidRPr="00FD6D72">
        <w:rPr>
          <w:rFonts w:ascii="Traditional Arabic" w:eastAsia="Times New Roman" w:hAnsi="Traditional Arabic" w:cs="Traditional Arabic"/>
          <w:sz w:val="28"/>
          <w:szCs w:val="28"/>
        </w:rPr>
        <w:t>.</w:t>
      </w:r>
    </w:p>
    <w:p w14:paraId="6BC7A371" w14:textId="77777777" w:rsidR="00FD6D72" w:rsidRPr="00FD6D72" w:rsidRDefault="00FD6D72" w:rsidP="00FD6D72">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sz w:val="28"/>
          <w:szCs w:val="28"/>
        </w:rPr>
      </w:pPr>
      <w:r w:rsidRPr="00FD6D72">
        <w:rPr>
          <w:rFonts w:ascii="Traditional Arabic" w:eastAsia="Times New Roman" w:hAnsi="Traditional Arabic" w:cs="Traditional Arabic" w:hint="cs"/>
          <w:b/>
          <w:bCs/>
          <w:sz w:val="28"/>
          <w:szCs w:val="28"/>
          <w:rtl/>
        </w:rPr>
        <w:t>الابتكار وحل</w:t>
      </w:r>
      <w:r w:rsidRPr="00FD6D72">
        <w:rPr>
          <w:rFonts w:ascii="Traditional Arabic" w:eastAsia="Times New Roman" w:hAnsi="Traditional Arabic" w:cs="Traditional Arabic"/>
          <w:b/>
          <w:bCs/>
          <w:sz w:val="28"/>
          <w:szCs w:val="28"/>
          <w:rtl/>
        </w:rPr>
        <w:t xml:space="preserve"> المشكلات</w:t>
      </w:r>
    </w:p>
    <w:p w14:paraId="64D6292C" w14:textId="77777777" w:rsidR="00BC5B38" w:rsidRDefault="00BC5B38" w:rsidP="00BC5B38">
      <w:pPr>
        <w:bidi/>
        <w:spacing w:before="100" w:beforeAutospacing="1" w:after="100" w:afterAutospacing="1" w:line="360" w:lineRule="auto"/>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الابتكار وحل المشكلات يعبران عن قدرة العامل على التفكير الإبداعي، تقديم أفكار جديدة، التجديد في أساليب العمل، والتكيف مع التغيرات والتحديات المختلفة بطريقة مرنة وفعالة (</w:t>
      </w:r>
      <w:r w:rsidRPr="00BC5B38">
        <w:rPr>
          <w:rFonts w:ascii="Traditional Arabic" w:eastAsia="Times New Roman" w:hAnsi="Traditional Arabic" w:cs="Traditional Arabic"/>
          <w:sz w:val="28"/>
          <w:szCs w:val="28"/>
        </w:rPr>
        <w:t>Swanson et al., 2020</w:t>
      </w:r>
      <w:r w:rsidRPr="00BC5B38">
        <w:rPr>
          <w:rFonts w:ascii="Traditional Arabic" w:eastAsia="Times New Roman" w:hAnsi="Traditional Arabic" w:cs="Traditional Arabic"/>
          <w:sz w:val="28"/>
          <w:szCs w:val="28"/>
          <w:rtl/>
        </w:rPr>
        <w:t>؛ عيد، 2021). ويُعتبر هذا البعد من المحركات الرئيسية لتطوير الأداء المؤسسي وتحقيق الميزة التنافسية.</w:t>
      </w:r>
    </w:p>
    <w:p w14:paraId="06F67865" w14:textId="77777777" w:rsidR="00FD6D72" w:rsidRPr="00FD6D72" w:rsidRDefault="00FD6D72" w:rsidP="00BC5B38">
      <w:pPr>
        <w:bidi/>
        <w:spacing w:before="100" w:beforeAutospacing="1" w:after="100" w:afterAutospacing="1" w:line="360" w:lineRule="auto"/>
        <w:jc w:val="both"/>
        <w:rPr>
          <w:rFonts w:ascii="Traditional Arabic" w:eastAsia="Times New Roman" w:hAnsi="Traditional Arabic" w:cs="Traditional Arabic"/>
          <w:sz w:val="28"/>
          <w:szCs w:val="28"/>
          <w:rtl/>
          <w:lang w:bidi="ar-AE"/>
        </w:rPr>
      </w:pPr>
      <w:r w:rsidRPr="00FD6D72">
        <w:rPr>
          <w:rFonts w:ascii="Traditional Arabic" w:eastAsia="Times New Roman" w:hAnsi="Traditional Arabic" w:cs="Traditional Arabic"/>
          <w:sz w:val="28"/>
          <w:szCs w:val="28"/>
          <w:rtl/>
        </w:rPr>
        <w:t>التعريف الاجرائي: يُقاس عبر بنود تتناول قدرة الموظف على تقديم مقترحات، التجديد في أساليب العمل، والمرونة في التعامل مع التحديات</w:t>
      </w:r>
      <w:r w:rsidRPr="00FD6D72">
        <w:rPr>
          <w:rFonts w:ascii="Traditional Arabic" w:eastAsia="Times New Roman" w:hAnsi="Traditional Arabic" w:cs="Traditional Arabic"/>
          <w:sz w:val="28"/>
          <w:szCs w:val="28"/>
        </w:rPr>
        <w:t>.</w:t>
      </w:r>
    </w:p>
    <w:p w14:paraId="38757463" w14:textId="77777777" w:rsidR="00FD6D72" w:rsidRPr="00FD6D72" w:rsidRDefault="00FD6D72" w:rsidP="00FD6D72">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b/>
          <w:bCs/>
          <w:sz w:val="28"/>
          <w:szCs w:val="28"/>
        </w:rPr>
      </w:pPr>
      <w:r w:rsidRPr="00FD6D72">
        <w:rPr>
          <w:rFonts w:ascii="Traditional Arabic" w:eastAsia="Times New Roman" w:hAnsi="Traditional Arabic" w:cs="Traditional Arabic"/>
          <w:b/>
          <w:bCs/>
          <w:sz w:val="28"/>
          <w:szCs w:val="28"/>
          <w:rtl/>
        </w:rPr>
        <w:t>رضا العملاء</w:t>
      </w:r>
    </w:p>
    <w:p w14:paraId="0CFECE90" w14:textId="77777777" w:rsidR="00BC5B38" w:rsidRDefault="00BC5B38" w:rsidP="00BC5B38">
      <w:pPr>
        <w:bidi/>
        <w:spacing w:before="100" w:beforeAutospacing="1" w:after="100" w:afterAutospacing="1" w:line="360" w:lineRule="auto"/>
        <w:rPr>
          <w:rFonts w:ascii="Traditional Arabic" w:eastAsia="Times New Roman" w:hAnsi="Traditional Arabic" w:cs="Traditional Arabic"/>
          <w:sz w:val="28"/>
          <w:szCs w:val="28"/>
          <w:rtl/>
        </w:rPr>
      </w:pPr>
      <w:r w:rsidRPr="00BC5B38">
        <w:rPr>
          <w:rFonts w:ascii="Traditional Arabic" w:eastAsia="Times New Roman" w:hAnsi="Traditional Arabic" w:cs="Traditional Arabic"/>
          <w:sz w:val="28"/>
          <w:szCs w:val="28"/>
          <w:rtl/>
        </w:rPr>
        <w:lastRenderedPageBreak/>
        <w:t>التعريف الاصطلاحي</w:t>
      </w:r>
      <w:r w:rsidRPr="00BC5B38">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BC5B38">
        <w:rPr>
          <w:rFonts w:ascii="Traditional Arabic" w:eastAsia="Times New Roman" w:hAnsi="Traditional Arabic" w:cs="Traditional Arabic"/>
          <w:sz w:val="28"/>
          <w:szCs w:val="28"/>
          <w:rtl/>
        </w:rPr>
        <w:t>رضا العملاء يعكس مدى تحقيق الموظف لتوقعات العملاء من حيث جودة الخدمة المقدمة، والتفاعل الإيجابي معهم، والقدرة على تلبية احتياجاتهم بفعالية وكفاءة (</w:t>
      </w:r>
      <w:r w:rsidRPr="00BC5B38">
        <w:rPr>
          <w:rFonts w:ascii="Traditional Arabic" w:eastAsia="Times New Roman" w:hAnsi="Traditional Arabic" w:cs="Traditional Arabic"/>
          <w:sz w:val="28"/>
          <w:szCs w:val="28"/>
        </w:rPr>
        <w:t>Palupiningtyas et al., 2024</w:t>
      </w:r>
      <w:r w:rsidRPr="00BC5B38">
        <w:rPr>
          <w:rFonts w:ascii="Traditional Arabic" w:eastAsia="Times New Roman" w:hAnsi="Traditional Arabic" w:cs="Traditional Arabic"/>
          <w:sz w:val="28"/>
          <w:szCs w:val="28"/>
          <w:rtl/>
        </w:rPr>
        <w:t xml:space="preserve">؛ </w:t>
      </w:r>
      <w:r w:rsidRPr="00BC5B38">
        <w:rPr>
          <w:rFonts w:ascii="Traditional Arabic" w:eastAsia="Times New Roman" w:hAnsi="Traditional Arabic" w:cs="Traditional Arabic"/>
          <w:sz w:val="28"/>
          <w:szCs w:val="28"/>
        </w:rPr>
        <w:t>Pelealu, 2022</w:t>
      </w:r>
      <w:r w:rsidRPr="00BC5B38">
        <w:rPr>
          <w:rFonts w:ascii="Traditional Arabic" w:eastAsia="Times New Roman" w:hAnsi="Traditional Arabic" w:cs="Traditional Arabic"/>
          <w:sz w:val="28"/>
          <w:szCs w:val="28"/>
          <w:rtl/>
        </w:rPr>
        <w:t>). ويعد هذا البعد من المؤشرات الحيوية لنجاح المؤسسة واستمراريتها في السوق.</w:t>
      </w:r>
    </w:p>
    <w:p w14:paraId="26472090" w14:textId="77777777" w:rsidR="00FD6D72" w:rsidRPr="00FD6D72" w:rsidRDefault="00FD6D72" w:rsidP="00BC5B38">
      <w:pPr>
        <w:bidi/>
        <w:spacing w:before="100" w:beforeAutospacing="1" w:after="100" w:afterAutospacing="1" w:line="360" w:lineRule="auto"/>
        <w:jc w:val="both"/>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الاجرائي:  يُقاس من خلال فقرات تتعلق بجودة الخدمة المقدمة من قبل الموظف، تفاعل العملاء الإيجابي، وتلبية احتياجاتهم بفعالية</w:t>
      </w:r>
      <w:r w:rsidRPr="00FD6D72">
        <w:rPr>
          <w:rFonts w:ascii="Traditional Arabic" w:eastAsia="Times New Roman" w:hAnsi="Traditional Arabic" w:cs="Traditional Arabic"/>
          <w:sz w:val="28"/>
          <w:szCs w:val="28"/>
        </w:rPr>
        <w:t>.</w:t>
      </w:r>
    </w:p>
    <w:p w14:paraId="11B8FB46" w14:textId="77777777" w:rsidR="00FD6D72" w:rsidRPr="00FD6D72" w:rsidRDefault="00FD6D72" w:rsidP="00C33CF6">
      <w:pPr>
        <w:pStyle w:val="a5"/>
        <w:numPr>
          <w:ilvl w:val="0"/>
          <w:numId w:val="14"/>
        </w:num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b/>
          <w:bCs/>
          <w:sz w:val="28"/>
          <w:szCs w:val="28"/>
          <w:rtl/>
        </w:rPr>
        <w:t>الالتزام الوظيفي</w:t>
      </w:r>
      <w:r w:rsidRPr="00FD6D72">
        <w:rPr>
          <w:rFonts w:ascii="Traditional Arabic" w:eastAsia="Times New Roman" w:hAnsi="Traditional Arabic" w:cs="Traditional Arabic"/>
          <w:b/>
          <w:bCs/>
          <w:sz w:val="28"/>
          <w:szCs w:val="28"/>
        </w:rPr>
        <w:t xml:space="preserve"> </w:t>
      </w:r>
    </w:p>
    <w:p w14:paraId="008C606F" w14:textId="77777777" w:rsidR="00C33CF6" w:rsidRDefault="00C33CF6" w:rsidP="00C33CF6">
      <w:pPr>
        <w:bidi/>
        <w:spacing w:before="100" w:beforeAutospacing="1" w:after="100" w:afterAutospacing="1" w:line="360" w:lineRule="auto"/>
        <w:outlineLvl w:val="3"/>
        <w:rPr>
          <w:rFonts w:ascii="Traditional Arabic" w:eastAsia="Times New Roman" w:hAnsi="Traditional Arabic" w:cs="Traditional Arabic"/>
          <w:sz w:val="28"/>
          <w:szCs w:val="28"/>
          <w:rtl/>
        </w:rPr>
      </w:pPr>
      <w:r w:rsidRPr="00C33CF6">
        <w:rPr>
          <w:rFonts w:ascii="Traditional Arabic" w:eastAsia="Times New Roman" w:hAnsi="Traditional Arabic" w:cs="Traditional Arabic"/>
          <w:sz w:val="28"/>
          <w:szCs w:val="28"/>
          <w:rtl/>
        </w:rPr>
        <w:t>التعريف الاصطلاحي</w:t>
      </w:r>
      <w:r w:rsidRPr="00C33CF6">
        <w:rPr>
          <w:rFonts w:ascii="Traditional Arabic" w:eastAsia="Times New Roman" w:hAnsi="Traditional Arabic" w:cs="Traditional Arabic"/>
          <w:sz w:val="28"/>
          <w:szCs w:val="28"/>
        </w:rPr>
        <w:t>:</w:t>
      </w:r>
      <w:r>
        <w:rPr>
          <w:rFonts w:ascii="Traditional Arabic" w:eastAsia="Times New Roman" w:hAnsi="Traditional Arabic" w:cs="Traditional Arabic" w:hint="cs"/>
          <w:sz w:val="28"/>
          <w:szCs w:val="28"/>
          <w:rtl/>
        </w:rPr>
        <w:t xml:space="preserve"> </w:t>
      </w:r>
      <w:r w:rsidRPr="00C33CF6">
        <w:rPr>
          <w:rFonts w:ascii="Traditional Arabic" w:eastAsia="Times New Roman" w:hAnsi="Traditional Arabic" w:cs="Traditional Arabic"/>
          <w:sz w:val="28"/>
          <w:szCs w:val="28"/>
          <w:rtl/>
        </w:rPr>
        <w:t>الالتزام الوظيفي هو درجة ولاء الموظف تجاه مؤسسته، والتزامه بالأنظمة والقوانين، ورغبته في الاستمرار بالعمل داخل المؤسسة، واستعداده لبذل جهود إضافية تتجاوز المتطلبات الأساسية لأداء وظيفته (</w:t>
      </w:r>
      <w:r w:rsidRPr="00C33CF6">
        <w:rPr>
          <w:rFonts w:ascii="Traditional Arabic" w:eastAsia="Times New Roman" w:hAnsi="Traditional Arabic" w:cs="Traditional Arabic"/>
          <w:sz w:val="28"/>
          <w:szCs w:val="28"/>
        </w:rPr>
        <w:t>Karyatun et al., 2023</w:t>
      </w:r>
      <w:r w:rsidRPr="00C33CF6">
        <w:rPr>
          <w:rFonts w:ascii="Traditional Arabic" w:eastAsia="Times New Roman" w:hAnsi="Traditional Arabic" w:cs="Traditional Arabic"/>
          <w:sz w:val="28"/>
          <w:szCs w:val="28"/>
          <w:rtl/>
        </w:rPr>
        <w:t>؛ عيد، 2021). ويُعتبر هذا البعد عاملًا جوهريًا للحفاظ على استقرار الموارد البشرية وتحقيق أداء مستدام.</w:t>
      </w:r>
    </w:p>
    <w:p w14:paraId="245C380D" w14:textId="77777777" w:rsidR="00FD6D72" w:rsidRPr="00FD6D72" w:rsidRDefault="00FD6D72" w:rsidP="00C33CF6">
      <w:pPr>
        <w:bidi/>
        <w:spacing w:before="100" w:beforeAutospacing="1" w:after="100" w:afterAutospacing="1" w:line="360" w:lineRule="auto"/>
        <w:jc w:val="both"/>
        <w:outlineLvl w:val="3"/>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sz w:val="28"/>
          <w:szCs w:val="28"/>
          <w:rtl/>
        </w:rPr>
        <w:t>التعريف الاجرائي:  يُقاس من خلال مؤشرات مثل: الرغبة في الاستمرار بالعمل، الولاء للشركة، الالتزام بالأنظمة والقوانين، والاستعداد لبذل جهد إضافي</w:t>
      </w:r>
      <w:r w:rsidRPr="00FD6D72">
        <w:rPr>
          <w:rFonts w:ascii="Traditional Arabic" w:eastAsia="Times New Roman" w:hAnsi="Traditional Arabic" w:cs="Traditional Arabic"/>
          <w:sz w:val="28"/>
          <w:szCs w:val="28"/>
        </w:rPr>
        <w:t>.</w:t>
      </w:r>
    </w:p>
    <w:p w14:paraId="00DF0745" w14:textId="77777777" w:rsidR="00FD6D72" w:rsidRDefault="00FD6D72" w:rsidP="00FD6D72">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lang w:bidi="ar-AE"/>
        </w:rPr>
      </w:pPr>
    </w:p>
    <w:p w14:paraId="0726980E" w14:textId="77777777" w:rsidR="00C33CF6" w:rsidRDefault="00C33CF6" w:rsidP="00C33CF6">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lang w:bidi="ar-AE"/>
        </w:rPr>
      </w:pPr>
    </w:p>
    <w:p w14:paraId="6EA412D6" w14:textId="77777777" w:rsidR="00C33CF6" w:rsidRDefault="00C33CF6" w:rsidP="00C33CF6">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lang w:bidi="ar-AE"/>
        </w:rPr>
      </w:pPr>
    </w:p>
    <w:p w14:paraId="27737CDA" w14:textId="77777777" w:rsidR="00C33CF6" w:rsidRDefault="00C33CF6" w:rsidP="00C33CF6">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lang w:bidi="ar-AE"/>
        </w:rPr>
      </w:pPr>
    </w:p>
    <w:p w14:paraId="14897A42" w14:textId="77777777" w:rsidR="00C33CF6" w:rsidRPr="00FD6D72" w:rsidRDefault="00C33CF6" w:rsidP="00C33CF6">
      <w:pPr>
        <w:bidi/>
        <w:spacing w:before="100" w:beforeAutospacing="1" w:after="100" w:afterAutospacing="1" w:line="360" w:lineRule="auto"/>
        <w:jc w:val="both"/>
        <w:outlineLvl w:val="3"/>
        <w:rPr>
          <w:rFonts w:ascii="Traditional Arabic" w:eastAsia="Times New Roman" w:hAnsi="Traditional Arabic" w:cs="Traditional Arabic"/>
          <w:b/>
          <w:bCs/>
          <w:sz w:val="28"/>
          <w:szCs w:val="28"/>
          <w:lang w:bidi="ar-AE"/>
        </w:rPr>
      </w:pPr>
    </w:p>
    <w:p w14:paraId="7923FF41" w14:textId="77777777" w:rsidR="009D6275" w:rsidRPr="00FD6D72" w:rsidRDefault="009D6275" w:rsidP="007F6900">
      <w:pPr>
        <w:bidi/>
        <w:spacing w:before="100" w:beforeAutospacing="1" w:after="100" w:afterAutospacing="1" w:line="360" w:lineRule="auto"/>
        <w:outlineLvl w:val="2"/>
        <w:rPr>
          <w:rFonts w:ascii="Traditional Arabic" w:eastAsia="Times New Roman" w:hAnsi="Traditional Arabic" w:cs="Traditional Arabic"/>
          <w:b/>
          <w:bCs/>
          <w:sz w:val="32"/>
          <w:szCs w:val="32"/>
          <w:rtl/>
        </w:rPr>
      </w:pPr>
      <w:r w:rsidRPr="00FD6D72">
        <w:rPr>
          <w:rFonts w:ascii="Traditional Arabic" w:eastAsia="Times New Roman" w:hAnsi="Traditional Arabic" w:cs="Traditional Arabic"/>
          <w:b/>
          <w:bCs/>
          <w:sz w:val="32"/>
          <w:szCs w:val="32"/>
          <w:rtl/>
        </w:rPr>
        <w:lastRenderedPageBreak/>
        <w:t>حدود الدراسة</w:t>
      </w:r>
    </w:p>
    <w:p w14:paraId="7504532D" w14:textId="77777777" w:rsidR="00C56E8B" w:rsidRPr="00FD6D72"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tl/>
        </w:rPr>
      </w:pPr>
      <w:r w:rsidRPr="00FD6D72">
        <w:rPr>
          <w:rFonts w:ascii="Traditional Arabic" w:eastAsia="Times New Roman" w:hAnsi="Traditional Arabic" w:cs="Traditional Arabic" w:hint="cs"/>
          <w:sz w:val="28"/>
          <w:szCs w:val="28"/>
          <w:rtl/>
        </w:rPr>
        <w:t>لهذه الدراسة م</w:t>
      </w:r>
      <w:r w:rsidR="00C56E8B" w:rsidRPr="00FD6D72">
        <w:rPr>
          <w:rFonts w:ascii="Traditional Arabic" w:eastAsia="Times New Roman" w:hAnsi="Traditional Arabic" w:cs="Traditional Arabic"/>
          <w:sz w:val="28"/>
          <w:szCs w:val="28"/>
          <w:rtl/>
        </w:rPr>
        <w:t xml:space="preserve">جموعة من الحدود التي تضبط نطاقها الزمني والمكاني والبشري والجغرافي، وذلك لضمان دقة النتائج </w:t>
      </w:r>
      <w:r w:rsidR="00FD6D72" w:rsidRPr="00FD6D72">
        <w:rPr>
          <w:rFonts w:ascii="Traditional Arabic" w:eastAsia="Times New Roman" w:hAnsi="Traditional Arabic" w:cs="Traditional Arabic" w:hint="cs"/>
          <w:sz w:val="28"/>
          <w:szCs w:val="28"/>
          <w:rtl/>
        </w:rPr>
        <w:t>وواقعتها</w:t>
      </w:r>
      <w:r w:rsidR="00C56E8B" w:rsidRPr="00FD6D72">
        <w:rPr>
          <w:rFonts w:ascii="Traditional Arabic" w:eastAsia="Times New Roman" w:hAnsi="Traditional Arabic" w:cs="Traditional Arabic"/>
          <w:sz w:val="28"/>
          <w:szCs w:val="28"/>
          <w:rtl/>
        </w:rPr>
        <w:t>، وهي على النحو التالي</w:t>
      </w:r>
      <w:r w:rsidR="00C56E8B" w:rsidRPr="00FD6D72">
        <w:rPr>
          <w:rFonts w:ascii="Traditional Arabic" w:eastAsia="Times New Roman" w:hAnsi="Traditional Arabic" w:cs="Traditional Arabic"/>
          <w:sz w:val="28"/>
          <w:szCs w:val="28"/>
        </w:rPr>
        <w:t>:</w:t>
      </w:r>
    </w:p>
    <w:p w14:paraId="41F7DB36" w14:textId="77777777" w:rsidR="00C33CF6" w:rsidRPr="00C33CF6" w:rsidRDefault="00C33CF6" w:rsidP="00C33CF6">
      <w:pPr>
        <w:bidi/>
        <w:spacing w:before="100" w:beforeAutospacing="1" w:after="100" w:afterAutospacing="1" w:line="360" w:lineRule="auto"/>
        <w:rPr>
          <w:rFonts w:ascii="Traditional Arabic" w:eastAsia="Times New Roman" w:hAnsi="Traditional Arabic" w:cs="Traditional Arabic"/>
          <w:sz w:val="28"/>
          <w:szCs w:val="28"/>
          <w:rtl/>
          <w:lang w:bidi="ar-AE"/>
        </w:rPr>
      </w:pPr>
      <w:r w:rsidRPr="00C33CF6">
        <w:rPr>
          <w:rFonts w:ascii="Traditional Arabic" w:eastAsia="Times New Roman" w:hAnsi="Traditional Arabic" w:cs="Traditional Arabic"/>
          <w:b/>
          <w:bCs/>
          <w:sz w:val="28"/>
          <w:szCs w:val="28"/>
          <w:rtl/>
        </w:rPr>
        <w:t>أولًا: الحدود المكانية</w:t>
      </w:r>
      <w:r w:rsidRPr="00C33CF6">
        <w:rPr>
          <w:rFonts w:ascii="Traditional Arabic" w:eastAsia="Times New Roman" w:hAnsi="Traditional Arabic" w:cs="Traditional Arabic" w:hint="cs"/>
          <w:b/>
          <w:bCs/>
          <w:sz w:val="28"/>
          <w:szCs w:val="28"/>
          <w:rtl/>
          <w:lang w:bidi="ar-AE"/>
        </w:rPr>
        <w:t>:</w:t>
      </w:r>
      <w:r>
        <w:rPr>
          <w:rFonts w:ascii="Traditional Arabic" w:eastAsia="Times New Roman" w:hAnsi="Traditional Arabic" w:cs="Traditional Arabic" w:hint="cs"/>
          <w:sz w:val="28"/>
          <w:szCs w:val="28"/>
          <w:rtl/>
          <w:lang w:bidi="ar-AE"/>
        </w:rPr>
        <w:t xml:space="preserve"> </w:t>
      </w:r>
      <w:r w:rsidRPr="00C33CF6">
        <w:rPr>
          <w:rFonts w:ascii="Traditional Arabic" w:eastAsia="Times New Roman" w:hAnsi="Traditional Arabic" w:cs="Traditional Arabic"/>
          <w:sz w:val="28"/>
          <w:szCs w:val="28"/>
          <w:rtl/>
        </w:rPr>
        <w:t>تقتصر هذه الدراسة على شركة موبايلي السعودية للاتصالات، حيث سيتم التركيز على بيئة العمل داخل الشركة وفحص ممارسات إدارة المعرفة وأثرها على أداء العاملين فيها. تم اختيار هذه الشركة نظرًا لأهميتها الكبيرة في قطاع الاتصالات السعودي واعتمادها المتزايد على المعرفة والتقنية في عملياتها.</w:t>
      </w:r>
    </w:p>
    <w:p w14:paraId="5CA175D1" w14:textId="77777777" w:rsidR="00C33CF6" w:rsidRPr="00C33CF6" w:rsidRDefault="00C33CF6" w:rsidP="00C33CF6">
      <w:pPr>
        <w:bidi/>
        <w:spacing w:before="100" w:beforeAutospacing="1" w:after="100" w:afterAutospacing="1" w:line="360" w:lineRule="auto"/>
        <w:rPr>
          <w:rFonts w:ascii="Traditional Arabic" w:eastAsia="Times New Roman" w:hAnsi="Traditional Arabic" w:cs="Traditional Arabic"/>
          <w:sz w:val="28"/>
          <w:szCs w:val="28"/>
          <w:rtl/>
          <w:lang w:bidi="ar-AE"/>
        </w:rPr>
      </w:pPr>
      <w:r w:rsidRPr="00C33CF6">
        <w:rPr>
          <w:rFonts w:ascii="Traditional Arabic" w:eastAsia="Times New Roman" w:hAnsi="Traditional Arabic" w:cs="Traditional Arabic"/>
          <w:b/>
          <w:bCs/>
          <w:sz w:val="28"/>
          <w:szCs w:val="28"/>
          <w:rtl/>
        </w:rPr>
        <w:t>ثانيًا: الحدود الزمنية</w:t>
      </w:r>
      <w:r w:rsidRPr="00C33CF6">
        <w:rPr>
          <w:rFonts w:ascii="Traditional Arabic" w:eastAsia="Times New Roman" w:hAnsi="Traditional Arabic" w:cs="Traditional Arabic" w:hint="cs"/>
          <w:b/>
          <w:bCs/>
          <w:sz w:val="28"/>
          <w:szCs w:val="28"/>
          <w:rtl/>
          <w:lang w:bidi="ar-AE"/>
        </w:rPr>
        <w:t>:</w:t>
      </w:r>
      <w:r>
        <w:rPr>
          <w:rFonts w:ascii="Traditional Arabic" w:eastAsia="Times New Roman" w:hAnsi="Traditional Arabic" w:cs="Traditional Arabic" w:hint="cs"/>
          <w:sz w:val="28"/>
          <w:szCs w:val="28"/>
          <w:rtl/>
          <w:lang w:bidi="ar-AE"/>
        </w:rPr>
        <w:t xml:space="preserve"> </w:t>
      </w:r>
      <w:r w:rsidRPr="00C33CF6">
        <w:rPr>
          <w:rFonts w:ascii="Traditional Arabic" w:eastAsia="Times New Roman" w:hAnsi="Traditional Arabic" w:cs="Traditional Arabic"/>
          <w:sz w:val="28"/>
          <w:szCs w:val="28"/>
          <w:rtl/>
        </w:rPr>
        <w:t xml:space="preserve">تغطي الدراسة الفترة الزمنية من بداية عام </w:t>
      </w:r>
      <w:r>
        <w:rPr>
          <w:rFonts w:ascii="Traditional Arabic" w:eastAsia="Times New Roman" w:hAnsi="Traditional Arabic" w:cs="Traditional Arabic" w:hint="cs"/>
          <w:sz w:val="28"/>
          <w:szCs w:val="28"/>
          <w:rtl/>
        </w:rPr>
        <w:t>(يحدد لا حقا)</w:t>
      </w:r>
      <w:r w:rsidRPr="00C33CF6">
        <w:rPr>
          <w:rFonts w:ascii="Traditional Arabic" w:eastAsia="Times New Roman" w:hAnsi="Traditional Arabic" w:cs="Traditional Arabic"/>
          <w:sz w:val="28"/>
          <w:szCs w:val="28"/>
          <w:rtl/>
        </w:rPr>
        <w:t>، والتي يتم خلالها جمع وتحليل البيانات المتعلقة بممارسات إدارة المعرفة وأداء العاملين في شركة موبايلي، بما يعكس أحدث التطورات والتغيرات في هذا المجال داخل الشركة.</w:t>
      </w:r>
    </w:p>
    <w:p w14:paraId="3931AC8A" w14:textId="77777777" w:rsidR="003A3C8B" w:rsidRDefault="00C33CF6" w:rsidP="00C33CF6">
      <w:pPr>
        <w:bidi/>
        <w:spacing w:before="100" w:beforeAutospacing="1" w:after="100" w:afterAutospacing="1" w:line="360" w:lineRule="auto"/>
        <w:rPr>
          <w:rFonts w:ascii="Traditional Arabic" w:eastAsia="Times New Roman" w:hAnsi="Traditional Arabic" w:cs="Traditional Arabic"/>
          <w:sz w:val="28"/>
          <w:szCs w:val="28"/>
          <w:rtl/>
        </w:rPr>
      </w:pPr>
      <w:r w:rsidRPr="00C33CF6">
        <w:rPr>
          <w:rFonts w:ascii="Traditional Arabic" w:eastAsia="Times New Roman" w:hAnsi="Traditional Arabic" w:cs="Traditional Arabic"/>
          <w:b/>
          <w:bCs/>
          <w:sz w:val="28"/>
          <w:szCs w:val="28"/>
          <w:rtl/>
        </w:rPr>
        <w:t>ثالثًا: الحدود البشرية</w:t>
      </w:r>
      <w:r w:rsidRPr="00C33CF6">
        <w:rPr>
          <w:rFonts w:ascii="Traditional Arabic" w:eastAsia="Times New Roman" w:hAnsi="Traditional Arabic" w:cs="Traditional Arabic" w:hint="cs"/>
          <w:b/>
          <w:bCs/>
          <w:sz w:val="28"/>
          <w:szCs w:val="28"/>
          <w:rtl/>
          <w:lang w:bidi="ar-AE"/>
        </w:rPr>
        <w:t>:</w:t>
      </w:r>
      <w:r>
        <w:rPr>
          <w:rFonts w:ascii="Traditional Arabic" w:eastAsia="Times New Roman" w:hAnsi="Traditional Arabic" w:cs="Traditional Arabic" w:hint="cs"/>
          <w:sz w:val="28"/>
          <w:szCs w:val="28"/>
          <w:rtl/>
          <w:lang w:bidi="ar-AE"/>
        </w:rPr>
        <w:t xml:space="preserve"> </w:t>
      </w:r>
      <w:r w:rsidRPr="00C33CF6">
        <w:rPr>
          <w:rFonts w:ascii="Traditional Arabic" w:eastAsia="Times New Roman" w:hAnsi="Traditional Arabic" w:cs="Traditional Arabic"/>
          <w:sz w:val="28"/>
          <w:szCs w:val="28"/>
          <w:rtl/>
        </w:rPr>
        <w:t>تشمل الدراسة عينة من العاملين في شركة موبايلي من مختلف المستويات الإدارية والتشغيلية، الذين لهم علاقة مباشرة أو غير مباشرة بممارسات إدارة المعرفة وأداء العمل. وستركز الدراسة على قياس تأثير إدارة المعرفة على أبعاد الأداء الوظيفي: الكفاءة، الابتكار، رضا العملاء، والالتزام الوظيفي.</w:t>
      </w:r>
    </w:p>
    <w:p w14:paraId="41B50D43" w14:textId="77777777" w:rsidR="00C33CF6" w:rsidRPr="00C33CF6" w:rsidRDefault="00C33CF6" w:rsidP="00C33CF6">
      <w:pPr>
        <w:bidi/>
        <w:spacing w:before="100" w:beforeAutospacing="1" w:after="100" w:afterAutospacing="1" w:line="360" w:lineRule="auto"/>
        <w:rPr>
          <w:rFonts w:ascii="Traditional Arabic" w:eastAsia="Times New Roman" w:hAnsi="Traditional Arabic" w:cs="Traditional Arabic"/>
          <w:sz w:val="28"/>
          <w:szCs w:val="28"/>
          <w:rtl/>
        </w:rPr>
      </w:pPr>
    </w:p>
    <w:p w14:paraId="59CAA917" w14:textId="77777777" w:rsidR="009D6275" w:rsidRPr="003D3C9F" w:rsidRDefault="009D6275" w:rsidP="00C56E8B">
      <w:pPr>
        <w:bidi/>
        <w:spacing w:line="360" w:lineRule="auto"/>
        <w:rPr>
          <w:rFonts w:ascii="Traditional Arabic" w:hAnsi="Traditional Arabic" w:cs="Traditional Arabic"/>
          <w:b/>
          <w:bCs/>
          <w:sz w:val="32"/>
          <w:szCs w:val="32"/>
          <w:rtl/>
          <w:lang w:val="en-US"/>
        </w:rPr>
      </w:pPr>
      <w:r w:rsidRPr="003D3C9F">
        <w:rPr>
          <w:rFonts w:ascii="Traditional Arabic" w:hAnsi="Traditional Arabic" w:cs="Traditional Arabic"/>
          <w:b/>
          <w:bCs/>
          <w:sz w:val="32"/>
          <w:szCs w:val="32"/>
          <w:rtl/>
          <w:lang w:val="en-US"/>
        </w:rPr>
        <w:t>إجراءات</w:t>
      </w:r>
      <w:r w:rsidRPr="003D3C9F">
        <w:rPr>
          <w:rFonts w:ascii="Traditional Arabic" w:hAnsi="Traditional Arabic" w:cs="Traditional Arabic"/>
          <w:b/>
          <w:bCs/>
          <w:sz w:val="32"/>
          <w:szCs w:val="32"/>
          <w:lang w:val="en-US"/>
        </w:rPr>
        <w:t xml:space="preserve"> </w:t>
      </w:r>
      <w:r w:rsidRPr="003D3C9F">
        <w:rPr>
          <w:rFonts w:ascii="Traditional Arabic" w:hAnsi="Traditional Arabic" w:cs="Traditional Arabic"/>
          <w:b/>
          <w:bCs/>
          <w:sz w:val="32"/>
          <w:szCs w:val="32"/>
          <w:rtl/>
          <w:lang w:val="en-US"/>
        </w:rPr>
        <w:t>ومنهجية</w:t>
      </w:r>
      <w:r w:rsidRPr="003D3C9F">
        <w:rPr>
          <w:rFonts w:ascii="Traditional Arabic" w:hAnsi="Traditional Arabic" w:cs="Traditional Arabic"/>
          <w:b/>
          <w:bCs/>
          <w:sz w:val="32"/>
          <w:szCs w:val="32"/>
          <w:lang w:val="en-US"/>
        </w:rPr>
        <w:t xml:space="preserve"> </w:t>
      </w:r>
      <w:r w:rsidRPr="003D3C9F">
        <w:rPr>
          <w:rFonts w:ascii="Traditional Arabic" w:hAnsi="Traditional Arabic" w:cs="Traditional Arabic"/>
          <w:b/>
          <w:bCs/>
          <w:sz w:val="32"/>
          <w:szCs w:val="32"/>
          <w:rtl/>
          <w:lang w:val="en-US"/>
        </w:rPr>
        <w:t>الدراسة</w:t>
      </w:r>
    </w:p>
    <w:p w14:paraId="4EC5CAD2" w14:textId="77777777" w:rsidR="009D6275" w:rsidRPr="003D3C9F" w:rsidRDefault="009D6275" w:rsidP="009D6275">
      <w:pPr>
        <w:bidi/>
        <w:spacing w:line="360" w:lineRule="auto"/>
        <w:rPr>
          <w:rFonts w:ascii="Traditional Arabic" w:hAnsi="Traditional Arabic" w:cs="Traditional Arabic"/>
          <w:b/>
          <w:bCs/>
          <w:sz w:val="28"/>
          <w:szCs w:val="28"/>
        </w:rPr>
      </w:pPr>
      <w:r w:rsidRPr="003D3C9F">
        <w:rPr>
          <w:rFonts w:ascii="Traditional Arabic" w:hAnsi="Traditional Arabic" w:cs="Traditional Arabic"/>
          <w:b/>
          <w:bCs/>
          <w:sz w:val="28"/>
          <w:szCs w:val="28"/>
          <w:rtl/>
        </w:rPr>
        <w:t>أولاً</w:t>
      </w:r>
      <w:r w:rsidRPr="003D3C9F">
        <w:rPr>
          <w:rFonts w:ascii="Traditional Arabic" w:hAnsi="Traditional Arabic" w:cs="Traditional Arabic"/>
          <w:b/>
          <w:bCs/>
          <w:sz w:val="28"/>
          <w:szCs w:val="28"/>
        </w:rPr>
        <w:t xml:space="preserve">: </w:t>
      </w:r>
      <w:r w:rsidRPr="003D3C9F">
        <w:rPr>
          <w:rFonts w:ascii="Traditional Arabic" w:hAnsi="Traditional Arabic" w:cs="Traditional Arabic"/>
          <w:b/>
          <w:bCs/>
          <w:sz w:val="28"/>
          <w:szCs w:val="28"/>
          <w:rtl/>
        </w:rPr>
        <w:t>منهج الدراسة</w:t>
      </w:r>
    </w:p>
    <w:p w14:paraId="1502B09C" w14:textId="77777777" w:rsidR="009D6275" w:rsidRPr="003D3C9F" w:rsidRDefault="00FD6D72" w:rsidP="00FD6D72">
      <w:pPr>
        <w:bidi/>
        <w:spacing w:line="360" w:lineRule="auto"/>
        <w:jc w:val="both"/>
        <w:rPr>
          <w:rFonts w:ascii="Traditional Arabic" w:hAnsi="Traditional Arabic" w:cs="Traditional Arabic"/>
          <w:sz w:val="28"/>
          <w:szCs w:val="28"/>
        </w:rPr>
      </w:pPr>
      <w:r w:rsidRPr="003D3C9F">
        <w:rPr>
          <w:rFonts w:ascii="Traditional Arabic" w:hAnsi="Traditional Arabic" w:cs="Traditional Arabic"/>
          <w:sz w:val="28"/>
          <w:szCs w:val="28"/>
          <w:rtl/>
        </w:rPr>
        <w:t>تستند هذه الدراسة إلى المنهج الوصفي التحليلي، حيث يتم استخدامه لوصف وتحليل العلاقات بين إدارة المعرفة وأداء العاملين في شركة موبايلي للاتصالات. يعنى هذا المنهج بجمع وتحليل البيانات المتعلقة بتطبيق ممارسات إدارة المعرفة وتأثيرها على أبعاد أداء العاملين في الشركة، مثل الكفاءة الوظيفية، الابتكار وحل المشكلات، رضا العملاء، والالتزام الوظيفي</w:t>
      </w:r>
      <w:r w:rsidR="009D6275" w:rsidRPr="003D3C9F">
        <w:rPr>
          <w:rFonts w:ascii="Traditional Arabic" w:hAnsi="Traditional Arabic" w:cs="Traditional Arabic"/>
          <w:sz w:val="28"/>
          <w:szCs w:val="28"/>
        </w:rPr>
        <w:t>.</w:t>
      </w:r>
    </w:p>
    <w:p w14:paraId="233E0DBE" w14:textId="77777777" w:rsidR="009D6275" w:rsidRPr="00FD6D72" w:rsidRDefault="009D6275" w:rsidP="009D6275">
      <w:pPr>
        <w:bidi/>
        <w:spacing w:line="360" w:lineRule="auto"/>
        <w:rPr>
          <w:rFonts w:ascii="Traditional Arabic" w:hAnsi="Traditional Arabic" w:cs="Traditional Arabic"/>
          <w:b/>
          <w:bCs/>
          <w:sz w:val="28"/>
          <w:szCs w:val="28"/>
        </w:rPr>
      </w:pPr>
      <w:r w:rsidRPr="003D3C9F">
        <w:rPr>
          <w:rFonts w:ascii="Traditional Arabic" w:hAnsi="Traditional Arabic" w:cs="Traditional Arabic"/>
          <w:b/>
          <w:bCs/>
          <w:sz w:val="28"/>
          <w:szCs w:val="28"/>
          <w:rtl/>
        </w:rPr>
        <w:lastRenderedPageBreak/>
        <w:t>ثانيًا</w:t>
      </w:r>
      <w:r w:rsidRPr="003D3C9F">
        <w:rPr>
          <w:rFonts w:ascii="Traditional Arabic" w:hAnsi="Traditional Arabic" w:cs="Traditional Arabic"/>
          <w:b/>
          <w:bCs/>
          <w:sz w:val="28"/>
          <w:szCs w:val="28"/>
        </w:rPr>
        <w:t xml:space="preserve">: </w:t>
      </w:r>
      <w:r w:rsidRPr="003D3C9F">
        <w:rPr>
          <w:rFonts w:ascii="Traditional Arabic" w:hAnsi="Traditional Arabic" w:cs="Traditional Arabic"/>
          <w:b/>
          <w:bCs/>
          <w:sz w:val="28"/>
          <w:szCs w:val="28"/>
          <w:rtl/>
        </w:rPr>
        <w:t>مجتمع وعينة الدراسة</w:t>
      </w:r>
    </w:p>
    <w:p w14:paraId="1EA1E6ED" w14:textId="77777777" w:rsidR="003D3C9F" w:rsidRPr="003D3C9F" w:rsidRDefault="003D3C9F" w:rsidP="003D3C9F">
      <w:pPr>
        <w:bidi/>
        <w:spacing w:line="360" w:lineRule="auto"/>
        <w:rPr>
          <w:rFonts w:ascii="Traditional Arabic" w:hAnsi="Traditional Arabic" w:cs="Traditional Arabic"/>
          <w:sz w:val="28"/>
          <w:szCs w:val="28"/>
          <w:rtl/>
        </w:rPr>
      </w:pPr>
      <w:r w:rsidRPr="003D3C9F">
        <w:rPr>
          <w:rFonts w:ascii="Traditional Arabic" w:hAnsi="Traditional Arabic" w:cs="Traditional Arabic"/>
          <w:sz w:val="28"/>
          <w:szCs w:val="28"/>
          <w:rtl/>
        </w:rPr>
        <w:t>يتكون مجتمع الدراسة من جميع العاملين في شركة موبايلي السعودية للاتصالات، والتي تضم حوالي 4,306 موظفًا وفقًا للتقرير السنوي لعام 2024</w:t>
      </w:r>
      <w:r w:rsidRPr="003D3C9F">
        <w:rPr>
          <w:rFonts w:ascii="Traditional Arabic" w:hAnsi="Traditional Arabic" w:cs="Traditional Arabic"/>
          <w:sz w:val="28"/>
          <w:szCs w:val="28"/>
        </w:rPr>
        <w:t xml:space="preserve"> (Mobily, 2024). </w:t>
      </w:r>
      <w:r w:rsidRPr="003D3C9F">
        <w:rPr>
          <w:rFonts w:ascii="Traditional Arabic" w:hAnsi="Traditional Arabic" w:cs="Traditional Arabic"/>
          <w:sz w:val="28"/>
          <w:szCs w:val="28"/>
          <w:rtl/>
        </w:rPr>
        <w:t>تشمل الشركة العديد من الإدارات المختلفة مثل الموارد البشرية، تكنولوجيا المعلومات، التسويق، والخدمات التشغيلية، مما يوفر بيئة عمل متعددة التخصصات تسمح بدراسة شاملة لتأثير إدارة المعرفة على الأداء الوظيفي</w:t>
      </w:r>
      <w:r w:rsidRPr="003D3C9F">
        <w:rPr>
          <w:rFonts w:ascii="Traditional Arabic" w:hAnsi="Traditional Arabic" w:cs="Traditional Arabic"/>
          <w:sz w:val="28"/>
          <w:szCs w:val="28"/>
        </w:rPr>
        <w:t>.</w:t>
      </w:r>
    </w:p>
    <w:p w14:paraId="4424CEB7" w14:textId="77777777" w:rsidR="003D3C9F" w:rsidRPr="003D3C9F" w:rsidRDefault="003D3C9F" w:rsidP="003D3C9F">
      <w:pPr>
        <w:bidi/>
        <w:spacing w:line="360" w:lineRule="auto"/>
        <w:rPr>
          <w:rFonts w:ascii="Traditional Arabic" w:hAnsi="Traditional Arabic" w:cs="Traditional Arabic"/>
          <w:sz w:val="28"/>
          <w:szCs w:val="28"/>
          <w:rtl/>
        </w:rPr>
      </w:pPr>
    </w:p>
    <w:p w14:paraId="531B1A4C" w14:textId="77777777" w:rsidR="00B8790A" w:rsidRPr="00B8790A" w:rsidRDefault="00B8790A" w:rsidP="003D3C9F">
      <w:pPr>
        <w:bidi/>
        <w:spacing w:line="360" w:lineRule="auto"/>
        <w:jc w:val="both"/>
        <w:rPr>
          <w:rFonts w:ascii="Traditional Arabic" w:hAnsi="Traditional Arabic" w:cs="Traditional Arabic"/>
          <w:b/>
          <w:bCs/>
          <w:sz w:val="28"/>
          <w:szCs w:val="28"/>
          <w:lang w:val="en-US"/>
        </w:rPr>
      </w:pPr>
      <w:r>
        <w:rPr>
          <w:rFonts w:ascii="Traditional Arabic" w:hAnsi="Traditional Arabic" w:cs="Traditional Arabic" w:hint="cs"/>
          <w:b/>
          <w:bCs/>
          <w:sz w:val="28"/>
          <w:szCs w:val="28"/>
          <w:rtl/>
          <w:lang w:val="en-US"/>
        </w:rPr>
        <w:t xml:space="preserve">ثالثا: </w:t>
      </w:r>
      <w:r w:rsidRPr="00B8790A">
        <w:rPr>
          <w:rFonts w:ascii="Traditional Arabic" w:hAnsi="Traditional Arabic" w:cs="Traditional Arabic"/>
          <w:b/>
          <w:bCs/>
          <w:sz w:val="28"/>
          <w:szCs w:val="28"/>
          <w:rtl/>
          <w:lang w:val="en-US"/>
        </w:rPr>
        <w:t>عينة الدراسة</w:t>
      </w:r>
    </w:p>
    <w:p w14:paraId="51CCAAF4" w14:textId="77777777" w:rsidR="003D3C9F" w:rsidRPr="003D3C9F" w:rsidRDefault="003D3C9F" w:rsidP="003D3C9F">
      <w:pPr>
        <w:bidi/>
        <w:spacing w:line="360" w:lineRule="auto"/>
        <w:jc w:val="both"/>
        <w:rPr>
          <w:rFonts w:ascii="Traditional Arabic" w:hAnsi="Traditional Arabic" w:cs="Traditional Arabic"/>
          <w:sz w:val="28"/>
          <w:szCs w:val="28"/>
          <w:rtl/>
          <w:lang w:val="en-US"/>
        </w:rPr>
      </w:pPr>
      <w:r w:rsidRPr="003D3C9F">
        <w:rPr>
          <w:rFonts w:ascii="Traditional Arabic" w:hAnsi="Traditional Arabic" w:cs="Traditional Arabic" w:hint="cs"/>
          <w:sz w:val="28"/>
          <w:szCs w:val="28"/>
          <w:rtl/>
          <w:lang w:val="en-US"/>
        </w:rPr>
        <w:t>تم</w:t>
      </w:r>
      <w:r w:rsidRPr="003D3C9F">
        <w:rPr>
          <w:rFonts w:ascii="Traditional Arabic" w:hAnsi="Traditional Arabic" w:cs="Traditional Arabic"/>
          <w:sz w:val="28"/>
          <w:szCs w:val="28"/>
          <w:rtl/>
          <w:lang w:val="en-US"/>
        </w:rPr>
        <w:t xml:space="preserve"> اختيارها </w:t>
      </w:r>
      <w:r w:rsidRPr="003D3C9F">
        <w:rPr>
          <w:rFonts w:ascii="Traditional Arabic" w:hAnsi="Traditional Arabic" w:cs="Traditional Arabic" w:hint="cs"/>
          <w:sz w:val="28"/>
          <w:szCs w:val="28"/>
          <w:rtl/>
          <w:lang w:val="en-US"/>
        </w:rPr>
        <w:t xml:space="preserve">عينة الدراسة </w:t>
      </w:r>
      <w:r w:rsidRPr="003D3C9F">
        <w:rPr>
          <w:rFonts w:ascii="Traditional Arabic" w:hAnsi="Traditional Arabic" w:cs="Traditional Arabic"/>
          <w:sz w:val="28"/>
          <w:szCs w:val="28"/>
          <w:rtl/>
          <w:lang w:val="en-US"/>
        </w:rPr>
        <w:t>بشكل مقصود من موظفي إدارة الموارد البشرية، إدارة تكنولوجيا المعلومات، وإدارة العمليات التشغيلية، وذلك لأن هذه الإدارات تلعب دورًا رئيسيًا في تطبيق ممارسات إدارة المعرفة داخل الشركة، وهي الأقرب إلى عمليات تبادل المعرفة وتنفيذ استراتيجيات تحسين الأداء. كما أن اختيار هذه العينة يتماشى مع أهداف الدراسة التي تسعى إلى تقييم كيف تؤثر إدارة المعرفة في تحسين أداء العاملين، لا سيما في المجالات التي تعتمد بشكل كبير على تبادل المعلومات والخبرات</w:t>
      </w:r>
      <w:r w:rsidRPr="003D3C9F">
        <w:rPr>
          <w:rFonts w:ascii="Traditional Arabic" w:hAnsi="Traditional Arabic" w:cs="Traditional Arabic"/>
          <w:sz w:val="28"/>
          <w:szCs w:val="28"/>
          <w:lang w:val="en-US"/>
        </w:rPr>
        <w:t>.</w:t>
      </w:r>
      <w:r w:rsidRPr="003D3C9F">
        <w:rPr>
          <w:rFonts w:ascii="Traditional Arabic" w:hAnsi="Traditional Arabic" w:cs="Traditional Arabic" w:hint="cs"/>
          <w:sz w:val="28"/>
          <w:szCs w:val="28"/>
          <w:rtl/>
          <w:lang w:val="en-US"/>
        </w:rPr>
        <w:t xml:space="preserve"> يب</w:t>
      </w:r>
      <w:r w:rsidRPr="003D3C9F">
        <w:rPr>
          <w:rFonts w:ascii="Traditional Arabic" w:hAnsi="Traditional Arabic" w:cs="Traditional Arabic"/>
          <w:sz w:val="28"/>
          <w:szCs w:val="28"/>
          <w:rtl/>
          <w:lang w:val="en-US"/>
        </w:rPr>
        <w:t>رز التقرير السنوي لموبايلي التزام الشركة بتطوير مهارات موظفيها وتعزيز بيئة العمل المعرفية من خلال مبادرات استراتيجية، مما يجعل هذه العينة المختارة مناسبة جدًا لفهم مدى فعالية إدارة المعرفة وأثرها على الأداء الوظيفي في سياق عملي (</w:t>
      </w:r>
      <w:r w:rsidRPr="003D3C9F">
        <w:rPr>
          <w:rFonts w:ascii="Traditional Arabic" w:hAnsi="Traditional Arabic" w:cs="Traditional Arabic"/>
          <w:sz w:val="28"/>
          <w:szCs w:val="28"/>
          <w:lang w:val="en-US"/>
        </w:rPr>
        <w:t>Mobily, 2024</w:t>
      </w:r>
      <w:r w:rsidRPr="003D3C9F">
        <w:rPr>
          <w:rFonts w:ascii="Traditional Arabic" w:hAnsi="Traditional Arabic" w:cs="Traditional Arabic"/>
          <w:sz w:val="28"/>
          <w:szCs w:val="28"/>
          <w:rtl/>
          <w:lang w:val="en-US"/>
        </w:rPr>
        <w:t>).</w:t>
      </w:r>
    </w:p>
    <w:p w14:paraId="33C72836" w14:textId="77777777" w:rsidR="003D3C9F" w:rsidRDefault="003D3C9F" w:rsidP="003D3C9F">
      <w:pPr>
        <w:bidi/>
        <w:spacing w:line="360" w:lineRule="auto"/>
        <w:rPr>
          <w:rFonts w:ascii="Traditional Arabic" w:hAnsi="Traditional Arabic" w:cs="Traditional Arabic"/>
          <w:sz w:val="28"/>
          <w:szCs w:val="28"/>
          <w:rtl/>
          <w:lang w:val="en-US"/>
        </w:rPr>
      </w:pPr>
    </w:p>
    <w:p w14:paraId="7A5E63B9" w14:textId="77777777" w:rsidR="00B8790A" w:rsidRDefault="00B8790A" w:rsidP="003D3C9F">
      <w:pPr>
        <w:bidi/>
        <w:spacing w:line="360" w:lineRule="auto"/>
        <w:jc w:val="both"/>
        <w:rPr>
          <w:rFonts w:ascii="Traditional Arabic" w:hAnsi="Traditional Arabic" w:cs="Traditional Arabic"/>
          <w:b/>
          <w:bCs/>
          <w:sz w:val="28"/>
          <w:szCs w:val="28"/>
          <w:rtl/>
          <w:lang w:val="en-US"/>
        </w:rPr>
      </w:pPr>
      <w:r>
        <w:rPr>
          <w:rFonts w:ascii="Traditional Arabic" w:hAnsi="Traditional Arabic" w:cs="Traditional Arabic" w:hint="cs"/>
          <w:b/>
          <w:bCs/>
          <w:sz w:val="28"/>
          <w:szCs w:val="28"/>
          <w:rtl/>
          <w:lang w:val="en-US"/>
        </w:rPr>
        <w:t xml:space="preserve">رابعا: </w:t>
      </w:r>
      <w:r w:rsidRPr="00B8790A">
        <w:rPr>
          <w:rFonts w:ascii="Traditional Arabic" w:hAnsi="Traditional Arabic" w:cs="Traditional Arabic"/>
          <w:b/>
          <w:bCs/>
          <w:sz w:val="28"/>
          <w:szCs w:val="28"/>
          <w:rtl/>
          <w:lang w:val="en-US"/>
        </w:rPr>
        <w:t>حجم العينة</w:t>
      </w:r>
    </w:p>
    <w:p w14:paraId="1224B4AF" w14:textId="77777777" w:rsidR="003D3C9F" w:rsidRPr="003D3C9F" w:rsidRDefault="003D3C9F" w:rsidP="003D3C9F">
      <w:pPr>
        <w:bidi/>
        <w:spacing w:line="360" w:lineRule="auto"/>
        <w:jc w:val="both"/>
        <w:rPr>
          <w:rFonts w:ascii="Traditional Arabic" w:hAnsi="Traditional Arabic" w:cs="Traditional Arabic"/>
          <w:sz w:val="28"/>
          <w:szCs w:val="28"/>
          <w:lang w:val="en-US"/>
        </w:rPr>
      </w:pPr>
      <w:r w:rsidRPr="003D3C9F">
        <w:rPr>
          <w:rFonts w:ascii="Traditional Arabic" w:hAnsi="Traditional Arabic" w:cs="Traditional Arabic"/>
          <w:sz w:val="28"/>
          <w:szCs w:val="28"/>
          <w:rtl/>
          <w:lang w:val="en-US"/>
        </w:rPr>
        <w:t>بالنظر إلى أن مجتمع الدراسة يتكون من حوالي 4,306 موظفًا في شركة موبايلي السعودية للاتصالات</w:t>
      </w:r>
      <w:r>
        <w:rPr>
          <w:rFonts w:ascii="Traditional Arabic" w:hAnsi="Traditional Arabic" w:cs="Traditional Arabic" w:hint="cs"/>
          <w:sz w:val="28"/>
          <w:szCs w:val="28"/>
          <w:rtl/>
          <w:lang w:val="en-US"/>
        </w:rPr>
        <w:t xml:space="preserve"> </w:t>
      </w:r>
      <w:r w:rsidRPr="003D3C9F">
        <w:rPr>
          <w:rFonts w:ascii="Traditional Arabic" w:hAnsi="Traditional Arabic" w:cs="Traditional Arabic"/>
          <w:sz w:val="28"/>
          <w:szCs w:val="28"/>
          <w:lang w:val="en-US"/>
        </w:rPr>
        <w:t xml:space="preserve"> (Mobily, 2024)</w:t>
      </w:r>
      <w:r w:rsidRPr="003D3C9F">
        <w:rPr>
          <w:rFonts w:ascii="Traditional Arabic" w:hAnsi="Traditional Arabic" w:cs="Traditional Arabic"/>
          <w:sz w:val="28"/>
          <w:szCs w:val="28"/>
          <w:rtl/>
          <w:lang w:val="en-US"/>
        </w:rPr>
        <w:t>، فقد تم تحديد حجم العينة بناءً على جدول مورغان</w:t>
      </w:r>
      <w:r w:rsidRPr="003D3C9F">
        <w:rPr>
          <w:rFonts w:ascii="Traditional Arabic" w:hAnsi="Traditional Arabic" w:cs="Traditional Arabic"/>
          <w:sz w:val="28"/>
          <w:szCs w:val="28"/>
          <w:lang w:val="en-US"/>
        </w:rPr>
        <w:t xml:space="preserve"> (Morgan, 1970)</w:t>
      </w:r>
      <w:r w:rsidRPr="003D3C9F">
        <w:rPr>
          <w:rFonts w:ascii="Traditional Arabic" w:hAnsi="Traditional Arabic" w:cs="Traditional Arabic"/>
          <w:sz w:val="28"/>
          <w:szCs w:val="28"/>
          <w:rtl/>
          <w:lang w:val="en-US"/>
        </w:rPr>
        <w:t>، الذي يوفّر أعدادًا مقترحة لحجم العينة بحسب حجم المجتمع للحصول على نتائج ذات دلالة إحصائية ومستوى ثقة مناسب</w:t>
      </w:r>
      <w:r w:rsidRPr="003D3C9F">
        <w:rPr>
          <w:rFonts w:ascii="Traditional Arabic" w:hAnsi="Traditional Arabic" w:cs="Traditional Arabic"/>
          <w:sz w:val="28"/>
          <w:szCs w:val="28"/>
          <w:lang w:val="en-US"/>
        </w:rPr>
        <w:t>.</w:t>
      </w:r>
      <w:r>
        <w:rPr>
          <w:rFonts w:ascii="Traditional Arabic" w:hAnsi="Traditional Arabic" w:cs="Traditional Arabic" w:hint="cs"/>
          <w:sz w:val="28"/>
          <w:szCs w:val="28"/>
          <w:rtl/>
          <w:lang w:val="en-US" w:bidi="ar-JO"/>
        </w:rPr>
        <w:t xml:space="preserve"> </w:t>
      </w:r>
      <w:r w:rsidRPr="003D3C9F">
        <w:rPr>
          <w:rFonts w:ascii="Traditional Arabic" w:hAnsi="Traditional Arabic" w:cs="Traditional Arabic"/>
          <w:sz w:val="28"/>
          <w:szCs w:val="28"/>
          <w:rtl/>
          <w:lang w:val="en-US"/>
        </w:rPr>
        <w:t>وفقًا لهذا الجدول، للمجتمع الذي يتراوح بين 4,000 و5,000 فردًا، يُوصى باختيار عينة بحجم حوالي 357 مشاركًا لضمان تمثيل كافٍ وتمكن الدراسة من التعميم بشكل موثوق (</w:t>
      </w:r>
      <w:r w:rsidRPr="003D3C9F">
        <w:rPr>
          <w:rFonts w:ascii="Traditional Arabic" w:hAnsi="Traditional Arabic" w:cs="Traditional Arabic"/>
          <w:sz w:val="28"/>
          <w:szCs w:val="28"/>
          <w:lang w:val="en-US"/>
        </w:rPr>
        <w:t xml:space="preserve">Morgan, </w:t>
      </w:r>
      <w:r w:rsidRPr="003D3C9F">
        <w:rPr>
          <w:rFonts w:ascii="Traditional Arabic" w:hAnsi="Traditional Arabic" w:cs="Traditional Arabic"/>
          <w:sz w:val="28"/>
          <w:szCs w:val="28"/>
          <w:lang w:val="en-US"/>
        </w:rPr>
        <w:lastRenderedPageBreak/>
        <w:t>1970</w:t>
      </w:r>
      <w:r w:rsidRPr="003D3C9F">
        <w:rPr>
          <w:rFonts w:ascii="Traditional Arabic" w:hAnsi="Traditional Arabic" w:cs="Traditional Arabic"/>
          <w:sz w:val="28"/>
          <w:szCs w:val="28"/>
          <w:rtl/>
          <w:lang w:val="en-US"/>
        </w:rPr>
        <w:t>).</w:t>
      </w:r>
      <w:r>
        <w:rPr>
          <w:rFonts w:ascii="Traditional Arabic" w:hAnsi="Traditional Arabic" w:cs="Traditional Arabic" w:hint="cs"/>
          <w:sz w:val="28"/>
          <w:szCs w:val="28"/>
          <w:rtl/>
          <w:lang w:val="en-US" w:bidi="ar-JO"/>
        </w:rPr>
        <w:t xml:space="preserve"> </w:t>
      </w:r>
      <w:r w:rsidRPr="003D3C9F">
        <w:rPr>
          <w:rFonts w:ascii="Traditional Arabic" w:hAnsi="Traditional Arabic" w:cs="Traditional Arabic"/>
          <w:sz w:val="28"/>
          <w:szCs w:val="28"/>
          <w:rtl/>
          <w:lang w:val="en-US"/>
        </w:rPr>
        <w:t>تم اختيار هذا الحجم لتقليل هامش الخطأ وزيادة دقة النتائج، مع الأخذ بعين الاعتبار إمكانيات جمع البيانات والموارد المتاحة للدراسة</w:t>
      </w:r>
      <w:r w:rsidRPr="003D3C9F">
        <w:rPr>
          <w:rFonts w:ascii="Traditional Arabic" w:hAnsi="Traditional Arabic" w:cs="Traditional Arabic"/>
          <w:sz w:val="28"/>
          <w:szCs w:val="28"/>
          <w:lang w:val="en-US"/>
        </w:rPr>
        <w:t>.</w:t>
      </w:r>
    </w:p>
    <w:p w14:paraId="25345672" w14:textId="77777777" w:rsidR="00B8790A" w:rsidRPr="003D3C9F" w:rsidRDefault="00B8790A" w:rsidP="00B8790A">
      <w:pPr>
        <w:bidi/>
        <w:spacing w:line="360" w:lineRule="auto"/>
        <w:jc w:val="both"/>
        <w:rPr>
          <w:rFonts w:ascii="Traditional Arabic" w:hAnsi="Traditional Arabic" w:cs="Traditional Arabic"/>
          <w:sz w:val="28"/>
          <w:szCs w:val="28"/>
          <w:rtl/>
          <w:lang w:val="en-US"/>
        </w:rPr>
      </w:pPr>
    </w:p>
    <w:p w14:paraId="63E52815" w14:textId="77777777" w:rsidR="009D6275" w:rsidRPr="00B8790A" w:rsidRDefault="009D6275" w:rsidP="009D6275">
      <w:pPr>
        <w:bidi/>
        <w:spacing w:line="360" w:lineRule="auto"/>
        <w:jc w:val="both"/>
        <w:rPr>
          <w:rFonts w:ascii="Traditional Arabic" w:hAnsi="Traditional Arabic" w:cs="Traditional Arabic"/>
          <w:b/>
          <w:bCs/>
          <w:sz w:val="28"/>
          <w:szCs w:val="28"/>
          <w:rtl/>
        </w:rPr>
      </w:pPr>
      <w:r w:rsidRPr="006E6DD7">
        <w:rPr>
          <w:rFonts w:ascii="Traditional Arabic" w:hAnsi="Traditional Arabic" w:cs="Traditional Arabic"/>
          <w:b/>
          <w:bCs/>
          <w:sz w:val="28"/>
          <w:szCs w:val="28"/>
          <w:rtl/>
        </w:rPr>
        <w:t>ثالثًا</w:t>
      </w:r>
      <w:r w:rsidRPr="006E6DD7">
        <w:rPr>
          <w:rFonts w:ascii="Traditional Arabic" w:hAnsi="Traditional Arabic" w:cs="Traditional Arabic"/>
          <w:b/>
          <w:bCs/>
          <w:sz w:val="28"/>
          <w:szCs w:val="28"/>
        </w:rPr>
        <w:t xml:space="preserve">: </w:t>
      </w:r>
      <w:r w:rsidRPr="006E6DD7">
        <w:rPr>
          <w:rFonts w:ascii="Traditional Arabic" w:hAnsi="Traditional Arabic" w:cs="Traditional Arabic"/>
          <w:b/>
          <w:bCs/>
          <w:sz w:val="28"/>
          <w:szCs w:val="28"/>
          <w:rtl/>
        </w:rPr>
        <w:t>أداة الدراسة</w:t>
      </w:r>
    </w:p>
    <w:p w14:paraId="693F9135" w14:textId="77777777" w:rsidR="00B8790A" w:rsidRPr="00B8790A" w:rsidRDefault="00B8790A" w:rsidP="00B8790A">
      <w:pPr>
        <w:bidi/>
        <w:spacing w:line="360" w:lineRule="auto"/>
        <w:jc w:val="both"/>
        <w:rPr>
          <w:rFonts w:ascii="Traditional Arabic" w:hAnsi="Traditional Arabic" w:cs="Traditional Arabic"/>
          <w:sz w:val="28"/>
          <w:szCs w:val="28"/>
          <w:lang w:val="en-US"/>
        </w:rPr>
      </w:pPr>
      <w:r>
        <w:rPr>
          <w:rFonts w:ascii="Traditional Arabic" w:hAnsi="Traditional Arabic" w:cs="Traditional Arabic" w:hint="cs"/>
          <w:sz w:val="28"/>
          <w:szCs w:val="28"/>
          <w:rtl/>
        </w:rPr>
        <w:t xml:space="preserve">تم استخدام </w:t>
      </w:r>
      <w:r w:rsidRPr="00B8790A">
        <w:rPr>
          <w:rFonts w:ascii="Traditional Arabic" w:hAnsi="Traditional Arabic" w:cs="Traditional Arabic"/>
          <w:sz w:val="28"/>
          <w:szCs w:val="28"/>
          <w:rtl/>
        </w:rPr>
        <w:t>الاستبيان</w:t>
      </w:r>
      <w:r w:rsidRPr="00B8790A">
        <w:rPr>
          <w:rFonts w:ascii="Traditional Arabic" w:hAnsi="Traditional Arabic" w:cs="Traditional Arabic"/>
          <w:sz w:val="28"/>
          <w:szCs w:val="28"/>
          <w:lang w:val="en-US"/>
        </w:rPr>
        <w:t xml:space="preserve"> </w:t>
      </w:r>
      <w:r>
        <w:rPr>
          <w:rFonts w:ascii="Traditional Arabic" w:hAnsi="Traditional Arabic" w:cs="Traditional Arabic" w:hint="cs"/>
          <w:sz w:val="28"/>
          <w:szCs w:val="28"/>
          <w:rtl/>
          <w:lang w:val="en-US"/>
        </w:rPr>
        <w:t xml:space="preserve">كأداة للدراسة لجمع البيانات </w:t>
      </w:r>
      <w:r w:rsidRPr="00B8790A">
        <w:rPr>
          <w:rFonts w:ascii="Traditional Arabic" w:hAnsi="Traditional Arabic" w:cs="Traditional Arabic"/>
          <w:sz w:val="28"/>
          <w:szCs w:val="28"/>
          <w:rtl/>
        </w:rPr>
        <w:t xml:space="preserve">وهو الأداة الأساسية لجمع البيانات من عينة الدراسة. </w:t>
      </w:r>
      <w:r>
        <w:rPr>
          <w:rFonts w:ascii="Traditional Arabic" w:hAnsi="Traditional Arabic" w:cs="Traditional Arabic" w:hint="cs"/>
          <w:sz w:val="28"/>
          <w:szCs w:val="28"/>
          <w:rtl/>
        </w:rPr>
        <w:t>تم</w:t>
      </w:r>
      <w:r w:rsidRPr="00B8790A">
        <w:rPr>
          <w:rFonts w:ascii="Traditional Arabic" w:hAnsi="Traditional Arabic" w:cs="Traditional Arabic"/>
          <w:sz w:val="28"/>
          <w:szCs w:val="28"/>
          <w:rtl/>
        </w:rPr>
        <w:t xml:space="preserve"> تصميم الاستبيان بناءً على متغيرات الدراسة، ويشمل ثلاثة أقسام</w:t>
      </w:r>
      <w:r w:rsidRPr="00B8790A">
        <w:rPr>
          <w:rFonts w:ascii="Traditional Arabic" w:hAnsi="Traditional Arabic" w:cs="Traditional Arabic"/>
          <w:sz w:val="28"/>
          <w:szCs w:val="28"/>
          <w:lang w:val="en-US"/>
        </w:rPr>
        <w:t>:</w:t>
      </w:r>
    </w:p>
    <w:p w14:paraId="46B28774" w14:textId="77777777" w:rsidR="00B8790A" w:rsidRPr="00B8790A" w:rsidRDefault="00B8790A" w:rsidP="00B8790A">
      <w:pPr>
        <w:numPr>
          <w:ilvl w:val="1"/>
          <w:numId w:val="16"/>
        </w:numPr>
        <w:bidi/>
        <w:spacing w:line="360" w:lineRule="auto"/>
        <w:jc w:val="both"/>
        <w:rPr>
          <w:rFonts w:ascii="Traditional Arabic" w:hAnsi="Traditional Arabic" w:cs="Traditional Arabic"/>
          <w:sz w:val="28"/>
          <w:szCs w:val="28"/>
          <w:lang w:val="en-US"/>
        </w:rPr>
      </w:pPr>
      <w:r w:rsidRPr="00B8790A">
        <w:rPr>
          <w:rFonts w:ascii="Traditional Arabic" w:hAnsi="Traditional Arabic" w:cs="Traditional Arabic"/>
          <w:sz w:val="28"/>
          <w:szCs w:val="28"/>
          <w:rtl/>
        </w:rPr>
        <w:t xml:space="preserve">البيانات الديموغرافية </w:t>
      </w:r>
      <w:r w:rsidRPr="00B8790A">
        <w:rPr>
          <w:rFonts w:ascii="Traditional Arabic" w:hAnsi="Traditional Arabic" w:cs="Traditional Arabic" w:hint="cs"/>
          <w:sz w:val="28"/>
          <w:szCs w:val="28"/>
          <w:rtl/>
        </w:rPr>
        <w:t>(</w:t>
      </w:r>
      <w:r w:rsidRPr="00B8790A">
        <w:rPr>
          <w:rFonts w:ascii="Traditional Arabic" w:hAnsi="Traditional Arabic" w:cs="Traditional Arabic"/>
          <w:sz w:val="28"/>
          <w:szCs w:val="28"/>
          <w:rtl/>
        </w:rPr>
        <w:t>النوع، العمر، المؤهل، سنوات الخبرة</w:t>
      </w:r>
      <w:r w:rsidRPr="00B8790A">
        <w:rPr>
          <w:rFonts w:ascii="Traditional Arabic" w:hAnsi="Traditional Arabic" w:cs="Traditional Arabic"/>
          <w:sz w:val="28"/>
          <w:szCs w:val="28"/>
          <w:lang w:val="en-US"/>
        </w:rPr>
        <w:t>.</w:t>
      </w:r>
      <w:r w:rsidRPr="00B8790A">
        <w:rPr>
          <w:rFonts w:ascii="Traditional Arabic" w:hAnsi="Traditional Arabic" w:cs="Traditional Arabic" w:hint="cs"/>
          <w:sz w:val="28"/>
          <w:szCs w:val="28"/>
          <w:rtl/>
        </w:rPr>
        <w:t>)</w:t>
      </w:r>
    </w:p>
    <w:p w14:paraId="4A0347E1" w14:textId="77777777" w:rsidR="00B8790A" w:rsidRDefault="00B8790A" w:rsidP="00B8790A">
      <w:pPr>
        <w:numPr>
          <w:ilvl w:val="1"/>
          <w:numId w:val="16"/>
        </w:numPr>
        <w:bidi/>
        <w:spacing w:line="360" w:lineRule="auto"/>
        <w:jc w:val="both"/>
        <w:rPr>
          <w:rFonts w:ascii="Traditional Arabic" w:hAnsi="Traditional Arabic" w:cs="Traditional Arabic"/>
          <w:sz w:val="28"/>
          <w:szCs w:val="28"/>
          <w:lang w:val="en-US"/>
        </w:rPr>
      </w:pPr>
      <w:r w:rsidRPr="00B8790A">
        <w:rPr>
          <w:rFonts w:ascii="Traditional Arabic" w:hAnsi="Traditional Arabic" w:cs="Traditional Arabic"/>
          <w:sz w:val="28"/>
          <w:szCs w:val="28"/>
          <w:rtl/>
        </w:rPr>
        <w:t>محاور إدارة المعرفة</w:t>
      </w:r>
      <w:r w:rsidRPr="00B8790A">
        <w:rPr>
          <w:rFonts w:ascii="Traditional Arabic" w:hAnsi="Traditional Arabic" w:cs="Traditional Arabic"/>
          <w:sz w:val="28"/>
          <w:szCs w:val="28"/>
          <w:lang w:val="en-US"/>
        </w:rPr>
        <w:t xml:space="preserve">: </w:t>
      </w:r>
      <w:r w:rsidRPr="00B8790A">
        <w:rPr>
          <w:rFonts w:ascii="Traditional Arabic" w:hAnsi="Traditional Arabic" w:cs="Traditional Arabic"/>
          <w:sz w:val="28"/>
          <w:szCs w:val="28"/>
          <w:rtl/>
        </w:rPr>
        <w:t>مثل (اكتساب المعرفة، مشاركة المعرفة، تطبيق المعرفة</w:t>
      </w:r>
      <w:r w:rsidRPr="00B8790A">
        <w:rPr>
          <w:rFonts w:ascii="Traditional Arabic" w:hAnsi="Traditional Arabic" w:cs="Traditional Arabic" w:hint="cs"/>
          <w:sz w:val="28"/>
          <w:szCs w:val="28"/>
          <w:rtl/>
        </w:rPr>
        <w:t>)</w:t>
      </w:r>
    </w:p>
    <w:p w14:paraId="7AE95B4D" w14:textId="77777777" w:rsidR="00B8790A" w:rsidRPr="00B8790A" w:rsidRDefault="00B8790A" w:rsidP="00B8790A">
      <w:pPr>
        <w:numPr>
          <w:ilvl w:val="1"/>
          <w:numId w:val="16"/>
        </w:numPr>
        <w:bidi/>
        <w:spacing w:line="360" w:lineRule="auto"/>
        <w:jc w:val="both"/>
        <w:rPr>
          <w:rFonts w:ascii="Traditional Arabic" w:hAnsi="Traditional Arabic" w:cs="Traditional Arabic"/>
          <w:sz w:val="28"/>
          <w:szCs w:val="28"/>
          <w:rtl/>
          <w:lang w:val="en-US"/>
        </w:rPr>
      </w:pPr>
      <w:r w:rsidRPr="00B8790A">
        <w:rPr>
          <w:rFonts w:ascii="Traditional Arabic" w:hAnsi="Traditional Arabic" w:cs="Traditional Arabic"/>
          <w:sz w:val="28"/>
          <w:szCs w:val="28"/>
          <w:rtl/>
        </w:rPr>
        <w:t>محاور أداء العاملين</w:t>
      </w:r>
      <w:r w:rsidRPr="00B8790A">
        <w:rPr>
          <w:rFonts w:ascii="Traditional Arabic" w:hAnsi="Traditional Arabic" w:cs="Traditional Arabic"/>
          <w:sz w:val="28"/>
          <w:szCs w:val="28"/>
          <w:lang w:val="en-US"/>
        </w:rPr>
        <w:t xml:space="preserve">: </w:t>
      </w:r>
      <w:r>
        <w:rPr>
          <w:rFonts w:ascii="Traditional Arabic" w:hAnsi="Traditional Arabic" w:cs="Traditional Arabic" w:hint="cs"/>
          <w:sz w:val="28"/>
          <w:szCs w:val="28"/>
          <w:rtl/>
          <w:lang w:val="en-US"/>
        </w:rPr>
        <w:t xml:space="preserve"> يتمثل في اربعة متغيرات</w:t>
      </w:r>
      <w:r w:rsidRPr="00B8790A">
        <w:rPr>
          <w:rFonts w:ascii="Traditional Arabic" w:hAnsi="Traditional Arabic" w:cs="Traditional Arabic"/>
          <w:sz w:val="28"/>
          <w:szCs w:val="28"/>
          <w:rtl/>
        </w:rPr>
        <w:t xml:space="preserve"> (الكفاءة، الابتكار وحل المشكلات، رضا العملاء، الالتزام الوظيفي</w:t>
      </w:r>
      <w:r w:rsidRPr="00B8790A">
        <w:rPr>
          <w:rFonts w:ascii="Traditional Arabic" w:hAnsi="Traditional Arabic" w:cs="Traditional Arabic" w:hint="cs"/>
          <w:sz w:val="28"/>
          <w:szCs w:val="28"/>
          <w:rtl/>
        </w:rPr>
        <w:t xml:space="preserve">)  </w:t>
      </w:r>
      <w:r>
        <w:rPr>
          <w:rFonts w:ascii="Traditional Arabic" w:hAnsi="Traditional Arabic" w:cs="Traditional Arabic" w:hint="cs"/>
          <w:sz w:val="28"/>
          <w:szCs w:val="28"/>
          <w:rtl/>
        </w:rPr>
        <w:t>حيث تم استخدام</w:t>
      </w:r>
      <w:r w:rsidRPr="00B8790A">
        <w:rPr>
          <w:rFonts w:ascii="Traditional Arabic" w:hAnsi="Traditional Arabic" w:cs="Traditional Arabic"/>
          <w:sz w:val="28"/>
          <w:szCs w:val="28"/>
          <w:rtl/>
        </w:rPr>
        <w:t xml:space="preserve"> مقياس ليكرت الخماسي لتقييم إجابات </w:t>
      </w:r>
      <w:r w:rsidRPr="00B8790A">
        <w:rPr>
          <w:rFonts w:ascii="Traditional Arabic" w:hAnsi="Traditional Arabic" w:cs="Traditional Arabic" w:hint="cs"/>
          <w:sz w:val="28"/>
          <w:szCs w:val="28"/>
          <w:rtl/>
        </w:rPr>
        <w:t>المبحثين</w:t>
      </w:r>
      <w:r>
        <w:rPr>
          <w:rFonts w:ascii="Traditional Arabic" w:hAnsi="Traditional Arabic" w:cs="Traditional Arabic" w:hint="cs"/>
          <w:sz w:val="28"/>
          <w:szCs w:val="28"/>
          <w:rtl/>
        </w:rPr>
        <w:t>.</w:t>
      </w:r>
    </w:p>
    <w:p w14:paraId="65608DA2" w14:textId="77777777" w:rsidR="00B8790A" w:rsidRPr="00B8790A" w:rsidRDefault="00B8790A" w:rsidP="00B8790A">
      <w:pPr>
        <w:bidi/>
        <w:spacing w:line="360" w:lineRule="auto"/>
        <w:jc w:val="both"/>
        <w:rPr>
          <w:rFonts w:ascii="Traditional Arabic" w:hAnsi="Traditional Arabic" w:cs="Traditional Arabic"/>
          <w:sz w:val="28"/>
          <w:szCs w:val="28"/>
          <w:rtl/>
        </w:rPr>
      </w:pPr>
    </w:p>
    <w:p w14:paraId="44267903" w14:textId="77777777" w:rsidR="009D6275" w:rsidRPr="00B8790A" w:rsidRDefault="009D6275" w:rsidP="00B8790A">
      <w:pPr>
        <w:bidi/>
        <w:spacing w:line="360" w:lineRule="auto"/>
        <w:jc w:val="both"/>
        <w:rPr>
          <w:rFonts w:ascii="Traditional Arabic" w:hAnsi="Traditional Arabic" w:cs="Traditional Arabic"/>
          <w:b/>
          <w:bCs/>
          <w:sz w:val="28"/>
          <w:szCs w:val="28"/>
        </w:rPr>
      </w:pPr>
      <w:r w:rsidRPr="00B8790A">
        <w:rPr>
          <w:rFonts w:ascii="Traditional Arabic" w:hAnsi="Traditional Arabic" w:cs="Traditional Arabic"/>
          <w:b/>
          <w:bCs/>
          <w:sz w:val="28"/>
          <w:szCs w:val="28"/>
          <w:rtl/>
        </w:rPr>
        <w:t>رابعًا</w:t>
      </w:r>
      <w:r w:rsidRPr="00B8790A">
        <w:rPr>
          <w:rFonts w:ascii="Traditional Arabic" w:hAnsi="Traditional Arabic" w:cs="Traditional Arabic"/>
          <w:b/>
          <w:bCs/>
          <w:sz w:val="28"/>
          <w:szCs w:val="28"/>
        </w:rPr>
        <w:t xml:space="preserve">: </w:t>
      </w:r>
      <w:r w:rsidRPr="00B8790A">
        <w:rPr>
          <w:rFonts w:ascii="Traditional Arabic" w:hAnsi="Traditional Arabic" w:cs="Traditional Arabic"/>
          <w:b/>
          <w:bCs/>
          <w:sz w:val="28"/>
          <w:szCs w:val="28"/>
          <w:rtl/>
        </w:rPr>
        <w:t>الأساليب الإحصائية</w:t>
      </w:r>
    </w:p>
    <w:p w14:paraId="12FD36EB" w14:textId="77777777" w:rsidR="009D6275" w:rsidRPr="00B8790A" w:rsidRDefault="00E13A59" w:rsidP="009D6275">
      <w:pPr>
        <w:bidi/>
        <w:spacing w:line="360" w:lineRule="auto"/>
        <w:jc w:val="both"/>
        <w:rPr>
          <w:rFonts w:ascii="Traditional Arabic" w:hAnsi="Traditional Arabic" w:cs="Traditional Arabic"/>
          <w:sz w:val="28"/>
          <w:szCs w:val="28"/>
        </w:rPr>
      </w:pPr>
      <w:r w:rsidRPr="00B8790A">
        <w:rPr>
          <w:rFonts w:ascii="Traditional Arabic" w:hAnsi="Traditional Arabic" w:cs="Traditional Arabic" w:hint="cs"/>
          <w:sz w:val="28"/>
          <w:szCs w:val="28"/>
          <w:rtl/>
        </w:rPr>
        <w:t>تم</w:t>
      </w:r>
      <w:r w:rsidR="009D6275" w:rsidRPr="00B8790A">
        <w:rPr>
          <w:rFonts w:ascii="Traditional Arabic" w:hAnsi="Traditional Arabic" w:cs="Traditional Arabic"/>
          <w:sz w:val="28"/>
          <w:szCs w:val="28"/>
          <w:rtl/>
        </w:rPr>
        <w:t xml:space="preserve"> استخدام برنامج الحزمة الإحصائية للعلوم الاجتماعية</w:t>
      </w:r>
      <w:r w:rsidR="009D6275" w:rsidRPr="00B8790A">
        <w:rPr>
          <w:rFonts w:ascii="Traditional Arabic" w:hAnsi="Traditional Arabic" w:cs="Traditional Arabic"/>
          <w:sz w:val="28"/>
          <w:szCs w:val="28"/>
        </w:rPr>
        <w:t xml:space="preserve"> (SPSS) </w:t>
      </w:r>
      <w:r w:rsidR="009D6275" w:rsidRPr="00B8790A">
        <w:rPr>
          <w:rFonts w:ascii="Traditional Arabic" w:hAnsi="Traditional Arabic" w:cs="Traditional Arabic"/>
          <w:sz w:val="28"/>
          <w:szCs w:val="28"/>
          <w:rtl/>
        </w:rPr>
        <w:t>لتحليل البيانات، وذلك باستخدام الأساليب التالية</w:t>
      </w:r>
      <w:r w:rsidR="009D6275" w:rsidRPr="00B8790A">
        <w:rPr>
          <w:rFonts w:ascii="Traditional Arabic" w:hAnsi="Traditional Arabic" w:cs="Traditional Arabic"/>
          <w:sz w:val="28"/>
          <w:szCs w:val="28"/>
        </w:rPr>
        <w:t>:</w:t>
      </w:r>
    </w:p>
    <w:p w14:paraId="17308C26" w14:textId="77777777" w:rsidR="007F6900" w:rsidRPr="00B8790A" w:rsidRDefault="009D6275" w:rsidP="007F6900">
      <w:pPr>
        <w:numPr>
          <w:ilvl w:val="0"/>
          <w:numId w:val="7"/>
        </w:numPr>
        <w:bidi/>
        <w:spacing w:line="360" w:lineRule="auto"/>
        <w:jc w:val="both"/>
        <w:rPr>
          <w:rFonts w:ascii="Traditional Arabic" w:hAnsi="Traditional Arabic" w:cs="Traditional Arabic"/>
          <w:sz w:val="28"/>
          <w:szCs w:val="28"/>
        </w:rPr>
      </w:pPr>
      <w:r w:rsidRPr="00B8790A">
        <w:rPr>
          <w:rFonts w:ascii="Traditional Arabic" w:hAnsi="Traditional Arabic" w:cs="Traditional Arabic"/>
          <w:sz w:val="28"/>
          <w:szCs w:val="28"/>
          <w:rtl/>
        </w:rPr>
        <w:t>التكرارات والنسب المئوية والمتوسطات والانحراف المعياري</w:t>
      </w:r>
      <w:r w:rsidRPr="00B8790A">
        <w:rPr>
          <w:rFonts w:ascii="Traditional Arabic" w:hAnsi="Traditional Arabic" w:cs="Traditional Arabic"/>
          <w:sz w:val="28"/>
          <w:szCs w:val="28"/>
        </w:rPr>
        <w:t>.</w:t>
      </w:r>
      <w:r w:rsidR="007F6900" w:rsidRPr="00B8790A">
        <w:rPr>
          <w:rFonts w:ascii="Traditional Arabic" w:hAnsi="Traditional Arabic" w:cs="Traditional Arabic"/>
          <w:sz w:val="28"/>
          <w:szCs w:val="28"/>
        </w:rPr>
        <w:t xml:space="preserve"> </w:t>
      </w:r>
    </w:p>
    <w:p w14:paraId="3C7D38D0" w14:textId="77777777" w:rsidR="009D6275" w:rsidRPr="00B8790A" w:rsidRDefault="009D6275" w:rsidP="007F6900">
      <w:pPr>
        <w:numPr>
          <w:ilvl w:val="0"/>
          <w:numId w:val="7"/>
        </w:numPr>
        <w:bidi/>
        <w:spacing w:line="360" w:lineRule="auto"/>
        <w:jc w:val="both"/>
        <w:rPr>
          <w:rFonts w:ascii="Traditional Arabic" w:hAnsi="Traditional Arabic" w:cs="Traditional Arabic"/>
          <w:sz w:val="28"/>
          <w:szCs w:val="28"/>
        </w:rPr>
      </w:pPr>
      <w:r w:rsidRPr="00B8790A">
        <w:rPr>
          <w:rFonts w:ascii="Traditional Arabic" w:hAnsi="Traditional Arabic" w:cs="Traditional Arabic"/>
          <w:sz w:val="28"/>
          <w:szCs w:val="28"/>
          <w:rtl/>
        </w:rPr>
        <w:t>اختبار</w:t>
      </w:r>
      <w:r w:rsidRPr="00B8790A">
        <w:rPr>
          <w:rFonts w:ascii="Traditional Arabic" w:hAnsi="Traditional Arabic" w:cs="Traditional Arabic"/>
          <w:sz w:val="28"/>
          <w:szCs w:val="28"/>
        </w:rPr>
        <w:t xml:space="preserve"> (T-test) </w:t>
      </w:r>
      <w:r w:rsidRPr="00B8790A">
        <w:rPr>
          <w:rFonts w:ascii="Traditional Arabic" w:hAnsi="Traditional Arabic" w:cs="Traditional Arabic"/>
          <w:sz w:val="28"/>
          <w:szCs w:val="28"/>
          <w:rtl/>
        </w:rPr>
        <w:t>وتحليل التباين الأحادي</w:t>
      </w:r>
      <w:r w:rsidRPr="00B8790A">
        <w:rPr>
          <w:rFonts w:ascii="Traditional Arabic" w:hAnsi="Traditional Arabic" w:cs="Traditional Arabic"/>
          <w:sz w:val="28"/>
          <w:szCs w:val="28"/>
        </w:rPr>
        <w:t xml:space="preserve"> (ANOVA) </w:t>
      </w:r>
      <w:r w:rsidRPr="00B8790A">
        <w:rPr>
          <w:rFonts w:ascii="Traditional Arabic" w:hAnsi="Traditional Arabic" w:cs="Traditional Arabic"/>
          <w:sz w:val="28"/>
          <w:szCs w:val="28"/>
          <w:rtl/>
        </w:rPr>
        <w:t>لفحص الفروق بين المتوسطات</w:t>
      </w:r>
      <w:r w:rsidRPr="00B8790A">
        <w:rPr>
          <w:rFonts w:ascii="Traditional Arabic" w:hAnsi="Traditional Arabic" w:cs="Traditional Arabic"/>
          <w:sz w:val="28"/>
          <w:szCs w:val="28"/>
        </w:rPr>
        <w:t>.</w:t>
      </w:r>
    </w:p>
    <w:p w14:paraId="2AF96772" w14:textId="77777777" w:rsidR="00C33CF6" w:rsidRPr="00ED7D14" w:rsidRDefault="009D6275" w:rsidP="00ED7D14">
      <w:pPr>
        <w:numPr>
          <w:ilvl w:val="0"/>
          <w:numId w:val="7"/>
        </w:numPr>
        <w:bidi/>
        <w:spacing w:line="360" w:lineRule="auto"/>
        <w:jc w:val="both"/>
        <w:rPr>
          <w:rFonts w:ascii="Traditional Arabic" w:hAnsi="Traditional Arabic" w:cs="Traditional Arabic"/>
          <w:sz w:val="28"/>
          <w:szCs w:val="28"/>
          <w:rtl/>
        </w:rPr>
      </w:pPr>
      <w:r w:rsidRPr="00B8790A">
        <w:rPr>
          <w:rFonts w:ascii="Traditional Arabic" w:hAnsi="Traditional Arabic" w:cs="Traditional Arabic"/>
          <w:sz w:val="28"/>
          <w:szCs w:val="28"/>
          <w:rtl/>
        </w:rPr>
        <w:t xml:space="preserve">تحليل الانحدار البسيط والمتعدد لقياس تأثير </w:t>
      </w:r>
      <w:r w:rsidR="00B8790A" w:rsidRPr="00B8790A">
        <w:rPr>
          <w:rFonts w:ascii="Traditional Arabic" w:hAnsi="Traditional Arabic" w:cs="Traditional Arabic" w:hint="cs"/>
          <w:sz w:val="28"/>
          <w:szCs w:val="28"/>
          <w:rtl/>
        </w:rPr>
        <w:t>ممارسات ادارة المعرفة</w:t>
      </w:r>
      <w:r w:rsidRPr="00B8790A">
        <w:rPr>
          <w:rFonts w:ascii="Traditional Arabic" w:hAnsi="Traditional Arabic" w:cs="Traditional Arabic"/>
          <w:sz w:val="28"/>
          <w:szCs w:val="28"/>
          <w:rtl/>
        </w:rPr>
        <w:t xml:space="preserve"> على </w:t>
      </w:r>
      <w:r w:rsidR="00B8790A" w:rsidRPr="00B8790A">
        <w:rPr>
          <w:rFonts w:ascii="Traditional Arabic" w:hAnsi="Traditional Arabic" w:cs="Traditional Arabic" w:hint="cs"/>
          <w:sz w:val="28"/>
          <w:szCs w:val="28"/>
          <w:rtl/>
        </w:rPr>
        <w:t>اداء العاملين</w:t>
      </w:r>
      <w:r w:rsidRPr="00B8790A">
        <w:rPr>
          <w:rFonts w:ascii="Traditional Arabic" w:hAnsi="Traditional Arabic" w:cs="Traditional Arabic"/>
          <w:sz w:val="28"/>
          <w:szCs w:val="28"/>
        </w:rPr>
        <w:t>.</w:t>
      </w:r>
    </w:p>
    <w:p w14:paraId="3D0238C3" w14:textId="77777777" w:rsidR="007F6900" w:rsidRPr="005D0570" w:rsidRDefault="009D6275" w:rsidP="007F6900">
      <w:pPr>
        <w:bidi/>
        <w:spacing w:line="360" w:lineRule="auto"/>
        <w:rPr>
          <w:rFonts w:ascii="Traditional Arabic" w:hAnsi="Traditional Arabic" w:cs="Traditional Arabic"/>
          <w:b/>
          <w:bCs/>
          <w:sz w:val="32"/>
          <w:szCs w:val="32"/>
        </w:rPr>
      </w:pPr>
      <w:r w:rsidRPr="005D0570">
        <w:rPr>
          <w:rFonts w:ascii="Traditional Arabic" w:hAnsi="Traditional Arabic" w:cs="Traditional Arabic"/>
          <w:b/>
          <w:bCs/>
          <w:sz w:val="32"/>
          <w:szCs w:val="32"/>
          <w:rtl/>
        </w:rPr>
        <w:lastRenderedPageBreak/>
        <w:t>نموذج الدراسة</w:t>
      </w:r>
    </w:p>
    <w:p w14:paraId="19485B19" w14:textId="77777777" w:rsidR="005D0570" w:rsidRPr="005D0570" w:rsidRDefault="007F6900" w:rsidP="007F6900">
      <w:pPr>
        <w:bidi/>
        <w:spacing w:line="360" w:lineRule="auto"/>
        <w:rPr>
          <w:rFonts w:ascii="Traditional Arabic" w:hAnsi="Traditional Arabic" w:cs="Traditional Arabic"/>
          <w:sz w:val="28"/>
          <w:szCs w:val="28"/>
          <w:rtl/>
          <w:lang w:bidi="ar-AE"/>
        </w:rPr>
      </w:pPr>
      <w:r w:rsidRPr="005D0570">
        <w:rPr>
          <w:rFonts w:ascii="Traditional Arabic" w:hAnsi="Traditional Arabic" w:cs="Traditional Arabic" w:hint="cs"/>
          <w:sz w:val="28"/>
          <w:szCs w:val="28"/>
          <w:rtl/>
          <w:lang w:bidi="ar-AE"/>
        </w:rPr>
        <w:t>الشكل في الاسفل (رقم 1) يوضح كل من متغيرات الدراسة الثابتة والمستقلة بالإضافة الى فرضيات الدراسة الرئيسية والفرعية.</w:t>
      </w:r>
    </w:p>
    <w:p w14:paraId="07DB81C9" w14:textId="77777777" w:rsidR="005D0570" w:rsidRPr="005D0570" w:rsidRDefault="005D0570" w:rsidP="005D0570">
      <w:pPr>
        <w:bidi/>
        <w:spacing w:line="360" w:lineRule="auto"/>
        <w:rPr>
          <w:rFonts w:ascii="Traditional Arabic" w:hAnsi="Traditional Arabic" w:cs="Traditional Arabic"/>
          <w:sz w:val="28"/>
          <w:szCs w:val="28"/>
          <w:rtl/>
          <w:lang w:bidi="ar-AE"/>
        </w:rPr>
      </w:pPr>
    </w:p>
    <w:p w14:paraId="0B0EBC3D" w14:textId="77777777" w:rsidR="005D0570" w:rsidRPr="005D0570" w:rsidRDefault="005D0570" w:rsidP="005D0570">
      <w:pPr>
        <w:bidi/>
        <w:spacing w:line="360" w:lineRule="auto"/>
        <w:rPr>
          <w:rFonts w:ascii="Traditional Arabic" w:hAnsi="Traditional Arabic" w:cs="Traditional Arabic"/>
          <w:sz w:val="28"/>
          <w:szCs w:val="28"/>
          <w:rtl/>
          <w:lang w:bidi="ar-AE"/>
        </w:rPr>
      </w:pPr>
    </w:p>
    <w:p w14:paraId="4F5816D3" w14:textId="77777777" w:rsidR="005D0570" w:rsidRPr="005D0570" w:rsidRDefault="00B8790A" w:rsidP="005D0570">
      <w:pPr>
        <w:bidi/>
        <w:spacing w:line="360" w:lineRule="auto"/>
        <w:rPr>
          <w:rFonts w:ascii="Traditional Arabic" w:hAnsi="Traditional Arabic" w:cs="Traditional Arabic"/>
          <w:sz w:val="28"/>
          <w:szCs w:val="28"/>
          <w:rtl/>
          <w:lang w:bidi="ar-AE"/>
        </w:rPr>
      </w:pPr>
      <w:r>
        <w:rPr>
          <w:noProof/>
          <w:lang w:val="en-US"/>
        </w:rPr>
        <mc:AlternateContent>
          <mc:Choice Requires="wpg">
            <w:drawing>
              <wp:anchor distT="0" distB="0" distL="114300" distR="114300" simplePos="0" relativeHeight="251659264" behindDoc="0" locked="0" layoutInCell="1" allowOverlap="1" wp14:anchorId="1F9FBBCF" wp14:editId="4DF4C9C4">
                <wp:simplePos x="0" y="0"/>
                <wp:positionH relativeFrom="column">
                  <wp:posOffset>489585</wp:posOffset>
                </wp:positionH>
                <wp:positionV relativeFrom="paragraph">
                  <wp:posOffset>-1056005</wp:posOffset>
                </wp:positionV>
                <wp:extent cx="5210629" cy="5148580"/>
                <wp:effectExtent l="0" t="0" r="28575" b="13970"/>
                <wp:wrapNone/>
                <wp:docPr id="1" name="مجموعة 1"/>
                <wp:cNvGraphicFramePr/>
                <a:graphic xmlns:a="http://schemas.openxmlformats.org/drawingml/2006/main">
                  <a:graphicData uri="http://schemas.microsoft.com/office/word/2010/wordprocessingGroup">
                    <wpg:wgp>
                      <wpg:cNvGrpSpPr/>
                      <wpg:grpSpPr>
                        <a:xfrm>
                          <a:off x="0" y="0"/>
                          <a:ext cx="5210629" cy="5148580"/>
                          <a:chOff x="0" y="0"/>
                          <a:chExt cx="5210629" cy="5148580"/>
                        </a:xfrm>
                      </wpg:grpSpPr>
                      <wpg:grpSp>
                        <wpg:cNvPr id="4" name="مجموعة 4"/>
                        <wpg:cNvGrpSpPr/>
                        <wpg:grpSpPr>
                          <a:xfrm>
                            <a:off x="0" y="0"/>
                            <a:ext cx="5210629" cy="5148580"/>
                            <a:chOff x="0" y="0"/>
                            <a:chExt cx="5210629" cy="5148580"/>
                          </a:xfrm>
                        </wpg:grpSpPr>
                        <wpg:grpSp>
                          <wpg:cNvPr id="5" name="مجموعة 5"/>
                          <wpg:cNvGrpSpPr/>
                          <wpg:grpSpPr>
                            <a:xfrm>
                              <a:off x="0" y="0"/>
                              <a:ext cx="5210629" cy="5148580"/>
                              <a:chOff x="0" y="0"/>
                              <a:chExt cx="5210629" cy="5148580"/>
                            </a:xfrm>
                          </wpg:grpSpPr>
                          <wpg:grpSp>
                            <wpg:cNvPr id="6" name="مجموعة 6"/>
                            <wpg:cNvGrpSpPr/>
                            <wpg:grpSpPr>
                              <a:xfrm>
                                <a:off x="0" y="0"/>
                                <a:ext cx="5210629" cy="4488815"/>
                                <a:chOff x="0" y="0"/>
                                <a:chExt cx="5210629" cy="4488815"/>
                              </a:xfrm>
                            </wpg:grpSpPr>
                            <wpg:grpSp>
                              <wpg:cNvPr id="7" name="مجموعة 7"/>
                              <wpg:cNvGrpSpPr/>
                              <wpg:grpSpPr>
                                <a:xfrm>
                                  <a:off x="0" y="0"/>
                                  <a:ext cx="5210629" cy="4210650"/>
                                  <a:chOff x="0" y="65314"/>
                                  <a:chExt cx="5210629" cy="4100277"/>
                                </a:xfrm>
                              </wpg:grpSpPr>
                              <wpg:grpSp>
                                <wpg:cNvPr id="8" name="مجموعة 8"/>
                                <wpg:cNvGrpSpPr/>
                                <wpg:grpSpPr>
                                  <a:xfrm>
                                    <a:off x="0" y="65314"/>
                                    <a:ext cx="5210629" cy="4100277"/>
                                    <a:chOff x="0" y="0"/>
                                    <a:chExt cx="5210629" cy="4100277"/>
                                  </a:xfrm>
                                </wpg:grpSpPr>
                                <wps:wsp>
                                  <wps:cNvPr id="9" name="مستطيل 9"/>
                                  <wps:cNvSpPr/>
                                  <wps:spPr>
                                    <a:xfrm>
                                      <a:off x="3918858" y="2080652"/>
                                      <a:ext cx="914400" cy="1151255"/>
                                    </a:xfrm>
                                    <a:prstGeom prst="rect">
                                      <a:avLst/>
                                    </a:prstGeom>
                                    <a:solidFill>
                                      <a:sysClr val="window" lastClr="FFFFFF"/>
                                    </a:solidFill>
                                    <a:ln w="25400" cap="flat" cmpd="sng" algn="ctr">
                                      <a:solidFill>
                                        <a:srgbClr val="F79646"/>
                                      </a:solidFill>
                                      <a:prstDash val="solid"/>
                                    </a:ln>
                                    <a:effectLst/>
                                  </wps:spPr>
                                  <wps:txbx>
                                    <w:txbxContent>
                                      <w:p w14:paraId="26E3E70D" w14:textId="77777777" w:rsidR="00B8790A" w:rsidRPr="00225281" w:rsidRDefault="00B8790A" w:rsidP="00B8790A">
                                        <w:pPr>
                                          <w:jc w:val="center"/>
                                          <w:rPr>
                                            <w:sz w:val="24"/>
                                            <w:szCs w:val="24"/>
                                          </w:rPr>
                                        </w:pPr>
                                        <w:r>
                                          <w:rPr>
                                            <w:rFonts w:hint="cs"/>
                                            <w:sz w:val="32"/>
                                            <w:szCs w:val="32"/>
                                            <w:rtl/>
                                            <w:lang w:bidi="ar-JO"/>
                                          </w:rPr>
                                          <w:t>مشاركة المعرفة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مستطيل 10"/>
                                  <wps:cNvSpPr/>
                                  <wps:spPr>
                                    <a:xfrm>
                                      <a:off x="3559629" y="0"/>
                                      <a:ext cx="1651000" cy="905722"/>
                                    </a:xfrm>
                                    <a:prstGeom prst="rect">
                                      <a:avLst/>
                                    </a:prstGeom>
                                    <a:solidFill>
                                      <a:sysClr val="window" lastClr="FFFFFF"/>
                                    </a:solidFill>
                                    <a:ln w="25400" cap="flat" cmpd="sng" algn="ctr">
                                      <a:solidFill>
                                        <a:srgbClr val="F79646"/>
                                      </a:solidFill>
                                      <a:prstDash val="solid"/>
                                    </a:ln>
                                    <a:effectLst/>
                                  </wps:spPr>
                                  <wps:txbx>
                                    <w:txbxContent>
                                      <w:p w14:paraId="414F2EA3" w14:textId="77777777" w:rsidR="00B8790A" w:rsidRPr="00225281" w:rsidRDefault="00B8790A" w:rsidP="00B8790A">
                                        <w:pPr>
                                          <w:jc w:val="center"/>
                                          <w:rPr>
                                            <w:b/>
                                            <w:bCs/>
                                            <w:sz w:val="28"/>
                                            <w:szCs w:val="28"/>
                                            <w:u w:val="single"/>
                                            <w:rtl/>
                                            <w:lang w:val="en-US" w:bidi="ar-AE"/>
                                          </w:rPr>
                                        </w:pPr>
                                        <w:r w:rsidRPr="00225281">
                                          <w:rPr>
                                            <w:rFonts w:hint="cs"/>
                                            <w:b/>
                                            <w:bCs/>
                                            <w:sz w:val="28"/>
                                            <w:szCs w:val="28"/>
                                            <w:u w:val="single"/>
                                            <w:rtl/>
                                            <w:lang w:val="en-US" w:bidi="ar-AE"/>
                                          </w:rPr>
                                          <w:t>المتغيرات المستقلة</w:t>
                                        </w:r>
                                      </w:p>
                                      <w:p w14:paraId="15BCF989" w14:textId="77777777" w:rsidR="00B8790A" w:rsidRDefault="00B8790A" w:rsidP="00B8790A">
                                        <w:pPr>
                                          <w:jc w:val="center"/>
                                          <w:rPr>
                                            <w:b/>
                                            <w:bCs/>
                                            <w:sz w:val="28"/>
                                            <w:szCs w:val="28"/>
                                            <w:rtl/>
                                            <w:lang w:bidi="ar-JO"/>
                                          </w:rPr>
                                        </w:pPr>
                                        <w:r>
                                          <w:rPr>
                                            <w:rFonts w:hint="cs"/>
                                            <w:b/>
                                            <w:bCs/>
                                            <w:sz w:val="28"/>
                                            <w:szCs w:val="28"/>
                                            <w:rtl/>
                                            <w:lang w:bidi="ar-JO"/>
                                          </w:rPr>
                                          <w:t>ادارة المعرفة</w:t>
                                        </w:r>
                                      </w:p>
                                      <w:p w14:paraId="0DBDB9D7" w14:textId="77777777" w:rsidR="00B8790A" w:rsidRPr="00225281" w:rsidRDefault="00B8790A" w:rsidP="00B8790A">
                                        <w:pPr>
                                          <w:rPr>
                                            <w:rtl/>
                                            <w:lang w:val="en-US"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مستطيل 11"/>
                                  <wps:cNvSpPr/>
                                  <wps:spPr>
                                    <a:xfrm>
                                      <a:off x="3918858" y="914400"/>
                                      <a:ext cx="914400" cy="1151255"/>
                                    </a:xfrm>
                                    <a:prstGeom prst="rect">
                                      <a:avLst/>
                                    </a:prstGeom>
                                    <a:solidFill>
                                      <a:sysClr val="window" lastClr="FFFFFF"/>
                                    </a:solidFill>
                                    <a:ln w="25400" cap="flat" cmpd="sng" algn="ctr">
                                      <a:solidFill>
                                        <a:srgbClr val="F79646"/>
                                      </a:solidFill>
                                      <a:prstDash val="solid"/>
                                    </a:ln>
                                    <a:effectLst/>
                                  </wps:spPr>
                                  <wps:txbx>
                                    <w:txbxContent>
                                      <w:p w14:paraId="08186359" w14:textId="77777777" w:rsidR="00B8790A" w:rsidRPr="00225281" w:rsidRDefault="00B8790A" w:rsidP="00B8790A">
                                        <w:pPr>
                                          <w:jc w:val="center"/>
                                          <w:rPr>
                                            <w:sz w:val="32"/>
                                            <w:szCs w:val="32"/>
                                          </w:rPr>
                                        </w:pPr>
                                        <w:r>
                                          <w:rPr>
                                            <w:rFonts w:hint="cs"/>
                                            <w:sz w:val="32"/>
                                            <w:szCs w:val="32"/>
                                            <w:rtl/>
                                            <w:lang w:bidi="ar-JO"/>
                                          </w:rPr>
                                          <w:t>اكتساب المعرفة</w:t>
                                        </w:r>
                                      </w:p>
                                      <w:p w14:paraId="2AA7FEC9" w14:textId="77777777" w:rsidR="00B8790A" w:rsidRDefault="00B8790A" w:rsidP="00B8790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مستطيل 12"/>
                                  <wps:cNvSpPr/>
                                  <wps:spPr>
                                    <a:xfrm>
                                      <a:off x="0" y="0"/>
                                      <a:ext cx="1651000" cy="897255"/>
                                    </a:xfrm>
                                    <a:prstGeom prst="rect">
                                      <a:avLst/>
                                    </a:prstGeom>
                                    <a:solidFill>
                                      <a:sysClr val="window" lastClr="FFFFFF"/>
                                    </a:solidFill>
                                    <a:ln w="25400" cap="flat" cmpd="sng" algn="ctr">
                                      <a:solidFill>
                                        <a:srgbClr val="F79646"/>
                                      </a:solidFill>
                                      <a:prstDash val="solid"/>
                                    </a:ln>
                                    <a:effectLst/>
                                  </wps:spPr>
                                  <wps:txbx>
                                    <w:txbxContent>
                                      <w:p w14:paraId="6059D75A" w14:textId="77777777" w:rsidR="00B8790A" w:rsidRPr="00225281" w:rsidRDefault="00B8790A" w:rsidP="00B8790A">
                                        <w:pPr>
                                          <w:jc w:val="center"/>
                                          <w:rPr>
                                            <w:rFonts w:cs="Arial"/>
                                            <w:b/>
                                            <w:bCs/>
                                            <w:sz w:val="28"/>
                                            <w:szCs w:val="28"/>
                                            <w:u w:val="single"/>
                                            <w:rtl/>
                                            <w:lang w:val="en-US"/>
                                          </w:rPr>
                                        </w:pPr>
                                        <w:r>
                                          <w:rPr>
                                            <w:rFonts w:cs="Arial" w:hint="cs"/>
                                            <w:b/>
                                            <w:bCs/>
                                            <w:sz w:val="28"/>
                                            <w:szCs w:val="28"/>
                                            <w:u w:val="single"/>
                                            <w:rtl/>
                                            <w:lang w:val="en-US"/>
                                          </w:rPr>
                                          <w:t>المتغير التابع</w:t>
                                        </w:r>
                                      </w:p>
                                      <w:p w14:paraId="71A7822A" w14:textId="77777777" w:rsidR="00B8790A" w:rsidRDefault="00B8790A" w:rsidP="00B8790A">
                                        <w:pPr>
                                          <w:jc w:val="center"/>
                                          <w:rPr>
                                            <w:rFonts w:cs="Arial"/>
                                            <w:b/>
                                            <w:bCs/>
                                            <w:sz w:val="28"/>
                                            <w:szCs w:val="28"/>
                                            <w:rtl/>
                                            <w:lang w:val="en-US"/>
                                          </w:rPr>
                                        </w:pPr>
                                        <w:r w:rsidRPr="00225281">
                                          <w:rPr>
                                            <w:rFonts w:cs="Arial"/>
                                            <w:b/>
                                            <w:bCs/>
                                            <w:sz w:val="28"/>
                                            <w:szCs w:val="28"/>
                                            <w:rtl/>
                                            <w:lang w:val="en-US"/>
                                          </w:rPr>
                                          <w:t xml:space="preserve"> </w:t>
                                        </w:r>
                                        <w:r>
                                          <w:rPr>
                                            <w:rFonts w:cs="Arial" w:hint="cs"/>
                                            <w:b/>
                                            <w:bCs/>
                                            <w:sz w:val="28"/>
                                            <w:szCs w:val="28"/>
                                            <w:rtl/>
                                            <w:lang w:val="en-US"/>
                                          </w:rPr>
                                          <w:t>أداء العاملين</w:t>
                                        </w:r>
                                      </w:p>
                                      <w:p w14:paraId="423989BB" w14:textId="77777777" w:rsidR="00B8790A" w:rsidRDefault="00B8790A" w:rsidP="00B8790A">
                                        <w:pPr>
                                          <w:jc w:val="center"/>
                                          <w:rPr>
                                            <w:rFonts w:cs="Arial"/>
                                            <w:b/>
                                            <w:bCs/>
                                            <w:sz w:val="28"/>
                                            <w:szCs w:val="28"/>
                                            <w:rtl/>
                                            <w:lang w:val="en-US"/>
                                          </w:rPr>
                                        </w:pPr>
                                      </w:p>
                                      <w:p w14:paraId="3465AA2B" w14:textId="77777777" w:rsidR="00B8790A" w:rsidRDefault="00B8790A" w:rsidP="00B8790A">
                                        <w:pPr>
                                          <w:jc w:val="center"/>
                                          <w:rPr>
                                            <w:rFonts w:cs="Arial"/>
                                            <w:b/>
                                            <w:bCs/>
                                            <w:sz w:val="28"/>
                                            <w:szCs w:val="28"/>
                                            <w:rtl/>
                                            <w:lang w:val="en-US"/>
                                          </w:rPr>
                                        </w:pPr>
                                      </w:p>
                                      <w:p w14:paraId="3B3E084A" w14:textId="77777777" w:rsidR="00B8790A" w:rsidRDefault="00B8790A" w:rsidP="00B8790A">
                                        <w:pPr>
                                          <w:jc w:val="center"/>
                                          <w:rPr>
                                            <w:rFonts w:cs="Arial"/>
                                            <w:b/>
                                            <w:bCs/>
                                            <w:sz w:val="28"/>
                                            <w:szCs w:val="28"/>
                                            <w:rtl/>
                                            <w:lang w:val="en-US"/>
                                          </w:rPr>
                                        </w:pPr>
                                      </w:p>
                                      <w:p w14:paraId="55D0E276" w14:textId="77777777" w:rsidR="00B8790A" w:rsidRDefault="00B8790A" w:rsidP="00B8790A">
                                        <w:pPr>
                                          <w:jc w:val="center"/>
                                          <w:rPr>
                                            <w:rFonts w:cs="Arial"/>
                                            <w:b/>
                                            <w:bCs/>
                                            <w:sz w:val="28"/>
                                            <w:szCs w:val="28"/>
                                            <w:lang w:val="en-US"/>
                                          </w:rPr>
                                        </w:pPr>
                                      </w:p>
                                      <w:p w14:paraId="498CB211" w14:textId="77777777" w:rsidR="00B8790A" w:rsidRPr="00225281" w:rsidRDefault="00B8790A" w:rsidP="00B8790A">
                                        <w:pPr>
                                          <w:rPr>
                                            <w:rtl/>
                                            <w:lang w:val="en-US"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مستطيل 13"/>
                                  <wps:cNvSpPr/>
                                  <wps:spPr>
                                    <a:xfrm>
                                      <a:off x="371930" y="2850597"/>
                                      <a:ext cx="914400" cy="1249680"/>
                                    </a:xfrm>
                                    <a:prstGeom prst="rect">
                                      <a:avLst/>
                                    </a:prstGeom>
                                    <a:solidFill>
                                      <a:sysClr val="window" lastClr="FFFFFF"/>
                                    </a:solidFill>
                                    <a:ln w="25400" cap="flat" cmpd="sng" algn="ctr">
                                      <a:solidFill>
                                        <a:srgbClr val="F79646"/>
                                      </a:solidFill>
                                      <a:prstDash val="solid"/>
                                    </a:ln>
                                    <a:effectLst/>
                                  </wps:spPr>
                                  <wps:txbx>
                                    <w:txbxContent>
                                      <w:p w14:paraId="25CDB993" w14:textId="77777777" w:rsidR="00B8790A" w:rsidRPr="00941D4A" w:rsidRDefault="00B8790A" w:rsidP="00B8790A">
                                        <w:pPr>
                                          <w:bidi/>
                                          <w:jc w:val="center"/>
                                          <w:rPr>
                                            <w:sz w:val="28"/>
                                            <w:szCs w:val="28"/>
                                          </w:rPr>
                                        </w:pPr>
                                        <w:r w:rsidRPr="00941D4A">
                                          <w:rPr>
                                            <w:rFonts w:cs="Arial" w:hint="cs"/>
                                            <w:sz w:val="32"/>
                                            <w:szCs w:val="32"/>
                                            <w:rtl/>
                                            <w:lang w:val="en-US"/>
                                          </w:rPr>
                                          <w:t>رضا العملاء</w:t>
                                        </w:r>
                                      </w:p>
                                      <w:p w14:paraId="60550AB3" w14:textId="77777777" w:rsidR="00B8790A" w:rsidRPr="00225281" w:rsidRDefault="00B8790A" w:rsidP="00B8790A">
                                        <w:pPr>
                                          <w:rPr>
                                            <w:rtl/>
                                            <w:lang w:val="en-US"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مستطيل 14"/>
                                  <wps:cNvSpPr/>
                                  <wps:spPr>
                                    <a:xfrm>
                                      <a:off x="370083" y="1889562"/>
                                      <a:ext cx="914400" cy="936267"/>
                                    </a:xfrm>
                                    <a:prstGeom prst="rect">
                                      <a:avLst/>
                                    </a:prstGeom>
                                    <a:solidFill>
                                      <a:sysClr val="window" lastClr="FFFFFF"/>
                                    </a:solidFill>
                                    <a:ln w="25400" cap="flat" cmpd="sng" algn="ctr">
                                      <a:solidFill>
                                        <a:srgbClr val="F79646"/>
                                      </a:solidFill>
                                      <a:prstDash val="solid"/>
                                    </a:ln>
                                    <a:effectLst/>
                                  </wps:spPr>
                                  <wps:txbx>
                                    <w:txbxContent>
                                      <w:p w14:paraId="41F51664" w14:textId="77777777" w:rsidR="00B8790A" w:rsidRPr="00941D4A" w:rsidRDefault="00B8790A" w:rsidP="00B8790A">
                                        <w:pPr>
                                          <w:bidi/>
                                          <w:jc w:val="center"/>
                                          <w:rPr>
                                            <w:sz w:val="28"/>
                                            <w:szCs w:val="28"/>
                                          </w:rPr>
                                        </w:pPr>
                                        <w:r w:rsidRPr="00941D4A">
                                          <w:rPr>
                                            <w:rFonts w:cs="Arial" w:hint="cs"/>
                                            <w:sz w:val="32"/>
                                            <w:szCs w:val="32"/>
                                            <w:rtl/>
                                            <w:lang w:val="en-US"/>
                                          </w:rPr>
                                          <w:t>الابتكار وحل المشكلات</w:t>
                                        </w:r>
                                      </w:p>
                                      <w:p w14:paraId="7268DB95" w14:textId="77777777" w:rsidR="00B8790A" w:rsidRPr="00225281" w:rsidRDefault="00B8790A" w:rsidP="00B8790A">
                                        <w:pPr>
                                          <w:rPr>
                                            <w:rtl/>
                                            <w:lang w:val="en-US"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مستطيل 15"/>
                                  <wps:cNvSpPr/>
                                  <wps:spPr>
                                    <a:xfrm>
                                      <a:off x="370083" y="903458"/>
                                      <a:ext cx="914400" cy="968885"/>
                                    </a:xfrm>
                                    <a:prstGeom prst="rect">
                                      <a:avLst/>
                                    </a:prstGeom>
                                    <a:solidFill>
                                      <a:sysClr val="window" lastClr="FFFFFF"/>
                                    </a:solidFill>
                                    <a:ln w="25400" cap="flat" cmpd="sng" algn="ctr">
                                      <a:solidFill>
                                        <a:srgbClr val="F79646"/>
                                      </a:solidFill>
                                      <a:prstDash val="solid"/>
                                    </a:ln>
                                    <a:effectLst/>
                                  </wps:spPr>
                                  <wps:txbx>
                                    <w:txbxContent>
                                      <w:p w14:paraId="5716D4E3" w14:textId="77777777" w:rsidR="00B8790A" w:rsidRPr="00941D4A" w:rsidRDefault="00B8790A" w:rsidP="00B8790A">
                                        <w:pPr>
                                          <w:bidi/>
                                          <w:jc w:val="center"/>
                                          <w:rPr>
                                            <w:sz w:val="28"/>
                                            <w:szCs w:val="28"/>
                                          </w:rPr>
                                        </w:pPr>
                                        <w:r w:rsidRPr="00941D4A">
                                          <w:rPr>
                                            <w:rFonts w:cs="Arial" w:hint="cs"/>
                                            <w:sz w:val="32"/>
                                            <w:szCs w:val="32"/>
                                            <w:rtl/>
                                            <w:lang w:val="en-US"/>
                                          </w:rPr>
                                          <w:t>الكفاءة الوظيفية</w:t>
                                        </w:r>
                                      </w:p>
                                      <w:p w14:paraId="21F1DC63" w14:textId="77777777" w:rsidR="00B8790A" w:rsidRPr="00225281" w:rsidRDefault="00B8790A" w:rsidP="00B8790A">
                                        <w:pPr>
                                          <w:rPr>
                                            <w:rtl/>
                                            <w:lang w:val="en-US" w:bidi="ar-AE"/>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رابط كسهم مستقيم 16"/>
                                  <wps:cNvCnPr/>
                                  <wps:spPr>
                                    <a:xfrm flipH="1">
                                      <a:off x="1654629" y="452174"/>
                                      <a:ext cx="1893570" cy="0"/>
                                    </a:xfrm>
                                    <a:prstGeom prst="straightConnector1">
                                      <a:avLst/>
                                    </a:prstGeom>
                                    <a:noFill/>
                                    <a:ln w="38100" cap="flat" cmpd="sng" algn="ctr">
                                      <a:solidFill>
                                        <a:sysClr val="windowText" lastClr="000000"/>
                                      </a:solidFill>
                                      <a:prstDash val="solid"/>
                                      <a:tailEnd type="arrow"/>
                                    </a:ln>
                                    <a:effectLst>
                                      <a:outerShdw blurRad="40000" dist="23000" dir="5400000" rotWithShape="0">
                                        <a:srgbClr val="000000">
                                          <a:alpha val="35000"/>
                                        </a:srgbClr>
                                      </a:outerShdw>
                                    </a:effectLst>
                                  </wps:spPr>
                                  <wps:bodyPr/>
                                </wps:wsp>
                              </wpg:grpSp>
                              <wps:wsp>
                                <wps:cNvPr id="17" name="Oval 2024668143"/>
                                <wps:cNvSpPr/>
                                <wps:spPr>
                                  <a:xfrm>
                                    <a:off x="2296886" y="346277"/>
                                    <a:ext cx="661035" cy="348343"/>
                                  </a:xfrm>
                                  <a:prstGeom prst="ellipse">
                                    <a:avLst/>
                                  </a:prstGeom>
                                  <a:solidFill>
                                    <a:sysClr val="window" lastClr="FFFFFF"/>
                                  </a:solidFill>
                                  <a:ln w="25400" cap="flat" cmpd="sng" algn="ctr">
                                    <a:solidFill>
                                      <a:sysClr val="windowText" lastClr="000000"/>
                                    </a:solidFill>
                                    <a:prstDash val="solid"/>
                                  </a:ln>
                                  <a:effectLst/>
                                </wps:spPr>
                                <wps:txbx>
                                  <w:txbxContent>
                                    <w:p w14:paraId="674A24C0" w14:textId="77777777" w:rsidR="00B8790A" w:rsidRPr="007426C6" w:rsidRDefault="00B8790A" w:rsidP="00B8790A">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رابط كسهم مستقيم 18"/>
                                <wps:cNvCnPr/>
                                <wps:spPr>
                                  <a:xfrm flipH="1" flipV="1">
                                    <a:off x="1284483" y="1453215"/>
                                    <a:ext cx="2195356" cy="1292614"/>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19" name="Oval 2024668143"/>
                                <wps:cNvSpPr/>
                                <wps:spPr>
                                  <a:xfrm>
                                    <a:off x="1525008" y="1564206"/>
                                    <a:ext cx="600782" cy="316304"/>
                                  </a:xfrm>
                                  <a:prstGeom prst="ellipse">
                                    <a:avLst/>
                                  </a:prstGeom>
                                  <a:solidFill>
                                    <a:sysClr val="window" lastClr="FFFFFF"/>
                                  </a:solidFill>
                                  <a:ln w="25400" cap="flat" cmpd="sng" algn="ctr">
                                    <a:solidFill>
                                      <a:sysClr val="windowText" lastClr="000000"/>
                                    </a:solidFill>
                                    <a:prstDash val="solid"/>
                                  </a:ln>
                                  <a:effectLst/>
                                </wps:spPr>
                                <wps:txbx>
                                  <w:txbxContent>
                                    <w:p w14:paraId="5DF8FC3A"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رابط كسهم مستقيم 20"/>
                                <wps:cNvCnPr/>
                                <wps:spPr>
                                  <a:xfrm flipH="1" flipV="1">
                                    <a:off x="1284483" y="2423009"/>
                                    <a:ext cx="2173438" cy="315399"/>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21" name="Oval 2024668143"/>
                                <wps:cNvSpPr/>
                                <wps:spPr>
                                  <a:xfrm>
                                    <a:off x="1530937" y="2296886"/>
                                    <a:ext cx="595043" cy="298735"/>
                                  </a:xfrm>
                                  <a:prstGeom prst="ellipse">
                                    <a:avLst/>
                                  </a:prstGeom>
                                  <a:solidFill>
                                    <a:sysClr val="window" lastClr="FFFFFF"/>
                                  </a:solidFill>
                                  <a:ln w="25400" cap="flat" cmpd="sng" algn="ctr">
                                    <a:solidFill>
                                      <a:sysClr val="windowText" lastClr="000000"/>
                                    </a:solidFill>
                                    <a:prstDash val="solid"/>
                                  </a:ln>
                                  <a:effectLst/>
                                </wps:spPr>
                                <wps:txbx>
                                  <w:txbxContent>
                                    <w:p w14:paraId="437035A9"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رابط كسهم مستقيم 22"/>
                                <wps:cNvCnPr/>
                                <wps:spPr>
                                  <a:xfrm flipH="1">
                                    <a:off x="1286330" y="2741554"/>
                                    <a:ext cx="2193168" cy="799198"/>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s:wsp>
                                <wps:cNvPr id="23" name="Oval 2024668143"/>
                                <wps:cNvSpPr/>
                                <wps:spPr>
                                  <a:xfrm>
                                    <a:off x="1530810" y="3173435"/>
                                    <a:ext cx="594985" cy="312618"/>
                                  </a:xfrm>
                                  <a:prstGeom prst="ellipse">
                                    <a:avLst/>
                                  </a:prstGeom>
                                  <a:solidFill>
                                    <a:sysClr val="window" lastClr="FFFFFF"/>
                                  </a:solidFill>
                                  <a:ln w="25400" cap="flat" cmpd="sng" algn="ctr">
                                    <a:solidFill>
                                      <a:sysClr val="windowText" lastClr="000000"/>
                                    </a:solidFill>
                                    <a:prstDash val="solid"/>
                                  </a:ln>
                                  <a:effectLst/>
                                </wps:spPr>
                                <wps:txbx>
                                  <w:txbxContent>
                                    <w:p w14:paraId="788EFD73"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0" name="مستطيل 40"/>
                              <wps:cNvSpPr/>
                              <wps:spPr>
                                <a:xfrm>
                                  <a:off x="3924300" y="3327400"/>
                                  <a:ext cx="914400" cy="1161415"/>
                                </a:xfrm>
                                <a:prstGeom prst="rect">
                                  <a:avLst/>
                                </a:prstGeom>
                                <a:solidFill>
                                  <a:sysClr val="window" lastClr="FFFFFF"/>
                                </a:solidFill>
                                <a:ln w="25400" cap="flat" cmpd="sng" algn="ctr">
                                  <a:solidFill>
                                    <a:srgbClr val="F79646"/>
                                  </a:solidFill>
                                  <a:prstDash val="solid"/>
                                </a:ln>
                                <a:effectLst/>
                              </wps:spPr>
                              <wps:txbx>
                                <w:txbxContent>
                                  <w:p w14:paraId="6A20AF6B" w14:textId="77777777" w:rsidR="00B8790A" w:rsidRDefault="00B8790A" w:rsidP="00B8790A">
                                    <w:pPr>
                                      <w:jc w:val="center"/>
                                      <w:rPr>
                                        <w:lang w:bidi="ar-JO"/>
                                      </w:rPr>
                                    </w:pPr>
                                    <w:r w:rsidRPr="00941D4A">
                                      <w:rPr>
                                        <w:rFonts w:hint="cs"/>
                                        <w:sz w:val="32"/>
                                        <w:szCs w:val="32"/>
                                        <w:rtl/>
                                        <w:lang w:bidi="ar-JO"/>
                                      </w:rPr>
                                      <w:t>تطبيق المعرفة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4" name="مستطيل 54"/>
                            <wps:cNvSpPr/>
                            <wps:spPr>
                              <a:xfrm>
                                <a:off x="375920" y="4234180"/>
                                <a:ext cx="914400" cy="914400"/>
                              </a:xfrm>
                              <a:prstGeom prst="rect">
                                <a:avLst/>
                              </a:prstGeom>
                              <a:solidFill>
                                <a:sysClr val="window" lastClr="FFFFFF"/>
                              </a:solidFill>
                              <a:ln w="25400" cap="flat" cmpd="sng" algn="ctr">
                                <a:solidFill>
                                  <a:srgbClr val="F79646"/>
                                </a:solidFill>
                                <a:prstDash val="solid"/>
                              </a:ln>
                              <a:effectLst/>
                            </wps:spPr>
                            <wps:txbx>
                              <w:txbxContent>
                                <w:p w14:paraId="44C3B0A4" w14:textId="77777777" w:rsidR="00B8790A" w:rsidRPr="00941D4A" w:rsidRDefault="00B8790A" w:rsidP="00B8790A">
                                  <w:pPr>
                                    <w:jc w:val="center"/>
                                    <w:rPr>
                                      <w:sz w:val="32"/>
                                      <w:szCs w:val="32"/>
                                      <w:lang w:bidi="ar-JO"/>
                                    </w:rPr>
                                  </w:pPr>
                                  <w:r w:rsidRPr="00941D4A">
                                    <w:rPr>
                                      <w:rFonts w:hint="cs"/>
                                      <w:sz w:val="32"/>
                                      <w:szCs w:val="32"/>
                                      <w:rtl/>
                                      <w:lang w:bidi="ar-JO"/>
                                    </w:rPr>
                                    <w:t xml:space="preserve">الالتزام الوظيفي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5" name="رابط مستقيم 55"/>
                          <wps:cNvCnPr/>
                          <wps:spPr>
                            <a:xfrm flipV="1">
                              <a:off x="3418114" y="2754086"/>
                              <a:ext cx="504190" cy="1143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56" name="رابط مستقيم 56"/>
                          <wps:cNvCnPr/>
                          <wps:spPr>
                            <a:xfrm>
                              <a:off x="3418114" y="4114800"/>
                              <a:ext cx="50990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57" name="رابط مستقيم 57"/>
                          <wps:cNvCnPr/>
                          <wps:spPr>
                            <a:xfrm>
                              <a:off x="3418114" y="1600200"/>
                              <a:ext cx="0" cy="2510893"/>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58" name="رابط مستقيم 58"/>
                          <wps:cNvCnPr/>
                          <wps:spPr>
                            <a:xfrm flipV="1">
                              <a:off x="3418114" y="1600200"/>
                              <a:ext cx="504190" cy="3175"/>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wps:wsp>
                          <wps:cNvPr id="59" name="رابط كسهم مستقيم 59"/>
                          <wps:cNvCnPr/>
                          <wps:spPr>
                            <a:xfrm flipH="1">
                              <a:off x="1219200" y="2764972"/>
                              <a:ext cx="2230755" cy="1955800"/>
                            </a:xfrm>
                            <a:prstGeom prst="straightConnector1">
                              <a:avLst/>
                            </a:prstGeom>
                            <a:noFill/>
                            <a:ln w="25400" cap="flat" cmpd="sng" algn="ctr">
                              <a:solidFill>
                                <a:sysClr val="windowText" lastClr="000000"/>
                              </a:solidFill>
                              <a:prstDash val="solid"/>
                              <a:tailEnd type="arrow"/>
                            </a:ln>
                            <a:effectLst>
                              <a:outerShdw blurRad="40000" dist="20000" dir="5400000" rotWithShape="0">
                                <a:srgbClr val="000000">
                                  <a:alpha val="38000"/>
                                </a:srgbClr>
                              </a:outerShdw>
                            </a:effectLst>
                          </wps:spPr>
                          <wps:bodyPr/>
                        </wps:wsp>
                      </wpg:grpSp>
                      <wps:wsp>
                        <wps:cNvPr id="60" name="Oval 2024668143"/>
                        <wps:cNvSpPr/>
                        <wps:spPr>
                          <a:xfrm>
                            <a:off x="1502229" y="4027714"/>
                            <a:ext cx="631695" cy="320040"/>
                          </a:xfrm>
                          <a:prstGeom prst="ellipse">
                            <a:avLst/>
                          </a:prstGeom>
                          <a:solidFill>
                            <a:sysClr val="window" lastClr="FFFFFF"/>
                          </a:solidFill>
                          <a:ln w="25400" cap="flat" cmpd="sng" algn="ctr">
                            <a:solidFill>
                              <a:sysClr val="windowText" lastClr="000000"/>
                            </a:solidFill>
                            <a:prstDash val="solid"/>
                          </a:ln>
                          <a:effectLst/>
                        </wps:spPr>
                        <wps:txbx>
                          <w:txbxContent>
                            <w:p w14:paraId="4DBD8BEE"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F9FBBCF" id="مجموعة 1" o:spid="_x0000_s1026" style="position:absolute;left:0;text-align:left;margin-left:38.55pt;margin-top:-83.15pt;width:410.3pt;height:405.4pt;z-index:251659264" coordsize="52106,51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WX27wgAAOZQAAAOAAAAZHJzL2Uyb0RvYy54bWzsXMuO20YW3QfIPxDcx2IV34LbgdFOOwGM&#10;2Bg78bqaoiQCFMmQbKt7ljNjzGB+ZB7IJsgimD+R/mZOVZFF6kFL3W03YqW8aIuvYlXx3ntunXPJ&#10;x19fL1LjXVxWSZ6dmeSRZRpxFuWTJJudmT+8ufgqMI2qZtmEpXkWn5k3cWV+/eTLLx4vi3FM83me&#10;TuLSQCNZNV4WZ+a8rovxaFRF83jBqkd5EWc4OM3LBauxWc5Gk5It0foiHVHL8kbLvJwUZR7FVYW9&#10;z+RB84lofzqNo/rldFrFtZGemehbLf6W4u8l/zt68piNZyUr5knUdIPdoRcLlmS4qWrqGauZcVUm&#10;O00tkqjMq3xaP4ryxSifTpMoFmPAaIi1NZrnZX5ViLHMxstZoaYJU7s1T3duNvr+3fOyeF28KjET&#10;y2KGuRBbfCzX03LB/0cvjWsxZTdqyuLr2oiw06XE8mhoGhGOucQJ3KCZ1GiOmd+5Lpp/c+DKUXvj&#10;0UZ31IbsJvr9qjSSyZnpmEbGFjCt9fvVz+v363+s/rf6j+HwJ8uv+fwH6O4doHs6A/T2DtD7JAN0&#10;nCAIiJg8Nr6VifauvK2J+nsH6H+aAXKHdPf7oOfaRDgGH/peP3SIZVFf9Oy2g0Sg3+OHwZ0H2evs&#10;3mDT6+ptn+QRgwQaVV3Are4XcF/PWRGLOF7xeNQELgRNNWG/rv67+m39z/XfjFBOmDhRheVqXCFC&#10;74nJdkgChFzTQPSlVoAnT/n1bNxOWUgcxwLw8fBMiEuoK2xfPVw2Lsqqfh7nC4P/ODNLQKZAMvbu&#10;RVWjLZzansIbrvI0mVwkaSo2bqrztDTeMaArQHmSL00jZVWNnWfmhfjHu4MmNi5LM2OJ/rqyZwyw&#10;P01ZjU4uCgT0KpuZBktnyCeiuhR92bi6KmeX6q4Xfug5IlRs34R3+hmr5rJ3ooWmL2kmZkhkB80Y&#10;l0U7xfxXfX15LeCjGl/mkxs8rzKXmUNVRBcJGn6BQb5iJVIFzC3Sn/ol/kzTHMPKm1+mMc/LP+/b&#10;z8+HQeGoaSyRemDIP12xMsbcfZfB1MQzQ64iNhzXp7hH2T9y2T+SXS3Oc8w/QaJVROInP79O25/T&#10;Ml+8RZb0lN8Vh1gW4d5ycpuN81qmRMizovjpU3Ea8pOC1S+y10XEG+dTxqf0zfVbVhaNsdQws+/z&#10;1rzZeMtm5Ln8yix/elXn00QYFJ9iOa8wDb4BV+Ng/QA+RzD+PU6H3c3zhnse4XWuG4qkZzcfIp6L&#10;6IK7cIcLLTw84ZDa38bxh/1N5HKkfQza7U7L7RCc9rmdet7HuV0P7Bpcg9dqrJOB+R5YJ3xPxKku&#10;NGvIOxXIo/t9Tz3vo3wPiHYA7ILQ18klGx+VXAqHszXYnWaOae93OPW8j3I42yehLb2OBq7lhmJR&#10;PgB21Ak9ybvpRPOoRLOhB9t1iAa7UwG7PhvckSqS9eLJzZG+Z1kBvJhzJkEQut4HSJXQ9qi3SZh1&#10;hInmVARtxSeecyoC9hriWrveqVErfZ2i53rqed/W9ULLdkBtDi7xAHngPvlxDXpHgV6jqGjPOzXP&#10;UwLa6pfVv1b/Xv1mrP+6+nX99/V7A6IofHH9F2gL7w2iLAC+eJ41mm/LfEvd1ZimSfFty/g20i9Y&#10;TaclPB1Ivn6jIrUqAwlC2/Ub1lNwqcMuWdUlS2bz+jzPMmgNeSm55S3qmCsSkjjmWoOIAVI1sAPw&#10;q6BXb60a7EgVb9D7nlwB1pYTtzKcCLmgVTkGlAQ2rlmSfpNNjPqmgP7MyhL6h7x+axXIR5Jf1XH5&#10;ej5ZGpfpVfknBqUD+gcfyyThwgu1mw1Q8VwZEVvQHd4m9Vww7JyV5w1t6B/iPLmfpcWcSbXDdvnV&#10;zVCkXCKipOqD2FKMbEPDS42po4D49XxL0POdGv9QVL1STV9CXzKoRR3PC4hzu2UUpRwm4CDI5WzY&#10;sNQ2u2WU5xHLBnJxut52Als2P2y9cQr3qLiYt6N2tCa7YTvVjtn1TO6TKWQ7N72vrWNCtky6NY7O&#10;aFSGJ7Lhzoz04upUFldK4j+EM43qL5ZbB3FGIM6P24hDAxRcNGswx7VpW7PRQg4loWu7cGyhbNOQ&#10;enKRN+y69wSeO8vVH90ZPzbwSKiZJB8DeIKPDjwNAqnit09Si0FUMcZ9wIa4FMArqzGI6znUEglX&#10;D20syw/Axwu0IZ5tiTxq2GQ12vAKzsEaDcEnqFijNeOT0ox51YvUjA+gDU5EMsLDxDGrmoNoQx2e&#10;iYsyrM5xseRBagjPlp7r2qE4YdhzNdgMrHI02JhUVUPcD2xsK7SxSMLKpV3lwA86m3VD18JyRpgs&#10;DQMfyxyetLfl1TsstQabw2CjqjM12JwW2KgiiUNg0y+bOLi0EbyPfAuC0MCzW0HXd4jrbnFoWNDY&#10;xGsgxg9DEorMZthfNcRoiMlmbfFtk/80teVU1SDcF2JAt0ryTGRAAkL6EOOEkGCarAhL8AMmqyHm&#10;MMR0tcgaYx4KYx6c3HbU4kYKNM3LH9jdLWWOqEMPqYO1ivRPm/r8fYqNFHDz7Q8wZJJFG8YU/fZH&#10;r1KBqPJk7Ykn64lIw/aVpsvsrAHVIzzRd0NOWGAtBvrAIe1LsC1b3XfErnRd++FRdQtE5dzaD0/X&#10;D1X5ULcC69cuyPcWj2D5tpUk7o0E2pDgSXwo61CDN0ASLAkJ4btCSIK+3Arn7evv7duPTTFfmmQf&#10;lH+zfKti4fcjHCHebKm4YoF6qDBBU3YmFxq3yegN6zyisqZHBvRt0oFxQjXbtskQLw9Km9T2uFUo&#10;o+3RdFVxzEC0VDUYw5rIgD0SD58A2LbHJjxSvNyKUi9uq8O5iw6QfEl218qtz1RA598g+GCAVDLt&#10;sEHuleb6oXKvafbh2yb+AZFDG+cf0ThVdUcXLfcWyLpK3zlgpTsFsmDvedCUSabn4F3ITUCnEJV9&#10;5LAyywxdfCbpAK5rev+zpPcfnEr0YHUy8t6P6rcoVGTJYPBPAMlquo7q9yBOhS3VD1OXVOVwFqCp&#10;/iOoflXLrImNByU28DE9kcE2H/7jX+vrb+N3//OET/4PAAD//wMAUEsDBBQABgAIAAAAIQDFjqjg&#10;4wAAAAsBAAAPAAAAZHJzL2Rvd25yZXYueG1sTI/BbsIwEETvlfoP1lbqDRwXSCCNgxBqe0JIhUoV&#10;tyVekojYjmKThL+ve2qPq3maeZutR92wnjpXWyNBTCNgZAqralNK+Dq+T5bAnEejsLGGJNzJwTp/&#10;fMgwVXYwn9QffMlCiXEpSqi8b1POXVGRRje1LZmQXWyn0YezK7nqcAjluuEvURRzjbUJCxW2tK2o&#10;uB5uWsLHgMNmJt763fWyvZ+Oi/33TpCUz0/j5hWYp9H/wfCrH9QhD05nezPKsUZCkohASpiIOJ4B&#10;C8RylSTAzhLi+XwBPM/4/x/yHwAAAP//AwBQSwECLQAUAAYACAAAACEAtoM4kv4AAADhAQAAEwAA&#10;AAAAAAAAAAAAAAAAAAAAW0NvbnRlbnRfVHlwZXNdLnhtbFBLAQItABQABgAIAAAAIQA4/SH/1gAA&#10;AJQBAAALAAAAAAAAAAAAAAAAAC8BAABfcmVscy8ucmVsc1BLAQItABQABgAIAAAAIQDmUWX27wgA&#10;AOZQAAAOAAAAAAAAAAAAAAAAAC4CAABkcnMvZTJvRG9jLnhtbFBLAQItABQABgAIAAAAIQDFjqjg&#10;4wAAAAsBAAAPAAAAAAAAAAAAAAAAAEkLAABkcnMvZG93bnJldi54bWxQSwUGAAAAAAQABADzAAAA&#10;WQwAAAAA&#10;">
                <v:group id="مجموعة 4" o:spid="_x0000_s1027" style="position:absolute;width:52106;height:51485" coordsize="52106,5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group id="مجموعة 5" o:spid="_x0000_s1028" style="position:absolute;width:52106;height:51485" coordsize="52106,5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مجموعة 6" o:spid="_x0000_s1029" style="position:absolute;width:52106;height:44888" coordsize="52106,448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مجموعة 7" o:spid="_x0000_s1030" style="position:absolute;width:52106;height:42106" coordorigin=",653" coordsize="52106,41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group id="مجموعة 8" o:spid="_x0000_s1031" style="position:absolute;top:653;width:52106;height:41002" coordsize="52106,410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rect id="مستطيل 9" o:spid="_x0000_s1032" style="position:absolute;left:39188;top:20806;width:9144;height:115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CIRwgAAANoAAAAPAAAAZHJzL2Rvd25yZXYueG1sRI9Ba8JA&#10;FITvhf6H5RW81U09iEldRVoKXhQaPdjbI/vcBHffhuwmxn/vFgSPw8x8wyzXo7NioC40nhV8TDMQ&#10;xJXXDRsFx8PP+wJEiMgarWdScKMA69XryxIL7a/8S0MZjUgQDgUqqGNsCylDVZPDMPUtcfLOvnMY&#10;k+yM1B1eE9xZOcuyuXTYcFqosaWvmqpL2TsF3zuTDyd7jJbPYy/NX1+W+V6pydu4+QQRaYzP8KO9&#10;1Qpy+L+SboBc3QEAAP//AwBQSwECLQAUAAYACAAAACEA2+H2y+4AAACFAQAAEwAAAAAAAAAAAAAA&#10;AAAAAAAAW0NvbnRlbnRfVHlwZXNdLnhtbFBLAQItABQABgAIAAAAIQBa9CxbvwAAABUBAAALAAAA&#10;AAAAAAAAAAAAAB8BAABfcmVscy8ucmVsc1BLAQItABQABgAIAAAAIQA2SCIRwgAAANoAAAAPAAAA&#10;AAAAAAAAAAAAAAcCAABkcnMvZG93bnJldi54bWxQSwUGAAAAAAMAAwC3AAAA9gIAAAAA&#10;" fillcolor="window" strokecolor="#f79646" strokeweight="2pt">
                            <v:textbox>
                              <w:txbxContent>
                                <w:p w14:paraId="26E3E70D" w14:textId="77777777" w:rsidR="00B8790A" w:rsidRPr="00225281" w:rsidRDefault="00B8790A" w:rsidP="00B8790A">
                                  <w:pPr>
                                    <w:jc w:val="center"/>
                                    <w:rPr>
                                      <w:sz w:val="24"/>
                                      <w:szCs w:val="24"/>
                                    </w:rPr>
                                  </w:pPr>
                                  <w:r>
                                    <w:rPr>
                                      <w:rFonts w:hint="cs"/>
                                      <w:sz w:val="32"/>
                                      <w:szCs w:val="32"/>
                                      <w:rtl/>
                                      <w:lang w:bidi="ar-JO"/>
                                    </w:rPr>
                                    <w:t>مشاركة المعرفة</w:t>
                                  </w:r>
                                </w:p>
                              </w:txbxContent>
                            </v:textbox>
                          </v:rect>
                          <v:rect id="مستطيل 10" o:spid="_x0000_s1033" style="position:absolute;left:35596;width:16510;height:90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MXxAAAANsAAAAPAAAAZHJzL2Rvd25yZXYueG1sRI9Ba8Mw&#10;DIXvg/0Ho8Fuq7MdRpvVLaVj0EsHzXpobyJWnTBbDrGTpv++Ogx2k3hP731arqfg1Uh9aiMbeJ0V&#10;oIjraFt2Bo4/Xy9zUCkjW/SRycCNEqxXjw9LLG288oHGKjslIZxKNNDk3JVap7qhgGkWO2LRLrEP&#10;mGXtnbY9XiU8eP1WFO86YMvS0GBH24bq32oIBj73bjGe/DF7vkyDduehqhbfxjw/TZsPUJmm/G/+&#10;u95ZwRd6+UUG0Ks7AAAA//8DAFBLAQItABQABgAIAAAAIQDb4fbL7gAAAIUBAAATAAAAAAAAAAAA&#10;AAAAAAAAAABbQ29udGVudF9UeXBlc10ueG1sUEsBAi0AFAAGAAgAAAAhAFr0LFu/AAAAFQEAAAsA&#10;AAAAAAAAAAAAAAAAHwEAAF9yZWxzLy5yZWxzUEsBAi0AFAAGAAgAAAAhAA/8kxfEAAAA2wAAAA8A&#10;AAAAAAAAAAAAAAAABwIAAGRycy9kb3ducmV2LnhtbFBLBQYAAAAAAwADALcAAAD4AgAAAAA=&#10;" fillcolor="window" strokecolor="#f79646" strokeweight="2pt">
                            <v:textbox>
                              <w:txbxContent>
                                <w:p w14:paraId="414F2EA3" w14:textId="77777777" w:rsidR="00B8790A" w:rsidRPr="00225281" w:rsidRDefault="00B8790A" w:rsidP="00B8790A">
                                  <w:pPr>
                                    <w:jc w:val="center"/>
                                    <w:rPr>
                                      <w:b/>
                                      <w:bCs/>
                                      <w:sz w:val="28"/>
                                      <w:szCs w:val="28"/>
                                      <w:u w:val="single"/>
                                      <w:rtl/>
                                      <w:lang w:val="en-US" w:bidi="ar-AE"/>
                                    </w:rPr>
                                  </w:pPr>
                                  <w:r w:rsidRPr="00225281">
                                    <w:rPr>
                                      <w:rFonts w:hint="cs"/>
                                      <w:b/>
                                      <w:bCs/>
                                      <w:sz w:val="28"/>
                                      <w:szCs w:val="28"/>
                                      <w:u w:val="single"/>
                                      <w:rtl/>
                                      <w:lang w:val="en-US" w:bidi="ar-AE"/>
                                    </w:rPr>
                                    <w:t>المتغيرات المستقلة</w:t>
                                  </w:r>
                                </w:p>
                                <w:p w14:paraId="15BCF989" w14:textId="77777777" w:rsidR="00B8790A" w:rsidRDefault="00B8790A" w:rsidP="00B8790A">
                                  <w:pPr>
                                    <w:jc w:val="center"/>
                                    <w:rPr>
                                      <w:b/>
                                      <w:bCs/>
                                      <w:sz w:val="28"/>
                                      <w:szCs w:val="28"/>
                                      <w:rtl/>
                                      <w:lang w:bidi="ar-JO"/>
                                    </w:rPr>
                                  </w:pPr>
                                  <w:r>
                                    <w:rPr>
                                      <w:rFonts w:hint="cs"/>
                                      <w:b/>
                                      <w:bCs/>
                                      <w:sz w:val="28"/>
                                      <w:szCs w:val="28"/>
                                      <w:rtl/>
                                      <w:lang w:bidi="ar-JO"/>
                                    </w:rPr>
                                    <w:t>ادارة المعرفة</w:t>
                                  </w:r>
                                </w:p>
                                <w:p w14:paraId="0DBDB9D7" w14:textId="77777777" w:rsidR="00B8790A" w:rsidRPr="00225281" w:rsidRDefault="00B8790A" w:rsidP="00B8790A">
                                  <w:pPr>
                                    <w:rPr>
                                      <w:rtl/>
                                      <w:lang w:val="en-US" w:bidi="ar-AE"/>
                                    </w:rPr>
                                  </w:pPr>
                                </w:p>
                              </w:txbxContent>
                            </v:textbox>
                          </v:rect>
                          <v:rect id="مستطيل 11" o:spid="_x0000_s1034" style="position:absolute;left:39188;top:9144;width:9144;height:1151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DaMwQAAANsAAAAPAAAAZHJzL2Rvd25yZXYueG1sRE89a8Mw&#10;EN0D+Q/iAt0SOR1C40YOpSHQJYG6HtrtsM6yqXQyluy4/z4qFLrd433e4Tg7KyYaQudZwXaTgSCu&#10;ve7YKKg+zusnECEia7SeScEPBTgWy8UBc+1v/E5TGY1IIRxyVNDG2OdShrolh2Hje+LENX5wGBMc&#10;jNQD3lK4s/Ixy3bSYcepocWeXluqv8vRKThdzH76tFW03MyjNF9jWe6vSj2s5pdnEJHm+C/+c7/p&#10;NH8Lv7+kA2RxBwAA//8DAFBLAQItABQABgAIAAAAIQDb4fbL7gAAAIUBAAATAAAAAAAAAAAAAAAA&#10;AAAAAABbQ29udGVudF9UeXBlc10ueG1sUEsBAi0AFAAGAAgAAAAhAFr0LFu/AAAAFQEAAAsAAAAA&#10;AAAAAAAAAAAAHwEAAF9yZWxzLy5yZWxzUEsBAi0AFAAGAAgAAAAhAGCwNozBAAAA2wAAAA8AAAAA&#10;AAAAAAAAAAAABwIAAGRycy9kb3ducmV2LnhtbFBLBQYAAAAAAwADALcAAAD1AgAAAAA=&#10;" fillcolor="window" strokecolor="#f79646" strokeweight="2pt">
                            <v:textbox>
                              <w:txbxContent>
                                <w:p w14:paraId="08186359" w14:textId="77777777" w:rsidR="00B8790A" w:rsidRPr="00225281" w:rsidRDefault="00B8790A" w:rsidP="00B8790A">
                                  <w:pPr>
                                    <w:jc w:val="center"/>
                                    <w:rPr>
                                      <w:sz w:val="32"/>
                                      <w:szCs w:val="32"/>
                                    </w:rPr>
                                  </w:pPr>
                                  <w:r>
                                    <w:rPr>
                                      <w:rFonts w:hint="cs"/>
                                      <w:sz w:val="32"/>
                                      <w:szCs w:val="32"/>
                                      <w:rtl/>
                                      <w:lang w:bidi="ar-JO"/>
                                    </w:rPr>
                                    <w:t>اكتساب المعرفة</w:t>
                                  </w:r>
                                </w:p>
                                <w:p w14:paraId="2AA7FEC9" w14:textId="77777777" w:rsidR="00B8790A" w:rsidRDefault="00B8790A" w:rsidP="00B8790A">
                                  <w:pPr>
                                    <w:jc w:val="center"/>
                                  </w:pPr>
                                </w:p>
                              </w:txbxContent>
                            </v:textbox>
                          </v:rect>
                          <v:rect id="مستطيل 12" o:spid="_x0000_s1035" style="position:absolute;width:16510;height:89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qj7wQAAANsAAAAPAAAAZHJzL2Rvd25yZXYueG1sRE9Na8JA&#10;EL0X+h+WKXirm3ooGl1FLIKXCo05tLchO26Cu7Mhu4nx37sFwds83uesNqOzYqAuNJ4VfEwzEMSV&#10;1w0bBeVp/z4HESKyRuuZFNwowGb9+rLCXPsr/9BQRCNSCIccFdQxtrmUoarJYZj6ljhxZ985jAl2&#10;RuoOryncWTnLsk/psOHUUGNLu5qqS9E7BV/fZjH82jJaPo+9NH99USyOSk3exu0SRKQxPsUP90Gn&#10;+TP4/yUdINd3AAAA//8DAFBLAQItABQABgAIAAAAIQDb4fbL7gAAAIUBAAATAAAAAAAAAAAAAAAA&#10;AAAAAABbQ29udGVudF9UeXBlc10ueG1sUEsBAi0AFAAGAAgAAAAhAFr0LFu/AAAAFQEAAAsAAAAA&#10;AAAAAAAAAAAAHwEAAF9yZWxzLy5yZWxzUEsBAi0AFAAGAAgAAAAhAJBiqPvBAAAA2wAAAA8AAAAA&#10;AAAAAAAAAAAABwIAAGRycy9kb3ducmV2LnhtbFBLBQYAAAAAAwADALcAAAD1AgAAAAA=&#10;" fillcolor="window" strokecolor="#f79646" strokeweight="2pt">
                            <v:textbox>
                              <w:txbxContent>
                                <w:p w14:paraId="6059D75A" w14:textId="77777777" w:rsidR="00B8790A" w:rsidRPr="00225281" w:rsidRDefault="00B8790A" w:rsidP="00B8790A">
                                  <w:pPr>
                                    <w:jc w:val="center"/>
                                    <w:rPr>
                                      <w:rFonts w:cs="Arial"/>
                                      <w:b/>
                                      <w:bCs/>
                                      <w:sz w:val="28"/>
                                      <w:szCs w:val="28"/>
                                      <w:u w:val="single"/>
                                      <w:rtl/>
                                      <w:lang w:val="en-US"/>
                                    </w:rPr>
                                  </w:pPr>
                                  <w:r>
                                    <w:rPr>
                                      <w:rFonts w:cs="Arial" w:hint="cs"/>
                                      <w:b/>
                                      <w:bCs/>
                                      <w:sz w:val="28"/>
                                      <w:szCs w:val="28"/>
                                      <w:u w:val="single"/>
                                      <w:rtl/>
                                      <w:lang w:val="en-US"/>
                                    </w:rPr>
                                    <w:t>المتغير التابع</w:t>
                                  </w:r>
                                </w:p>
                                <w:p w14:paraId="71A7822A" w14:textId="77777777" w:rsidR="00B8790A" w:rsidRDefault="00B8790A" w:rsidP="00B8790A">
                                  <w:pPr>
                                    <w:jc w:val="center"/>
                                    <w:rPr>
                                      <w:rFonts w:cs="Arial"/>
                                      <w:b/>
                                      <w:bCs/>
                                      <w:sz w:val="28"/>
                                      <w:szCs w:val="28"/>
                                      <w:rtl/>
                                      <w:lang w:val="en-US"/>
                                    </w:rPr>
                                  </w:pPr>
                                  <w:r w:rsidRPr="00225281">
                                    <w:rPr>
                                      <w:rFonts w:cs="Arial"/>
                                      <w:b/>
                                      <w:bCs/>
                                      <w:sz w:val="28"/>
                                      <w:szCs w:val="28"/>
                                      <w:rtl/>
                                      <w:lang w:val="en-US"/>
                                    </w:rPr>
                                    <w:t xml:space="preserve"> </w:t>
                                  </w:r>
                                  <w:r>
                                    <w:rPr>
                                      <w:rFonts w:cs="Arial" w:hint="cs"/>
                                      <w:b/>
                                      <w:bCs/>
                                      <w:sz w:val="28"/>
                                      <w:szCs w:val="28"/>
                                      <w:rtl/>
                                      <w:lang w:val="en-US"/>
                                    </w:rPr>
                                    <w:t>أداء العاملين</w:t>
                                  </w:r>
                                </w:p>
                                <w:p w14:paraId="423989BB" w14:textId="77777777" w:rsidR="00B8790A" w:rsidRDefault="00B8790A" w:rsidP="00B8790A">
                                  <w:pPr>
                                    <w:jc w:val="center"/>
                                    <w:rPr>
                                      <w:rFonts w:cs="Arial"/>
                                      <w:b/>
                                      <w:bCs/>
                                      <w:sz w:val="28"/>
                                      <w:szCs w:val="28"/>
                                      <w:rtl/>
                                      <w:lang w:val="en-US"/>
                                    </w:rPr>
                                  </w:pPr>
                                </w:p>
                                <w:p w14:paraId="3465AA2B" w14:textId="77777777" w:rsidR="00B8790A" w:rsidRDefault="00B8790A" w:rsidP="00B8790A">
                                  <w:pPr>
                                    <w:jc w:val="center"/>
                                    <w:rPr>
                                      <w:rFonts w:cs="Arial"/>
                                      <w:b/>
                                      <w:bCs/>
                                      <w:sz w:val="28"/>
                                      <w:szCs w:val="28"/>
                                      <w:rtl/>
                                      <w:lang w:val="en-US"/>
                                    </w:rPr>
                                  </w:pPr>
                                </w:p>
                                <w:p w14:paraId="3B3E084A" w14:textId="77777777" w:rsidR="00B8790A" w:rsidRDefault="00B8790A" w:rsidP="00B8790A">
                                  <w:pPr>
                                    <w:jc w:val="center"/>
                                    <w:rPr>
                                      <w:rFonts w:cs="Arial"/>
                                      <w:b/>
                                      <w:bCs/>
                                      <w:sz w:val="28"/>
                                      <w:szCs w:val="28"/>
                                      <w:rtl/>
                                      <w:lang w:val="en-US"/>
                                    </w:rPr>
                                  </w:pPr>
                                </w:p>
                                <w:p w14:paraId="55D0E276" w14:textId="77777777" w:rsidR="00B8790A" w:rsidRDefault="00B8790A" w:rsidP="00B8790A">
                                  <w:pPr>
                                    <w:jc w:val="center"/>
                                    <w:rPr>
                                      <w:rFonts w:cs="Arial"/>
                                      <w:b/>
                                      <w:bCs/>
                                      <w:sz w:val="28"/>
                                      <w:szCs w:val="28"/>
                                      <w:lang w:val="en-US"/>
                                    </w:rPr>
                                  </w:pPr>
                                </w:p>
                                <w:p w14:paraId="498CB211" w14:textId="77777777" w:rsidR="00B8790A" w:rsidRPr="00225281" w:rsidRDefault="00B8790A" w:rsidP="00B8790A">
                                  <w:pPr>
                                    <w:rPr>
                                      <w:rtl/>
                                      <w:lang w:val="en-US" w:bidi="ar-AE"/>
                                    </w:rPr>
                                  </w:pPr>
                                </w:p>
                              </w:txbxContent>
                            </v:textbox>
                          </v:rect>
                          <v:rect id="مستطيل 13" o:spid="_x0000_s1036" style="position:absolute;left:3719;top:28505;width:9144;height:124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g1gwQAAANsAAAAPAAAAZHJzL2Rvd25yZXYueG1sRE9Na8JA&#10;EL0L/Q/LFHrTTVsQjW5EWgq9tGDqod6G7GQT3J0N2U1M/31XELzN433Odjc5K0bqQ+tZwfMiA0Fc&#10;ed2yUXD8+ZivQISIrNF6JgV/FGBXPMy2mGt/4QONZTQihXDIUUETY5dLGaqGHIaF74gTV/veYUyw&#10;N1L3eEnhzsqXLFtKhy2nhgY7emuoOpeDU/D+Zdbjrz1Gy/U0SHMaynL9rdTT47TfgIg0xbv45v7U&#10;af4rXH9JB8jiHwAA//8DAFBLAQItABQABgAIAAAAIQDb4fbL7gAAAIUBAAATAAAAAAAAAAAAAAAA&#10;AAAAAABbQ29udGVudF9UeXBlc10ueG1sUEsBAi0AFAAGAAgAAAAhAFr0LFu/AAAAFQEAAAsAAAAA&#10;AAAAAAAAAAAAHwEAAF9yZWxzLy5yZWxzUEsBAi0AFAAGAAgAAAAhAP8uDWDBAAAA2wAAAA8AAAAA&#10;AAAAAAAAAAAABwIAAGRycy9kb3ducmV2LnhtbFBLBQYAAAAAAwADALcAAAD1AgAAAAA=&#10;" fillcolor="window" strokecolor="#f79646" strokeweight="2pt">
                            <v:textbox>
                              <w:txbxContent>
                                <w:p w14:paraId="25CDB993" w14:textId="77777777" w:rsidR="00B8790A" w:rsidRPr="00941D4A" w:rsidRDefault="00B8790A" w:rsidP="00B8790A">
                                  <w:pPr>
                                    <w:bidi/>
                                    <w:jc w:val="center"/>
                                    <w:rPr>
                                      <w:sz w:val="28"/>
                                      <w:szCs w:val="28"/>
                                    </w:rPr>
                                  </w:pPr>
                                  <w:r w:rsidRPr="00941D4A">
                                    <w:rPr>
                                      <w:rFonts w:cs="Arial" w:hint="cs"/>
                                      <w:sz w:val="32"/>
                                      <w:szCs w:val="32"/>
                                      <w:rtl/>
                                      <w:lang w:val="en-US"/>
                                    </w:rPr>
                                    <w:t>رضا العملاء</w:t>
                                  </w:r>
                                </w:p>
                                <w:p w14:paraId="60550AB3" w14:textId="77777777" w:rsidR="00B8790A" w:rsidRPr="00225281" w:rsidRDefault="00B8790A" w:rsidP="00B8790A">
                                  <w:pPr>
                                    <w:rPr>
                                      <w:rtl/>
                                      <w:lang w:val="en-US" w:bidi="ar-AE"/>
                                    </w:rPr>
                                  </w:pPr>
                                </w:p>
                              </w:txbxContent>
                            </v:textbox>
                          </v:rect>
                          <v:rect id="مستطيل 14" o:spid="_x0000_s1037" style="position:absolute;left:3700;top:18895;width:9144;height:93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5UUwQAAANsAAAAPAAAAZHJzL2Rvd25yZXYueG1sRE9Na8JA&#10;EL0L/Q/LFHrTTUsRjW5EWgq9tGDqod6G7GQT3J0N2U1M/31XELzN433Odjc5K0bqQ+tZwfMiA0Fc&#10;ed2yUXD8+ZivQISIrNF6JgV/FGBXPMy2mGt/4QONZTQihXDIUUETY5dLGaqGHIaF74gTV/veYUyw&#10;N1L3eEnhzsqXLFtKhy2nhgY7emuoOpeDU/D+Zdbjrz1Gy/U0SHMaynL9rdTT47TfgIg0xbv45v7U&#10;af4rXH9JB8jiHwAA//8DAFBLAQItABQABgAIAAAAIQDb4fbL7gAAAIUBAAATAAAAAAAAAAAAAAAA&#10;AAAAAABbQ29udGVudF9UeXBlc10ueG1sUEsBAi0AFAAGAAgAAAAhAFr0LFu/AAAAFQEAAAsAAAAA&#10;AAAAAAAAAAAAHwEAAF9yZWxzLy5yZWxzUEsBAi0AFAAGAAgAAAAhAHDHlRTBAAAA2wAAAA8AAAAA&#10;AAAAAAAAAAAABwIAAGRycy9kb3ducmV2LnhtbFBLBQYAAAAAAwADALcAAAD1AgAAAAA=&#10;" fillcolor="window" strokecolor="#f79646" strokeweight="2pt">
                            <v:textbox>
                              <w:txbxContent>
                                <w:p w14:paraId="41F51664" w14:textId="77777777" w:rsidR="00B8790A" w:rsidRPr="00941D4A" w:rsidRDefault="00B8790A" w:rsidP="00B8790A">
                                  <w:pPr>
                                    <w:bidi/>
                                    <w:jc w:val="center"/>
                                    <w:rPr>
                                      <w:sz w:val="28"/>
                                      <w:szCs w:val="28"/>
                                    </w:rPr>
                                  </w:pPr>
                                  <w:r w:rsidRPr="00941D4A">
                                    <w:rPr>
                                      <w:rFonts w:cs="Arial" w:hint="cs"/>
                                      <w:sz w:val="32"/>
                                      <w:szCs w:val="32"/>
                                      <w:rtl/>
                                      <w:lang w:val="en-US"/>
                                    </w:rPr>
                                    <w:t>الابتكار وحل المشكلات</w:t>
                                  </w:r>
                                </w:p>
                                <w:p w14:paraId="7268DB95" w14:textId="77777777" w:rsidR="00B8790A" w:rsidRPr="00225281" w:rsidRDefault="00B8790A" w:rsidP="00B8790A">
                                  <w:pPr>
                                    <w:rPr>
                                      <w:rtl/>
                                      <w:lang w:val="en-US" w:bidi="ar-AE"/>
                                    </w:rPr>
                                  </w:pPr>
                                </w:p>
                              </w:txbxContent>
                            </v:textbox>
                          </v:rect>
                          <v:rect id="مستطيل 15" o:spid="_x0000_s1038" style="position:absolute;left:3700;top:9034;width:9144;height:96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zCPwQAAANsAAAAPAAAAZHJzL2Rvd25yZXYueG1sRE9Na8JA&#10;EL0L/Q/LFHrTTQsVjW5EWgq9tGDqod6G7GQT3J0N2U1M/31XELzN433Odjc5K0bqQ+tZwfMiA0Fc&#10;ed2yUXD8+ZivQISIrNF6JgV/FGBXPMy2mGt/4QONZTQihXDIUUETY5dLGaqGHIaF74gTV/veYUyw&#10;N1L3eEnhzsqXLFtKhy2nhgY7emuoOpeDU/D+Zdbjrz1Gy/U0SHMaynL9rdTT47TfgIg0xbv45v7U&#10;af4rXH9JB8jiHwAA//8DAFBLAQItABQABgAIAAAAIQDb4fbL7gAAAIUBAAATAAAAAAAAAAAAAAAA&#10;AAAAAABbQ29udGVudF9UeXBlc10ueG1sUEsBAi0AFAAGAAgAAAAhAFr0LFu/AAAAFQEAAAsAAAAA&#10;AAAAAAAAAAAAHwEAAF9yZWxzLy5yZWxzUEsBAi0AFAAGAAgAAAAhAB+LMI/BAAAA2wAAAA8AAAAA&#10;AAAAAAAAAAAABwIAAGRycy9kb3ducmV2LnhtbFBLBQYAAAAAAwADALcAAAD1AgAAAAA=&#10;" fillcolor="window" strokecolor="#f79646" strokeweight="2pt">
                            <v:textbox>
                              <w:txbxContent>
                                <w:p w14:paraId="5716D4E3" w14:textId="77777777" w:rsidR="00B8790A" w:rsidRPr="00941D4A" w:rsidRDefault="00B8790A" w:rsidP="00B8790A">
                                  <w:pPr>
                                    <w:bidi/>
                                    <w:jc w:val="center"/>
                                    <w:rPr>
                                      <w:sz w:val="28"/>
                                      <w:szCs w:val="28"/>
                                    </w:rPr>
                                  </w:pPr>
                                  <w:r w:rsidRPr="00941D4A">
                                    <w:rPr>
                                      <w:rFonts w:cs="Arial" w:hint="cs"/>
                                      <w:sz w:val="32"/>
                                      <w:szCs w:val="32"/>
                                      <w:rtl/>
                                      <w:lang w:val="en-US"/>
                                    </w:rPr>
                                    <w:t>الكفاءة الوظيفية</w:t>
                                  </w:r>
                                </w:p>
                                <w:p w14:paraId="21F1DC63" w14:textId="77777777" w:rsidR="00B8790A" w:rsidRPr="00225281" w:rsidRDefault="00B8790A" w:rsidP="00B8790A">
                                  <w:pPr>
                                    <w:rPr>
                                      <w:rtl/>
                                      <w:lang w:val="en-US" w:bidi="ar-AE"/>
                                    </w:rPr>
                                  </w:pPr>
                                </w:p>
                              </w:txbxContent>
                            </v:textbox>
                          </v:rect>
                          <v:shapetype id="_x0000_t32" coordsize="21600,21600" o:spt="32" o:oned="t" path="m,l21600,21600e" filled="f">
                            <v:path arrowok="t" fillok="f" o:connecttype="none"/>
                            <o:lock v:ext="edit" shapetype="t"/>
                          </v:shapetype>
                          <v:shape id="رابط كسهم مستقيم 16" o:spid="_x0000_s1039" type="#_x0000_t32" style="position:absolute;left:16546;top:4521;width:18935;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PSewQAAANsAAAAPAAAAZHJzL2Rvd25yZXYueG1sRE89a8Mw&#10;EN0D/Q/iCt0SuYGmxY1sSiGQIUNqt/shXW1j6+RYiu3k11eBQLd7vM/b5rPtxEiDbxwreF4lIIi1&#10;Mw1XCr7L3fINhA/IBjvHpOBCHvLsYbHF1LiJv2gsQiViCPsUFdQh9KmUXtdk0a9cTxy5XzdYDBEO&#10;lTQDTjHcdnKdJBtpseHYUGNPnzXptjhbBT+tLWX3el23+uVw7Pl60sgnpZ4e5493EIHm8C++u/cm&#10;zt/A7Zd4gMz+AAAA//8DAFBLAQItABQABgAIAAAAIQDb4fbL7gAAAIUBAAATAAAAAAAAAAAAAAAA&#10;AAAAAABbQ29udGVudF9UeXBlc10ueG1sUEsBAi0AFAAGAAgAAAAhAFr0LFu/AAAAFQEAAAsAAAAA&#10;AAAAAAAAAAAAHwEAAF9yZWxzLy5yZWxzUEsBAi0AFAAGAAgAAAAhALyk9J7BAAAA2wAAAA8AAAAA&#10;AAAAAAAAAAAABwIAAGRycy9kb3ducmV2LnhtbFBLBQYAAAAAAwADALcAAAD1AgAAAAA=&#10;" strokecolor="windowText" strokeweight="3pt">
                            <v:stroke endarrow="open"/>
                            <v:shadow on="t" color="black" opacity="22937f" origin=",.5" offset="0,.63889mm"/>
                          </v:shape>
                        </v:group>
                        <v:oval id="Oval 2024668143" o:spid="_x0000_s1040" style="position:absolute;left:22968;top:3462;width:6611;height:34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EUIwQAAANsAAAAPAAAAZHJzL2Rvd25yZXYueG1sRE9Li8Iw&#10;EL4v+B/CCN7WVIVdrUZRsexePNTXeWjGttpMShO1/vuNsOBtPr7nzBatqcSdGldaVjDoRyCIM6tL&#10;zhUc9snnGITzyBory6TgSQ4W887HDGNtH5zSfedzEULYxaig8L6OpXRZQQZd39bEgTvbxqAPsMml&#10;bvARwk0lh1H0JQ2WHBoKrGldUHbd3YyCUzI6JpPV011ul3SbLjfVz3l9VKrXbZdTEJ5a/xb/u391&#10;mP8Nr1/CAXL+BwAA//8DAFBLAQItABQABgAIAAAAIQDb4fbL7gAAAIUBAAATAAAAAAAAAAAAAAAA&#10;AAAAAABbQ29udGVudF9UeXBlc10ueG1sUEsBAi0AFAAGAAgAAAAhAFr0LFu/AAAAFQEAAAsAAAAA&#10;AAAAAAAAAAAAHwEAAF9yZWxzLy5yZWxzUEsBAi0AFAAGAAgAAAAhAF4cRQjBAAAA2wAAAA8AAAAA&#10;AAAAAAAAAAAABwIAAGRycy9kb3ducmV2LnhtbFBLBQYAAAAAAwADALcAAAD1AgAAAAA=&#10;" fillcolor="window" strokecolor="windowText" strokeweight="2pt">
                          <v:textbox>
                            <w:txbxContent>
                              <w:p w14:paraId="674A24C0" w14:textId="77777777" w:rsidR="00B8790A" w:rsidRPr="007426C6" w:rsidRDefault="00B8790A" w:rsidP="00B8790A">
                                <w:pPr>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pPr>
                                <w:r w:rsidRPr="007426C6">
                                  <w:rPr>
                                    <w:rFonts w:ascii="Times New Roman" w:hAnsi="Times New Roman" w:cs="Times New Roman"/>
                                    <w:b/>
                                    <w:bCs/>
                                    <w:sz w:val="18"/>
                                    <w:szCs w:val="18"/>
                                    <w:lang w:bidi="ar-JO"/>
                                    <w14:textOutline w14:w="9525" w14:cap="rnd" w14:cmpd="sng" w14:algn="ctr">
                                      <w14:solidFill>
                                        <w14:srgbClr w14:val="000000"/>
                                      </w14:solidFill>
                                      <w14:prstDash w14:val="solid"/>
                                      <w14:bevel/>
                                    </w14:textOutline>
                                  </w:rPr>
                                  <w:t>H1</w:t>
                                </w:r>
                              </w:p>
                            </w:txbxContent>
                          </v:textbox>
                        </v:oval>
                        <v:shape id="رابط كسهم مستقيم 18" o:spid="_x0000_s1041" type="#_x0000_t32" style="position:absolute;left:12844;top:14532;width:21954;height:1292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8sbxQAAANsAAAAPAAAAZHJzL2Rvd25yZXYueG1sRI9LawJB&#10;EITvgfyHoQPe4mwEJWwcxQeB5CJExXOz09mHOz27MxPd+OvtQyC3bqq66uv5cnCtulCItWcDL+MM&#10;FHHhbc2lgePh/fkVVEzIFlvPZOCXIiwXjw9zzK2/8hdd9qlUEsIxRwNVSl2udSwqchjHviMW7dsH&#10;h0nWUGob8CrhrtWTLJtphzVLQ4UdbSoqzvsfZ+BzG5pbv1r3TXPoy+3On7rNdGLM6GlYvYFKNKR/&#10;89/1hxV8gZVfZAC9uAMAAP//AwBQSwECLQAUAAYACAAAACEA2+H2y+4AAACFAQAAEwAAAAAAAAAA&#10;AAAAAAAAAAAAW0NvbnRlbnRfVHlwZXNdLnhtbFBLAQItABQABgAIAAAAIQBa9CxbvwAAABUBAAAL&#10;AAAAAAAAAAAAAAAAAB8BAABfcmVscy8ucmVsc1BLAQItABQABgAIAAAAIQBaD8sbxQAAANsAAAAP&#10;AAAAAAAAAAAAAAAAAAcCAABkcnMvZG93bnJldi54bWxQSwUGAAAAAAMAAwC3AAAA+QIAAAAA&#10;" strokecolor="windowText" strokeweight="2pt">
                          <v:stroke endarrow="open"/>
                          <v:shadow on="t" color="black" opacity="24903f" origin=",.5" offset="0,.55556mm"/>
                        </v:shape>
                        <v:oval id="Oval 2024668143" o:spid="_x0000_s1042" style="position:absolute;left:15250;top:15642;width:6007;height:316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z3ThwQAAANsAAAAPAAAAZHJzL2Rvd25yZXYueG1sRE9Ni8Iw&#10;EL0L/ocwC9403RXEVqOobNHLHqrrnodmbKvNpDRR6783C4K3ebzPmS87U4sbta6yrOBzFIEgzq2u&#10;uFDwe0iHUxDOI2usLZOCBzlYLvq9OSba3jmj294XIoSwS1BB6X2TSOnykgy6kW2IA3eyrUEfYFtI&#10;3eI9hJtafkXRRBqsODSU2NCmpPyyvxoFf+n4mMbrhztfz9lPtvqut6fNUanBR7eagfDU+bf45d7p&#10;MD+G/1/CAXLxBAAA//8DAFBLAQItABQABgAIAAAAIQDb4fbL7gAAAIUBAAATAAAAAAAAAAAAAAAA&#10;AAAAAABbQ29udGVudF9UeXBlc10ueG1sUEsBAi0AFAAGAAgAAAAhAFr0LFu/AAAAFQEAAAsAAAAA&#10;AAAAAAAAAAAAHwEAAF9yZWxzLy5yZWxzUEsBAi0AFAAGAAgAAAAhAEDPdOHBAAAA2wAAAA8AAAAA&#10;AAAAAAAAAAAABwIAAGRycy9kb3ducmV2LnhtbFBLBQYAAAAAAwADALcAAAD1AgAAAAA=&#10;" fillcolor="window" strokecolor="windowText" strokeweight="2pt">
                          <v:textbox>
                            <w:txbxContent>
                              <w:p w14:paraId="5DF8FC3A"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1.1</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w:t>
                                </w:r>
                              </w:p>
                            </w:txbxContent>
                          </v:textbox>
                        </v:oval>
                        <v:shape id="رابط كسهم مستقيم 20" o:spid="_x0000_s1043" type="#_x0000_t32" style="position:absolute;left:12844;top:24230;width:21735;height:3154;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Q2gwgAAANsAAAAPAAAAZHJzL2Rvd25yZXYueG1sRE/LasJA&#10;FN0X/IfhCu7qxIClpE6CVYS6KdSI60vmNo9m7iQzU439+s6i0OXhvDfFZHpxJedbywpWywQEcWV1&#10;y7WCc3l4fAbhA7LG3jIpuJOHIp89bDDT9sYfdD2FWsQQ9hkqaEIYMil91ZBBv7QDceQ+rTMYInS1&#10;1A5vMdz0Mk2SJ2mw5djQ4EC7hqqv07dRcNy77mfcvo5dV471/t1eht06VWoxn7YvIAJN4V/8537T&#10;CtK4Pn6JP0DmvwAAAP//AwBQSwECLQAUAAYACAAAACEA2+H2y+4AAACFAQAAEwAAAAAAAAAAAAAA&#10;AAAAAAAAW0NvbnRlbnRfVHlwZXNdLnhtbFBLAQItABQABgAIAAAAIQBa9CxbvwAAABUBAAALAAAA&#10;AAAAAAAAAAAAAB8BAABfcmVscy8ucmVsc1BLAQItABQABgAIAAAAIQBqFQ2gwgAAANsAAAAPAAAA&#10;AAAAAAAAAAAAAAcCAABkcnMvZG93bnJldi54bWxQSwUGAAAAAAMAAwC3AAAA9gIAAAAA&#10;" strokecolor="windowText" strokeweight="2pt">
                          <v:stroke endarrow="open"/>
                          <v:shadow on="t" color="black" opacity="24903f" origin=",.5" offset="0,.55556mm"/>
                        </v:shape>
                        <v:oval id="Oval 2024668143" o:spid="_x0000_s1044" style="position:absolute;left:15309;top:22968;width:5950;height:2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1bJawwAAANsAAAAPAAAAZHJzL2Rvd25yZXYueG1sRI9Bi8Iw&#10;FITvwv6H8Ba8aaqCuNUormzRyx7qWs+P5tlWm5fSRK3/3iwIHoeZ+YZZrDpTixu1rrKsYDSMQBDn&#10;VldcKDj8JYMZCOeRNdaWScGDHKyWH70FxtreOaXb3hciQNjFqKD0vomldHlJBt3QNsTBO9nWoA+y&#10;LaRu8R7gppbjKJpKgxWHhRIb2pSUX/ZXo+CYTLLk6/vhztdz+puuf+rtaZMp1f/s1nMQnjr/Dr/a&#10;O61gPIL/L+EHyOUTAAD//wMAUEsBAi0AFAAGAAgAAAAhANvh9svuAAAAhQEAABMAAAAAAAAAAAAA&#10;AAAAAAAAAFtDb250ZW50X1R5cGVzXS54bWxQSwECLQAUAAYACAAAACEAWvQsW78AAAAVAQAACwAA&#10;AAAAAAAAAAAAAAAfAQAAX3JlbHMvLnJlbHNQSwECLQAUAAYACAAAACEAcNWyWsMAAADbAAAADwAA&#10;AAAAAAAAAAAAAAAHAgAAZHJzL2Rvd25yZXYueG1sUEsFBgAAAAADAAMAtwAAAPcCAAAAAA==&#10;" fillcolor="window" strokecolor="windowText" strokeweight="2pt">
                          <v:textbox>
                            <w:txbxContent>
                              <w:p w14:paraId="437035A9"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1.2</w:t>
                                </w:r>
                              </w:p>
                            </w:txbxContent>
                          </v:textbox>
                        </v:oval>
                        <v:shape id="رابط كسهم مستقيم 22" o:spid="_x0000_s1045" type="#_x0000_t32" style="position:absolute;left:12863;top:27415;width:21931;height:799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XCxxQAAANsAAAAPAAAAZHJzL2Rvd25yZXYueG1sRI/RasJA&#10;FETfC/7DcgXf6iZBShtdRZQW6UNL1Q+4Zq/ZaPZuzG40/r1bKPRxmJkzzGzR21pcqfWVYwXpOAFB&#10;XDhdcalgv3t/fgXhA7LG2jEpuJOHxXzwNMNcuxv/0HUbShEh7HNUYEJocil9YciiH7uGOHpH11oM&#10;Ubal1C3eItzWMkuSF2mx4rhgsKGVoeK87ayCQ5Omn2/m+2PiL6dudey6y2b9pdRo2C+nIAL14T/8&#10;195oBVkGv1/iD5DzBwAAAP//AwBQSwECLQAUAAYACAAAACEA2+H2y+4AAACFAQAAEwAAAAAAAAAA&#10;AAAAAAAAAAAAW0NvbnRlbnRfVHlwZXNdLnhtbFBLAQItABQABgAIAAAAIQBa9CxbvwAAABUBAAAL&#10;AAAAAAAAAAAAAAAAAB8BAABfcmVscy8ucmVsc1BLAQItABQABgAIAAAAIQDAhXCxxQAAANsAAAAP&#10;AAAAAAAAAAAAAAAAAAcCAABkcnMvZG93bnJldi54bWxQSwUGAAAAAAMAAwC3AAAA+QIAAAAA&#10;" strokecolor="windowText" strokeweight="2pt">
                          <v:stroke endarrow="open"/>
                          <v:shadow on="t" color="black" opacity="24903f" origin=",.5" offset="0,.55556mm"/>
                        </v:shape>
                        <v:oval id="Oval 2024668143" o:spid="_x0000_s1046" style="position:absolute;left:15308;top:31734;width:5949;height:31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S4m2wwAAANsAAAAPAAAAZHJzL2Rvd25yZXYueG1sRI9Bi8Iw&#10;FITvgv8hvAVvmq6CuNUoKha97KHuds+P5tlWm5fSRK3/3iwIHoeZ+YZZrDpTixu1rrKs4HMUgSDO&#10;ra64UPD7kwxnIJxH1lhbJgUPcrBa9nsLjLW9c0q3oy9EgLCLUUHpfRNL6fKSDLqRbYiDd7KtQR9k&#10;W0jd4j3ATS3HUTSVBisOCyU2tC0pvxyvRsFfMsmSr83Dna/n9Dtd7+r9aZspNfjo1nMQnjr/Dr/a&#10;B61gPIH/L+EHyOUTAAD//wMAUEsBAi0AFAAGAAgAAAAhANvh9svuAAAAhQEAABMAAAAAAAAAAAAA&#10;AAAAAAAAAFtDb250ZW50X1R5cGVzXS54bWxQSwECLQAUAAYACAAAACEAWvQsW78AAAAVAQAACwAA&#10;AAAAAAAAAAAAAAAfAQAAX3JlbHMvLnJlbHNQSwECLQAUAAYACAAAACEA70uJtsMAAADbAAAADwAA&#10;AAAAAAAAAAAAAAAHAgAAZHJzL2Rvd25yZXYueG1sUEsFBgAAAAADAAMAtwAAAPcCAAAAAA==&#10;" fillcolor="window" strokecolor="windowText" strokeweight="2pt">
                          <v:textbox>
                            <w:txbxContent>
                              <w:p w14:paraId="788EFD73"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1.3</w:t>
                                </w:r>
                              </w:p>
                            </w:txbxContent>
                          </v:textbox>
                        </v:oval>
                      </v:group>
                      <v:rect id="مستطيل 40" o:spid="_x0000_s1047" style="position:absolute;left:39243;top:33274;width:9144;height:1161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7wKwAAAANsAAAAPAAAAZHJzL2Rvd25yZXYueG1sRE/Pa8Iw&#10;FL4L/g/hCbtpuiFiO6MMZeBlgtWD3h7NMy1LXkqT1u6/Xw6DHT++35vd6KwYqAuNZwWviwwEceV1&#10;w0bB9fI5X4MIEVmj9UwKfijAbjudbLDQ/slnGspoRArhUKCCOsa2kDJUNTkMC98SJ+7hO4cxwc5I&#10;3eEzhTsr37JsJR02nBpqbGlfU/Vd9k7B4cvkw81eo+XH2Etz78syPyn1Mhs/3kFEGuO/+M991AqW&#10;aX36kn6A3P4CAAD//wMAUEsBAi0AFAAGAAgAAAAhANvh9svuAAAAhQEAABMAAAAAAAAAAAAAAAAA&#10;AAAAAFtDb250ZW50X1R5cGVzXS54bWxQSwECLQAUAAYACAAAACEAWvQsW78AAAAVAQAACwAAAAAA&#10;AAAAAAAAAAAfAQAAX3JlbHMvLnJlbHNQSwECLQAUAAYACAAAACEAHE+8CsAAAADbAAAADwAAAAAA&#10;AAAAAAAAAAAHAgAAZHJzL2Rvd25yZXYueG1sUEsFBgAAAAADAAMAtwAAAPQCAAAAAA==&#10;" fillcolor="window" strokecolor="#f79646" strokeweight="2pt">
                        <v:textbox>
                          <w:txbxContent>
                            <w:p w14:paraId="6A20AF6B" w14:textId="77777777" w:rsidR="00B8790A" w:rsidRDefault="00B8790A" w:rsidP="00B8790A">
                              <w:pPr>
                                <w:jc w:val="center"/>
                                <w:rPr>
                                  <w:lang w:bidi="ar-JO"/>
                                </w:rPr>
                              </w:pPr>
                              <w:r w:rsidRPr="00941D4A">
                                <w:rPr>
                                  <w:rFonts w:hint="cs"/>
                                  <w:sz w:val="32"/>
                                  <w:szCs w:val="32"/>
                                  <w:rtl/>
                                  <w:lang w:bidi="ar-JO"/>
                                </w:rPr>
                                <w:t>تطبيق المعرفة</w:t>
                              </w:r>
                            </w:p>
                          </w:txbxContent>
                        </v:textbox>
                      </v:rect>
                    </v:group>
                    <v:rect id="مستطيل 54" o:spid="_x0000_s1048" style="position:absolute;left:3759;top:42341;width:9144;height:91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SzUwwAAANsAAAAPAAAAZHJzL2Rvd25yZXYueG1sRI9BawIx&#10;FITvhf6H8Aq91ayipa5GEUXoxUJXD/X22Dyzi8nLssmu23/fFASPw8x8wyzXg7OipzbUnhWMRxkI&#10;4tLrmo2C03H/9gEiRGSN1jMp+KUA69Xz0xJz7W/8TX0RjUgQDjkqqGJscilDWZHDMPINcfIuvnUY&#10;k2yN1C3eEtxZOcmyd+mw5rRQYUPbispr0TkFu4OZ9z/2FC1fhk6ac1cU8y+lXl+GzQJEpCE+wvf2&#10;p1Ywm8L/l/QD5OoPAAD//wMAUEsBAi0AFAAGAAgAAAAhANvh9svuAAAAhQEAABMAAAAAAAAAAAAA&#10;AAAAAAAAAFtDb250ZW50X1R5cGVzXS54bWxQSwECLQAUAAYACAAAACEAWvQsW78AAAAVAQAACwAA&#10;AAAAAAAAAAAAAAAfAQAAX3JlbHMvLnJlbHNQSwECLQAUAAYACAAAACEA5q0s1MMAAADbAAAADwAA&#10;AAAAAAAAAAAAAAAHAgAAZHJzL2Rvd25yZXYueG1sUEsFBgAAAAADAAMAtwAAAPcCAAAAAA==&#10;" fillcolor="window" strokecolor="#f79646" strokeweight="2pt">
                      <v:textbox>
                        <w:txbxContent>
                          <w:p w14:paraId="44C3B0A4" w14:textId="77777777" w:rsidR="00B8790A" w:rsidRPr="00941D4A" w:rsidRDefault="00B8790A" w:rsidP="00B8790A">
                            <w:pPr>
                              <w:jc w:val="center"/>
                              <w:rPr>
                                <w:sz w:val="32"/>
                                <w:szCs w:val="32"/>
                                <w:lang w:bidi="ar-JO"/>
                              </w:rPr>
                            </w:pPr>
                            <w:r w:rsidRPr="00941D4A">
                              <w:rPr>
                                <w:rFonts w:hint="cs"/>
                                <w:sz w:val="32"/>
                                <w:szCs w:val="32"/>
                                <w:rtl/>
                                <w:lang w:bidi="ar-JO"/>
                              </w:rPr>
                              <w:t xml:space="preserve">الالتزام الوظيفي </w:t>
                            </w:r>
                          </w:p>
                        </w:txbxContent>
                      </v:textbox>
                    </v:rect>
                  </v:group>
                  <v:line id="رابط مستقيم 55" o:spid="_x0000_s1049" style="position:absolute;flip:y;visibility:visible;mso-wrap-style:square" from="34181,27540" to="39223,276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8t6oxAAAANsAAAAPAAAAZHJzL2Rvd25yZXYueG1sRI/NasMw&#10;EITvgb6D2EJuidRASupYDqUlkEAPjVMCuS3WxjaxVsaSf/r2VaHQ4zAz3zDpbrKNGKjztWMNT0sF&#10;grhwpuZSw9d5v9iA8AHZYOOYNHyTh132MEsxMW7kEw15KEWEsE9QQxVCm0jpi4os+qVriaN3c53F&#10;EGVXStPhGOG2kSulnqXFmuNChS29VVTc895qUOrj5Xqchs+LCtc27w/9+D6S1vPH6XULItAU/sN/&#10;7YPRsF7D75f4A2T2AwAA//8DAFBLAQItABQABgAIAAAAIQDb4fbL7gAAAIUBAAATAAAAAAAAAAAA&#10;AAAAAAAAAABbQ29udGVudF9UeXBlc10ueG1sUEsBAi0AFAAGAAgAAAAhAFr0LFu/AAAAFQEAAAsA&#10;AAAAAAAAAAAAAAAAHwEAAF9yZWxzLy5yZWxzUEsBAi0AFAAGAAgAAAAhAOLy3qjEAAAA2wAAAA8A&#10;AAAAAAAAAAAAAAAABwIAAGRycy9kb3ducmV2LnhtbFBLBQYAAAAAAwADALcAAAD4AgAAAAA=&#10;" strokecolor="windowText" strokeweight="2pt">
                    <v:shadow on="t" color="black" opacity="24903f" origin=",.5" offset="0,.55556mm"/>
                  </v:line>
                  <v:line id="رابط مستقيم 56" o:spid="_x0000_s1050" style="position:absolute;visibility:visible;mso-wrap-style:square" from="34181,41148" to="39280,4114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8YNxQAAANsAAAAPAAAAZHJzL2Rvd25yZXYueG1sRI9La8Mw&#10;EITvhfwHsYHcarktTYITOZRCoAQKzQty3FjrB5VWxlJjt7++CgRyHGbmG2a5GqwRF+p841jBU5KC&#10;IC6cbrhScNivH+cgfEDWaByTgl/ysMpHD0vMtOt5S5ddqESEsM9QQR1Cm0npi5os+sS1xNErXWcx&#10;RNlVUnfYR7g18jlNp9Jiw3Ghxpbeayq+dz9WQX88b5vUfJaB3Utxnm3Wp68/o9RkPLwtQAQawj18&#10;a39oBa9TuH6JP0Dm/wAAAP//AwBQSwECLQAUAAYACAAAACEA2+H2y+4AAACFAQAAEwAAAAAAAAAA&#10;AAAAAAAAAAAAW0NvbnRlbnRfVHlwZXNdLnhtbFBLAQItABQABgAIAAAAIQBa9CxbvwAAABUBAAAL&#10;AAAAAAAAAAAAAAAAAB8BAABfcmVscy8ucmVsc1BLAQItABQABgAIAAAAIQCxp8YNxQAAANsAAAAP&#10;AAAAAAAAAAAAAAAAAAcCAABkcnMvZG93bnJldi54bWxQSwUGAAAAAAMAAwC3AAAA+QIAAAAA&#10;" strokecolor="windowText" strokeweight="2pt">
                    <v:shadow on="t" color="black" opacity="24903f" origin=",.5" offset="0,.55556mm"/>
                  </v:line>
                  <v:line id="رابط مستقيم 57" o:spid="_x0000_s1051" style="position:absolute;visibility:visible;mso-wrap-style:square" from="34181,16002" to="34181,411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62OWxQAAANsAAAAPAAAAZHJzL2Rvd25yZXYueG1sRI/dagIx&#10;FITvC75DOIXe1WwtdmXdKCIIpSBUbcHL4+bsDyYnyyZ1tz69KRS8HGbmGyZfDtaIC3W+cazgZZyA&#10;IC6cbrhS8HXYPM9A+ICs0TgmBb/kYbkYPeSYadfzji77UIkIYZ+hgjqENpPSFzVZ9GPXEkevdJ3F&#10;EGVXSd1hH+HWyEmSvEmLDceFGlta11Sc9z9WQf992jWJ2ZaB3WtxSj82x8+rUerpcVjNQQQawj38&#10;337XCqYp/H2JP0AubgAAAP//AwBQSwECLQAUAAYACAAAACEA2+H2y+4AAACFAQAAEwAAAAAAAAAA&#10;AAAAAAAAAAAAW0NvbnRlbnRfVHlwZXNdLnhtbFBLAQItABQABgAIAAAAIQBa9CxbvwAAABUBAAAL&#10;AAAAAAAAAAAAAAAAAB8BAABfcmVscy8ucmVsc1BLAQItABQABgAIAAAAIQDe62OWxQAAANsAAAAP&#10;AAAAAAAAAAAAAAAAAAcCAABkcnMvZG93bnJldi54bWxQSwUGAAAAAAMAAwC3AAAA+QIAAAAA&#10;" strokecolor="windowText" strokeweight="2pt">
                    <v:shadow on="t" color="black" opacity="24903f" origin=",.5" offset="0,.55556mm"/>
                  </v:line>
                  <v:line id="رابط مستقيم 58" o:spid="_x0000_s1052" style="position:absolute;flip:y;visibility:visible;mso-wrap-style:square" from="34181,16002" to="39223,16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3E2wQAAANsAAAAPAAAAZHJzL2Rvd25yZXYueG1sRE/LasJA&#10;FN0X+g/DLXTXzFSo1OgopUVQcGGjCO4umWsSzNwJmcnDv3cWgsvDeS9Wo61FT62vHGv4TBQI4tyZ&#10;igsNx8P64xuED8gGa8ek4UYeVsvXlwWmxg38T30WChFD2KeooQyhSaX0eUkWfeIa4shdXGsxRNgW&#10;0rQ4xHBby4lSU2mx4thQYkO/JeXXrLMalNrNztux359UODdZt+mGv4G0fn8bf+YgAo3hKX64N0bD&#10;Vxwbv8QfIJd3AAAA//8DAFBLAQItABQABgAIAAAAIQDb4fbL7gAAAIUBAAATAAAAAAAAAAAAAAAA&#10;AAAAAABbQ29udGVudF9UeXBlc10ueG1sUEsBAi0AFAAGAAgAAAAhAFr0LFu/AAAAFQEAAAsAAAAA&#10;AAAAAAAAAAAAHwEAAF9yZWxzLy5yZWxzUEsBAi0AFAAGAAgAAAAhAAzzcTbBAAAA2wAAAA8AAAAA&#10;AAAAAAAAAAAABwIAAGRycy9kb3ducmV2LnhtbFBLBQYAAAAAAwADALcAAAD1AgAAAAA=&#10;" strokecolor="windowText" strokeweight="2pt">
                    <v:shadow on="t" color="black" opacity="24903f" origin=",.5" offset="0,.55556mm"/>
                  </v:line>
                  <v:shape id="رابط كسهم مستقيم 59" o:spid="_x0000_s1053" type="#_x0000_t32" style="position:absolute;left:12192;top:27649;width:22307;height:19558;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5G9xQAAANsAAAAPAAAAZHJzL2Rvd25yZXYueG1sRI/dasJA&#10;FITvC77DcgTv6iZii0ZXEUuL9KLizwMcs8dsNHs2Zjeavn23UOjlMDPfMPNlZytxp8aXjhWkwwQE&#10;ce50yYWC4+H9eQLCB2SNlWNS8E0elove0xwz7R68o/s+FCJC2GeowIRQZ1L63JBFP3Q1cfTOrrEY&#10;omwKqRt8RLit5ChJXqXFkuOCwZrWhvLrvrUKTnWafk7N9mPsb5d2fW7b2+btS6lBv1vNQATqwn/4&#10;r73RCl6m8Psl/gC5+AEAAP//AwBQSwECLQAUAAYACAAAACEA2+H2y+4AAACFAQAAEwAAAAAAAAAA&#10;AAAAAAAAAAAAW0NvbnRlbnRfVHlwZXNdLnhtbFBLAQItABQABgAIAAAAIQBa9CxbvwAAABUBAAAL&#10;AAAAAAAAAAAAAAAAAB8BAABfcmVscy8ucmVsc1BLAQItABQABgAIAAAAIQCWJ5G9xQAAANsAAAAP&#10;AAAAAAAAAAAAAAAAAAcCAABkcnMvZG93bnJldi54bWxQSwUGAAAAAAMAAwC3AAAA+QIAAAAA&#10;" strokecolor="windowText" strokeweight="2pt">
                    <v:stroke endarrow="open"/>
                    <v:shadow on="t" color="black" opacity="24903f" origin=",.5" offset="0,.55556mm"/>
                  </v:shape>
                </v:group>
                <v:oval id="Oval 2024668143" o:spid="_x0000_s1054" style="position:absolute;left:15022;top:40277;width:6317;height:3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64BwgAAANsAAAAPAAAAZHJzL2Rvd25yZXYueG1sRE89b8Iw&#10;EN0r8R+sQ+pWHKiESsAgQI3apUMCYT7FRxKIz1FsSPLv66FSx6f3vdkNphFP6lxtWcF8FoEgLqyu&#10;uVRwPiVvHyCcR9bYWCYFIznYbScvG4y17TmlZ+ZLEULYxaig8r6NpXRFRQbdzLbEgbvazqAPsCul&#10;7rAP4aaRiyhaSoM1h4YKWzpWVNyzh1FwSd7zZHUY3e1xS3/S/WfzdT3mSr1Oh/0ahKfB/4v/3N9a&#10;wTKsD1/CD5DbXwAAAP//AwBQSwECLQAUAAYACAAAACEA2+H2y+4AAACFAQAAEwAAAAAAAAAAAAAA&#10;AAAAAAAAW0NvbnRlbnRfVHlwZXNdLnhtbFBLAQItABQABgAIAAAAIQBa9CxbvwAAABUBAAALAAAA&#10;AAAAAAAAAAAAAB8BAABfcmVscy8ucmVsc1BLAQItABQABgAIAAAAIQCJ864BwgAAANsAAAAPAAAA&#10;AAAAAAAAAAAAAAcCAABkcnMvZG93bnJldi54bWxQSwUGAAAAAAMAAwC3AAAA9gIAAAAA&#10;" fillcolor="window" strokecolor="windowText" strokeweight="2pt">
                  <v:textbox>
                    <w:txbxContent>
                      <w:p w14:paraId="4DBD8BEE" w14:textId="77777777" w:rsidR="00B8790A" w:rsidRPr="006179AE" w:rsidRDefault="00B8790A" w:rsidP="00B8790A">
                        <w:pPr>
                          <w:rPr>
                            <w:rFonts w:ascii="Times New Roman" w:hAnsi="Times New Roman" w:cs="Times New Roman"/>
                            <w:sz w:val="16"/>
                            <w:szCs w:val="16"/>
                            <w:lang w:bidi="ar-JO"/>
                            <w14:textOutline w14:w="9525" w14:cap="rnd" w14:cmpd="sng" w14:algn="ctr">
                              <w14:solidFill>
                                <w14:srgbClr w14:val="000000"/>
                              </w14:solidFill>
                              <w14:prstDash w14:val="solid"/>
                              <w14:bevel/>
                            </w14:textOutline>
                          </w:rPr>
                        </w:pPr>
                        <w:r w:rsidRPr="006179AE">
                          <w:rPr>
                            <w:rFonts w:ascii="Times New Roman" w:hAnsi="Times New Roman" w:cs="Times New Roman"/>
                            <w:sz w:val="16"/>
                            <w:szCs w:val="16"/>
                            <w:lang w:bidi="ar-JO"/>
                            <w14:textOutline w14:w="9525" w14:cap="rnd" w14:cmpd="sng" w14:algn="ctr">
                              <w14:solidFill>
                                <w14:srgbClr w14:val="000000"/>
                              </w14:solidFill>
                              <w14:prstDash w14:val="solid"/>
                              <w14:bevel/>
                            </w14:textOutline>
                          </w:rPr>
                          <w:t>H</w:t>
                        </w:r>
                        <w:r>
                          <w:rPr>
                            <w:rFonts w:ascii="Times New Roman" w:hAnsi="Times New Roman" w:cs="Times New Roman"/>
                            <w:sz w:val="16"/>
                            <w:szCs w:val="16"/>
                            <w:lang w:bidi="ar-JO"/>
                            <w14:textOutline w14:w="9525" w14:cap="rnd" w14:cmpd="sng" w14:algn="ctr">
                              <w14:solidFill>
                                <w14:srgbClr w14:val="000000"/>
                              </w14:solidFill>
                              <w14:prstDash w14:val="solid"/>
                              <w14:bevel/>
                            </w14:textOutline>
                          </w:rPr>
                          <w:t>1.</w:t>
                        </w:r>
                        <w:r>
                          <w:rPr>
                            <w:rFonts w:ascii="Times New Roman" w:hAnsi="Times New Roman" w:cs="Times New Roman" w:hint="cs"/>
                            <w:sz w:val="16"/>
                            <w:szCs w:val="16"/>
                            <w:rtl/>
                            <w:lang w:bidi="ar-JO"/>
                            <w14:textOutline w14:w="9525" w14:cap="rnd" w14:cmpd="sng" w14:algn="ctr">
                              <w14:solidFill>
                                <w14:srgbClr w14:val="000000"/>
                              </w14:solidFill>
                              <w14:prstDash w14:val="solid"/>
                              <w14:bevel/>
                            </w14:textOutline>
                          </w:rPr>
                          <w:t>4</w:t>
                        </w:r>
                      </w:p>
                    </w:txbxContent>
                  </v:textbox>
                </v:oval>
              </v:group>
            </w:pict>
          </mc:Fallback>
        </mc:AlternateContent>
      </w:r>
    </w:p>
    <w:p w14:paraId="01706C01" w14:textId="77777777" w:rsidR="005D0570" w:rsidRPr="005D0570" w:rsidRDefault="005D0570" w:rsidP="005D0570">
      <w:pPr>
        <w:bidi/>
        <w:spacing w:line="360" w:lineRule="auto"/>
        <w:rPr>
          <w:rFonts w:ascii="Traditional Arabic" w:hAnsi="Traditional Arabic" w:cs="Traditional Arabic"/>
          <w:sz w:val="28"/>
          <w:szCs w:val="28"/>
          <w:rtl/>
          <w:lang w:bidi="ar-AE"/>
        </w:rPr>
      </w:pPr>
    </w:p>
    <w:p w14:paraId="50EC238D" w14:textId="77777777" w:rsidR="005D0570" w:rsidRPr="005D0570" w:rsidRDefault="005D0570" w:rsidP="005D0570">
      <w:pPr>
        <w:bidi/>
        <w:spacing w:line="360" w:lineRule="auto"/>
        <w:rPr>
          <w:rFonts w:ascii="Traditional Arabic" w:hAnsi="Traditional Arabic" w:cs="Traditional Arabic"/>
          <w:sz w:val="28"/>
          <w:szCs w:val="28"/>
          <w:rtl/>
          <w:lang w:bidi="ar-AE"/>
        </w:rPr>
      </w:pPr>
    </w:p>
    <w:p w14:paraId="0E1CB31D" w14:textId="77777777" w:rsidR="005D0570" w:rsidRPr="005D0570" w:rsidRDefault="005D0570" w:rsidP="005D0570">
      <w:pPr>
        <w:bidi/>
        <w:spacing w:line="360" w:lineRule="auto"/>
        <w:rPr>
          <w:rFonts w:ascii="Traditional Arabic" w:hAnsi="Traditional Arabic" w:cs="Traditional Arabic"/>
          <w:sz w:val="28"/>
          <w:szCs w:val="28"/>
          <w:rtl/>
          <w:lang w:bidi="ar-AE"/>
        </w:rPr>
      </w:pPr>
    </w:p>
    <w:p w14:paraId="7E102B22" w14:textId="77777777" w:rsidR="007F6900" w:rsidRPr="005D0570" w:rsidRDefault="007F6900" w:rsidP="005D0570">
      <w:pPr>
        <w:bidi/>
        <w:spacing w:line="360" w:lineRule="auto"/>
        <w:rPr>
          <w:rFonts w:ascii="Traditional Arabic" w:hAnsi="Traditional Arabic" w:cs="Traditional Arabic"/>
          <w:sz w:val="28"/>
          <w:szCs w:val="28"/>
          <w:rtl/>
          <w:lang w:bidi="ar-AE"/>
        </w:rPr>
      </w:pPr>
      <w:r w:rsidRPr="005D0570">
        <w:rPr>
          <w:rFonts w:ascii="Traditional Arabic" w:hAnsi="Traditional Arabic" w:cs="Traditional Arabic" w:hint="cs"/>
          <w:sz w:val="28"/>
          <w:szCs w:val="28"/>
          <w:rtl/>
          <w:lang w:bidi="ar-AE"/>
        </w:rPr>
        <w:t xml:space="preserve"> </w:t>
      </w:r>
    </w:p>
    <w:p w14:paraId="4D53C21E" w14:textId="77777777" w:rsidR="009D6275" w:rsidRPr="005D0570" w:rsidRDefault="009D6275" w:rsidP="007F6900">
      <w:pPr>
        <w:bidi/>
        <w:spacing w:line="360" w:lineRule="auto"/>
        <w:jc w:val="center"/>
        <w:rPr>
          <w:rFonts w:ascii="Traditional Arabic" w:hAnsi="Traditional Arabic" w:cs="Traditional Arabic"/>
          <w:b/>
          <w:bCs/>
          <w:sz w:val="32"/>
          <w:szCs w:val="32"/>
          <w:rtl/>
          <w:lang w:bidi="ar-AE"/>
        </w:rPr>
      </w:pPr>
    </w:p>
    <w:p w14:paraId="214AE206" w14:textId="77777777" w:rsidR="005D0570" w:rsidRPr="005D0570" w:rsidRDefault="007F6900" w:rsidP="007F6900">
      <w:pPr>
        <w:bidi/>
        <w:spacing w:line="360" w:lineRule="auto"/>
        <w:jc w:val="center"/>
        <w:rPr>
          <w:rFonts w:ascii="Traditional Arabic" w:hAnsi="Traditional Arabic" w:cs="Traditional Arabic"/>
          <w:sz w:val="24"/>
          <w:szCs w:val="24"/>
          <w:rtl/>
        </w:rPr>
      </w:pPr>
      <w:r w:rsidRPr="005D0570">
        <w:rPr>
          <w:rFonts w:ascii="Traditional Arabic" w:hAnsi="Traditional Arabic" w:cs="Traditional Arabic"/>
          <w:sz w:val="24"/>
          <w:szCs w:val="24"/>
          <w:rtl/>
        </w:rPr>
        <w:tab/>
      </w:r>
    </w:p>
    <w:p w14:paraId="50CDD3F3" w14:textId="77777777" w:rsidR="005D0570" w:rsidRPr="005D0570" w:rsidRDefault="005D0570" w:rsidP="005D0570">
      <w:pPr>
        <w:bidi/>
        <w:spacing w:line="360" w:lineRule="auto"/>
        <w:jc w:val="center"/>
        <w:rPr>
          <w:rFonts w:ascii="Traditional Arabic" w:hAnsi="Traditional Arabic" w:cs="Traditional Arabic"/>
          <w:sz w:val="24"/>
          <w:szCs w:val="24"/>
          <w:rtl/>
        </w:rPr>
      </w:pPr>
    </w:p>
    <w:p w14:paraId="0348EDF8" w14:textId="77777777" w:rsidR="005D0570" w:rsidRPr="005D0570" w:rsidRDefault="005D0570" w:rsidP="005D0570">
      <w:pPr>
        <w:bidi/>
        <w:spacing w:line="360" w:lineRule="auto"/>
        <w:jc w:val="center"/>
        <w:rPr>
          <w:rFonts w:ascii="Traditional Arabic" w:hAnsi="Traditional Arabic" w:cs="Traditional Arabic"/>
          <w:sz w:val="28"/>
          <w:szCs w:val="28"/>
          <w:rtl/>
          <w:lang w:bidi="ar-AE"/>
        </w:rPr>
      </w:pPr>
    </w:p>
    <w:p w14:paraId="1FDDEAA8" w14:textId="77777777" w:rsidR="00C33CF6" w:rsidRDefault="007F6900" w:rsidP="00C33CF6">
      <w:pPr>
        <w:bidi/>
        <w:spacing w:line="360" w:lineRule="auto"/>
        <w:jc w:val="center"/>
        <w:rPr>
          <w:rFonts w:ascii="Traditional Arabic" w:hAnsi="Traditional Arabic" w:cs="Traditional Arabic"/>
          <w:sz w:val="28"/>
          <w:szCs w:val="28"/>
          <w:rtl/>
          <w:lang w:bidi="ar-AE"/>
        </w:rPr>
      </w:pPr>
      <w:r w:rsidRPr="005D0570">
        <w:rPr>
          <w:rFonts w:ascii="Traditional Arabic" w:hAnsi="Traditional Arabic" w:cs="Traditional Arabic" w:hint="cs"/>
          <w:sz w:val="28"/>
          <w:szCs w:val="28"/>
          <w:rtl/>
          <w:lang w:bidi="ar-AE"/>
        </w:rPr>
        <w:t>الشكل رقم (1) نموذج الدراسة</w:t>
      </w:r>
    </w:p>
    <w:p w14:paraId="1F800547" w14:textId="77777777" w:rsidR="00C33CF6" w:rsidRPr="00C33CF6" w:rsidRDefault="009D6275" w:rsidP="00C33CF6">
      <w:pPr>
        <w:bidi/>
        <w:spacing w:line="360" w:lineRule="auto"/>
        <w:jc w:val="center"/>
        <w:rPr>
          <w:rFonts w:ascii="Traditional Arabic" w:hAnsi="Traditional Arabic" w:cs="Traditional Arabic"/>
          <w:sz w:val="28"/>
          <w:szCs w:val="28"/>
          <w:rtl/>
          <w:lang w:bidi="ar-AE"/>
        </w:rPr>
      </w:pPr>
      <w:r w:rsidRPr="00C33CF6">
        <w:rPr>
          <w:rFonts w:ascii="Traditional Arabic" w:hAnsi="Traditional Arabic" w:cs="Traditional Arabic"/>
          <w:sz w:val="24"/>
          <w:szCs w:val="24"/>
          <w:rtl/>
        </w:rPr>
        <w:t xml:space="preserve">نموذج الدراسة من اعداد الباحث بالاعتماد على </w:t>
      </w:r>
      <w:r w:rsidR="00C33CF6">
        <w:rPr>
          <w:rFonts w:ascii="Traditional Arabic" w:hAnsi="Traditional Arabic" w:cs="Traditional Arabic" w:hint="cs"/>
          <w:sz w:val="24"/>
          <w:szCs w:val="24"/>
          <w:rtl/>
        </w:rPr>
        <w:t>دراسة كل من</w:t>
      </w:r>
      <w:r w:rsidR="00C33CF6" w:rsidRPr="00C33CF6">
        <w:rPr>
          <w:rFonts w:ascii="Traditional Arabic" w:hAnsi="Traditional Arabic" w:cs="Traditional Arabic" w:hint="cs"/>
          <w:sz w:val="24"/>
          <w:szCs w:val="24"/>
          <w:rtl/>
          <w:lang w:bidi="ar-AE"/>
        </w:rPr>
        <w:t xml:space="preserve"> </w:t>
      </w:r>
      <w:r w:rsidR="00C33CF6" w:rsidRPr="00C33CF6">
        <w:rPr>
          <w:rFonts w:ascii="Traditional Arabic" w:hAnsi="Traditional Arabic" w:cs="Traditional Arabic"/>
          <w:sz w:val="24"/>
          <w:szCs w:val="24"/>
          <w:rtl/>
        </w:rPr>
        <w:t>كرار والموسوي (2021)</w:t>
      </w:r>
      <w:r w:rsidR="00C33CF6" w:rsidRPr="00C33CF6">
        <w:rPr>
          <w:rFonts w:ascii="Traditional Arabic" w:hAnsi="Traditional Arabic" w:cs="Traditional Arabic" w:hint="cs"/>
          <w:sz w:val="24"/>
          <w:szCs w:val="24"/>
          <w:rtl/>
        </w:rPr>
        <w:t xml:space="preserve"> ، ،</w:t>
      </w:r>
      <w:r w:rsidR="00C33CF6" w:rsidRPr="00C33CF6">
        <w:rPr>
          <w:rFonts w:ascii="Traditional Arabic" w:hAnsi="Traditional Arabic" w:cs="Traditional Arabic"/>
          <w:sz w:val="24"/>
          <w:szCs w:val="24"/>
        </w:rPr>
        <w:t>Karyatun et al. (2023)</w:t>
      </w:r>
      <w:r w:rsidR="00C33CF6" w:rsidRPr="00C33CF6">
        <w:rPr>
          <w:rFonts w:ascii="Traditional Arabic" w:hAnsi="Traditional Arabic" w:cs="Traditional Arabic" w:hint="cs"/>
          <w:sz w:val="24"/>
          <w:szCs w:val="24"/>
          <w:rtl/>
        </w:rPr>
        <w:t xml:space="preserve">، </w:t>
      </w:r>
      <w:r w:rsidR="00C33CF6" w:rsidRPr="00C33CF6">
        <w:rPr>
          <w:rFonts w:ascii="Traditional Arabic" w:hAnsi="Traditional Arabic" w:cs="Traditional Arabic"/>
          <w:sz w:val="24"/>
          <w:szCs w:val="24"/>
          <w:rtl/>
        </w:rPr>
        <w:t>عيد (2021)</w:t>
      </w:r>
      <w:r w:rsidR="00C33CF6" w:rsidRPr="00C33CF6">
        <w:rPr>
          <w:rFonts w:ascii="Traditional Arabic" w:hAnsi="Traditional Arabic" w:cs="Traditional Arabic" w:hint="cs"/>
          <w:sz w:val="24"/>
          <w:szCs w:val="24"/>
          <w:rtl/>
        </w:rPr>
        <w:t>.</w:t>
      </w:r>
    </w:p>
    <w:p w14:paraId="0D5741E6" w14:textId="77777777" w:rsidR="00C33CF6" w:rsidRDefault="00C33CF6" w:rsidP="00C33CF6">
      <w:pPr>
        <w:tabs>
          <w:tab w:val="left" w:pos="288"/>
          <w:tab w:val="center" w:pos="4680"/>
        </w:tabs>
        <w:bidi/>
        <w:spacing w:line="360" w:lineRule="auto"/>
        <w:jc w:val="center"/>
        <w:rPr>
          <w:rFonts w:ascii="Arial-BoldMT" w:cs="Arial-BoldMT"/>
          <w:b/>
          <w:bCs/>
          <w:sz w:val="34"/>
          <w:szCs w:val="34"/>
          <w:rtl/>
          <w:lang w:val="en-US"/>
        </w:rPr>
      </w:pPr>
    </w:p>
    <w:p w14:paraId="39A477D8" w14:textId="77777777" w:rsidR="00C110B2" w:rsidRPr="00671561" w:rsidRDefault="00C110B2" w:rsidP="00C110B2">
      <w:pPr>
        <w:tabs>
          <w:tab w:val="left" w:pos="288"/>
          <w:tab w:val="center" w:pos="4680"/>
        </w:tabs>
        <w:bidi/>
        <w:spacing w:line="360" w:lineRule="auto"/>
        <w:jc w:val="center"/>
        <w:rPr>
          <w:rFonts w:ascii="Arial-BoldMT" w:cs="Arial-BoldMT"/>
          <w:b/>
          <w:bCs/>
          <w:sz w:val="38"/>
          <w:szCs w:val="38"/>
          <w:rtl/>
          <w:lang w:val="en-US"/>
        </w:rPr>
      </w:pPr>
      <w:r w:rsidRPr="00671561">
        <w:rPr>
          <w:rFonts w:ascii="Arial-BoldMT" w:cs="Arial-BoldMT" w:hint="cs"/>
          <w:b/>
          <w:bCs/>
          <w:sz w:val="38"/>
          <w:szCs w:val="38"/>
          <w:rtl/>
          <w:lang w:val="en-US"/>
        </w:rPr>
        <w:lastRenderedPageBreak/>
        <w:t>الفصل</w:t>
      </w:r>
      <w:r w:rsidRPr="00671561">
        <w:rPr>
          <w:rFonts w:ascii="Arial-BoldMT" w:cs="Arial-BoldMT"/>
          <w:b/>
          <w:bCs/>
          <w:sz w:val="38"/>
          <w:szCs w:val="38"/>
          <w:lang w:val="en-US"/>
        </w:rPr>
        <w:t xml:space="preserve"> </w:t>
      </w:r>
      <w:r w:rsidRPr="00671561">
        <w:rPr>
          <w:rFonts w:ascii="Arial-BoldMT" w:cs="Arial-BoldMT" w:hint="cs"/>
          <w:b/>
          <w:bCs/>
          <w:sz w:val="38"/>
          <w:szCs w:val="38"/>
          <w:rtl/>
          <w:lang w:val="en-US"/>
        </w:rPr>
        <w:t>الثاني</w:t>
      </w:r>
    </w:p>
    <w:p w14:paraId="75966837" w14:textId="77777777" w:rsidR="00C110B2" w:rsidRPr="00671561" w:rsidRDefault="00C110B2" w:rsidP="00C110B2">
      <w:pPr>
        <w:tabs>
          <w:tab w:val="left" w:pos="288"/>
          <w:tab w:val="center" w:pos="4680"/>
        </w:tabs>
        <w:bidi/>
        <w:spacing w:line="360" w:lineRule="auto"/>
        <w:jc w:val="center"/>
        <w:rPr>
          <w:rFonts w:ascii="Arial-BoldMT" w:cs="Arial-BoldMT"/>
          <w:b/>
          <w:bCs/>
          <w:sz w:val="38"/>
          <w:szCs w:val="38"/>
          <w:rtl/>
          <w:lang w:val="en-US"/>
        </w:rPr>
      </w:pPr>
      <w:r w:rsidRPr="00671561">
        <w:rPr>
          <w:rFonts w:ascii="Arial-BoldMT" w:cs="Arial-BoldMT" w:hint="cs"/>
          <w:b/>
          <w:bCs/>
          <w:sz w:val="38"/>
          <w:szCs w:val="38"/>
          <w:rtl/>
          <w:lang w:val="en-US"/>
        </w:rPr>
        <w:t>الإطار</w:t>
      </w:r>
      <w:r w:rsidRPr="00671561">
        <w:rPr>
          <w:rFonts w:ascii="Arial-BoldMT" w:cs="Arial-BoldMT"/>
          <w:b/>
          <w:bCs/>
          <w:sz w:val="38"/>
          <w:szCs w:val="38"/>
          <w:lang w:val="en-US"/>
        </w:rPr>
        <w:t xml:space="preserve"> </w:t>
      </w:r>
      <w:r w:rsidRPr="00671561">
        <w:rPr>
          <w:rFonts w:ascii="Arial-BoldMT" w:cs="Arial-BoldMT" w:hint="cs"/>
          <w:b/>
          <w:bCs/>
          <w:sz w:val="38"/>
          <w:szCs w:val="38"/>
          <w:rtl/>
          <w:lang w:val="en-US"/>
        </w:rPr>
        <w:t>النظري</w:t>
      </w:r>
      <w:r w:rsidRPr="00671561">
        <w:rPr>
          <w:rFonts w:ascii="Arial-BoldMT" w:cs="Arial-BoldMT"/>
          <w:b/>
          <w:bCs/>
          <w:sz w:val="38"/>
          <w:szCs w:val="38"/>
          <w:lang w:val="en-US"/>
        </w:rPr>
        <w:t xml:space="preserve"> </w:t>
      </w:r>
      <w:r w:rsidRPr="00671561">
        <w:rPr>
          <w:rFonts w:ascii="Arial-BoldMT" w:cs="Arial-BoldMT" w:hint="cs"/>
          <w:b/>
          <w:bCs/>
          <w:sz w:val="38"/>
          <w:szCs w:val="38"/>
          <w:rtl/>
          <w:lang w:val="en-US"/>
        </w:rPr>
        <w:t>والدراسات السابقة</w:t>
      </w:r>
    </w:p>
    <w:p w14:paraId="26290DFA"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p>
    <w:p w14:paraId="1009FD60" w14:textId="77777777" w:rsidR="00C110B2" w:rsidRPr="00671561" w:rsidRDefault="00C110B2" w:rsidP="00C110B2">
      <w:pPr>
        <w:tabs>
          <w:tab w:val="left" w:pos="288"/>
          <w:tab w:val="center" w:pos="4680"/>
        </w:tabs>
        <w:bidi/>
        <w:spacing w:line="240" w:lineRule="auto"/>
        <w:ind w:firstLine="713"/>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يهدف هذا الفصل إلى إرساء الأساس العلمي الذي تُبنى عليه الدراسة من خلال تناول المرتكزين الرئيسين فيها</w:t>
      </w:r>
      <w:r w:rsidRPr="00671561">
        <w:rPr>
          <w:rFonts w:ascii="Traditional Arabic" w:hAnsi="Traditional Arabic" w:cs="Traditional Arabic"/>
          <w:sz w:val="32"/>
          <w:szCs w:val="32"/>
          <w:lang w:val="en-US"/>
        </w:rPr>
        <w:t xml:space="preserve">: </w:t>
      </w:r>
      <w:r w:rsidRPr="00671561">
        <w:rPr>
          <w:rFonts w:ascii="Traditional Arabic" w:hAnsi="Traditional Arabic" w:cs="Traditional Arabic"/>
          <w:sz w:val="32"/>
          <w:szCs w:val="32"/>
          <w:rtl/>
          <w:lang w:val="en-US"/>
        </w:rPr>
        <w:t>إدارة المعرفة وأداء العاملين</w:t>
      </w:r>
      <w:r w:rsidRPr="00671561">
        <w:rPr>
          <w:rFonts w:ascii="Traditional Arabic" w:hAnsi="Traditional Arabic" w:cs="Traditional Arabic"/>
          <w:sz w:val="32"/>
          <w:szCs w:val="32"/>
          <w:lang w:val="en-US"/>
        </w:rPr>
        <w:t xml:space="preserve">. </w:t>
      </w:r>
      <w:r w:rsidRPr="00671561">
        <w:rPr>
          <w:rFonts w:ascii="Traditional Arabic" w:hAnsi="Traditional Arabic" w:cs="Traditional Arabic"/>
          <w:sz w:val="32"/>
          <w:szCs w:val="32"/>
          <w:rtl/>
          <w:lang w:val="en-US"/>
        </w:rPr>
        <w:t>يبدأ الفصل بمحورٍ نظري يعرِّف بالمفهومين ويحلّل مرتكزاتهما وأبعادهما وآليات التفاعل بينهما بوصفهما مدخلًا لتفسير الفروق في كفاءة العمل وجودته، ثم ينتقل إلى محورٍ ثانٍ يستعرض الدراسات السابقة ذات الصلة، العربية منها والأجنبية، بغية إبراز ما استقرّت عليه الأدبيات من نتائج واتجاهات، وتحديد الفجوات المعرفية التي تسعى هذه الدراسة إلى معالجتها. ويُراعى في العرض تحقيق ترابطٍ منطقي بين التأصيل النظري والمراجعة العلمية، بما يُمكّن من بناء نموذجٍ تفسيري متماسك يربط بين مكوّنات إدارة المعرفة ومؤشرات أداء العاملين، ويهيّئ لبلورة فرضيات الدراسة وإجراءاتها التطبيقية في الفصول اللاحقة</w:t>
      </w:r>
      <w:r w:rsidRPr="00671561">
        <w:rPr>
          <w:rFonts w:ascii="Traditional Arabic" w:hAnsi="Traditional Arabic" w:cs="Traditional Arabic"/>
          <w:sz w:val="32"/>
          <w:szCs w:val="32"/>
          <w:lang w:val="en-US"/>
        </w:rPr>
        <w:t>.</w:t>
      </w:r>
    </w:p>
    <w:p w14:paraId="6A49FF46" w14:textId="77777777" w:rsidR="00C110B2" w:rsidRPr="00671561" w:rsidRDefault="00C110B2" w:rsidP="00C110B2">
      <w:pPr>
        <w:tabs>
          <w:tab w:val="left" w:pos="288"/>
          <w:tab w:val="center" w:pos="4680"/>
        </w:tabs>
        <w:bidi/>
        <w:spacing w:line="240" w:lineRule="auto"/>
        <w:jc w:val="both"/>
        <w:rPr>
          <w:rFonts w:ascii="Traditional Arabic" w:hAnsi="Traditional Arabic" w:cs="Traditional Arabic"/>
          <w:b/>
          <w:bCs/>
          <w:sz w:val="32"/>
          <w:szCs w:val="32"/>
          <w:rtl/>
          <w:lang w:val="en-US"/>
        </w:rPr>
      </w:pPr>
    </w:p>
    <w:p w14:paraId="33D3117F" w14:textId="77777777" w:rsidR="00C110B2" w:rsidRPr="00671561" w:rsidRDefault="00C110B2" w:rsidP="00C110B2">
      <w:pPr>
        <w:tabs>
          <w:tab w:val="left" w:pos="288"/>
          <w:tab w:val="center" w:pos="4680"/>
        </w:tabs>
        <w:bidi/>
        <w:spacing w:line="240" w:lineRule="auto"/>
        <w:jc w:val="both"/>
        <w:rPr>
          <w:rFonts w:ascii="Traditional Arabic" w:hAnsi="Traditional Arabic" w:cs="Traditional Arabic"/>
          <w:sz w:val="32"/>
          <w:szCs w:val="32"/>
          <w:rtl/>
          <w:lang w:val="en-US"/>
        </w:rPr>
      </w:pPr>
      <w:r w:rsidRPr="00671561">
        <w:rPr>
          <w:rFonts w:ascii="Traditional Arabic" w:hAnsi="Traditional Arabic" w:cs="Traditional Arabic" w:hint="cs"/>
          <w:b/>
          <w:bCs/>
          <w:sz w:val="32"/>
          <w:szCs w:val="32"/>
          <w:rtl/>
          <w:lang w:val="en-US"/>
        </w:rPr>
        <w:t>المحور الاول: الاطار النظري</w:t>
      </w:r>
    </w:p>
    <w:p w14:paraId="435312A6" w14:textId="77777777" w:rsidR="00C110B2" w:rsidRPr="00671561" w:rsidRDefault="00C110B2" w:rsidP="00C110B2">
      <w:pPr>
        <w:pStyle w:val="a5"/>
        <w:numPr>
          <w:ilvl w:val="0"/>
          <w:numId w:val="14"/>
        </w:numPr>
        <w:tabs>
          <w:tab w:val="left" w:pos="288"/>
          <w:tab w:val="center" w:pos="4680"/>
        </w:tabs>
        <w:bidi/>
        <w:spacing w:line="240" w:lineRule="auto"/>
        <w:rPr>
          <w:rFonts w:ascii="Traditional Arabic" w:hAnsi="Traditional Arabic" w:cs="Traditional Arabic"/>
          <w:b/>
          <w:bCs/>
          <w:sz w:val="32"/>
          <w:szCs w:val="32"/>
        </w:rPr>
      </w:pPr>
      <w:r w:rsidRPr="00671561">
        <w:rPr>
          <w:rFonts w:ascii="Traditional Arabic" w:hAnsi="Traditional Arabic" w:cs="Traditional Arabic" w:hint="cs"/>
          <w:b/>
          <w:bCs/>
          <w:sz w:val="32"/>
          <w:szCs w:val="32"/>
          <w:rtl/>
        </w:rPr>
        <w:t>المبحث الاول: ادارة المعرفة</w:t>
      </w:r>
    </w:p>
    <w:p w14:paraId="64FF3827" w14:textId="77777777" w:rsidR="00C110B2" w:rsidRPr="00671561" w:rsidRDefault="00C110B2" w:rsidP="00C110B2">
      <w:pPr>
        <w:pStyle w:val="a5"/>
        <w:numPr>
          <w:ilvl w:val="0"/>
          <w:numId w:val="14"/>
        </w:numPr>
        <w:tabs>
          <w:tab w:val="left" w:pos="288"/>
          <w:tab w:val="center" w:pos="4680"/>
        </w:tabs>
        <w:bidi/>
        <w:spacing w:line="240" w:lineRule="auto"/>
        <w:rPr>
          <w:rFonts w:ascii="Traditional Arabic" w:hAnsi="Traditional Arabic" w:cs="Traditional Arabic"/>
          <w:b/>
          <w:bCs/>
          <w:sz w:val="32"/>
          <w:szCs w:val="32"/>
        </w:rPr>
      </w:pPr>
      <w:r w:rsidRPr="00671561">
        <w:rPr>
          <w:rFonts w:ascii="Traditional Arabic" w:hAnsi="Traditional Arabic" w:cs="Traditional Arabic" w:hint="cs"/>
          <w:b/>
          <w:bCs/>
          <w:sz w:val="32"/>
          <w:szCs w:val="32"/>
          <w:rtl/>
        </w:rPr>
        <w:t>المبحث الثاني: اداء العاملين</w:t>
      </w:r>
    </w:p>
    <w:p w14:paraId="2E1A25CF" w14:textId="77777777" w:rsidR="00C110B2" w:rsidRPr="00671561" w:rsidRDefault="00C110B2" w:rsidP="00C110B2">
      <w:pPr>
        <w:pStyle w:val="a5"/>
        <w:numPr>
          <w:ilvl w:val="0"/>
          <w:numId w:val="14"/>
        </w:numPr>
        <w:tabs>
          <w:tab w:val="left" w:pos="288"/>
          <w:tab w:val="center" w:pos="4680"/>
        </w:tabs>
        <w:bidi/>
        <w:spacing w:line="240" w:lineRule="auto"/>
        <w:rPr>
          <w:rFonts w:ascii="Traditional Arabic" w:hAnsi="Traditional Arabic" w:cs="Traditional Arabic"/>
          <w:b/>
          <w:bCs/>
          <w:sz w:val="32"/>
          <w:szCs w:val="32"/>
        </w:rPr>
      </w:pPr>
      <w:r w:rsidRPr="00671561">
        <w:rPr>
          <w:rFonts w:ascii="Traditional Arabic" w:hAnsi="Traditional Arabic" w:cs="Traditional Arabic" w:hint="cs"/>
          <w:b/>
          <w:bCs/>
          <w:sz w:val="32"/>
          <w:szCs w:val="32"/>
          <w:rtl/>
        </w:rPr>
        <w:t>المبحث الثالث: العلاقة بين ادارة المعرفة واداء العالمين</w:t>
      </w:r>
    </w:p>
    <w:p w14:paraId="3C29306B" w14:textId="77777777" w:rsidR="00C110B2" w:rsidRPr="00671561" w:rsidRDefault="00C110B2" w:rsidP="00C110B2">
      <w:pPr>
        <w:pStyle w:val="a5"/>
        <w:numPr>
          <w:ilvl w:val="0"/>
          <w:numId w:val="14"/>
        </w:numPr>
        <w:tabs>
          <w:tab w:val="left" w:pos="288"/>
          <w:tab w:val="center" w:pos="4680"/>
        </w:tabs>
        <w:bidi/>
        <w:spacing w:line="240" w:lineRule="auto"/>
        <w:rPr>
          <w:rFonts w:ascii="Traditional Arabic" w:hAnsi="Traditional Arabic" w:cs="Traditional Arabic"/>
          <w:b/>
          <w:bCs/>
          <w:sz w:val="32"/>
          <w:szCs w:val="32"/>
          <w:rtl/>
        </w:rPr>
      </w:pPr>
      <w:r w:rsidRPr="00671561">
        <w:rPr>
          <w:rFonts w:ascii="Traditional Arabic" w:hAnsi="Traditional Arabic" w:cs="Traditional Arabic" w:hint="cs"/>
          <w:b/>
          <w:bCs/>
          <w:sz w:val="32"/>
          <w:szCs w:val="32"/>
          <w:rtl/>
        </w:rPr>
        <w:t>المبحث الرابع: الاسس النظرية</w:t>
      </w:r>
    </w:p>
    <w:p w14:paraId="133357E2" w14:textId="77777777" w:rsidR="00C110B2" w:rsidRPr="00671561" w:rsidRDefault="00C110B2" w:rsidP="00C110B2">
      <w:pPr>
        <w:tabs>
          <w:tab w:val="left" w:pos="288"/>
          <w:tab w:val="center" w:pos="4680"/>
        </w:tabs>
        <w:bidi/>
        <w:spacing w:line="240" w:lineRule="auto"/>
        <w:rPr>
          <w:rFonts w:ascii="Traditional Arabic" w:hAnsi="Traditional Arabic" w:cs="Traditional Arabic"/>
          <w:b/>
          <w:bCs/>
          <w:sz w:val="32"/>
          <w:szCs w:val="32"/>
          <w:rtl/>
          <w:lang w:val="en-US"/>
        </w:rPr>
      </w:pPr>
      <w:r w:rsidRPr="00671561">
        <w:rPr>
          <w:rFonts w:ascii="Traditional Arabic" w:hAnsi="Traditional Arabic" w:cs="Traditional Arabic" w:hint="cs"/>
          <w:b/>
          <w:bCs/>
          <w:sz w:val="32"/>
          <w:szCs w:val="32"/>
          <w:rtl/>
          <w:lang w:val="en-US"/>
        </w:rPr>
        <w:t>المحور الثاني: الدراسات السابقة</w:t>
      </w:r>
    </w:p>
    <w:p w14:paraId="33BF38DE" w14:textId="77777777" w:rsidR="00C110B2" w:rsidRPr="00671561" w:rsidRDefault="00C110B2" w:rsidP="00C110B2">
      <w:pPr>
        <w:pStyle w:val="a5"/>
        <w:numPr>
          <w:ilvl w:val="0"/>
          <w:numId w:val="14"/>
        </w:numPr>
        <w:tabs>
          <w:tab w:val="left" w:pos="288"/>
          <w:tab w:val="center" w:pos="4680"/>
        </w:tabs>
        <w:bidi/>
        <w:spacing w:line="240" w:lineRule="auto"/>
        <w:rPr>
          <w:rFonts w:ascii="Traditional Arabic" w:hAnsi="Traditional Arabic" w:cs="Traditional Arabic"/>
          <w:b/>
          <w:bCs/>
          <w:sz w:val="32"/>
          <w:szCs w:val="32"/>
        </w:rPr>
      </w:pPr>
      <w:r w:rsidRPr="00671561">
        <w:rPr>
          <w:rFonts w:ascii="Traditional Arabic" w:hAnsi="Traditional Arabic" w:cs="Traditional Arabic" w:hint="cs"/>
          <w:b/>
          <w:bCs/>
          <w:sz w:val="32"/>
          <w:szCs w:val="32"/>
          <w:rtl/>
        </w:rPr>
        <w:t>اولا: الدراسا</w:t>
      </w:r>
      <w:r w:rsidRPr="00671561">
        <w:rPr>
          <w:rFonts w:ascii="Traditional Arabic" w:hAnsi="Traditional Arabic" w:cs="Traditional Arabic" w:hint="eastAsia"/>
          <w:b/>
          <w:bCs/>
          <w:sz w:val="32"/>
          <w:szCs w:val="32"/>
          <w:rtl/>
        </w:rPr>
        <w:t>ت</w:t>
      </w:r>
      <w:r w:rsidRPr="00671561">
        <w:rPr>
          <w:rFonts w:ascii="Traditional Arabic" w:hAnsi="Traditional Arabic" w:cs="Traditional Arabic" w:hint="cs"/>
          <w:b/>
          <w:bCs/>
          <w:sz w:val="32"/>
          <w:szCs w:val="32"/>
          <w:rtl/>
        </w:rPr>
        <w:t xml:space="preserve"> المتعلقة بإدارة المعرفة</w:t>
      </w:r>
    </w:p>
    <w:p w14:paraId="49F5663A" w14:textId="77777777" w:rsidR="00C110B2" w:rsidRPr="00671561" w:rsidRDefault="00C110B2" w:rsidP="00C110B2">
      <w:pPr>
        <w:pStyle w:val="a5"/>
        <w:numPr>
          <w:ilvl w:val="0"/>
          <w:numId w:val="14"/>
        </w:numPr>
        <w:tabs>
          <w:tab w:val="left" w:pos="288"/>
          <w:tab w:val="center" w:pos="4680"/>
        </w:tabs>
        <w:bidi/>
        <w:spacing w:line="240" w:lineRule="auto"/>
        <w:rPr>
          <w:rFonts w:ascii="Traditional Arabic" w:hAnsi="Traditional Arabic" w:cs="Traditional Arabic"/>
          <w:b/>
          <w:bCs/>
          <w:sz w:val="32"/>
          <w:szCs w:val="32"/>
        </w:rPr>
      </w:pPr>
      <w:r w:rsidRPr="00671561">
        <w:rPr>
          <w:rFonts w:ascii="Traditional Arabic" w:hAnsi="Traditional Arabic" w:cs="Traditional Arabic" w:hint="cs"/>
          <w:b/>
          <w:bCs/>
          <w:sz w:val="32"/>
          <w:szCs w:val="32"/>
          <w:rtl/>
        </w:rPr>
        <w:t>ثانيا : الدراسات المتعلقة بأداء العاملين</w:t>
      </w:r>
    </w:p>
    <w:p w14:paraId="665FA725" w14:textId="77777777" w:rsidR="00C110B2" w:rsidRPr="00671561" w:rsidRDefault="00C110B2" w:rsidP="00C110B2">
      <w:pPr>
        <w:pStyle w:val="a5"/>
        <w:numPr>
          <w:ilvl w:val="0"/>
          <w:numId w:val="14"/>
        </w:numPr>
        <w:tabs>
          <w:tab w:val="left" w:pos="288"/>
          <w:tab w:val="center" w:pos="4680"/>
        </w:tabs>
        <w:bidi/>
        <w:spacing w:line="240" w:lineRule="auto"/>
        <w:rPr>
          <w:rFonts w:ascii="Traditional Arabic" w:hAnsi="Traditional Arabic" w:cs="Traditional Arabic"/>
          <w:b/>
          <w:bCs/>
          <w:sz w:val="32"/>
          <w:szCs w:val="32"/>
        </w:rPr>
      </w:pPr>
      <w:r w:rsidRPr="00671561">
        <w:rPr>
          <w:rFonts w:ascii="Traditional Arabic" w:hAnsi="Traditional Arabic" w:cs="Traditional Arabic" w:hint="cs"/>
          <w:b/>
          <w:bCs/>
          <w:sz w:val="32"/>
          <w:szCs w:val="32"/>
          <w:rtl/>
        </w:rPr>
        <w:t>ثالثا: الدراسات التي تربط ادارة الاداء بأداء العاملين</w:t>
      </w:r>
    </w:p>
    <w:p w14:paraId="7E9C1BBE" w14:textId="77777777" w:rsidR="00C110B2" w:rsidRPr="00671561" w:rsidRDefault="00C110B2" w:rsidP="00C110B2">
      <w:pPr>
        <w:pStyle w:val="a5"/>
        <w:numPr>
          <w:ilvl w:val="0"/>
          <w:numId w:val="14"/>
        </w:numPr>
        <w:tabs>
          <w:tab w:val="left" w:pos="288"/>
          <w:tab w:val="center" w:pos="4680"/>
        </w:tabs>
        <w:bidi/>
        <w:spacing w:line="240" w:lineRule="auto"/>
        <w:rPr>
          <w:rFonts w:ascii="Traditional Arabic" w:hAnsi="Traditional Arabic" w:cs="Traditional Arabic"/>
          <w:b/>
          <w:bCs/>
          <w:sz w:val="32"/>
          <w:szCs w:val="32"/>
        </w:rPr>
      </w:pPr>
      <w:r w:rsidRPr="00671561">
        <w:rPr>
          <w:rFonts w:ascii="Traditional Arabic" w:hAnsi="Traditional Arabic" w:cs="Traditional Arabic" w:hint="cs"/>
          <w:b/>
          <w:bCs/>
          <w:sz w:val="32"/>
          <w:szCs w:val="32"/>
          <w:rtl/>
        </w:rPr>
        <w:t xml:space="preserve">رابعا: </w:t>
      </w:r>
      <w:r w:rsidRPr="00671561">
        <w:rPr>
          <w:rFonts w:ascii="Traditional Arabic" w:hAnsi="Traditional Arabic" w:cs="Traditional Arabic"/>
          <w:b/>
          <w:bCs/>
          <w:sz w:val="32"/>
          <w:szCs w:val="32"/>
          <w:rtl/>
        </w:rPr>
        <w:t>أوجه الاستفادة من الدراسات السابقة</w:t>
      </w:r>
    </w:p>
    <w:p w14:paraId="45E1380B" w14:textId="77777777" w:rsidR="00C110B2" w:rsidRPr="00671561" w:rsidRDefault="00C110B2" w:rsidP="00C110B2">
      <w:pPr>
        <w:pStyle w:val="a5"/>
        <w:numPr>
          <w:ilvl w:val="0"/>
          <w:numId w:val="14"/>
        </w:numPr>
        <w:tabs>
          <w:tab w:val="left" w:pos="288"/>
          <w:tab w:val="center" w:pos="4680"/>
        </w:tabs>
        <w:bidi/>
        <w:spacing w:line="240" w:lineRule="auto"/>
        <w:rPr>
          <w:rFonts w:ascii="Traditional Arabic" w:hAnsi="Traditional Arabic" w:cs="Traditional Arabic"/>
          <w:b/>
          <w:bCs/>
          <w:sz w:val="32"/>
          <w:szCs w:val="32"/>
        </w:rPr>
      </w:pPr>
      <w:r w:rsidRPr="00671561">
        <w:rPr>
          <w:rFonts w:ascii="Traditional Arabic" w:hAnsi="Traditional Arabic" w:cs="Traditional Arabic" w:hint="cs"/>
          <w:b/>
          <w:bCs/>
          <w:sz w:val="32"/>
          <w:szCs w:val="32"/>
          <w:rtl/>
        </w:rPr>
        <w:t xml:space="preserve">خامسا: </w:t>
      </w:r>
      <w:r w:rsidRPr="00671561">
        <w:rPr>
          <w:rFonts w:ascii="Traditional Arabic" w:hAnsi="Traditional Arabic" w:cs="Traditional Arabic"/>
          <w:b/>
          <w:bCs/>
          <w:sz w:val="32"/>
          <w:szCs w:val="32"/>
          <w:rtl/>
        </w:rPr>
        <w:t>الفجوة البحثية</w:t>
      </w:r>
    </w:p>
    <w:p w14:paraId="6C2FC6C0" w14:textId="77777777" w:rsidR="00C110B2" w:rsidRPr="00671561" w:rsidRDefault="00C110B2" w:rsidP="00C110B2">
      <w:pPr>
        <w:pStyle w:val="a5"/>
        <w:numPr>
          <w:ilvl w:val="0"/>
          <w:numId w:val="14"/>
        </w:numPr>
        <w:tabs>
          <w:tab w:val="left" w:pos="288"/>
          <w:tab w:val="center" w:pos="4680"/>
        </w:tabs>
        <w:bidi/>
        <w:spacing w:line="240" w:lineRule="auto"/>
        <w:rPr>
          <w:rFonts w:ascii="Traditional Arabic" w:hAnsi="Traditional Arabic" w:cs="Traditional Arabic"/>
          <w:b/>
          <w:bCs/>
          <w:sz w:val="32"/>
          <w:szCs w:val="32"/>
          <w:rtl/>
        </w:rPr>
      </w:pPr>
      <w:r w:rsidRPr="00671561">
        <w:rPr>
          <w:rFonts w:ascii="Traditional Arabic" w:hAnsi="Traditional Arabic" w:cs="Traditional Arabic" w:hint="cs"/>
          <w:b/>
          <w:bCs/>
          <w:sz w:val="32"/>
          <w:szCs w:val="32"/>
          <w:rtl/>
        </w:rPr>
        <w:lastRenderedPageBreak/>
        <w:t xml:space="preserve">سادسا: </w:t>
      </w:r>
      <w:r w:rsidRPr="00671561">
        <w:rPr>
          <w:rFonts w:ascii="Traditional Arabic" w:hAnsi="Traditional Arabic" w:cs="Traditional Arabic"/>
          <w:b/>
          <w:bCs/>
          <w:sz w:val="32"/>
          <w:szCs w:val="32"/>
          <w:rtl/>
        </w:rPr>
        <w:t>ما يميز الدراسة الحالية عن الدراسات السابقة</w:t>
      </w:r>
    </w:p>
    <w:p w14:paraId="7FE89BE6" w14:textId="77777777" w:rsidR="00C110B2" w:rsidRPr="00671561" w:rsidRDefault="00C110B2" w:rsidP="00C110B2">
      <w:pPr>
        <w:tabs>
          <w:tab w:val="left" w:pos="288"/>
          <w:tab w:val="center" w:pos="4680"/>
        </w:tabs>
        <w:bidi/>
        <w:spacing w:line="360" w:lineRule="auto"/>
        <w:rPr>
          <w:rFonts w:ascii="Traditional Arabic" w:hAnsi="Traditional Arabic" w:cs="Traditional Arabic"/>
          <w:b/>
          <w:bCs/>
          <w:sz w:val="36"/>
          <w:szCs w:val="36"/>
          <w:rtl/>
          <w:lang w:val="en-US"/>
        </w:rPr>
      </w:pPr>
      <w:r w:rsidRPr="00671561">
        <w:rPr>
          <w:rFonts w:ascii="Traditional Arabic" w:hAnsi="Traditional Arabic" w:cs="Traditional Arabic" w:hint="cs"/>
          <w:b/>
          <w:bCs/>
          <w:sz w:val="36"/>
          <w:szCs w:val="36"/>
          <w:rtl/>
          <w:lang w:val="en-US"/>
        </w:rPr>
        <w:t>المحور الاول: الاطار النظري</w:t>
      </w:r>
    </w:p>
    <w:p w14:paraId="19B1B2FB" w14:textId="77777777" w:rsidR="00C110B2" w:rsidRPr="00671561" w:rsidRDefault="00C110B2" w:rsidP="00C110B2">
      <w:pPr>
        <w:tabs>
          <w:tab w:val="left" w:pos="288"/>
          <w:tab w:val="center" w:pos="4680"/>
        </w:tabs>
        <w:bidi/>
        <w:spacing w:line="360" w:lineRule="auto"/>
        <w:rPr>
          <w:rFonts w:ascii="Traditional Arabic" w:hAnsi="Traditional Arabic" w:cs="Traditional Arabic"/>
          <w:b/>
          <w:bCs/>
          <w:sz w:val="36"/>
          <w:szCs w:val="36"/>
          <w:rtl/>
          <w:lang w:val="en-US"/>
        </w:rPr>
      </w:pPr>
      <w:r w:rsidRPr="00671561">
        <w:rPr>
          <w:rFonts w:ascii="Traditional Arabic" w:hAnsi="Traditional Arabic" w:cs="Traditional Arabic" w:hint="cs"/>
          <w:b/>
          <w:bCs/>
          <w:sz w:val="36"/>
          <w:szCs w:val="36"/>
          <w:rtl/>
          <w:lang w:val="en-US"/>
        </w:rPr>
        <w:t>المبحث الاول: ادارة المعرفة</w:t>
      </w:r>
    </w:p>
    <w:p w14:paraId="512BF45D" w14:textId="77777777" w:rsidR="00C110B2" w:rsidRPr="00671561" w:rsidRDefault="00C110B2" w:rsidP="00C110B2">
      <w:pPr>
        <w:pStyle w:val="a5"/>
        <w:numPr>
          <w:ilvl w:val="0"/>
          <w:numId w:val="17"/>
        </w:numPr>
        <w:tabs>
          <w:tab w:val="left" w:pos="288"/>
          <w:tab w:val="center" w:pos="4680"/>
        </w:tabs>
        <w:bidi/>
        <w:spacing w:line="360" w:lineRule="auto"/>
        <w:rPr>
          <w:rFonts w:ascii="Traditional Arabic" w:hAnsi="Traditional Arabic" w:cs="Traditional Arabic"/>
          <w:b/>
          <w:bCs/>
          <w:sz w:val="36"/>
          <w:szCs w:val="36"/>
        </w:rPr>
      </w:pPr>
      <w:r w:rsidRPr="00671561">
        <w:rPr>
          <w:rFonts w:ascii="Traditional Arabic" w:hAnsi="Traditional Arabic" w:cs="Traditional Arabic" w:hint="cs"/>
          <w:b/>
          <w:bCs/>
          <w:sz w:val="36"/>
          <w:szCs w:val="36"/>
          <w:rtl/>
        </w:rPr>
        <w:t xml:space="preserve">اولا: </w:t>
      </w:r>
      <w:r w:rsidRPr="00671561">
        <w:rPr>
          <w:rFonts w:ascii="Traditional Arabic" w:hAnsi="Traditional Arabic" w:cs="Traditional Arabic" w:hint="cs"/>
          <w:b/>
          <w:bCs/>
          <w:sz w:val="32"/>
          <w:szCs w:val="32"/>
          <w:rtl/>
        </w:rPr>
        <w:t>المعرفة</w:t>
      </w:r>
    </w:p>
    <w:p w14:paraId="1E4A81EF"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تُعدّ المعرفة من المرتكزات الفكرية الجوهرية في الإدارة الحديثة، إذ أصبحت تمثل أحد أهم الموارد غير الملموسة التي تعتمد عليها المؤسسات لتحقيق ميزة تنافسية مستدامة في بيئة تتسم بالتغير السريع والتطور التقني المتلاحق (كرار والموسوي، 2021). فهي تشكّل المصدر الأساس لتطوير القدرات المؤسسية وتحسين الأداء من خلال الاستفادة من التجارب والخبرات وتوظيفها في اتخاذ القرارات وحل المشكلات (عيد، 2021).</w:t>
      </w:r>
      <w:r w:rsidRPr="00671561">
        <w:rPr>
          <w:rFonts w:ascii="Traditional Arabic" w:hAnsi="Traditional Arabic" w:cs="Traditional Arabic" w:hint="cs"/>
          <w:sz w:val="32"/>
          <w:szCs w:val="32"/>
          <w:rtl/>
          <w:lang w:val="en-US" w:bidi="ar-JO"/>
        </w:rPr>
        <w:t xml:space="preserve"> </w:t>
      </w:r>
      <w:r w:rsidRPr="00671561">
        <w:rPr>
          <w:rFonts w:ascii="Traditional Arabic" w:hAnsi="Traditional Arabic" w:cs="Traditional Arabic"/>
          <w:sz w:val="32"/>
          <w:szCs w:val="32"/>
          <w:rtl/>
          <w:lang w:val="en-US"/>
        </w:rPr>
        <w:t>وتختلف المعرفة عن غيرها من المفاهيم القريبة منها كالبيانات والمعلومات؛ إذ تُعدّ البيانات حقائق أولية مجردة لا تحمل معنى محددًا، بينما تمثل المعلومات تلك البيانات بعد تنظيمها وتحليلها بحيث تكتسب دلالة قابلة للاستخدام العملي (الأقرع، 2020). أما المعرفة فهي المستوى الأعلى من الإدراك الذي يجمع بين الفهم والخبرة والتجربة، ويعبّر عن قدرة الفرد أو المؤسسة على توظيف ما يمتلكه من معلومات في مواقف واقعية لتحقيق الأهداف (اليعربي، 2021).</w:t>
      </w:r>
    </w:p>
    <w:p w14:paraId="2B6761C0"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تتخذ المعرفة شكلين أساسيين هما المعرفة الصريحة والمعرفة الضمنية. فالمعرفة الصريحة يمكن توثيقها وتداولها من خلال المستندات أو النظم التقنية، في حين أن المعرفة الضمنية تكون متجسدة في الخبرات الشخصية والمهارات الفردية التي يصعب التعبير عنها أو نقلها بشكل مباشر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 xml:space="preserve">). ويؤدي التكامل بين هذين </w:t>
      </w:r>
      <w:r w:rsidRPr="00671561">
        <w:rPr>
          <w:rFonts w:ascii="Traditional Arabic" w:hAnsi="Traditional Arabic" w:cs="Traditional Arabic"/>
          <w:sz w:val="32"/>
          <w:szCs w:val="32"/>
          <w:rtl/>
          <w:lang w:val="en-US"/>
        </w:rPr>
        <w:lastRenderedPageBreak/>
        <w:t>النوعين إلى بناء قاعدة معرفية شاملة داخل المؤسسة تمكّنها من تحسين قدرتها على الإبداع واتخاذ القرارات بفعالية (</w:t>
      </w:r>
      <w:r w:rsidRPr="00671561">
        <w:rPr>
          <w:rFonts w:ascii="Traditional Arabic" w:hAnsi="Traditional Arabic" w:cs="Traditional Arabic"/>
          <w:sz w:val="32"/>
          <w:szCs w:val="32"/>
          <w:lang w:val="en-US"/>
        </w:rPr>
        <w:t>Pelealu et al., 2022</w:t>
      </w:r>
      <w:r w:rsidRPr="00671561">
        <w:rPr>
          <w:rFonts w:ascii="Traditional Arabic" w:hAnsi="Traditional Arabic" w:cs="Traditional Arabic"/>
          <w:sz w:val="32"/>
          <w:szCs w:val="32"/>
          <w:rtl/>
          <w:lang w:val="en-US"/>
        </w:rPr>
        <w:t>).</w:t>
      </w:r>
    </w:p>
    <w:p w14:paraId="381DD7DF"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24"/>
          <w:szCs w:val="24"/>
          <w:lang w:val="en-US"/>
        </w:rPr>
      </w:pPr>
      <w:r w:rsidRPr="00671561">
        <w:rPr>
          <w:rFonts w:ascii="Traditional Arabic" w:hAnsi="Traditional Arabic" w:cs="Traditional Arabic"/>
          <w:sz w:val="32"/>
          <w:szCs w:val="32"/>
          <w:rtl/>
          <w:lang w:val="en-US"/>
        </w:rPr>
        <w:t>تبرز أهمية المعرفة في كونها الأداة التي تمكّن المؤسسات من التحول إلى منظمات متعلمة تتسم بالمرونة والقدرة على التطوير المستمر، إذ إن امتلاك المعرفة وتبادلها وتطبيقها ينعكس إيجابًا على الكفاءة التشغيلية ومستوى الأداء العام (</w:t>
      </w:r>
      <w:r w:rsidRPr="00671561">
        <w:rPr>
          <w:rFonts w:ascii="Traditional Arabic" w:hAnsi="Traditional Arabic" w:cs="Traditional Arabic"/>
          <w:sz w:val="32"/>
          <w:szCs w:val="32"/>
          <w:lang w:val="en-US"/>
        </w:rPr>
        <w:t>Tamsah et al., 2023</w:t>
      </w:r>
      <w:r w:rsidRPr="00671561">
        <w:rPr>
          <w:rFonts w:ascii="Traditional Arabic" w:hAnsi="Traditional Arabic" w:cs="Traditional Arabic"/>
          <w:sz w:val="32"/>
          <w:szCs w:val="32"/>
          <w:rtl/>
          <w:lang w:val="en-US"/>
        </w:rPr>
        <w:t>). ومن هذا المنطلق، أصبحت المعرفة تمثل الأساس الذي تقوم عليه عمليات التعلم التنظيمي والابتكار المؤسسي في بيئة تتزايد فيها قيمة العنصر المعرفي بوصفه رأس المال الحقيقي للمؤسسات (</w:t>
      </w:r>
      <w:r w:rsidRPr="00671561">
        <w:rPr>
          <w:rFonts w:ascii="Traditional Arabic" w:hAnsi="Traditional Arabic" w:cs="Traditional Arabic"/>
          <w:sz w:val="32"/>
          <w:szCs w:val="32"/>
          <w:lang w:val="en-US"/>
        </w:rPr>
        <w:t>Karyatun et al., 2023</w:t>
      </w:r>
      <w:r w:rsidRPr="00671561">
        <w:rPr>
          <w:rFonts w:ascii="Traditional Arabic" w:hAnsi="Traditional Arabic" w:cs="Traditional Arabic"/>
          <w:sz w:val="32"/>
          <w:szCs w:val="32"/>
          <w:rtl/>
          <w:lang w:val="en-US"/>
        </w:rPr>
        <w:t>).</w:t>
      </w:r>
    </w:p>
    <w:p w14:paraId="6BEF46AC"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p>
    <w:p w14:paraId="55772B52"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rtl/>
          <w:lang w:val="en-US"/>
        </w:rPr>
      </w:pPr>
      <w:r w:rsidRPr="00671561">
        <w:rPr>
          <w:rFonts w:ascii="Traditional Arabic" w:hAnsi="Traditional Arabic" w:cs="Traditional Arabic"/>
          <w:b/>
          <w:bCs/>
          <w:sz w:val="32"/>
          <w:szCs w:val="32"/>
          <w:rtl/>
          <w:lang w:val="en-US"/>
        </w:rPr>
        <w:t>هرمية المعرفة</w:t>
      </w:r>
      <w:r w:rsidRPr="00671561">
        <w:rPr>
          <w:rFonts w:ascii="Traditional Arabic" w:hAnsi="Traditional Arabic" w:cs="Traditional Arabic" w:hint="cs"/>
          <w:b/>
          <w:bCs/>
          <w:sz w:val="32"/>
          <w:szCs w:val="32"/>
          <w:rtl/>
          <w:lang w:val="en-US"/>
        </w:rPr>
        <w:t>:</w:t>
      </w:r>
    </w:p>
    <w:p w14:paraId="57C5C5EC"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تقوم هرمية المعرفة على ترابط منطقي متدرج يبدأ من البيانات بوصفها المادة الخام التي لم تُعالج بعد، ويمر عبر المعلومات التي تكتسب معناها بعد التنظيم، وصولًا إلى المعرفة التي تمثل المستوى الأعمق من الفهم والإدراك، ثم الحكمة التي تُعد ذروة هذا التسلسل المعرفي. وتُعدّ هذه المراحل سلسلة متكاملة تتطور فيها القيمة المضافة للمحتوى المعرفي تدريجيًا وفق درجة المعالجة والإدراك (كرار والموسوي، 2021).</w:t>
      </w:r>
      <w:r w:rsidRPr="00671561">
        <w:rPr>
          <w:rFonts w:ascii="Traditional Arabic" w:hAnsi="Traditional Arabic" w:cs="Traditional Arabic" w:hint="cs"/>
          <w:sz w:val="32"/>
          <w:szCs w:val="32"/>
          <w:rtl/>
          <w:lang w:val="en-US"/>
        </w:rPr>
        <w:t xml:space="preserve"> </w:t>
      </w:r>
      <w:r w:rsidRPr="00671561">
        <w:rPr>
          <w:rFonts w:ascii="Traditional Arabic" w:hAnsi="Traditional Arabic" w:cs="Traditional Arabic"/>
          <w:sz w:val="32"/>
          <w:szCs w:val="32"/>
          <w:rtl/>
          <w:lang w:val="en-US"/>
        </w:rPr>
        <w:t>فالبيانات تُعرَّف بأنها مجموعة من الحقائق والأرقام والرموز الأولية التي لا تمتلك معنى في حد ذاتها ما لم تُخضع للمعالجة أو التفسير، فهي تمثل المدخل الأساسي لأي نظام معرفي يسعى إلى الفهم والتحليل (الأقرع، 2020). أما المعلومات فهي تلك البيانات التي خضعت للتنظيم والمعالجة لتصبح ذات دلالة واضحة وقابلة للاستخدام، وتشكل الأساس الذي يُبنى عليه التعلم واكتساب المعرفة (اليعربي، 2021).</w:t>
      </w:r>
    </w:p>
    <w:p w14:paraId="5946E678"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hint="cs"/>
          <w:sz w:val="32"/>
          <w:szCs w:val="32"/>
          <w:rtl/>
          <w:lang w:val="en-US"/>
        </w:rPr>
        <w:lastRenderedPageBreak/>
        <w:t>تعتبر</w:t>
      </w:r>
      <w:r w:rsidRPr="00671561">
        <w:rPr>
          <w:rFonts w:ascii="Traditional Arabic" w:hAnsi="Traditional Arabic" w:cs="Traditional Arabic"/>
          <w:sz w:val="32"/>
          <w:szCs w:val="32"/>
          <w:rtl/>
          <w:lang w:val="en-US"/>
        </w:rPr>
        <w:t xml:space="preserve"> المعرفة المرحلة الأعلى في هذا الهرم، حيث تتجاوز مجرد تنظيم البيانات إلى القدرة على دمج الخبرات والتجارب مع المعلومات للوصول إلى فهم أعمق وسلوك أكثر وعيًا في التعامل مع الواقع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 فهي تمثل نتاج التفاعل الحي بين الخبرة البشرية والفهم العقلي الذي يُمكّن الأفراد والمؤسسات من إدراك العلاقات بين الظواهر واستخدام ما لديهم من معلومات بطريقة فعالة لتحقيق الأهداف (</w:t>
      </w:r>
      <w:r w:rsidRPr="00671561">
        <w:rPr>
          <w:rFonts w:ascii="Traditional Arabic" w:hAnsi="Traditional Arabic" w:cs="Traditional Arabic"/>
          <w:sz w:val="32"/>
          <w:szCs w:val="32"/>
          <w:lang w:val="en-US"/>
        </w:rPr>
        <w:t>Pelealu et al., 2022</w:t>
      </w:r>
      <w:r w:rsidRPr="00671561">
        <w:rPr>
          <w:rFonts w:ascii="Traditional Arabic" w:hAnsi="Traditional Arabic" w:cs="Traditional Arabic"/>
          <w:sz w:val="32"/>
          <w:szCs w:val="32"/>
          <w:rtl/>
          <w:lang w:val="en-US"/>
        </w:rPr>
        <w:t>).</w:t>
      </w:r>
    </w:p>
    <w:p w14:paraId="10046D7A"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الحكمة</w:t>
      </w:r>
      <w:r w:rsidRPr="00671561">
        <w:rPr>
          <w:rFonts w:ascii="Traditional Arabic" w:hAnsi="Traditional Arabic" w:cs="Traditional Arabic" w:hint="cs"/>
          <w:sz w:val="32"/>
          <w:szCs w:val="32"/>
          <w:rtl/>
          <w:lang w:val="en-US"/>
        </w:rPr>
        <w:t xml:space="preserve"> من جانب اخر</w:t>
      </w:r>
      <w:r w:rsidRPr="00671561">
        <w:rPr>
          <w:rFonts w:ascii="Traditional Arabic" w:hAnsi="Traditional Arabic" w:cs="Traditional Arabic"/>
          <w:sz w:val="32"/>
          <w:szCs w:val="32"/>
          <w:rtl/>
          <w:lang w:val="en-US"/>
        </w:rPr>
        <w:t>، فهي قمة الهرمية، وتُشير إلى حسن توظيف المعرفة في المواقف المختلفة بطريقة تحقق الصواب في الفعل والقرار، إذ تتجسد في القدرة على اختيار الإجراء المناسب في الوقت الملائم لتحقيق النفع الأمثل (</w:t>
      </w:r>
      <w:r w:rsidRPr="00671561">
        <w:rPr>
          <w:rFonts w:ascii="Traditional Arabic" w:hAnsi="Traditional Arabic" w:cs="Traditional Arabic"/>
          <w:sz w:val="32"/>
          <w:szCs w:val="32"/>
          <w:lang w:val="en-US"/>
        </w:rPr>
        <w:t>Tamsah et al., 2023</w:t>
      </w:r>
      <w:r w:rsidRPr="00671561">
        <w:rPr>
          <w:rFonts w:ascii="Traditional Arabic" w:hAnsi="Traditional Arabic" w:cs="Traditional Arabic"/>
          <w:sz w:val="32"/>
          <w:szCs w:val="32"/>
          <w:rtl/>
          <w:lang w:val="en-US"/>
        </w:rPr>
        <w:t>). ومن هذا المنطلق، تمثل هرمية المعرفة إطارًا ديناميًا تتطور فيه المعلومة من مجرد بيانات أولية إلى معرفة فاعلة تُنتج قرارات رشيدة وسلوكًا مؤسسيًا قائمًا على الوعي والتحليل.</w:t>
      </w:r>
    </w:p>
    <w:p w14:paraId="14E899AB"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p>
    <w:p w14:paraId="3A5BFF60"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rtl/>
          <w:lang w:val="en-US"/>
        </w:rPr>
      </w:pPr>
      <w:r w:rsidRPr="00671561">
        <w:rPr>
          <w:rFonts w:ascii="Traditional Arabic" w:hAnsi="Traditional Arabic" w:cs="Traditional Arabic"/>
          <w:b/>
          <w:bCs/>
          <w:sz w:val="32"/>
          <w:szCs w:val="32"/>
          <w:rtl/>
          <w:lang w:val="en-US"/>
        </w:rPr>
        <w:t>أهمية المعرفة وأهدافها</w:t>
      </w:r>
      <w:r w:rsidRPr="00671561">
        <w:rPr>
          <w:rFonts w:ascii="Traditional Arabic" w:hAnsi="Traditional Arabic" w:cs="Traditional Arabic" w:hint="cs"/>
          <w:b/>
          <w:bCs/>
          <w:sz w:val="32"/>
          <w:szCs w:val="32"/>
          <w:rtl/>
          <w:lang w:val="en-US"/>
        </w:rPr>
        <w:t>:</w:t>
      </w:r>
    </w:p>
    <w:p w14:paraId="7660DFF0"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تُعدّ المعرفة اليوم أحد أهم مصادر القوة التنظيمية والعنصر الحيوي الذي يُسهم في تحقيق الميزة التنافسية المستدامة في بيئات العمل الحديثة التي تتسم بالتغير السريع في الأسواق والمنتجات والتقنيات (كرار والموسوي، 2021). وتنبع أهمية المعرفة من قدرتها على تمكين المؤسسات من الابتكار وتوليد أفكار جديدة تُترجم إلى منتجات وخدمات عالية الجودة، مما يعزز قدرتها على التكيف مع التحولات المتسارعة ويضمن استمراريتها في مواجهة المنافسة (عيد، 2021).</w:t>
      </w:r>
    </w:p>
    <w:p w14:paraId="7D7BE0C3"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p>
    <w:p w14:paraId="146A8C4F"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تسهم المعرفة في دعم كفاءة استخدام الموارد البشرية، إذ تُعتبر العقول العاملة مصدرًا أساسيًا لتوليد الأفكار وصياغة الحلول الإبداعية للمشكلات التنظيمية، الأمر الذي يؤدي إلى تحسين استخدام الموارد الاقتصادية وتحقيق التنمية المؤسسية المستدامة (الأقرع، 2020). كما تمثل المعرفة قاعدة الانطلاق لتطوير التكنولوجيا والابتكار الإداري، لما لها من دور في نقل المؤسسات من مرحلة التقليد إلى مرحلة الإبداع في استخدام الموارد وتحسين الأداء (اليعربي، 2021).</w:t>
      </w:r>
    </w:p>
    <w:p w14:paraId="569562BA"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تكمن أهمية إدارة المعرفة في تركيزها على توجيه الجهود نحو إدارة رأس المال الفكري داخل المؤسسة بوصفه المورد الأكثر ندرة وقيمة، فهي تُسهم في تحسين جودة القرارات ورفع كفاءة العمليات الداخلية من خلال تعزيز تدفق المعلومات وتبادل الخبرات بين الأفراد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 كما تساعد على خفض التكاليف التشغيلية وزيادة الإنتاجية عبر تقليص الفاقد المعرفي وتحسين الإجراءات التنظيمية (</w:t>
      </w:r>
      <w:r w:rsidRPr="00671561">
        <w:rPr>
          <w:rFonts w:ascii="Traditional Arabic" w:hAnsi="Traditional Arabic" w:cs="Traditional Arabic"/>
          <w:sz w:val="32"/>
          <w:szCs w:val="32"/>
          <w:lang w:val="en-US"/>
        </w:rPr>
        <w:t>Pelealu et al., 2022</w:t>
      </w:r>
      <w:r w:rsidRPr="00671561">
        <w:rPr>
          <w:rFonts w:ascii="Traditional Arabic" w:hAnsi="Traditional Arabic" w:cs="Traditional Arabic"/>
          <w:sz w:val="32"/>
          <w:szCs w:val="32"/>
          <w:rtl/>
          <w:lang w:val="en-US"/>
        </w:rPr>
        <w:t>).</w:t>
      </w:r>
      <w:r w:rsidRPr="00671561">
        <w:rPr>
          <w:rFonts w:ascii="Traditional Arabic" w:hAnsi="Traditional Arabic" w:cs="Traditional Arabic" w:hint="cs"/>
          <w:sz w:val="32"/>
          <w:szCs w:val="32"/>
          <w:rtl/>
          <w:lang w:val="en-US"/>
        </w:rPr>
        <w:t xml:space="preserve"> </w:t>
      </w:r>
      <w:r w:rsidRPr="00671561">
        <w:rPr>
          <w:rFonts w:ascii="Traditional Arabic" w:hAnsi="Traditional Arabic" w:cs="Traditional Arabic"/>
          <w:sz w:val="32"/>
          <w:szCs w:val="32"/>
          <w:rtl/>
          <w:lang w:val="en-US"/>
        </w:rPr>
        <w:t>أما على المستوى الإنساني، فإن إدارة المعرفة تدعم بيئة التعلم المستمر والتعاون بين العاملين، مما يسهم في تطوير مهاراتهم وتمكينهم من تحقيق ذواتهم عبر المشاركة الفاعلة في أنشطة المؤسسة (</w:t>
      </w:r>
      <w:r w:rsidRPr="00671561">
        <w:rPr>
          <w:rFonts w:ascii="Traditional Arabic" w:hAnsi="Traditional Arabic" w:cs="Traditional Arabic"/>
          <w:sz w:val="32"/>
          <w:szCs w:val="32"/>
          <w:lang w:val="en-US"/>
        </w:rPr>
        <w:t>Tamsah et al., 2023</w:t>
      </w:r>
      <w:r w:rsidRPr="00671561">
        <w:rPr>
          <w:rFonts w:ascii="Traditional Arabic" w:hAnsi="Traditional Arabic" w:cs="Traditional Arabic"/>
          <w:sz w:val="32"/>
          <w:szCs w:val="32"/>
          <w:rtl/>
          <w:lang w:val="en-US"/>
        </w:rPr>
        <w:t>). وتُسهم هذه الجوانب في بناء ثقافة تنظيمية قائمة على التعلم والابتكار، حيث تصبح المعرفة وسيلة للارتقاء بالأداء الفردي والمؤسسي على حد سواء (</w:t>
      </w:r>
      <w:r w:rsidRPr="00671561">
        <w:rPr>
          <w:rFonts w:ascii="Traditional Arabic" w:hAnsi="Traditional Arabic" w:cs="Traditional Arabic"/>
          <w:sz w:val="32"/>
          <w:szCs w:val="32"/>
          <w:lang w:val="en-US"/>
        </w:rPr>
        <w:t>Karyatun et al., 2023</w:t>
      </w:r>
      <w:r w:rsidRPr="00671561">
        <w:rPr>
          <w:rFonts w:ascii="Traditional Arabic" w:hAnsi="Traditional Arabic" w:cs="Traditional Arabic"/>
          <w:sz w:val="32"/>
          <w:szCs w:val="32"/>
          <w:rtl/>
          <w:lang w:val="en-US"/>
        </w:rPr>
        <w:t>).</w:t>
      </w:r>
    </w:p>
    <w:p w14:paraId="3BF963F8"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p>
    <w:p w14:paraId="697CF83C"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b/>
          <w:bCs/>
          <w:sz w:val="32"/>
          <w:szCs w:val="32"/>
          <w:rtl/>
          <w:lang w:val="en-US"/>
        </w:rPr>
        <w:t>أنواع المعرفة</w:t>
      </w:r>
      <w:r w:rsidRPr="00671561">
        <w:rPr>
          <w:rFonts w:ascii="Traditional Arabic" w:hAnsi="Traditional Arabic" w:cs="Traditional Arabic" w:hint="cs"/>
          <w:b/>
          <w:bCs/>
          <w:sz w:val="32"/>
          <w:szCs w:val="32"/>
          <w:rtl/>
          <w:lang w:val="en-US"/>
        </w:rPr>
        <w:t>:</w:t>
      </w:r>
    </w:p>
    <w:p w14:paraId="7A4BF926"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lastRenderedPageBreak/>
        <w:t>تتنوع المعرفة من حيث طبيعتها ومصادرها وطرق اكتسابها، إلا أن التقسيم الأكثر شيوعًا في الفكر الإداري المعاصر هو التمييز بين المعرفة الصريحة والمعرفة الضمنية، حيث يعكس كل منهما جانبًا مختلفًا من المحتوى المعرفي الذي تمتلكه المؤسسة (كرار والموسوي، 2021). فالمعرفة الصريحة هي تلك التي يمكن توثيقها وتداولها ونقلها بسهولة من خلال الوثائق والتقارير والنظم التقنية، وتتميز بكونها منظمة ومكتوبة ومخزّنة في قواعد بيانات أو مستودعات معلومات يمكن الرجوع إليها عند الحاجة (عيد، 2021). وتُستخدم هذه المعرفة عادة في بناء الإجراءات الرسمية والسياسات التشغيلية والمعايير التنظيمية، مما يجعلها أساسًا للأنشطة الإدارية والتقنية التي تتطلب الدقة والوضوح (الأقرع، 2020).</w:t>
      </w:r>
      <w:r w:rsidRPr="00671561">
        <w:rPr>
          <w:rFonts w:ascii="Traditional Arabic" w:hAnsi="Traditional Arabic" w:cs="Traditional Arabic"/>
          <w:sz w:val="32"/>
          <w:szCs w:val="32"/>
          <w:lang w:val="en-US"/>
        </w:rPr>
        <w:t xml:space="preserve"> </w:t>
      </w:r>
      <w:r w:rsidRPr="00671561">
        <w:rPr>
          <w:rFonts w:ascii="Traditional Arabic" w:hAnsi="Traditional Arabic" w:cs="Traditional Arabic"/>
          <w:sz w:val="32"/>
          <w:szCs w:val="32"/>
          <w:rtl/>
          <w:lang w:val="en-US"/>
        </w:rPr>
        <w:t>أما المعرفة الضمنية، فهي أكثر عمقًا وتعقيدًا، لأنها ترتبط بالخبرات الشخصية والمهارات المكتسبة من التجربة، وغالبًا ما يصعب التعبير عنها بالكلمات أو توثيقها بشكل مباشر (اليعربي، 2021). وتظهر هذه المعرفة في أداء الأفراد وسلوكهم العملي، إذ تمثل خبراتهم المتراكمة في التعامل مع المشكلات والظروف المتغيرة داخل بيئة العمل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w:t>
      </w:r>
    </w:p>
    <w:p w14:paraId="4FA22176"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 xml:space="preserve"> التكامل بين المعرفة الصريحة والضمنية </w:t>
      </w:r>
      <w:r w:rsidRPr="00671561">
        <w:rPr>
          <w:rFonts w:ascii="Traditional Arabic" w:hAnsi="Traditional Arabic" w:cs="Traditional Arabic" w:hint="cs"/>
          <w:sz w:val="32"/>
          <w:szCs w:val="32"/>
          <w:rtl/>
          <w:lang w:val="en-US"/>
        </w:rPr>
        <w:t xml:space="preserve">يعتبر </w:t>
      </w:r>
      <w:r w:rsidRPr="00671561">
        <w:rPr>
          <w:rFonts w:ascii="Traditional Arabic" w:hAnsi="Traditional Arabic" w:cs="Traditional Arabic"/>
          <w:sz w:val="32"/>
          <w:szCs w:val="32"/>
          <w:rtl/>
          <w:lang w:val="en-US"/>
        </w:rPr>
        <w:t>ضرورة استراتيجية لتحقيق التعلم التنظيمي الفعّال، حيث تسهم عمليات التفاعل بين الأفراد والمؤسسة في تحويل المعرفة الضمنية إلى معرفة صريحة يمكن مشاركتها وتطبيقها على نطاق أوسع (</w:t>
      </w:r>
      <w:r w:rsidRPr="00671561">
        <w:rPr>
          <w:rFonts w:ascii="Traditional Arabic" w:hAnsi="Traditional Arabic" w:cs="Traditional Arabic"/>
          <w:sz w:val="32"/>
          <w:szCs w:val="32"/>
          <w:lang w:val="en-US"/>
        </w:rPr>
        <w:t>Pelealu et al., 2022</w:t>
      </w:r>
      <w:r w:rsidRPr="00671561">
        <w:rPr>
          <w:rFonts w:ascii="Traditional Arabic" w:hAnsi="Traditional Arabic" w:cs="Traditional Arabic"/>
          <w:sz w:val="32"/>
          <w:szCs w:val="32"/>
          <w:rtl/>
          <w:lang w:val="en-US"/>
        </w:rPr>
        <w:t>). ومن خلال هذا التبادل المستمر، تتولد معرفة جديدة تعزز من قدرة المؤسسة على الإبداع والتجديد وتطوير ممارساتها التنظيمية بما يتوافق مع متطلبات بيئة العمل الحديثة (</w:t>
      </w:r>
      <w:r w:rsidRPr="00671561">
        <w:rPr>
          <w:rFonts w:ascii="Traditional Arabic" w:hAnsi="Traditional Arabic" w:cs="Traditional Arabic"/>
          <w:sz w:val="32"/>
          <w:szCs w:val="32"/>
          <w:lang w:val="en-US"/>
        </w:rPr>
        <w:t>Tamsah et al., 2023</w:t>
      </w:r>
      <w:r w:rsidRPr="00671561">
        <w:rPr>
          <w:rFonts w:ascii="Traditional Arabic" w:hAnsi="Traditional Arabic" w:cs="Traditional Arabic"/>
          <w:sz w:val="32"/>
          <w:szCs w:val="32"/>
          <w:rtl/>
          <w:lang w:val="en-US"/>
        </w:rPr>
        <w:t>). ويُنظر إلى هذا التنوّع في أشكال المعرفة بوصفه أساسًا لبناء رأس المال الفكري للمؤسسة، إذ يمكّنها من تحقيق التكامل بين ما هو موثق رسميًا وما هو متجسد في مهارات وخبرات العاملين، وهو ما يُسهم في ترسيخ ثقافة معرفية قادرة على دعم الأداء والابتكار معًا (</w:t>
      </w:r>
      <w:r w:rsidRPr="00671561">
        <w:rPr>
          <w:rFonts w:ascii="Traditional Arabic" w:hAnsi="Traditional Arabic" w:cs="Traditional Arabic"/>
          <w:sz w:val="32"/>
          <w:szCs w:val="32"/>
          <w:lang w:val="en-US"/>
        </w:rPr>
        <w:t>Karyatun et al., 2023</w:t>
      </w:r>
      <w:r w:rsidRPr="00671561">
        <w:rPr>
          <w:rFonts w:ascii="Traditional Arabic" w:hAnsi="Traditional Arabic" w:cs="Traditional Arabic"/>
          <w:sz w:val="32"/>
          <w:szCs w:val="32"/>
          <w:rtl/>
          <w:lang w:val="en-US"/>
        </w:rPr>
        <w:t>).</w:t>
      </w:r>
    </w:p>
    <w:p w14:paraId="19EA930C"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bidi="ar-JO"/>
        </w:rPr>
      </w:pPr>
    </w:p>
    <w:p w14:paraId="5717EB68"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bidi="ar-JO"/>
        </w:rPr>
      </w:pPr>
    </w:p>
    <w:p w14:paraId="4BAEC986"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b/>
          <w:bCs/>
          <w:sz w:val="32"/>
          <w:szCs w:val="32"/>
          <w:rtl/>
          <w:lang w:val="en-US"/>
        </w:rPr>
        <w:t>أنماط تحويل المعرفة</w:t>
      </w:r>
      <w:r w:rsidRPr="00671561">
        <w:rPr>
          <w:rFonts w:ascii="Traditional Arabic" w:hAnsi="Traditional Arabic" w:cs="Traditional Arabic" w:hint="cs"/>
          <w:b/>
          <w:bCs/>
          <w:sz w:val="32"/>
          <w:szCs w:val="32"/>
          <w:rtl/>
          <w:lang w:val="en-US"/>
        </w:rPr>
        <w:t>:</w:t>
      </w:r>
    </w:p>
    <w:p w14:paraId="0B76043B"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يُعدّ نموذج حلزونية المعرفة الذي قدّمه "نونـاكا" أحد أبرز الإسهامات النظرية في مجال إدارة المعرفة، إذ يوضّح الكيفية التي تتفاعل بها المعرفة الضمنية والصريحة لتوليد معرفة جديدة داخل المؤسسات بصورة ديناميكية مستمرة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 xml:space="preserve">). يقوم هذا النموذج على أن المعرفة لا تبقى في شكلها الثابت، بل تنتقل من مستوى إلى آخر عبر عمليات تحويل متتابعة تُعرف باسم نموذج </w:t>
      </w:r>
      <w:r w:rsidRPr="00671561">
        <w:rPr>
          <w:rFonts w:ascii="Traditional Arabic" w:hAnsi="Traditional Arabic" w:cs="Traditional Arabic"/>
          <w:sz w:val="32"/>
          <w:szCs w:val="32"/>
          <w:lang w:val="en-US"/>
        </w:rPr>
        <w:t>SECI</w:t>
      </w:r>
      <w:r w:rsidRPr="00671561">
        <w:rPr>
          <w:rFonts w:ascii="Traditional Arabic" w:hAnsi="Traditional Arabic" w:cs="Traditional Arabic"/>
          <w:sz w:val="32"/>
          <w:szCs w:val="32"/>
          <w:rtl/>
          <w:lang w:val="en-US"/>
        </w:rPr>
        <w:t>، والذي يضم أربعة أنماط رئيسية: التنشئة الاجتماعية (</w:t>
      </w:r>
      <w:r w:rsidRPr="00671561">
        <w:rPr>
          <w:rFonts w:ascii="Traditional Arabic" w:hAnsi="Traditional Arabic" w:cs="Traditional Arabic"/>
          <w:sz w:val="32"/>
          <w:szCs w:val="32"/>
          <w:lang w:val="en-US"/>
        </w:rPr>
        <w:t>Socialization</w:t>
      </w:r>
      <w:r w:rsidRPr="00671561">
        <w:rPr>
          <w:rFonts w:ascii="Traditional Arabic" w:hAnsi="Traditional Arabic" w:cs="Traditional Arabic"/>
          <w:sz w:val="32"/>
          <w:szCs w:val="32"/>
          <w:rtl/>
          <w:lang w:val="en-US"/>
        </w:rPr>
        <w:t>)، والتجسيد (</w:t>
      </w:r>
      <w:r w:rsidRPr="00671561">
        <w:rPr>
          <w:rFonts w:ascii="Traditional Arabic" w:hAnsi="Traditional Arabic" w:cs="Traditional Arabic"/>
          <w:sz w:val="32"/>
          <w:szCs w:val="32"/>
          <w:lang w:val="en-US"/>
        </w:rPr>
        <w:t>Externalization</w:t>
      </w:r>
      <w:r w:rsidRPr="00671561">
        <w:rPr>
          <w:rFonts w:ascii="Traditional Arabic" w:hAnsi="Traditional Arabic" w:cs="Traditional Arabic"/>
          <w:sz w:val="32"/>
          <w:szCs w:val="32"/>
          <w:rtl/>
          <w:lang w:val="en-US"/>
        </w:rPr>
        <w:t>)، والربط أو الدمج (</w:t>
      </w:r>
      <w:r w:rsidRPr="00671561">
        <w:rPr>
          <w:rFonts w:ascii="Traditional Arabic" w:hAnsi="Traditional Arabic" w:cs="Traditional Arabic"/>
          <w:sz w:val="32"/>
          <w:szCs w:val="32"/>
          <w:lang w:val="en-US"/>
        </w:rPr>
        <w:t>Combination</w:t>
      </w:r>
      <w:r w:rsidRPr="00671561">
        <w:rPr>
          <w:rFonts w:ascii="Traditional Arabic" w:hAnsi="Traditional Arabic" w:cs="Traditional Arabic"/>
          <w:sz w:val="32"/>
          <w:szCs w:val="32"/>
          <w:rtl/>
          <w:lang w:val="en-US"/>
        </w:rPr>
        <w:t>)، والتذويت (</w:t>
      </w:r>
      <w:r w:rsidRPr="00671561">
        <w:rPr>
          <w:rFonts w:ascii="Traditional Arabic" w:hAnsi="Traditional Arabic" w:cs="Traditional Arabic"/>
          <w:sz w:val="32"/>
          <w:szCs w:val="32"/>
          <w:lang w:val="en-US"/>
        </w:rPr>
        <w:t>Internalization</w:t>
      </w:r>
      <w:r w:rsidRPr="00671561">
        <w:rPr>
          <w:rFonts w:ascii="Traditional Arabic" w:hAnsi="Traditional Arabic" w:cs="Traditional Arabic"/>
          <w:sz w:val="32"/>
          <w:szCs w:val="32"/>
          <w:rtl/>
          <w:lang w:val="en-US"/>
        </w:rPr>
        <w:t>).</w:t>
      </w:r>
    </w:p>
    <w:p w14:paraId="498D0A26"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في النمط الأول التنشئة الاجتماعية (</w:t>
      </w:r>
      <w:r w:rsidRPr="00671561">
        <w:rPr>
          <w:rFonts w:ascii="Traditional Arabic" w:hAnsi="Traditional Arabic" w:cs="Traditional Arabic"/>
          <w:sz w:val="32"/>
          <w:szCs w:val="32"/>
          <w:lang w:val="en-US"/>
        </w:rPr>
        <w:t>S</w:t>
      </w:r>
      <w:r w:rsidRPr="00671561">
        <w:rPr>
          <w:rFonts w:ascii="Traditional Arabic" w:hAnsi="Traditional Arabic" w:cs="Traditional Arabic"/>
          <w:sz w:val="32"/>
          <w:szCs w:val="32"/>
          <w:rtl/>
          <w:lang w:val="en-US"/>
        </w:rPr>
        <w:t>)، تنتقل المعرفة الضمنية من فرد إلى آخر دون أن تتحول إلى شكل صريح، وذلك من خلال التفاعل المباشر والملاحظة والتقليد والممارسة اليومية، حيث تبقى المعرفة ضمنية ولكنها تتوسع داخل الجماعة العاملة (كرار والموسوي، 2021). أما النمط الثاني التجسيد (</w:t>
      </w:r>
      <w:r w:rsidRPr="00671561">
        <w:rPr>
          <w:rFonts w:ascii="Traditional Arabic" w:hAnsi="Traditional Arabic" w:cs="Traditional Arabic"/>
          <w:sz w:val="32"/>
          <w:szCs w:val="32"/>
          <w:lang w:val="en-US"/>
        </w:rPr>
        <w:t>E</w:t>
      </w:r>
      <w:r w:rsidRPr="00671561">
        <w:rPr>
          <w:rFonts w:ascii="Traditional Arabic" w:hAnsi="Traditional Arabic" w:cs="Traditional Arabic"/>
          <w:sz w:val="32"/>
          <w:szCs w:val="32"/>
          <w:rtl/>
          <w:lang w:val="en-US"/>
        </w:rPr>
        <w:t>) فيمثل المرحلة التي تتحول فيها المعرفة الضمنية إلى معرفة صريحة يمكن توثيقها والتعبير عنها من خلال الكلمات أو النماذج أو الرسوم التوضيحية، وغالبًا ما يتم ذلك عبر الحوار والنقاش والتفكير الجماعي الذي يسمح بتوليد مفاهيم جديدة (الأقرع، 2020).</w:t>
      </w:r>
    </w:p>
    <w:p w14:paraId="42CB2EEB"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lastRenderedPageBreak/>
        <w:t>في النمط الثالث الربط أو الدمج (</w:t>
      </w:r>
      <w:r w:rsidRPr="00671561">
        <w:rPr>
          <w:rFonts w:ascii="Traditional Arabic" w:hAnsi="Traditional Arabic" w:cs="Traditional Arabic"/>
          <w:sz w:val="32"/>
          <w:szCs w:val="32"/>
          <w:lang w:val="en-US"/>
        </w:rPr>
        <w:t>C</w:t>
      </w:r>
      <w:r w:rsidRPr="00671561">
        <w:rPr>
          <w:rFonts w:ascii="Traditional Arabic" w:hAnsi="Traditional Arabic" w:cs="Traditional Arabic"/>
          <w:sz w:val="32"/>
          <w:szCs w:val="32"/>
          <w:rtl/>
          <w:lang w:val="en-US"/>
        </w:rPr>
        <w:t>)، تُدمج المعارف الصريحة الموجودة في المؤسسة ضمن منظومة واحدة من خلال تجميعها وتحليلها وتبويبها، مثل تقارير الأداء، وقواعد البيانات، والاجتماعات، ما يجعلها أكثر قابلية للاستخدام في اتخاذ القرار وتطوير الخطط (اليعربي، 2021). أما النمط الرابع التذويت (</w:t>
      </w:r>
      <w:r w:rsidRPr="00671561">
        <w:rPr>
          <w:rFonts w:ascii="Traditional Arabic" w:hAnsi="Traditional Arabic" w:cs="Traditional Arabic"/>
          <w:sz w:val="32"/>
          <w:szCs w:val="32"/>
          <w:lang w:val="en-US"/>
        </w:rPr>
        <w:t>I</w:t>
      </w:r>
      <w:r w:rsidRPr="00671561">
        <w:rPr>
          <w:rFonts w:ascii="Traditional Arabic" w:hAnsi="Traditional Arabic" w:cs="Traditional Arabic"/>
          <w:sz w:val="32"/>
          <w:szCs w:val="32"/>
          <w:rtl/>
          <w:lang w:val="en-US"/>
        </w:rPr>
        <w:t>)، فيشير إلى العملية التي يُعاد فيها تحويل المعرفة الصريحة إلى معرفة ضمنية جديدة من خلال استيعابها وتطبيقها في الممارسة العملية، ليصبح الأفراد أكثر خبرة وقدرة على الابتكار والتفكير النقدي (</w:t>
      </w:r>
      <w:r w:rsidRPr="00671561">
        <w:rPr>
          <w:rFonts w:ascii="Traditional Arabic" w:hAnsi="Traditional Arabic" w:cs="Traditional Arabic"/>
          <w:sz w:val="32"/>
          <w:szCs w:val="32"/>
          <w:lang w:val="en-US"/>
        </w:rPr>
        <w:t>Pelealu et al., 2022</w:t>
      </w:r>
      <w:r w:rsidRPr="00671561">
        <w:rPr>
          <w:rFonts w:ascii="Traditional Arabic" w:hAnsi="Traditional Arabic" w:cs="Traditional Arabic"/>
          <w:sz w:val="32"/>
          <w:szCs w:val="32"/>
          <w:rtl/>
          <w:lang w:val="en-US"/>
        </w:rPr>
        <w:t>).</w:t>
      </w:r>
    </w:p>
    <w:p w14:paraId="07D3C26B"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ويمثل هذا التفاعل الحلزوني بين الأنماط الأربعة آلية مستمرة لتوليد المعرفة التنظيمية، حيث تنتقل المعرفة في حركة دائرية تصاعدية تبدأ من التجربة الشخصية وتنتهي بإنتاج معرفة مؤسسية جديدة أكثر عمقًا واتساعًا (</w:t>
      </w:r>
      <w:r w:rsidRPr="00671561">
        <w:rPr>
          <w:rFonts w:ascii="Traditional Arabic" w:hAnsi="Traditional Arabic" w:cs="Traditional Arabic"/>
          <w:sz w:val="32"/>
          <w:szCs w:val="32"/>
          <w:lang w:val="en-US"/>
        </w:rPr>
        <w:t>Tamsah et al., 2023</w:t>
      </w:r>
      <w:r w:rsidRPr="00671561">
        <w:rPr>
          <w:rFonts w:ascii="Traditional Arabic" w:hAnsi="Traditional Arabic" w:cs="Traditional Arabic"/>
          <w:sz w:val="32"/>
          <w:szCs w:val="32"/>
          <w:rtl/>
          <w:lang w:val="en-US"/>
        </w:rPr>
        <w:t>). ومن خلال هذا التبادل الدوري بين الأفراد والمستويات التنظيمية، تتحقق بيئة تعلم جماعي محفّزة على الإبداع، تؤدي إلى تطوير منتجات وخدمات جديدة قائمة على المعرفة (</w:t>
      </w:r>
      <w:r w:rsidRPr="00671561">
        <w:rPr>
          <w:rFonts w:ascii="Traditional Arabic" w:hAnsi="Traditional Arabic" w:cs="Traditional Arabic"/>
          <w:sz w:val="32"/>
          <w:szCs w:val="32"/>
          <w:lang w:val="en-US"/>
        </w:rPr>
        <w:t>Karyatun et al., 2023</w:t>
      </w:r>
      <w:r w:rsidRPr="00671561">
        <w:rPr>
          <w:rFonts w:ascii="Traditional Arabic" w:hAnsi="Traditional Arabic" w:cs="Traditional Arabic"/>
          <w:sz w:val="32"/>
          <w:szCs w:val="32"/>
          <w:rtl/>
          <w:lang w:val="en-US"/>
        </w:rPr>
        <w:t>).</w:t>
      </w:r>
    </w:p>
    <w:p w14:paraId="61D63C90"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p>
    <w:p w14:paraId="72DE5B44" w14:textId="77777777" w:rsidR="00C110B2" w:rsidRPr="00671561" w:rsidRDefault="00C110B2" w:rsidP="00C110B2">
      <w:pPr>
        <w:pStyle w:val="a5"/>
        <w:numPr>
          <w:ilvl w:val="0"/>
          <w:numId w:val="17"/>
        </w:numPr>
        <w:tabs>
          <w:tab w:val="left" w:pos="288"/>
          <w:tab w:val="center" w:pos="4680"/>
        </w:tabs>
        <w:bidi/>
        <w:spacing w:line="360" w:lineRule="auto"/>
        <w:jc w:val="both"/>
        <w:rPr>
          <w:rFonts w:ascii="Traditional Arabic" w:hAnsi="Traditional Arabic" w:cs="Traditional Arabic"/>
          <w:b/>
          <w:bCs/>
          <w:sz w:val="36"/>
          <w:szCs w:val="36"/>
        </w:rPr>
      </w:pPr>
      <w:r w:rsidRPr="00671561">
        <w:rPr>
          <w:rFonts w:ascii="Traditional Arabic" w:hAnsi="Traditional Arabic" w:cs="Traditional Arabic" w:hint="cs"/>
          <w:b/>
          <w:bCs/>
          <w:sz w:val="36"/>
          <w:szCs w:val="36"/>
          <w:rtl/>
        </w:rPr>
        <w:t>ثانيا: ادارة المعرفة</w:t>
      </w:r>
    </w:p>
    <w:p w14:paraId="576042AD"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b/>
          <w:bCs/>
          <w:sz w:val="32"/>
          <w:szCs w:val="32"/>
          <w:rtl/>
          <w:lang w:val="en-US"/>
        </w:rPr>
        <w:t>مفهوم إدارة المعرفة</w:t>
      </w:r>
      <w:r w:rsidRPr="00671561">
        <w:rPr>
          <w:rFonts w:ascii="Traditional Arabic" w:hAnsi="Traditional Arabic" w:cs="Traditional Arabic" w:hint="cs"/>
          <w:b/>
          <w:bCs/>
          <w:sz w:val="32"/>
          <w:szCs w:val="32"/>
          <w:rtl/>
          <w:lang w:val="en-US"/>
        </w:rPr>
        <w:t>:</w:t>
      </w:r>
    </w:p>
    <w:p w14:paraId="22EAD42C"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تُعدّ إدارة المعرفة من الركائز الفكرية الحديثة في الإدارة المعاصرة، إذ نشأت مع التحول نحو اقتصاد المعرفة الذي جعل الأصول الفكرية تمثل المورد الأهم للمؤسسات في تحقيق التفوق والابتكار (</w:t>
      </w:r>
      <w:r w:rsidRPr="00671561">
        <w:rPr>
          <w:rFonts w:ascii="Traditional Arabic" w:hAnsi="Traditional Arabic" w:cs="Traditional Arabic"/>
          <w:sz w:val="32"/>
          <w:szCs w:val="32"/>
          <w:lang w:val="en-US"/>
        </w:rPr>
        <w:t>Drucker, 1993</w:t>
      </w:r>
      <w:r w:rsidRPr="00671561">
        <w:rPr>
          <w:rFonts w:ascii="Traditional Arabic" w:hAnsi="Traditional Arabic" w:cs="Traditional Arabic"/>
          <w:sz w:val="32"/>
          <w:szCs w:val="32"/>
          <w:rtl/>
          <w:lang w:val="en-US"/>
        </w:rPr>
        <w:t xml:space="preserve">). ويُنظر إليها على أنها عملية منهجية تهدف إلى تحديد المعرفة داخل المؤسسة وجمعها وتنظيمها ومشاركتها واستخدامها </w:t>
      </w:r>
      <w:r w:rsidRPr="00671561">
        <w:rPr>
          <w:rFonts w:ascii="Traditional Arabic" w:hAnsi="Traditional Arabic" w:cs="Traditional Arabic"/>
          <w:sz w:val="32"/>
          <w:szCs w:val="32"/>
          <w:rtl/>
          <w:lang w:val="en-US"/>
        </w:rPr>
        <w:lastRenderedPageBreak/>
        <w:t>بما يسهم في تحسين الأداء المؤسسي (</w:t>
      </w:r>
      <w:r w:rsidRPr="00671561">
        <w:rPr>
          <w:rFonts w:ascii="Traditional Arabic" w:hAnsi="Traditional Arabic" w:cs="Traditional Arabic"/>
          <w:sz w:val="32"/>
          <w:szCs w:val="32"/>
          <w:lang w:val="en-US"/>
        </w:rPr>
        <w:t>Davenport &amp; Prusak, 1998</w:t>
      </w:r>
      <w:r w:rsidRPr="00671561">
        <w:rPr>
          <w:rFonts w:ascii="Traditional Arabic" w:hAnsi="Traditional Arabic" w:cs="Traditional Arabic"/>
          <w:sz w:val="32"/>
          <w:szCs w:val="32"/>
          <w:rtl/>
          <w:lang w:val="en-US"/>
        </w:rPr>
        <w:t>).</w:t>
      </w:r>
      <w:r w:rsidRPr="00671561">
        <w:rPr>
          <w:rFonts w:ascii="Traditional Arabic" w:hAnsi="Traditional Arabic" w:cs="Traditional Arabic" w:hint="cs"/>
          <w:sz w:val="32"/>
          <w:szCs w:val="32"/>
          <w:rtl/>
          <w:lang w:val="en-US"/>
        </w:rPr>
        <w:t xml:space="preserve"> </w:t>
      </w:r>
      <w:r w:rsidRPr="00671561">
        <w:rPr>
          <w:rFonts w:ascii="Traditional Arabic" w:hAnsi="Traditional Arabic" w:cs="Traditional Arabic"/>
          <w:sz w:val="32"/>
          <w:szCs w:val="32"/>
          <w:rtl/>
          <w:lang w:val="en-US"/>
        </w:rPr>
        <w:t xml:space="preserve">وقد عرّف </w:t>
      </w:r>
      <w:r w:rsidRPr="00671561">
        <w:rPr>
          <w:rFonts w:ascii="Traditional Arabic" w:hAnsi="Traditional Arabic" w:cs="Traditional Arabic" w:hint="cs"/>
          <w:sz w:val="32"/>
          <w:szCs w:val="32"/>
          <w:rtl/>
          <w:lang w:val="en-US"/>
        </w:rPr>
        <w:t>(</w:t>
      </w:r>
      <w:r w:rsidRPr="00671561">
        <w:rPr>
          <w:rFonts w:ascii="Traditional Arabic" w:hAnsi="Traditional Arabic" w:cs="Traditional Arabic"/>
          <w:sz w:val="32"/>
          <w:szCs w:val="32"/>
          <w:lang w:val="en-US"/>
        </w:rPr>
        <w:t>Nonaka &amp; Takeuchi, 1995</w:t>
      </w:r>
      <w:r w:rsidRPr="00671561">
        <w:rPr>
          <w:rFonts w:ascii="Traditional Arabic" w:hAnsi="Traditional Arabic" w:cs="Traditional Arabic"/>
          <w:sz w:val="32"/>
          <w:szCs w:val="32"/>
          <w:rtl/>
          <w:lang w:val="en-US"/>
        </w:rPr>
        <w:t xml:space="preserve">) إدارة المعرفة بأنها عملية ديناميكية تُعنى بخلق المعرفة ونشرها وتجسيدها من خلال التفاعل المستمر بين المعرفة الضمنية الكامنة لدى الأفراد والمعرفة الصريحة القابلة للتوثيق، مما يؤدي إلى توليد معرفة جديدة تسهم في التطوير التنظيمي. كما أوضح </w:t>
      </w:r>
      <w:r w:rsidRPr="00671561">
        <w:rPr>
          <w:rFonts w:ascii="Traditional Arabic" w:hAnsi="Traditional Arabic" w:cs="Traditional Arabic"/>
          <w:sz w:val="32"/>
          <w:szCs w:val="32"/>
          <w:lang w:val="en-US"/>
        </w:rPr>
        <w:t>Alavi &amp; Leidner, 2001)</w:t>
      </w:r>
      <w:r w:rsidRPr="00671561">
        <w:rPr>
          <w:rFonts w:ascii="Traditional Arabic" w:hAnsi="Traditional Arabic" w:cs="Traditional Arabic"/>
          <w:sz w:val="32"/>
          <w:szCs w:val="32"/>
          <w:rtl/>
          <w:lang w:val="en-US"/>
        </w:rPr>
        <w:t>) أن إدارة المعرفة تتضمن جملة من الأنشطة التنظيمية الهادفة إلى تسهيل تدفق المعرفة داخل المؤسسة وتحويلها إلى أداة استراتيجية لاتخاذ القرار.</w:t>
      </w:r>
      <w:r w:rsidRPr="00671561">
        <w:rPr>
          <w:rFonts w:ascii="Traditional Arabic" w:hAnsi="Traditional Arabic" w:cs="Traditional Arabic"/>
          <w:sz w:val="32"/>
          <w:szCs w:val="32"/>
          <w:lang w:val="en-US"/>
        </w:rPr>
        <w:t xml:space="preserve"> </w:t>
      </w:r>
      <w:r w:rsidRPr="00671561">
        <w:rPr>
          <w:rFonts w:ascii="Traditional Arabic" w:hAnsi="Traditional Arabic" w:cs="Traditional Arabic"/>
          <w:sz w:val="32"/>
          <w:szCs w:val="32"/>
          <w:rtl/>
          <w:lang w:val="en-US"/>
        </w:rPr>
        <w:t>في إطار أكثر حداثة، المنافسة (</w:t>
      </w:r>
      <w:r w:rsidRPr="00671561">
        <w:rPr>
          <w:rFonts w:ascii="Traditional Arabic" w:hAnsi="Traditional Arabic" w:cs="Traditional Arabic"/>
          <w:sz w:val="32"/>
          <w:szCs w:val="32"/>
          <w:lang w:val="en-US"/>
        </w:rPr>
        <w:t>Skyrme, 1999</w:t>
      </w:r>
      <w:r w:rsidRPr="00671561">
        <w:rPr>
          <w:rFonts w:ascii="Traditional Arabic" w:hAnsi="Traditional Arabic" w:cs="Traditional Arabic"/>
          <w:sz w:val="32"/>
          <w:szCs w:val="32"/>
          <w:rtl/>
          <w:lang w:val="en-US"/>
        </w:rPr>
        <w:t>). فهي تساعد المؤسسات على تحقيق الكفاءة التشغيلية من خلال تحسين الوصول إلى المعرفة المناسبة في الوقت المناسب، ما يؤدي إلى تقليل الأخطاء وتسريع حل المشكلات والصريحة على نحوٍ يُعزز الإبداع والاستدامة المؤسسية. كما تشير إلى أن نجاح إدارة المعرفة يعتمد على قدرة المؤسسة في بناء بيئة تشجع على التعلّم الجماعي وتبادل الخبرات بين الأفراد</w:t>
      </w:r>
      <w:r w:rsidRPr="00671561">
        <w:rPr>
          <w:rFonts w:ascii="Traditional Arabic" w:hAnsi="Traditional Arabic" w:cs="Traditional Arabic"/>
          <w:sz w:val="32"/>
          <w:szCs w:val="32"/>
          <w:lang w:val="en-US"/>
        </w:rPr>
        <w:t>.</w:t>
      </w:r>
    </w:p>
    <w:p w14:paraId="25DA4FFD"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يرى الباحث أن مفهوم إدارة المعرفة يتجاوز كونه مجرد عملية تنظيمية لجمع المعلومات، فهو يمثل إطارًا فكريًا واستراتيجيًا يقوم على استثمار رأس المال المعرفي وتوجيهه نحو تحقيق الأهداف المؤسسية. كما أن فاعليته ترتبط بمدى قدرة المؤسسة على خلق توازن بين المعرفة الصريحة المنظمة والمعرفة الضمنية المتولدة من الخبرات، إذ يشكل هذا التكامل الأساس لتجديد المعرفة والابتكار المستمر</w:t>
      </w:r>
      <w:r w:rsidRPr="00671561">
        <w:rPr>
          <w:rFonts w:ascii="Traditional Arabic" w:hAnsi="Traditional Arabic" w:cs="Traditional Arabic"/>
          <w:sz w:val="32"/>
          <w:szCs w:val="32"/>
          <w:lang w:val="en-US"/>
        </w:rPr>
        <w:t>.</w:t>
      </w:r>
    </w:p>
    <w:p w14:paraId="433B52A2"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p>
    <w:p w14:paraId="55DDF3C2"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b/>
          <w:bCs/>
          <w:sz w:val="32"/>
          <w:szCs w:val="32"/>
          <w:rtl/>
          <w:lang w:val="en-US"/>
        </w:rPr>
        <w:t>أهمية إدارة المعرفة</w:t>
      </w:r>
      <w:r w:rsidRPr="00671561">
        <w:rPr>
          <w:rFonts w:ascii="Traditional Arabic" w:hAnsi="Traditional Arabic" w:cs="Traditional Arabic" w:hint="cs"/>
          <w:b/>
          <w:bCs/>
          <w:sz w:val="32"/>
          <w:szCs w:val="32"/>
          <w:rtl/>
          <w:lang w:val="en-US"/>
        </w:rPr>
        <w:t>:</w:t>
      </w:r>
    </w:p>
    <w:p w14:paraId="3EDD2A53"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تنبع أهمية إدارة المعرفة من قدرتها على تمكين المؤسسات من تحويل المعلومات والخبرات المتراكمة إلى مورد استراتيجي يدعم اتخاذ القرار ويعزز القدرة على المنافسة (</w:t>
      </w:r>
      <w:r w:rsidRPr="00671561">
        <w:rPr>
          <w:rFonts w:ascii="Traditional Arabic" w:hAnsi="Traditional Arabic" w:cs="Traditional Arabic"/>
          <w:sz w:val="32"/>
          <w:szCs w:val="32"/>
          <w:lang w:val="en-US"/>
        </w:rPr>
        <w:t>Skyrme, 1999</w:t>
      </w:r>
      <w:r w:rsidRPr="00671561">
        <w:rPr>
          <w:rFonts w:ascii="Traditional Arabic" w:hAnsi="Traditional Arabic" w:cs="Traditional Arabic"/>
          <w:sz w:val="32"/>
          <w:szCs w:val="32"/>
          <w:rtl/>
          <w:lang w:val="en-US"/>
        </w:rPr>
        <w:t xml:space="preserve">). فهي تساعد المؤسسات على تحقيق </w:t>
      </w:r>
      <w:r w:rsidRPr="00671561">
        <w:rPr>
          <w:rFonts w:ascii="Traditional Arabic" w:hAnsi="Traditional Arabic" w:cs="Traditional Arabic"/>
          <w:sz w:val="32"/>
          <w:szCs w:val="32"/>
          <w:rtl/>
          <w:lang w:val="en-US"/>
        </w:rPr>
        <w:lastRenderedPageBreak/>
        <w:t>الكفاءة التشغيلية من خلال تحسين الوصول إلى المعرفة المناسبة في الوقت المناسب، ما يؤدي إلى تقليل الأخطاء وتسريع حل المشكلات (</w:t>
      </w:r>
      <w:r w:rsidRPr="00671561">
        <w:rPr>
          <w:rFonts w:ascii="Traditional Arabic" w:hAnsi="Traditional Arabic" w:cs="Traditional Arabic"/>
          <w:sz w:val="32"/>
          <w:szCs w:val="32"/>
          <w:lang w:val="en-US"/>
        </w:rPr>
        <w:t>Davenport &amp; Prusak, 1998</w:t>
      </w:r>
      <w:r w:rsidRPr="00671561">
        <w:rPr>
          <w:rFonts w:ascii="Traditional Arabic" w:hAnsi="Traditional Arabic" w:cs="Traditional Arabic"/>
          <w:sz w:val="32"/>
          <w:szCs w:val="32"/>
          <w:rtl/>
          <w:lang w:val="en-US"/>
        </w:rPr>
        <w:t>).</w:t>
      </w:r>
      <w:r w:rsidRPr="00671561">
        <w:rPr>
          <w:rFonts w:ascii="Traditional Arabic" w:hAnsi="Traditional Arabic" w:cs="Traditional Arabic"/>
          <w:sz w:val="32"/>
          <w:szCs w:val="32"/>
          <w:lang w:val="en-US"/>
        </w:rPr>
        <w:t xml:space="preserve"> </w:t>
      </w:r>
      <w:r w:rsidRPr="00671561">
        <w:rPr>
          <w:rFonts w:ascii="Traditional Arabic" w:hAnsi="Traditional Arabic" w:cs="Traditional Arabic"/>
          <w:sz w:val="32"/>
          <w:szCs w:val="32"/>
          <w:rtl/>
          <w:lang w:val="en-US"/>
        </w:rPr>
        <w:t>كما تسهم إدارة المعرفة في رفع مستوى الابتكار من خلال تشجيع تبادل الخبرات والأفكار وتحويل المعرفة الفردية إلى معرفة تنظيمية تُسهم في تطوير المنتجات والخدمات (</w:t>
      </w:r>
      <w:r w:rsidRPr="00671561">
        <w:rPr>
          <w:rFonts w:ascii="Traditional Arabic" w:hAnsi="Traditional Arabic" w:cs="Traditional Arabic"/>
          <w:sz w:val="32"/>
          <w:szCs w:val="32"/>
          <w:lang w:val="en-US"/>
        </w:rPr>
        <w:t>Nonaka &amp; Takeuchi, 1995</w:t>
      </w:r>
      <w:r w:rsidRPr="00671561">
        <w:rPr>
          <w:rFonts w:ascii="Traditional Arabic" w:hAnsi="Traditional Arabic" w:cs="Traditional Arabic"/>
          <w:sz w:val="32"/>
          <w:szCs w:val="32"/>
          <w:rtl/>
          <w:lang w:val="en-US"/>
        </w:rPr>
        <w:t xml:space="preserve">). وفي السياق ذاته، يرى </w:t>
      </w:r>
      <w:r w:rsidRPr="00671561">
        <w:rPr>
          <w:rFonts w:ascii="Traditional Arabic" w:hAnsi="Traditional Arabic" w:cs="Traditional Arabic"/>
          <w:sz w:val="32"/>
          <w:szCs w:val="32"/>
          <w:lang w:val="en-US"/>
        </w:rPr>
        <w:t>Massingham (2019</w:t>
      </w:r>
      <w:r w:rsidRPr="00671561">
        <w:rPr>
          <w:rFonts w:ascii="Traditional Arabic" w:hAnsi="Traditional Arabic" w:cs="Traditional Arabic"/>
          <w:sz w:val="32"/>
          <w:szCs w:val="32"/>
          <w:rtl/>
          <w:lang w:val="en-US"/>
        </w:rPr>
        <w:t>) أن تطبيق إدارة المعرفة يسهم في بناء قدرات التعلم المستمر وتعزيز رأس المال الفكري، وهو ما يُعدّ من أهم محددات البقاء والنمو في المؤسسات الحديثة.</w:t>
      </w:r>
    </w:p>
    <w:p w14:paraId="45AD8B9E"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يرى الباحث أن أهمية إدارة المعرفة تكمن في قدرتها على ربط المعرفة بالقرار والإبداع في آنٍ واحد، فهي تمثل الجسر الذي يربط بين البيانات المجردة والتميّز المؤسسي الفعلي. كما أن الاستثمار الفعّال في إدارة المعرفة ينعكس على مرونة المؤسسة واستجابتها للتغيير، ما يجعلها أكثر قدرة على المنافسة في بيئة تتسم بعدم الاستقرار والتطور السريع</w:t>
      </w:r>
      <w:r w:rsidRPr="00671561">
        <w:rPr>
          <w:rFonts w:ascii="Traditional Arabic" w:hAnsi="Traditional Arabic" w:cs="Traditional Arabic"/>
          <w:sz w:val="32"/>
          <w:szCs w:val="32"/>
          <w:lang w:val="en-US"/>
        </w:rPr>
        <w:t>.</w:t>
      </w:r>
    </w:p>
    <w:p w14:paraId="2DD20198"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p>
    <w:p w14:paraId="6C93EBD9"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b/>
          <w:bCs/>
          <w:sz w:val="32"/>
          <w:szCs w:val="32"/>
          <w:rtl/>
          <w:lang w:val="en-US"/>
        </w:rPr>
        <w:t>أهداف إدارة المعرفة</w:t>
      </w:r>
      <w:r w:rsidRPr="00671561">
        <w:rPr>
          <w:rFonts w:ascii="Traditional Arabic" w:hAnsi="Traditional Arabic" w:cs="Traditional Arabic" w:hint="cs"/>
          <w:b/>
          <w:bCs/>
          <w:sz w:val="32"/>
          <w:szCs w:val="32"/>
          <w:rtl/>
          <w:lang w:val="en-US"/>
        </w:rPr>
        <w:t>:</w:t>
      </w:r>
    </w:p>
    <w:p w14:paraId="01CBD68D"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تتمثل أهداف إدارة المعرفة في تطوير بيئة تنظيمية داعمة لتبادل المعرفة بين العاملين، وتحويل المعرفة الضمنية إلى معرفة صريحة قابلة للتطبيق، وتحفيز الإبداع والابتكار، وتحسين جودة القرارات الاستراتيجية (</w:t>
      </w:r>
      <w:r w:rsidRPr="00671561">
        <w:rPr>
          <w:rFonts w:ascii="Traditional Arabic" w:hAnsi="Traditional Arabic" w:cs="Traditional Arabic"/>
          <w:sz w:val="32"/>
          <w:szCs w:val="32"/>
          <w:lang w:val="en-US"/>
        </w:rPr>
        <w:t>Dalkir, 2020</w:t>
      </w:r>
      <w:r w:rsidRPr="00671561">
        <w:rPr>
          <w:rFonts w:ascii="Traditional Arabic" w:hAnsi="Traditional Arabic" w:cs="Traditional Arabic"/>
          <w:sz w:val="32"/>
          <w:szCs w:val="32"/>
          <w:rtl/>
          <w:lang w:val="en-US"/>
        </w:rPr>
        <w:t>). كما تهدف إلى تحقيق التعلم المؤسسي المستمر من خلال توظيف المعرفة المتاحة في تطوير الأداء وتحقيق ميزة تنافسية مستدامة (</w:t>
      </w:r>
      <w:r w:rsidRPr="00671561">
        <w:rPr>
          <w:rFonts w:ascii="Traditional Arabic" w:hAnsi="Traditional Arabic" w:cs="Traditional Arabic"/>
          <w:sz w:val="32"/>
          <w:szCs w:val="32"/>
          <w:lang w:val="en-US"/>
        </w:rPr>
        <w:t>Alavi &amp; Leidner, 2001</w:t>
      </w:r>
      <w:r w:rsidRPr="00671561">
        <w:rPr>
          <w:rFonts w:ascii="Traditional Arabic" w:hAnsi="Traditional Arabic" w:cs="Traditional Arabic"/>
          <w:sz w:val="32"/>
          <w:szCs w:val="32"/>
          <w:rtl/>
          <w:lang w:val="en-US"/>
        </w:rPr>
        <w:t>).</w:t>
      </w:r>
    </w:p>
    <w:p w14:paraId="03F2964D"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lastRenderedPageBreak/>
        <w:t>يرى الباحث أن أهداف إدارة المعرفة لا ينبغي أن تقتصر على جمع المعرفة وتداولها، بل يجب أن تتسع لتشمل بناء ثقافة مؤسسية تتبنّى التعلّم الدائم والتجديد الفكري. فالقيمة الحقيقية للمعرفة تتحقق عندما تتحول إلى سلوك تنظيمي يُترجم في أداء العاملين وقدرتهم على الابتكار وتوليد الأفكار الجديدة التي تخدم أهداف المؤسسة طويلة المدى</w:t>
      </w:r>
      <w:r w:rsidRPr="00671561">
        <w:rPr>
          <w:rFonts w:ascii="Traditional Arabic" w:hAnsi="Traditional Arabic" w:cs="Traditional Arabic"/>
          <w:sz w:val="32"/>
          <w:szCs w:val="32"/>
          <w:lang w:val="en-US"/>
        </w:rPr>
        <w:t>.</w:t>
      </w:r>
    </w:p>
    <w:p w14:paraId="0C7CA87F" w14:textId="77777777" w:rsidR="00C110B2" w:rsidRPr="00671561" w:rsidRDefault="00C110B2" w:rsidP="00C110B2">
      <w:pPr>
        <w:pStyle w:val="a5"/>
        <w:numPr>
          <w:ilvl w:val="0"/>
          <w:numId w:val="17"/>
        </w:numPr>
        <w:tabs>
          <w:tab w:val="left" w:pos="288"/>
          <w:tab w:val="center" w:pos="4680"/>
        </w:tabs>
        <w:bidi/>
        <w:spacing w:line="360" w:lineRule="auto"/>
        <w:jc w:val="both"/>
        <w:rPr>
          <w:rFonts w:ascii="Traditional Arabic" w:hAnsi="Traditional Arabic" w:cs="Traditional Arabic"/>
          <w:b/>
          <w:bCs/>
          <w:sz w:val="36"/>
          <w:szCs w:val="36"/>
        </w:rPr>
      </w:pPr>
      <w:r w:rsidRPr="00671561">
        <w:rPr>
          <w:rFonts w:ascii="Traditional Arabic" w:hAnsi="Traditional Arabic" w:cs="Traditional Arabic" w:hint="cs"/>
          <w:b/>
          <w:bCs/>
          <w:sz w:val="36"/>
          <w:szCs w:val="36"/>
          <w:rtl/>
        </w:rPr>
        <w:t xml:space="preserve">البحث الثاني: </w:t>
      </w:r>
      <w:r w:rsidRPr="00671561">
        <w:rPr>
          <w:rFonts w:ascii="Traditional Arabic" w:hAnsi="Traditional Arabic" w:cs="Traditional Arabic"/>
          <w:b/>
          <w:bCs/>
          <w:sz w:val="36"/>
          <w:szCs w:val="36"/>
          <w:rtl/>
        </w:rPr>
        <w:t>أداء العاملين</w:t>
      </w:r>
    </w:p>
    <w:p w14:paraId="2558D42A"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b/>
          <w:bCs/>
          <w:sz w:val="32"/>
          <w:szCs w:val="32"/>
          <w:rtl/>
          <w:lang w:val="en-US"/>
        </w:rPr>
        <w:t>مفهوم أداء العاملين</w:t>
      </w:r>
      <w:r w:rsidRPr="00671561">
        <w:rPr>
          <w:rFonts w:ascii="Traditional Arabic" w:hAnsi="Traditional Arabic" w:cs="Traditional Arabic" w:hint="cs"/>
          <w:b/>
          <w:bCs/>
          <w:sz w:val="32"/>
          <w:szCs w:val="32"/>
          <w:rtl/>
          <w:lang w:val="en-US"/>
        </w:rPr>
        <w:t>:</w:t>
      </w:r>
    </w:p>
    <w:p w14:paraId="5BD01724"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يُعدّ أداء العاملين من أكثر المفاهيم أهمية في الفكر الإداري المعاصر، إذ يمثل المعيار الذي تُقاس به كفاءة المنظمة في استثمار مواردها البشرية لتحقيق أهدافها الاستراتيجية. فالأداء هو النتيجة الفعلية للجهود التي يبذلها العامل في إنجاز مهامه، ومدى قدرته على استخدام معارفه ومهاراته وخبراته لإنجاز العمل المطلوب بجودة وكفاءة وضمن الأطر الزمنية المحددة (</w:t>
      </w:r>
      <w:r w:rsidRPr="00671561">
        <w:rPr>
          <w:rFonts w:ascii="Traditional Arabic" w:hAnsi="Traditional Arabic" w:cs="Traditional Arabic"/>
          <w:sz w:val="32"/>
          <w:szCs w:val="32"/>
          <w:lang w:val="en-US"/>
        </w:rPr>
        <w:t>Karyatun et al., 2023</w:t>
      </w:r>
      <w:r w:rsidRPr="00671561">
        <w:rPr>
          <w:rFonts w:ascii="Traditional Arabic" w:hAnsi="Traditional Arabic" w:cs="Traditional Arabic"/>
          <w:sz w:val="32"/>
          <w:szCs w:val="32"/>
          <w:rtl/>
          <w:lang w:val="en-US"/>
        </w:rPr>
        <w:t>). ومن ثمّ فإن أداء العاملين لا يُقاس فقط من خلال النتائج الكمية كالمخرجات أو الإنتاجية، بل يمتد ليشمل السلوكيات الوظيفية، ومستوى الالتزام، والقدرة على الإبداع والمبادرة، وهي جوانب تعكس جودة الأداء ومضمونه الحقيقي.</w:t>
      </w:r>
    </w:p>
    <w:p w14:paraId="5914A8C0"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 xml:space="preserve">ويُنظر إلى أداء العاملين على أنه عملية ديناميكية مستمرة تتأثر بمجموعة من العوامل التنظيمية والشخصية، مثل البيئة الداخلية، نمط القيادة، التحفيز، الثقافة المؤسسية، والتدريب، إلى جانب المتغيرات الفردية كالمهارات والقدرات والدافعية. وكلما كانت المؤسسة قادرة على تهيئة بيئة عمل محفّزة على الإبداع والتعلم، انعكس ذلك إيجابًا على أداء العاملين ومستوى إنتاجيتهم (الأقرع، 2020). فالأداء الفعّال لا يتحقق فقط من خلال الالتزام </w:t>
      </w:r>
      <w:r w:rsidRPr="00671561">
        <w:rPr>
          <w:rFonts w:ascii="Traditional Arabic" w:hAnsi="Traditional Arabic" w:cs="Traditional Arabic"/>
          <w:sz w:val="32"/>
          <w:szCs w:val="32"/>
          <w:rtl/>
          <w:lang w:val="en-US"/>
        </w:rPr>
        <w:lastRenderedPageBreak/>
        <w:t>بالتعليمات، بل من خلال تمكين الموظف ومنحه الثقة والمسؤولية لتوظيف معرفته وخبرته في حل المشكلات وتحسين العمليات</w:t>
      </w:r>
      <w:r w:rsidRPr="00671561">
        <w:rPr>
          <w:rFonts w:ascii="Traditional Arabic" w:hAnsi="Traditional Arabic" w:cs="Traditional Arabic"/>
          <w:sz w:val="32"/>
          <w:szCs w:val="32"/>
          <w:lang w:val="en-US"/>
        </w:rPr>
        <w:t>.</w:t>
      </w:r>
    </w:p>
    <w:p w14:paraId="089AC471"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كما يُعدّ الأداء أحد أهم المخرجات النهائية للموارد البشرية، إذ يعكس مدى نجاح السياسات الإدارية في توجيه الجهود نحو تحقيق الأهداف التنظيمية. وقد بات مفهوم الأداء في المؤسسات الحديثة أكثر شمولًا مما كان عليه في الفكر الإداري التقليدي، حيث لم يعد مقتصرًا على قياس كفاءة الإنجاز، بل أصبح يرتبط بمعايير نوعية مثل الرضا الوظيفي، الولاء التنظيمي، الالتزام المهني، والقدرة على الإبداع (</w:t>
      </w:r>
      <w:r w:rsidRPr="00671561">
        <w:rPr>
          <w:rFonts w:ascii="Traditional Arabic" w:hAnsi="Traditional Arabic" w:cs="Traditional Arabic"/>
          <w:sz w:val="32"/>
          <w:szCs w:val="32"/>
          <w:lang w:val="en-US"/>
        </w:rPr>
        <w:t>Tamsah et al., 2023</w:t>
      </w:r>
      <w:r w:rsidRPr="00671561">
        <w:rPr>
          <w:rFonts w:ascii="Traditional Arabic" w:hAnsi="Traditional Arabic" w:cs="Traditional Arabic"/>
          <w:sz w:val="32"/>
          <w:szCs w:val="32"/>
          <w:rtl/>
          <w:lang w:val="en-US"/>
        </w:rPr>
        <w:t>). هذا التطور المفاهيمي يعكس التحول من النظرة الكمية إلى النظرة التكاملية التي تجمع بين الجانب الإنتاجي والسلوكي للعامل.</w:t>
      </w:r>
    </w:p>
    <w:p w14:paraId="346ECBBD"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وفي إطار الاقتصاد المعرفي الراهن، أصبح أداء العاملين يرتبط ارتباطًا وثيقًا بالقدرة على توظيف المعرفة المكتسبة في بيئة العمل، بحيث يتحول العامل من منفذٍ للتعليمات إلى صانعٍ للحلول ومطوّرٍ للعمليات. فالمؤسسات التي تنجح في رفع أداء موظفيها هي تلك التي تستثمر في تطوير رأس المال البشري وتمكّنه من المشاركة في اتخاذ القرار، مما يعزز الإحساس بالمسؤولية والانتماء ويقود إلى أداء أكثر جودة واستدامة (عيد، 2021). ومن هذا المنطلق، يُعد الأداء انعكاسًا مباشرًا لمدى نضج المؤسسة في إدارة مواردها البشرية، ومدى قدرتها على المواءمة بين أهدافها التنظيمية وطموحات أفرادها</w:t>
      </w:r>
      <w:r w:rsidRPr="00671561">
        <w:rPr>
          <w:rFonts w:ascii="Traditional Arabic" w:hAnsi="Traditional Arabic" w:cs="Traditional Arabic"/>
          <w:sz w:val="32"/>
          <w:szCs w:val="32"/>
          <w:lang w:val="en-US"/>
        </w:rPr>
        <w:t>.</w:t>
      </w:r>
    </w:p>
    <w:p w14:paraId="198ADD57"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 xml:space="preserve">ويُعدّ الأداء الفردي بمثابة لبنة أساسية في بناء الأداء المؤسسي العام، إذ يشكّل مجموع أداء الأفراد القاعدة التي تُبنى عليها كفاءة المؤسسة ككل. لذلك فإن عملية تحسين الأداء تتطلب التركيز على تمكين العاملين وتزويدهم بالمعرفة والتدريب اللازم، إلى جانب توفير بيئة عمل داعمة تتسم بالشفافية والعدالة التنظيمية. كما أن تقييم الأداء أصبح اليوم عملية تطويرية أكثر منه إجراءً رقابيًا، إذ يهدف إلى تحديد جوانب القوة والضعف لدى العاملين </w:t>
      </w:r>
      <w:r w:rsidRPr="00671561">
        <w:rPr>
          <w:rFonts w:ascii="Traditional Arabic" w:hAnsi="Traditional Arabic" w:cs="Traditional Arabic"/>
          <w:sz w:val="32"/>
          <w:szCs w:val="32"/>
          <w:rtl/>
          <w:lang w:val="en-US"/>
        </w:rPr>
        <w:lastRenderedPageBreak/>
        <w:t>وتوجيههم نحو التحسين المستمر، بما يسهم في تعزيز الأداء الفردي والجماعي على حد سواء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w:t>
      </w:r>
    </w:p>
    <w:p w14:paraId="7F5A179C"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إنّ مفهوم أداء العاملين في السياق المعاصر يقوم على فلسفة الشراكة بين المؤسسة والعاملين فيها؛ فالعامل لا يُنظر إليه كأداة إنتاج، بل كعنصر استراتيجي يساهم بعقله وخبرته في تحقيق التميز المؤسسي. ومن هنا تأتي أهمية تطوير آليات قياس الأداء لتتجاوز المؤشرات الكمية إلى تقييمات سلوكية ومعرفية تعكس إسهامات الموظف الحقيقية في التطوير والابتكار وتحقيق رضا العملاء. فالأداء الناجح هو الذي يُعبّر عن تحقيق التوازن بين كفاءة الإنجاز وجودة العمل، وبين الالتزام الفردي والمصلحة التنظيمية، في إطار ثقافة مؤسسية قائمة على المشاركة والمسؤولية (</w:t>
      </w:r>
      <w:r w:rsidRPr="00671561">
        <w:rPr>
          <w:rFonts w:ascii="Traditional Arabic" w:hAnsi="Traditional Arabic" w:cs="Traditional Arabic"/>
          <w:sz w:val="32"/>
          <w:szCs w:val="32"/>
          <w:lang w:val="en-US"/>
        </w:rPr>
        <w:t>Pelealu, 2022</w:t>
      </w:r>
      <w:r w:rsidRPr="00671561">
        <w:rPr>
          <w:rFonts w:ascii="Traditional Arabic" w:hAnsi="Traditional Arabic" w:cs="Traditional Arabic"/>
          <w:sz w:val="32"/>
          <w:szCs w:val="32"/>
          <w:rtl/>
          <w:lang w:val="en-US"/>
        </w:rPr>
        <w:t>).</w:t>
      </w:r>
    </w:p>
    <w:p w14:paraId="3E48C70A"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وفي ضوء ما تقدم، يمكن القول إن أداء العاملين يُمثّل محور الارتكاز الذي تقوم عليه عملية التنمية المؤسسية، إذ لا يمكن لأي منظمة أن تحقق التفوق أو الاستدامة من دون أداء بشري فاعل يدمج بين المعرفة والمهارة والدافعية. وبالتالي، فإن الاستثمار في تنمية الأداء وتحسينه يعدّ استثمارًا في مستقبل المؤسسة، وضمانًا لاستمرار قدرتها على المنافسة في بيئة تتسم بالتغير المتسارع والتحديات المتجددة</w:t>
      </w:r>
      <w:r w:rsidRPr="00671561">
        <w:rPr>
          <w:rFonts w:ascii="Traditional Arabic" w:hAnsi="Traditional Arabic" w:cs="Traditional Arabic"/>
          <w:sz w:val="32"/>
          <w:szCs w:val="32"/>
          <w:lang w:val="en-US"/>
        </w:rPr>
        <w:t>.</w:t>
      </w:r>
    </w:p>
    <w:p w14:paraId="09089EC8"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b/>
          <w:bCs/>
          <w:sz w:val="32"/>
          <w:szCs w:val="32"/>
          <w:rtl/>
          <w:lang w:val="en-US"/>
        </w:rPr>
        <w:t>أبعاد أداء العاملين</w:t>
      </w:r>
      <w:r w:rsidRPr="00671561">
        <w:rPr>
          <w:rFonts w:ascii="Traditional Arabic" w:hAnsi="Traditional Arabic" w:cs="Traditional Arabic" w:hint="cs"/>
          <w:b/>
          <w:bCs/>
          <w:sz w:val="32"/>
          <w:szCs w:val="32"/>
          <w:rtl/>
          <w:lang w:val="en-US"/>
        </w:rPr>
        <w:t>:</w:t>
      </w:r>
    </w:p>
    <w:p w14:paraId="2AC01176"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 xml:space="preserve">يُعدّ أداء العاملين مفهومًا متعدد الأبعاد، تتداخل فيه الجوانب المعرفية والسلوكية والمهارية، وهو ما يجعل تقييمه عملية مركّبة تتجاوز مجرد قياس المخرجات الكمية إلى تحليل نوعية السلوك الوظيفي ومستوى الالتزام والقدرة على الإبداع. وقد تناولت الأدبيات الإدارية الحديثة الأداء من منظور شامل يدمج بين الكفاءة في تنفيذ المهام والقدرة على الإسهام في تحقيق أهداف المؤسسة من خلال الابتكار التدريب والتأهيل، والقدرة على استخدام التكنولوجيا </w:t>
      </w:r>
      <w:r w:rsidRPr="00671561">
        <w:rPr>
          <w:rFonts w:ascii="Traditional Arabic" w:hAnsi="Traditional Arabic" w:cs="Traditional Arabic"/>
          <w:sz w:val="32"/>
          <w:szCs w:val="32"/>
          <w:rtl/>
          <w:lang w:val="en-US"/>
        </w:rPr>
        <w:lastRenderedPageBreak/>
        <w:t>الحديثة في أداء العمل، مما يجعلها أحد أعمدة التميز المؤسسي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 فكلما زادت كفاءة الموظف، زادت إنتاجية المؤسسة، وارتفعت قدرتها على تحقيق أهدافها التشغيلية والاستراتيجية.</w:t>
      </w:r>
    </w:p>
    <w:p w14:paraId="256A9530" w14:textId="77777777" w:rsidR="00C110B2" w:rsidRPr="00671561" w:rsidRDefault="00C110B2" w:rsidP="00C110B2">
      <w:pPr>
        <w:pStyle w:val="a5"/>
        <w:numPr>
          <w:ilvl w:val="0"/>
          <w:numId w:val="18"/>
        </w:numPr>
        <w:tabs>
          <w:tab w:val="left" w:pos="288"/>
          <w:tab w:val="center" w:pos="4680"/>
        </w:tabs>
        <w:bidi/>
        <w:spacing w:line="360" w:lineRule="auto"/>
        <w:jc w:val="both"/>
        <w:rPr>
          <w:rFonts w:ascii="Traditional Arabic" w:hAnsi="Traditional Arabic" w:cs="Traditional Arabic"/>
          <w:b/>
          <w:bCs/>
          <w:sz w:val="32"/>
          <w:szCs w:val="32"/>
        </w:rPr>
      </w:pPr>
      <w:r w:rsidRPr="00671561">
        <w:rPr>
          <w:rFonts w:ascii="Traditional Arabic" w:hAnsi="Traditional Arabic" w:cs="Traditional Arabic"/>
          <w:b/>
          <w:bCs/>
          <w:sz w:val="32"/>
          <w:szCs w:val="32"/>
          <w:rtl/>
        </w:rPr>
        <w:t>الكفاءة الوظيفية</w:t>
      </w:r>
    </w:p>
    <w:p w14:paraId="04EA2A8F"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تُعدّ الكفاءة الوظيفية من المؤشرات الأساسية التي تُقاس بها جودة أداء العاملين، إذ تعكس مدى قدرتهم على إنجاز المهام بدقة وفاعلية ضمن الإطار الزمني والموارد المتاحة. وهي تمثل العلاقة بين الجهد المبذول والنتيجة المحققة، وتعبر عن مدى استغلال الموظف لمعارفه وخبراته ومهاراته لتحقيق أفضل النتائج الممكنة. كما ترتبط الكفاءة الوظيفية ارتباطًا وثيقًا بمستوى التدريب والتأهيل، والقدرة على استخدام التكنولوجيا الحديثة في أداء العمل، مما يجعلها أحد أعمدة التميز المؤسسي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 فكلما زادت كفاءة الموظف، زادت إنتاجية المؤسسة، وارتفعت قدرتها على تحقيق أهدافها التشغيلية والاستراتيجية.</w:t>
      </w:r>
    </w:p>
    <w:p w14:paraId="266F5471" w14:textId="77777777" w:rsidR="00C110B2" w:rsidRPr="00671561" w:rsidRDefault="00C110B2" w:rsidP="00C110B2">
      <w:pPr>
        <w:pStyle w:val="a5"/>
        <w:numPr>
          <w:ilvl w:val="0"/>
          <w:numId w:val="18"/>
        </w:numPr>
        <w:tabs>
          <w:tab w:val="left" w:pos="288"/>
          <w:tab w:val="center" w:pos="4680"/>
        </w:tabs>
        <w:bidi/>
        <w:spacing w:line="360" w:lineRule="auto"/>
        <w:jc w:val="both"/>
        <w:rPr>
          <w:rFonts w:ascii="Traditional Arabic" w:hAnsi="Traditional Arabic" w:cs="Traditional Arabic"/>
          <w:b/>
          <w:bCs/>
          <w:sz w:val="32"/>
          <w:szCs w:val="32"/>
        </w:rPr>
      </w:pPr>
      <w:r w:rsidRPr="00671561">
        <w:rPr>
          <w:rFonts w:ascii="Traditional Arabic" w:hAnsi="Traditional Arabic" w:cs="Traditional Arabic"/>
          <w:b/>
          <w:bCs/>
          <w:sz w:val="32"/>
          <w:szCs w:val="32"/>
          <w:rtl/>
        </w:rPr>
        <w:t>الابتكار وحل المشكلات</w:t>
      </w:r>
    </w:p>
    <w:p w14:paraId="18073823"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يُعتبر الابتكار وحل المشكلات من الأبعاد الحيوية لأداء العاملين في بيئات العمل الحديثة التي تتسم بسرعة التغيير والتعقيد. فالابتكار لا يعني فقط إيجاد أفكار جديدة، بل يشمل أيضًا القدرة على تطبيقها لتحسين العمليات والخدمات وإيجاد حلول عملية للمشكلات اليومية. ويُسهم هذا البعد في تعزيز روح المبادرة والتفكير النقدي لدى الموظفين، مما ينعكس على مرونة المؤسسة وقدرتها على التكيف مع المستجدات. كما يُعدّ تشجيع ثقافة الإبداع والتجريب من أهم العوامل التي تدعم الأداء الابتكاري، حيث تتيح للعاملين التعبير عن أفكارهم بحرية والمشاركة في تطوير أساليب العمل (</w:t>
      </w:r>
      <w:r w:rsidRPr="00671561">
        <w:rPr>
          <w:rFonts w:ascii="Traditional Arabic" w:hAnsi="Traditional Arabic" w:cs="Traditional Arabic"/>
          <w:sz w:val="32"/>
          <w:szCs w:val="32"/>
          <w:lang w:val="en-US"/>
        </w:rPr>
        <w:t>Tamsah et al., 2023</w:t>
      </w:r>
      <w:r w:rsidRPr="00671561">
        <w:rPr>
          <w:rFonts w:ascii="Traditional Arabic" w:hAnsi="Traditional Arabic" w:cs="Traditional Arabic"/>
          <w:sz w:val="32"/>
          <w:szCs w:val="32"/>
          <w:rtl/>
          <w:lang w:val="en-US"/>
        </w:rPr>
        <w:t>). ومن ثم، فإن المؤسسات التي تستثمر في تنمية قدرات موظفيها الإبداعية هي الأكثر قدرة على المنافسة والاستمرارية في الأسواق المتغيرة.</w:t>
      </w:r>
    </w:p>
    <w:p w14:paraId="68015C52" w14:textId="77777777" w:rsidR="00C110B2" w:rsidRPr="00671561" w:rsidRDefault="00C110B2" w:rsidP="00C110B2">
      <w:pPr>
        <w:pStyle w:val="a5"/>
        <w:numPr>
          <w:ilvl w:val="0"/>
          <w:numId w:val="18"/>
        </w:numPr>
        <w:tabs>
          <w:tab w:val="left" w:pos="288"/>
          <w:tab w:val="center" w:pos="4680"/>
        </w:tabs>
        <w:bidi/>
        <w:spacing w:line="360" w:lineRule="auto"/>
        <w:jc w:val="both"/>
        <w:rPr>
          <w:rFonts w:ascii="Traditional Arabic" w:hAnsi="Traditional Arabic" w:cs="Traditional Arabic"/>
          <w:b/>
          <w:bCs/>
          <w:sz w:val="32"/>
          <w:szCs w:val="32"/>
        </w:rPr>
      </w:pPr>
      <w:r w:rsidRPr="00671561">
        <w:rPr>
          <w:rFonts w:ascii="Traditional Arabic" w:hAnsi="Traditional Arabic" w:cs="Traditional Arabic"/>
          <w:b/>
          <w:bCs/>
          <w:sz w:val="32"/>
          <w:szCs w:val="32"/>
          <w:rtl/>
        </w:rPr>
        <w:lastRenderedPageBreak/>
        <w:t>رضا العملاء</w:t>
      </w:r>
    </w:p>
    <w:p w14:paraId="173FAC2E"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يُعدّ رضا العملاء أحد المؤشرات الجوهرية في قياس الأداء، لأنه يعكس جودة الخدمة المقدمة ومدى استجابة العاملين لاحتياجات العملاء وتوقعاتهم. فالموظف الذي يمتلك معرفة كافية بمنتجات مؤسسته وبأساليب التعامل الفعّال مع العملاء يكون أكثر قدرة على تقديم خدمة متميزة تحقق رضا العميل وولاءه. ويُنظر إلى رضا العملاء على أنه نتيجة مباشرة لأداء العاملين، إذ يعبّر عن مدى التزامهم بمعايير الجودة والاحترافية في التعامل، وعن قدرتهم على تمثيل المؤسسة بصورة إيجابية أمام الجمهور (</w:t>
      </w:r>
      <w:r w:rsidRPr="00671561">
        <w:rPr>
          <w:rFonts w:ascii="Traditional Arabic" w:hAnsi="Traditional Arabic" w:cs="Traditional Arabic"/>
          <w:sz w:val="32"/>
          <w:szCs w:val="32"/>
          <w:lang w:val="en-US"/>
        </w:rPr>
        <w:t>Pelealu, 2022</w:t>
      </w:r>
      <w:r w:rsidRPr="00671561">
        <w:rPr>
          <w:rFonts w:ascii="Traditional Arabic" w:hAnsi="Traditional Arabic" w:cs="Traditional Arabic"/>
          <w:sz w:val="32"/>
          <w:szCs w:val="32"/>
          <w:rtl/>
          <w:lang w:val="en-US"/>
        </w:rPr>
        <w:t>). كما أن تحقيق رضا العملاء يسهم في تعزيز الصورة الذهنية للمؤسسة في السوق ويدعم استقرارها المالي من خلال زيادة الثقة في خدماتها ومنتجاتها</w:t>
      </w:r>
      <w:r w:rsidRPr="00671561">
        <w:rPr>
          <w:rFonts w:ascii="Traditional Arabic" w:hAnsi="Traditional Arabic" w:cs="Traditional Arabic"/>
          <w:sz w:val="32"/>
          <w:szCs w:val="32"/>
          <w:lang w:val="en-US"/>
        </w:rPr>
        <w:t>.</w:t>
      </w:r>
    </w:p>
    <w:p w14:paraId="00BD13E4" w14:textId="77777777" w:rsidR="00C110B2" w:rsidRPr="00671561" w:rsidRDefault="00C110B2" w:rsidP="00C110B2">
      <w:pPr>
        <w:pStyle w:val="a5"/>
        <w:numPr>
          <w:ilvl w:val="0"/>
          <w:numId w:val="18"/>
        </w:numPr>
        <w:tabs>
          <w:tab w:val="left" w:pos="288"/>
          <w:tab w:val="center" w:pos="4680"/>
        </w:tabs>
        <w:bidi/>
        <w:spacing w:line="360" w:lineRule="auto"/>
        <w:jc w:val="both"/>
        <w:rPr>
          <w:rFonts w:ascii="Traditional Arabic" w:hAnsi="Traditional Arabic" w:cs="Traditional Arabic"/>
          <w:b/>
          <w:bCs/>
          <w:sz w:val="32"/>
          <w:szCs w:val="32"/>
        </w:rPr>
      </w:pPr>
      <w:r w:rsidRPr="00671561">
        <w:rPr>
          <w:rFonts w:ascii="Traditional Arabic" w:hAnsi="Traditional Arabic" w:cs="Traditional Arabic"/>
          <w:b/>
          <w:bCs/>
          <w:sz w:val="32"/>
          <w:szCs w:val="32"/>
          <w:rtl/>
        </w:rPr>
        <w:t>الالتزام الوظيفي</w:t>
      </w:r>
    </w:p>
    <w:p w14:paraId="70B0C7A0"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يُعدّ الالتزام الوظيفي من الأبعاد السلوكية المهمة التي تعكس ولاء العاملين للمؤسسة ورغبتهم في الاستمرار فيها وبذل الجهد الإضافي لتحقيق أهدافها. وهو يمثل علاقة وجدانية ومهنية بين الموظف ومكان عمله، تتجسد في شعوره بالانتماء، واحترامه للقيم التنظيمية، واستعداده للتضحية بالوقت والجهد في سبيل إنجاز العمل على أكمل وجه. ويرتبط الالتزام الوظيفي بمدى رضا الموظف عن بيئة العمل وعدالة النظام الإداري وفعالية القيادة، كما يعكس مستوى ثقته في المؤسسة وإيمانه برؤيتها المستقبلية (</w:t>
      </w:r>
      <w:r w:rsidRPr="00671561">
        <w:rPr>
          <w:rFonts w:ascii="Traditional Arabic" w:hAnsi="Traditional Arabic" w:cs="Traditional Arabic"/>
          <w:sz w:val="32"/>
          <w:szCs w:val="32"/>
          <w:lang w:val="en-US"/>
        </w:rPr>
        <w:t>Karyatun et al., 2023</w:t>
      </w:r>
      <w:r w:rsidRPr="00671561">
        <w:rPr>
          <w:rFonts w:ascii="Traditional Arabic" w:hAnsi="Traditional Arabic" w:cs="Traditional Arabic"/>
          <w:sz w:val="32"/>
          <w:szCs w:val="32"/>
          <w:rtl/>
          <w:lang w:val="en-US"/>
        </w:rPr>
        <w:t>). وكلما كان الالتزام مرتفعًا، زادت استمرارية العاملين وانخفض معدل الدوران الوظيفي، مما يؤدي إلى تحسين الاستقرار التنظيمي وتعزيز الأداء العام للمؤسسة</w:t>
      </w:r>
      <w:r w:rsidRPr="00671561">
        <w:rPr>
          <w:rFonts w:ascii="Traditional Arabic" w:hAnsi="Traditional Arabic" w:cs="Traditional Arabic"/>
          <w:sz w:val="32"/>
          <w:szCs w:val="32"/>
          <w:lang w:val="en-US"/>
        </w:rPr>
        <w:t>.</w:t>
      </w:r>
    </w:p>
    <w:p w14:paraId="48E72F00"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 xml:space="preserve">إن هذه الأبعاد الأربعة تتكامل فيما بينها لتشكّل الإطار الشامل لأداء العاملين، حيث تمثل الكفاءة الأساس التشغيلي، والابتكار أداة التطوير والتحسين، ورضا العملاء مقياس النجاح الخارجي، والالتزام الوظيفي ضمانة </w:t>
      </w:r>
      <w:r w:rsidRPr="00671561">
        <w:rPr>
          <w:rFonts w:ascii="Traditional Arabic" w:hAnsi="Traditional Arabic" w:cs="Traditional Arabic"/>
          <w:sz w:val="32"/>
          <w:szCs w:val="32"/>
          <w:rtl/>
          <w:lang w:val="en-US"/>
        </w:rPr>
        <w:lastRenderedPageBreak/>
        <w:t>الاستمرارية الداخلية. ويؤدي التوازن بين هذه الأبعاد إلى تحقيق أداء مؤسسي متكامل قادر على تحقيق الأهداف بكفاءة واستدامة. كما أن هذه الأبعاد لا تعمل بمعزل عن إدارة المعرفة، بل تتغذى منها وتُعزّزها في الوقت نفسه، إذ تشكّل المعرفة العنصر الرابط الذي يدعم الكفاءة، ويحفّز الابتكار، ويعزز رضا العملاء، ويقوّي الالتزام الوظيفي، وهو ما يؤكد الترابط البنيوي بين إدارة المعرفة ومستوى أداء العاملين في المؤسسات الحديثة</w:t>
      </w:r>
      <w:r w:rsidRPr="00671561">
        <w:rPr>
          <w:rFonts w:ascii="Traditional Arabic" w:hAnsi="Traditional Arabic" w:cs="Traditional Arabic"/>
          <w:sz w:val="32"/>
          <w:szCs w:val="32"/>
          <w:lang w:val="en-US"/>
        </w:rPr>
        <w:t>.</w:t>
      </w:r>
    </w:p>
    <w:p w14:paraId="6802EB57"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p>
    <w:p w14:paraId="530B485D" w14:textId="77777777" w:rsidR="00C110B2" w:rsidRPr="00671561" w:rsidRDefault="00C110B2" w:rsidP="00C110B2">
      <w:pPr>
        <w:pStyle w:val="a5"/>
        <w:numPr>
          <w:ilvl w:val="0"/>
          <w:numId w:val="17"/>
        </w:numPr>
        <w:tabs>
          <w:tab w:val="left" w:pos="288"/>
          <w:tab w:val="center" w:pos="4680"/>
        </w:tabs>
        <w:bidi/>
        <w:spacing w:line="360" w:lineRule="auto"/>
        <w:jc w:val="both"/>
        <w:rPr>
          <w:rFonts w:ascii="Traditional Arabic" w:hAnsi="Traditional Arabic" w:cs="Traditional Arabic"/>
          <w:b/>
          <w:bCs/>
          <w:sz w:val="36"/>
          <w:szCs w:val="36"/>
          <w:rtl/>
        </w:rPr>
      </w:pPr>
      <w:r w:rsidRPr="00671561">
        <w:rPr>
          <w:rFonts w:ascii="Traditional Arabic" w:hAnsi="Traditional Arabic" w:cs="Traditional Arabic" w:hint="cs"/>
          <w:b/>
          <w:bCs/>
          <w:sz w:val="36"/>
          <w:szCs w:val="36"/>
          <w:rtl/>
        </w:rPr>
        <w:t>المبحث الثالث: اثر ادارة المعرفة على اداء العاملين</w:t>
      </w:r>
    </w:p>
    <w:p w14:paraId="72E3F6DE" w14:textId="77777777" w:rsidR="00C110B2" w:rsidRPr="00671561" w:rsidRDefault="00C110B2" w:rsidP="00C110B2">
      <w:pPr>
        <w:tabs>
          <w:tab w:val="left" w:pos="713"/>
          <w:tab w:val="center" w:pos="4680"/>
        </w:tabs>
        <w:bidi/>
        <w:spacing w:line="360" w:lineRule="auto"/>
        <w:ind w:firstLine="713"/>
        <w:jc w:val="both"/>
        <w:rPr>
          <w:rFonts w:ascii="Traditional Arabic" w:hAnsi="Traditional Arabic" w:cs="Traditional Arabic"/>
          <w:sz w:val="32"/>
          <w:szCs w:val="32"/>
          <w:rtl/>
          <w:lang w:bidi="ar-JO"/>
        </w:rPr>
      </w:pPr>
      <w:r w:rsidRPr="00671561">
        <w:rPr>
          <w:rFonts w:ascii="Traditional Arabic" w:hAnsi="Traditional Arabic" w:cs="Traditional Arabic"/>
          <w:sz w:val="32"/>
          <w:szCs w:val="32"/>
          <w:rtl/>
          <w:lang w:val="en-US"/>
        </w:rPr>
        <w:t>تُعدّ إدارة المعرفة من أبرز المداخل الإدارية الحديثة التي تسهم في رفع كفاءة أداء العاملين وتحسين جودة مخرجات العمل، إذ تمكّن المؤسسات من استثمار خبراتها المتراكمة وتوظيفها في تطوير قدرات الأفراد والجماعات على أداء مهامهم بكفاءة وفاعلية. فكلما كانت المؤسسة قادرة على اكتساب المعرفة وتخزينها وتطبيقها ونشرها بطرق منهجية ومنظمة، انعكس ذلك إيجابيا على مستوى الأداء الفردي والمؤسسي على حد سواء. وتقوم العلاقة بين إدارة المعرفة وأداء العاملين على فرضية أساسية مفادها أن المعرفة تمثل المورد الأكثر تأثيرا في تطوير رأس المال البشري، وأن إدارتها بفعالية تمكّن الموظفين من توظيف خبراتهم ومهاراتهم في تحقيق أهداف المنظمة (اليعربي، 2021).</w:t>
      </w:r>
    </w:p>
    <w:p w14:paraId="2E828FBF" w14:textId="77777777" w:rsidR="00C110B2" w:rsidRPr="00671561" w:rsidRDefault="00C110B2" w:rsidP="00C110B2">
      <w:pPr>
        <w:tabs>
          <w:tab w:val="left" w:pos="713"/>
          <w:tab w:val="center" w:pos="4680"/>
        </w:tabs>
        <w:bidi/>
        <w:spacing w:line="360" w:lineRule="auto"/>
        <w:ind w:firstLine="713"/>
        <w:jc w:val="both"/>
        <w:rPr>
          <w:rFonts w:ascii="Traditional Arabic" w:hAnsi="Traditional Arabic" w:cs="Traditional Arabic"/>
          <w:sz w:val="32"/>
          <w:szCs w:val="32"/>
          <w:rtl/>
          <w:lang w:bidi="ar-JO"/>
        </w:rPr>
      </w:pPr>
      <w:r w:rsidRPr="00671561">
        <w:rPr>
          <w:rFonts w:ascii="Traditional Arabic" w:hAnsi="Traditional Arabic" w:cs="Traditional Arabic"/>
          <w:sz w:val="32"/>
          <w:szCs w:val="32"/>
          <w:rtl/>
          <w:lang w:val="en-US"/>
        </w:rPr>
        <w:t>تسهم إدارة المعرفة في تحسين الأداء من خلال دعم التعلم التنظيمي وتبادل الخبرات بين الأفراد، مما يؤدي إلى تقليل الأخطاء وتحسين جودة القرارات، وبالتالي تعزيز الكفاءة والإنتاجية. كما تساعد على خلق بيئة عمل محفزة على الإبداع، حيث يُتاح للعاملين التعبير عن أفكارهم وتبادلها بحرية، الأمر الذي يسهم في تنمية مهاراتهم وتحفيزهم نحو الإنجاز. ومن خلال نظم إدارة المعرفة، يمكن للمؤسسة أن تضمن انتقال المعرفة من ذوي الخبرة إلى الموظفين الجدد، مما يحافظ على استمرارية الأداء ويمنع فقدان المعرفة الحرجة عند انتقال العاملين أو تقاعدهم (</w:t>
      </w:r>
      <w:r w:rsidRPr="00671561">
        <w:rPr>
          <w:rFonts w:ascii="Traditional Arabic" w:hAnsi="Traditional Arabic" w:cs="Traditional Arabic"/>
          <w:sz w:val="32"/>
          <w:szCs w:val="32"/>
          <w:lang w:val="en-US"/>
        </w:rPr>
        <w:t>Pelealu, 2022</w:t>
      </w:r>
      <w:r w:rsidRPr="00671561">
        <w:rPr>
          <w:rFonts w:ascii="Traditional Arabic" w:hAnsi="Traditional Arabic" w:cs="Traditional Arabic"/>
          <w:sz w:val="32"/>
          <w:szCs w:val="32"/>
          <w:rtl/>
          <w:lang w:val="en-US"/>
        </w:rPr>
        <w:t>).</w:t>
      </w:r>
    </w:p>
    <w:p w14:paraId="61D157D8" w14:textId="77777777" w:rsidR="00C110B2" w:rsidRPr="00671561" w:rsidRDefault="00C110B2" w:rsidP="00C110B2">
      <w:pPr>
        <w:tabs>
          <w:tab w:val="left" w:pos="713"/>
          <w:tab w:val="center" w:pos="4680"/>
        </w:tabs>
        <w:bidi/>
        <w:spacing w:line="360" w:lineRule="auto"/>
        <w:ind w:firstLine="713"/>
        <w:jc w:val="both"/>
        <w:rPr>
          <w:rFonts w:ascii="Traditional Arabic" w:hAnsi="Traditional Arabic" w:cs="Traditional Arabic"/>
          <w:sz w:val="32"/>
          <w:szCs w:val="32"/>
          <w:rtl/>
          <w:lang w:bidi="ar-JO"/>
        </w:rPr>
      </w:pPr>
      <w:r w:rsidRPr="00671561">
        <w:rPr>
          <w:rFonts w:ascii="Traditional Arabic" w:hAnsi="Traditional Arabic" w:cs="Traditional Arabic"/>
          <w:sz w:val="32"/>
          <w:szCs w:val="32"/>
          <w:rtl/>
          <w:lang w:val="en-US"/>
        </w:rPr>
        <w:lastRenderedPageBreak/>
        <w:t>ويرتبط تأثير إدارة المعرفة على الأداء الوظيفي بعدة آليات أساسية، منها تحسين التواصل الداخلي، وتيسير تدفق المعلومات، وتعزيز اتخاذ القرار المبني على المعرفة. فالموظف الذي يمتلك وصولا سريعا إلى المعرفة الدقيقة والمحدثة يصبح أكثر قدرة على حل المشكلات واتخاذ قرارات فعالة في الوقت المناسب. كما أن مشاركة المعرفة بين العاملين تعزز الثقة المتبادلة وتخلق مناخا من التعاون المهني، مما ينعكس على روح الفريق ويزيد من مستوى الالتزام والانتماء المؤسسي. وقد أشارت دراسة</w:t>
      </w:r>
      <w:r w:rsidRPr="00671561">
        <w:rPr>
          <w:rFonts w:ascii="Traditional Arabic" w:hAnsi="Traditional Arabic" w:cs="Traditional Arabic"/>
          <w:sz w:val="32"/>
          <w:szCs w:val="32"/>
          <w:lang w:val="en-US"/>
        </w:rPr>
        <w:t xml:space="preserve"> Karyatun et al. (2023) </w:t>
      </w:r>
      <w:r w:rsidRPr="00671561">
        <w:rPr>
          <w:rFonts w:ascii="Traditional Arabic" w:hAnsi="Traditional Arabic" w:cs="Traditional Arabic"/>
          <w:sz w:val="32"/>
          <w:szCs w:val="32"/>
          <w:rtl/>
          <w:lang w:val="en-US"/>
        </w:rPr>
        <w:t>إلى أن بيئات العمل الغنية بالمعرفة تسهم في تحسين الأداء على المستوى الفردي والجماعي على حد سواء</w:t>
      </w:r>
      <w:r w:rsidRPr="00671561">
        <w:rPr>
          <w:rFonts w:ascii="Traditional Arabic" w:hAnsi="Traditional Arabic" w:cs="Traditional Arabic"/>
          <w:sz w:val="32"/>
          <w:szCs w:val="32"/>
          <w:lang w:val="en-US"/>
        </w:rPr>
        <w:t>.</w:t>
      </w:r>
    </w:p>
    <w:p w14:paraId="3723E1EB" w14:textId="77777777" w:rsidR="00C110B2" w:rsidRPr="00671561" w:rsidRDefault="00C110B2" w:rsidP="00C110B2">
      <w:pPr>
        <w:tabs>
          <w:tab w:val="left" w:pos="713"/>
          <w:tab w:val="center" w:pos="4680"/>
        </w:tabs>
        <w:bidi/>
        <w:spacing w:line="360" w:lineRule="auto"/>
        <w:ind w:firstLine="713"/>
        <w:jc w:val="both"/>
        <w:rPr>
          <w:rFonts w:ascii="Traditional Arabic" w:hAnsi="Traditional Arabic" w:cs="Traditional Arabic"/>
          <w:sz w:val="32"/>
          <w:szCs w:val="32"/>
          <w:rtl/>
          <w:lang w:bidi="ar-JO"/>
        </w:rPr>
      </w:pPr>
      <w:r w:rsidRPr="00671561">
        <w:rPr>
          <w:rFonts w:ascii="Traditional Arabic" w:hAnsi="Traditional Arabic" w:cs="Traditional Arabic"/>
          <w:sz w:val="32"/>
          <w:szCs w:val="32"/>
          <w:rtl/>
          <w:lang w:val="en-US"/>
        </w:rPr>
        <w:t>ومن جانب آخر، تلعب إدارة المعرفة دورا مباشرا في رفع مستوى الابتكار المؤسسي من خلال تحويل المعرفة الفردية إلى معرفة تنظيمية متراكمة يمكن استثمارها في تطوير المنتجات والخدمات وتحسين أساليب العمل. فحين تُفعّل المؤسسات عمليات توليد المعرفة ومشاركتها وتطبيقها بشكل تكاملي، فإنها توفر للعاملين فرصا أوسع للتجريب والإبداع والتعلم من الأخطاء، مما يؤدي إلى تحسين جودة الأداء وتحقيق ميزة تنافسية مستدامة. وقد أكدت دراسة</w:t>
      </w:r>
      <w:r w:rsidRPr="00671561">
        <w:rPr>
          <w:rFonts w:ascii="Traditional Arabic" w:hAnsi="Traditional Arabic" w:cs="Traditional Arabic"/>
          <w:sz w:val="32"/>
          <w:szCs w:val="32"/>
          <w:lang w:val="en-US"/>
        </w:rPr>
        <w:t xml:space="preserve"> Tamsah et al. (2023) </w:t>
      </w:r>
      <w:r w:rsidRPr="00671561">
        <w:rPr>
          <w:rFonts w:ascii="Traditional Arabic" w:hAnsi="Traditional Arabic" w:cs="Traditional Arabic"/>
          <w:sz w:val="32"/>
          <w:szCs w:val="32"/>
          <w:rtl/>
          <w:lang w:val="en-US"/>
        </w:rPr>
        <w:t>أن إدارة المعرفة تعد أحد المحركات الرئيسة لتعزيز القدرات الابتكارية لدى العاملين وقدرتهم على التكيف مع المتغيرات البيئية</w:t>
      </w:r>
      <w:r w:rsidRPr="00671561">
        <w:rPr>
          <w:rFonts w:ascii="Traditional Arabic" w:hAnsi="Traditional Arabic" w:cs="Traditional Arabic"/>
          <w:sz w:val="32"/>
          <w:szCs w:val="32"/>
          <w:lang w:val="en-US"/>
        </w:rPr>
        <w:t>.</w:t>
      </w:r>
    </w:p>
    <w:p w14:paraId="769ED626" w14:textId="77777777" w:rsidR="00C110B2" w:rsidRPr="00671561" w:rsidRDefault="00C110B2" w:rsidP="00C110B2">
      <w:pPr>
        <w:tabs>
          <w:tab w:val="left" w:pos="713"/>
          <w:tab w:val="center" w:pos="4680"/>
        </w:tabs>
        <w:bidi/>
        <w:spacing w:line="360" w:lineRule="auto"/>
        <w:ind w:firstLine="713"/>
        <w:jc w:val="both"/>
        <w:rPr>
          <w:rFonts w:ascii="Traditional Arabic" w:hAnsi="Traditional Arabic" w:cs="Traditional Arabic"/>
          <w:sz w:val="32"/>
          <w:szCs w:val="32"/>
          <w:rtl/>
          <w:lang w:bidi="ar-JO"/>
        </w:rPr>
      </w:pPr>
      <w:r w:rsidRPr="00671561">
        <w:rPr>
          <w:rFonts w:ascii="Traditional Arabic" w:hAnsi="Traditional Arabic" w:cs="Traditional Arabic"/>
          <w:sz w:val="32"/>
          <w:szCs w:val="32"/>
          <w:rtl/>
          <w:lang w:val="en-US"/>
        </w:rPr>
        <w:t>كما تسهم إدارة المعرفة في تعزيز رضا العاملين ورفع مستوى التزامهم الوظيفي، إذ يشعر الموظف الذي تُقدّر معرفته وخبرته بأن له دورا مؤثرا في المؤسسة، مما يزيد من دافعيته لبذل الجهد والإبداع في العمل. ويسهم هذا الشعور بالانتماء في ترسيخ ثقافة تنظيمية قائمة على الثقة والتمكين، حيث يُنظر إلى الموظف باعتباره شريكا في صنع القرار، لا مجرد منفذ لتوجيهات الإدارة. وقد أوضحت دراسة عيد (2021) أن تطبيق ممارسات إدارة المعرفة يسهم في خلق بيئة عمل إيجابية تزيد من استقرار القوى العاملة ومن جودة العلاقات المهنية</w:t>
      </w:r>
      <w:r w:rsidRPr="00671561">
        <w:rPr>
          <w:rFonts w:ascii="Traditional Arabic" w:hAnsi="Traditional Arabic" w:cs="Traditional Arabic"/>
          <w:sz w:val="32"/>
          <w:szCs w:val="32"/>
          <w:lang w:val="en-US"/>
        </w:rPr>
        <w:t>.</w:t>
      </w:r>
    </w:p>
    <w:p w14:paraId="468A7195" w14:textId="77777777" w:rsidR="00C110B2" w:rsidRPr="00671561" w:rsidRDefault="00C110B2" w:rsidP="00C110B2">
      <w:pPr>
        <w:tabs>
          <w:tab w:val="left" w:pos="713"/>
          <w:tab w:val="center" w:pos="4680"/>
        </w:tabs>
        <w:bidi/>
        <w:spacing w:line="360" w:lineRule="auto"/>
        <w:ind w:firstLine="713"/>
        <w:jc w:val="both"/>
        <w:rPr>
          <w:rFonts w:ascii="Traditional Arabic" w:hAnsi="Traditional Arabic" w:cs="Traditional Arabic"/>
          <w:sz w:val="32"/>
          <w:szCs w:val="32"/>
          <w:rtl/>
          <w:lang w:bidi="ar-JO"/>
        </w:rPr>
      </w:pPr>
      <w:r w:rsidRPr="00671561">
        <w:rPr>
          <w:rFonts w:ascii="Traditional Arabic" w:hAnsi="Traditional Arabic" w:cs="Traditional Arabic"/>
          <w:sz w:val="32"/>
          <w:szCs w:val="32"/>
          <w:rtl/>
          <w:lang w:val="en-US"/>
        </w:rPr>
        <w:lastRenderedPageBreak/>
        <w:t xml:space="preserve">ووفق النماذج المعاصرة للأداء الوظيفي، تعد إدارة المعرفة عاملا تمكينيا لتحسين أبعاد الأداء الأربعة: الكفاءة الوظيفية، والابتكار، ورضا العملاء، والالتزام التنظيمي. فعلى مستوى الكفاءة، تُمكّن المعرفة الموظفين من تنفيذ مهامهم بسهولة وسرعة أكبر؛ وعلى مستوى الابتكار، تدعم التفكير النقدي واقتراح الحلول الجديدة؛ أما في جانب رضا العملاء، فتتيح المعرفة الدقيقة باحتياجاتهم تقديم خدمة أكثر جودة واستجابة؛ بينما يتعزز الالتزام التنظيمي من خلال وضوح الأطر المعرفية التي يعمل في ظلها الموظفون، كما بينت دراسة </w:t>
      </w:r>
      <w:r w:rsidRPr="00671561">
        <w:rPr>
          <w:rFonts w:ascii="Traditional Arabic" w:hAnsi="Traditional Arabic" w:cs="Traditional Arabic" w:hint="cs"/>
          <w:sz w:val="32"/>
          <w:szCs w:val="32"/>
          <w:rtl/>
          <w:lang w:val="en-US"/>
        </w:rPr>
        <w:t>(</w:t>
      </w:r>
      <w:r w:rsidRPr="00671561">
        <w:rPr>
          <w:rFonts w:ascii="Traditional Arabic" w:hAnsi="Traditional Arabic" w:cs="Traditional Arabic"/>
          <w:sz w:val="32"/>
          <w:szCs w:val="32"/>
          <w:lang w:val="en-US"/>
        </w:rPr>
        <w:t>Swanson et al. 2020</w:t>
      </w:r>
      <w:r w:rsidRPr="00671561">
        <w:rPr>
          <w:rFonts w:ascii="Traditional Arabic" w:hAnsi="Traditional Arabic" w:cs="Traditional Arabic"/>
          <w:sz w:val="32"/>
          <w:szCs w:val="32"/>
          <w:rtl/>
          <w:lang w:val="en-US"/>
        </w:rPr>
        <w:t>).</w:t>
      </w:r>
    </w:p>
    <w:p w14:paraId="48342BAF" w14:textId="77777777" w:rsidR="00C110B2" w:rsidRPr="00671561" w:rsidRDefault="00C110B2" w:rsidP="00C110B2">
      <w:pPr>
        <w:tabs>
          <w:tab w:val="left" w:pos="713"/>
          <w:tab w:val="center" w:pos="4680"/>
        </w:tabs>
        <w:bidi/>
        <w:spacing w:line="360" w:lineRule="auto"/>
        <w:ind w:firstLine="713"/>
        <w:jc w:val="both"/>
        <w:rPr>
          <w:rFonts w:ascii="Traditional Arabic" w:hAnsi="Traditional Arabic" w:cs="Traditional Arabic"/>
          <w:sz w:val="32"/>
          <w:szCs w:val="32"/>
          <w:rtl/>
          <w:lang w:bidi="ar-JO"/>
        </w:rPr>
      </w:pPr>
      <w:r w:rsidRPr="00671561">
        <w:rPr>
          <w:rFonts w:ascii="Traditional Arabic" w:hAnsi="Traditional Arabic" w:cs="Traditional Arabic"/>
          <w:sz w:val="32"/>
          <w:szCs w:val="32"/>
          <w:rtl/>
          <w:lang w:val="en-US"/>
        </w:rPr>
        <w:t>إن العلاقة بين إدارة المعرفة وأداء العاملين هي علاقة تفاعلية ودائرية؛ فكما تسهم إدارة المعرفة في تحسين الأداء، فإن الأداء الفعال بدوره يغذي قاعدة المعرفة داخل المؤسسة من خلال التجارب والخبرات المتراكمة، مما يؤدي إلى دورة مستمرة من التعلم والتحسين. لذلك، فإن بناء نظام متكامل لإدارة المعرفة لا يمثل مجرد خيار تنظيمي، بل يعد ضرورة استراتيجية لضمان استدامة الأداء وتعزيز قدرة المؤسسة على مواجهة التغيير والمنافسة. ومن ثم، فإن المؤسسات التي تنجح في ترسيخ ثقافة معرفية فاعلة تكون الأكثر قدرة على تحقيق التميز في الأداء البشري والمؤسسي في آن واحد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w:t>
      </w:r>
    </w:p>
    <w:p w14:paraId="147CA827" w14:textId="77777777" w:rsidR="00C110B2" w:rsidRPr="00671561" w:rsidRDefault="00C110B2" w:rsidP="00C110B2">
      <w:pPr>
        <w:tabs>
          <w:tab w:val="left" w:pos="713"/>
          <w:tab w:val="center" w:pos="4680"/>
        </w:tabs>
        <w:bidi/>
        <w:spacing w:line="360" w:lineRule="auto"/>
        <w:ind w:firstLine="713"/>
        <w:jc w:val="both"/>
        <w:rPr>
          <w:rFonts w:ascii="Traditional Arabic" w:hAnsi="Traditional Arabic" w:cs="Traditional Arabic"/>
          <w:sz w:val="32"/>
          <w:szCs w:val="32"/>
        </w:rPr>
      </w:pPr>
      <w:r w:rsidRPr="00671561">
        <w:rPr>
          <w:rFonts w:ascii="Traditional Arabic" w:hAnsi="Traditional Arabic" w:cs="Traditional Arabic"/>
          <w:sz w:val="32"/>
          <w:szCs w:val="32"/>
          <w:rtl/>
          <w:lang w:val="en-US"/>
        </w:rPr>
        <w:t>وفي ضوء ما سبق، يتضح أن إدارة المعرفة ليست مجرد عملية لتبادل المعلومات أو توثيقها، بل هي إطار شامل لتطوير القدرات البشرية وتعظيم العائد من رأس المال الفكري. فعندما تتبنى المؤسسة منهجا يقوم على المعرفة، وتستثمر في تقنيات متطورة لتيسير تدفقها وتطبيقها، فإنها تهيئ بيئة عمل تعلمية محفزة على التطوير الذاتي والجماعي، مما يؤدي إلى تحقيق أداء مؤسسي عالي الجودة يعكس كفاءة العاملين وقدرتهم على الإبداع والاستجابة للتحديات</w:t>
      </w:r>
      <w:r w:rsidRPr="00671561">
        <w:rPr>
          <w:rFonts w:ascii="Traditional Arabic" w:hAnsi="Traditional Arabic" w:cs="Traditional Arabic"/>
          <w:sz w:val="32"/>
          <w:szCs w:val="32"/>
          <w:lang w:val="en-US"/>
        </w:rPr>
        <w:t>.</w:t>
      </w:r>
    </w:p>
    <w:p w14:paraId="0D4B8FE7"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6"/>
          <w:szCs w:val="36"/>
          <w:rtl/>
          <w:lang w:val="en-US"/>
        </w:rPr>
      </w:pPr>
    </w:p>
    <w:p w14:paraId="26DC3915"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6"/>
          <w:szCs w:val="36"/>
          <w:rtl/>
          <w:lang w:val="en-US"/>
        </w:rPr>
      </w:pPr>
    </w:p>
    <w:p w14:paraId="69869BE4"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hint="cs"/>
          <w:b/>
          <w:bCs/>
          <w:sz w:val="32"/>
          <w:szCs w:val="32"/>
          <w:rtl/>
          <w:lang w:val="en-US"/>
        </w:rPr>
        <w:lastRenderedPageBreak/>
        <w:t xml:space="preserve">المبحث الرابع: </w:t>
      </w:r>
      <w:r w:rsidRPr="00671561">
        <w:rPr>
          <w:rFonts w:ascii="Traditional Arabic" w:hAnsi="Traditional Arabic" w:cs="Traditional Arabic"/>
          <w:b/>
          <w:bCs/>
          <w:sz w:val="32"/>
          <w:szCs w:val="32"/>
          <w:rtl/>
          <w:lang w:val="en-US"/>
        </w:rPr>
        <w:t>الأسس النظرية للدراسة: منظور الموارد</w:t>
      </w:r>
      <w:r w:rsidRPr="00671561">
        <w:rPr>
          <w:rFonts w:ascii="Traditional Arabic" w:hAnsi="Traditional Arabic" w:cs="Traditional Arabic"/>
          <w:b/>
          <w:bCs/>
          <w:sz w:val="32"/>
          <w:szCs w:val="32"/>
          <w:lang w:val="en-US"/>
        </w:rPr>
        <w:t xml:space="preserve"> RBV </w:t>
      </w:r>
      <w:r w:rsidRPr="00671561">
        <w:rPr>
          <w:rFonts w:ascii="Traditional Arabic" w:hAnsi="Traditional Arabic" w:cs="Traditional Arabic"/>
          <w:b/>
          <w:bCs/>
          <w:sz w:val="32"/>
          <w:szCs w:val="32"/>
          <w:rtl/>
          <w:lang w:val="en-US"/>
        </w:rPr>
        <w:t>ومنظور المعرفة</w:t>
      </w:r>
      <w:r w:rsidRPr="00671561">
        <w:rPr>
          <w:rFonts w:ascii="Traditional Arabic" w:hAnsi="Traditional Arabic" w:cs="Traditional Arabic"/>
          <w:b/>
          <w:bCs/>
          <w:sz w:val="32"/>
          <w:szCs w:val="32"/>
          <w:lang w:val="en-US"/>
        </w:rPr>
        <w:t xml:space="preserve"> KBV</w:t>
      </w:r>
    </w:p>
    <w:p w14:paraId="6C175BAF" w14:textId="77777777" w:rsidR="00C110B2" w:rsidRPr="00671561" w:rsidRDefault="00C110B2" w:rsidP="00C110B2">
      <w:pPr>
        <w:tabs>
          <w:tab w:val="left" w:pos="855"/>
          <w:tab w:val="center" w:pos="4680"/>
        </w:tabs>
        <w:bidi/>
        <w:spacing w:line="360" w:lineRule="auto"/>
        <w:ind w:left="4"/>
        <w:jc w:val="both"/>
        <w:rPr>
          <w:rFonts w:ascii="Traditional Arabic" w:hAnsi="Traditional Arabic" w:cs="Traditional Arabic"/>
          <w:sz w:val="32"/>
          <w:szCs w:val="32"/>
          <w:rtl/>
          <w:lang w:val="en-US" w:bidi="ar-JO"/>
        </w:rPr>
      </w:pPr>
      <w:r w:rsidRPr="00671561">
        <w:rPr>
          <w:rFonts w:ascii="Traditional Arabic" w:hAnsi="Traditional Arabic" w:cs="Traditional Arabic" w:hint="cs"/>
          <w:sz w:val="32"/>
          <w:szCs w:val="32"/>
          <w:rtl/>
          <w:lang w:val="en-US"/>
        </w:rPr>
        <w:tab/>
      </w:r>
      <w:r w:rsidRPr="00671561">
        <w:rPr>
          <w:rFonts w:ascii="Traditional Arabic" w:hAnsi="Traditional Arabic" w:cs="Traditional Arabic" w:hint="cs"/>
          <w:sz w:val="32"/>
          <w:szCs w:val="32"/>
          <w:rtl/>
          <w:lang w:val="en-US"/>
        </w:rPr>
        <w:tab/>
      </w:r>
      <w:r w:rsidRPr="00671561">
        <w:rPr>
          <w:rFonts w:ascii="Traditional Arabic" w:hAnsi="Traditional Arabic" w:cs="Traditional Arabic"/>
          <w:sz w:val="32"/>
          <w:szCs w:val="32"/>
          <w:rtl/>
          <w:lang w:val="en-US"/>
        </w:rPr>
        <w:t>ترتكز هذه الدراسة على مزيج من الإسهامات الفكرية التي قدّمتها نظرية الموارد (</w:t>
      </w:r>
      <w:r w:rsidRPr="00671561">
        <w:rPr>
          <w:rFonts w:ascii="Traditional Arabic" w:hAnsi="Traditional Arabic" w:cs="Traditional Arabic"/>
          <w:sz w:val="32"/>
          <w:szCs w:val="32"/>
          <w:lang w:val="en-US"/>
        </w:rPr>
        <w:t>Resource-Based View: RBV</w:t>
      </w:r>
      <w:r w:rsidRPr="00671561">
        <w:rPr>
          <w:rFonts w:ascii="Traditional Arabic" w:hAnsi="Traditional Arabic" w:cs="Traditional Arabic"/>
          <w:sz w:val="32"/>
          <w:szCs w:val="32"/>
          <w:rtl/>
          <w:lang w:val="en-US"/>
        </w:rPr>
        <w:t>) ومنظور المعرفة (</w:t>
      </w:r>
      <w:r w:rsidRPr="00671561">
        <w:rPr>
          <w:rFonts w:ascii="Traditional Arabic" w:hAnsi="Traditional Arabic" w:cs="Traditional Arabic"/>
          <w:sz w:val="32"/>
          <w:szCs w:val="32"/>
          <w:lang w:val="en-US"/>
        </w:rPr>
        <w:t>Knowledge-Based View: KBV</w:t>
      </w:r>
      <w:r w:rsidRPr="00671561">
        <w:rPr>
          <w:rFonts w:ascii="Traditional Arabic" w:hAnsi="Traditional Arabic" w:cs="Traditional Arabic"/>
          <w:sz w:val="32"/>
          <w:szCs w:val="32"/>
          <w:rtl/>
          <w:lang w:val="en-US"/>
        </w:rPr>
        <w:t>)، بوصفهما الإطارين الأكثر قدرة على تفسير العلاقة بين إدارة المعرفة وأداء العاملين داخل المؤسسات الحديثة. ووقد أسهمت هاتان النظريتان في تقديم رؤية متكاملة حول كيفية توظيف الموارد الفكرية والتنظيمية لتعزيز الأداء وتحقيق ميزة تنافسية مستدامة</w:t>
      </w:r>
      <w:r w:rsidRPr="00671561">
        <w:rPr>
          <w:rFonts w:ascii="Traditional Arabic" w:hAnsi="Traditional Arabic" w:cs="Traditional Arabic"/>
          <w:sz w:val="32"/>
          <w:szCs w:val="32"/>
          <w:lang w:val="en-US"/>
        </w:rPr>
        <w:t>.</w:t>
      </w:r>
    </w:p>
    <w:p w14:paraId="57252AF4" w14:textId="77777777" w:rsidR="00C110B2" w:rsidRPr="00671561" w:rsidRDefault="00C110B2" w:rsidP="00C110B2">
      <w:pPr>
        <w:tabs>
          <w:tab w:val="left" w:pos="855"/>
          <w:tab w:val="center" w:pos="4680"/>
        </w:tabs>
        <w:bidi/>
        <w:spacing w:line="360" w:lineRule="auto"/>
        <w:ind w:left="4" w:firstLine="851"/>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تقوم نظرية الموارد</w:t>
      </w:r>
      <w:r w:rsidRPr="00671561">
        <w:rPr>
          <w:rFonts w:ascii="Traditional Arabic" w:hAnsi="Traditional Arabic" w:cs="Traditional Arabic"/>
          <w:sz w:val="32"/>
          <w:szCs w:val="32"/>
          <w:lang w:val="en-US"/>
        </w:rPr>
        <w:t xml:space="preserve"> RBV </w:t>
      </w:r>
      <w:r w:rsidRPr="00671561">
        <w:rPr>
          <w:rFonts w:ascii="Traditional Arabic" w:hAnsi="Traditional Arabic" w:cs="Traditional Arabic"/>
          <w:sz w:val="32"/>
          <w:szCs w:val="32"/>
          <w:rtl/>
          <w:lang w:val="en-US"/>
        </w:rPr>
        <w:t>كما قدّمها بارني</w:t>
      </w:r>
      <w:r w:rsidRPr="00671561">
        <w:rPr>
          <w:rFonts w:ascii="Traditional Arabic" w:hAnsi="Traditional Arabic" w:cs="Traditional Arabic"/>
          <w:sz w:val="32"/>
          <w:szCs w:val="32"/>
          <w:lang w:val="en-US"/>
        </w:rPr>
        <w:t xml:space="preserve"> (Barney, 1991) </w:t>
      </w:r>
      <w:r w:rsidRPr="00671561">
        <w:rPr>
          <w:rFonts w:ascii="Traditional Arabic" w:hAnsi="Traditional Arabic" w:cs="Traditional Arabic"/>
          <w:sz w:val="32"/>
          <w:szCs w:val="32"/>
          <w:rtl/>
          <w:lang w:val="en-US"/>
        </w:rPr>
        <w:t>على أنّ امتلاك المؤسسة لموارد نادرة، قيمة، يصعب تقليدها، وغير قابلة للاستبدال، يعدّ الأساس لتحقيق التفوق في الأداء. وفي السياق المعرفي، تعدّ المعرفة، سواء كانت صريحة أو ضمنية، أحد أهم الموارد الاستراتيجية التي تدعم كفاءة العاملين وقدرتهم على الإبداع وحل المشكلات واتخاذ القرارات. وبالتالي، فإن ممارسات إدارة المعرفة تمثل الأداة التي تسمح للمؤسسة بتوليد المعرفة وتخزينها ونشرها وتطبيقها بما يحولها إلى مورد فعلي ذي قيمة تنظيمية. ومن هذا المنطلق، فإن</w:t>
      </w:r>
      <w:r w:rsidRPr="00671561">
        <w:rPr>
          <w:rFonts w:ascii="Traditional Arabic" w:hAnsi="Traditional Arabic" w:cs="Traditional Arabic"/>
          <w:sz w:val="32"/>
          <w:szCs w:val="32"/>
          <w:lang w:val="en-US"/>
        </w:rPr>
        <w:t xml:space="preserve"> RBV </w:t>
      </w:r>
      <w:r w:rsidRPr="00671561">
        <w:rPr>
          <w:rFonts w:ascii="Traditional Arabic" w:hAnsi="Traditional Arabic" w:cs="Traditional Arabic"/>
          <w:sz w:val="32"/>
          <w:szCs w:val="32"/>
          <w:rtl/>
          <w:lang w:val="en-US"/>
        </w:rPr>
        <w:t>تفسر كيف يؤدي الاستثمار في المعرفة إلى تعزيز أداء العاملين، من خلال تمكينهم من توظيف مهاراتهم وخبراتهم بفاعلية أعلى ضمن بيئة عمل تتسم بالتعقيد والتنمية المستمرة</w:t>
      </w:r>
      <w:r w:rsidRPr="00671561">
        <w:rPr>
          <w:rFonts w:ascii="Traditional Arabic" w:hAnsi="Traditional Arabic" w:cs="Traditional Arabic"/>
          <w:sz w:val="32"/>
          <w:szCs w:val="32"/>
          <w:lang w:val="en-US"/>
        </w:rPr>
        <w:t>.</w:t>
      </w:r>
    </w:p>
    <w:p w14:paraId="47EDBF83" w14:textId="77777777" w:rsidR="00C110B2" w:rsidRPr="00671561" w:rsidRDefault="00C110B2" w:rsidP="00C110B2">
      <w:pPr>
        <w:tabs>
          <w:tab w:val="left" w:pos="855"/>
          <w:tab w:val="center" w:pos="4680"/>
        </w:tabs>
        <w:bidi/>
        <w:spacing w:line="360" w:lineRule="auto"/>
        <w:ind w:left="4" w:firstLine="851"/>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أما منظور المعرفة</w:t>
      </w:r>
      <w:r w:rsidRPr="00671561">
        <w:rPr>
          <w:rFonts w:ascii="Traditional Arabic" w:hAnsi="Traditional Arabic" w:cs="Traditional Arabic"/>
          <w:sz w:val="32"/>
          <w:szCs w:val="32"/>
          <w:lang w:val="en-US"/>
        </w:rPr>
        <w:t xml:space="preserve"> KBV</w:t>
      </w:r>
      <w:r w:rsidRPr="00671561">
        <w:rPr>
          <w:rFonts w:ascii="Traditional Arabic" w:hAnsi="Traditional Arabic" w:cs="Traditional Arabic"/>
          <w:sz w:val="32"/>
          <w:szCs w:val="32"/>
          <w:rtl/>
          <w:lang w:val="en-US"/>
        </w:rPr>
        <w:t xml:space="preserve">، الذي يعد امتدادًا مباشرًا لنظرية الموارد، فينظر إلى المعرفة ذاتها بوصفها المورد الاستراتيجي المحوري الذي يحدد قدرة المؤسسة على المنافسة والابتكار. ويرتكز هذا المنظور على أنّ المؤسسة لا تنجح فقط بما تمتلكه من موارد مادية أو مالية، بل بما تمتلكه من معرفة متراكمة وخبرات مكتسبة يتم تحويلها إلى ممارسة تنظيمية فعّالة. ووفقًا لهذا المنظور، فإن عمليات إدارة المعرفة (التوليد، الخزن، المشاركة، التطبيق) تعدّ الآليات التي تُحوّل </w:t>
      </w:r>
      <w:r w:rsidRPr="00671561">
        <w:rPr>
          <w:rFonts w:ascii="Traditional Arabic" w:hAnsi="Traditional Arabic" w:cs="Traditional Arabic"/>
          <w:sz w:val="32"/>
          <w:szCs w:val="32"/>
          <w:rtl/>
          <w:lang w:val="en-US"/>
        </w:rPr>
        <w:lastRenderedPageBreak/>
        <w:t>المعرفة من مستوى فردي إلى مستوى مؤسسي، الأمر الذي يعزز الأداء الوظيفي للعاملين عبر رفع الكفاءة، دعم الابتكار، زيادة رضا المستفيدين، وتعميق الالتزام التنظيمي</w:t>
      </w:r>
      <w:r w:rsidRPr="00671561">
        <w:rPr>
          <w:rFonts w:ascii="Traditional Arabic" w:hAnsi="Traditional Arabic" w:cs="Traditional Arabic"/>
          <w:sz w:val="32"/>
          <w:szCs w:val="32"/>
          <w:lang w:val="en-US"/>
        </w:rPr>
        <w:t>.</w:t>
      </w:r>
    </w:p>
    <w:p w14:paraId="06D8DB83" w14:textId="77777777" w:rsidR="00C110B2" w:rsidRPr="00671561" w:rsidRDefault="00C110B2" w:rsidP="00C110B2">
      <w:pPr>
        <w:tabs>
          <w:tab w:val="left" w:pos="855"/>
          <w:tab w:val="center" w:pos="4680"/>
        </w:tabs>
        <w:bidi/>
        <w:spacing w:line="360" w:lineRule="auto"/>
        <w:ind w:left="4" w:firstLine="851"/>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 xml:space="preserve">إنّ الجمع بين </w:t>
      </w:r>
      <w:r w:rsidRPr="00671561">
        <w:rPr>
          <w:rFonts w:ascii="Traditional Arabic" w:hAnsi="Traditional Arabic" w:cs="Traditional Arabic"/>
          <w:sz w:val="32"/>
          <w:szCs w:val="32"/>
          <w:lang w:val="en-US"/>
        </w:rPr>
        <w:t>RBV</w:t>
      </w:r>
      <w:r w:rsidRPr="00671561">
        <w:rPr>
          <w:rFonts w:ascii="Traditional Arabic" w:hAnsi="Traditional Arabic" w:cs="Traditional Arabic"/>
          <w:sz w:val="32"/>
          <w:szCs w:val="32"/>
          <w:rtl/>
          <w:lang w:val="en-US"/>
        </w:rPr>
        <w:t xml:space="preserve"> و</w:t>
      </w:r>
      <w:r w:rsidRPr="00671561">
        <w:rPr>
          <w:rFonts w:ascii="Traditional Arabic" w:hAnsi="Traditional Arabic" w:cs="Traditional Arabic"/>
          <w:sz w:val="32"/>
          <w:szCs w:val="32"/>
          <w:lang w:val="en-US"/>
        </w:rPr>
        <w:t>KBV</w:t>
      </w:r>
      <w:r w:rsidRPr="00671561">
        <w:rPr>
          <w:rFonts w:ascii="Traditional Arabic" w:hAnsi="Traditional Arabic" w:cs="Traditional Arabic"/>
          <w:sz w:val="32"/>
          <w:szCs w:val="32"/>
          <w:rtl/>
          <w:lang w:val="en-US"/>
        </w:rPr>
        <w:t xml:space="preserve"> يوفر إطارًا تفسيريًا أكثر شمولًا للدراسة، حيث توضّح </w:t>
      </w:r>
      <w:r w:rsidRPr="00671561">
        <w:rPr>
          <w:rFonts w:ascii="Traditional Arabic" w:hAnsi="Traditional Arabic" w:cs="Traditional Arabic"/>
          <w:sz w:val="32"/>
          <w:szCs w:val="32"/>
          <w:lang w:val="en-US"/>
        </w:rPr>
        <w:t>RBV</w:t>
      </w:r>
      <w:r w:rsidRPr="00671561">
        <w:rPr>
          <w:rFonts w:ascii="Traditional Arabic" w:hAnsi="Traditional Arabic" w:cs="Traditional Arabic"/>
          <w:sz w:val="32"/>
          <w:szCs w:val="32"/>
          <w:rtl/>
          <w:lang w:val="en-US"/>
        </w:rPr>
        <w:t xml:space="preserve"> أهمية المعرفة كأصل استراتيجي يجب الاستثمار فيه، بينما تفسر </w:t>
      </w:r>
      <w:r w:rsidRPr="00671561">
        <w:rPr>
          <w:rFonts w:ascii="Traditional Arabic" w:hAnsi="Traditional Arabic" w:cs="Traditional Arabic"/>
          <w:sz w:val="32"/>
          <w:szCs w:val="32"/>
          <w:lang w:val="en-US"/>
        </w:rPr>
        <w:t>KBV</w:t>
      </w:r>
      <w:r w:rsidRPr="00671561">
        <w:rPr>
          <w:rFonts w:ascii="Traditional Arabic" w:hAnsi="Traditional Arabic" w:cs="Traditional Arabic"/>
          <w:sz w:val="32"/>
          <w:szCs w:val="32"/>
          <w:rtl/>
          <w:lang w:val="en-US"/>
        </w:rPr>
        <w:t xml:space="preserve"> الكيفية التي تتحول بها المعرفة إلى ممارسات عملية تؤثر في أداء العاملين. ومن ثمّ، فإن العلاقة بين إدارة المعرفة وأداء العاملين تصبح علاقة منطقية ومترابطة: فإدارة المعرفة تمثل المدخل، وأداء العاملين يمثل المخرج، أما النظريتان فتمثلان الجسر الفكري الذي يربط المتغيرين ويوضح آليات تأثير الأول على الثاني</w:t>
      </w:r>
      <w:r w:rsidRPr="00671561">
        <w:rPr>
          <w:rFonts w:ascii="Traditional Arabic" w:hAnsi="Traditional Arabic" w:cs="Traditional Arabic"/>
          <w:sz w:val="32"/>
          <w:szCs w:val="32"/>
          <w:lang w:val="en-US"/>
        </w:rPr>
        <w:t>.</w:t>
      </w:r>
    </w:p>
    <w:p w14:paraId="4869D8AD" w14:textId="77777777" w:rsidR="00C110B2" w:rsidRPr="00671561" w:rsidRDefault="00C110B2" w:rsidP="00C110B2">
      <w:pPr>
        <w:tabs>
          <w:tab w:val="left" w:pos="855"/>
          <w:tab w:val="center" w:pos="4680"/>
        </w:tabs>
        <w:bidi/>
        <w:spacing w:line="360" w:lineRule="auto"/>
        <w:ind w:left="4" w:firstLine="851"/>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وبناءً على ذلك، تستند هذه الدراسة إلى فرضية مفادها أن المعرفة، بوصفها موردًا استراتيجيًا وفق</w:t>
      </w:r>
      <w:r w:rsidRPr="00671561">
        <w:rPr>
          <w:rFonts w:ascii="Traditional Arabic" w:hAnsi="Traditional Arabic" w:cs="Traditional Arabic"/>
          <w:sz w:val="32"/>
          <w:szCs w:val="32"/>
          <w:lang w:val="en-US"/>
        </w:rPr>
        <w:t xml:space="preserve"> RBV</w:t>
      </w:r>
      <w:r w:rsidRPr="00671561">
        <w:rPr>
          <w:rFonts w:ascii="Traditional Arabic" w:hAnsi="Traditional Arabic" w:cs="Traditional Arabic"/>
          <w:sz w:val="32"/>
          <w:szCs w:val="32"/>
          <w:rtl/>
          <w:lang w:val="en-US"/>
        </w:rPr>
        <w:t>، تتحول من خلال عمليات إدارة المعرفة وفق</w:t>
      </w:r>
      <w:r w:rsidRPr="00671561">
        <w:rPr>
          <w:rFonts w:ascii="Traditional Arabic" w:hAnsi="Traditional Arabic" w:cs="Traditional Arabic"/>
          <w:sz w:val="32"/>
          <w:szCs w:val="32"/>
          <w:lang w:val="en-US"/>
        </w:rPr>
        <w:t xml:space="preserve"> KBV </w:t>
      </w:r>
      <w:r w:rsidRPr="00671561">
        <w:rPr>
          <w:rFonts w:ascii="Traditional Arabic" w:hAnsi="Traditional Arabic" w:cs="Traditional Arabic"/>
          <w:sz w:val="32"/>
          <w:szCs w:val="32"/>
          <w:rtl/>
          <w:lang w:val="en-US"/>
        </w:rPr>
        <w:t>إلى سلوك وظيفي فعّال يُسهم في تحسين الأداء في أبعاده الأربعة: الكفاءة، الابتكار، رضا العملاء، والالتزام الوظيفي. وهذا ما يمثّل الأساس الذي بُني عليه النموذج المفاهيمي للدراسة والفرضيات البحثية المشتقة منه، تمهيدًا لاختبار هذا الارتباط ميدانيًا في بيئة شركة موبايلي السعودية</w:t>
      </w:r>
      <w:r w:rsidRPr="00671561">
        <w:rPr>
          <w:rFonts w:ascii="Traditional Arabic" w:hAnsi="Traditional Arabic" w:cs="Traditional Arabic"/>
          <w:sz w:val="32"/>
          <w:szCs w:val="32"/>
          <w:lang w:val="en-US"/>
        </w:rPr>
        <w:t>.</w:t>
      </w:r>
    </w:p>
    <w:p w14:paraId="1FAA4582"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6"/>
          <w:szCs w:val="36"/>
          <w:rtl/>
          <w:lang w:val="en-US"/>
        </w:rPr>
      </w:pPr>
    </w:p>
    <w:p w14:paraId="62394BD7"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6"/>
          <w:szCs w:val="36"/>
          <w:rtl/>
          <w:lang w:val="en-US"/>
        </w:rPr>
      </w:pPr>
    </w:p>
    <w:p w14:paraId="4B1F591C"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6"/>
          <w:szCs w:val="36"/>
          <w:rtl/>
          <w:lang w:val="en-US"/>
        </w:rPr>
      </w:pPr>
    </w:p>
    <w:p w14:paraId="0CAA777E"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6"/>
          <w:szCs w:val="36"/>
          <w:rtl/>
          <w:lang w:val="en-US"/>
        </w:rPr>
      </w:pPr>
    </w:p>
    <w:p w14:paraId="02B6DAF8" w14:textId="77777777" w:rsidR="00C110B2" w:rsidRPr="00671561" w:rsidRDefault="00C110B2" w:rsidP="00C110B2">
      <w:pPr>
        <w:tabs>
          <w:tab w:val="left" w:pos="288"/>
          <w:tab w:val="center" w:pos="4680"/>
        </w:tabs>
        <w:bidi/>
        <w:spacing w:line="360" w:lineRule="auto"/>
        <w:jc w:val="center"/>
        <w:rPr>
          <w:rFonts w:ascii="Traditional Arabic" w:hAnsi="Traditional Arabic" w:cs="Traditional Arabic"/>
          <w:b/>
          <w:bCs/>
          <w:sz w:val="40"/>
          <w:szCs w:val="40"/>
          <w:rtl/>
          <w:lang w:val="en-US"/>
        </w:rPr>
      </w:pPr>
      <w:r w:rsidRPr="00671561">
        <w:rPr>
          <w:rFonts w:ascii="Traditional Arabic" w:hAnsi="Traditional Arabic" w:cs="Traditional Arabic" w:hint="cs"/>
          <w:b/>
          <w:bCs/>
          <w:sz w:val="40"/>
          <w:szCs w:val="40"/>
          <w:rtl/>
          <w:lang w:val="en-US"/>
        </w:rPr>
        <w:lastRenderedPageBreak/>
        <w:t>المحور الثاني: الدراسات السابقة</w:t>
      </w:r>
    </w:p>
    <w:p w14:paraId="3BFB066E" w14:textId="77777777" w:rsidR="00C110B2" w:rsidRPr="00671561" w:rsidRDefault="00C110B2" w:rsidP="00C110B2">
      <w:pPr>
        <w:tabs>
          <w:tab w:val="left" w:pos="288"/>
          <w:tab w:val="center" w:pos="4680"/>
        </w:tabs>
        <w:bidi/>
        <w:spacing w:line="360" w:lineRule="auto"/>
        <w:ind w:left="4" w:firstLine="567"/>
        <w:jc w:val="both"/>
        <w:rPr>
          <w:rFonts w:ascii="Traditional Arabic" w:hAnsi="Traditional Arabic" w:cs="Traditional Arabic"/>
          <w:sz w:val="32"/>
          <w:szCs w:val="32"/>
          <w:lang w:val="en-US"/>
        </w:rPr>
      </w:pPr>
      <w:r w:rsidRPr="00671561">
        <w:rPr>
          <w:rFonts w:ascii="Traditional Arabic" w:hAnsi="Traditional Arabic" w:cs="Traditional Arabic" w:hint="cs"/>
          <w:sz w:val="32"/>
          <w:szCs w:val="32"/>
          <w:rtl/>
          <w:lang w:val="en-US"/>
        </w:rPr>
        <w:t>ي</w:t>
      </w:r>
      <w:r w:rsidRPr="00671561">
        <w:rPr>
          <w:rFonts w:ascii="Traditional Arabic" w:hAnsi="Traditional Arabic" w:cs="Traditional Arabic"/>
          <w:sz w:val="32"/>
          <w:szCs w:val="32"/>
          <w:rtl/>
          <w:lang w:val="en-US"/>
        </w:rPr>
        <w:t>تناول هذا المحور مراجعةً منهجيةً للدراسات السابقة العربية والأجنبية ذات الصلة بموضوع البحث، والتي تناولت العلاقة بين إدارة المعرفة وأداء العاملين خلال المدة (٢٠١٨–٢٠٢٥). وقد تم اختيار هذه الدراسات بناءً على حداثتها وارتباطها المباشر بمتغيرات الدراسة الحالية، مع التركيز على الدراسات التي استخدمت المنهج الوصفي التحليلي أو نماذج المعادلات الهيكلية في تحليل العلاقة بين المتغيرات. يهدف هذا العرض إلى استخلاص أوجه التشابه والاختلاف بين نتائج الدراسات السابقة، وتحديد الفجوات البحثية التي تسعى الدراسة الحالية إلى سدّها</w:t>
      </w:r>
      <w:r w:rsidRPr="00671561">
        <w:rPr>
          <w:rFonts w:ascii="Traditional Arabic" w:hAnsi="Traditional Arabic" w:cs="Traditional Arabic"/>
          <w:sz w:val="32"/>
          <w:szCs w:val="32"/>
          <w:lang w:val="en-US"/>
        </w:rPr>
        <w:t>.</w:t>
      </w:r>
    </w:p>
    <w:p w14:paraId="2832757E"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p>
    <w:p w14:paraId="32D230DA"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rtl/>
          <w:lang w:val="en-US"/>
        </w:rPr>
      </w:pPr>
      <w:r w:rsidRPr="00671561">
        <w:rPr>
          <w:rFonts w:ascii="Traditional Arabic" w:hAnsi="Traditional Arabic" w:cs="Traditional Arabic" w:hint="cs"/>
          <w:b/>
          <w:bCs/>
          <w:sz w:val="32"/>
          <w:szCs w:val="32"/>
          <w:rtl/>
          <w:lang w:val="en-US"/>
        </w:rPr>
        <w:t>اولا: الدراسات المتعلقة بإدارة المعرفة</w:t>
      </w:r>
    </w:p>
    <w:p w14:paraId="44A8D903"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دراسة الاقرع، (2020) التي هدفت إلى دراسة أثر إدارة المعرفة في تعزيز الأداء الإداري في المؤسسات الحكومية في محافظة قلقيلية. تم استخدام استبانة لجمع البيانات من عينة مكونة من 56 موظفًا من المؤسسات الحكومية في المنطقة، وتم تحليل البيانات باستخدام المنهج الوصفي التحليلي. أظهرت النتائج أن تأثير إدارة المعرفة في تعزيز الأداء الإداري في المؤسسات الحكومية في محافظة قلقيلية كان مرتفعًا جدًا، حيث بلغت نسبة الاستجابة نحو هذا الأثر 81.99%. كما بينت النتائج عدم وجود فروق ذات دلالة إحصائية في تأثير إدارة المعرفة على الأداء الإداري بناءً على المتغيرات مثل الجنس، المؤهل العلمي، سنوات الخبرة، والمسمى الوظيفي. من التوصيات التي خرجت بها الدراسة ضرورة تخصيص الوقت الكافي للتعلم في المؤسسات الحكومية للاستفادة من التجارب السابقة من خلال تطبيق إدارة المعرفة، بالإضافة إلى توظيف طرق إدارية جديدة لتعزيز الأداء الإداري</w:t>
      </w:r>
      <w:r w:rsidRPr="00671561">
        <w:rPr>
          <w:rFonts w:ascii="Traditional Arabic" w:hAnsi="Traditional Arabic" w:cs="Traditional Arabic"/>
          <w:sz w:val="32"/>
          <w:szCs w:val="32"/>
          <w:lang w:val="en-US"/>
        </w:rPr>
        <w:t>.</w:t>
      </w:r>
    </w:p>
    <w:p w14:paraId="1C9A1C50"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lastRenderedPageBreak/>
        <w:t>هدفت دراسة خالد، (2020) إلى استكشاف تأثير إدارة المعرفة على الأداء المؤسسي في مجموعة جياد الصناعية في السودان. اعتمدت الدراسة على المنهج الوصفي التحليلي، حيث تم استخدام استبانة كأداة رئيسية لجمع البيانات من عينة مكونة من 40 موظفًا من العاملين في المجموعة. تم تحليل البيانات باستخدام مجموعة من الأساليب الإحصائية مثل تحليل الانحدار البسيط والمتعدد، واختبار</w:t>
      </w:r>
      <w:r w:rsidRPr="00671561">
        <w:rPr>
          <w:rFonts w:ascii="Traditional Arabic" w:hAnsi="Traditional Arabic" w:cs="Traditional Arabic"/>
          <w:sz w:val="32"/>
          <w:szCs w:val="32"/>
          <w:lang w:val="en-US"/>
        </w:rPr>
        <w:t xml:space="preserve"> T</w:t>
      </w:r>
      <w:r w:rsidRPr="00671561">
        <w:rPr>
          <w:rFonts w:ascii="Traditional Arabic" w:hAnsi="Traditional Arabic" w:cs="Traditional Arabic"/>
          <w:sz w:val="32"/>
          <w:szCs w:val="32"/>
          <w:rtl/>
          <w:lang w:val="en-US"/>
        </w:rPr>
        <w:t>، وتحليل التباين الأحادي</w:t>
      </w:r>
      <w:r w:rsidRPr="00671561">
        <w:rPr>
          <w:rFonts w:ascii="Traditional Arabic" w:hAnsi="Traditional Arabic" w:cs="Traditional Arabic"/>
          <w:sz w:val="32"/>
          <w:szCs w:val="32"/>
          <w:lang w:val="en-US"/>
        </w:rPr>
        <w:t xml:space="preserve">  (ANOVA). </w:t>
      </w:r>
      <w:r w:rsidRPr="00671561">
        <w:rPr>
          <w:rFonts w:ascii="Traditional Arabic" w:hAnsi="Traditional Arabic" w:cs="Traditional Arabic"/>
          <w:sz w:val="32"/>
          <w:szCs w:val="32"/>
          <w:rtl/>
          <w:lang w:val="en-US"/>
        </w:rPr>
        <w:t>أظهرت نتائج الدراسة وجود قصور في نشر وتطبيق عمليات إدارة المعرفة داخل المؤسسة، مما أثر سلبًا على الأداء المؤسسي. كما تبين أن المؤسسة تفتقر إلى آليات فعّالة لنقل المعرفة بين العاملين، وهو ما يحد من تحسين الأداء. بناءً على هذه النتائج، أوصى الباحث بضرورة تحسين آليات اكتساب وتخزين وتوزيع المعرفة داخل المؤسسة، بالإضافة إلى زيادة الوعي لدى الموظفين بأهمية إدارة المعرفة. كما أوصى بتطوير البنية التحتية التكنولوجية لتسهيل انتقال المعرفة، وتعيين متخصصين في هذا المجال، فضلاً عن تعزيز بيئة تنظيمية تدعم ثقافة مشاركة المعرفة والخبرات بين العاملين</w:t>
      </w:r>
      <w:r w:rsidRPr="00671561">
        <w:rPr>
          <w:rFonts w:ascii="Traditional Arabic" w:hAnsi="Traditional Arabic" w:cs="Traditional Arabic"/>
          <w:sz w:val="32"/>
          <w:szCs w:val="32"/>
          <w:lang w:val="en-US"/>
        </w:rPr>
        <w:t>.</w:t>
      </w:r>
    </w:p>
    <w:p w14:paraId="5F3CE2D5"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هدفت دراسة قاعود، (2017) إلى تسليط الضوء على متطلبات تطبيق إدارة المعرفة في شركات السياحة المصرية (فئة أ)، ودراسة مدى توافر هذه المتطلبات في الشركات، بالإضافة إلى تحليل العلاقة بين متطلبات إدارة المعرفة وواقع تطبيقها في تلك الشركات. سعت الدراسة للإجابة على السؤال التالي: ما هو تأثير متطلبات تطبيق إدارة المعرفة في شركات السياحة المصرية (فئة أ)؟</w:t>
      </w:r>
      <w:r w:rsidRPr="00671561">
        <w:rPr>
          <w:rFonts w:ascii="Traditional Arabic" w:hAnsi="Traditional Arabic" w:cs="Traditional Arabic"/>
          <w:sz w:val="32"/>
          <w:szCs w:val="32"/>
          <w:rtl/>
          <w:lang w:val="en-US" w:bidi="ar-JO"/>
        </w:rPr>
        <w:t xml:space="preserve">. </w:t>
      </w:r>
      <w:r w:rsidRPr="00671561">
        <w:rPr>
          <w:rFonts w:ascii="Traditional Arabic" w:hAnsi="Traditional Arabic" w:cs="Traditional Arabic"/>
          <w:sz w:val="32"/>
          <w:szCs w:val="32"/>
          <w:rtl/>
          <w:lang w:val="en-US"/>
        </w:rPr>
        <w:t xml:space="preserve">أظهرت نتائج الدراسة وجود علاقة ذات دلالة إحصائية بين الثقافة التنظيمية وتطبيق إدارة المعرفة في هذه الشركات، كما أشارت النتائج إلى تأثير سلبي لتكنولوجيا المعلومات، مما يدل على نقص في الموارد التكنولوجية القوية في شركات السياحة المصرية. بناءً على الأدبيات والنتائج الميدانية، قدمت الدراسة مجموعة من التوصيات، منها ضرورة نشر ثقافة إدارة المعرفة بين العاملين في الشركات السياحية المصرية، وتعزيز الثقافات التنظيمية التي تدعم الإبداع الوظيفي. كما أوصت بتطوير القدرات الإبداعية والابتكارية لدى الموظفين، مما يساهم في </w:t>
      </w:r>
      <w:r w:rsidRPr="00671561">
        <w:rPr>
          <w:rFonts w:ascii="Traditional Arabic" w:hAnsi="Traditional Arabic" w:cs="Traditional Arabic"/>
          <w:sz w:val="32"/>
          <w:szCs w:val="32"/>
          <w:rtl/>
          <w:lang w:val="en-US"/>
        </w:rPr>
        <w:lastRenderedPageBreak/>
        <w:t>تحسين أدائهم ورفع مستوى الإنتاجية، بالإضافة إلى زيادة المكافآت والحوافز السنوية لتشجيع العاملين على تحقيق الأهداف المرجوة</w:t>
      </w:r>
      <w:r w:rsidRPr="00671561">
        <w:rPr>
          <w:rFonts w:ascii="Traditional Arabic" w:hAnsi="Traditional Arabic" w:cs="Traditional Arabic"/>
          <w:sz w:val="32"/>
          <w:szCs w:val="32"/>
          <w:lang w:val="en-US"/>
        </w:rPr>
        <w:t>.</w:t>
      </w:r>
    </w:p>
    <w:p w14:paraId="3DD6E0F1"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 xml:space="preserve">هدفت دراسة </w:t>
      </w:r>
      <w:r w:rsidRPr="00671561">
        <w:rPr>
          <w:rFonts w:ascii="Traditional Arabic" w:hAnsi="Traditional Arabic" w:cs="Traditional Arabic"/>
          <w:sz w:val="32"/>
          <w:szCs w:val="32"/>
          <w:lang w:val="en-US" w:bidi="ar-JO"/>
        </w:rPr>
        <w:t>Yumhi et al., (2024)</w:t>
      </w:r>
      <w:r w:rsidRPr="00671561">
        <w:rPr>
          <w:rFonts w:ascii="Traditional Arabic" w:hAnsi="Traditional Arabic" w:cs="Traditional Arabic"/>
          <w:sz w:val="32"/>
          <w:szCs w:val="32"/>
          <w:rtl/>
          <w:lang w:val="en-US"/>
        </w:rPr>
        <w:t xml:space="preserve"> إلى تصميم وتطبيق نظام إدارة معرفة قائم على الويب لتعزيز إنتاجية وأداء الموظفين في إحدى شركات البناء الوطنية. اعتمد الباحثون على مراجعة الأدبيات، والمقابلات، والملاحظة كأدوات لجمع البيانات، واستخدموا منهجية التطوير السريع للتطبيقات</w:t>
      </w:r>
      <w:r w:rsidRPr="00671561">
        <w:rPr>
          <w:rFonts w:ascii="Traditional Arabic" w:hAnsi="Traditional Arabic" w:cs="Traditional Arabic"/>
          <w:sz w:val="32"/>
          <w:szCs w:val="32"/>
          <w:lang w:val="en-US" w:bidi="ar-JO"/>
        </w:rPr>
        <w:t xml:space="preserve"> (RAD) </w:t>
      </w:r>
      <w:r w:rsidRPr="00671561">
        <w:rPr>
          <w:rFonts w:ascii="Traditional Arabic" w:hAnsi="Traditional Arabic" w:cs="Traditional Arabic"/>
          <w:sz w:val="32"/>
          <w:szCs w:val="32"/>
          <w:rtl/>
          <w:lang w:val="en-US"/>
        </w:rPr>
        <w:t>لبناء النظام. وقد أظهرت النتائج أن النظام المقترح ساعد بشكل ملحوظ في توثيق المعرفة بطريقة مركزية ومنهجية، مما أدى إلى تسريع عمليات البحث والوصول إلى المعرفة داخل الشركة. يسمح النظام للموظفين بتسجيل الدخول، وتنظيم، وتخزين، ومشاركة المعرفة بما يتماشى مع مؤشرات الأداء الرئيسية (</w:t>
      </w:r>
      <w:r w:rsidRPr="00671561">
        <w:rPr>
          <w:rFonts w:ascii="Traditional Arabic" w:hAnsi="Traditional Arabic" w:cs="Traditional Arabic"/>
          <w:sz w:val="32"/>
          <w:szCs w:val="32"/>
          <w:lang w:val="en-US" w:bidi="ar-JO"/>
        </w:rPr>
        <w:t>KPIs</w:t>
      </w:r>
      <w:r w:rsidRPr="00671561">
        <w:rPr>
          <w:rFonts w:ascii="Traditional Arabic" w:hAnsi="Traditional Arabic" w:cs="Traditional Arabic"/>
          <w:sz w:val="32"/>
          <w:szCs w:val="32"/>
          <w:rtl/>
          <w:lang w:val="en-US"/>
        </w:rPr>
        <w:t xml:space="preserve">). كما أتاح النظام المستند إلى الويب، والمدعوم بقاعدة بيانات </w:t>
      </w:r>
      <w:r w:rsidRPr="00671561">
        <w:rPr>
          <w:rFonts w:ascii="Traditional Arabic" w:hAnsi="Traditional Arabic" w:cs="Traditional Arabic"/>
          <w:sz w:val="32"/>
          <w:szCs w:val="32"/>
          <w:lang w:val="en-US" w:bidi="ar-JO"/>
        </w:rPr>
        <w:t>MySQL</w:t>
      </w:r>
      <w:r w:rsidRPr="00671561">
        <w:rPr>
          <w:rFonts w:ascii="Traditional Arabic" w:hAnsi="Traditional Arabic" w:cs="Traditional Arabic"/>
          <w:sz w:val="32"/>
          <w:szCs w:val="32"/>
          <w:rtl/>
          <w:lang w:val="en-US"/>
        </w:rPr>
        <w:t xml:space="preserve"> وبرمجة </w:t>
      </w:r>
      <w:r w:rsidRPr="00671561">
        <w:rPr>
          <w:rFonts w:ascii="Traditional Arabic" w:hAnsi="Traditional Arabic" w:cs="Traditional Arabic"/>
          <w:sz w:val="32"/>
          <w:szCs w:val="32"/>
          <w:lang w:val="en-US" w:bidi="ar-JO"/>
        </w:rPr>
        <w:t>PHP</w:t>
      </w:r>
      <w:r w:rsidRPr="00671561">
        <w:rPr>
          <w:rFonts w:ascii="Traditional Arabic" w:hAnsi="Traditional Arabic" w:cs="Traditional Arabic"/>
          <w:sz w:val="32"/>
          <w:szCs w:val="32"/>
          <w:rtl/>
          <w:lang w:val="en-US"/>
        </w:rPr>
        <w:t>، مرونة عالية في الوصول إلى المعرفة من أي مكان، مما عزز من حركة الموظفين ومساهمتهم في تطوير المعرفة المؤسسية. توصلت الدراسة إلى أن تطبيق هذا النظام يعزز الأداء والإنتاجية من خلال الاستخدام الأمثل للمعرفة المتوفرة في المؤسسة.</w:t>
      </w:r>
    </w:p>
    <w:p w14:paraId="7780560A"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 xml:space="preserve">هدفت دراسة </w:t>
      </w:r>
      <w:r w:rsidRPr="00671561">
        <w:rPr>
          <w:rFonts w:ascii="Traditional Arabic" w:hAnsi="Traditional Arabic" w:cs="Traditional Arabic"/>
          <w:sz w:val="32"/>
          <w:szCs w:val="32"/>
          <w:lang w:val="en-US" w:bidi="ar-JO"/>
        </w:rPr>
        <w:t>Palupiningtyas et al., 2024)</w:t>
      </w:r>
      <w:r w:rsidRPr="00671561">
        <w:rPr>
          <w:rFonts w:ascii="Traditional Arabic" w:hAnsi="Traditional Arabic" w:cs="Traditional Arabic"/>
          <w:sz w:val="32"/>
          <w:szCs w:val="32"/>
          <w:rtl/>
          <w:lang w:val="en-US"/>
        </w:rPr>
        <w:t>) إلى تصميم وبناء نظام إدارة معرفة (</w:t>
      </w:r>
      <w:r w:rsidRPr="00671561">
        <w:rPr>
          <w:rFonts w:ascii="Traditional Arabic" w:hAnsi="Traditional Arabic" w:cs="Traditional Arabic"/>
          <w:sz w:val="32"/>
          <w:szCs w:val="32"/>
          <w:lang w:val="en-US" w:bidi="ar-JO"/>
        </w:rPr>
        <w:t>KMS</w:t>
      </w:r>
      <w:r w:rsidRPr="00671561">
        <w:rPr>
          <w:rFonts w:ascii="Traditional Arabic" w:hAnsi="Traditional Arabic" w:cs="Traditional Arabic"/>
          <w:sz w:val="32"/>
          <w:szCs w:val="32"/>
          <w:rtl/>
          <w:lang w:val="en-US"/>
        </w:rPr>
        <w:t>) يمكنه استيعاب المعرفة وإدارتها ونشرها لزيادة معرفة الموظفين وتحسين أدائهم في وزارة الزراعة. تم جمع البيانات من خلال الملاحظة والمقابلات والدراسات الأدبية وتحليل الدراسات المشابهة. استخدم الباحثون طريقة التطوير السريع للتطبيقات (</w:t>
      </w:r>
      <w:r w:rsidRPr="00671561">
        <w:rPr>
          <w:rFonts w:ascii="Traditional Arabic" w:hAnsi="Traditional Arabic" w:cs="Traditional Arabic"/>
          <w:sz w:val="32"/>
          <w:szCs w:val="32"/>
          <w:lang w:val="en-US" w:bidi="ar-JO"/>
        </w:rPr>
        <w:t>RAD</w:t>
      </w:r>
      <w:r w:rsidRPr="00671561">
        <w:rPr>
          <w:rFonts w:ascii="Traditional Arabic" w:hAnsi="Traditional Arabic" w:cs="Traditional Arabic"/>
          <w:sz w:val="32"/>
          <w:szCs w:val="32"/>
          <w:rtl/>
          <w:lang w:val="en-US"/>
        </w:rPr>
        <w:t>) كأسلوب لتطوير النظام، بالإضافة إلى لغة النمذجة الموحدة (</w:t>
      </w:r>
      <w:r w:rsidRPr="00671561">
        <w:rPr>
          <w:rFonts w:ascii="Traditional Arabic" w:hAnsi="Traditional Arabic" w:cs="Traditional Arabic"/>
          <w:sz w:val="32"/>
          <w:szCs w:val="32"/>
          <w:lang w:val="en-US" w:bidi="ar-JO"/>
        </w:rPr>
        <w:t>UML</w:t>
      </w:r>
      <w:r w:rsidRPr="00671561">
        <w:rPr>
          <w:rFonts w:ascii="Traditional Arabic" w:hAnsi="Traditional Arabic" w:cs="Traditional Arabic"/>
          <w:sz w:val="32"/>
          <w:szCs w:val="32"/>
          <w:rtl/>
          <w:lang w:val="en-US"/>
        </w:rPr>
        <w:t xml:space="preserve">) لتصميم وتحليل النظام. أُنشئ النظام على شبكة الويب باستخدام لغات </w:t>
      </w:r>
      <w:r w:rsidRPr="00671561">
        <w:rPr>
          <w:rFonts w:ascii="Traditional Arabic" w:hAnsi="Traditional Arabic" w:cs="Traditional Arabic"/>
          <w:sz w:val="32"/>
          <w:szCs w:val="32"/>
          <w:lang w:val="en-US" w:bidi="ar-JO"/>
        </w:rPr>
        <w:t>PHP</w:t>
      </w:r>
      <w:r w:rsidRPr="00671561">
        <w:rPr>
          <w:rFonts w:ascii="Traditional Arabic" w:hAnsi="Traditional Arabic" w:cs="Traditional Arabic"/>
          <w:sz w:val="32"/>
          <w:szCs w:val="32"/>
          <w:rtl/>
          <w:lang w:val="en-US"/>
        </w:rPr>
        <w:t xml:space="preserve"> وقاعدة بيانات </w:t>
      </w:r>
      <w:r w:rsidRPr="00671561">
        <w:rPr>
          <w:rFonts w:ascii="Traditional Arabic" w:hAnsi="Traditional Arabic" w:cs="Traditional Arabic"/>
          <w:sz w:val="32"/>
          <w:szCs w:val="32"/>
          <w:lang w:val="en-US" w:bidi="ar-JO"/>
        </w:rPr>
        <w:t>MySQL</w:t>
      </w:r>
      <w:r w:rsidRPr="00671561">
        <w:rPr>
          <w:rFonts w:ascii="Traditional Arabic" w:hAnsi="Traditional Arabic" w:cs="Traditional Arabic"/>
          <w:sz w:val="32"/>
          <w:szCs w:val="32"/>
          <w:rtl/>
          <w:lang w:val="en-US"/>
        </w:rPr>
        <w:t xml:space="preserve">. أظهرت النتائج أن النظام قلل من زمن البحث عن الوثائق من 10 دقائق إلى حوالي 5 دقائق، مما وفر نحو 9 دقائق في كل عملية بحث. </w:t>
      </w:r>
      <w:r w:rsidRPr="00671561">
        <w:rPr>
          <w:rFonts w:ascii="Traditional Arabic" w:hAnsi="Traditional Arabic" w:cs="Traditional Arabic"/>
          <w:sz w:val="32"/>
          <w:szCs w:val="32"/>
          <w:rtl/>
          <w:lang w:val="en-US"/>
        </w:rPr>
        <w:lastRenderedPageBreak/>
        <w:t>كما ساعد النظام الموظفين على التواصل وطرح مواضيع جديدة للنقاش، مما ساهم في تعزيز ثقافة تبادل المعرفة والتعاون بين الموظفين لإيجاد حلول للمشكلات المشتركة</w:t>
      </w:r>
      <w:r w:rsidRPr="00671561">
        <w:rPr>
          <w:rFonts w:ascii="Traditional Arabic" w:hAnsi="Traditional Arabic" w:cs="Traditional Arabic"/>
          <w:sz w:val="32"/>
          <w:szCs w:val="32"/>
          <w:lang w:val="en-US" w:bidi="ar-JO"/>
        </w:rPr>
        <w:t xml:space="preserve">. </w:t>
      </w:r>
      <w:r w:rsidRPr="00671561">
        <w:rPr>
          <w:rFonts w:ascii="Traditional Arabic" w:hAnsi="Traditional Arabic" w:cs="Traditional Arabic"/>
          <w:sz w:val="32"/>
          <w:szCs w:val="32"/>
          <w:rtl/>
          <w:lang w:val="en-US"/>
        </w:rPr>
        <w:t>تشير الدراسة إلى أن نظام إدارة المعرفة المقترح لا يسهم فقط في الكفاءة الزمنية، بل يعزز التعاون والتفاعل بين الموظفين بطريقة فعالة ومستمرة، ويدعم بذلك الأداء المؤسسي العام</w:t>
      </w:r>
      <w:r w:rsidRPr="00671561">
        <w:rPr>
          <w:rFonts w:ascii="Traditional Arabic" w:hAnsi="Traditional Arabic" w:cs="Traditional Arabic"/>
          <w:sz w:val="32"/>
          <w:szCs w:val="32"/>
          <w:lang w:val="en-US" w:bidi="ar-JO"/>
        </w:rPr>
        <w:t>.</w:t>
      </w:r>
    </w:p>
    <w:p w14:paraId="1171AB55"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 xml:space="preserve">هدفت دراسة </w:t>
      </w:r>
      <w:r w:rsidRPr="00671561">
        <w:rPr>
          <w:rFonts w:ascii="Traditional Arabic" w:hAnsi="Traditional Arabic" w:cs="Traditional Arabic"/>
          <w:sz w:val="32"/>
          <w:szCs w:val="32"/>
          <w:lang w:val="en-US" w:bidi="ar-JO"/>
        </w:rPr>
        <w:t>Karyatun et al., 2023)</w:t>
      </w:r>
      <w:r w:rsidRPr="00671561">
        <w:rPr>
          <w:rFonts w:ascii="Traditional Arabic" w:hAnsi="Traditional Arabic" w:cs="Traditional Arabic"/>
          <w:sz w:val="32"/>
          <w:szCs w:val="32"/>
          <w:rtl/>
          <w:lang w:val="en-US"/>
        </w:rPr>
        <w:t>) إلى تحليل وتقييم تأثير كل من الحوكمة المؤسسية الجيدة (</w:t>
      </w:r>
      <w:r w:rsidRPr="00671561">
        <w:rPr>
          <w:rFonts w:ascii="Traditional Arabic" w:hAnsi="Traditional Arabic" w:cs="Traditional Arabic"/>
          <w:sz w:val="32"/>
          <w:szCs w:val="32"/>
          <w:lang w:val="en-US" w:bidi="ar-JO"/>
        </w:rPr>
        <w:t>GCG</w:t>
      </w:r>
      <w:r w:rsidRPr="00671561">
        <w:rPr>
          <w:rFonts w:ascii="Traditional Arabic" w:hAnsi="Traditional Arabic" w:cs="Traditional Arabic"/>
          <w:sz w:val="32"/>
          <w:szCs w:val="32"/>
          <w:rtl/>
          <w:lang w:val="en-US"/>
        </w:rPr>
        <w:t>) وإدارة المعرفة على سلوك المواطنة التنظيمية (</w:t>
      </w:r>
      <w:r w:rsidRPr="00671561">
        <w:rPr>
          <w:rFonts w:ascii="Traditional Arabic" w:hAnsi="Traditional Arabic" w:cs="Traditional Arabic"/>
          <w:sz w:val="32"/>
          <w:szCs w:val="32"/>
          <w:lang w:val="en-US" w:bidi="ar-JO"/>
        </w:rPr>
        <w:t>OCB</w:t>
      </w:r>
      <w:r w:rsidRPr="00671561">
        <w:rPr>
          <w:rFonts w:ascii="Traditional Arabic" w:hAnsi="Traditional Arabic" w:cs="Traditional Arabic"/>
          <w:sz w:val="32"/>
          <w:szCs w:val="32"/>
          <w:rtl/>
          <w:lang w:val="en-US"/>
        </w:rPr>
        <w:t xml:space="preserve">)، وذلك من خلال الدور الوسيط للرضا الوظيفي. اعتمدت الدراسة على المنهج الكمي، وجمعت البيانات عبر استبيانات وجرى تحليلها باستخدام تقنية النمذجة </w:t>
      </w:r>
      <w:r w:rsidRPr="00671561">
        <w:rPr>
          <w:rFonts w:ascii="Traditional Arabic" w:hAnsi="Traditional Arabic" w:cs="Traditional Arabic"/>
          <w:sz w:val="32"/>
          <w:szCs w:val="32"/>
          <w:lang w:val="en-US" w:bidi="ar-JO"/>
        </w:rPr>
        <w:t>SEM</w:t>
      </w:r>
      <w:r w:rsidRPr="00671561">
        <w:rPr>
          <w:rFonts w:ascii="Traditional Arabic" w:hAnsi="Traditional Arabic" w:cs="Traditional Arabic"/>
          <w:sz w:val="32"/>
          <w:szCs w:val="32"/>
          <w:rtl/>
          <w:lang w:val="en-US"/>
        </w:rPr>
        <w:t xml:space="preserve"> بواسطة برنامج </w:t>
      </w:r>
      <w:r w:rsidRPr="00671561">
        <w:rPr>
          <w:rFonts w:ascii="Traditional Arabic" w:hAnsi="Traditional Arabic" w:cs="Traditional Arabic"/>
          <w:sz w:val="32"/>
          <w:szCs w:val="32"/>
          <w:lang w:val="en-US" w:bidi="ar-JO"/>
        </w:rPr>
        <w:t>Smart-PLS</w:t>
      </w:r>
      <w:r w:rsidRPr="00671561">
        <w:rPr>
          <w:rFonts w:ascii="Traditional Arabic" w:hAnsi="Traditional Arabic" w:cs="Traditional Arabic"/>
          <w:sz w:val="32"/>
          <w:szCs w:val="32"/>
          <w:rtl/>
          <w:lang w:val="en-US"/>
        </w:rPr>
        <w:t>، وشملت العينة المشبعة 86 موظفًا. كشفت النتائج أن الحوكمة المؤسسية الجيدة لا تؤثر بشكل مباشر على سلوك المواطنة التنظيمية، بينما تؤثر إدارة المعرفة بشكل كبير ومباشر عليه. كما تبين أن الحوكمة المؤسسية الجيدة وإدارة المعرفة تؤثران بشكل كبير على الرضا الوظيفي</w:t>
      </w:r>
      <w:r w:rsidRPr="00671561">
        <w:rPr>
          <w:rFonts w:ascii="Traditional Arabic" w:hAnsi="Traditional Arabic" w:cs="Traditional Arabic"/>
          <w:sz w:val="32"/>
          <w:szCs w:val="32"/>
          <w:lang w:val="en-US" w:bidi="ar-JO"/>
        </w:rPr>
        <w:t xml:space="preserve">. </w:t>
      </w:r>
      <w:r w:rsidRPr="00671561">
        <w:rPr>
          <w:rFonts w:ascii="Traditional Arabic" w:hAnsi="Traditional Arabic" w:cs="Traditional Arabic"/>
          <w:sz w:val="32"/>
          <w:szCs w:val="32"/>
          <w:rtl/>
          <w:lang w:val="en-US"/>
        </w:rPr>
        <w:t>ومع ذلك، لم يتوسط الرضا الوظيفي العلاقة بين الحوكمة المؤسسية وسلوك المواطنة التنظيمية، بينما قام بدور الوسيط الفعّال في العلاقة بين إدارة المعرفة وسلوك المواطنة التنظيمية</w:t>
      </w:r>
      <w:r w:rsidRPr="00671561">
        <w:rPr>
          <w:rFonts w:ascii="Traditional Arabic" w:hAnsi="Traditional Arabic" w:cs="Traditional Arabic"/>
          <w:sz w:val="32"/>
          <w:szCs w:val="32"/>
          <w:lang w:val="en-US" w:bidi="ar-JO"/>
        </w:rPr>
        <w:t xml:space="preserve">. </w:t>
      </w:r>
      <w:r w:rsidRPr="00671561">
        <w:rPr>
          <w:rFonts w:ascii="Traditional Arabic" w:hAnsi="Traditional Arabic" w:cs="Traditional Arabic"/>
          <w:sz w:val="32"/>
          <w:szCs w:val="32"/>
          <w:rtl/>
          <w:lang w:val="en-US"/>
        </w:rPr>
        <w:t>تشير النتائج إلى أن تطبيق الحوكمة المؤسسية يتم غالبًا بطريقة فوقية من قبل صانعي القرار، مما يمنع الموظفين من الشعور بأنهم جزء من عملية الحوكمة، وهو ما قد يفسر غياب تأثيرها المباشر على سلوكهم التنظيمي الإيجابي</w:t>
      </w:r>
      <w:r w:rsidRPr="00671561">
        <w:rPr>
          <w:rFonts w:ascii="Traditional Arabic" w:hAnsi="Traditional Arabic" w:cs="Traditional Arabic"/>
          <w:sz w:val="32"/>
          <w:szCs w:val="32"/>
          <w:lang w:val="en-US" w:bidi="ar-JO"/>
        </w:rPr>
        <w:t>.</w:t>
      </w:r>
    </w:p>
    <w:p w14:paraId="50C68C5B"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bidi="ar-JO"/>
        </w:rPr>
      </w:pPr>
    </w:p>
    <w:p w14:paraId="6C036CE7"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bidi="ar-JO"/>
        </w:rPr>
      </w:pPr>
    </w:p>
    <w:p w14:paraId="5A75BEB2"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bidi="ar-JO"/>
        </w:rPr>
      </w:pPr>
    </w:p>
    <w:p w14:paraId="72219857"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rtl/>
          <w:lang w:val="en-US"/>
        </w:rPr>
      </w:pPr>
      <w:r w:rsidRPr="00671561">
        <w:rPr>
          <w:rFonts w:ascii="Traditional Arabic" w:hAnsi="Traditional Arabic" w:cs="Traditional Arabic" w:hint="cs"/>
          <w:b/>
          <w:bCs/>
          <w:sz w:val="32"/>
          <w:szCs w:val="32"/>
          <w:rtl/>
          <w:lang w:val="en-US"/>
        </w:rPr>
        <w:lastRenderedPageBreak/>
        <w:t>ثانيا: الدراسات المتعلقة بأداء العاملين</w:t>
      </w:r>
    </w:p>
    <w:p w14:paraId="0DDE2E1B"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b/>
          <w:bCs/>
          <w:sz w:val="32"/>
          <w:szCs w:val="32"/>
          <w:rtl/>
          <w:lang w:val="en-US" w:bidi="ar-JO"/>
        </w:rPr>
      </w:pPr>
      <w:r w:rsidRPr="00671561">
        <w:rPr>
          <w:rFonts w:ascii="Traditional Arabic" w:hAnsi="Traditional Arabic" w:cs="Traditional Arabic"/>
          <w:sz w:val="32"/>
          <w:szCs w:val="32"/>
          <w:rtl/>
          <w:lang w:val="en-US"/>
        </w:rPr>
        <w:t>هدفت دراسة</w:t>
      </w:r>
      <w:r w:rsidRPr="00671561">
        <w:rPr>
          <w:rFonts w:ascii="Traditional Arabic" w:hAnsi="Traditional Arabic" w:cs="Traditional Arabic"/>
          <w:sz w:val="32"/>
          <w:szCs w:val="32"/>
          <w:lang w:val="en-US"/>
        </w:rPr>
        <w:t xml:space="preserve">et al ., (2023) </w:t>
      </w:r>
      <w:r w:rsidRPr="00671561">
        <w:rPr>
          <w:rFonts w:ascii="Traditional Arabic" w:hAnsi="Traditional Arabic" w:cs="Traditional Arabic"/>
          <w:sz w:val="32"/>
          <w:szCs w:val="32"/>
          <w:rtl/>
          <w:lang w:val="en-US"/>
        </w:rPr>
        <w:t xml:space="preserve"> </w:t>
      </w:r>
      <w:r w:rsidRPr="00671561">
        <w:rPr>
          <w:rFonts w:ascii="Traditional Arabic" w:hAnsi="Traditional Arabic" w:cs="Traditional Arabic"/>
          <w:sz w:val="32"/>
          <w:szCs w:val="32"/>
          <w:lang w:val="en-US"/>
        </w:rPr>
        <w:t xml:space="preserve"> Tamsah</w:t>
      </w:r>
      <w:r w:rsidRPr="00671561">
        <w:rPr>
          <w:rFonts w:ascii="Traditional Arabic" w:hAnsi="Traditional Arabic" w:cs="Traditional Arabic"/>
          <w:sz w:val="32"/>
          <w:szCs w:val="32"/>
          <w:rtl/>
          <w:lang w:val="en-US"/>
        </w:rPr>
        <w:t xml:space="preserve"> إلى تحليل نموذج لتحسين أداء العاملين الصحيين في مراكز الصحة العامة</w:t>
      </w:r>
      <w:r w:rsidRPr="00671561">
        <w:rPr>
          <w:rFonts w:ascii="Traditional Arabic" w:hAnsi="Traditional Arabic" w:cs="Traditional Arabic"/>
          <w:sz w:val="32"/>
          <w:szCs w:val="32"/>
          <w:lang w:val="en-US"/>
        </w:rPr>
        <w:t xml:space="preserve"> (Puskesmas) </w:t>
      </w:r>
      <w:r w:rsidRPr="00671561">
        <w:rPr>
          <w:rFonts w:ascii="Traditional Arabic" w:hAnsi="Traditional Arabic" w:cs="Traditional Arabic"/>
          <w:sz w:val="32"/>
          <w:szCs w:val="32"/>
          <w:rtl/>
          <w:lang w:val="en-US"/>
        </w:rPr>
        <w:t>خلال عصر الثورة الصناعية 4.0 وفي ظل جائحة كورونا، من خلال التركيز على تأثير إدارة المواهب وإدارة المعرفة. أُجريت الدراسة في مركزي "دوريكومبا" و"لارا" بمنطقة كاروسا في إقليم ماموجو بوسط إندونيسيا، باستخدام أسلوب المسح الشامل، حيث بلغ عدد العينة النهائية 115 عاملاً صحيًا. استخدم الباحثون المنهج الكمي التفسيري مع نمذجة المعادلات الهيكلية</w:t>
      </w:r>
      <w:r w:rsidRPr="00671561">
        <w:rPr>
          <w:rFonts w:ascii="Traditional Arabic" w:hAnsi="Traditional Arabic" w:cs="Traditional Arabic"/>
          <w:sz w:val="32"/>
          <w:szCs w:val="32"/>
          <w:lang w:val="en-US"/>
        </w:rPr>
        <w:t xml:space="preserve"> (SEM) </w:t>
      </w:r>
      <w:r w:rsidRPr="00671561">
        <w:rPr>
          <w:rFonts w:ascii="Traditional Arabic" w:hAnsi="Traditional Arabic" w:cs="Traditional Arabic"/>
          <w:sz w:val="32"/>
          <w:szCs w:val="32"/>
          <w:rtl/>
          <w:lang w:val="en-US"/>
        </w:rPr>
        <w:t>عبر برنامج</w:t>
      </w:r>
      <w:r w:rsidRPr="00671561">
        <w:rPr>
          <w:rFonts w:ascii="Traditional Arabic" w:hAnsi="Traditional Arabic" w:cs="Traditional Arabic"/>
          <w:sz w:val="32"/>
          <w:szCs w:val="32"/>
          <w:lang w:val="en-US"/>
        </w:rPr>
        <w:t xml:space="preserve"> AMOS </w:t>
      </w:r>
      <w:r w:rsidRPr="00671561">
        <w:rPr>
          <w:rFonts w:ascii="Traditional Arabic" w:hAnsi="Traditional Arabic" w:cs="Traditional Arabic"/>
          <w:sz w:val="32"/>
          <w:szCs w:val="32"/>
          <w:rtl/>
          <w:lang w:val="en-US"/>
        </w:rPr>
        <w:t>لتحليل العلاقات بين المتغيرات. أظهرت النتائج أن إدارة المواهب تؤثر بشكل إيجابي في تعزيز إدارة المعرفة وتحسين أداء العاملين الصحيين، إذ إن الإدارة الفعالة للمواهب – بدءًا من التوظيف والاحتفاظ بالمواهب وصولًا إلى تطويرهم – تؤدي إلى تحسينات واضحة في الأداء. ومع ذلك، أظهرت النتائج أن إدارة المعرفة وحدها لا تؤثر بشكل مباشر على أداء العاملين كما كان متوقعًا في النموذج الأصلي للدراسة</w:t>
      </w:r>
      <w:r w:rsidRPr="00671561">
        <w:rPr>
          <w:rFonts w:ascii="Traditional Arabic" w:hAnsi="Traditional Arabic" w:cs="Traditional Arabic"/>
          <w:sz w:val="32"/>
          <w:szCs w:val="32"/>
          <w:lang w:val="en-US"/>
        </w:rPr>
        <w:t>.</w:t>
      </w:r>
    </w:p>
    <w:p w14:paraId="1F9B75E3"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b/>
          <w:bCs/>
          <w:sz w:val="32"/>
          <w:szCs w:val="32"/>
          <w:rtl/>
          <w:lang w:val="en-US"/>
        </w:rPr>
      </w:pPr>
      <w:r w:rsidRPr="00671561">
        <w:rPr>
          <w:rFonts w:ascii="Traditional Arabic" w:hAnsi="Traditional Arabic" w:cs="Traditional Arabic"/>
          <w:sz w:val="32"/>
          <w:szCs w:val="32"/>
          <w:rtl/>
          <w:lang w:val="en-US" w:bidi="ar-AE"/>
        </w:rPr>
        <w:t>دراسة</w:t>
      </w:r>
      <w:r w:rsidRPr="00671561">
        <w:rPr>
          <w:rFonts w:ascii="Traditional Arabic" w:hAnsi="Traditional Arabic" w:cs="Traditional Arabic"/>
          <w:sz w:val="32"/>
          <w:szCs w:val="32"/>
          <w:lang w:val="en-US"/>
        </w:rPr>
        <w:t xml:space="preserve">et al., (2020) </w:t>
      </w:r>
      <w:r w:rsidRPr="00671561">
        <w:rPr>
          <w:rFonts w:ascii="Traditional Arabic" w:hAnsi="Traditional Arabic" w:cs="Traditional Arabic"/>
          <w:sz w:val="32"/>
          <w:szCs w:val="32"/>
          <w:rtl/>
          <w:lang w:val="en-US" w:bidi="ar-AE"/>
        </w:rPr>
        <w:t xml:space="preserve"> </w:t>
      </w:r>
      <w:r w:rsidRPr="00671561">
        <w:rPr>
          <w:rFonts w:ascii="Traditional Arabic" w:hAnsi="Traditional Arabic" w:cs="Traditional Arabic"/>
          <w:sz w:val="32"/>
          <w:szCs w:val="32"/>
          <w:lang w:val="en-US"/>
        </w:rPr>
        <w:t xml:space="preserve"> Swanson</w:t>
      </w:r>
      <w:r w:rsidRPr="00671561">
        <w:rPr>
          <w:rFonts w:ascii="Traditional Arabic" w:hAnsi="Traditional Arabic" w:cs="Traditional Arabic"/>
          <w:sz w:val="32"/>
          <w:szCs w:val="32"/>
          <w:rtl/>
          <w:lang w:val="en-US"/>
        </w:rPr>
        <w:t xml:space="preserve"> استندت هذه الدراسة إلى نظرية رأس المال الاجتماعي لتحليل تأثير كفاءات القادة على مشاركة المعرفة، وأداء الموظفين، وولائهم داخل قطاع الضيافة، خصوصًا بين المدراء العامين المغتربين في الفنادق. اقترح الباحثون نموذجًا مفاهيميًا يُظهر كيف تؤدي كفاءات القادة إلى تعزيز بيئة مشاركة المعرفة داخل المؤسسات، الأمر الذي يسهم بدوره في تحسين أداء الموظفين وزيادة ولائهم التنظيمي. كشفت النتائج أن كفاءات القادة تلعب دورًا حاسمًا في تشجيع مشاركة المعرفة بين الموظفين، مما يؤدي إلى تحسين أدائهم المهني. كما تبين أن كلًا من مشاركة المعرفة وأداء الموظف لهما تأثير مباشر على ولاء الموظف للمؤسسة. تسلط الدراسة الضوء </w:t>
      </w:r>
      <w:r w:rsidRPr="00671561">
        <w:rPr>
          <w:rFonts w:ascii="Traditional Arabic" w:hAnsi="Traditional Arabic" w:cs="Traditional Arabic"/>
          <w:sz w:val="32"/>
          <w:szCs w:val="32"/>
          <w:rtl/>
          <w:lang w:val="en-US"/>
        </w:rPr>
        <w:lastRenderedPageBreak/>
        <w:t xml:space="preserve">على أهمية الاستثمار في تطوير كفاءات القادة في قطاع الضيافة، من خلال تحديد المهارات الأساسية المطلوبة لتعزيز الأداء والاحتفاظ بالموظفين في ظل بيئة تنافسية مثل تلك التي تفرضها شركات مثل </w:t>
      </w:r>
      <w:r w:rsidRPr="00671561">
        <w:rPr>
          <w:rFonts w:ascii="Traditional Arabic" w:hAnsi="Traditional Arabic" w:cs="Traditional Arabic"/>
          <w:sz w:val="32"/>
          <w:szCs w:val="32"/>
          <w:lang w:val="en-US"/>
        </w:rPr>
        <w:t>Airbnb</w:t>
      </w:r>
      <w:r w:rsidRPr="00671561">
        <w:rPr>
          <w:rFonts w:ascii="Traditional Arabic" w:hAnsi="Traditional Arabic" w:cs="Traditional Arabic"/>
          <w:sz w:val="32"/>
          <w:szCs w:val="32"/>
          <w:rtl/>
          <w:lang w:val="en-US"/>
        </w:rPr>
        <w:t>.</w:t>
      </w:r>
    </w:p>
    <w:p w14:paraId="2A064229"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rtl/>
          <w:lang w:val="en-US"/>
        </w:rPr>
      </w:pPr>
      <w:r w:rsidRPr="00671561">
        <w:rPr>
          <w:rFonts w:ascii="Traditional Arabic" w:hAnsi="Traditional Arabic" w:cs="Traditional Arabic" w:hint="cs"/>
          <w:b/>
          <w:bCs/>
          <w:sz w:val="32"/>
          <w:szCs w:val="32"/>
          <w:rtl/>
          <w:lang w:val="en-US"/>
        </w:rPr>
        <w:t>ثالثا: الدراسات التي تربط بين ادارة المعرفة واداء العاملين</w:t>
      </w:r>
    </w:p>
    <w:p w14:paraId="4D24D751"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دراسة كرار والموسوي، (2021) هدفت الدراسة إلى تحليل دور استراتيجيات إدارة المعرفة (تنظيم المعرفة، المشاركة، التخزين، الإدراك، والتطبيق) في تنمية الأداء الوظيفي بأبعاده (أداء المهمة والأداء السياقي) لدى أعضاء الهيئة التدريسية في كلية الإدارة والاقتصاد بجامعة الكوفة، في محافظة النجف الأشرف، العراق. اعتمدت الدراسة على المنهج التحليلي، حيث تم توزيع استبانة على عينة مكونة من 100 تدريسي من مختلف الأقسام العلمية، وتم تحليل البيانات باستخدام برنامج</w:t>
      </w:r>
      <w:r w:rsidRPr="00671561">
        <w:rPr>
          <w:rFonts w:ascii="Traditional Arabic" w:hAnsi="Traditional Arabic" w:cs="Traditional Arabic"/>
          <w:sz w:val="32"/>
          <w:szCs w:val="32"/>
          <w:lang w:val="en-US"/>
        </w:rPr>
        <w:t xml:space="preserve"> SPSS. </w:t>
      </w:r>
      <w:r w:rsidRPr="00671561">
        <w:rPr>
          <w:rFonts w:ascii="Traditional Arabic" w:hAnsi="Traditional Arabic" w:cs="Traditional Arabic"/>
          <w:sz w:val="32"/>
          <w:szCs w:val="32"/>
          <w:rtl/>
          <w:lang w:val="en-US"/>
        </w:rPr>
        <w:t>أظهرت النتائج وجود علاقات ارتباط موجبة بين استراتيجيات إدارة المعرفة والأداء الوظيفي، مما يدل على أن الكلية تهتم بتطبيق هذه الاستراتيجيات لتطوير أداء كوادرها الأكاديمية. وأوصت الدراسة بضرورة إعطاء اهتمام أكبر لتطوير الوسائل التقنية داخل الكلية لمواكبة التطور التكنولوجي، بما يسهم في تخزين وتطبيق واسترجاع المعرفة بشكل أكثر فاعلية</w:t>
      </w:r>
      <w:r w:rsidRPr="00671561">
        <w:rPr>
          <w:rFonts w:ascii="Traditional Arabic" w:hAnsi="Traditional Arabic" w:cs="Traditional Arabic"/>
          <w:sz w:val="32"/>
          <w:szCs w:val="32"/>
          <w:lang w:val="en-US"/>
        </w:rPr>
        <w:t>.</w:t>
      </w:r>
    </w:p>
    <w:p w14:paraId="19650FA7"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دراسة عيد، (2021) بعنوان دور إدارة المعرفة في تحسين أداء العاملين"، والتي استهدفت هيئة المجتمعات العمرانية الجديدة في مصر. تم استخدام الاستبيان كأداة لجمع البيانات من عينة مكونة من 320 موظفًا في الهيئة. أظهرت نتائج الدراسة باستخدام برنامج التحليل الإحصائي</w:t>
      </w:r>
      <w:r w:rsidRPr="00671561">
        <w:rPr>
          <w:rFonts w:ascii="Traditional Arabic" w:hAnsi="Traditional Arabic" w:cs="Traditional Arabic"/>
          <w:sz w:val="32"/>
          <w:szCs w:val="32"/>
          <w:lang w:val="en-US"/>
        </w:rPr>
        <w:t xml:space="preserve"> SPSS </w:t>
      </w:r>
      <w:r w:rsidRPr="00671561">
        <w:rPr>
          <w:rFonts w:ascii="Traditional Arabic" w:hAnsi="Traditional Arabic" w:cs="Traditional Arabic"/>
          <w:sz w:val="32"/>
          <w:szCs w:val="32"/>
          <w:rtl/>
          <w:lang w:val="en-US"/>
        </w:rPr>
        <w:t xml:space="preserve">وجود علاقة إيجابية ذات دلالة إحصائية بين إدارة المعرفة وأداء العاملين، حيث تبين أن تطبيق ممارسات إدارة المعرفة في الهيئة يساهم بشكل كبير في تحسين الأداء الوظيفي للعاملين. كما كشفت النتائج عن وجود قصور في بعض المجالات مثل نقص الكفاءات البشرية المدربة بشكل كافٍ، بالإضافة إلى تحديات في تدفق المعرفة داخل الهيئة، خصوصًا في مجال المعرفة الضمنية بين العاملين. وأوصت </w:t>
      </w:r>
      <w:r w:rsidRPr="00671561">
        <w:rPr>
          <w:rFonts w:ascii="Traditional Arabic" w:hAnsi="Traditional Arabic" w:cs="Traditional Arabic"/>
          <w:sz w:val="32"/>
          <w:szCs w:val="32"/>
          <w:rtl/>
          <w:lang w:val="en-US"/>
        </w:rPr>
        <w:lastRenderedPageBreak/>
        <w:t>الدراسة بتعزيز الجهود في تدريب الموظفين وتطوير آليات تدفق المعرفة بين الأقسام المختلفة في الهيئة، بما يساعد في تحسين الأداء العام للعاملين وزيادة الإنتاجية في المستقبل</w:t>
      </w:r>
      <w:r w:rsidRPr="00671561">
        <w:rPr>
          <w:rFonts w:ascii="Traditional Arabic" w:hAnsi="Traditional Arabic" w:cs="Traditional Arabic"/>
          <w:sz w:val="32"/>
          <w:szCs w:val="32"/>
          <w:lang w:val="en-US"/>
        </w:rPr>
        <w:t>.</w:t>
      </w:r>
    </w:p>
    <w:p w14:paraId="5516293F"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دراسة اليعربي، (2021) التي أجريت في المديرية العامة للتربية والتعليم بمحافظة شمال الشرقية في سلطنة عُمان بهدف تقييم تأثير إدارة المعرفة على أداء العمل وتحقيق الميزة التنافسية. استخدم الباحث المنهج الوصفي، وتوصل إلى أن درجة تأثير واقع إدارة المعرفة كانت متوسطة، بينما كانت درجة إدراك الموظفين الإداريين لمفهوم إدارة المعرفة عالية. كما أظهرت الدراسة أن عمليات إدارة المعرفة، مثل التشخيص، وضع الأهداف، التوليد، التخزين، النشر، والتطبيق، تمارس بدرجة متوسطة، مع ضرورة تحسين مكافأة الموظفين وفق إسهاماتهم في نشر المعرفة. كما أشارت النتائج إلى وجود فروق ذات دلالة إحصائية في عمليات إدارة المعرفة وعلاقتها بتميز الأداء المؤسسي بناءً على المؤهل العلمي، حيث كانت الفروق لصالح الفئة الأقل من دبلوم. أوصت الدراسة بإنشاء فريق مساند لقسم الجودة لنشر مفهوم إدارة المعرفة، وإدراجها في الخطط الاستراتيجية، وتطوير ثقافة داعمة لإنتاج ومشاركة المعرفة</w:t>
      </w:r>
      <w:r w:rsidRPr="00671561">
        <w:rPr>
          <w:rFonts w:ascii="Traditional Arabic" w:hAnsi="Traditional Arabic" w:cs="Traditional Arabic"/>
          <w:sz w:val="32"/>
          <w:szCs w:val="32"/>
          <w:lang w:val="en-US"/>
        </w:rPr>
        <w:t>.</w:t>
      </w:r>
    </w:p>
    <w:p w14:paraId="4E393CD6"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هدفت دراسة  ابو جمعة والمغربي، (2020) إلى التعرف على أثر إدارة المعرفة في تحسين أداء العاملين في الشركات الصناعية، وقد تم تطبيق الدراسة على الشركة الوطنية لصناعة الكوابل والأسلاك الكهربائية المساهمة العامة في الأردن. اعتمدت الدراسة على المنهج الوصفي التحليلي، حيث تكونت عينة الدراسة من 40 موظفًا من الشركة. تم استخدام عدة أساليب إحصائية مثل تحليل الانحدار المتعدد والبسيط واختبار</w:t>
      </w:r>
      <w:r w:rsidRPr="00671561">
        <w:rPr>
          <w:rFonts w:ascii="Traditional Arabic" w:hAnsi="Traditional Arabic" w:cs="Traditional Arabic"/>
          <w:sz w:val="32"/>
          <w:szCs w:val="32"/>
          <w:lang w:val="en-US"/>
        </w:rPr>
        <w:t xml:space="preserve"> T </w:t>
      </w:r>
      <w:r w:rsidRPr="00671561">
        <w:rPr>
          <w:rFonts w:ascii="Traditional Arabic" w:hAnsi="Traditional Arabic" w:cs="Traditional Arabic"/>
          <w:sz w:val="32"/>
          <w:szCs w:val="32"/>
          <w:rtl/>
          <w:lang w:val="en-US"/>
        </w:rPr>
        <w:t>وتحليل التباين الأحادي. أظهرت النتائج أن إدارة المعرفة، بكل من أبعادها (توليد وتخزين المعرفة، توزيع وتطبيق المعرفة)، لها أثر كبير في تحسين أداء العاملين من خلال تحسين جودة العمل والالتزام داخل الشركة. وأوصت الدراسة بضرورة اهتمام المؤسسات بشكل أسرع في إدارة المعرفة لبناء مزايا تنافسية تساعدها على الصمود في وجه التحديات الاقتصادية المستقبلية</w:t>
      </w:r>
      <w:r w:rsidRPr="00671561">
        <w:rPr>
          <w:rFonts w:ascii="Traditional Arabic" w:hAnsi="Traditional Arabic" w:cs="Traditional Arabic"/>
          <w:sz w:val="32"/>
          <w:szCs w:val="32"/>
          <w:lang w:val="en-US"/>
        </w:rPr>
        <w:t>.</w:t>
      </w:r>
    </w:p>
    <w:p w14:paraId="04DFCD9D"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lastRenderedPageBreak/>
        <w:t xml:space="preserve">هدفت دراسة </w:t>
      </w:r>
      <w:r w:rsidRPr="00671561">
        <w:rPr>
          <w:rFonts w:ascii="Traditional Arabic" w:hAnsi="Traditional Arabic" w:cs="Traditional Arabic"/>
          <w:sz w:val="32"/>
          <w:szCs w:val="32"/>
          <w:lang w:val="en-US"/>
        </w:rPr>
        <w:t>et al., (2022)</w:t>
      </w:r>
      <w:r w:rsidRPr="00671561">
        <w:rPr>
          <w:rFonts w:ascii="Traditional Arabic" w:hAnsi="Traditional Arabic" w:cs="Traditional Arabic"/>
          <w:sz w:val="32"/>
          <w:szCs w:val="32"/>
          <w:rtl/>
          <w:lang w:val="en-US"/>
        </w:rPr>
        <w:t xml:space="preserve"> </w:t>
      </w:r>
      <w:r w:rsidRPr="00671561">
        <w:rPr>
          <w:rFonts w:ascii="Traditional Arabic" w:hAnsi="Traditional Arabic" w:cs="Traditional Arabic"/>
          <w:sz w:val="32"/>
          <w:szCs w:val="32"/>
          <w:lang w:val="en-US"/>
        </w:rPr>
        <w:t>Pelealu</w:t>
      </w:r>
      <w:r w:rsidRPr="00671561">
        <w:rPr>
          <w:rFonts w:ascii="Traditional Arabic" w:hAnsi="Traditional Arabic" w:cs="Traditional Arabic"/>
          <w:sz w:val="32"/>
          <w:szCs w:val="32"/>
          <w:rtl/>
          <w:lang w:val="en-US"/>
        </w:rPr>
        <w:t xml:space="preserve"> إلى تحليل تأثير نظام إدارة المعرفة ومشاركة المعرفة على أداء الموظفين وولائهم في مكتب عمليات شرطة إقليم كليمانتان الغربية بإندونيسيا. اعتمدت الدراسة على المنهج الكمي، حيث شملت العينة 50 موظفًا، وتم تحليل البيانات باستخدام نموذج المعادلات الهيكلية (</w:t>
      </w:r>
      <w:r w:rsidRPr="00671561">
        <w:rPr>
          <w:rFonts w:ascii="Traditional Arabic" w:hAnsi="Traditional Arabic" w:cs="Traditional Arabic"/>
          <w:sz w:val="32"/>
          <w:szCs w:val="32"/>
          <w:lang w:val="en-US"/>
        </w:rPr>
        <w:t>SEM</w:t>
      </w:r>
      <w:r w:rsidRPr="00671561">
        <w:rPr>
          <w:rFonts w:ascii="Traditional Arabic" w:hAnsi="Traditional Arabic" w:cs="Traditional Arabic"/>
          <w:sz w:val="32"/>
          <w:szCs w:val="32"/>
          <w:rtl/>
          <w:lang w:val="en-US"/>
        </w:rPr>
        <w:t xml:space="preserve">) بمساعدة برنامج </w:t>
      </w:r>
      <w:r w:rsidRPr="00671561">
        <w:rPr>
          <w:rFonts w:ascii="Traditional Arabic" w:hAnsi="Traditional Arabic" w:cs="Traditional Arabic"/>
          <w:sz w:val="32"/>
          <w:szCs w:val="32"/>
          <w:lang w:val="en-US"/>
        </w:rPr>
        <w:t>Smart PLS</w:t>
      </w:r>
      <w:r w:rsidRPr="00671561">
        <w:rPr>
          <w:rFonts w:ascii="Traditional Arabic" w:hAnsi="Traditional Arabic" w:cs="Traditional Arabic"/>
          <w:sz w:val="32"/>
          <w:szCs w:val="32"/>
          <w:rtl/>
          <w:lang w:val="en-US"/>
        </w:rPr>
        <w:t>. وأظهرت النتائج وجود تأثير إيجابي معنوي لكل من نظام إدارة المعرفة ومشاركة المعرفة على أداء الموظفين، بالإضافة إلى تأثير إيجابي معنوي آخر على ولائهم الوظيفي. وأكدت الدراسة أن القدرة على إدارة المعرفة وتبادلها تُعد من العوامل الجوهرية في تعزيز التنافسية المؤسسية وتحقيق نتائج أفضل على مستوى الأداء والولاء في بيئة العمل.</w:t>
      </w:r>
    </w:p>
    <w:p w14:paraId="18DFBAC8"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 xml:space="preserve">هدفت دراسة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 xml:space="preserve"> إلى قياس أثر عمليات إدارة المعرفة (مثل اكتساب المعرفة، ومشاركتها، وإنشائها، والاحتفاظ بها) ومناهج إدارة المعرفة (كالشبكات الاجتماعية، والترميز، والتخصيص) على رضا الموظفين وأدائهم الوظيفي. وقد طوّر الباحثون نموذجًا نظريًا تم اختباره باستخدام تحليل المعادلات الهيكلية (</w:t>
      </w:r>
      <w:r w:rsidRPr="00671561">
        <w:rPr>
          <w:rFonts w:ascii="Traditional Arabic" w:hAnsi="Traditional Arabic" w:cs="Traditional Arabic"/>
          <w:sz w:val="32"/>
          <w:szCs w:val="32"/>
          <w:lang w:val="en-US"/>
        </w:rPr>
        <w:t>SEM</w:t>
      </w:r>
      <w:r w:rsidRPr="00671561">
        <w:rPr>
          <w:rFonts w:ascii="Traditional Arabic" w:hAnsi="Traditional Arabic" w:cs="Traditional Arabic"/>
          <w:sz w:val="32"/>
          <w:szCs w:val="32"/>
          <w:rtl/>
          <w:lang w:val="en-US"/>
        </w:rPr>
        <w:t>) وطريقة المربعات الصغرى الجزئية (</w:t>
      </w:r>
      <w:r w:rsidRPr="00671561">
        <w:rPr>
          <w:rFonts w:ascii="Traditional Arabic" w:hAnsi="Traditional Arabic" w:cs="Traditional Arabic"/>
          <w:sz w:val="32"/>
          <w:szCs w:val="32"/>
          <w:lang w:val="en-US"/>
        </w:rPr>
        <w:t>PLS</w:t>
      </w:r>
      <w:r w:rsidRPr="00671561">
        <w:rPr>
          <w:rFonts w:ascii="Traditional Arabic" w:hAnsi="Traditional Arabic" w:cs="Traditional Arabic"/>
          <w:sz w:val="32"/>
          <w:szCs w:val="32"/>
          <w:rtl/>
          <w:lang w:val="en-US"/>
        </w:rPr>
        <w:t>) بناءً على بيانات تم جمعها من موظفي مكتبة الملك فهد الوطنية في جدة، السعودية. وأظهرت نتائج التحليل وجود تأثير إيجابي ومعنوي لعمليات ومناهج إدارة المعرفة على كل من الرضا الوظيفي والأداء. كما تبين أن مشاركة المعرفة، والاحتفاظ بها، وكذلك مناهج الترميز والتخصيص كان لها تأثير واضح على رضا الموظفين، بينما لم يكن لاكتساب المعرفة، أو إنشائها، أو استخدام الشبكات الاجتماعية أثر معنوي على الرضا الوظيفي. وأوصت الدراسة بضرورة تطبيق أنشطة إدارة المعرفة داخل المؤسسات لتحسين أداء العاملين ورفع مستوى رفاههم في بيئة العمل، وقد تميزت هذه الدراسة بكونها الأولى التي تفحص تأثير عمليات ومناهج إدارة المعرفة على الجوانب الإنسانية الناعمة مثل الرضا والأداء في بيئة مكتبة أكاديمية</w:t>
      </w:r>
      <w:r w:rsidRPr="00671561">
        <w:rPr>
          <w:rFonts w:ascii="Traditional Arabic" w:hAnsi="Traditional Arabic" w:cs="Traditional Arabic"/>
          <w:sz w:val="32"/>
          <w:szCs w:val="32"/>
          <w:lang w:val="en-US"/>
        </w:rPr>
        <w:t>.</w:t>
      </w:r>
    </w:p>
    <w:p w14:paraId="5A0D4DB7"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lastRenderedPageBreak/>
        <w:t xml:space="preserve">الجدول في الاسفل يلخص الدراسات السابقة المتعلقة بموضوع الدراسة. </w:t>
      </w:r>
    </w:p>
    <w:p w14:paraId="4B6B5520" w14:textId="77777777" w:rsidR="00C110B2" w:rsidRPr="00671561" w:rsidRDefault="00C110B2" w:rsidP="00C110B2">
      <w:pPr>
        <w:tabs>
          <w:tab w:val="left" w:pos="288"/>
          <w:tab w:val="center" w:pos="4680"/>
        </w:tabs>
        <w:bidi/>
        <w:spacing w:line="360" w:lineRule="auto"/>
        <w:ind w:firstLine="713"/>
        <w:jc w:val="center"/>
        <w:rPr>
          <w:rFonts w:ascii="Traditional Arabic" w:hAnsi="Traditional Arabic" w:cs="Traditional Arabic"/>
          <w:b/>
          <w:bCs/>
          <w:sz w:val="28"/>
          <w:szCs w:val="28"/>
          <w:lang w:val="en-US"/>
        </w:rPr>
      </w:pPr>
      <w:r w:rsidRPr="00671561">
        <w:rPr>
          <w:rFonts w:ascii="Traditional Arabic" w:hAnsi="Traditional Arabic" w:cs="Traditional Arabic"/>
          <w:b/>
          <w:bCs/>
          <w:sz w:val="28"/>
          <w:szCs w:val="28"/>
          <w:rtl/>
          <w:lang w:val="en-US"/>
        </w:rPr>
        <w:t>جدول رقم (1): ملخص الدراسات السابقة</w:t>
      </w:r>
    </w:p>
    <w:tbl>
      <w:tblPr>
        <w:tblStyle w:val="a3"/>
        <w:bidiVisual/>
        <w:tblW w:w="0" w:type="auto"/>
        <w:jc w:val="center"/>
        <w:tblLayout w:type="fixed"/>
        <w:tblLook w:val="04A0" w:firstRow="1" w:lastRow="0" w:firstColumn="1" w:lastColumn="0" w:noHBand="0" w:noVBand="1"/>
      </w:tblPr>
      <w:tblGrid>
        <w:gridCol w:w="1484"/>
        <w:gridCol w:w="1440"/>
        <w:gridCol w:w="1800"/>
        <w:gridCol w:w="1530"/>
        <w:gridCol w:w="2268"/>
      </w:tblGrid>
      <w:tr w:rsidR="00C110B2" w:rsidRPr="00671561" w14:paraId="4135AE17" w14:textId="77777777" w:rsidTr="00980493">
        <w:trPr>
          <w:jc w:val="center"/>
        </w:trPr>
        <w:tc>
          <w:tcPr>
            <w:tcW w:w="1484" w:type="dxa"/>
            <w:hideMark/>
          </w:tcPr>
          <w:p w14:paraId="6FAD78D3" w14:textId="77777777" w:rsidR="00C110B2" w:rsidRPr="00671561" w:rsidRDefault="00C110B2" w:rsidP="00980493">
            <w:pPr>
              <w:tabs>
                <w:tab w:val="left" w:pos="288"/>
                <w:tab w:val="center" w:pos="4680"/>
              </w:tabs>
              <w:bidi/>
              <w:jc w:val="center"/>
              <w:rPr>
                <w:rFonts w:ascii="Traditional Arabic" w:hAnsi="Traditional Arabic" w:cs="Traditional Arabic"/>
                <w:b/>
                <w:bCs/>
                <w:sz w:val="24"/>
                <w:szCs w:val="24"/>
                <w:lang w:val="en-US"/>
              </w:rPr>
            </w:pPr>
            <w:r w:rsidRPr="00671561">
              <w:rPr>
                <w:rFonts w:ascii="Traditional Arabic" w:hAnsi="Traditional Arabic" w:cs="Traditional Arabic"/>
                <w:b/>
                <w:bCs/>
                <w:sz w:val="24"/>
                <w:szCs w:val="24"/>
                <w:rtl/>
                <w:lang w:val="en-US"/>
              </w:rPr>
              <w:t>الباحث وسنة النشر</w:t>
            </w:r>
          </w:p>
        </w:tc>
        <w:tc>
          <w:tcPr>
            <w:tcW w:w="1440" w:type="dxa"/>
            <w:hideMark/>
          </w:tcPr>
          <w:p w14:paraId="6D012C70" w14:textId="77777777" w:rsidR="00C110B2" w:rsidRPr="00671561" w:rsidRDefault="00C110B2" w:rsidP="00980493">
            <w:pPr>
              <w:tabs>
                <w:tab w:val="left" w:pos="288"/>
                <w:tab w:val="center" w:pos="4680"/>
              </w:tabs>
              <w:bidi/>
              <w:jc w:val="center"/>
              <w:rPr>
                <w:rFonts w:ascii="Traditional Arabic" w:hAnsi="Traditional Arabic" w:cs="Traditional Arabic"/>
                <w:b/>
                <w:bCs/>
                <w:sz w:val="24"/>
                <w:szCs w:val="24"/>
                <w:lang w:val="en-US"/>
              </w:rPr>
            </w:pPr>
            <w:r w:rsidRPr="00671561">
              <w:rPr>
                <w:rFonts w:ascii="Traditional Arabic" w:hAnsi="Traditional Arabic" w:cs="Traditional Arabic"/>
                <w:b/>
                <w:bCs/>
                <w:sz w:val="24"/>
                <w:szCs w:val="24"/>
                <w:rtl/>
                <w:lang w:val="en-US"/>
              </w:rPr>
              <w:t>عنوان الدراسة</w:t>
            </w:r>
          </w:p>
        </w:tc>
        <w:tc>
          <w:tcPr>
            <w:tcW w:w="1800" w:type="dxa"/>
            <w:hideMark/>
          </w:tcPr>
          <w:p w14:paraId="6112B334" w14:textId="77777777" w:rsidR="00C110B2" w:rsidRPr="00671561" w:rsidRDefault="00C110B2" w:rsidP="00980493">
            <w:pPr>
              <w:tabs>
                <w:tab w:val="left" w:pos="288"/>
                <w:tab w:val="center" w:pos="4680"/>
              </w:tabs>
              <w:bidi/>
              <w:jc w:val="center"/>
              <w:rPr>
                <w:rFonts w:ascii="Traditional Arabic" w:hAnsi="Traditional Arabic" w:cs="Traditional Arabic"/>
                <w:b/>
                <w:bCs/>
                <w:sz w:val="24"/>
                <w:szCs w:val="24"/>
                <w:lang w:val="en-US"/>
              </w:rPr>
            </w:pPr>
            <w:r w:rsidRPr="00671561">
              <w:rPr>
                <w:rFonts w:ascii="Traditional Arabic" w:hAnsi="Traditional Arabic" w:cs="Traditional Arabic"/>
                <w:b/>
                <w:bCs/>
                <w:sz w:val="24"/>
                <w:szCs w:val="24"/>
                <w:rtl/>
                <w:lang w:val="en-US"/>
              </w:rPr>
              <w:t>أهداف الدراسة</w:t>
            </w:r>
          </w:p>
        </w:tc>
        <w:tc>
          <w:tcPr>
            <w:tcW w:w="1530" w:type="dxa"/>
            <w:hideMark/>
          </w:tcPr>
          <w:p w14:paraId="2571CF19" w14:textId="77777777" w:rsidR="00C110B2" w:rsidRPr="00671561" w:rsidRDefault="00C110B2" w:rsidP="00980493">
            <w:pPr>
              <w:tabs>
                <w:tab w:val="left" w:pos="288"/>
                <w:tab w:val="center" w:pos="4680"/>
              </w:tabs>
              <w:bidi/>
              <w:jc w:val="center"/>
              <w:rPr>
                <w:rFonts w:ascii="Traditional Arabic" w:hAnsi="Traditional Arabic" w:cs="Traditional Arabic"/>
                <w:b/>
                <w:bCs/>
                <w:sz w:val="24"/>
                <w:szCs w:val="24"/>
                <w:lang w:val="en-US"/>
              </w:rPr>
            </w:pPr>
            <w:r w:rsidRPr="00671561">
              <w:rPr>
                <w:rFonts w:ascii="Traditional Arabic" w:hAnsi="Traditional Arabic" w:cs="Traditional Arabic"/>
                <w:b/>
                <w:bCs/>
                <w:sz w:val="24"/>
                <w:szCs w:val="24"/>
                <w:rtl/>
                <w:lang w:val="en-US"/>
              </w:rPr>
              <w:t>المنهج والأدوات</w:t>
            </w:r>
          </w:p>
        </w:tc>
        <w:tc>
          <w:tcPr>
            <w:tcW w:w="2268" w:type="dxa"/>
            <w:hideMark/>
          </w:tcPr>
          <w:p w14:paraId="1A22B991" w14:textId="77777777" w:rsidR="00C110B2" w:rsidRPr="00671561" w:rsidRDefault="00C110B2" w:rsidP="00980493">
            <w:pPr>
              <w:tabs>
                <w:tab w:val="left" w:pos="288"/>
                <w:tab w:val="center" w:pos="4680"/>
              </w:tabs>
              <w:bidi/>
              <w:jc w:val="center"/>
              <w:rPr>
                <w:rFonts w:ascii="Traditional Arabic" w:hAnsi="Traditional Arabic" w:cs="Traditional Arabic"/>
                <w:b/>
                <w:bCs/>
                <w:sz w:val="24"/>
                <w:szCs w:val="24"/>
                <w:lang w:val="en-US"/>
              </w:rPr>
            </w:pPr>
            <w:r w:rsidRPr="00671561">
              <w:rPr>
                <w:rFonts w:ascii="Traditional Arabic" w:hAnsi="Traditional Arabic" w:cs="Traditional Arabic"/>
                <w:b/>
                <w:bCs/>
                <w:sz w:val="24"/>
                <w:szCs w:val="24"/>
                <w:rtl/>
                <w:lang w:val="en-US"/>
              </w:rPr>
              <w:t>أهم النتائج والتوصيات</w:t>
            </w:r>
          </w:p>
        </w:tc>
      </w:tr>
      <w:tr w:rsidR="00C110B2" w:rsidRPr="00671561" w14:paraId="27B83D9B" w14:textId="77777777" w:rsidTr="00980493">
        <w:trPr>
          <w:jc w:val="center"/>
        </w:trPr>
        <w:tc>
          <w:tcPr>
            <w:tcW w:w="1484" w:type="dxa"/>
            <w:hideMark/>
          </w:tcPr>
          <w:p w14:paraId="43648DF5"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كرار والموسوي (2021)</w:t>
            </w:r>
          </w:p>
        </w:tc>
        <w:tc>
          <w:tcPr>
            <w:tcW w:w="1440" w:type="dxa"/>
            <w:hideMark/>
          </w:tcPr>
          <w:p w14:paraId="03A6D589"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دور استراتيجيات إدارة المعرفة في تنمية الأداء الوظيفي</w:t>
            </w:r>
          </w:p>
        </w:tc>
        <w:tc>
          <w:tcPr>
            <w:tcW w:w="1800" w:type="dxa"/>
            <w:hideMark/>
          </w:tcPr>
          <w:p w14:paraId="325AA0F8"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تحليل العلاقة بين استراتيجيات إدارة المعرفة وأداء أعضاء الهيئة التدريسية</w:t>
            </w:r>
          </w:p>
        </w:tc>
        <w:tc>
          <w:tcPr>
            <w:tcW w:w="1530" w:type="dxa"/>
            <w:hideMark/>
          </w:tcPr>
          <w:p w14:paraId="59DE0669"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 xml:space="preserve">المنهج التحليلي، استبانة لعينة من 100 تدريسي، </w:t>
            </w:r>
            <w:r w:rsidRPr="00671561">
              <w:rPr>
                <w:rFonts w:ascii="Traditional Arabic" w:hAnsi="Traditional Arabic" w:cs="Traditional Arabic"/>
                <w:sz w:val="24"/>
                <w:szCs w:val="24"/>
                <w:lang w:val="en-US"/>
              </w:rPr>
              <w:t>SPSS</w:t>
            </w:r>
          </w:p>
        </w:tc>
        <w:tc>
          <w:tcPr>
            <w:tcW w:w="2268" w:type="dxa"/>
            <w:hideMark/>
          </w:tcPr>
          <w:p w14:paraId="35A8CC74"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علاقة إيجابية بين إدارة المعرفة والأداء، مع توصيات بتطوير الوسائل التقنية لتخزين المعرفة</w:t>
            </w:r>
          </w:p>
        </w:tc>
      </w:tr>
      <w:tr w:rsidR="00C110B2" w:rsidRPr="00671561" w14:paraId="512E5963" w14:textId="77777777" w:rsidTr="00980493">
        <w:trPr>
          <w:jc w:val="center"/>
        </w:trPr>
        <w:tc>
          <w:tcPr>
            <w:tcW w:w="1484" w:type="dxa"/>
            <w:hideMark/>
          </w:tcPr>
          <w:p w14:paraId="62203760"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عيد (2021)</w:t>
            </w:r>
          </w:p>
        </w:tc>
        <w:tc>
          <w:tcPr>
            <w:tcW w:w="1440" w:type="dxa"/>
            <w:hideMark/>
          </w:tcPr>
          <w:p w14:paraId="08F95670"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دور إدارة المعرفة في تحسين أداء العاملين</w:t>
            </w:r>
          </w:p>
        </w:tc>
        <w:tc>
          <w:tcPr>
            <w:tcW w:w="1800" w:type="dxa"/>
            <w:hideMark/>
          </w:tcPr>
          <w:p w14:paraId="6075C421"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دراسة العلاقة بين إدارة المعرفة والأداء في هيئة المجتمعات العمرانية الجديدة بمصر</w:t>
            </w:r>
          </w:p>
        </w:tc>
        <w:tc>
          <w:tcPr>
            <w:tcW w:w="1530" w:type="dxa"/>
            <w:hideMark/>
          </w:tcPr>
          <w:p w14:paraId="20F1FDBB"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 xml:space="preserve">استبانة، 320 موظف، تحليل إحصائي </w:t>
            </w:r>
            <w:r w:rsidRPr="00671561">
              <w:rPr>
                <w:rFonts w:ascii="Traditional Arabic" w:hAnsi="Traditional Arabic" w:cs="Traditional Arabic"/>
                <w:sz w:val="24"/>
                <w:szCs w:val="24"/>
                <w:lang w:val="en-US"/>
              </w:rPr>
              <w:t>SPSS</w:t>
            </w:r>
          </w:p>
        </w:tc>
        <w:tc>
          <w:tcPr>
            <w:tcW w:w="2268" w:type="dxa"/>
            <w:hideMark/>
          </w:tcPr>
          <w:p w14:paraId="7E9FBD4E"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علاقة إيجابية، مع وجود قصور في الكفاءات وتوصيات بتعزيز التدريب وتدفق المعرفة</w:t>
            </w:r>
          </w:p>
        </w:tc>
      </w:tr>
      <w:tr w:rsidR="00C110B2" w:rsidRPr="00671561" w14:paraId="7F4F1335" w14:textId="77777777" w:rsidTr="00980493">
        <w:trPr>
          <w:jc w:val="center"/>
        </w:trPr>
        <w:tc>
          <w:tcPr>
            <w:tcW w:w="1484" w:type="dxa"/>
            <w:hideMark/>
          </w:tcPr>
          <w:p w14:paraId="7A281523"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اليعربي (2021)</w:t>
            </w:r>
          </w:p>
        </w:tc>
        <w:tc>
          <w:tcPr>
            <w:tcW w:w="1440" w:type="dxa"/>
            <w:hideMark/>
          </w:tcPr>
          <w:p w14:paraId="6EBFC850"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إدارة المعرفة وأداء العمل والميزة التنافسية</w:t>
            </w:r>
          </w:p>
        </w:tc>
        <w:tc>
          <w:tcPr>
            <w:tcW w:w="1800" w:type="dxa"/>
            <w:hideMark/>
          </w:tcPr>
          <w:p w14:paraId="4E7494C8"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تقييم تأثير إدارة المعرفة في مديرية التعليم بسلطنة عمان</w:t>
            </w:r>
          </w:p>
        </w:tc>
        <w:tc>
          <w:tcPr>
            <w:tcW w:w="1530" w:type="dxa"/>
            <w:hideMark/>
          </w:tcPr>
          <w:p w14:paraId="697C8FE6"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المنهج الوصفي، استبانة وتحليل إحصائي</w:t>
            </w:r>
          </w:p>
        </w:tc>
        <w:tc>
          <w:tcPr>
            <w:tcW w:w="2268" w:type="dxa"/>
            <w:hideMark/>
          </w:tcPr>
          <w:p w14:paraId="6AA96330"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التأثير متوسط، ضرورة تعزيز ثقافة المشاركة والمكافآت وربطها بالمعرفة</w:t>
            </w:r>
          </w:p>
        </w:tc>
      </w:tr>
      <w:tr w:rsidR="00C110B2" w:rsidRPr="00671561" w14:paraId="37989416" w14:textId="77777777" w:rsidTr="00980493">
        <w:trPr>
          <w:jc w:val="center"/>
        </w:trPr>
        <w:tc>
          <w:tcPr>
            <w:tcW w:w="1484" w:type="dxa"/>
            <w:hideMark/>
          </w:tcPr>
          <w:p w14:paraId="17A0D23D"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الأقرع (2020)</w:t>
            </w:r>
          </w:p>
        </w:tc>
        <w:tc>
          <w:tcPr>
            <w:tcW w:w="1440" w:type="dxa"/>
            <w:hideMark/>
          </w:tcPr>
          <w:p w14:paraId="0FAE3CEA"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أثر إدارة المعرفة في تعزيز الأداء الإداري</w:t>
            </w:r>
          </w:p>
        </w:tc>
        <w:tc>
          <w:tcPr>
            <w:tcW w:w="1800" w:type="dxa"/>
            <w:hideMark/>
          </w:tcPr>
          <w:p w14:paraId="2A638CD0"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دراسة حالة المؤسسات الحكومية في قلقيلية</w:t>
            </w:r>
          </w:p>
        </w:tc>
        <w:tc>
          <w:tcPr>
            <w:tcW w:w="1530" w:type="dxa"/>
            <w:hideMark/>
          </w:tcPr>
          <w:p w14:paraId="481DDD0E"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المنهج الوصفي التحليلي، استبانة، 56 موظف</w:t>
            </w:r>
          </w:p>
        </w:tc>
        <w:tc>
          <w:tcPr>
            <w:tcW w:w="2268" w:type="dxa"/>
            <w:hideMark/>
          </w:tcPr>
          <w:p w14:paraId="3CB64597"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تأثير مرتفع لإدارة المعرفة، وتوصية بتخصيص وقت للتعلم وتبني طرق إدارية جديدة</w:t>
            </w:r>
          </w:p>
        </w:tc>
      </w:tr>
      <w:tr w:rsidR="00C110B2" w:rsidRPr="00671561" w14:paraId="5313AE21" w14:textId="77777777" w:rsidTr="00980493">
        <w:trPr>
          <w:jc w:val="center"/>
        </w:trPr>
        <w:tc>
          <w:tcPr>
            <w:tcW w:w="1484" w:type="dxa"/>
            <w:hideMark/>
          </w:tcPr>
          <w:p w14:paraId="7375EED9"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أبو جمعة والمغربي (2020)</w:t>
            </w:r>
          </w:p>
        </w:tc>
        <w:tc>
          <w:tcPr>
            <w:tcW w:w="1440" w:type="dxa"/>
            <w:hideMark/>
          </w:tcPr>
          <w:p w14:paraId="0E58F964"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أثر إدارة المعرفة في تحسين أداء العاملين</w:t>
            </w:r>
          </w:p>
        </w:tc>
        <w:tc>
          <w:tcPr>
            <w:tcW w:w="1800" w:type="dxa"/>
            <w:hideMark/>
          </w:tcPr>
          <w:p w14:paraId="06641CDE"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تطبيق على الشركة الوطنية لصناعة الكوابل في الأردن</w:t>
            </w:r>
          </w:p>
        </w:tc>
        <w:tc>
          <w:tcPr>
            <w:tcW w:w="1530" w:type="dxa"/>
            <w:hideMark/>
          </w:tcPr>
          <w:p w14:paraId="49B41237"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المنهج الوصفي التحليلي، 40 موظف، اختبارات إحصائية متعددة</w:t>
            </w:r>
          </w:p>
        </w:tc>
        <w:tc>
          <w:tcPr>
            <w:tcW w:w="2268" w:type="dxa"/>
            <w:hideMark/>
          </w:tcPr>
          <w:p w14:paraId="1C2BB035"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إدارة المعرفة تحسن الأداء، وتوصيات بالإسراع في تطبيقها لتحقيق ميزة تنافسية</w:t>
            </w:r>
          </w:p>
        </w:tc>
      </w:tr>
      <w:tr w:rsidR="00C110B2" w:rsidRPr="00671561" w14:paraId="773BB29B" w14:textId="77777777" w:rsidTr="00980493">
        <w:trPr>
          <w:jc w:val="center"/>
        </w:trPr>
        <w:tc>
          <w:tcPr>
            <w:tcW w:w="1484" w:type="dxa"/>
            <w:hideMark/>
          </w:tcPr>
          <w:p w14:paraId="350C0FC4"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خالد (2020)</w:t>
            </w:r>
          </w:p>
        </w:tc>
        <w:tc>
          <w:tcPr>
            <w:tcW w:w="1440" w:type="dxa"/>
            <w:hideMark/>
          </w:tcPr>
          <w:p w14:paraId="2AC59BA2"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تأثير إدارة المعرفة على الأداء المؤسسي</w:t>
            </w:r>
          </w:p>
        </w:tc>
        <w:tc>
          <w:tcPr>
            <w:tcW w:w="1800" w:type="dxa"/>
            <w:hideMark/>
          </w:tcPr>
          <w:p w14:paraId="79F06FFD"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حالة مجموعة جياد الصناعية في السودان</w:t>
            </w:r>
          </w:p>
        </w:tc>
        <w:tc>
          <w:tcPr>
            <w:tcW w:w="1530" w:type="dxa"/>
            <w:hideMark/>
          </w:tcPr>
          <w:p w14:paraId="18052A75"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المنهج الوصفي التحليلي، 40 موظف، تحليل انحدار وتباين</w:t>
            </w:r>
          </w:p>
        </w:tc>
        <w:tc>
          <w:tcPr>
            <w:tcW w:w="2268" w:type="dxa"/>
            <w:hideMark/>
          </w:tcPr>
          <w:p w14:paraId="193A9390"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ضعف في نشر المعرفة، توصيات بتطوير البنية التحتية وتعيين متخصصين</w:t>
            </w:r>
          </w:p>
        </w:tc>
      </w:tr>
      <w:tr w:rsidR="00C110B2" w:rsidRPr="00671561" w14:paraId="21633917" w14:textId="77777777" w:rsidTr="00980493">
        <w:trPr>
          <w:jc w:val="center"/>
        </w:trPr>
        <w:tc>
          <w:tcPr>
            <w:tcW w:w="1484" w:type="dxa"/>
            <w:hideMark/>
          </w:tcPr>
          <w:p w14:paraId="483FE675"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t>Yumhi et al. (2024)</w:t>
            </w:r>
          </w:p>
        </w:tc>
        <w:tc>
          <w:tcPr>
            <w:tcW w:w="1440" w:type="dxa"/>
            <w:hideMark/>
          </w:tcPr>
          <w:p w14:paraId="567903F9"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t>Web-Based Knowledge Management System</w:t>
            </w:r>
          </w:p>
        </w:tc>
        <w:tc>
          <w:tcPr>
            <w:tcW w:w="1800" w:type="dxa"/>
            <w:hideMark/>
          </w:tcPr>
          <w:p w14:paraId="7B9A4FC1"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تعزيز إنتاجية الموظفين في شركة بناء عبر نظام إدارة معرفة</w:t>
            </w:r>
          </w:p>
        </w:tc>
        <w:tc>
          <w:tcPr>
            <w:tcW w:w="1530" w:type="dxa"/>
            <w:hideMark/>
          </w:tcPr>
          <w:p w14:paraId="69F29952"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منهجية</w:t>
            </w:r>
            <w:r w:rsidRPr="00671561">
              <w:rPr>
                <w:rFonts w:ascii="Traditional Arabic" w:hAnsi="Traditional Arabic" w:cs="Traditional Arabic"/>
                <w:sz w:val="24"/>
                <w:szCs w:val="24"/>
                <w:lang w:val="en-US"/>
              </w:rPr>
              <w:t xml:space="preserve"> RAD</w:t>
            </w:r>
            <w:r w:rsidRPr="00671561">
              <w:rPr>
                <w:rFonts w:ascii="Traditional Arabic" w:hAnsi="Traditional Arabic" w:cs="Traditional Arabic"/>
                <w:sz w:val="24"/>
                <w:szCs w:val="24"/>
                <w:rtl/>
                <w:lang w:val="en-US"/>
              </w:rPr>
              <w:t xml:space="preserve">، مقابلات وملاحظة، </w:t>
            </w:r>
            <w:r w:rsidRPr="00671561">
              <w:rPr>
                <w:rFonts w:ascii="Traditional Arabic" w:hAnsi="Traditional Arabic" w:cs="Traditional Arabic"/>
                <w:sz w:val="24"/>
                <w:szCs w:val="24"/>
                <w:lang w:val="en-US"/>
              </w:rPr>
              <w:t>MySQL, PHP</w:t>
            </w:r>
          </w:p>
        </w:tc>
        <w:tc>
          <w:tcPr>
            <w:tcW w:w="2268" w:type="dxa"/>
            <w:hideMark/>
          </w:tcPr>
          <w:p w14:paraId="1AF0C285"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النظام حسّن الوصول إلى المعرفة، وساهم في تعزيز الأداء وتوثيق العمليات</w:t>
            </w:r>
          </w:p>
        </w:tc>
      </w:tr>
      <w:tr w:rsidR="00C110B2" w:rsidRPr="00671561" w14:paraId="263E2B77" w14:textId="77777777" w:rsidTr="00980493">
        <w:trPr>
          <w:jc w:val="center"/>
        </w:trPr>
        <w:tc>
          <w:tcPr>
            <w:tcW w:w="1484" w:type="dxa"/>
            <w:hideMark/>
          </w:tcPr>
          <w:p w14:paraId="7691F9D9"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t>Palupiningtyas et al. (2024)</w:t>
            </w:r>
          </w:p>
        </w:tc>
        <w:tc>
          <w:tcPr>
            <w:tcW w:w="1440" w:type="dxa"/>
            <w:hideMark/>
          </w:tcPr>
          <w:p w14:paraId="592AF982"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t>KMS</w:t>
            </w:r>
            <w:r w:rsidRPr="00671561">
              <w:rPr>
                <w:rFonts w:ascii="Traditional Arabic" w:hAnsi="Traditional Arabic" w:cs="Traditional Arabic"/>
                <w:sz w:val="24"/>
                <w:szCs w:val="24"/>
                <w:rtl/>
                <w:lang w:val="en-US"/>
              </w:rPr>
              <w:t xml:space="preserve"> لتحسين أداء موظفي وزارة الزراعة</w:t>
            </w:r>
          </w:p>
        </w:tc>
        <w:tc>
          <w:tcPr>
            <w:tcW w:w="1800" w:type="dxa"/>
            <w:hideMark/>
          </w:tcPr>
          <w:p w14:paraId="60B2DDD8"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تصميم نظام لإدارة المعرفة وتحسين الأداء المؤسسي</w:t>
            </w:r>
          </w:p>
        </w:tc>
        <w:tc>
          <w:tcPr>
            <w:tcW w:w="1530" w:type="dxa"/>
            <w:hideMark/>
          </w:tcPr>
          <w:p w14:paraId="48F59DB5"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t>RAD</w:t>
            </w:r>
            <w:r w:rsidRPr="00671561">
              <w:rPr>
                <w:rFonts w:ascii="Traditional Arabic" w:hAnsi="Traditional Arabic" w:cs="Traditional Arabic"/>
                <w:sz w:val="24"/>
                <w:szCs w:val="24"/>
                <w:rtl/>
                <w:lang w:val="en-US"/>
              </w:rPr>
              <w:t xml:space="preserve">، تحليل مشابهات، </w:t>
            </w:r>
            <w:r w:rsidRPr="00671561">
              <w:rPr>
                <w:rFonts w:ascii="Traditional Arabic" w:hAnsi="Traditional Arabic" w:cs="Traditional Arabic"/>
                <w:sz w:val="24"/>
                <w:szCs w:val="24"/>
                <w:lang w:val="en-US"/>
              </w:rPr>
              <w:t>UML</w:t>
            </w:r>
            <w:r w:rsidRPr="00671561">
              <w:rPr>
                <w:rFonts w:ascii="Traditional Arabic" w:hAnsi="Traditional Arabic" w:cs="Traditional Arabic"/>
                <w:sz w:val="24"/>
                <w:szCs w:val="24"/>
                <w:rtl/>
                <w:lang w:val="en-US"/>
              </w:rPr>
              <w:t xml:space="preserve">، </w:t>
            </w:r>
            <w:r w:rsidRPr="00671561">
              <w:rPr>
                <w:rFonts w:ascii="Traditional Arabic" w:hAnsi="Traditional Arabic" w:cs="Traditional Arabic"/>
                <w:sz w:val="24"/>
                <w:szCs w:val="24"/>
                <w:lang w:val="en-US"/>
              </w:rPr>
              <w:t>MySQL</w:t>
            </w:r>
          </w:p>
        </w:tc>
        <w:tc>
          <w:tcPr>
            <w:tcW w:w="2268" w:type="dxa"/>
            <w:hideMark/>
          </w:tcPr>
          <w:p w14:paraId="11AFF45C"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قلل زمن البحث، عزز تبادل المعرفة، دعم الأداء والتعاون بين الموظفين</w:t>
            </w:r>
          </w:p>
        </w:tc>
      </w:tr>
      <w:tr w:rsidR="00C110B2" w:rsidRPr="00671561" w14:paraId="0E42C0B4" w14:textId="77777777" w:rsidTr="00980493">
        <w:trPr>
          <w:jc w:val="center"/>
        </w:trPr>
        <w:tc>
          <w:tcPr>
            <w:tcW w:w="1484" w:type="dxa"/>
            <w:hideMark/>
          </w:tcPr>
          <w:p w14:paraId="3A1636FE"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lastRenderedPageBreak/>
              <w:t>Karyatun et al. (2023)</w:t>
            </w:r>
          </w:p>
        </w:tc>
        <w:tc>
          <w:tcPr>
            <w:tcW w:w="1440" w:type="dxa"/>
            <w:hideMark/>
          </w:tcPr>
          <w:p w14:paraId="0148820C"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إدارة المعرفة والحوكمة وسلوك المواطنة التنظيمية</w:t>
            </w:r>
          </w:p>
        </w:tc>
        <w:tc>
          <w:tcPr>
            <w:tcW w:w="1800" w:type="dxa"/>
            <w:hideMark/>
          </w:tcPr>
          <w:p w14:paraId="55B1BCAE"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دراسة العلاقة عبر الرضا الوظيفي كوسيط</w:t>
            </w:r>
          </w:p>
        </w:tc>
        <w:tc>
          <w:tcPr>
            <w:tcW w:w="1530" w:type="dxa"/>
            <w:hideMark/>
          </w:tcPr>
          <w:p w14:paraId="1EA05381"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 xml:space="preserve">استبانة، </w:t>
            </w:r>
            <w:r w:rsidRPr="00671561">
              <w:rPr>
                <w:rFonts w:ascii="Traditional Arabic" w:hAnsi="Traditional Arabic" w:cs="Traditional Arabic"/>
                <w:sz w:val="24"/>
                <w:szCs w:val="24"/>
                <w:lang w:val="en-US"/>
              </w:rPr>
              <w:t xml:space="preserve">SEM </w:t>
            </w:r>
            <w:r w:rsidRPr="00671561">
              <w:rPr>
                <w:rFonts w:ascii="Traditional Arabic" w:hAnsi="Traditional Arabic" w:cs="Traditional Arabic"/>
                <w:sz w:val="24"/>
                <w:szCs w:val="24"/>
                <w:rtl/>
                <w:lang w:val="en-US"/>
              </w:rPr>
              <w:t>باستخدام</w:t>
            </w:r>
            <w:r w:rsidRPr="00671561">
              <w:rPr>
                <w:rFonts w:ascii="Traditional Arabic" w:hAnsi="Traditional Arabic" w:cs="Traditional Arabic"/>
                <w:sz w:val="24"/>
                <w:szCs w:val="24"/>
                <w:lang w:val="en-US"/>
              </w:rPr>
              <w:t xml:space="preserve"> Smart-PLS</w:t>
            </w:r>
            <w:r w:rsidRPr="00671561">
              <w:rPr>
                <w:rFonts w:ascii="Traditional Arabic" w:hAnsi="Traditional Arabic" w:cs="Traditional Arabic"/>
                <w:sz w:val="24"/>
                <w:szCs w:val="24"/>
                <w:rtl/>
                <w:lang w:val="en-US"/>
              </w:rPr>
              <w:t xml:space="preserve">، </w:t>
            </w:r>
            <w:r w:rsidRPr="00671561">
              <w:rPr>
                <w:rFonts w:ascii="Traditional Arabic" w:hAnsi="Traditional Arabic" w:cs="Traditional Arabic"/>
                <w:sz w:val="24"/>
                <w:szCs w:val="24"/>
                <w:lang w:val="en-US"/>
              </w:rPr>
              <w:t xml:space="preserve">86 </w:t>
            </w:r>
            <w:r w:rsidRPr="00671561">
              <w:rPr>
                <w:rFonts w:ascii="Traditional Arabic" w:hAnsi="Traditional Arabic" w:cs="Traditional Arabic"/>
                <w:sz w:val="24"/>
                <w:szCs w:val="24"/>
                <w:rtl/>
                <w:lang w:val="en-US"/>
              </w:rPr>
              <w:t>موظف</w:t>
            </w:r>
          </w:p>
        </w:tc>
        <w:tc>
          <w:tcPr>
            <w:tcW w:w="2268" w:type="dxa"/>
            <w:hideMark/>
          </w:tcPr>
          <w:p w14:paraId="07B03736"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إدارة المعرفة تؤثر على</w:t>
            </w:r>
            <w:r w:rsidRPr="00671561">
              <w:rPr>
                <w:rFonts w:ascii="Traditional Arabic" w:hAnsi="Traditional Arabic" w:cs="Traditional Arabic"/>
                <w:sz w:val="24"/>
                <w:szCs w:val="24"/>
                <w:lang w:val="en-US"/>
              </w:rPr>
              <w:t xml:space="preserve"> OCB</w:t>
            </w:r>
            <w:r w:rsidRPr="00671561">
              <w:rPr>
                <w:rFonts w:ascii="Traditional Arabic" w:hAnsi="Traditional Arabic" w:cs="Traditional Arabic"/>
                <w:sz w:val="24"/>
                <w:szCs w:val="24"/>
                <w:rtl/>
                <w:lang w:val="en-US"/>
              </w:rPr>
              <w:t>، الرضا وسّط العلاقة، الحوكمة لم تؤثر بشكل مباشر</w:t>
            </w:r>
          </w:p>
        </w:tc>
      </w:tr>
      <w:tr w:rsidR="00C110B2" w:rsidRPr="00671561" w14:paraId="3DEDD578" w14:textId="77777777" w:rsidTr="00980493">
        <w:trPr>
          <w:jc w:val="center"/>
        </w:trPr>
        <w:tc>
          <w:tcPr>
            <w:tcW w:w="1484" w:type="dxa"/>
            <w:hideMark/>
          </w:tcPr>
          <w:p w14:paraId="31E761B4"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t>Tamsah et al. (2023)</w:t>
            </w:r>
          </w:p>
        </w:tc>
        <w:tc>
          <w:tcPr>
            <w:tcW w:w="1440" w:type="dxa"/>
            <w:hideMark/>
          </w:tcPr>
          <w:p w14:paraId="149C0598"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نموذج تحسين أداء العاملين الصحيين في مراكز الصحة</w:t>
            </w:r>
          </w:p>
        </w:tc>
        <w:tc>
          <w:tcPr>
            <w:tcW w:w="1800" w:type="dxa"/>
            <w:hideMark/>
          </w:tcPr>
          <w:p w14:paraId="408F4B78"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دراسة دور إدارة المواهب والمعرفة خلال الثورة الصناعية 4.0</w:t>
            </w:r>
          </w:p>
        </w:tc>
        <w:tc>
          <w:tcPr>
            <w:tcW w:w="1530" w:type="dxa"/>
            <w:hideMark/>
          </w:tcPr>
          <w:p w14:paraId="544F1DB9"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استبانة وتحليل</w:t>
            </w:r>
            <w:r w:rsidRPr="00671561">
              <w:rPr>
                <w:rFonts w:ascii="Traditional Arabic" w:hAnsi="Traditional Arabic" w:cs="Traditional Arabic"/>
                <w:sz w:val="24"/>
                <w:szCs w:val="24"/>
                <w:lang w:val="en-US"/>
              </w:rPr>
              <w:t xml:space="preserve"> SEM</w:t>
            </w:r>
          </w:p>
        </w:tc>
        <w:tc>
          <w:tcPr>
            <w:tcW w:w="2268" w:type="dxa"/>
            <w:hideMark/>
          </w:tcPr>
          <w:p w14:paraId="7A3427F5"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إدارة المعرفة والمواهب تؤثران بشكل كبير في الأداء، أهمية الاستجابة للتغيير</w:t>
            </w:r>
          </w:p>
        </w:tc>
      </w:tr>
      <w:tr w:rsidR="00C110B2" w:rsidRPr="00671561" w14:paraId="4E00D812" w14:textId="77777777" w:rsidTr="00980493">
        <w:trPr>
          <w:jc w:val="center"/>
        </w:trPr>
        <w:tc>
          <w:tcPr>
            <w:tcW w:w="1484" w:type="dxa"/>
            <w:hideMark/>
          </w:tcPr>
          <w:p w14:paraId="682332FC"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t>Noviantoro et al. (2023)</w:t>
            </w:r>
          </w:p>
        </w:tc>
        <w:tc>
          <w:tcPr>
            <w:tcW w:w="1440" w:type="dxa"/>
            <w:hideMark/>
          </w:tcPr>
          <w:p w14:paraId="2967D7F2"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تصميم نظام إدارة المعرفة</w:t>
            </w:r>
          </w:p>
        </w:tc>
        <w:tc>
          <w:tcPr>
            <w:tcW w:w="1800" w:type="dxa"/>
            <w:hideMark/>
          </w:tcPr>
          <w:p w14:paraId="0FD4360F"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تصميم نظام لمشاركة المعرفة في معهد حكومي ماليزي</w:t>
            </w:r>
          </w:p>
        </w:tc>
        <w:tc>
          <w:tcPr>
            <w:tcW w:w="1530" w:type="dxa"/>
            <w:hideMark/>
          </w:tcPr>
          <w:p w14:paraId="5B2A9A71"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منهجية تحليل وتصميم النظم، أدوات تكنولوجية</w:t>
            </w:r>
          </w:p>
        </w:tc>
        <w:tc>
          <w:tcPr>
            <w:tcW w:w="2268" w:type="dxa"/>
            <w:hideMark/>
          </w:tcPr>
          <w:p w14:paraId="0C73B559"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تحسين الكفاءة التشغيلية، وتسهيل الوصول للمعرفة، وتقليل فقدانها عند التقاعد</w:t>
            </w:r>
          </w:p>
        </w:tc>
      </w:tr>
      <w:tr w:rsidR="00C110B2" w:rsidRPr="00671561" w14:paraId="5992E1CC" w14:textId="77777777" w:rsidTr="00980493">
        <w:trPr>
          <w:jc w:val="center"/>
        </w:trPr>
        <w:tc>
          <w:tcPr>
            <w:tcW w:w="1484" w:type="dxa"/>
            <w:hideMark/>
          </w:tcPr>
          <w:p w14:paraId="116E01FC"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t>Arifin et al. (2022)</w:t>
            </w:r>
          </w:p>
        </w:tc>
        <w:tc>
          <w:tcPr>
            <w:tcW w:w="1440" w:type="dxa"/>
            <w:hideMark/>
          </w:tcPr>
          <w:p w14:paraId="444ED30C"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تأثير إدارة المعرفة على الأداء التنظيمي</w:t>
            </w:r>
          </w:p>
        </w:tc>
        <w:tc>
          <w:tcPr>
            <w:tcW w:w="1800" w:type="dxa"/>
            <w:hideMark/>
          </w:tcPr>
          <w:p w14:paraId="1F035D89"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دراسة تطبيق إدارة المعرفة على قطاع التعليم العالي</w:t>
            </w:r>
          </w:p>
        </w:tc>
        <w:tc>
          <w:tcPr>
            <w:tcW w:w="1530" w:type="dxa"/>
            <w:hideMark/>
          </w:tcPr>
          <w:p w14:paraId="5F281301"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 xml:space="preserve">منهج وصفي تحليلي، 100 مشارك، </w:t>
            </w:r>
            <w:r w:rsidRPr="00671561">
              <w:rPr>
                <w:rFonts w:ascii="Traditional Arabic" w:hAnsi="Traditional Arabic" w:cs="Traditional Arabic"/>
                <w:sz w:val="24"/>
                <w:szCs w:val="24"/>
                <w:lang w:val="en-US"/>
              </w:rPr>
              <w:t>SPSS</w:t>
            </w:r>
          </w:p>
        </w:tc>
        <w:tc>
          <w:tcPr>
            <w:tcW w:w="2268" w:type="dxa"/>
            <w:hideMark/>
          </w:tcPr>
          <w:p w14:paraId="1F6DFD15"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إدارة المعرفة تعزز الأداء، وتوصيات بتدريب الموظفين وتحفيزهم للمشاركة المعرفية</w:t>
            </w:r>
          </w:p>
        </w:tc>
      </w:tr>
      <w:tr w:rsidR="00C110B2" w:rsidRPr="00671561" w14:paraId="64342DF5" w14:textId="77777777" w:rsidTr="00980493">
        <w:trPr>
          <w:jc w:val="center"/>
        </w:trPr>
        <w:tc>
          <w:tcPr>
            <w:tcW w:w="1484" w:type="dxa"/>
            <w:hideMark/>
          </w:tcPr>
          <w:p w14:paraId="72ED40C6"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t>Kalkan (2008)</w:t>
            </w:r>
          </w:p>
        </w:tc>
        <w:tc>
          <w:tcPr>
            <w:tcW w:w="1440" w:type="dxa"/>
            <w:hideMark/>
          </w:tcPr>
          <w:p w14:paraId="12DADAD4"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lang w:val="en-US"/>
              </w:rPr>
              <w:t>KnowledgeManagement and Firm Performance</w:t>
            </w:r>
          </w:p>
        </w:tc>
        <w:tc>
          <w:tcPr>
            <w:tcW w:w="1800" w:type="dxa"/>
            <w:hideMark/>
          </w:tcPr>
          <w:p w14:paraId="7109A3E5"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اختبار العلاقة بين إدارة المعرفة وأداء الشركات الصناعية في تركيا</w:t>
            </w:r>
          </w:p>
        </w:tc>
        <w:tc>
          <w:tcPr>
            <w:tcW w:w="1530" w:type="dxa"/>
            <w:hideMark/>
          </w:tcPr>
          <w:p w14:paraId="19E180D4"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استبانة وتحليل إحصائي</w:t>
            </w:r>
          </w:p>
        </w:tc>
        <w:tc>
          <w:tcPr>
            <w:tcW w:w="2268" w:type="dxa"/>
            <w:hideMark/>
          </w:tcPr>
          <w:p w14:paraId="7B180992" w14:textId="77777777" w:rsidR="00C110B2" w:rsidRPr="00671561" w:rsidRDefault="00C110B2" w:rsidP="00980493">
            <w:pPr>
              <w:tabs>
                <w:tab w:val="left" w:pos="288"/>
                <w:tab w:val="center" w:pos="4680"/>
              </w:tabs>
              <w:bidi/>
              <w:rPr>
                <w:rFonts w:ascii="Traditional Arabic" w:hAnsi="Traditional Arabic" w:cs="Traditional Arabic"/>
                <w:sz w:val="24"/>
                <w:szCs w:val="24"/>
                <w:lang w:val="en-US"/>
              </w:rPr>
            </w:pPr>
            <w:r w:rsidRPr="00671561">
              <w:rPr>
                <w:rFonts w:ascii="Traditional Arabic" w:hAnsi="Traditional Arabic" w:cs="Traditional Arabic"/>
                <w:sz w:val="24"/>
                <w:szCs w:val="24"/>
                <w:rtl/>
                <w:lang w:val="en-US"/>
              </w:rPr>
              <w:t>علاقة إيجابية قوية، وأهمية دمج إدارة المعرفة في الاستراتيجيات التنظيمية</w:t>
            </w:r>
          </w:p>
        </w:tc>
      </w:tr>
    </w:tbl>
    <w:p w14:paraId="40D3FD06"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u w:val="single"/>
          <w:rtl/>
          <w:lang w:val="en-US"/>
        </w:rPr>
      </w:pPr>
    </w:p>
    <w:p w14:paraId="1F9EB409"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hint="cs"/>
          <w:b/>
          <w:bCs/>
          <w:sz w:val="32"/>
          <w:szCs w:val="32"/>
          <w:rtl/>
          <w:lang w:val="en-US"/>
        </w:rPr>
        <w:t xml:space="preserve">رابعا: </w:t>
      </w:r>
      <w:r w:rsidRPr="00671561">
        <w:rPr>
          <w:rFonts w:ascii="Traditional Arabic" w:hAnsi="Traditional Arabic" w:cs="Traditional Arabic"/>
          <w:b/>
          <w:bCs/>
          <w:sz w:val="32"/>
          <w:szCs w:val="32"/>
          <w:rtl/>
          <w:lang w:val="en-US"/>
        </w:rPr>
        <w:t>أوجه الاستفادة من الدراسات السابقة</w:t>
      </w:r>
    </w:p>
    <w:p w14:paraId="266D837B"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 xml:space="preserve">لقد استفادت الدراسة الحالية من الدراسات السابقة في عدة جوانب أساسية، سواء على الصعيد النظري أو المنهجي أو التطبيقي. فعلى المستوى النظري، ساعدت الدراسات السابقة في ترسيخ الفهم الشامل لمفهوم إدارة المعرفة وأبعادها المختلفة، والعلاقة التي تربطها بأداء العاملين في البيئات التنظيمية المتنوعة. فقد أبرزت دراسة كرار والموسوي (٢٠٢١) أهمية استراتيجيات إدارة المعرفة (تنظيم المعرفة، المشاركة، التخزين، والإدراك) في تنمية الأداء الوظيفي لأعضاء هيئة التدريس، وأكدت أن تكامل هذه العمليات ينعكس إيجابًا على الكفاءة الوظيفية للعاملين. كما وضحت دراسة عيد (٢٠٢١) أن تطبيق ممارسات إدارة المعرفة يسهم في تحسين أداء العاملين من خلال رفع جودة العمل وتقليل الأخطاء التنظيمية، بينما كشفت دراسة اليعربي (٢٠٢١) عن ارتباط إدارة المعرفة بالتميز المؤسسي في </w:t>
      </w:r>
      <w:r w:rsidRPr="00671561">
        <w:rPr>
          <w:rFonts w:ascii="Traditional Arabic" w:hAnsi="Traditional Arabic" w:cs="Traditional Arabic"/>
          <w:sz w:val="32"/>
          <w:szCs w:val="32"/>
          <w:rtl/>
          <w:lang w:val="en-US"/>
        </w:rPr>
        <w:lastRenderedPageBreak/>
        <w:t>بيئة تعليمية، مؤكدة أهمية نشر ثقافة المعرفة بين العاملين وتضمينها في الخطط الاستراتيجية. كذلك، أسهمت الدراسات الأجنبية، مثل دراسة</w:t>
      </w:r>
      <w:r w:rsidRPr="00671561">
        <w:rPr>
          <w:rFonts w:ascii="Traditional Arabic" w:hAnsi="Traditional Arabic" w:cs="Traditional Arabic"/>
          <w:sz w:val="32"/>
          <w:szCs w:val="32"/>
          <w:lang w:val="en-US"/>
        </w:rPr>
        <w:t xml:space="preserve"> Karyatun et al. (2023)</w:t>
      </w:r>
      <w:r w:rsidRPr="00671561">
        <w:rPr>
          <w:rFonts w:ascii="Traditional Arabic" w:hAnsi="Traditional Arabic" w:cs="Traditional Arabic"/>
          <w:sz w:val="32"/>
          <w:szCs w:val="32"/>
          <w:rtl/>
          <w:lang w:val="en-US"/>
        </w:rPr>
        <w:t>، في توضيح الدور الوسيط للرضا الوظيفي في العلاقة بين إدارة المعرفة وسلوك المواطنة التنظيمية، مما ساعد الدراسة الحالية على تحديد أبعاد العلاقة بين إدارة المعرفة والأداء الوظيفي بصورة أكثر دقة</w:t>
      </w:r>
      <w:r w:rsidRPr="00671561">
        <w:rPr>
          <w:rFonts w:ascii="Traditional Arabic" w:hAnsi="Traditional Arabic" w:cs="Traditional Arabic"/>
          <w:sz w:val="32"/>
          <w:szCs w:val="32"/>
          <w:lang w:val="en-US"/>
        </w:rPr>
        <w:t>.</w:t>
      </w:r>
    </w:p>
    <w:p w14:paraId="5259C0BA"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 xml:space="preserve">أما من الناحية المنهجية، فقد استفادت الدراسة من تنوع الأساليب البحثية التي استخدمتها الدراسات السابقة في تحليل العلاقة بين إدارة المعرفة والأداء، حيث اعتمدت بعض الدراسات العربية على المنهج الوصفي التحليلي كما في دراسة الأقرع (٢٠٢٠) وأبو جمعة والمغربي (٢٠٢٠)، في حين استخدمت الدراسات الأجنبية الحديثة، مثل </w:t>
      </w:r>
      <w:r w:rsidRPr="00671561">
        <w:rPr>
          <w:rFonts w:ascii="Traditional Arabic" w:hAnsi="Traditional Arabic" w:cs="Traditional Arabic"/>
          <w:sz w:val="32"/>
          <w:szCs w:val="32"/>
          <w:lang w:val="en-US"/>
        </w:rPr>
        <w:t>Tamsah et al. (2023</w:t>
      </w:r>
      <w:r w:rsidRPr="00671561">
        <w:rPr>
          <w:rFonts w:ascii="Traditional Arabic" w:hAnsi="Traditional Arabic" w:cs="Traditional Arabic"/>
          <w:sz w:val="32"/>
          <w:szCs w:val="32"/>
          <w:rtl/>
          <w:lang w:val="en-US"/>
        </w:rPr>
        <w:t>) و</w:t>
      </w:r>
      <w:r w:rsidRPr="00671561">
        <w:rPr>
          <w:rFonts w:ascii="Traditional Arabic" w:hAnsi="Traditional Arabic" w:cs="Traditional Arabic"/>
          <w:sz w:val="32"/>
          <w:szCs w:val="32"/>
          <w:lang w:val="en-US"/>
        </w:rPr>
        <w:t>Pelealu et al. (2022</w:t>
      </w:r>
      <w:r w:rsidRPr="00671561">
        <w:rPr>
          <w:rFonts w:ascii="Traditional Arabic" w:hAnsi="Traditional Arabic" w:cs="Traditional Arabic"/>
          <w:sz w:val="32"/>
          <w:szCs w:val="32"/>
          <w:rtl/>
          <w:lang w:val="en-US"/>
        </w:rPr>
        <w:t>)، نماذج المعادلات الهيكلية (</w:t>
      </w:r>
      <w:r w:rsidRPr="00671561">
        <w:rPr>
          <w:rFonts w:ascii="Traditional Arabic" w:hAnsi="Traditional Arabic" w:cs="Traditional Arabic"/>
          <w:sz w:val="32"/>
          <w:szCs w:val="32"/>
          <w:lang w:val="en-US"/>
        </w:rPr>
        <w:t>SEM</w:t>
      </w:r>
      <w:r w:rsidRPr="00671561">
        <w:rPr>
          <w:rFonts w:ascii="Traditional Arabic" w:hAnsi="Traditional Arabic" w:cs="Traditional Arabic"/>
          <w:sz w:val="32"/>
          <w:szCs w:val="32"/>
          <w:rtl/>
          <w:lang w:val="en-US"/>
        </w:rPr>
        <w:t>) لتحليل الأثر المباشر وغير المباشر لإدارة المعرفة على الأداء الوظيفي. وقد ساعد هذا التنوع المنهجي في بناء منهج الدراسة الحالية، التي تستند إلى أسلوب كمي تحليلي يعتمد على النمذجة الإحصائية لاختبار العلاقات بين المتغيرات. كما ساعدت نتائج تلك الدراسات في تحديد الأبعاد الأكثر تأثيرًا لكل متغير؛ إذ بيّنت معظمها أن عمليات إدارة المعرفة (التوليد، التخزين، المشاركة، التطبيق) ترتبط ارتباطًا وثيقًا بأداء العاملين في أبعاده المختلفة (الكفاءة، الابتكار، رضا العملاء، الالتزام الوظيفي) (</w:t>
      </w:r>
      <w:r w:rsidRPr="00671561">
        <w:rPr>
          <w:rFonts w:ascii="Traditional Arabic" w:hAnsi="Traditional Arabic" w:cs="Traditional Arabic"/>
          <w:sz w:val="32"/>
          <w:szCs w:val="32"/>
          <w:lang w:val="en-US"/>
        </w:rPr>
        <w:t>Alyoubi et al., 2018</w:t>
      </w:r>
      <w:r w:rsidRPr="00671561">
        <w:rPr>
          <w:rFonts w:ascii="Traditional Arabic" w:hAnsi="Traditional Arabic" w:cs="Traditional Arabic"/>
          <w:sz w:val="32"/>
          <w:szCs w:val="32"/>
          <w:rtl/>
          <w:lang w:val="en-US"/>
        </w:rPr>
        <w:t xml:space="preserve">؛ </w:t>
      </w:r>
      <w:r w:rsidRPr="00671561">
        <w:rPr>
          <w:rFonts w:ascii="Traditional Arabic" w:hAnsi="Traditional Arabic" w:cs="Traditional Arabic"/>
          <w:sz w:val="32"/>
          <w:szCs w:val="32"/>
          <w:lang w:val="en-US"/>
        </w:rPr>
        <w:t>Pelealu et al., 2022</w:t>
      </w:r>
      <w:r w:rsidRPr="00671561">
        <w:rPr>
          <w:rFonts w:ascii="Traditional Arabic" w:hAnsi="Traditional Arabic" w:cs="Traditional Arabic"/>
          <w:sz w:val="32"/>
          <w:szCs w:val="32"/>
          <w:rtl/>
          <w:lang w:val="en-US"/>
        </w:rPr>
        <w:t>).</w:t>
      </w:r>
    </w:p>
    <w:p w14:paraId="58437E81"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 xml:space="preserve">على الصعيد التطبيقي، مكّنت الدراسات السابقة الدراسة الحالية من المقارنة بين نتائجها الميدانية ونتائج دراسات أُجريت في قطاعات متنوعة مثل التعليم، الصناعة، والإدارة الحكومية. فقد تناولت دراسة خالد (٢٠٢٠) إدارة المعرفة في القطاع الصناعي بالسودان وأشارت إلى قصور في آليات نقل المعرفة وتأثير ذلك في الأداء المؤسسي، بينما تناولت دراسة الأقرع (٢٠٢٠) المؤسسات الحكومية وأكدت ارتفاع تأثير إدارة المعرفة في تعزيز الأداء الإداري، </w:t>
      </w:r>
      <w:r w:rsidRPr="00671561">
        <w:rPr>
          <w:rFonts w:ascii="Traditional Arabic" w:hAnsi="Traditional Arabic" w:cs="Traditional Arabic"/>
          <w:sz w:val="32"/>
          <w:szCs w:val="32"/>
          <w:rtl/>
          <w:lang w:val="en-US"/>
        </w:rPr>
        <w:lastRenderedPageBreak/>
        <w:t>وأظهرت دراسة اليعربي (٢٠٢١) في القطاع التعليمي مستوى متوسطًا لتطبيق إدارة المعرفة رغم وعي العاملين بأهميتها. هذا التنوع القطاعي ساعد الدراسة الحالية على تكييف مفاهيم إدارة المعرفة وأبعاد الأداء لتتناسب مع طبيعة بيئة الاتصالات السعودية ذات الخصائص التقنية والتنظيمية الخاصة. كما كشفت هذه الدراسات عن ندرة الأبحاث التي اختبرت العلاقة بين إدارة المعرفة وأداء العاملين في الشركات الاتصالية السعودية تحديدًا، وهو ما أبرز الحاجة إلى تناول هذا الموضوع في سياق محلي حديث يتماشى مع متطلبات التحول الرقمي ضمن رؤية المملكة 2030</w:t>
      </w:r>
      <w:r w:rsidRPr="00671561">
        <w:rPr>
          <w:rFonts w:ascii="Traditional Arabic" w:hAnsi="Traditional Arabic" w:cs="Traditional Arabic"/>
          <w:sz w:val="32"/>
          <w:szCs w:val="32"/>
          <w:lang w:val="en-US"/>
        </w:rPr>
        <w:t>.</w:t>
      </w:r>
    </w:p>
    <w:p w14:paraId="3058FA06"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lang w:val="en-US" w:bidi="ar-JO"/>
        </w:rPr>
      </w:pPr>
      <w:r w:rsidRPr="00671561">
        <w:rPr>
          <w:rFonts w:ascii="Traditional Arabic" w:hAnsi="Traditional Arabic" w:cs="Traditional Arabic"/>
          <w:sz w:val="32"/>
          <w:szCs w:val="32"/>
          <w:rtl/>
          <w:lang w:val="en-US"/>
        </w:rPr>
        <w:t>بناءً على ذلك، تُعدّ الدراسات السابقة الركيزة الأساسية التي استندت إليها هذه الدراسة في صياغة النموذج المفاهيمي والفرضيات البحثية، واختيار المنهج والأداة الإحصائية المناسبة لجمع البيانات وتحليلها، بما يضمن الأصالة العلمية والاتساق المنهجي للدراسة الحالية</w:t>
      </w:r>
      <w:r w:rsidRPr="00671561">
        <w:rPr>
          <w:rFonts w:ascii="Traditional Arabic" w:hAnsi="Traditional Arabic" w:cs="Traditional Arabic"/>
          <w:sz w:val="32"/>
          <w:szCs w:val="32"/>
          <w:lang w:val="en-US"/>
        </w:rPr>
        <w:t>.</w:t>
      </w:r>
      <w:r w:rsidRPr="00671561">
        <w:rPr>
          <w:rFonts w:ascii="Traditional Arabic" w:hAnsi="Traditional Arabic" w:cs="Traditional Arabic" w:hint="cs"/>
          <w:sz w:val="32"/>
          <w:szCs w:val="32"/>
          <w:rtl/>
          <w:lang w:val="en-US" w:bidi="ar-JO"/>
        </w:rPr>
        <w:t xml:space="preserve"> </w:t>
      </w:r>
      <w:r w:rsidRPr="00671561">
        <w:rPr>
          <w:rFonts w:ascii="Traditional Arabic" w:hAnsi="Traditional Arabic" w:cs="Traditional Arabic"/>
          <w:sz w:val="32"/>
          <w:szCs w:val="32"/>
          <w:rtl/>
          <w:lang w:val="en-US"/>
        </w:rPr>
        <w:t>في ضوء ما سبق من التأصيل النظري والمراجعة العلمية، يتبيّن أن إدارة المعرفة تمثل مدخلًا فاعلًا لتحسين أداء العاملين من خلال دعم التعلم التنظيمي والتفاعل المعرفي بين الأفراد. واستنادًا إلى نتائج الدراسات السابقة (كرار والموسوي، ٢٠٢١؛ عيد، ٢٠٢١؛</w:t>
      </w:r>
      <w:r w:rsidRPr="00671561">
        <w:rPr>
          <w:rFonts w:ascii="Traditional Arabic" w:hAnsi="Traditional Arabic" w:cs="Traditional Arabic"/>
          <w:sz w:val="32"/>
          <w:szCs w:val="32"/>
          <w:lang w:val="en-US"/>
        </w:rPr>
        <w:t xml:space="preserve"> Karyatun et al., 2023</w:t>
      </w:r>
      <w:r w:rsidRPr="00671561">
        <w:rPr>
          <w:rFonts w:ascii="Traditional Arabic" w:hAnsi="Traditional Arabic" w:cs="Traditional Arabic"/>
          <w:sz w:val="32"/>
          <w:szCs w:val="32"/>
          <w:rtl/>
          <w:lang w:val="en-US"/>
        </w:rPr>
        <w:t>؛</w:t>
      </w:r>
      <w:r w:rsidRPr="00671561">
        <w:rPr>
          <w:rFonts w:ascii="Traditional Arabic" w:hAnsi="Traditional Arabic" w:cs="Traditional Arabic"/>
          <w:sz w:val="32"/>
          <w:szCs w:val="32"/>
          <w:lang w:val="en-US"/>
        </w:rPr>
        <w:t xml:space="preserve"> Pelealu et al., 2022)</w:t>
      </w:r>
      <w:r w:rsidRPr="00671561">
        <w:rPr>
          <w:rFonts w:ascii="Traditional Arabic" w:hAnsi="Traditional Arabic" w:cs="Traditional Arabic"/>
          <w:sz w:val="32"/>
          <w:szCs w:val="32"/>
          <w:rtl/>
          <w:lang w:val="en-US"/>
        </w:rPr>
        <w:t>، تم بناء النموذج المفاهيمي للدراسة الحالية الذي يوضّح أثر أبعاد إدارة المعرفة على أبعاد أداء العاملين، تمهيدًا لاختبار فرضياته ميدانيًا في الفصل الثالث وفق منهجية علمية تراعي خصوصية بيئة العمل في شركة موبايلي السعودية</w:t>
      </w:r>
      <w:r w:rsidRPr="00671561">
        <w:rPr>
          <w:rFonts w:ascii="Traditional Arabic" w:hAnsi="Traditional Arabic" w:cs="Traditional Arabic"/>
          <w:sz w:val="32"/>
          <w:szCs w:val="32"/>
          <w:lang w:val="en-US"/>
        </w:rPr>
        <w:t>.</w:t>
      </w:r>
    </w:p>
    <w:p w14:paraId="607C85E1"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p>
    <w:p w14:paraId="2428F071"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hint="cs"/>
          <w:b/>
          <w:bCs/>
          <w:sz w:val="32"/>
          <w:szCs w:val="32"/>
          <w:rtl/>
          <w:lang w:val="en-US"/>
        </w:rPr>
        <w:t xml:space="preserve">خامسا: </w:t>
      </w:r>
      <w:r w:rsidRPr="00671561">
        <w:rPr>
          <w:rFonts w:ascii="Traditional Arabic" w:hAnsi="Traditional Arabic" w:cs="Traditional Arabic"/>
          <w:b/>
          <w:bCs/>
          <w:sz w:val="32"/>
          <w:szCs w:val="32"/>
          <w:rtl/>
          <w:lang w:val="en-US"/>
        </w:rPr>
        <w:t>الفجوة البحثية</w:t>
      </w:r>
    </w:p>
    <w:p w14:paraId="519CE183"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 xml:space="preserve">من خلال المراجعة التحليلية للدراسات السابقة العربية والأجنبية، يتضح وجود فجوة بحثية واضحة في موضوع العلاقة بين إدارة المعرفة وأداء العاملين من حيث التناول النظري والتطبيقي والمنهجي. فعلى الصعيد الموضوعي، ركزت </w:t>
      </w:r>
      <w:r w:rsidRPr="00671561">
        <w:rPr>
          <w:rFonts w:ascii="Traditional Arabic" w:hAnsi="Traditional Arabic" w:cs="Traditional Arabic"/>
          <w:sz w:val="32"/>
          <w:szCs w:val="32"/>
          <w:rtl/>
          <w:lang w:val="en-US"/>
        </w:rPr>
        <w:lastRenderedPageBreak/>
        <w:t xml:space="preserve">غالبية الدراسات السابقة على تحليل العلاقة بين إدارة المعرفة والأداء المؤسسي بشكل عام دون التركيز الكافي على أداء العاملين الفردي، كما في دراسة خالد (٢٠٢٠) التي تناولت الأداء المؤسسي في مجموعة جياد الصناعية، ودراسة الأقرع (٢٠٢٠) التي درست الأداء الإداري في المؤسسات الحكومية بقلقيلية، ودراسة </w:t>
      </w:r>
      <w:r w:rsidRPr="00671561">
        <w:rPr>
          <w:rFonts w:ascii="Traditional Arabic" w:hAnsi="Traditional Arabic" w:cs="Traditional Arabic" w:hint="cs"/>
          <w:sz w:val="32"/>
          <w:szCs w:val="32"/>
          <w:rtl/>
          <w:lang w:val="en-US"/>
        </w:rPr>
        <w:t>(</w:t>
      </w:r>
      <w:r w:rsidRPr="00671561">
        <w:rPr>
          <w:rFonts w:ascii="Traditional Arabic" w:hAnsi="Traditional Arabic" w:cs="Traditional Arabic"/>
          <w:sz w:val="32"/>
          <w:szCs w:val="32"/>
          <w:lang w:val="en-US"/>
        </w:rPr>
        <w:t>Kalkan</w:t>
      </w:r>
      <w:r w:rsidRPr="00671561">
        <w:rPr>
          <w:rFonts w:ascii="Traditional Arabic" w:hAnsi="Traditional Arabic" w:cs="Traditional Arabic"/>
          <w:sz w:val="32"/>
          <w:szCs w:val="32"/>
          <w:lang w:val="en-US" w:bidi="ar-AE"/>
        </w:rPr>
        <w:t xml:space="preserve">, </w:t>
      </w:r>
      <w:r w:rsidRPr="00671561">
        <w:rPr>
          <w:rFonts w:ascii="Traditional Arabic" w:hAnsi="Traditional Arabic" w:cs="Traditional Arabic"/>
          <w:sz w:val="32"/>
          <w:szCs w:val="32"/>
          <w:lang w:val="en-US"/>
        </w:rPr>
        <w:t>2008</w:t>
      </w:r>
      <w:r w:rsidRPr="00671561">
        <w:rPr>
          <w:rFonts w:ascii="Traditional Arabic" w:hAnsi="Traditional Arabic" w:cs="Traditional Arabic"/>
          <w:sz w:val="32"/>
          <w:szCs w:val="32"/>
          <w:rtl/>
          <w:lang w:val="en-US"/>
        </w:rPr>
        <w:t>) التي بحثت في أداء الشركات الصناعية التركية. أما الدراسات التي تناولت أداء العاملين مباشرة، مثل دراسة عيد (٢٠٢١) ودراسة أبو جمعة والمغربي (٢٠٢٠)، فقد ركزت على العلاقة الكلية بين إدارة المعرفة والأداء الوظيفي دون تحليل تفصيلي للأبعاد المختلفة لكليهما. كما لوحظ أن معظم الدراسات لم تتناول العلاقة المتبادلة بين أبعاد إدارة المعرفة (توليد المعرفة، خزنها، مشاركتها، تطبيقها) وبين أبعاد الأداء الفردي (الكفاءة، الابتكار، رضا العملاء، الالتزام) في نموذج تكاملي واحد، مما يحد من شمولية النتائج ويضعف القدرة على تفسير العلاقة بين المتغيرين بشكل دقيق (</w:t>
      </w:r>
      <w:r w:rsidRPr="00671561">
        <w:rPr>
          <w:rFonts w:ascii="Traditional Arabic" w:hAnsi="Traditional Arabic" w:cs="Traditional Arabic"/>
          <w:sz w:val="32"/>
          <w:szCs w:val="32"/>
          <w:lang w:val="en-US"/>
        </w:rPr>
        <w:t>Pelealu et al., 2022</w:t>
      </w:r>
      <w:r w:rsidRPr="00671561">
        <w:rPr>
          <w:rFonts w:ascii="Traditional Arabic" w:hAnsi="Traditional Arabic" w:cs="Traditional Arabic"/>
          <w:sz w:val="32"/>
          <w:szCs w:val="32"/>
          <w:rtl/>
          <w:lang w:val="en-US"/>
        </w:rPr>
        <w:t xml:space="preserve">؛ </w:t>
      </w:r>
      <w:r w:rsidRPr="00671561">
        <w:rPr>
          <w:rFonts w:ascii="Traditional Arabic" w:hAnsi="Traditional Arabic" w:cs="Traditional Arabic"/>
          <w:sz w:val="32"/>
          <w:szCs w:val="32"/>
          <w:lang w:val="en-US"/>
        </w:rPr>
        <w:t>Karyatun et al., 2023</w:t>
      </w:r>
      <w:r w:rsidRPr="00671561">
        <w:rPr>
          <w:rFonts w:ascii="Traditional Arabic" w:hAnsi="Traditional Arabic" w:cs="Traditional Arabic"/>
          <w:sz w:val="32"/>
          <w:szCs w:val="32"/>
          <w:rtl/>
          <w:lang w:val="en-US"/>
        </w:rPr>
        <w:t>).</w:t>
      </w:r>
    </w:p>
    <w:p w14:paraId="0A843CDA"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أما على الصعيد المنهجي، فقد أظهرت غالبية الدراسات اعتمادها على المناهج الوصفية التقليدية وأدوات التحليل الإحصائي البسيطة، مثل تحليل الانحدار الثنائي أو الارتباط البسيط، كما في دراسات كرار والموسوي (٢٠٢١)، واليـعربي (٢٠٢١)، والأقرع (٢٠٢٠)، بينما قلّما استخدمت الدراسات العربية أدوات تحليل متقدمة مثل نماذج المعادلات الهيكلية (</w:t>
      </w:r>
      <w:r w:rsidRPr="00671561">
        <w:rPr>
          <w:rFonts w:ascii="Traditional Arabic" w:hAnsi="Traditional Arabic" w:cs="Traditional Arabic"/>
          <w:sz w:val="32"/>
          <w:szCs w:val="32"/>
          <w:lang w:val="en-US"/>
        </w:rPr>
        <w:t>SEM</w:t>
      </w:r>
      <w:r w:rsidRPr="00671561">
        <w:rPr>
          <w:rFonts w:ascii="Traditional Arabic" w:hAnsi="Traditional Arabic" w:cs="Traditional Arabic"/>
          <w:sz w:val="32"/>
          <w:szCs w:val="32"/>
          <w:rtl/>
          <w:lang w:val="en-US"/>
        </w:rPr>
        <w:t>) أو التحليل العاملي التوكيدي (</w:t>
      </w:r>
      <w:r w:rsidRPr="00671561">
        <w:rPr>
          <w:rFonts w:ascii="Traditional Arabic" w:hAnsi="Traditional Arabic" w:cs="Traditional Arabic"/>
          <w:sz w:val="32"/>
          <w:szCs w:val="32"/>
          <w:lang w:val="en-US"/>
        </w:rPr>
        <w:t>CFA</w:t>
      </w:r>
      <w:r w:rsidRPr="00671561">
        <w:rPr>
          <w:rFonts w:ascii="Traditional Arabic" w:hAnsi="Traditional Arabic" w:cs="Traditional Arabic"/>
          <w:sz w:val="32"/>
          <w:szCs w:val="32"/>
          <w:rtl/>
          <w:lang w:val="en-US"/>
        </w:rPr>
        <w:t xml:space="preserve">) التي تساعد في الكشف عن العلاقات المركبة بين أبعاد المتغيرات، باستثناء بعض الدراسات الأجنبية الحديثة مثل دراسة </w:t>
      </w:r>
      <w:r w:rsidRPr="00671561">
        <w:rPr>
          <w:rFonts w:ascii="Traditional Arabic" w:hAnsi="Traditional Arabic" w:cs="Traditional Arabic"/>
          <w:sz w:val="32"/>
          <w:szCs w:val="32"/>
          <w:lang w:val="en-US"/>
        </w:rPr>
        <w:t>Tamsah et al. 2023</w:t>
      </w:r>
      <w:r w:rsidRPr="00671561">
        <w:rPr>
          <w:rFonts w:ascii="Traditional Arabic" w:hAnsi="Traditional Arabic" w:cs="Traditional Arabic"/>
          <w:sz w:val="32"/>
          <w:szCs w:val="32"/>
          <w:lang w:val="en-US" w:bidi="ar-AE"/>
        </w:rPr>
        <w:t>)</w:t>
      </w:r>
      <w:r w:rsidRPr="00671561">
        <w:rPr>
          <w:rFonts w:ascii="Traditional Arabic" w:hAnsi="Traditional Arabic" w:cs="Traditional Arabic"/>
          <w:sz w:val="32"/>
          <w:szCs w:val="32"/>
          <w:rtl/>
          <w:lang w:val="en-US"/>
        </w:rPr>
        <w:t xml:space="preserve">) ودراسة </w:t>
      </w:r>
      <w:r w:rsidRPr="00671561">
        <w:rPr>
          <w:rFonts w:ascii="Traditional Arabic" w:hAnsi="Traditional Arabic" w:cs="Traditional Arabic"/>
          <w:sz w:val="32"/>
          <w:szCs w:val="32"/>
          <w:lang w:val="en-US"/>
        </w:rPr>
        <w:t>Karyatun et al. (2023</w:t>
      </w:r>
      <w:r w:rsidRPr="00671561">
        <w:rPr>
          <w:rFonts w:ascii="Traditional Arabic" w:hAnsi="Traditional Arabic" w:cs="Traditional Arabic"/>
          <w:sz w:val="32"/>
          <w:szCs w:val="32"/>
          <w:rtl/>
          <w:lang w:val="en-US"/>
        </w:rPr>
        <w:t xml:space="preserve">) اللتين استخدمتا تقنيات </w:t>
      </w:r>
      <w:r w:rsidRPr="00671561">
        <w:rPr>
          <w:rFonts w:ascii="Traditional Arabic" w:hAnsi="Traditional Arabic" w:cs="Traditional Arabic"/>
          <w:sz w:val="32"/>
          <w:szCs w:val="32"/>
          <w:lang w:val="en-US"/>
        </w:rPr>
        <w:t>PLS</w:t>
      </w:r>
      <w:r w:rsidRPr="00671561">
        <w:rPr>
          <w:rFonts w:ascii="Traditional Arabic" w:hAnsi="Traditional Arabic" w:cs="Traditional Arabic"/>
          <w:sz w:val="32"/>
          <w:szCs w:val="32"/>
          <w:rtl/>
          <w:lang w:val="en-US"/>
        </w:rPr>
        <w:t xml:space="preserve"> و</w:t>
      </w:r>
      <w:r w:rsidRPr="00671561">
        <w:rPr>
          <w:rFonts w:ascii="Traditional Arabic" w:hAnsi="Traditional Arabic" w:cs="Traditional Arabic"/>
          <w:sz w:val="32"/>
          <w:szCs w:val="32"/>
          <w:lang w:val="en-US"/>
        </w:rPr>
        <w:t>AMOS</w:t>
      </w:r>
      <w:r w:rsidRPr="00671561">
        <w:rPr>
          <w:rFonts w:ascii="Traditional Arabic" w:hAnsi="Traditional Arabic" w:cs="Traditional Arabic"/>
          <w:sz w:val="32"/>
          <w:szCs w:val="32"/>
          <w:rtl/>
          <w:lang w:val="en-US"/>
        </w:rPr>
        <w:t xml:space="preserve"> في تحليل الأثر. وهذا يوضح أن هناك حاجة إلى دراسات عربية حديثة توظف الأساليب الكمية المتقدمة لتفسير العلاقة بين إدارة المعرفة والأداء بشكل أكثر عمقًا ودقة.</w:t>
      </w:r>
    </w:p>
    <w:p w14:paraId="0E1F3E02"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lastRenderedPageBreak/>
        <w:t>على الصعيد الزمني، فإن غالبية الدراسات العربية التي تناولت هذا الموضوع نُشرت خلال الفترة (٢٠١٧–٢٠٢١)، مثل دراسات قاعود (٢٠١٧)، الأقرع (٢٠٢٠)، أبو جمعة والمغربي (٢٠٢٠)، وعيد (٢٠٢١)، وهي فترة سابقة للتحولات الرقمية الكبرى التي تشهدها المؤسسات اليوم ضمن ما يُعرف بالثورة الصناعية الرابعة. وبالتالي، فإن نتائج تلك الدراسات لا تعكس الواقع الحالي الذي أصبحت فيه إدارة المعرفة رقمية الطابع وتعتمد على الأنظمة الإلكترونية والتقنيات الذكية في تخزين وتبادل المعرفة، كما بيّنت الدراسات الحديثة (</w:t>
      </w:r>
      <w:r w:rsidRPr="00671561">
        <w:rPr>
          <w:rFonts w:ascii="Traditional Arabic" w:hAnsi="Traditional Arabic" w:cs="Traditional Arabic"/>
          <w:sz w:val="32"/>
          <w:szCs w:val="32"/>
          <w:lang w:val="en-US"/>
        </w:rPr>
        <w:t>Yumhi et al., 2024</w:t>
      </w:r>
      <w:r w:rsidRPr="00671561">
        <w:rPr>
          <w:rFonts w:ascii="Traditional Arabic" w:hAnsi="Traditional Arabic" w:cs="Traditional Arabic"/>
          <w:sz w:val="32"/>
          <w:szCs w:val="32"/>
          <w:rtl/>
          <w:lang w:val="en-US"/>
        </w:rPr>
        <w:t xml:space="preserve">؛ </w:t>
      </w:r>
      <w:r w:rsidRPr="00671561">
        <w:rPr>
          <w:rFonts w:ascii="Traditional Arabic" w:hAnsi="Traditional Arabic" w:cs="Traditional Arabic"/>
          <w:sz w:val="32"/>
          <w:szCs w:val="32"/>
          <w:lang w:val="en-US"/>
        </w:rPr>
        <w:t>Palupiningtyas et al., 2024</w:t>
      </w:r>
      <w:r w:rsidRPr="00671561">
        <w:rPr>
          <w:rFonts w:ascii="Traditional Arabic" w:hAnsi="Traditional Arabic" w:cs="Traditional Arabic"/>
          <w:sz w:val="32"/>
          <w:szCs w:val="32"/>
          <w:rtl/>
          <w:lang w:val="en-US"/>
        </w:rPr>
        <w:t>) التي أكدت أهمية النظم الإلكترونية في تعزيز الأداء عبر المعرفة المؤسسية الرقمية.</w:t>
      </w:r>
    </w:p>
    <w:p w14:paraId="5F9A78CA"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من الناحية الجغرافية، فقد نُفذت معظم الدراسات السابقة في دول عربية وآسيوية مختلفة مثل العراق (كرار والموسوي، ٢٠٢١)، مصر (عيد، ٢٠٢١)، الأردن (أبو جمعة والمغربي، ٢٠٢٠)، عُمان (اليعربي، ٢٠٢١)، فلسطين (الأقرع، ٢٠٢٠)، والسودان (خالد، ٢٠٢٠)، إلى جانب دراسات أجنبية في إندونيسيا وماليزيا وتركيا (</w:t>
      </w:r>
      <w:r w:rsidRPr="00671561">
        <w:rPr>
          <w:rFonts w:ascii="Traditional Arabic" w:hAnsi="Traditional Arabic" w:cs="Traditional Arabic"/>
          <w:sz w:val="32"/>
          <w:szCs w:val="32"/>
          <w:lang w:val="en-US"/>
        </w:rPr>
        <w:t>Pelealu et al., 2022</w:t>
      </w:r>
      <w:r w:rsidRPr="00671561">
        <w:rPr>
          <w:rFonts w:ascii="Traditional Arabic" w:hAnsi="Traditional Arabic" w:cs="Traditional Arabic"/>
          <w:sz w:val="32"/>
          <w:szCs w:val="32"/>
          <w:rtl/>
          <w:lang w:val="en-US"/>
        </w:rPr>
        <w:t xml:space="preserve">؛ </w:t>
      </w:r>
      <w:r w:rsidRPr="00671561">
        <w:rPr>
          <w:rFonts w:ascii="Traditional Arabic" w:hAnsi="Traditional Arabic" w:cs="Traditional Arabic"/>
          <w:sz w:val="32"/>
          <w:szCs w:val="32"/>
          <w:lang w:val="en-US"/>
        </w:rPr>
        <w:t>Tamsah et al., 2023</w:t>
      </w:r>
      <w:r w:rsidRPr="00671561">
        <w:rPr>
          <w:rFonts w:ascii="Traditional Arabic" w:hAnsi="Traditional Arabic" w:cs="Traditional Arabic"/>
          <w:sz w:val="32"/>
          <w:szCs w:val="32"/>
          <w:rtl/>
          <w:lang w:val="en-US"/>
        </w:rPr>
        <w:t xml:space="preserve">؛ </w:t>
      </w:r>
      <w:r w:rsidRPr="00671561">
        <w:rPr>
          <w:rFonts w:ascii="Traditional Arabic" w:hAnsi="Traditional Arabic" w:cs="Traditional Arabic"/>
          <w:sz w:val="32"/>
          <w:szCs w:val="32"/>
          <w:lang w:val="en-US"/>
        </w:rPr>
        <w:t>Kalkan, 2008</w:t>
      </w:r>
      <w:r w:rsidRPr="00671561">
        <w:rPr>
          <w:rFonts w:ascii="Traditional Arabic" w:hAnsi="Traditional Arabic" w:cs="Traditional Arabic"/>
          <w:sz w:val="32"/>
          <w:szCs w:val="32"/>
          <w:rtl/>
          <w:lang w:val="en-US"/>
        </w:rPr>
        <w:t>). بينما ندر وجود الدراسات التي اختبرت العلاقة بين إدارة المعرفة وأداء العاملين في السياق السعودي، رغم أن المملكة تُعد من أكثر الدول العربية تطورًا في مجال التحول الرقمي، وخاصة في قطاع الاتصالات الذي يعتمد بصورة جوهرية على المعرفة والتقنيات الحديثة، ما يجعل دراسة هذه العلاقة في البيئة السعودية أمرًا ذا أهمية بحثية عالية</w:t>
      </w:r>
      <w:r w:rsidRPr="00671561">
        <w:rPr>
          <w:rFonts w:ascii="Traditional Arabic" w:hAnsi="Traditional Arabic" w:cs="Traditional Arabic"/>
          <w:sz w:val="32"/>
          <w:szCs w:val="32"/>
          <w:lang w:val="en-US"/>
        </w:rPr>
        <w:t>.</w:t>
      </w:r>
    </w:p>
    <w:p w14:paraId="4418C1B6" w14:textId="77777777" w:rsidR="00C110B2" w:rsidRPr="00671561" w:rsidRDefault="00C110B2" w:rsidP="00C110B2">
      <w:pPr>
        <w:tabs>
          <w:tab w:val="left" w:pos="288"/>
          <w:tab w:val="center" w:pos="4680"/>
        </w:tabs>
        <w:bidi/>
        <w:spacing w:line="360" w:lineRule="auto"/>
        <w:ind w:firstLine="571"/>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 xml:space="preserve">على الصعيد التطبيقي، ركزت العديد من الدراسات السابقة على قطاعات التعليم والإدارة الحكومية والصناعة، مثل دراسة اليعربي (٢٠٢١) في قطاع التعليم، ودراسة الأقرع (٢٠٢٠) في المؤسسات الحكومية، ودراسة خالد (٢٠٢٠) في القطاع الصناعي، في حين لم تُوجَّه جهود بحثية كافية إلى قطاع الاتصالات، رغم أنه يمثل بيئة غنية </w:t>
      </w:r>
      <w:r w:rsidRPr="00671561">
        <w:rPr>
          <w:rFonts w:ascii="Traditional Arabic" w:hAnsi="Traditional Arabic" w:cs="Traditional Arabic"/>
          <w:sz w:val="32"/>
          <w:szCs w:val="32"/>
          <w:rtl/>
          <w:lang w:val="en-US"/>
        </w:rPr>
        <w:lastRenderedPageBreak/>
        <w:t>بالمعرفة ويتميز بدرجة عالية من التعقيد التقني والتفاعلات التنظيمية القائمة على تبادل المعلومات والخبرة. كما تفتقر الأدبيات إلى دراسات تربط إدارة المعرفة مباشرة بأداء العاملين في الشركات الاتصالية السعودية رغم ما توفره هذه البيئة من فرص لاختبار العلاقة في سياق تقني ومعرفي متطور.</w:t>
      </w:r>
    </w:p>
    <w:p w14:paraId="04CC4547"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r w:rsidRPr="00671561">
        <w:rPr>
          <w:rFonts w:ascii="Traditional Arabic" w:hAnsi="Traditional Arabic" w:cs="Traditional Arabic"/>
          <w:sz w:val="32"/>
          <w:szCs w:val="32"/>
          <w:rtl/>
          <w:lang w:val="en-US"/>
        </w:rPr>
        <w:t>وعليه، يمكن القول إن هذه الفجوة البحثية تتجسد في</w:t>
      </w:r>
      <w:r w:rsidRPr="00671561">
        <w:rPr>
          <w:rFonts w:ascii="Traditional Arabic" w:hAnsi="Traditional Arabic" w:cs="Traditional Arabic" w:hint="cs"/>
          <w:sz w:val="32"/>
          <w:szCs w:val="32"/>
          <w:rtl/>
          <w:lang w:val="en-US"/>
        </w:rPr>
        <w:t>:</w:t>
      </w:r>
    </w:p>
    <w:p w14:paraId="2B8A6652" w14:textId="77777777" w:rsidR="00C110B2" w:rsidRPr="00671561" w:rsidRDefault="00C110B2" w:rsidP="00C110B2">
      <w:pPr>
        <w:pStyle w:val="a5"/>
        <w:numPr>
          <w:ilvl w:val="0"/>
          <w:numId w:val="19"/>
        </w:numPr>
        <w:tabs>
          <w:tab w:val="left" w:pos="288"/>
          <w:tab w:val="center" w:pos="4680"/>
        </w:tabs>
        <w:bidi/>
        <w:spacing w:line="360" w:lineRule="auto"/>
        <w:jc w:val="both"/>
        <w:rPr>
          <w:rFonts w:ascii="Traditional Arabic" w:hAnsi="Traditional Arabic" w:cs="Traditional Arabic"/>
          <w:sz w:val="32"/>
          <w:szCs w:val="32"/>
        </w:rPr>
      </w:pPr>
      <w:r w:rsidRPr="00671561">
        <w:rPr>
          <w:rFonts w:ascii="Traditional Arabic" w:hAnsi="Traditional Arabic" w:cs="Traditional Arabic"/>
          <w:sz w:val="32"/>
          <w:szCs w:val="32"/>
          <w:rtl/>
        </w:rPr>
        <w:t>ندرة الدراسات التطبيقية التي تناولت العلاقة بين إدارة المعرفة وأداء العاملين في السياق السعودي عامة وقطاع الاتصالات خاصة.</w:t>
      </w:r>
    </w:p>
    <w:p w14:paraId="77843419" w14:textId="77777777" w:rsidR="00C110B2" w:rsidRPr="00671561" w:rsidRDefault="00C110B2" w:rsidP="00C110B2">
      <w:pPr>
        <w:pStyle w:val="a5"/>
        <w:numPr>
          <w:ilvl w:val="0"/>
          <w:numId w:val="19"/>
        </w:numPr>
        <w:tabs>
          <w:tab w:val="left" w:pos="288"/>
          <w:tab w:val="center" w:pos="4680"/>
        </w:tabs>
        <w:bidi/>
        <w:spacing w:line="360" w:lineRule="auto"/>
        <w:jc w:val="both"/>
        <w:rPr>
          <w:rFonts w:ascii="Traditional Arabic" w:hAnsi="Traditional Arabic" w:cs="Traditional Arabic"/>
          <w:sz w:val="32"/>
          <w:szCs w:val="32"/>
        </w:rPr>
      </w:pPr>
      <w:r w:rsidRPr="00671561">
        <w:rPr>
          <w:rFonts w:ascii="Traditional Arabic" w:hAnsi="Traditional Arabic" w:cs="Traditional Arabic"/>
          <w:sz w:val="32"/>
          <w:szCs w:val="32"/>
          <w:rtl/>
        </w:rPr>
        <w:t>ضعف التكامل بين أبعاد المتغيرين في النماذج السابقة.</w:t>
      </w:r>
    </w:p>
    <w:p w14:paraId="25CF9AE5" w14:textId="77777777" w:rsidR="00C110B2" w:rsidRPr="00671561" w:rsidRDefault="00C110B2" w:rsidP="00C110B2">
      <w:pPr>
        <w:pStyle w:val="a5"/>
        <w:numPr>
          <w:ilvl w:val="0"/>
          <w:numId w:val="19"/>
        </w:numPr>
        <w:tabs>
          <w:tab w:val="left" w:pos="288"/>
          <w:tab w:val="center" w:pos="4680"/>
        </w:tabs>
        <w:bidi/>
        <w:spacing w:line="360" w:lineRule="auto"/>
        <w:jc w:val="both"/>
        <w:rPr>
          <w:rFonts w:ascii="Traditional Arabic" w:hAnsi="Traditional Arabic" w:cs="Traditional Arabic"/>
          <w:sz w:val="32"/>
          <w:szCs w:val="32"/>
        </w:rPr>
      </w:pPr>
      <w:r w:rsidRPr="00671561">
        <w:rPr>
          <w:rFonts w:ascii="Traditional Arabic" w:hAnsi="Traditional Arabic" w:cs="Traditional Arabic"/>
          <w:sz w:val="32"/>
          <w:szCs w:val="32"/>
          <w:rtl/>
        </w:rPr>
        <w:t>محدودية استخدام التحليل الكمي المتقدم في الدراسات العربية.</w:t>
      </w:r>
    </w:p>
    <w:p w14:paraId="287607C1" w14:textId="77777777" w:rsidR="00C110B2" w:rsidRPr="00671561" w:rsidRDefault="00C110B2" w:rsidP="00C110B2">
      <w:pPr>
        <w:pStyle w:val="a5"/>
        <w:numPr>
          <w:ilvl w:val="0"/>
          <w:numId w:val="19"/>
        </w:numPr>
        <w:tabs>
          <w:tab w:val="left" w:pos="288"/>
          <w:tab w:val="center" w:pos="4680"/>
        </w:tabs>
        <w:bidi/>
        <w:spacing w:line="360" w:lineRule="auto"/>
        <w:jc w:val="both"/>
        <w:rPr>
          <w:rFonts w:ascii="Traditional Arabic" w:hAnsi="Traditional Arabic" w:cs="Traditional Arabic"/>
          <w:sz w:val="32"/>
          <w:szCs w:val="32"/>
        </w:rPr>
      </w:pPr>
      <w:r w:rsidRPr="00671561">
        <w:rPr>
          <w:rFonts w:ascii="Traditional Arabic" w:hAnsi="Traditional Arabic" w:cs="Traditional Arabic"/>
          <w:sz w:val="32"/>
          <w:szCs w:val="32"/>
          <w:rtl/>
        </w:rPr>
        <w:t>قِدم معظم الدراسات مقارنة بالتحولات الرقمية الراهنة.</w:t>
      </w:r>
    </w:p>
    <w:p w14:paraId="5314324E"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bidi="ar-JO"/>
        </w:rPr>
      </w:pPr>
      <w:r w:rsidRPr="00671561">
        <w:rPr>
          <w:rFonts w:ascii="Traditional Arabic" w:hAnsi="Traditional Arabic" w:cs="Traditional Arabic"/>
          <w:sz w:val="32"/>
          <w:szCs w:val="32"/>
          <w:rtl/>
        </w:rPr>
        <w:t>بناءً على ما سبق، تسعى الدراسة الحالية إلى سدّ هذه الفجوة من خلال بناء نموذج تطبيقي متكامل يختبر العلاقة المباشرة بين أبعاد إدارة المعرفة (توليد، خزن، مشاركة، تطبيق) وأبعاد أداء العاملين (الكفاءة، الابتكار، رضا العملاء، الالتزام) في شركة موبايلي السعودية، مستفيدة من التحليل الإحصائي المتقدم عبر استخدام تقنيات النمذجة الهيكلية</w:t>
      </w:r>
      <w:r w:rsidRPr="00671561">
        <w:rPr>
          <w:rFonts w:ascii="Traditional Arabic" w:hAnsi="Traditional Arabic" w:cs="Traditional Arabic"/>
          <w:sz w:val="32"/>
          <w:szCs w:val="32"/>
        </w:rPr>
        <w:t xml:space="preserve"> (SEM)</w:t>
      </w:r>
      <w:r w:rsidRPr="00671561">
        <w:rPr>
          <w:rFonts w:ascii="Traditional Arabic" w:hAnsi="Traditional Arabic" w:cs="Traditional Arabic"/>
          <w:sz w:val="32"/>
          <w:szCs w:val="32"/>
          <w:rtl/>
        </w:rPr>
        <w:t>، بما يحقق الإضافة العلمية والمنهجية في الأدبيات الإدارية المعاصرة</w:t>
      </w:r>
      <w:r w:rsidRPr="00671561">
        <w:rPr>
          <w:rFonts w:ascii="Traditional Arabic" w:hAnsi="Traditional Arabic" w:cs="Traditional Arabic"/>
          <w:sz w:val="32"/>
          <w:szCs w:val="32"/>
        </w:rPr>
        <w:t>.</w:t>
      </w:r>
    </w:p>
    <w:p w14:paraId="48DAC735"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rtl/>
          <w:lang w:val="en-US"/>
        </w:rPr>
      </w:pPr>
      <w:r w:rsidRPr="00671561">
        <w:rPr>
          <w:rFonts w:ascii="Traditional Arabic" w:hAnsi="Traditional Arabic" w:cs="Traditional Arabic" w:hint="cs"/>
          <w:b/>
          <w:bCs/>
          <w:sz w:val="32"/>
          <w:szCs w:val="32"/>
          <w:rtl/>
          <w:lang w:val="en-US"/>
        </w:rPr>
        <w:t>سادسا:</w:t>
      </w:r>
      <w:r w:rsidRPr="00671561">
        <w:rPr>
          <w:rFonts w:ascii="Traditional Arabic" w:hAnsi="Traditional Arabic" w:cs="Traditional Arabic"/>
          <w:b/>
          <w:bCs/>
          <w:sz w:val="32"/>
          <w:szCs w:val="32"/>
          <w:rtl/>
          <w:lang w:val="en-US"/>
        </w:rPr>
        <w:t xml:space="preserve"> ما يميز الدراسة الحالية عن الدراسات السابقة</w:t>
      </w:r>
    </w:p>
    <w:p w14:paraId="0C19132D"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 xml:space="preserve">تتسم الدراسة الحالية بعدد من الجوانب التي تميزها عن الدراسات السابقة، سواء من حيث المجال التطبيقي أو الإطار التحليلي والمنهجي. فعلى الصعيد القطاعي، تركز هذه الدراسة على قطاع الاتصالات، ممثلًا بشركة موبايلي السعودية، وهي إحدى أبرز الشركات في المنطقة من حيث حجم العمليات والتطور التقني، بينما توجهت معظم </w:t>
      </w:r>
      <w:r w:rsidRPr="00671561">
        <w:rPr>
          <w:rFonts w:ascii="Traditional Arabic" w:hAnsi="Traditional Arabic" w:cs="Traditional Arabic"/>
          <w:sz w:val="32"/>
          <w:szCs w:val="32"/>
          <w:rtl/>
          <w:lang w:val="en-US"/>
        </w:rPr>
        <w:lastRenderedPageBreak/>
        <w:t>الدراسات السابقة إلى قطاعات أخرى مثل التعليم العالي، المصارف، الصناعات التحويلية، والمؤسسات الحكومية، ما يمنح الدراسة بعدًا جديدًا في تناول موضوع إدارة المعرفة في بيئة عمل ذات طبيعة تقنية تنافسية وسريعة التغير</w:t>
      </w:r>
      <w:r w:rsidRPr="00671561">
        <w:rPr>
          <w:rFonts w:ascii="Traditional Arabic" w:hAnsi="Traditional Arabic" w:cs="Traditional Arabic"/>
          <w:sz w:val="32"/>
          <w:szCs w:val="32"/>
          <w:lang w:val="en-US"/>
        </w:rPr>
        <w:t>.</w:t>
      </w:r>
    </w:p>
    <w:p w14:paraId="39014D6F"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lang w:val="en-US"/>
        </w:rPr>
      </w:pPr>
      <w:r w:rsidRPr="00671561">
        <w:rPr>
          <w:rFonts w:ascii="Traditional Arabic" w:hAnsi="Traditional Arabic" w:cs="Traditional Arabic"/>
          <w:sz w:val="32"/>
          <w:szCs w:val="32"/>
          <w:rtl/>
          <w:lang w:val="en-US"/>
        </w:rPr>
        <w:t>أما من الناحية الجغرافية، فغالبية الدراسات السابقة نُفذت في دول مثل الأردن، الجزائر، العراق، مصر، إندونيسيا وتركيا، في حين تسلط هذه الدراسة الضوء على السياق السعودي، الذي يتميز بخصوصيات اقتصادية وتنظيمية، ويشهد في الوقت الراهن تحولًا رقميًا واسعًا ضمن رؤية المملكة 2030، ما يجعل فحص دور إدارة المعرفة في تحسين أداء العاملين ذا أهمية استراتيجية تتماشى مع أولويات التنمية الوطنية</w:t>
      </w:r>
      <w:r w:rsidRPr="00671561">
        <w:rPr>
          <w:rFonts w:ascii="Traditional Arabic" w:hAnsi="Traditional Arabic" w:cs="Traditional Arabic"/>
          <w:sz w:val="32"/>
          <w:szCs w:val="32"/>
          <w:lang w:val="en-US"/>
        </w:rPr>
        <w:t>.</w:t>
      </w:r>
    </w:p>
    <w:p w14:paraId="02047BFC" w14:textId="77777777" w:rsidR="00C110B2" w:rsidRPr="00671561" w:rsidRDefault="00C110B2" w:rsidP="00C110B2">
      <w:pPr>
        <w:tabs>
          <w:tab w:val="left" w:pos="288"/>
          <w:tab w:val="center" w:pos="4680"/>
        </w:tabs>
        <w:bidi/>
        <w:spacing w:line="360" w:lineRule="auto"/>
        <w:ind w:firstLine="713"/>
        <w:jc w:val="both"/>
        <w:rPr>
          <w:rFonts w:ascii="Traditional Arabic" w:hAnsi="Traditional Arabic" w:cs="Traditional Arabic"/>
          <w:sz w:val="32"/>
          <w:szCs w:val="32"/>
          <w:rtl/>
          <w:lang w:val="en-US" w:bidi="ar-JO"/>
        </w:rPr>
      </w:pPr>
      <w:r w:rsidRPr="00671561">
        <w:rPr>
          <w:rFonts w:ascii="Traditional Arabic" w:hAnsi="Traditional Arabic" w:cs="Traditional Arabic"/>
          <w:sz w:val="32"/>
          <w:szCs w:val="32"/>
          <w:rtl/>
          <w:lang w:val="en-US"/>
        </w:rPr>
        <w:t>كذلك، تتفرد هذه الدراسة بتركيزها على الربط المباشر بين أبعاد إدارة المعرفة (توليد المعرفة، خزنها، مشاركتها، وتطبيقها) وبين مؤشرات الأداء الوظيفي للعاملين، في حين اكتفت بعض الدراسات السابقة بدراسة العلاقة بين إدارة المعرفة والأداء المؤسسي بشكل عام أو دون التطرق لتفاصيل الأداء الفردي. كما تسعى الدراسة إلى بناء نموذج تطبيقي يتسم بالمرونة والقدرة على التعميم في مؤسسات مشابهة، وذلك من خلال استخدام أدوات تحليلية متقدمة وأساليب كمية دقيقة</w:t>
      </w:r>
      <w:r w:rsidRPr="00671561">
        <w:rPr>
          <w:rFonts w:ascii="Traditional Arabic" w:hAnsi="Traditional Arabic" w:cs="Traditional Arabic"/>
          <w:sz w:val="32"/>
          <w:szCs w:val="32"/>
          <w:lang w:val="en-US"/>
        </w:rPr>
        <w:t>.</w:t>
      </w:r>
      <w:r w:rsidRPr="00671561">
        <w:rPr>
          <w:rFonts w:ascii="Traditional Arabic" w:hAnsi="Traditional Arabic" w:cs="Traditional Arabic"/>
          <w:sz w:val="32"/>
          <w:szCs w:val="32"/>
          <w:rtl/>
          <w:lang w:val="en-US" w:bidi="ar-AE"/>
        </w:rPr>
        <w:t xml:space="preserve"> ب</w:t>
      </w:r>
      <w:r w:rsidRPr="00671561">
        <w:rPr>
          <w:rFonts w:ascii="Traditional Arabic" w:hAnsi="Traditional Arabic" w:cs="Traditional Arabic"/>
          <w:sz w:val="32"/>
          <w:szCs w:val="32"/>
          <w:rtl/>
          <w:lang w:val="en-US"/>
        </w:rPr>
        <w:t>هذا، فإن الدراسة الحالية لا تقتصر فقط على سد فجوة بحثية في الأدبيات، بل تقدم أيضًا رؤية عملية تسهم في دعم متخذي القرار في الشركات الاتصالية لتحسين أداء الكوادر البشرية من خلال تبني ممارسات فعالة في إدارة المعرفة، وهو ما يعزز من القيمة التطبيقية والأكاديمية للدراسة</w:t>
      </w:r>
      <w:r w:rsidRPr="00671561">
        <w:rPr>
          <w:rFonts w:ascii="Traditional Arabic" w:hAnsi="Traditional Arabic" w:cs="Traditional Arabic"/>
          <w:sz w:val="32"/>
          <w:szCs w:val="32"/>
          <w:lang w:val="en-US"/>
        </w:rPr>
        <w:t>.</w:t>
      </w:r>
    </w:p>
    <w:p w14:paraId="0115322A"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p>
    <w:p w14:paraId="253230E8"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p>
    <w:p w14:paraId="118AEEDF"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p>
    <w:p w14:paraId="19FAA95C"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6"/>
          <w:szCs w:val="36"/>
          <w:rtl/>
          <w:lang w:val="en-US"/>
        </w:rPr>
      </w:pPr>
      <w:r w:rsidRPr="00671561">
        <w:rPr>
          <w:rFonts w:ascii="Traditional Arabic" w:hAnsi="Traditional Arabic" w:cs="Traditional Arabic" w:hint="cs"/>
          <w:b/>
          <w:bCs/>
          <w:sz w:val="36"/>
          <w:szCs w:val="36"/>
          <w:rtl/>
          <w:lang w:val="en-US"/>
        </w:rPr>
        <w:lastRenderedPageBreak/>
        <w:t>قائمة المراجع</w:t>
      </w:r>
    </w:p>
    <w:p w14:paraId="403FDD11" w14:textId="77777777" w:rsidR="00C110B2" w:rsidRPr="00671561" w:rsidRDefault="00C110B2" w:rsidP="00C110B2">
      <w:pPr>
        <w:tabs>
          <w:tab w:val="left" w:pos="288"/>
          <w:tab w:val="center" w:pos="4680"/>
        </w:tabs>
        <w:bidi/>
        <w:spacing w:line="360" w:lineRule="auto"/>
        <w:jc w:val="both"/>
        <w:rPr>
          <w:rFonts w:ascii="Traditional Arabic" w:hAnsi="Traditional Arabic" w:cs="Traditional Arabic"/>
          <w:b/>
          <w:bCs/>
          <w:sz w:val="32"/>
          <w:szCs w:val="32"/>
          <w:lang w:val="en-US"/>
        </w:rPr>
      </w:pPr>
      <w:r w:rsidRPr="00671561">
        <w:rPr>
          <w:rFonts w:ascii="Traditional Arabic" w:hAnsi="Traditional Arabic" w:cs="Traditional Arabic" w:hint="cs"/>
          <w:b/>
          <w:bCs/>
          <w:sz w:val="32"/>
          <w:szCs w:val="32"/>
          <w:rtl/>
          <w:lang w:val="en-US"/>
        </w:rPr>
        <w:t>اولا: المراجع الاجنبية</w:t>
      </w:r>
    </w:p>
    <w:p w14:paraId="6D109E91"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Alavi, M., &amp; Leidner, D. E. (2001). Review: Knowledge management and knowledge management systems: Conceptual foundations and research issues. </w:t>
      </w:r>
      <w:r w:rsidRPr="00671561">
        <w:rPr>
          <w:rFonts w:ascii="Traditional Arabic" w:hAnsi="Traditional Arabic" w:cs="Traditional Arabic"/>
          <w:i/>
          <w:iCs/>
          <w:sz w:val="28"/>
          <w:szCs w:val="28"/>
          <w:lang w:val="en-US"/>
        </w:rPr>
        <w:t>MIS Quarterly, 25</w:t>
      </w:r>
      <w:r w:rsidRPr="00671561">
        <w:rPr>
          <w:rFonts w:ascii="Traditional Arabic" w:hAnsi="Traditional Arabic" w:cs="Traditional Arabic"/>
          <w:sz w:val="28"/>
          <w:szCs w:val="28"/>
          <w:lang w:val="en-US"/>
        </w:rPr>
        <w:t>(1), 107–136.</w:t>
      </w:r>
    </w:p>
    <w:p w14:paraId="31A00A7A"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Alyoubi, B., Hoque, M. R., Alharbi, I., Alyoubi, A., &amp; Almazmomi, N. (2018). Impact of knowledge management on employee work performance: Evidence from Saudi Arabia. </w:t>
      </w:r>
      <w:r w:rsidRPr="00671561">
        <w:rPr>
          <w:rFonts w:ascii="Traditional Arabic" w:hAnsi="Traditional Arabic" w:cs="Traditional Arabic"/>
          <w:i/>
          <w:iCs/>
          <w:sz w:val="28"/>
          <w:szCs w:val="28"/>
          <w:lang w:val="en-US"/>
        </w:rPr>
        <w:t>The International Technology Management Review, 7</w:t>
      </w:r>
      <w:r w:rsidRPr="00671561">
        <w:rPr>
          <w:rFonts w:ascii="Traditional Arabic" w:hAnsi="Traditional Arabic" w:cs="Traditional Arabic"/>
          <w:sz w:val="28"/>
          <w:szCs w:val="28"/>
          <w:lang w:val="en-US"/>
        </w:rPr>
        <w:t xml:space="preserve">(1), 13–24. </w:t>
      </w:r>
      <w:hyperlink r:id="rId11" w:history="1">
        <w:r w:rsidRPr="00671561">
          <w:rPr>
            <w:rStyle w:val="Hyperlink"/>
            <w:rFonts w:ascii="Traditional Arabic" w:hAnsi="Traditional Arabic" w:cs="Traditional Arabic"/>
            <w:sz w:val="28"/>
            <w:szCs w:val="28"/>
            <w:lang w:val="en-US"/>
          </w:rPr>
          <w:t>https://doi.org/10.2991/itmr.2018.7.1.2</w:t>
        </w:r>
      </w:hyperlink>
    </w:p>
    <w:p w14:paraId="63BEB014"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Dalkir, K. (2020). </w:t>
      </w:r>
      <w:r w:rsidRPr="00671561">
        <w:rPr>
          <w:rFonts w:ascii="Traditional Arabic" w:hAnsi="Traditional Arabic" w:cs="Traditional Arabic"/>
          <w:i/>
          <w:iCs/>
          <w:sz w:val="28"/>
          <w:szCs w:val="28"/>
          <w:lang w:val="en-US"/>
        </w:rPr>
        <w:t>Knowledge management in theory and practice</w:t>
      </w:r>
      <w:r w:rsidRPr="00671561">
        <w:rPr>
          <w:rFonts w:ascii="Traditional Arabic" w:hAnsi="Traditional Arabic" w:cs="Traditional Arabic"/>
          <w:sz w:val="28"/>
          <w:szCs w:val="28"/>
          <w:lang w:val="en-US"/>
        </w:rPr>
        <w:t xml:space="preserve"> (4th ed.). MIT Press.</w:t>
      </w:r>
    </w:p>
    <w:p w14:paraId="2575CD3A"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Davenport, T. H., &amp; Prusak, L. (1998). </w:t>
      </w:r>
      <w:r w:rsidRPr="00671561">
        <w:rPr>
          <w:rFonts w:ascii="Traditional Arabic" w:hAnsi="Traditional Arabic" w:cs="Traditional Arabic"/>
          <w:i/>
          <w:iCs/>
          <w:sz w:val="28"/>
          <w:szCs w:val="28"/>
          <w:lang w:val="en-US"/>
        </w:rPr>
        <w:t>Working knowledge: How organizations manage what they know.</w:t>
      </w:r>
      <w:r w:rsidRPr="00671561">
        <w:rPr>
          <w:rFonts w:ascii="Traditional Arabic" w:hAnsi="Traditional Arabic" w:cs="Traditional Arabic"/>
          <w:sz w:val="28"/>
          <w:szCs w:val="28"/>
          <w:lang w:val="en-US"/>
        </w:rPr>
        <w:t xml:space="preserve"> Harvard Business School Press.</w:t>
      </w:r>
    </w:p>
    <w:p w14:paraId="334EFB5E"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Drucker, P. F. (1993). </w:t>
      </w:r>
      <w:r w:rsidRPr="00671561">
        <w:rPr>
          <w:rFonts w:ascii="Traditional Arabic" w:hAnsi="Traditional Arabic" w:cs="Traditional Arabic"/>
          <w:i/>
          <w:iCs/>
          <w:sz w:val="28"/>
          <w:szCs w:val="28"/>
          <w:lang w:val="en-US"/>
        </w:rPr>
        <w:t>Post-capitalist society.</w:t>
      </w:r>
      <w:r w:rsidRPr="00671561">
        <w:rPr>
          <w:rFonts w:ascii="Traditional Arabic" w:hAnsi="Traditional Arabic" w:cs="Traditional Arabic"/>
          <w:sz w:val="28"/>
          <w:szCs w:val="28"/>
          <w:lang w:val="en-US"/>
        </w:rPr>
        <w:t xml:space="preserve"> HarperBusiness.</w:t>
      </w:r>
    </w:p>
    <w:p w14:paraId="780E220E"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Eric Swanson, S., Kim, S., Lee, S.-M., Yang, J.-J., &amp; Lee, Y.-K. (2020). The effect of leader competencies on knowledge sharing and job performance: Social capital theory. </w:t>
      </w:r>
      <w:r w:rsidRPr="00671561">
        <w:rPr>
          <w:rFonts w:ascii="Traditional Arabic" w:hAnsi="Traditional Arabic" w:cs="Traditional Arabic"/>
          <w:i/>
          <w:iCs/>
          <w:sz w:val="28"/>
          <w:szCs w:val="28"/>
          <w:lang w:val="en-US"/>
        </w:rPr>
        <w:t>Journal of Hospitality and Tourism Management, 42</w:t>
      </w:r>
      <w:r w:rsidRPr="00671561">
        <w:rPr>
          <w:rFonts w:ascii="Traditional Arabic" w:hAnsi="Traditional Arabic" w:cs="Traditional Arabic"/>
          <w:sz w:val="28"/>
          <w:szCs w:val="28"/>
          <w:lang w:val="en-US"/>
        </w:rPr>
        <w:t xml:space="preserve">, 88–96. </w:t>
      </w:r>
      <w:hyperlink r:id="rId12" w:history="1">
        <w:r w:rsidRPr="00671561">
          <w:rPr>
            <w:rStyle w:val="Hyperlink"/>
            <w:rFonts w:ascii="Traditional Arabic" w:hAnsi="Traditional Arabic" w:cs="Traditional Arabic"/>
            <w:sz w:val="28"/>
            <w:szCs w:val="28"/>
            <w:lang w:val="en-US"/>
          </w:rPr>
          <w:t>https://doi.org/10.1016/j.jhtm.2019.11.004</w:t>
        </w:r>
      </w:hyperlink>
    </w:p>
    <w:p w14:paraId="513D7C47"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Karyatun, S., Yuliantini, T., Saratian, E. T. P., Paijan, Soelton, M., &amp; Riadi, E. R. P. (2023). Towards the best model good corporate governance and knowledge management to improve performance through job satisfaction. </w:t>
      </w:r>
      <w:r w:rsidRPr="00671561">
        <w:rPr>
          <w:rFonts w:ascii="Traditional Arabic" w:hAnsi="Traditional Arabic" w:cs="Traditional Arabic"/>
          <w:i/>
          <w:iCs/>
          <w:sz w:val="28"/>
          <w:szCs w:val="28"/>
          <w:lang w:val="en-US"/>
        </w:rPr>
        <w:t>Jurnal Riset Bisnis dan Manajemen (JRBM), 16</w:t>
      </w:r>
      <w:r w:rsidRPr="00671561">
        <w:rPr>
          <w:rFonts w:ascii="Traditional Arabic" w:hAnsi="Traditional Arabic" w:cs="Traditional Arabic"/>
          <w:sz w:val="28"/>
          <w:szCs w:val="28"/>
          <w:lang w:val="en-US"/>
        </w:rPr>
        <w:t xml:space="preserve">(2). </w:t>
      </w:r>
      <w:hyperlink r:id="rId13" w:history="1">
        <w:r w:rsidRPr="00671561">
          <w:rPr>
            <w:rStyle w:val="Hyperlink"/>
            <w:rFonts w:ascii="Traditional Arabic" w:hAnsi="Traditional Arabic" w:cs="Traditional Arabic"/>
            <w:sz w:val="28"/>
            <w:szCs w:val="28"/>
            <w:lang w:val="en-US"/>
          </w:rPr>
          <w:t>https://doi.org/10.23969/jrbm.v16i2.9891</w:t>
        </w:r>
      </w:hyperlink>
    </w:p>
    <w:p w14:paraId="3ED5A01C"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lastRenderedPageBreak/>
        <w:t xml:space="preserve">Massingham, P. (2019). </w:t>
      </w:r>
      <w:r w:rsidRPr="00671561">
        <w:rPr>
          <w:rFonts w:ascii="Traditional Arabic" w:hAnsi="Traditional Arabic" w:cs="Traditional Arabic"/>
          <w:i/>
          <w:iCs/>
          <w:sz w:val="28"/>
          <w:szCs w:val="28"/>
          <w:lang w:val="en-US"/>
        </w:rPr>
        <w:t>Knowledge management: Theory in practice.</w:t>
      </w:r>
      <w:r w:rsidRPr="00671561">
        <w:rPr>
          <w:rFonts w:ascii="Traditional Arabic" w:hAnsi="Traditional Arabic" w:cs="Traditional Arabic"/>
          <w:sz w:val="28"/>
          <w:szCs w:val="28"/>
          <w:lang w:val="en-US"/>
        </w:rPr>
        <w:t xml:space="preserve"> Sage Publications.</w:t>
      </w:r>
    </w:p>
    <w:p w14:paraId="246C36BA"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Nonaka, I., &amp; Takeuchi, H. (1995). </w:t>
      </w:r>
      <w:r w:rsidRPr="00671561">
        <w:rPr>
          <w:rFonts w:ascii="Traditional Arabic" w:hAnsi="Traditional Arabic" w:cs="Traditional Arabic"/>
          <w:i/>
          <w:iCs/>
          <w:sz w:val="28"/>
          <w:szCs w:val="28"/>
          <w:lang w:val="en-US"/>
        </w:rPr>
        <w:t>The knowledge-creating company: How Japanese companies create the dynamics of innovation.</w:t>
      </w:r>
      <w:r w:rsidRPr="00671561">
        <w:rPr>
          <w:rFonts w:ascii="Traditional Arabic" w:hAnsi="Traditional Arabic" w:cs="Traditional Arabic"/>
          <w:sz w:val="28"/>
          <w:szCs w:val="28"/>
          <w:lang w:val="en-US"/>
        </w:rPr>
        <w:t xml:space="preserve"> Oxford University Press.</w:t>
      </w:r>
    </w:p>
    <w:p w14:paraId="667C4E44"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Palupiningtyas, D., Maria, A. D., Wijoyo, T. A., Alyka, A. P., &amp; Brawarso, K. Z. P. (2024, January 15). Application of rapid application development method in designing knowledge management system to improve employee knowledge and performance at Ministry of Agriculture. </w:t>
      </w:r>
      <w:r w:rsidRPr="00671561">
        <w:rPr>
          <w:rFonts w:ascii="Traditional Arabic" w:hAnsi="Traditional Arabic" w:cs="Traditional Arabic"/>
          <w:i/>
          <w:iCs/>
          <w:sz w:val="28"/>
          <w:szCs w:val="28"/>
          <w:lang w:val="en-US"/>
        </w:rPr>
        <w:t>Jurnal Informasi dan Teknologi, 6</w:t>
      </w:r>
      <w:r w:rsidRPr="00671561">
        <w:rPr>
          <w:rFonts w:ascii="Traditional Arabic" w:hAnsi="Traditional Arabic" w:cs="Traditional Arabic"/>
          <w:sz w:val="28"/>
          <w:szCs w:val="28"/>
          <w:lang w:val="en-US"/>
        </w:rPr>
        <w:t xml:space="preserve">(1). </w:t>
      </w:r>
      <w:hyperlink r:id="rId14" w:history="1">
        <w:r w:rsidRPr="00671561">
          <w:rPr>
            <w:rStyle w:val="Hyperlink"/>
            <w:rFonts w:ascii="Traditional Arabic" w:hAnsi="Traditional Arabic" w:cs="Traditional Arabic"/>
            <w:sz w:val="28"/>
            <w:szCs w:val="28"/>
            <w:lang w:val="en-US"/>
          </w:rPr>
          <w:t>https://doi.org/10.60083/jidt.v6i1.468</w:t>
        </w:r>
      </w:hyperlink>
    </w:p>
    <w:p w14:paraId="49D37898"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Pelealu, D. (2022). The effect of knowledge management system and knowledge sharing on employee performance and loyalty. </w:t>
      </w:r>
      <w:r w:rsidRPr="00671561">
        <w:rPr>
          <w:rFonts w:ascii="Traditional Arabic" w:hAnsi="Traditional Arabic" w:cs="Traditional Arabic"/>
          <w:i/>
          <w:iCs/>
          <w:sz w:val="28"/>
          <w:szCs w:val="28"/>
          <w:lang w:val="en-US"/>
        </w:rPr>
        <w:t>Indonesian Interdisciplinary Journal of Sharia Economics (IIJSE), 5</w:t>
      </w:r>
      <w:r w:rsidRPr="00671561">
        <w:rPr>
          <w:rFonts w:ascii="Traditional Arabic" w:hAnsi="Traditional Arabic" w:cs="Traditional Arabic"/>
          <w:sz w:val="28"/>
          <w:szCs w:val="28"/>
          <w:lang w:val="en-US"/>
        </w:rPr>
        <w:t xml:space="preserve">(1), 371–389. </w:t>
      </w:r>
      <w:hyperlink r:id="rId15" w:history="1">
        <w:r w:rsidRPr="00671561">
          <w:rPr>
            <w:rStyle w:val="Hyperlink"/>
            <w:rFonts w:ascii="Traditional Arabic" w:hAnsi="Traditional Arabic" w:cs="Traditional Arabic"/>
            <w:sz w:val="28"/>
            <w:szCs w:val="28"/>
            <w:lang w:val="en-US"/>
          </w:rPr>
          <w:t>https://doi.org/10.31538/iijse.v5i1.2162</w:t>
        </w:r>
      </w:hyperlink>
    </w:p>
    <w:p w14:paraId="50C63CA7"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Skyrme, D. J. (1999). </w:t>
      </w:r>
      <w:r w:rsidRPr="00671561">
        <w:rPr>
          <w:rFonts w:ascii="Traditional Arabic" w:hAnsi="Traditional Arabic" w:cs="Traditional Arabic"/>
          <w:i/>
          <w:iCs/>
          <w:sz w:val="28"/>
          <w:szCs w:val="28"/>
          <w:lang w:val="en-US"/>
        </w:rPr>
        <w:t>Knowledge networking: Creating the collaborative enterprise.</w:t>
      </w:r>
      <w:r w:rsidRPr="00671561">
        <w:rPr>
          <w:rFonts w:ascii="Traditional Arabic" w:hAnsi="Traditional Arabic" w:cs="Traditional Arabic"/>
          <w:sz w:val="28"/>
          <w:szCs w:val="28"/>
          <w:lang w:val="en-US"/>
        </w:rPr>
        <w:t xml:space="preserve"> Butterworth-Heinemann.</w:t>
      </w:r>
    </w:p>
    <w:p w14:paraId="6011BFE9"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lang w:val="en-US"/>
        </w:rPr>
        <w:t xml:space="preserve">Tamsah, H., Nurung, J., Nasriani, &amp; Yusriadi, Y. (2023). Talent and knowledge management on employee performance in public organization. </w:t>
      </w:r>
      <w:r w:rsidRPr="00671561">
        <w:rPr>
          <w:rFonts w:ascii="Traditional Arabic" w:hAnsi="Traditional Arabic" w:cs="Traditional Arabic"/>
          <w:i/>
          <w:iCs/>
          <w:sz w:val="28"/>
          <w:szCs w:val="28"/>
          <w:lang w:val="en-US"/>
        </w:rPr>
        <w:t>Journal of Governance and Accountability Studies, 4</w:t>
      </w:r>
      <w:r w:rsidRPr="00671561">
        <w:rPr>
          <w:rFonts w:ascii="Traditional Arabic" w:hAnsi="Traditional Arabic" w:cs="Traditional Arabic"/>
          <w:sz w:val="28"/>
          <w:szCs w:val="28"/>
          <w:lang w:val="en-US"/>
        </w:rPr>
        <w:t>(12), 166–175.</w:t>
      </w:r>
    </w:p>
    <w:p w14:paraId="23FC4768" w14:textId="77777777" w:rsidR="00C110B2" w:rsidRPr="00671561" w:rsidRDefault="00C110B2" w:rsidP="00C110B2">
      <w:pPr>
        <w:tabs>
          <w:tab w:val="left" w:pos="288"/>
          <w:tab w:val="center" w:pos="4680"/>
        </w:tabs>
        <w:spacing w:line="240" w:lineRule="auto"/>
        <w:ind w:left="709" w:hanging="709"/>
        <w:rPr>
          <w:rFonts w:ascii="Traditional Arabic" w:hAnsi="Traditional Arabic" w:cs="Traditional Arabic"/>
          <w:sz w:val="28"/>
          <w:szCs w:val="28"/>
          <w:lang w:val="en-US"/>
        </w:rPr>
      </w:pPr>
      <w:r w:rsidRPr="00671561">
        <w:rPr>
          <w:rFonts w:ascii="Traditional Arabic" w:hAnsi="Traditional Arabic" w:cs="Traditional Arabic"/>
          <w:sz w:val="28"/>
          <w:szCs w:val="28"/>
          <w:lang w:val="en-US"/>
        </w:rPr>
        <w:t xml:space="preserve">Yumhi, Y., Dharmawan, D., Febrian, W. D., Sutisna, A. J., &amp; Syahribulan. (2024). Application of rapid application development method in designing a knowledge management system to improve employee performance in national construction company. </w:t>
      </w:r>
      <w:r w:rsidRPr="00671561">
        <w:rPr>
          <w:rFonts w:ascii="Traditional Arabic" w:hAnsi="Traditional Arabic" w:cs="Traditional Arabic"/>
          <w:i/>
          <w:iCs/>
          <w:sz w:val="28"/>
          <w:szCs w:val="28"/>
          <w:lang w:val="en-US"/>
        </w:rPr>
        <w:t>Jurnal Informasi dan Teknologi, 6</w:t>
      </w:r>
      <w:r w:rsidRPr="00671561">
        <w:rPr>
          <w:rFonts w:ascii="Traditional Arabic" w:hAnsi="Traditional Arabic" w:cs="Traditional Arabic"/>
          <w:sz w:val="28"/>
          <w:szCs w:val="28"/>
          <w:lang w:val="en-US"/>
        </w:rPr>
        <w:t xml:space="preserve">(1). </w:t>
      </w:r>
      <w:hyperlink r:id="rId16" w:history="1">
        <w:r w:rsidRPr="00671561">
          <w:rPr>
            <w:rStyle w:val="Hyperlink"/>
            <w:rFonts w:ascii="Traditional Arabic" w:hAnsi="Traditional Arabic" w:cs="Traditional Arabic"/>
            <w:sz w:val="28"/>
            <w:szCs w:val="28"/>
            <w:lang w:val="en-US"/>
          </w:rPr>
          <w:t>https://doi.org/10.60083/jidt.v6i1.491</w:t>
        </w:r>
      </w:hyperlink>
    </w:p>
    <w:p w14:paraId="204C1AA1" w14:textId="77777777" w:rsidR="00C110B2" w:rsidRPr="00671561" w:rsidRDefault="00C110B2" w:rsidP="00C110B2">
      <w:pPr>
        <w:tabs>
          <w:tab w:val="left" w:pos="288"/>
          <w:tab w:val="center" w:pos="4680"/>
        </w:tabs>
        <w:bidi/>
        <w:spacing w:line="240" w:lineRule="auto"/>
        <w:jc w:val="both"/>
        <w:rPr>
          <w:rFonts w:ascii="Traditional Arabic" w:hAnsi="Traditional Arabic" w:cs="Traditional Arabic"/>
          <w:sz w:val="28"/>
          <w:szCs w:val="28"/>
          <w:rtl/>
          <w:lang w:val="en-US"/>
        </w:rPr>
      </w:pPr>
    </w:p>
    <w:p w14:paraId="22A64EA8" w14:textId="77777777" w:rsidR="00C110B2" w:rsidRPr="00671561" w:rsidRDefault="00C110B2" w:rsidP="00C110B2">
      <w:pPr>
        <w:tabs>
          <w:tab w:val="left" w:pos="288"/>
          <w:tab w:val="center" w:pos="4680"/>
        </w:tabs>
        <w:bidi/>
        <w:spacing w:line="240" w:lineRule="auto"/>
        <w:jc w:val="both"/>
        <w:rPr>
          <w:rFonts w:ascii="Traditional Arabic" w:hAnsi="Traditional Arabic" w:cs="Traditional Arabic"/>
          <w:b/>
          <w:bCs/>
          <w:sz w:val="32"/>
          <w:szCs w:val="32"/>
          <w:rtl/>
          <w:lang w:val="en-US"/>
        </w:rPr>
      </w:pPr>
    </w:p>
    <w:p w14:paraId="61245766" w14:textId="77777777" w:rsidR="00C110B2" w:rsidRPr="00671561" w:rsidRDefault="00C110B2" w:rsidP="00C110B2">
      <w:pPr>
        <w:tabs>
          <w:tab w:val="left" w:pos="288"/>
          <w:tab w:val="center" w:pos="4680"/>
        </w:tabs>
        <w:bidi/>
        <w:spacing w:line="240" w:lineRule="auto"/>
        <w:jc w:val="both"/>
        <w:rPr>
          <w:rFonts w:ascii="Traditional Arabic" w:hAnsi="Traditional Arabic" w:cs="Traditional Arabic"/>
          <w:b/>
          <w:bCs/>
          <w:sz w:val="32"/>
          <w:szCs w:val="32"/>
          <w:rtl/>
          <w:lang w:val="en-US"/>
        </w:rPr>
      </w:pPr>
      <w:r w:rsidRPr="00671561">
        <w:rPr>
          <w:rFonts w:ascii="Traditional Arabic" w:hAnsi="Traditional Arabic" w:cs="Traditional Arabic" w:hint="cs"/>
          <w:b/>
          <w:bCs/>
          <w:sz w:val="32"/>
          <w:szCs w:val="32"/>
          <w:rtl/>
          <w:lang w:val="en-US"/>
        </w:rPr>
        <w:lastRenderedPageBreak/>
        <w:t>ثانيا: المراجع العربية</w:t>
      </w:r>
    </w:p>
    <w:p w14:paraId="4A39D220" w14:textId="77777777" w:rsidR="00C110B2" w:rsidRPr="00671561" w:rsidRDefault="00C110B2" w:rsidP="00C110B2">
      <w:pPr>
        <w:tabs>
          <w:tab w:val="left" w:pos="288"/>
          <w:tab w:val="center" w:pos="4680"/>
        </w:tabs>
        <w:bidi/>
        <w:spacing w:line="240" w:lineRule="auto"/>
        <w:ind w:left="571" w:hanging="567"/>
        <w:jc w:val="both"/>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rtl/>
          <w:lang w:val="en-US"/>
        </w:rPr>
        <w:t>أبو جمعة، محمود، والمغربي، دينا. (2020). أثر إدارة المعرفة في تحسين أداء العاملين في الشركات الصناعية: دراسة حالة الشركة الوطنية لصناعة الكوابل والأسلاك الكهربائية المساهمة العامة – الأردن</w:t>
      </w:r>
      <w:r w:rsidRPr="00671561">
        <w:rPr>
          <w:rFonts w:ascii="Traditional Arabic" w:hAnsi="Traditional Arabic" w:cs="Traditional Arabic"/>
          <w:sz w:val="28"/>
          <w:szCs w:val="28"/>
          <w:lang w:val="en-US"/>
        </w:rPr>
        <w:t xml:space="preserve">. </w:t>
      </w:r>
      <w:r w:rsidRPr="00671561">
        <w:rPr>
          <w:rFonts w:ascii="Traditional Arabic" w:hAnsi="Traditional Arabic" w:cs="Traditional Arabic"/>
          <w:i/>
          <w:iCs/>
          <w:sz w:val="28"/>
          <w:szCs w:val="28"/>
          <w:rtl/>
          <w:lang w:val="en-US"/>
        </w:rPr>
        <w:t>مجلة الجامعة الإسلامية للدراسات الاقتصادية والإدارية، 29</w:t>
      </w:r>
      <w:r w:rsidRPr="00671561">
        <w:rPr>
          <w:rFonts w:ascii="Traditional Arabic" w:hAnsi="Traditional Arabic" w:cs="Traditional Arabic"/>
          <w:sz w:val="28"/>
          <w:szCs w:val="28"/>
          <w:lang w:val="en-US"/>
        </w:rPr>
        <w:t>(2)</w:t>
      </w:r>
      <w:r w:rsidRPr="00671561">
        <w:rPr>
          <w:rFonts w:ascii="Traditional Arabic" w:hAnsi="Traditional Arabic" w:cs="Traditional Arabic"/>
          <w:sz w:val="28"/>
          <w:szCs w:val="28"/>
          <w:rtl/>
          <w:lang w:val="en-US"/>
        </w:rPr>
        <w:t>، 99–114.</w:t>
      </w:r>
    </w:p>
    <w:p w14:paraId="273EE8F2" w14:textId="77777777" w:rsidR="00C110B2" w:rsidRPr="00671561" w:rsidRDefault="00C110B2" w:rsidP="00C110B2">
      <w:pPr>
        <w:tabs>
          <w:tab w:val="left" w:pos="288"/>
          <w:tab w:val="center" w:pos="4680"/>
        </w:tabs>
        <w:bidi/>
        <w:spacing w:line="240" w:lineRule="auto"/>
        <w:ind w:left="571" w:hanging="567"/>
        <w:jc w:val="both"/>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rtl/>
          <w:lang w:val="en-US"/>
        </w:rPr>
        <w:t>أحمد، خالد. (2020</w:t>
      </w:r>
      <w:r w:rsidRPr="00671561">
        <w:rPr>
          <w:rFonts w:ascii="Traditional Arabic" w:hAnsi="Traditional Arabic" w:cs="Traditional Arabic" w:hint="cs"/>
          <w:sz w:val="28"/>
          <w:szCs w:val="28"/>
          <w:rtl/>
          <w:lang w:val="en-US"/>
        </w:rPr>
        <w:t xml:space="preserve">). </w:t>
      </w:r>
      <w:r w:rsidRPr="00671561">
        <w:rPr>
          <w:rFonts w:ascii="Traditional Arabic" w:hAnsi="Traditional Arabic" w:cs="Traditional Arabic"/>
          <w:sz w:val="28"/>
          <w:szCs w:val="28"/>
          <w:lang w:val="en-US"/>
        </w:rPr>
        <w:t xml:space="preserve"> </w:t>
      </w:r>
      <w:r w:rsidRPr="00671561">
        <w:rPr>
          <w:rFonts w:ascii="Traditional Arabic" w:hAnsi="Traditional Arabic" w:cs="Traditional Arabic"/>
          <w:i/>
          <w:iCs/>
          <w:sz w:val="28"/>
          <w:szCs w:val="28"/>
          <w:rtl/>
          <w:lang w:val="en-US"/>
        </w:rPr>
        <w:t>دور إدارة المعرفة على الأداء المؤسسي في المؤسسات الصناعية السودانية</w:t>
      </w:r>
      <w:r w:rsidRPr="00671561">
        <w:rPr>
          <w:rFonts w:ascii="Traditional Arabic" w:hAnsi="Traditional Arabic" w:cs="Traditional Arabic"/>
          <w:sz w:val="28"/>
          <w:szCs w:val="28"/>
          <w:rtl/>
          <w:lang w:val="en-US"/>
        </w:rPr>
        <w:t xml:space="preserve"> </w:t>
      </w:r>
      <w:r w:rsidRPr="00671561">
        <w:rPr>
          <w:rFonts w:ascii="Traditional Arabic" w:hAnsi="Traditional Arabic" w:cs="Traditional Arabic" w:hint="cs"/>
          <w:sz w:val="28"/>
          <w:szCs w:val="28"/>
          <w:rtl/>
          <w:lang w:val="en-US"/>
        </w:rPr>
        <w:t>(</w:t>
      </w:r>
      <w:r w:rsidRPr="00671561">
        <w:rPr>
          <w:rFonts w:ascii="Traditional Arabic" w:hAnsi="Traditional Arabic" w:cs="Traditional Arabic"/>
          <w:sz w:val="28"/>
          <w:szCs w:val="28"/>
          <w:rtl/>
          <w:lang w:val="en-US"/>
        </w:rPr>
        <w:t>رسالة دكتوراه، جامعة النيلين، قسم إدارة الأعمال</w:t>
      </w:r>
      <w:r w:rsidRPr="00671561">
        <w:rPr>
          <w:rFonts w:ascii="Traditional Arabic" w:hAnsi="Traditional Arabic" w:cs="Traditional Arabic" w:hint="cs"/>
          <w:sz w:val="28"/>
          <w:szCs w:val="28"/>
          <w:rtl/>
          <w:lang w:val="en-US"/>
        </w:rPr>
        <w:t>).</w:t>
      </w:r>
    </w:p>
    <w:p w14:paraId="337B6528" w14:textId="77777777" w:rsidR="00C110B2" w:rsidRPr="00671561" w:rsidRDefault="00C110B2" w:rsidP="00C110B2">
      <w:pPr>
        <w:tabs>
          <w:tab w:val="left" w:pos="288"/>
          <w:tab w:val="center" w:pos="4680"/>
        </w:tabs>
        <w:bidi/>
        <w:spacing w:line="240" w:lineRule="auto"/>
        <w:ind w:left="571" w:hanging="567"/>
        <w:jc w:val="both"/>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rtl/>
          <w:lang w:val="en-US"/>
        </w:rPr>
        <w:t>الأقرع، نور. (2020). أثر إدارة المعرفة في تعزيز الأداء الإداري في المؤسسات الحكومية في محافظة قلقيلية</w:t>
      </w:r>
      <w:r w:rsidRPr="00671561">
        <w:rPr>
          <w:rFonts w:ascii="Traditional Arabic" w:hAnsi="Traditional Arabic" w:cs="Traditional Arabic"/>
          <w:sz w:val="28"/>
          <w:szCs w:val="28"/>
          <w:lang w:val="en-US"/>
        </w:rPr>
        <w:t xml:space="preserve">. </w:t>
      </w:r>
      <w:r w:rsidRPr="00671561">
        <w:rPr>
          <w:rFonts w:ascii="Traditional Arabic" w:hAnsi="Traditional Arabic" w:cs="Traditional Arabic"/>
          <w:i/>
          <w:iCs/>
          <w:sz w:val="28"/>
          <w:szCs w:val="28"/>
          <w:rtl/>
          <w:lang w:val="en-US"/>
        </w:rPr>
        <w:t>دفاتر البحوث العلمية، 8</w:t>
      </w:r>
      <w:r w:rsidRPr="00671561">
        <w:rPr>
          <w:rFonts w:ascii="Traditional Arabic" w:hAnsi="Traditional Arabic" w:cs="Traditional Arabic"/>
          <w:sz w:val="28"/>
          <w:szCs w:val="28"/>
          <w:lang w:val="en-US"/>
        </w:rPr>
        <w:t>(2)</w:t>
      </w:r>
      <w:r w:rsidRPr="00671561">
        <w:rPr>
          <w:rFonts w:ascii="Traditional Arabic" w:hAnsi="Traditional Arabic" w:cs="Traditional Arabic"/>
          <w:sz w:val="28"/>
          <w:szCs w:val="28"/>
          <w:rtl/>
          <w:lang w:val="en-US"/>
        </w:rPr>
        <w:t>، 34–60.</w:t>
      </w:r>
    </w:p>
    <w:p w14:paraId="1FE46FD2" w14:textId="77777777" w:rsidR="00C110B2" w:rsidRPr="00671561" w:rsidRDefault="00C110B2" w:rsidP="00C110B2">
      <w:pPr>
        <w:tabs>
          <w:tab w:val="left" w:pos="288"/>
          <w:tab w:val="center" w:pos="4680"/>
        </w:tabs>
        <w:bidi/>
        <w:spacing w:line="240" w:lineRule="auto"/>
        <w:ind w:left="571" w:hanging="567"/>
        <w:jc w:val="both"/>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rtl/>
          <w:lang w:val="en-US"/>
        </w:rPr>
        <w:t>اليعربي، علي. (2021). أثر إدارة المعرفة على الأداء في العمل ومدى تحقيق الميزة التنافسية: المديرية العامة للتربية والتعليم بمحافظة شمال الشرقية بسلطنة عمان نموذجًا</w:t>
      </w:r>
      <w:r w:rsidRPr="00671561">
        <w:rPr>
          <w:rFonts w:ascii="Traditional Arabic" w:hAnsi="Traditional Arabic" w:cs="Traditional Arabic"/>
          <w:sz w:val="28"/>
          <w:szCs w:val="28"/>
          <w:lang w:val="en-US"/>
        </w:rPr>
        <w:t xml:space="preserve">. </w:t>
      </w:r>
      <w:r w:rsidRPr="00671561">
        <w:rPr>
          <w:rFonts w:ascii="Traditional Arabic" w:hAnsi="Traditional Arabic" w:cs="Traditional Arabic"/>
          <w:i/>
          <w:iCs/>
          <w:sz w:val="28"/>
          <w:szCs w:val="28"/>
          <w:rtl/>
          <w:lang w:val="en-US"/>
        </w:rPr>
        <w:t>مجلة العلوم الاقتصادية والإدارية والقانونية، 5</w:t>
      </w:r>
      <w:r w:rsidRPr="00671561">
        <w:rPr>
          <w:rFonts w:ascii="Traditional Arabic" w:hAnsi="Traditional Arabic" w:cs="Traditional Arabic"/>
          <w:sz w:val="28"/>
          <w:szCs w:val="28"/>
          <w:lang w:val="en-US"/>
        </w:rPr>
        <w:t>(3)</w:t>
      </w:r>
      <w:r w:rsidRPr="00671561">
        <w:rPr>
          <w:rFonts w:ascii="Traditional Arabic" w:hAnsi="Traditional Arabic" w:cs="Traditional Arabic"/>
          <w:sz w:val="28"/>
          <w:szCs w:val="28"/>
          <w:rtl/>
          <w:lang w:val="en-US"/>
        </w:rPr>
        <w:t xml:space="preserve">، 98–124. </w:t>
      </w:r>
      <w:hyperlink r:id="rId17" w:history="1">
        <w:r w:rsidRPr="00671561">
          <w:rPr>
            <w:rStyle w:val="Hyperlink"/>
            <w:rFonts w:ascii="Traditional Arabic" w:hAnsi="Traditional Arabic" w:cs="Traditional Arabic"/>
            <w:sz w:val="28"/>
            <w:szCs w:val="28"/>
            <w:lang w:val="en-US"/>
          </w:rPr>
          <w:t>https://doi.org/10.26389/AJSRP.L100620</w:t>
        </w:r>
      </w:hyperlink>
    </w:p>
    <w:p w14:paraId="19A29F49" w14:textId="77777777" w:rsidR="00C110B2" w:rsidRPr="00671561" w:rsidRDefault="00C110B2" w:rsidP="00C110B2">
      <w:pPr>
        <w:tabs>
          <w:tab w:val="left" w:pos="288"/>
          <w:tab w:val="center" w:pos="4680"/>
        </w:tabs>
        <w:bidi/>
        <w:spacing w:line="240" w:lineRule="auto"/>
        <w:ind w:left="571" w:hanging="567"/>
        <w:jc w:val="both"/>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rtl/>
          <w:lang w:val="en-US"/>
        </w:rPr>
        <w:t>عيد، سماح. (2021). أثر إدارة المعرفة على تحسين أداء العاملين: دراسة ميدانية على هيئة المجتمعات العمرانية الجديدة</w:t>
      </w:r>
      <w:r w:rsidRPr="00671561">
        <w:rPr>
          <w:rFonts w:ascii="Traditional Arabic" w:hAnsi="Traditional Arabic" w:cs="Traditional Arabic"/>
          <w:sz w:val="28"/>
          <w:szCs w:val="28"/>
          <w:lang w:val="en-US"/>
        </w:rPr>
        <w:t xml:space="preserve">. </w:t>
      </w:r>
      <w:r w:rsidRPr="00671561">
        <w:rPr>
          <w:rFonts w:ascii="Traditional Arabic" w:hAnsi="Traditional Arabic" w:cs="Traditional Arabic"/>
          <w:i/>
          <w:iCs/>
          <w:sz w:val="28"/>
          <w:szCs w:val="28"/>
          <w:rtl/>
          <w:lang w:val="en-US"/>
        </w:rPr>
        <w:t>المجلة العلمية للدراسات التجارية والبيئية، 4</w:t>
      </w:r>
      <w:r w:rsidRPr="00671561">
        <w:rPr>
          <w:rFonts w:ascii="Traditional Arabic" w:hAnsi="Traditional Arabic" w:cs="Traditional Arabic"/>
          <w:sz w:val="28"/>
          <w:szCs w:val="28"/>
          <w:rtl/>
          <w:lang w:val="en-US"/>
        </w:rPr>
        <w:t>(12).</w:t>
      </w:r>
    </w:p>
    <w:p w14:paraId="0EC57EC0" w14:textId="77777777" w:rsidR="00C110B2" w:rsidRPr="00671561" w:rsidRDefault="00C110B2" w:rsidP="00C110B2">
      <w:pPr>
        <w:tabs>
          <w:tab w:val="left" w:pos="288"/>
          <w:tab w:val="center" w:pos="4680"/>
        </w:tabs>
        <w:bidi/>
        <w:spacing w:line="240" w:lineRule="auto"/>
        <w:ind w:left="571" w:hanging="567"/>
        <w:jc w:val="both"/>
        <w:rPr>
          <w:rFonts w:ascii="Traditional Arabic" w:hAnsi="Traditional Arabic" w:cs="Traditional Arabic"/>
          <w:sz w:val="28"/>
          <w:szCs w:val="28"/>
          <w:rtl/>
          <w:lang w:val="en-US" w:bidi="ar-JO"/>
        </w:rPr>
      </w:pPr>
      <w:r w:rsidRPr="00671561">
        <w:rPr>
          <w:rFonts w:ascii="Traditional Arabic" w:hAnsi="Traditional Arabic" w:cs="Traditional Arabic"/>
          <w:sz w:val="28"/>
          <w:szCs w:val="28"/>
          <w:rtl/>
          <w:lang w:val="en-US"/>
        </w:rPr>
        <w:t>قاعود، مروة. (2017). متطلبات تطبيق إدارة المعرفة في شركات السياحة المصرية (فئة أ</w:t>
      </w:r>
      <w:r w:rsidRPr="00671561">
        <w:rPr>
          <w:rFonts w:ascii="Traditional Arabic" w:hAnsi="Traditional Arabic" w:cs="Traditional Arabic" w:hint="cs"/>
          <w:sz w:val="28"/>
          <w:szCs w:val="28"/>
          <w:rtl/>
          <w:lang w:val="en-US"/>
        </w:rPr>
        <w:t xml:space="preserve">). </w:t>
      </w:r>
      <w:r w:rsidRPr="00671561">
        <w:rPr>
          <w:rFonts w:ascii="Traditional Arabic" w:hAnsi="Traditional Arabic" w:cs="Traditional Arabic"/>
          <w:sz w:val="28"/>
          <w:szCs w:val="28"/>
          <w:lang w:val="en-US"/>
        </w:rPr>
        <w:t xml:space="preserve"> </w:t>
      </w:r>
      <w:r w:rsidRPr="00671561">
        <w:rPr>
          <w:rFonts w:ascii="Traditional Arabic" w:hAnsi="Traditional Arabic" w:cs="Traditional Arabic"/>
          <w:i/>
          <w:iCs/>
          <w:sz w:val="28"/>
          <w:szCs w:val="28"/>
          <w:rtl/>
          <w:lang w:val="en-US"/>
        </w:rPr>
        <w:t>المجلة الدولية للتراث والسياحة والضيافة، 11(سبتمبر)، كلية السياحة والفنادق، جامعة الفيوم</w:t>
      </w:r>
      <w:r w:rsidRPr="00671561">
        <w:rPr>
          <w:rFonts w:ascii="Traditional Arabic" w:hAnsi="Traditional Arabic" w:cs="Traditional Arabic"/>
          <w:sz w:val="28"/>
          <w:szCs w:val="28"/>
          <w:lang w:val="en-US"/>
        </w:rPr>
        <w:t>.</w:t>
      </w:r>
    </w:p>
    <w:p w14:paraId="499C4D50" w14:textId="77777777" w:rsidR="00C110B2" w:rsidRPr="00AE093B" w:rsidRDefault="00C110B2" w:rsidP="00C110B2">
      <w:pPr>
        <w:tabs>
          <w:tab w:val="left" w:pos="288"/>
          <w:tab w:val="center" w:pos="4680"/>
        </w:tabs>
        <w:bidi/>
        <w:spacing w:line="240" w:lineRule="auto"/>
        <w:ind w:left="571" w:hanging="567"/>
        <w:jc w:val="both"/>
        <w:rPr>
          <w:rFonts w:ascii="Traditional Arabic" w:hAnsi="Traditional Arabic" w:cs="Traditional Arabic"/>
          <w:sz w:val="28"/>
          <w:szCs w:val="28"/>
          <w:lang w:val="en-US"/>
        </w:rPr>
      </w:pPr>
      <w:r w:rsidRPr="00671561">
        <w:rPr>
          <w:rFonts w:ascii="Traditional Arabic" w:hAnsi="Traditional Arabic" w:cs="Traditional Arabic"/>
          <w:sz w:val="28"/>
          <w:szCs w:val="28"/>
          <w:rtl/>
          <w:lang w:val="en-US"/>
        </w:rPr>
        <w:t>مدلول، كرار، والموسوي، حسن. (2021). دور استراتيجيات إدارة المعرفة في تنمية الأداء الوظيفي: دراسة تحليلية لعينة من أعضاء الهيئة التدريسية في كلية الإدارة والاقتصاد / جامعة الكوفة</w:t>
      </w:r>
      <w:r w:rsidRPr="00671561">
        <w:rPr>
          <w:rFonts w:ascii="Traditional Arabic" w:hAnsi="Traditional Arabic" w:cs="Traditional Arabic"/>
          <w:sz w:val="28"/>
          <w:szCs w:val="28"/>
          <w:lang w:val="en-US"/>
        </w:rPr>
        <w:t xml:space="preserve">. </w:t>
      </w:r>
      <w:r w:rsidRPr="00671561">
        <w:rPr>
          <w:rFonts w:ascii="Traditional Arabic" w:hAnsi="Traditional Arabic" w:cs="Traditional Arabic"/>
          <w:i/>
          <w:iCs/>
          <w:sz w:val="28"/>
          <w:szCs w:val="28"/>
          <w:rtl/>
          <w:lang w:val="en-US"/>
        </w:rPr>
        <w:t>مجلة الجامعة الإسلامية للبحوث الإنسانية، 63</w:t>
      </w:r>
      <w:r w:rsidRPr="00671561">
        <w:rPr>
          <w:rFonts w:ascii="Traditional Arabic" w:hAnsi="Traditional Arabic" w:cs="Traditional Arabic"/>
          <w:sz w:val="28"/>
          <w:szCs w:val="28"/>
          <w:rtl/>
          <w:lang w:val="en-US"/>
        </w:rPr>
        <w:t xml:space="preserve"> (الجزء الثاني).</w:t>
      </w:r>
    </w:p>
    <w:p w14:paraId="0C4ECD6F" w14:textId="77777777" w:rsidR="00C110B2" w:rsidRDefault="00C110B2" w:rsidP="00C110B2">
      <w:pPr>
        <w:tabs>
          <w:tab w:val="left" w:pos="288"/>
          <w:tab w:val="center" w:pos="4680"/>
        </w:tabs>
        <w:bidi/>
        <w:spacing w:line="360" w:lineRule="auto"/>
        <w:jc w:val="both"/>
        <w:rPr>
          <w:rFonts w:ascii="Traditional Arabic" w:hAnsi="Traditional Arabic" w:cs="Traditional Arabic"/>
          <w:sz w:val="32"/>
          <w:szCs w:val="32"/>
          <w:rtl/>
          <w:lang w:val="en-US"/>
        </w:rPr>
      </w:pPr>
    </w:p>
    <w:p w14:paraId="1878ADDB" w14:textId="0EAC7E43" w:rsidR="00342B3E" w:rsidRDefault="00342B3E">
      <w:pPr>
        <w:rPr>
          <w:rFonts w:ascii="Traditional Arabic" w:hAnsi="Traditional Arabic" w:cs="Traditional Arabic"/>
          <w:sz w:val="32"/>
          <w:szCs w:val="32"/>
          <w:lang w:val="en-US"/>
        </w:rPr>
      </w:pPr>
      <w:r>
        <w:rPr>
          <w:rFonts w:ascii="Traditional Arabic" w:hAnsi="Traditional Arabic" w:cs="Traditional Arabic"/>
          <w:sz w:val="32"/>
          <w:szCs w:val="32"/>
          <w:lang w:val="en-US"/>
        </w:rPr>
        <w:br w:type="page"/>
      </w:r>
    </w:p>
    <w:p w14:paraId="6B0654C4" w14:textId="77777777" w:rsidR="00342B3E" w:rsidRPr="00342B3E" w:rsidRDefault="00342B3E" w:rsidP="00342B3E">
      <w:pPr>
        <w:bidi/>
        <w:spacing w:line="360" w:lineRule="auto"/>
        <w:jc w:val="center"/>
        <w:rPr>
          <w:rFonts w:ascii="Traditional Arabic" w:eastAsia="Calibri" w:hAnsi="Traditional Arabic" w:cs="Traditional Arabic"/>
          <w:b/>
          <w:bCs/>
          <w:sz w:val="40"/>
          <w:szCs w:val="40"/>
        </w:rPr>
      </w:pPr>
    </w:p>
    <w:p w14:paraId="6CEED5C4" w14:textId="77777777" w:rsidR="00342B3E" w:rsidRPr="00342B3E" w:rsidRDefault="00342B3E" w:rsidP="00342B3E">
      <w:pPr>
        <w:bidi/>
        <w:spacing w:line="360" w:lineRule="auto"/>
        <w:jc w:val="center"/>
        <w:rPr>
          <w:rFonts w:ascii="Traditional Arabic" w:eastAsia="Calibri" w:hAnsi="Traditional Arabic" w:cs="Traditional Arabic"/>
          <w:b/>
          <w:bCs/>
          <w:sz w:val="40"/>
          <w:szCs w:val="40"/>
          <w:rtl/>
          <w:lang w:val="en-US"/>
        </w:rPr>
      </w:pPr>
      <w:r w:rsidRPr="00342B3E">
        <w:rPr>
          <w:rFonts w:ascii="Traditional Arabic" w:eastAsia="Calibri" w:hAnsi="Traditional Arabic" w:cs="Traditional Arabic"/>
          <w:b/>
          <w:bCs/>
          <w:sz w:val="40"/>
          <w:szCs w:val="40"/>
          <w:rtl/>
        </w:rPr>
        <w:t>الفصل الثالث</w:t>
      </w:r>
    </w:p>
    <w:p w14:paraId="218BB611" w14:textId="77777777" w:rsidR="00342B3E" w:rsidRPr="00342B3E" w:rsidRDefault="00342B3E" w:rsidP="00342B3E">
      <w:pPr>
        <w:bidi/>
        <w:spacing w:line="360" w:lineRule="auto"/>
        <w:jc w:val="center"/>
        <w:rPr>
          <w:rFonts w:ascii="Traditional Arabic" w:eastAsia="Calibri" w:hAnsi="Traditional Arabic" w:cs="Traditional Arabic"/>
          <w:b/>
          <w:bCs/>
          <w:sz w:val="40"/>
          <w:szCs w:val="40"/>
          <w:lang w:val="en-US"/>
        </w:rPr>
      </w:pPr>
      <w:r w:rsidRPr="00342B3E">
        <w:rPr>
          <w:rFonts w:ascii="Traditional Arabic" w:eastAsia="Calibri" w:hAnsi="Traditional Arabic" w:cs="Traditional Arabic"/>
          <w:b/>
          <w:bCs/>
          <w:sz w:val="40"/>
          <w:szCs w:val="40"/>
          <w:rtl/>
        </w:rPr>
        <w:t>منهجية الدراسة وإجراءاتها</w:t>
      </w:r>
    </w:p>
    <w:p w14:paraId="07D47961"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p>
    <w:p w14:paraId="7D41317C"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p>
    <w:p w14:paraId="49146B8A"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rPr>
        <w:t>تمهيد</w:t>
      </w:r>
    </w:p>
    <w:p w14:paraId="2F6E72F6"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rPr>
        <w:t>يتناول هذا الفصل منهجية الدراسة والإجراءات التي تم اتباعها لتحقيق أهدافها والإجابة عن تساؤلاتها واختبار فرضياتها. ويشمل ذلك عرض منهج الدراسة المعتمد، وتحديد مجتمع الدراسة وعينتها، وبيان متغيرات الدراسة وأداة جمع البيانات، إضافة إلى إجراءات التحقق من صدق الأداة وثباتها، والأساليب الإحصائية المستخدمة في تحليل البيانات. ويهدف هذا الفصل إلى توضيح الإطار الإجرائي الذي استندت إليه الدراسة في جمع البيانات وتحليلها بصورة علمية دقيقة تضمن موضوعية النتائج ومصداقيتها</w:t>
      </w:r>
      <w:r w:rsidRPr="00342B3E">
        <w:rPr>
          <w:rFonts w:ascii="Traditional Arabic" w:eastAsia="Calibri" w:hAnsi="Traditional Arabic" w:cs="Traditional Arabic"/>
          <w:sz w:val="32"/>
          <w:szCs w:val="32"/>
          <w:lang w:val="en-US"/>
        </w:rPr>
        <w:t>.</w:t>
      </w:r>
    </w:p>
    <w:p w14:paraId="3B3D1B70"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p>
    <w:p w14:paraId="325269E3"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منهج الدراسة</w:t>
      </w:r>
    </w:p>
    <w:p w14:paraId="1EB4E6E9"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اعتمدت هذه الدراسة على المنهج الوصفي التحليلي، نظرًا لملاءمته لطبيعة الدراسات الإدارية التي تهدف إلى تحليل العلاقات بين المتغيرات وقياس أثر أحدها في الآخر في بيئة العمل الواقعية. ويقوم هذا المنهج على وصف الظاهرة محل الدراسة كما هي قائمة في الواقع، ثم تحليلها إحصائيًا للكشف عن طبيعة العلاقة بين متغيرات الدراسة، والمتمثلة في ممارسات إدارة المعرفة وأداء العاملين في شركة موبايلي السعودية للاتصالات</w:t>
      </w:r>
      <w:r w:rsidRPr="00342B3E">
        <w:rPr>
          <w:rFonts w:ascii="Traditional Arabic" w:eastAsia="Calibri" w:hAnsi="Traditional Arabic" w:cs="Traditional Arabic"/>
          <w:sz w:val="32"/>
          <w:szCs w:val="32"/>
          <w:lang w:val="en-US"/>
        </w:rPr>
        <w:t>.</w:t>
      </w:r>
    </w:p>
    <w:p w14:paraId="1D0B2A06"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كما اعتمدت الدراسة على المدخل الكمي في جمع البيانات وتحليلها، من خلال تصميم استبانة لقياس أبعاد المتغير المستقل (إدارة المعرفة) والمتغير التابع (أداء العاملين)، ومن ثم إخضاع البيانات التي تم جمعها للمعالجة الإحصائية باستخدام برنامج الحزم الإحصائية للعلوم الاجتماعية (</w:t>
      </w:r>
      <w:r w:rsidRPr="00342B3E">
        <w:rPr>
          <w:rFonts w:ascii="Traditional Arabic" w:eastAsia="Calibri" w:hAnsi="Traditional Arabic" w:cs="Traditional Arabic"/>
          <w:sz w:val="32"/>
          <w:szCs w:val="32"/>
          <w:lang w:val="en-US"/>
        </w:rPr>
        <w:t>SPSS</w:t>
      </w:r>
      <w:r w:rsidRPr="00342B3E">
        <w:rPr>
          <w:rFonts w:ascii="Traditional Arabic" w:eastAsia="Calibri" w:hAnsi="Traditional Arabic" w:cs="Traditional Arabic"/>
          <w:sz w:val="32"/>
          <w:szCs w:val="32"/>
          <w:rtl/>
          <w:lang w:val="en-US"/>
        </w:rPr>
        <w:t>)، بهدف اختبار فرضيات الدراسة والتحقق من دلالتها الإحصائية.</w:t>
      </w:r>
    </w:p>
    <w:p w14:paraId="5057F68E"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ويُعد هذا المنهج مناسبًا لطبيعة الدراسة الحالية، كونه يتيح إمكانية قياس مستوى توافر ممارسات إدارة المعرفة داخل المنظمة، وتحليل أثرها في أبعاد الأداء الوظيفي المختلفة بصورة كمية دقيقة، بما يسهم في الوصول إلى نتائج يمكن تعميمها في حدود مجتمع الدراسة</w:t>
      </w:r>
      <w:r w:rsidRPr="00342B3E">
        <w:rPr>
          <w:rFonts w:ascii="Traditional Arabic" w:eastAsia="Calibri" w:hAnsi="Traditional Arabic" w:cs="Traditional Arabic"/>
          <w:sz w:val="32"/>
          <w:szCs w:val="32"/>
          <w:lang w:val="en-US"/>
        </w:rPr>
        <w:t>.</w:t>
      </w:r>
    </w:p>
    <w:p w14:paraId="599A7F46"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p>
    <w:p w14:paraId="17118A88"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الأساس الفلسفي للدراسة</w:t>
      </w:r>
    </w:p>
    <w:p w14:paraId="16FC3EAD"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تنتمي هذه الدراسة إلى الفلسفة الوضعية (</w:t>
      </w:r>
      <w:r w:rsidRPr="00342B3E">
        <w:rPr>
          <w:rFonts w:ascii="Traditional Arabic" w:eastAsia="Calibri" w:hAnsi="Traditional Arabic" w:cs="Traditional Arabic"/>
          <w:sz w:val="32"/>
          <w:szCs w:val="32"/>
          <w:lang w:val="en-US"/>
        </w:rPr>
        <w:t>Positivism</w:t>
      </w:r>
      <w:r w:rsidRPr="00342B3E">
        <w:rPr>
          <w:rFonts w:ascii="Traditional Arabic" w:eastAsia="Calibri" w:hAnsi="Traditional Arabic" w:cs="Traditional Arabic"/>
          <w:sz w:val="32"/>
          <w:szCs w:val="32"/>
          <w:rtl/>
          <w:lang w:val="en-US"/>
        </w:rPr>
        <w:t xml:space="preserve">)، التي تقوم على افتراض إمكانية قياس الظواهر الاجتماعية والتنظيمية بصورة موضوعية من خلال أدوات كمية قابلة للتحليل الإحصائي. وترتكز هذه الفلسفة على </w:t>
      </w:r>
      <w:r w:rsidRPr="00342B3E">
        <w:rPr>
          <w:rFonts w:ascii="Traditional Arabic" w:eastAsia="Calibri" w:hAnsi="Traditional Arabic" w:cs="Traditional Arabic"/>
          <w:sz w:val="32"/>
          <w:szCs w:val="32"/>
          <w:rtl/>
          <w:lang w:val="en-US"/>
        </w:rPr>
        <w:lastRenderedPageBreak/>
        <w:t>مبدأ أن العلاقات بين المتغيرات يمكن اختبارها تجريبيًا والتحقق من دلالتها الإحصائية باستخدام أدوات القياس الكمي</w:t>
      </w:r>
      <w:r w:rsidRPr="00342B3E">
        <w:rPr>
          <w:rFonts w:ascii="Traditional Arabic" w:eastAsia="Calibri" w:hAnsi="Traditional Arabic" w:cs="Traditional Arabic"/>
          <w:sz w:val="32"/>
          <w:szCs w:val="32"/>
          <w:lang w:val="en-US"/>
        </w:rPr>
        <w:t>.</w:t>
      </w:r>
    </w:p>
    <w:p w14:paraId="65FD4052"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ونظرًا لأن الدراسة تسعى إلى اختبار أثر أبعاد إدارة المعرفة في أداء العاملين من خلال فرضيات محددة مسبقًا، فإن المنهج الكمي التحليلي يُعد الأكثر ملاءمة لطبيعتها، إذ يسمح بقياس المتغيرات وتحليل العلاقات السببية المفترضة بينها بصورة قابلة للتعميم ضمن حدود مجتمع الدراسة</w:t>
      </w:r>
      <w:r w:rsidRPr="00342B3E">
        <w:rPr>
          <w:rFonts w:ascii="Traditional Arabic" w:eastAsia="Calibri" w:hAnsi="Traditional Arabic" w:cs="Traditional Arabic"/>
          <w:sz w:val="32"/>
          <w:szCs w:val="32"/>
          <w:lang w:val="en-US"/>
        </w:rPr>
        <w:t>.</w:t>
      </w:r>
    </w:p>
    <w:p w14:paraId="3F9982F3"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كما أن تبني هذا التوجه الفلسفي يعزز من موضوعية النتائج، ويحد من التحيزات الذاتية، ويُمكّن من اختبار النموذج المفاهيمي للدراسة بطريقة منهجية دقيقة تعتمد على البيانات الكمية</w:t>
      </w:r>
      <w:r w:rsidRPr="00342B3E">
        <w:rPr>
          <w:rFonts w:ascii="Traditional Arabic" w:eastAsia="Calibri" w:hAnsi="Traditional Arabic" w:cs="Traditional Arabic"/>
          <w:sz w:val="32"/>
          <w:szCs w:val="32"/>
          <w:lang w:val="en-US"/>
        </w:rPr>
        <w:t>.</w:t>
      </w:r>
    </w:p>
    <w:p w14:paraId="7F417319"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p>
    <w:p w14:paraId="0CE98996"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مجتمع الدراسة</w:t>
      </w:r>
    </w:p>
    <w:p w14:paraId="764FEA93"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يتكون مجتمع الدراسة من جميع العاملين في شركة موبايلي السعودية للاتصالات، باعتبارها إحدى الشركات الرائدة في قطاع الاتصالات بالمملكة العربية السعودية، والتي تعتمد بدرجة كبيرة على المعرفة والخبرات الفنية والتقنية في إدارة عملياتها وتقديم خدماتها</w:t>
      </w:r>
      <w:r w:rsidRPr="00342B3E">
        <w:rPr>
          <w:rFonts w:ascii="Traditional Arabic" w:eastAsia="Calibri" w:hAnsi="Traditional Arabic" w:cs="Traditional Arabic"/>
          <w:sz w:val="32"/>
          <w:szCs w:val="32"/>
          <w:lang w:val="en-US"/>
        </w:rPr>
        <w:t>.</w:t>
      </w:r>
    </w:p>
    <w:p w14:paraId="72E6F43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ونظرًا لطبيعة الدراسة التي تتناول أثر ممارسات إدارة المعرفة في أداء العاملين، فقد تم التركيز على الإدارات التي ترتبط بشكل مباشر بتوليد المعرفة ومشاركتها وتطبيقها داخل الشركة، وتشمل</w:t>
      </w:r>
      <w:r w:rsidRPr="00342B3E">
        <w:rPr>
          <w:rFonts w:ascii="Traditional Arabic" w:eastAsia="Calibri" w:hAnsi="Traditional Arabic" w:cs="Traditional Arabic"/>
          <w:sz w:val="32"/>
          <w:szCs w:val="32"/>
          <w:lang w:val="en-US"/>
        </w:rPr>
        <w:t>:</w:t>
      </w:r>
    </w:p>
    <w:p w14:paraId="213515FE" w14:textId="77777777" w:rsidR="00342B3E" w:rsidRPr="00342B3E" w:rsidRDefault="00342B3E" w:rsidP="00342B3E">
      <w:pPr>
        <w:numPr>
          <w:ilvl w:val="0"/>
          <w:numId w:val="26"/>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إدارة الموارد البشرية</w:t>
      </w:r>
    </w:p>
    <w:p w14:paraId="0C99638E" w14:textId="77777777" w:rsidR="00342B3E" w:rsidRPr="00342B3E" w:rsidRDefault="00342B3E" w:rsidP="00342B3E">
      <w:pPr>
        <w:numPr>
          <w:ilvl w:val="0"/>
          <w:numId w:val="26"/>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إدارة تكنولوجيا المعلومات</w:t>
      </w:r>
    </w:p>
    <w:p w14:paraId="738CED7D" w14:textId="77777777" w:rsidR="00342B3E" w:rsidRPr="00342B3E" w:rsidRDefault="00342B3E" w:rsidP="00342B3E">
      <w:pPr>
        <w:numPr>
          <w:ilvl w:val="0"/>
          <w:numId w:val="26"/>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إدارة العمليات</w:t>
      </w:r>
    </w:p>
    <w:p w14:paraId="007FC961"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وبحسب البيانات الرسمية المتاحة من الشركة، يبلغ عدد العاملين في هذه الإدارات (4306) موظفًا، وهو ما يمثل مجتمع الدراسة الذي سيتم اختيار العينة منه</w:t>
      </w:r>
      <w:r w:rsidRPr="00342B3E">
        <w:rPr>
          <w:rFonts w:ascii="Traditional Arabic" w:eastAsia="Calibri" w:hAnsi="Traditional Arabic" w:cs="Traditional Arabic"/>
          <w:sz w:val="32"/>
          <w:szCs w:val="32"/>
          <w:lang w:val="en-US"/>
        </w:rPr>
        <w:t>.</w:t>
      </w:r>
    </w:p>
    <w:p w14:paraId="415D302E"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ويُعد هذا المجتمع مناسبًا لطبيعة الدراسة، نظرًا لارتباطه المباشر بعمليات إدارة المعرفة وتطبيقاتها، فضلًا عن كونه يمثل بيئة تنظيمية قائمة تعتمد على رأس المال المعرفي في تحقيق أهدافها الاستراتيجية وتعزيز تنافسيتها في سوق الاتصالات</w:t>
      </w:r>
      <w:r w:rsidRPr="00342B3E">
        <w:rPr>
          <w:rFonts w:ascii="Traditional Arabic" w:eastAsia="Calibri" w:hAnsi="Traditional Arabic" w:cs="Traditional Arabic"/>
          <w:sz w:val="32"/>
          <w:szCs w:val="32"/>
          <w:lang w:val="en-US"/>
        </w:rPr>
        <w:t>.</w:t>
      </w:r>
    </w:p>
    <w:p w14:paraId="2F0E396B"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p>
    <w:p w14:paraId="4FBD819B"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عينة الدراسة</w:t>
      </w:r>
    </w:p>
    <w:p w14:paraId="3421F8F1"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نظرًا لكبر حجم مجتمع الدراسة، فقد تم اختيار عينة ممثلة له لضمان إمكانية جمع البيانات وتحليلها بصورة عملية ومنهجية. وتم تحديد حجم العينة بالاستناد إلى جدول (</w:t>
      </w:r>
      <w:r w:rsidRPr="00342B3E">
        <w:rPr>
          <w:rFonts w:ascii="Traditional Arabic" w:eastAsia="Calibri" w:hAnsi="Traditional Arabic" w:cs="Traditional Arabic"/>
          <w:sz w:val="32"/>
          <w:szCs w:val="32"/>
          <w:lang w:val="en-US"/>
        </w:rPr>
        <w:t>Krejcie &amp; Morgan, 1970</w:t>
      </w:r>
      <w:r w:rsidRPr="00342B3E">
        <w:rPr>
          <w:rFonts w:ascii="Traditional Arabic" w:eastAsia="Calibri" w:hAnsi="Traditional Arabic" w:cs="Traditional Arabic"/>
          <w:sz w:val="32"/>
          <w:szCs w:val="32"/>
          <w:rtl/>
          <w:lang w:val="en-US"/>
        </w:rPr>
        <w:t>) لتحديد الحجم المناسب للعينة في ضوء حجم المجتمع الأصلي البالغ (4306) موظفًا.</w:t>
      </w:r>
    </w:p>
    <w:p w14:paraId="16580308"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وبناءً على ذلك، بلغ الحجم المناسب للعينة (354) مفردة، وهو حجم كافٍ لتحقيق درجة مقبولة من الدقة الإحصائية وإمكانية تعميم النتائج في حدود مجتمع الدراسة</w:t>
      </w:r>
      <w:r w:rsidRPr="00342B3E">
        <w:rPr>
          <w:rFonts w:ascii="Traditional Arabic" w:eastAsia="Calibri" w:hAnsi="Traditional Arabic" w:cs="Traditional Arabic"/>
          <w:sz w:val="32"/>
          <w:szCs w:val="32"/>
          <w:lang w:val="en-US"/>
        </w:rPr>
        <w:t>.</w:t>
      </w:r>
    </w:p>
    <w:p w14:paraId="4978F657"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وقد تم اختيار أفراد العينة باستخدام أسلوب العينة العشوائية البسيطة، لضمان تكافؤ الفرص أمام جميع أفراد المجتمع للدخول في العينة، وتقليل احتمالية التحيز في اختيار المفردات</w:t>
      </w:r>
      <w:r w:rsidRPr="00342B3E">
        <w:rPr>
          <w:rFonts w:ascii="Traditional Arabic" w:eastAsia="Calibri" w:hAnsi="Traditional Arabic" w:cs="Traditional Arabic"/>
          <w:sz w:val="32"/>
          <w:szCs w:val="32"/>
          <w:lang w:val="en-US"/>
        </w:rPr>
        <w:t>.</w:t>
      </w:r>
    </w:p>
    <w:p w14:paraId="408F366E"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p>
    <w:p w14:paraId="5127F719"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lastRenderedPageBreak/>
        <w:t>استجابة أفراد العينة</w:t>
      </w:r>
    </w:p>
    <w:p w14:paraId="053F4B75" w14:textId="77777777" w:rsidR="00342B3E" w:rsidRPr="00342B3E" w:rsidRDefault="00342B3E" w:rsidP="00342B3E">
      <w:pPr>
        <w:bidi/>
        <w:spacing w:line="360" w:lineRule="auto"/>
        <w:ind w:firstLine="720"/>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تم توزيع عدد (354) استبانة على أفراد العينة المستهدفة، وذلك وفقًا للحجم المحدد للعينة بالاستناد إلى جدول (</w:t>
      </w:r>
      <w:r w:rsidRPr="00342B3E">
        <w:rPr>
          <w:rFonts w:ascii="Traditional Arabic" w:eastAsia="Calibri" w:hAnsi="Traditional Arabic" w:cs="Traditional Arabic"/>
          <w:sz w:val="32"/>
          <w:szCs w:val="32"/>
          <w:lang w:val="en-US"/>
        </w:rPr>
        <w:t>Krejcie &amp; Morgan</w:t>
      </w:r>
      <w:r w:rsidRPr="00342B3E">
        <w:rPr>
          <w:rFonts w:ascii="Traditional Arabic" w:eastAsia="Calibri" w:hAnsi="Traditional Arabic" w:cs="Traditional Arabic"/>
          <w:sz w:val="32"/>
          <w:szCs w:val="32"/>
          <w:rtl/>
          <w:lang w:val="en-US"/>
        </w:rPr>
        <w:t>). وقد تم استرداد عدد (327) استبانة، وبعد مراجعتها والتأكد من اكتمال البيانات وصلاحيتها للتحليل الإحصائي، تبين أن عدد الاستبانات الصالحة للتحليل بلغ (312) استبانة.</w:t>
      </w:r>
    </w:p>
    <w:p w14:paraId="683E8505"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وبذلك بلغت نسبة الاستجابة الفعلية (88.1%)، وهي نسبة مرتفعة ومقبولة في الدراسات الإدارية والتنظيمية، مما يعزز من موثوقية النتائج وإمكانية تعميمها في حدود مجتمع الدراسة.</w:t>
      </w:r>
    </w:p>
    <w:p w14:paraId="4181EF87"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وقد تم استبعاد الاستبانات غير المكتملة أو التي تضمنت نمط إجابة غير متسق، لضمان دقة التحليل الإحصائي. وتم الاعتماد في التحليل الإحصائي النهائي على الاستبانات الصالحة فقط</w:t>
      </w:r>
      <w:r w:rsidRPr="00342B3E">
        <w:rPr>
          <w:rFonts w:ascii="Traditional Arabic" w:eastAsia="Calibri" w:hAnsi="Traditional Arabic" w:cs="Traditional Arabic"/>
          <w:sz w:val="32"/>
          <w:szCs w:val="32"/>
          <w:lang w:val="en-US"/>
        </w:rPr>
        <w:t>.</w:t>
      </w:r>
    </w:p>
    <w:p w14:paraId="30CED84C"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p>
    <w:p w14:paraId="0A4CB5AD"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متغيرات الدراسة</w:t>
      </w:r>
    </w:p>
    <w:p w14:paraId="3BE26E10"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تقوم هذه الدراسة على متغيرين رئيسين، هما المتغير المستقل والمتغير التابع، وذلك في إطار اختبار طبيعة العلاقة بينهما وقياس أثر الأول في الثاني، وفقًا لنموذج الدراسة المعتمد</w:t>
      </w:r>
      <w:r w:rsidRPr="00342B3E">
        <w:rPr>
          <w:rFonts w:ascii="Traditional Arabic" w:eastAsia="Calibri" w:hAnsi="Traditional Arabic" w:cs="Traditional Arabic"/>
          <w:sz w:val="32"/>
          <w:szCs w:val="32"/>
          <w:lang w:val="en-US"/>
        </w:rPr>
        <w:t>.</w:t>
      </w:r>
    </w:p>
    <w:p w14:paraId="78A528D6"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أولًا: المتغير المستقل</w:t>
      </w:r>
    </w:p>
    <w:p w14:paraId="731C8F74"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إدارة المعرفة</w:t>
      </w:r>
      <w:r w:rsidRPr="00342B3E">
        <w:rPr>
          <w:rFonts w:ascii="Traditional Arabic" w:eastAsia="Calibri" w:hAnsi="Traditional Arabic" w:cs="Traditional Arabic"/>
          <w:sz w:val="32"/>
          <w:szCs w:val="32"/>
          <w:rtl/>
          <w:lang w:val="en-US"/>
        </w:rPr>
        <w:t>، ويُقصد بها العمليات التنظيمية التي تسعى إلى اكتساب المعرفة وتوليدها ومشاركتها وتطبيقها داخل المنظمة بما يسهم في تحسين الأداء المؤسسي</w:t>
      </w:r>
      <w:r w:rsidRPr="00342B3E">
        <w:rPr>
          <w:rFonts w:ascii="Traditional Arabic" w:eastAsia="Calibri" w:hAnsi="Traditional Arabic" w:cs="Traditional Arabic"/>
          <w:sz w:val="32"/>
          <w:szCs w:val="32"/>
          <w:lang w:val="en-US"/>
        </w:rPr>
        <w:t>.</w:t>
      </w:r>
    </w:p>
    <w:p w14:paraId="29B83CC5"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وقد تم قياس هذا المتغير من خلال الأبعاد الفرعية الآتية</w:t>
      </w:r>
      <w:r w:rsidRPr="00342B3E">
        <w:rPr>
          <w:rFonts w:ascii="Traditional Arabic" w:eastAsia="Calibri" w:hAnsi="Traditional Arabic" w:cs="Traditional Arabic"/>
          <w:sz w:val="32"/>
          <w:szCs w:val="32"/>
          <w:lang w:val="en-US"/>
        </w:rPr>
        <w:t>:</w:t>
      </w:r>
    </w:p>
    <w:p w14:paraId="1C000D23" w14:textId="77777777" w:rsidR="00342B3E" w:rsidRPr="00342B3E" w:rsidRDefault="00342B3E" w:rsidP="00342B3E">
      <w:pPr>
        <w:numPr>
          <w:ilvl w:val="0"/>
          <w:numId w:val="27"/>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اكتساب المعرفة: ويشير إلى قدرة المنظمة على الحصول على المعرفة من مصادر داخلية وخارجية وتحديثها بصورة مستمرة.</w:t>
      </w:r>
    </w:p>
    <w:p w14:paraId="4904BAB3" w14:textId="77777777" w:rsidR="00342B3E" w:rsidRPr="00342B3E" w:rsidRDefault="00342B3E" w:rsidP="00342B3E">
      <w:pPr>
        <w:numPr>
          <w:ilvl w:val="0"/>
          <w:numId w:val="27"/>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مشاركة المعرفة: ويعبر عن مستوى تبادل المعرفة بين العاملين والأقسام داخل المنظمة.</w:t>
      </w:r>
    </w:p>
    <w:p w14:paraId="557B4DB4" w14:textId="77777777" w:rsidR="00342B3E" w:rsidRPr="00342B3E" w:rsidRDefault="00342B3E" w:rsidP="00342B3E">
      <w:pPr>
        <w:numPr>
          <w:ilvl w:val="0"/>
          <w:numId w:val="27"/>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تطبيق المعرفة: ويشير إلى مدى توظيف المعرفة المتاحة في تحسين العمليات واتخاذ القرارات وحل المشكلات.</w:t>
      </w:r>
    </w:p>
    <w:p w14:paraId="7660C2B6"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ثانيًا: المتغير التابع</w:t>
      </w:r>
    </w:p>
    <w:p w14:paraId="791AB587"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أداء العاملين، ويُقصد به مستوى كفاءة العاملين وفاعليتهم في إنجاز المهام الموكلة إليهم وتحقيق أهداف المنظمة</w:t>
      </w:r>
      <w:r w:rsidRPr="00342B3E">
        <w:rPr>
          <w:rFonts w:ascii="Traditional Arabic" w:eastAsia="Calibri" w:hAnsi="Traditional Arabic" w:cs="Traditional Arabic"/>
          <w:sz w:val="32"/>
          <w:szCs w:val="32"/>
          <w:lang w:val="en-US"/>
        </w:rPr>
        <w:t>.</w:t>
      </w:r>
    </w:p>
    <w:p w14:paraId="10B2EE29"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وقد تم قياس هذا المتغير من خلال أربعة أبعاد رئيسة هي</w:t>
      </w:r>
      <w:r w:rsidRPr="00342B3E">
        <w:rPr>
          <w:rFonts w:ascii="Traditional Arabic" w:eastAsia="Calibri" w:hAnsi="Traditional Arabic" w:cs="Traditional Arabic"/>
          <w:sz w:val="32"/>
          <w:szCs w:val="32"/>
          <w:lang w:val="en-US"/>
        </w:rPr>
        <w:t>:</w:t>
      </w:r>
    </w:p>
    <w:p w14:paraId="3B6766F3" w14:textId="77777777" w:rsidR="00342B3E" w:rsidRPr="00342B3E" w:rsidRDefault="00342B3E" w:rsidP="00342B3E">
      <w:pPr>
        <w:numPr>
          <w:ilvl w:val="0"/>
          <w:numId w:val="28"/>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الكفاءة الوظيفية</w:t>
      </w:r>
      <w:r w:rsidRPr="00342B3E">
        <w:rPr>
          <w:rFonts w:ascii="Traditional Arabic" w:eastAsia="Calibri" w:hAnsi="Traditional Arabic" w:cs="Traditional Arabic"/>
          <w:sz w:val="32"/>
          <w:szCs w:val="32"/>
          <w:lang w:val="en-US"/>
        </w:rPr>
        <w:t xml:space="preserve">. </w:t>
      </w:r>
    </w:p>
    <w:p w14:paraId="08E539C5" w14:textId="77777777" w:rsidR="00342B3E" w:rsidRPr="00342B3E" w:rsidRDefault="00342B3E" w:rsidP="00342B3E">
      <w:pPr>
        <w:numPr>
          <w:ilvl w:val="0"/>
          <w:numId w:val="28"/>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الابتكار وحل المشكلات</w:t>
      </w:r>
      <w:r w:rsidRPr="00342B3E">
        <w:rPr>
          <w:rFonts w:ascii="Traditional Arabic" w:eastAsia="Calibri" w:hAnsi="Traditional Arabic" w:cs="Traditional Arabic"/>
          <w:sz w:val="32"/>
          <w:szCs w:val="32"/>
          <w:lang w:val="en-US"/>
        </w:rPr>
        <w:t xml:space="preserve">. </w:t>
      </w:r>
    </w:p>
    <w:p w14:paraId="5CE5E49A" w14:textId="77777777" w:rsidR="00342B3E" w:rsidRPr="00342B3E" w:rsidRDefault="00342B3E" w:rsidP="00342B3E">
      <w:pPr>
        <w:numPr>
          <w:ilvl w:val="0"/>
          <w:numId w:val="28"/>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رضا العملاء</w:t>
      </w:r>
      <w:r w:rsidRPr="00342B3E">
        <w:rPr>
          <w:rFonts w:ascii="Traditional Arabic" w:eastAsia="Calibri" w:hAnsi="Traditional Arabic" w:cs="Traditional Arabic"/>
          <w:sz w:val="32"/>
          <w:szCs w:val="32"/>
          <w:lang w:val="en-US"/>
        </w:rPr>
        <w:t xml:space="preserve">. </w:t>
      </w:r>
    </w:p>
    <w:p w14:paraId="7A7FBDF6" w14:textId="77777777" w:rsidR="00342B3E" w:rsidRPr="00342B3E" w:rsidRDefault="00342B3E" w:rsidP="00342B3E">
      <w:pPr>
        <w:numPr>
          <w:ilvl w:val="0"/>
          <w:numId w:val="28"/>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الالتزام الوظيفي</w:t>
      </w:r>
      <w:r w:rsidRPr="00342B3E">
        <w:rPr>
          <w:rFonts w:ascii="Traditional Arabic" w:eastAsia="Calibri" w:hAnsi="Traditional Arabic" w:cs="Traditional Arabic"/>
          <w:sz w:val="32"/>
          <w:szCs w:val="32"/>
          <w:lang w:val="en-US"/>
        </w:rPr>
        <w:t xml:space="preserve">. </w:t>
      </w:r>
    </w:p>
    <w:p w14:paraId="11A7744A"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التبرير المنهجي لقياس أداء العاملين</w:t>
      </w:r>
    </w:p>
    <w:p w14:paraId="60250057"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رغم أن أداء العاملين يتكون من عدة أبعاد فرعية، إلا أن الدراسة الحالية اعتمدت مستويين للتحليل الإحصائي بما يتوافق مع أهدافها وفرضياتها</w:t>
      </w:r>
      <w:r w:rsidRPr="00342B3E">
        <w:rPr>
          <w:rFonts w:ascii="Traditional Arabic" w:eastAsia="Calibri" w:hAnsi="Traditional Arabic" w:cs="Traditional Arabic"/>
          <w:sz w:val="32"/>
          <w:szCs w:val="32"/>
          <w:lang w:val="en-US"/>
        </w:rPr>
        <w:t>.</w:t>
      </w:r>
    </w:p>
    <w:p w14:paraId="068AF20F"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ففي الفرضية الرئيسة، تم التعامل مع أداء العاملين بوصفه متغيرًا تابعًا كليًا يعبر عن المستوى العام للأداء داخل المنظمة، وذلك لقياس الأثر الإجمالي لممارسات إدارة المعرفة بأبعادها في الأداء العام للعاملين</w:t>
      </w:r>
      <w:r w:rsidRPr="00342B3E">
        <w:rPr>
          <w:rFonts w:ascii="Traditional Arabic" w:eastAsia="Calibri" w:hAnsi="Traditional Arabic" w:cs="Traditional Arabic"/>
          <w:sz w:val="32"/>
          <w:szCs w:val="32"/>
          <w:lang w:val="en-US"/>
        </w:rPr>
        <w:t>.</w:t>
      </w:r>
    </w:p>
    <w:p w14:paraId="1B74E4DF"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أما في الفرضيات الفرعية، فقد تم تحليل كل بعد من أبعاد أداء العاملين (الكفاءة الوظيفية، والابتكار وحل المشكلات، ورضا العملاء، والالتزام الوظيفي) بوصفه متغيرًا تابعًا مستقلًا، بهدف التعرف إلى مدى اختلاف تأثير ممارسات إدارة المعرفة في كل بعد من أبعاد الأداء، وتقديم تفسير أكثر دقة وشمولًا لنتائج الدراسة</w:t>
      </w:r>
      <w:r w:rsidRPr="00342B3E">
        <w:rPr>
          <w:rFonts w:ascii="Traditional Arabic" w:eastAsia="Calibri" w:hAnsi="Traditional Arabic" w:cs="Traditional Arabic"/>
          <w:sz w:val="32"/>
          <w:szCs w:val="32"/>
          <w:lang w:val="en-US"/>
        </w:rPr>
        <w:t>.</w:t>
      </w:r>
    </w:p>
    <w:p w14:paraId="6E7CF40F"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ويستند هذا التوجه إلى الاعتبارات المنهجية الآتية</w:t>
      </w:r>
      <w:r w:rsidRPr="00342B3E">
        <w:rPr>
          <w:rFonts w:ascii="Traditional Arabic" w:eastAsia="Calibri" w:hAnsi="Traditional Arabic" w:cs="Traditional Arabic"/>
          <w:sz w:val="32"/>
          <w:szCs w:val="32"/>
          <w:lang w:val="en-US"/>
        </w:rPr>
        <w:t>:</w:t>
      </w:r>
    </w:p>
    <w:p w14:paraId="4AABD45E" w14:textId="77777777" w:rsidR="00342B3E" w:rsidRPr="00342B3E" w:rsidRDefault="00342B3E" w:rsidP="00342B3E">
      <w:pPr>
        <w:numPr>
          <w:ilvl w:val="0"/>
          <w:numId w:val="29"/>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يتوافق مع النموذج المفاهيمي للدراسة الذي يتضمن فرضية رئيسة تقيس أثر إدارة المعرفة في الأداء الكلي، وفرضيات فرعية تقيس أثرها في كل بعد من أبعاد الأداء</w:t>
      </w:r>
      <w:r w:rsidRPr="00342B3E">
        <w:rPr>
          <w:rFonts w:ascii="Traditional Arabic" w:eastAsia="Calibri" w:hAnsi="Traditional Arabic" w:cs="Traditional Arabic"/>
          <w:sz w:val="32"/>
          <w:szCs w:val="32"/>
          <w:lang w:val="en-US"/>
        </w:rPr>
        <w:t xml:space="preserve">. </w:t>
      </w:r>
    </w:p>
    <w:p w14:paraId="3CFEE9CC" w14:textId="77777777" w:rsidR="00342B3E" w:rsidRPr="00342B3E" w:rsidRDefault="00342B3E" w:rsidP="00342B3E">
      <w:pPr>
        <w:numPr>
          <w:ilvl w:val="0"/>
          <w:numId w:val="29"/>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يسهم تحليل الأداء على مستويين (الكلي والفرعي) في تقديم تفسير أكثر عمقًا لنتائج الدراسة، من خلال بيان قوة تأثير إدارة المعرفة في كل بعد من أبعاد الأداء الوظيفي</w:t>
      </w:r>
      <w:r w:rsidRPr="00342B3E">
        <w:rPr>
          <w:rFonts w:ascii="Traditional Arabic" w:eastAsia="Calibri" w:hAnsi="Traditional Arabic" w:cs="Traditional Arabic"/>
          <w:sz w:val="32"/>
          <w:szCs w:val="32"/>
          <w:lang w:val="en-US"/>
        </w:rPr>
        <w:t xml:space="preserve">. </w:t>
      </w:r>
    </w:p>
    <w:p w14:paraId="1A5C142C" w14:textId="77777777" w:rsidR="00342B3E" w:rsidRPr="00342B3E" w:rsidRDefault="00342B3E" w:rsidP="00342B3E">
      <w:pPr>
        <w:numPr>
          <w:ilvl w:val="0"/>
          <w:numId w:val="29"/>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تتبنى العديد من الدراسات التطبيقية هذا الأسلوب، حيث يتم استخدام المؤشر الكلي عند اختبار النموذج الرئيس، مع تحليل الأبعاد الفرعية عند اختبار الفرضيات الفرعية، بما يثري تفسير النتائج ويزيد من دقتها</w:t>
      </w:r>
      <w:r w:rsidRPr="00342B3E">
        <w:rPr>
          <w:rFonts w:ascii="Traditional Arabic" w:eastAsia="Calibri" w:hAnsi="Traditional Arabic" w:cs="Traditional Arabic"/>
          <w:sz w:val="32"/>
          <w:szCs w:val="32"/>
          <w:lang w:val="en-US"/>
        </w:rPr>
        <w:t xml:space="preserve">. </w:t>
      </w:r>
    </w:p>
    <w:p w14:paraId="597EA663" w14:textId="77777777" w:rsidR="00342B3E" w:rsidRPr="00342B3E" w:rsidRDefault="00342B3E" w:rsidP="00342B3E">
      <w:pPr>
        <w:numPr>
          <w:ilvl w:val="0"/>
          <w:numId w:val="29"/>
        </w:num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أظهرت اختبارات الصدق والثبات وجود اتساق داخلي مرتفع بين فقرات الأداء، مما يدعم استخدام الدرجة الكلية في التحليل الرئيس، وفي الوقت نفسه يسمح بتحليل الأبعاد الفرعية بصورة مستقلة عند الحاجة</w:t>
      </w:r>
      <w:r w:rsidRPr="00342B3E">
        <w:rPr>
          <w:rFonts w:ascii="Traditional Arabic" w:eastAsia="Calibri" w:hAnsi="Traditional Arabic" w:cs="Traditional Arabic"/>
          <w:sz w:val="32"/>
          <w:szCs w:val="32"/>
          <w:lang w:val="en-US"/>
        </w:rPr>
        <w:t xml:space="preserve">. </w:t>
      </w:r>
    </w:p>
    <w:p w14:paraId="6AC20BF7"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وبناءً على ذلك، اعتمدت الدراسة أداء العاملين كمتغير تابع رئيس في اختبار الفرضية الرئيسة، مع استخدام أبعاده الفرعية في اختبار الفرضيات الفرعية، بما يحقق الاتساق بين النموذج النظري، وأداة الدراسة، والتحليل الإحصائي، ويسهم في تقديم تفسير أكثر شمولًا لنتائج الدراسة</w:t>
      </w:r>
      <w:r w:rsidRPr="00342B3E">
        <w:rPr>
          <w:rFonts w:ascii="Traditional Arabic" w:eastAsia="Calibri" w:hAnsi="Traditional Arabic" w:cs="Traditional Arabic"/>
          <w:sz w:val="32"/>
          <w:szCs w:val="32"/>
          <w:lang w:val="en-US"/>
        </w:rPr>
        <w:t>.</w:t>
      </w:r>
    </w:p>
    <w:p w14:paraId="3151E111"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rPr>
      </w:pPr>
    </w:p>
    <w:p w14:paraId="2D3416F4"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أداة الدراسة</w:t>
      </w:r>
    </w:p>
    <w:p w14:paraId="426156F2"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اعتمدت الدراسة الحالية على الاستبانة كأداة رئيسة لجمع البيانات من أفراد عينة الدراسة، نظرًا لملاءمتها لطبيعة المنهج الوصفي التحليلي، وقدرتها على قياس اتجاهات وآراء المبحوثين بصورة كمية منظمة تسهل معالجتها إحصائيًا</w:t>
      </w:r>
      <w:r w:rsidRPr="00342B3E">
        <w:rPr>
          <w:rFonts w:ascii="Traditional Arabic" w:eastAsia="Calibri" w:hAnsi="Traditional Arabic" w:cs="Traditional Arabic"/>
          <w:sz w:val="32"/>
          <w:szCs w:val="32"/>
          <w:lang w:val="en-US"/>
        </w:rPr>
        <w:t>.</w:t>
      </w:r>
    </w:p>
    <w:p w14:paraId="2B51669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وقد تم تطوير الاستبانة بالرجوع إلى الأدبيات النظرية والدراسات السابقة ذات الصلة بموضوع إدارة المعرفة وأداء العاملين، بما يضمن شمول الأداة لأبعاد المتغيرات محل الدراسة واتساقها مع نموذج الدراسة المعتمد</w:t>
      </w:r>
      <w:r w:rsidRPr="00342B3E">
        <w:rPr>
          <w:rFonts w:ascii="Traditional Arabic" w:eastAsia="Calibri" w:hAnsi="Traditional Arabic" w:cs="Traditional Arabic"/>
          <w:sz w:val="32"/>
          <w:szCs w:val="32"/>
          <w:lang w:val="en-US"/>
        </w:rPr>
        <w:t>.</w:t>
      </w:r>
    </w:p>
    <w:p w14:paraId="6CDA9A08"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وتكونت الاستبانة من قسمين رئيسين، على النحو الآتي</w:t>
      </w:r>
      <w:r w:rsidRPr="00342B3E">
        <w:rPr>
          <w:rFonts w:ascii="Traditional Arabic" w:eastAsia="Calibri" w:hAnsi="Traditional Arabic" w:cs="Traditional Arabic"/>
          <w:sz w:val="32"/>
          <w:szCs w:val="32"/>
          <w:lang w:val="en-US"/>
        </w:rPr>
        <w:t>:</w:t>
      </w:r>
    </w:p>
    <w:p w14:paraId="19540E8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p>
    <w:p w14:paraId="48BF3BEC"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أولًا: البيانات الديموغرافية</w:t>
      </w:r>
    </w:p>
    <w:p w14:paraId="6B6A9A82"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وتتضمن مجموعة من المتغيرات الشخصية والوظيفية لأفراد العينة، وهي</w:t>
      </w:r>
      <w:r w:rsidRPr="00342B3E">
        <w:rPr>
          <w:rFonts w:ascii="Traditional Arabic" w:eastAsia="Calibri" w:hAnsi="Traditional Arabic" w:cs="Traditional Arabic"/>
          <w:sz w:val="32"/>
          <w:szCs w:val="32"/>
          <w:lang w:val="en-US"/>
        </w:rPr>
        <w:t>:</w:t>
      </w:r>
    </w:p>
    <w:p w14:paraId="73B65BE5" w14:textId="77777777" w:rsidR="00342B3E" w:rsidRPr="00342B3E" w:rsidRDefault="00342B3E" w:rsidP="00342B3E">
      <w:pPr>
        <w:numPr>
          <w:ilvl w:val="0"/>
          <w:numId w:val="30"/>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الجنس</w:t>
      </w:r>
    </w:p>
    <w:p w14:paraId="35F044F9" w14:textId="77777777" w:rsidR="00342B3E" w:rsidRPr="00342B3E" w:rsidRDefault="00342B3E" w:rsidP="00342B3E">
      <w:pPr>
        <w:numPr>
          <w:ilvl w:val="0"/>
          <w:numId w:val="30"/>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العمر</w:t>
      </w:r>
    </w:p>
    <w:p w14:paraId="5D92C3C5" w14:textId="77777777" w:rsidR="00342B3E" w:rsidRPr="00342B3E" w:rsidRDefault="00342B3E" w:rsidP="00342B3E">
      <w:pPr>
        <w:numPr>
          <w:ilvl w:val="0"/>
          <w:numId w:val="30"/>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المؤهل العلمي</w:t>
      </w:r>
    </w:p>
    <w:p w14:paraId="626D4910" w14:textId="77777777" w:rsidR="00342B3E" w:rsidRPr="00342B3E" w:rsidRDefault="00342B3E" w:rsidP="00342B3E">
      <w:pPr>
        <w:numPr>
          <w:ilvl w:val="0"/>
          <w:numId w:val="30"/>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سنوات الخبرة</w:t>
      </w:r>
    </w:p>
    <w:p w14:paraId="1598C541" w14:textId="77777777" w:rsidR="00342B3E" w:rsidRPr="00342B3E" w:rsidRDefault="00342B3E" w:rsidP="00342B3E">
      <w:pPr>
        <w:numPr>
          <w:ilvl w:val="0"/>
          <w:numId w:val="30"/>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المسمى الوظيفي</w:t>
      </w:r>
    </w:p>
    <w:p w14:paraId="20D40B4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وذلك بهدف وصف خصائص العينة وإجراء المقارنات الإحصائية عند الحاجة</w:t>
      </w:r>
      <w:r w:rsidRPr="00342B3E">
        <w:rPr>
          <w:rFonts w:ascii="Traditional Arabic" w:eastAsia="Calibri" w:hAnsi="Traditional Arabic" w:cs="Traditional Arabic"/>
          <w:sz w:val="32"/>
          <w:szCs w:val="32"/>
          <w:lang w:val="en-US"/>
        </w:rPr>
        <w:t>.</w:t>
      </w:r>
    </w:p>
    <w:p w14:paraId="01C28E20"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ثانيًا: فقرات متغيرات الدراسة</w:t>
      </w:r>
    </w:p>
    <w:p w14:paraId="1FD30C7C"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وتتضمن العبارات التي تقيس أبعاد المتغير المستقل (إدارة المعرفة) والمتغير التابع (أداء العاملين)، وقد تم توزيع الفقرات على الأبعاد المختلفة كما يلي</w:t>
      </w:r>
      <w:r w:rsidRPr="00342B3E">
        <w:rPr>
          <w:rFonts w:ascii="Traditional Arabic" w:eastAsia="Calibri" w:hAnsi="Traditional Arabic" w:cs="Traditional Arabic"/>
          <w:sz w:val="32"/>
          <w:szCs w:val="32"/>
          <w:lang w:val="en-US"/>
        </w:rPr>
        <w:t>:</w:t>
      </w:r>
    </w:p>
    <w:p w14:paraId="7E92C6FD" w14:textId="77777777" w:rsidR="00342B3E" w:rsidRPr="00342B3E" w:rsidRDefault="00342B3E" w:rsidP="00342B3E">
      <w:pPr>
        <w:numPr>
          <w:ilvl w:val="0"/>
          <w:numId w:val="31"/>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أبعاد إدارة المعرفة (اكتساب المعرفة، مشاركة المعرفة، تطبيق المعرفة)</w:t>
      </w:r>
    </w:p>
    <w:p w14:paraId="5FE8D5DD" w14:textId="77777777" w:rsidR="00342B3E" w:rsidRPr="00342B3E" w:rsidRDefault="00342B3E" w:rsidP="00342B3E">
      <w:pPr>
        <w:numPr>
          <w:ilvl w:val="0"/>
          <w:numId w:val="31"/>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أبعاد أداء العاملين (الكفاءة الوظيفية، الابتكار وحل المشكلات، رضا العملاء، الالتزام الوظيفي)حيث روعي عند بناء فقرات أداء العاملين تمثيل الأبعاد المفاهيمية الأربعة، إلا أن القياس الإحصائي تم على مستوى المؤشر الكلي للأداء</w:t>
      </w:r>
      <w:r w:rsidRPr="00342B3E">
        <w:rPr>
          <w:rFonts w:ascii="Traditional Arabic" w:eastAsia="Calibri" w:hAnsi="Traditional Arabic" w:cs="Traditional Arabic"/>
          <w:sz w:val="32"/>
          <w:szCs w:val="32"/>
        </w:rPr>
        <w:t>.</w:t>
      </w:r>
    </w:p>
    <w:p w14:paraId="0261662A"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وقد تم قياس جميع الفقرات باستخدام مقياس ليكرت الخماسي، وذلك وفق التدريج الآتي</w:t>
      </w:r>
      <w:r w:rsidRPr="00342B3E">
        <w:rPr>
          <w:rFonts w:ascii="Traditional Arabic" w:eastAsia="Calibri" w:hAnsi="Traditional Arabic" w:cs="Traditional Arabic"/>
          <w:sz w:val="32"/>
          <w:szCs w:val="32"/>
          <w:lang w:val="en-US"/>
        </w:rPr>
        <w:t>:</w:t>
      </w:r>
      <w:r w:rsidRPr="00342B3E">
        <w:rPr>
          <w:rFonts w:ascii="Traditional Arabic" w:eastAsia="Calibri" w:hAnsi="Traditional Arabic" w:cs="Traditional Arabic"/>
          <w:sz w:val="32"/>
          <w:szCs w:val="32"/>
          <w:rtl/>
          <w:lang w:val="en-US"/>
        </w:rPr>
        <w:t xml:space="preserve"> </w:t>
      </w:r>
    </w:p>
    <w:p w14:paraId="6D991BCB"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1 = أعارض بشدة</w:t>
      </w:r>
    </w:p>
    <w:p w14:paraId="25CC1FFA"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2 = أعارض</w:t>
      </w:r>
    </w:p>
    <w:p w14:paraId="22F39383"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lastRenderedPageBreak/>
        <w:t>3 = محايد</w:t>
      </w:r>
    </w:p>
    <w:p w14:paraId="756ECC52"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4 = أوافق</w:t>
      </w:r>
    </w:p>
    <w:p w14:paraId="36A16DC9"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5 = أوافق بشدة</w:t>
      </w:r>
    </w:p>
    <w:p w14:paraId="69FD8591"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ويُعد هذا المقياس من أكثر المقاييس استخدامًا في الدراسات الإدارية، نظرًا لقدرته على قياس الاتجاهات بدرجة مناسبة من الدقة والثبات</w:t>
      </w:r>
      <w:r w:rsidRPr="00342B3E">
        <w:rPr>
          <w:rFonts w:ascii="Traditional Arabic" w:eastAsia="Calibri" w:hAnsi="Traditional Arabic" w:cs="Traditional Arabic"/>
          <w:sz w:val="32"/>
          <w:szCs w:val="32"/>
          <w:lang w:val="en-US"/>
        </w:rPr>
        <w:t>.</w:t>
      </w:r>
    </w:p>
    <w:p w14:paraId="3DFA0BCE"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p>
    <w:p w14:paraId="3CA3A88A"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بناء أداة الدراسة وتأصيلها العلمي</w:t>
      </w:r>
    </w:p>
    <w:p w14:paraId="6D8593A4"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لم تعتمد الدراسة الحالية على مقياس جاهز بصورة حرفية، وإنما تم بناء أداة الدراسة في ضوء الإطار النظري المعتمد والدراسات السابقة التي تناولت متغيرات إدارة المعرفة وأداء العاملين، بهدف تطوير أداة قياس ملائمة للسياق التنظيمي لشركة موبايلي السعودية للاتصالات، مع الحفاظ على الاتساق المفاهيمي مع الأدبيات العلمية الرصينة في مجال إدارة المعرفة</w:t>
      </w:r>
      <w:r w:rsidRPr="00342B3E">
        <w:rPr>
          <w:rFonts w:ascii="Traditional Arabic" w:eastAsia="Calibri" w:hAnsi="Traditional Arabic" w:cs="Traditional Arabic"/>
          <w:sz w:val="32"/>
          <w:szCs w:val="32"/>
          <w:lang w:val="en-US"/>
        </w:rPr>
        <w:t>.</w:t>
      </w:r>
    </w:p>
    <w:p w14:paraId="387DEECB"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أولًا: تأصيل فقرات إدارة المعرفة</w:t>
      </w:r>
    </w:p>
    <w:p w14:paraId="523EB118"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استند بناء فقرات إدارة المعرفة إلى الطرح النظري الكلاسيكي والحديث الذي تناول إدارة المعرفة بوصفها عملية تنظيمية ديناميكية تتضمن اكتساب المعرفة، ومشاركتها، وتطبيقها داخل المنظمة. فقد انطلقت صياغة الأبعاد الثلاثة من الأسس المفاهيمية التي طرحها </w:t>
      </w:r>
      <w:r w:rsidRPr="00342B3E">
        <w:rPr>
          <w:rFonts w:ascii="Traditional Arabic" w:eastAsia="Calibri" w:hAnsi="Traditional Arabic" w:cs="Traditional Arabic"/>
          <w:sz w:val="32"/>
          <w:szCs w:val="32"/>
          <w:lang w:val="en-US"/>
        </w:rPr>
        <w:t>Nonaka &amp; Takeuchi</w:t>
      </w:r>
      <w:r w:rsidRPr="00342B3E">
        <w:rPr>
          <w:rFonts w:ascii="Traditional Arabic" w:eastAsia="Calibri" w:hAnsi="Traditional Arabic" w:cs="Traditional Arabic"/>
          <w:sz w:val="32"/>
          <w:szCs w:val="32"/>
          <w:lang w:val="en-US" w:bidi="ar-AE"/>
        </w:rPr>
        <w:t xml:space="preserve">, </w:t>
      </w:r>
      <w:r w:rsidRPr="00342B3E">
        <w:rPr>
          <w:rFonts w:ascii="Traditional Arabic" w:eastAsia="Calibri" w:hAnsi="Traditional Arabic" w:cs="Traditional Arabic"/>
          <w:sz w:val="32"/>
          <w:szCs w:val="32"/>
          <w:lang w:val="en-US"/>
        </w:rPr>
        <w:t>1995)</w:t>
      </w:r>
      <w:r w:rsidRPr="00342B3E">
        <w:rPr>
          <w:rFonts w:ascii="Traditional Arabic" w:eastAsia="Calibri" w:hAnsi="Traditional Arabic" w:cs="Traditional Arabic"/>
          <w:sz w:val="32"/>
          <w:szCs w:val="32"/>
          <w:rtl/>
          <w:lang w:val="en-US"/>
        </w:rPr>
        <w:t xml:space="preserve">) حول خلق المعرفة التنظيمية، وكذلك من الإطار المفاهيمي الذي قدمه </w:t>
      </w:r>
      <w:r w:rsidRPr="00342B3E">
        <w:rPr>
          <w:rFonts w:ascii="Traditional Arabic" w:eastAsia="Calibri" w:hAnsi="Traditional Arabic" w:cs="Traditional Arabic"/>
          <w:sz w:val="32"/>
          <w:szCs w:val="32"/>
          <w:lang w:val="en-US"/>
        </w:rPr>
        <w:t>Alavi &amp; Leidner, 2001)</w:t>
      </w:r>
      <w:r w:rsidRPr="00342B3E">
        <w:rPr>
          <w:rFonts w:ascii="Traditional Arabic" w:eastAsia="Calibri" w:hAnsi="Traditional Arabic" w:cs="Traditional Arabic"/>
          <w:sz w:val="32"/>
          <w:szCs w:val="32"/>
          <w:rtl/>
          <w:lang w:val="en-US"/>
        </w:rPr>
        <w:t xml:space="preserve">) بشأن عمليات إدارة المعرفة داخل </w:t>
      </w:r>
      <w:r w:rsidRPr="00342B3E">
        <w:rPr>
          <w:rFonts w:ascii="Traditional Arabic" w:eastAsia="Calibri" w:hAnsi="Traditional Arabic" w:cs="Traditional Arabic"/>
          <w:sz w:val="32"/>
          <w:szCs w:val="32"/>
          <w:rtl/>
          <w:lang w:val="en-US"/>
        </w:rPr>
        <w:lastRenderedPageBreak/>
        <w:t xml:space="preserve">المنظمات. كما تم الاسترشاد بالتصورات التطبيقية لإدارة المعرفة الواردة لدى </w:t>
      </w:r>
      <w:r w:rsidRPr="00342B3E">
        <w:rPr>
          <w:rFonts w:ascii="Traditional Arabic" w:eastAsia="Calibri" w:hAnsi="Traditional Arabic" w:cs="Traditional Arabic"/>
          <w:sz w:val="32"/>
          <w:szCs w:val="32"/>
          <w:lang w:val="en-US"/>
        </w:rPr>
        <w:t>Davenport &amp; Prusak, 1998)</w:t>
      </w:r>
      <w:r w:rsidRPr="00342B3E">
        <w:rPr>
          <w:rFonts w:ascii="Traditional Arabic" w:eastAsia="Calibri" w:hAnsi="Traditional Arabic" w:cs="Traditional Arabic"/>
          <w:sz w:val="32"/>
          <w:szCs w:val="32"/>
          <w:rtl/>
          <w:lang w:val="en-US"/>
        </w:rPr>
        <w:t>) و</w:t>
      </w:r>
      <w:r w:rsidRPr="00342B3E">
        <w:rPr>
          <w:rFonts w:ascii="Traditional Arabic" w:eastAsia="Calibri" w:hAnsi="Traditional Arabic" w:cs="Traditional Arabic"/>
          <w:sz w:val="32"/>
          <w:szCs w:val="32"/>
          <w:lang w:val="en-US"/>
        </w:rPr>
        <w:t>Dalkir, 2020)</w:t>
      </w:r>
      <w:r w:rsidRPr="00342B3E">
        <w:rPr>
          <w:rFonts w:ascii="Traditional Arabic" w:eastAsia="Calibri" w:hAnsi="Traditional Arabic" w:cs="Traditional Arabic"/>
          <w:sz w:val="32"/>
          <w:szCs w:val="32"/>
          <w:rtl/>
          <w:lang w:val="en-US"/>
        </w:rPr>
        <w:t>) و</w:t>
      </w:r>
      <w:r w:rsidRPr="00342B3E">
        <w:rPr>
          <w:rFonts w:ascii="Traditional Arabic" w:eastAsia="Calibri" w:hAnsi="Traditional Arabic" w:cs="Traditional Arabic"/>
          <w:sz w:val="32"/>
          <w:szCs w:val="32"/>
          <w:lang w:val="en-US"/>
        </w:rPr>
        <w:t xml:space="preserve">Massingham, 2019) </w:t>
      </w:r>
      <w:r w:rsidRPr="00342B3E">
        <w:rPr>
          <w:rFonts w:ascii="Traditional Arabic" w:eastAsia="Calibri" w:hAnsi="Traditional Arabic" w:cs="Traditional Arabic"/>
          <w:sz w:val="32"/>
          <w:szCs w:val="32"/>
          <w:rtl/>
          <w:lang w:val="en-US"/>
        </w:rPr>
        <w:t>)، والتي تؤكد أن فعالية إدارة المعرفة تقاس بمدى قدرة المنظمة على توليد المعرفة وتداولها وتوظيفها في تحسين الأداء.</w:t>
      </w:r>
    </w:p>
    <w:p w14:paraId="4A1CCD45"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وعلى هذا الأساس، تم اشتقاق (24) فقرة لقياس إدارة المعرفة، موزعة بالتساوي على الأبعاد الثلاثة الآتية</w:t>
      </w:r>
      <w:r w:rsidRPr="00342B3E">
        <w:rPr>
          <w:rFonts w:ascii="Traditional Arabic" w:eastAsia="Calibri" w:hAnsi="Traditional Arabic" w:cs="Traditional Arabic"/>
          <w:sz w:val="32"/>
          <w:szCs w:val="32"/>
          <w:lang w:val="en-US"/>
        </w:rPr>
        <w:t>:</w:t>
      </w:r>
    </w:p>
    <w:p w14:paraId="4DFBAAF4" w14:textId="77777777" w:rsidR="00342B3E" w:rsidRPr="00342B3E" w:rsidRDefault="00342B3E" w:rsidP="00342B3E">
      <w:pPr>
        <w:numPr>
          <w:ilvl w:val="0"/>
          <w:numId w:val="32"/>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اكتساب المعرفة (8 فقرات): تعكس قدرة المنظمة على الحصول على المعرفة من مصادر داخلية وخارجية وتحديثها بصورة مستمرة</w:t>
      </w:r>
      <w:r w:rsidRPr="00342B3E">
        <w:rPr>
          <w:rFonts w:ascii="Traditional Arabic" w:eastAsia="Calibri" w:hAnsi="Traditional Arabic" w:cs="Traditional Arabic"/>
          <w:sz w:val="32"/>
          <w:szCs w:val="32"/>
          <w:lang w:val="en-US"/>
        </w:rPr>
        <w:t>.</w:t>
      </w:r>
    </w:p>
    <w:p w14:paraId="4ADA3924" w14:textId="77777777" w:rsidR="00342B3E" w:rsidRPr="00342B3E" w:rsidRDefault="00342B3E" w:rsidP="00342B3E">
      <w:pPr>
        <w:numPr>
          <w:ilvl w:val="0"/>
          <w:numId w:val="32"/>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مشاركة المعرفة (8 فقرات): تقيس مستوى تبادل المعرفة بين العاملين والوحدات التنظيمية</w:t>
      </w:r>
      <w:r w:rsidRPr="00342B3E">
        <w:rPr>
          <w:rFonts w:ascii="Traditional Arabic" w:eastAsia="Calibri" w:hAnsi="Traditional Arabic" w:cs="Traditional Arabic"/>
          <w:sz w:val="32"/>
          <w:szCs w:val="32"/>
          <w:lang w:val="en-US"/>
        </w:rPr>
        <w:t>.</w:t>
      </w:r>
    </w:p>
    <w:p w14:paraId="30CF0680" w14:textId="77777777" w:rsidR="00342B3E" w:rsidRPr="00342B3E" w:rsidRDefault="00342B3E" w:rsidP="00342B3E">
      <w:pPr>
        <w:numPr>
          <w:ilvl w:val="0"/>
          <w:numId w:val="32"/>
        </w:numPr>
        <w:bidi/>
        <w:spacing w:line="360" w:lineRule="auto"/>
        <w:ind w:left="144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تطبيق المعرفة (8 فقرات): تقيس مدى توظيف المعرفة المتاحة في تحسين العمليات واتخاذ القرارات وحل المشكلات</w:t>
      </w:r>
      <w:r w:rsidRPr="00342B3E">
        <w:rPr>
          <w:rFonts w:ascii="Traditional Arabic" w:eastAsia="Calibri" w:hAnsi="Traditional Arabic" w:cs="Traditional Arabic"/>
          <w:sz w:val="32"/>
          <w:szCs w:val="32"/>
          <w:lang w:val="en-US"/>
        </w:rPr>
        <w:t>.</w:t>
      </w:r>
    </w:p>
    <w:p w14:paraId="11392FF9"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وقد روعي في صياغة الفقرات أن تعكس البعد الإجرائي لكل مفهوم، بما يضمن اتساقها مع التعريفات المعتمدة في الفصل الثاني</w:t>
      </w:r>
      <w:r w:rsidRPr="00342B3E">
        <w:rPr>
          <w:rFonts w:ascii="Traditional Arabic" w:eastAsia="Calibri" w:hAnsi="Traditional Arabic" w:cs="Traditional Arabic"/>
          <w:sz w:val="32"/>
          <w:szCs w:val="32"/>
          <w:lang w:val="en-US"/>
        </w:rPr>
        <w:t>.</w:t>
      </w:r>
    </w:p>
    <w:p w14:paraId="59F22445"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ثانيًا: تأصيل فقرات أداء العاملين</w:t>
      </w:r>
    </w:p>
    <w:p w14:paraId="3966497A"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تم بناء فقرات أداء العاملين في ضوء الأدبيات التي تناولت العلاقة بين إدارة المعرفة والأداء الوظيفي، حيث أكدت العديد من الدراسات التطبيقية وجود ارتباط إيجابي بين ممارسات إدارة المعرفة وتحسين أداء العاملين، من بينها </w:t>
      </w:r>
      <w:r w:rsidRPr="00342B3E">
        <w:rPr>
          <w:rFonts w:ascii="Traditional Arabic" w:eastAsia="Calibri" w:hAnsi="Traditional Arabic" w:cs="Traditional Arabic"/>
          <w:sz w:val="32"/>
          <w:szCs w:val="32"/>
          <w:lang w:val="en-US"/>
        </w:rPr>
        <w:t>Alyoubi et al. 2018)</w:t>
      </w:r>
      <w:r w:rsidRPr="00342B3E">
        <w:rPr>
          <w:rFonts w:ascii="Traditional Arabic" w:eastAsia="Calibri" w:hAnsi="Traditional Arabic" w:cs="Traditional Arabic"/>
          <w:sz w:val="32"/>
          <w:szCs w:val="32"/>
          <w:rtl/>
          <w:lang w:val="en-US"/>
        </w:rPr>
        <w:t>)، و</w:t>
      </w:r>
      <w:r w:rsidRPr="00342B3E">
        <w:rPr>
          <w:rFonts w:ascii="Traditional Arabic" w:eastAsia="Calibri" w:hAnsi="Traditional Arabic" w:cs="Traditional Arabic"/>
          <w:sz w:val="32"/>
          <w:szCs w:val="32"/>
          <w:lang w:val="en-US"/>
        </w:rPr>
        <w:t>Pelealu, 2022)</w:t>
      </w:r>
      <w:r w:rsidRPr="00342B3E">
        <w:rPr>
          <w:rFonts w:ascii="Traditional Arabic" w:eastAsia="Calibri" w:hAnsi="Traditional Arabic" w:cs="Traditional Arabic"/>
          <w:sz w:val="32"/>
          <w:szCs w:val="32"/>
          <w:rtl/>
          <w:lang w:val="en-US"/>
        </w:rPr>
        <w:t>)، و</w:t>
      </w:r>
      <w:r w:rsidRPr="00342B3E">
        <w:rPr>
          <w:rFonts w:ascii="Traditional Arabic" w:eastAsia="Calibri" w:hAnsi="Traditional Arabic" w:cs="Traditional Arabic"/>
          <w:sz w:val="32"/>
          <w:szCs w:val="32"/>
          <w:lang w:val="en-US"/>
        </w:rPr>
        <w:t>Tamsah et al. 2023)</w:t>
      </w:r>
      <w:r w:rsidRPr="00342B3E">
        <w:rPr>
          <w:rFonts w:ascii="Traditional Arabic" w:eastAsia="Calibri" w:hAnsi="Traditional Arabic" w:cs="Traditional Arabic"/>
          <w:sz w:val="32"/>
          <w:szCs w:val="32"/>
          <w:rtl/>
          <w:lang w:val="en-US"/>
        </w:rPr>
        <w:t>)، إضافة إلى عدد من الدراسات العربية مثل أبو جمعة والمغربي (2020) ومدلول والموسوي (2021).</w:t>
      </w:r>
    </w:p>
    <w:p w14:paraId="241DA211"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وانطلاقًا من ذلك، وتم تطوير مقياس يعبر عن الأداء الكلي للعاملين من خلال دمج مؤشرات الكفاءة الوظيفية، والابتكار وحل المشكلات، ورضا العملاء، والالتزام الوظيفي في مقياس موحد، مع الاستفادة من هذه الأبعاد أيضًا في اختبار الفرضيات الفرعية بما يحقق تفسيرًا أكثر تفصيلًا لنتائج الدراسة</w:t>
      </w:r>
      <w:r w:rsidRPr="00342B3E">
        <w:rPr>
          <w:rFonts w:ascii="Traditional Arabic" w:eastAsia="Calibri" w:hAnsi="Traditional Arabic" w:cs="Traditional Arabic"/>
          <w:sz w:val="32"/>
          <w:szCs w:val="32"/>
          <w:lang w:val="en-US"/>
        </w:rPr>
        <w:t>.</w:t>
      </w:r>
    </w:p>
    <w:p w14:paraId="1FDF2A5D"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وقد بلغ عدد فقرات أداء العاملين (12) فقرة</w:t>
      </w:r>
      <w:r w:rsidRPr="00342B3E">
        <w:rPr>
          <w:rFonts w:ascii="Traditional Arabic" w:eastAsia="Calibri" w:hAnsi="Traditional Arabic" w:cs="Traditional Arabic"/>
          <w:sz w:val="32"/>
          <w:szCs w:val="32"/>
          <w:lang w:val="en-US"/>
        </w:rPr>
        <w:t>.</w:t>
      </w:r>
      <w:r w:rsidRPr="00342B3E">
        <w:rPr>
          <w:rFonts w:ascii="Traditional Arabic" w:eastAsia="Calibri" w:hAnsi="Traditional Arabic" w:cs="Traditional Arabic"/>
          <w:sz w:val="32"/>
          <w:szCs w:val="32"/>
          <w:rtl/>
          <w:lang w:val="en-US" w:bidi="ar-JO"/>
        </w:rPr>
        <w:t xml:space="preserve"> </w:t>
      </w:r>
      <w:r w:rsidRPr="00342B3E">
        <w:rPr>
          <w:rFonts w:ascii="Traditional Arabic" w:eastAsia="Calibri" w:hAnsi="Traditional Arabic" w:cs="Traditional Arabic"/>
          <w:sz w:val="32"/>
          <w:szCs w:val="32"/>
          <w:rtl/>
          <w:lang w:val="en-US"/>
        </w:rPr>
        <w:t>وتعكس هذه المنهجية في بناء الأداة محاولة لتحقيق الاتساق بين الإطار النظري والنموذج التطبيقي، مع الحفاظ على ملاءمة الفقرات للبيئة التنظيمية محل الدراسة، الأمر الذي يعزز من الصدق البنائي للأداة، وهو ما تم اختباره لاحقًا من خلال تحليل الاتساق الداخلي واختبارات الثبات</w:t>
      </w:r>
      <w:r w:rsidRPr="00342B3E">
        <w:rPr>
          <w:rFonts w:ascii="Traditional Arabic" w:eastAsia="Calibri" w:hAnsi="Traditional Arabic" w:cs="Traditional Arabic"/>
          <w:sz w:val="32"/>
          <w:szCs w:val="32"/>
          <w:lang w:val="en-US"/>
        </w:rPr>
        <w:t>.</w:t>
      </w:r>
    </w:p>
    <w:p w14:paraId="4F68F080"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العينة الاستطلاعية للدراسة</w:t>
      </w:r>
    </w:p>
    <w:p w14:paraId="07DF399E"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قبل التطبيق النهائي للاستبانة على عينة الدراسة الأساسية، تم إجراء تطبيق استطلاعي بهدف التحقق من وضوح فقرات الأداة وسلامة صياغتها، واختبار صدقها وثباتها مبدئيًا، والتأكد من ملاءمتها للبيئة التنظيمية محل الدراسة</w:t>
      </w:r>
      <w:r w:rsidRPr="00342B3E">
        <w:rPr>
          <w:rFonts w:ascii="Traditional Arabic" w:eastAsia="Calibri" w:hAnsi="Traditional Arabic" w:cs="Traditional Arabic"/>
          <w:sz w:val="32"/>
          <w:szCs w:val="32"/>
          <w:lang w:val="en-US" w:bidi="ar-AE"/>
        </w:rPr>
        <w:t>.</w:t>
      </w:r>
    </w:p>
    <w:p w14:paraId="19B21115"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وقد تم اختيار عينة استطلاعية مكونة من (25) مفردة من مجتمع الدراسة نفسه، وبالأسلوب العشوائي، بما يضمن تمثيلها لخصائص المجتمع المستهدف. وتم توزيع الاستبانة عليهم وفق الآلية المعتمدة في الدراسة، ثم تحليل بياناتهم للتحقق من صدق الاتساق الداخلي من خلال حساب معاملات ارتباط بيرسون بين الفقرات وأبعادها، إضافة إلى حساب معامل كرونباخ ألفا لقياس درجة الثبات الأولي للأداة</w:t>
      </w:r>
      <w:r w:rsidRPr="00342B3E">
        <w:rPr>
          <w:rFonts w:ascii="Traditional Arabic" w:eastAsia="Calibri" w:hAnsi="Traditional Arabic" w:cs="Traditional Arabic"/>
          <w:sz w:val="32"/>
          <w:szCs w:val="32"/>
          <w:lang w:val="en-US" w:bidi="ar-AE"/>
        </w:rPr>
        <w:t>.</w:t>
      </w:r>
    </w:p>
    <w:p w14:paraId="5F460C52"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وبناءً على نتائج التطبيق الاستطلاعي، أُجريت بعض التعديلات الطفيفة على صياغة عدد من الفقرات بما يعزز دقتها المفاهيمية ووضوحها اللغوي، دون المساس بالبنية النظرية للأداة</w:t>
      </w:r>
      <w:r w:rsidRPr="00342B3E">
        <w:rPr>
          <w:rFonts w:ascii="Traditional Arabic" w:eastAsia="Calibri" w:hAnsi="Traditional Arabic" w:cs="Traditional Arabic"/>
          <w:sz w:val="32"/>
          <w:szCs w:val="32"/>
          <w:lang w:val="en-US" w:bidi="ar-AE"/>
        </w:rPr>
        <w:t>.</w:t>
      </w:r>
    </w:p>
    <w:p w14:paraId="1D53A0C0"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lastRenderedPageBreak/>
        <w:t>وقد تم استبعاد أفراد العينة الاستطلاعية من العينة الأساسية للدراسة، ولم تُدرج بياناتهم ضمن التحليل الإحصائي النهائي، وذلك ضمانًا لاستقلالية النتائج ومنع أي تأثير محتمل للتعرض المسبق للأداة على استجابات الدراسة الأساسية</w:t>
      </w:r>
      <w:r w:rsidRPr="00342B3E">
        <w:rPr>
          <w:rFonts w:ascii="Traditional Arabic" w:eastAsia="Calibri" w:hAnsi="Traditional Arabic" w:cs="Traditional Arabic"/>
          <w:sz w:val="32"/>
          <w:szCs w:val="32"/>
          <w:lang w:val="en-US" w:bidi="ar-AE"/>
        </w:rPr>
        <w:t>.</w:t>
      </w:r>
      <w:r w:rsidRPr="00342B3E">
        <w:rPr>
          <w:rFonts w:ascii="Traditional Arabic" w:eastAsia="Calibri" w:hAnsi="Traditional Arabic" w:cs="Traditional Arabic"/>
          <w:sz w:val="32"/>
          <w:szCs w:val="32"/>
          <w:rtl/>
          <w:lang w:val="en-US" w:bidi="ar-AE"/>
        </w:rPr>
        <w:t xml:space="preserve"> </w:t>
      </w:r>
      <w:r w:rsidRPr="00342B3E">
        <w:rPr>
          <w:rFonts w:ascii="Traditional Arabic" w:eastAsia="Calibri" w:hAnsi="Traditional Arabic" w:cs="Traditional Arabic"/>
          <w:sz w:val="32"/>
          <w:szCs w:val="32"/>
          <w:rtl/>
          <w:lang w:val="en-US"/>
        </w:rPr>
        <w:t>وبعد استكمال هذه الإجراءات، تم اعتماد الصورة النهائية للاستبانة وتطبيقها على العينة الأساسية للدراسة</w:t>
      </w:r>
      <w:r w:rsidRPr="00342B3E">
        <w:rPr>
          <w:rFonts w:ascii="Traditional Arabic" w:eastAsia="Calibri" w:hAnsi="Traditional Arabic" w:cs="Traditional Arabic"/>
          <w:sz w:val="32"/>
          <w:szCs w:val="32"/>
          <w:lang w:val="en-US" w:bidi="ar-AE"/>
        </w:rPr>
        <w:t>.</w:t>
      </w:r>
    </w:p>
    <w:p w14:paraId="2C4A9C00"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p>
    <w:p w14:paraId="454F72F5"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p>
    <w:p w14:paraId="13F9FB5F"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صدق أداة الدراسة</w:t>
      </w:r>
    </w:p>
    <w:p w14:paraId="782D213B"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يُعد التحقق من صدق أداة الدراسة خطوة جوهرية في البحوث الإدارية، نظرًا لارتباطه المباشر بدرجة دقة القياس ومصداقية النتائج المستخلصة. ويشير الصدق إلى مدى قدرة الأداة على قياس المفهوم النظري الذي صُممت لقياسه، بحيث تعكس فقراتها الأبعاد الحقيقية للمتغيرات محل الدراسة دون تحيز أو قصور في التمثيل</w:t>
      </w:r>
      <w:r w:rsidRPr="00342B3E">
        <w:rPr>
          <w:rFonts w:ascii="Traditional Arabic" w:eastAsia="Calibri" w:hAnsi="Traditional Arabic" w:cs="Traditional Arabic"/>
          <w:sz w:val="32"/>
          <w:szCs w:val="32"/>
          <w:lang w:val="en-US"/>
        </w:rPr>
        <w:t>.</w:t>
      </w:r>
    </w:p>
    <w:p w14:paraId="7660DDB3"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وانطلاقًا من الطبيعة المفاهيمية لمتغيرات الدراسة، والمتمثلة في إدارة المعرفة بأبعادها المختلفة وأداء العاملين كمحصلة تنظيمية، فقد تم التحقق من صدق الأداة عبر مستويين متكاملين، هما صدق المحتوى وصدق الاتساق الداخلي، بما يعزز من سلامة البناء المنهجي للأداة</w:t>
      </w:r>
      <w:r w:rsidRPr="00342B3E">
        <w:rPr>
          <w:rFonts w:ascii="Traditional Arabic" w:eastAsia="Calibri" w:hAnsi="Traditional Arabic" w:cs="Traditional Arabic"/>
          <w:sz w:val="32"/>
          <w:szCs w:val="32"/>
          <w:lang w:val="en-US"/>
        </w:rPr>
        <w:t>.</w:t>
      </w:r>
    </w:p>
    <w:p w14:paraId="7D26133C"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أولًا: صدق المحتوى (الصدق الظاهري)</w:t>
      </w:r>
    </w:p>
    <w:p w14:paraId="38BCE4B3"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للتحقق من صدق المحتوى، تم عرض الاستبانة في صورتها الأولية على عدد من المحكمين المتخصصين في مجالات الإدارة وإدارة المعرفة والقياس والتقويم، وذلك بهدف تقويم مدى تمثيل الفقرات للأبعاد النظرية التي تنتمي </w:t>
      </w:r>
      <w:r w:rsidRPr="00342B3E">
        <w:rPr>
          <w:rFonts w:ascii="Traditional Arabic" w:eastAsia="Calibri" w:hAnsi="Traditional Arabic" w:cs="Traditional Arabic"/>
          <w:sz w:val="32"/>
          <w:szCs w:val="32"/>
          <w:rtl/>
          <w:lang w:val="en-US"/>
        </w:rPr>
        <w:lastRenderedPageBreak/>
        <w:t>إليها، ومدى اتساقها مع الإطار المفاهيمي للدراسة، إضافة إلى سلامة الصياغة اللغوية وخلوها من الغموض أو التداخل بين المفاهيم</w:t>
      </w:r>
      <w:r w:rsidRPr="00342B3E">
        <w:rPr>
          <w:rFonts w:ascii="Traditional Arabic" w:eastAsia="Calibri" w:hAnsi="Traditional Arabic" w:cs="Traditional Arabic"/>
          <w:sz w:val="32"/>
          <w:szCs w:val="32"/>
          <w:lang w:val="en-US"/>
        </w:rPr>
        <w:t>.</w:t>
      </w:r>
    </w:p>
    <w:p w14:paraId="419E8344"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وقد طُلب من المحكمين تقييم كل فقرة من حيث ملاءمتها للبعد الذي تقيسه، ووضوحها، وإمكانية تعديلها أو حذفها عند الحاجة. وبناءً على ملاحظاتهم، أُجريت مجموعة من التعديلات شملت إعادة صياغة بعض الفقرات لتعزيز دقتها المفاهيمية، وحذف الفقرات التي لم تحقق درجة اتفاق كافية، فضلًا عن نقل بعض الفقرات إلى الأبعاد الأكثر اتساقًا معها من الناحية النظرية</w:t>
      </w:r>
      <w:r w:rsidRPr="00342B3E">
        <w:rPr>
          <w:rFonts w:ascii="Traditional Arabic" w:eastAsia="Calibri" w:hAnsi="Traditional Arabic" w:cs="Traditional Arabic"/>
          <w:sz w:val="32"/>
          <w:szCs w:val="32"/>
          <w:lang w:val="en-US"/>
        </w:rPr>
        <w:t>.</w:t>
      </w:r>
    </w:p>
    <w:p w14:paraId="791E922E"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وقد تم اعتماد معيار نسبة اتفاق لا تقل عن (80%) بين المحكمين لقبول الفقرة، وهو معيار يُعد مناسبًا في الدراسات الإدارية ذات الطابع الكمي. وأسهمت هذه الخطوة في تعزيز التمثيل المفاهيمي الدقيق لمتغيرات الدراسة، وضمان شمول الأداة لجميع جوانبها الأساسية</w:t>
      </w:r>
      <w:r w:rsidRPr="00342B3E">
        <w:rPr>
          <w:rFonts w:ascii="Traditional Arabic" w:eastAsia="Calibri" w:hAnsi="Traditional Arabic" w:cs="Traditional Arabic"/>
          <w:sz w:val="32"/>
          <w:szCs w:val="32"/>
          <w:lang w:val="en-US"/>
        </w:rPr>
        <w:t>.</w:t>
      </w:r>
    </w:p>
    <w:p w14:paraId="24DADDAF"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ثانيًا: صدق الاتساق الداخلي</w:t>
      </w:r>
    </w:p>
    <w:p w14:paraId="7B77367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استكمالًا للتحقق من سلامة البناء الداخلي للأداة، تم اختبار صدق الاتساق الداخلي من خلال حساب معاملات ارتباط بيرسون بين درجة كل فقرة والدرجة الكلية للبُعد الذي تنتمي إليه، وذلك باستخدام عينة استطلاعية من مجتمع الدراسة</w:t>
      </w:r>
      <w:r w:rsidRPr="00342B3E">
        <w:rPr>
          <w:rFonts w:ascii="Traditional Arabic" w:eastAsia="Calibri" w:hAnsi="Traditional Arabic" w:cs="Traditional Arabic"/>
          <w:sz w:val="32"/>
          <w:szCs w:val="32"/>
          <w:lang w:val="en-US"/>
        </w:rPr>
        <w:t>.</w:t>
      </w:r>
    </w:p>
    <w:p w14:paraId="2772A19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وقد أظهرت النتائج أن جميع معاملات الارتباط جاءت موجبة ودالة إحصائيًا عند مستوى دلالة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 xml:space="preserve">)، مما يشير إلى وجود انسجام داخلي بين الفقرات وأبعادها، ويعكس قدرة كل فقرة على الإسهام في قياس </w:t>
      </w:r>
      <w:r w:rsidRPr="00342B3E">
        <w:rPr>
          <w:rFonts w:ascii="Traditional Arabic" w:eastAsia="Calibri" w:hAnsi="Traditional Arabic" w:cs="Traditional Arabic"/>
          <w:sz w:val="32"/>
          <w:szCs w:val="32"/>
          <w:rtl/>
          <w:lang w:val="en-US"/>
        </w:rPr>
        <w:lastRenderedPageBreak/>
        <w:t>البُعد الذي تنتمي إليه دون انحراف مفاهيمي. كما يدل ذلك على اتساق البنية الداخلية للأداة وتماسكها النظري والإحصائي.</w:t>
      </w:r>
    </w:p>
    <w:p w14:paraId="73AF116C"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bidi="ar-JO"/>
        </w:rPr>
      </w:pPr>
      <w:r w:rsidRPr="00342B3E">
        <w:rPr>
          <w:rFonts w:ascii="Traditional Arabic" w:eastAsia="Calibri" w:hAnsi="Traditional Arabic" w:cs="Traditional Arabic"/>
          <w:sz w:val="32"/>
          <w:szCs w:val="32"/>
          <w:rtl/>
          <w:lang w:val="en-US"/>
        </w:rPr>
        <w:t>وبناءً على ما سبق، يمكن القول إن أداة الدراسة قد استوفت متطلبات الصدق العلمي من حيث التمثيل المفاهيمي والبناء الداخلي، الأمر الذي يعزز من صلاحيتها للتطبيق على عينة الدراسة الأساسية، ويوفر أساسًا منهجيًا موثوقًا لتحليل البيانات واستخلاص النتائج</w:t>
      </w:r>
      <w:r w:rsidRPr="00342B3E">
        <w:rPr>
          <w:rFonts w:ascii="Traditional Arabic" w:eastAsia="Calibri" w:hAnsi="Traditional Arabic" w:cs="Traditional Arabic"/>
          <w:sz w:val="32"/>
          <w:szCs w:val="32"/>
          <w:lang w:val="en-US"/>
        </w:rPr>
        <w:t>.</w:t>
      </w:r>
    </w:p>
    <w:p w14:paraId="1E3C5313"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bidi="ar-JO"/>
        </w:rPr>
      </w:pPr>
    </w:p>
    <w:p w14:paraId="0B4BB6AE"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bidi="ar-JO"/>
        </w:rPr>
      </w:pPr>
    </w:p>
    <w:p w14:paraId="72ABDC38"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ثبات أداة الدراسة</w:t>
      </w:r>
    </w:p>
    <w:p w14:paraId="462C3439"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بعد التحقق من صدق أداة الدراسة، تم التأكد من ثباتها، وذلك لضمان اتساق نتائج القياس واستقرارها عند إعادة التطبيق في ظروف مشابهة. ويُقصد بثبات الأداة درجة اتساق الفقرات فيما بينها في قياس المتغير ذاته، بحيث تعطي نتائج متقاربة إذا ما أُعيد تطبيقها على العينة نفسها أو على عينة مماثلة في ظروف متشابهة</w:t>
      </w:r>
      <w:r w:rsidRPr="00342B3E">
        <w:rPr>
          <w:rFonts w:ascii="Traditional Arabic" w:eastAsia="Calibri" w:hAnsi="Traditional Arabic" w:cs="Traditional Arabic"/>
          <w:sz w:val="32"/>
          <w:szCs w:val="32"/>
          <w:lang w:val="en-US"/>
        </w:rPr>
        <w:t>.</w:t>
      </w:r>
    </w:p>
    <w:p w14:paraId="28DC4D7E"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ونظرًا لاعتماد الدراسة على مقياس متعدد الفقرات لقياس أبعاد إدارة المعرفة وأداء العاملين، فقد تم استخدام معامل الاتساق الداخلي (كرونباخ ألفا) لقياس درجة الثبات، باعتباره من أكثر الأساليب شيوعًا ودقة في الدراسات الإدارية ذات الطابع الكمي، خاصة عند استخدام مقاييس ليكرت متعددة الدرجات</w:t>
      </w:r>
      <w:r w:rsidRPr="00342B3E">
        <w:rPr>
          <w:rFonts w:ascii="Traditional Arabic" w:eastAsia="Calibri" w:hAnsi="Traditional Arabic" w:cs="Traditional Arabic"/>
          <w:sz w:val="32"/>
          <w:szCs w:val="32"/>
          <w:lang w:val="en-US"/>
        </w:rPr>
        <w:t>.</w:t>
      </w:r>
    </w:p>
    <w:p w14:paraId="2695ABF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وقد تم حساب معامل كرونباخ ألفا لكل بُعد من أبعاد المتغير المستقل (اكتساب المعرفة، مشاركة المعرفة، تطبيق المعرفة)، وكذلك لكل بُعد من أبعاد المتغير التابع، إضافة إلى حساب معامل الثبات للأداة ككل. وأظهرت </w:t>
      </w:r>
      <w:r w:rsidRPr="00342B3E">
        <w:rPr>
          <w:rFonts w:ascii="Traditional Arabic" w:eastAsia="Calibri" w:hAnsi="Traditional Arabic" w:cs="Traditional Arabic"/>
          <w:sz w:val="32"/>
          <w:szCs w:val="32"/>
          <w:rtl/>
          <w:lang w:val="en-US"/>
        </w:rPr>
        <w:lastRenderedPageBreak/>
        <w:t>النتائج أن قيم معامل كرونباخ ألفا لجميع الأبعاد جاءت أعلى من الحد المقبول إحصائيًا (0.70)، مما يدل على وجود درجة عالية من الاتساق الداخلي بين الفقرات المكونة لكل بُعد</w:t>
      </w:r>
      <w:r w:rsidRPr="00342B3E">
        <w:rPr>
          <w:rFonts w:ascii="Traditional Arabic" w:eastAsia="Calibri" w:hAnsi="Traditional Arabic" w:cs="Traditional Arabic"/>
          <w:sz w:val="32"/>
          <w:szCs w:val="32"/>
          <w:lang w:val="en-US"/>
        </w:rPr>
        <w:t>.</w:t>
      </w:r>
    </w:p>
    <w:p w14:paraId="56F42B94"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كما بلغت قيمة معامل الثبات الكلي للأداة مستوى مرتفعًا، وهو ما يعكس تجانس الفقرات وارتباطها المنطقي بالمفاهيم التي تقيسها، ويؤكد أن الأداة تتمتع بدرجة مناسبة من الاستقرار والموثوقية في القياس</w:t>
      </w:r>
      <w:r w:rsidRPr="00342B3E">
        <w:rPr>
          <w:rFonts w:ascii="Traditional Arabic" w:eastAsia="Calibri" w:hAnsi="Traditional Arabic" w:cs="Traditional Arabic"/>
          <w:sz w:val="32"/>
          <w:szCs w:val="32"/>
          <w:lang w:val="en-US"/>
        </w:rPr>
        <w:t>.</w:t>
      </w:r>
    </w:p>
    <w:p w14:paraId="7038B3B7"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وتشير هذه النتائج إلى أن الاستبانة تمتلك خصائص قياس جيدة من حيث الثبات، الأمر الذي يعزز من الاعتماد على نتائج التحليل الإحصائي اللاحق، ويمنح مصداقية أكبر للاستنتاجات التي سيتم التوصل إليها في ضوء بيانات الدراسة</w:t>
      </w:r>
      <w:r w:rsidRPr="00342B3E">
        <w:rPr>
          <w:rFonts w:ascii="Traditional Arabic" w:eastAsia="Calibri" w:hAnsi="Traditional Arabic" w:cs="Traditional Arabic"/>
          <w:sz w:val="32"/>
          <w:szCs w:val="32"/>
          <w:lang w:val="en-US"/>
        </w:rPr>
        <w:t>.</w:t>
      </w:r>
    </w:p>
    <w:p w14:paraId="4A536359" w14:textId="77777777" w:rsidR="00342B3E" w:rsidRPr="00342B3E" w:rsidRDefault="00342B3E" w:rsidP="00342B3E">
      <w:pPr>
        <w:bidi/>
        <w:spacing w:line="360" w:lineRule="auto"/>
        <w:ind w:firstLine="720"/>
        <w:jc w:val="center"/>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جدول</w:t>
      </w:r>
      <w:r w:rsidRPr="00342B3E">
        <w:rPr>
          <w:rFonts w:ascii="Traditional Arabic" w:eastAsia="Calibri" w:hAnsi="Traditional Arabic" w:cs="Traditional Arabic"/>
          <w:b/>
          <w:bCs/>
          <w:sz w:val="32"/>
          <w:szCs w:val="32"/>
          <w:lang w:val="en-US"/>
        </w:rPr>
        <w:t xml:space="preserve"> (</w:t>
      </w:r>
      <w:r w:rsidRPr="00342B3E">
        <w:rPr>
          <w:rFonts w:ascii="Traditional Arabic" w:eastAsia="Calibri" w:hAnsi="Traditional Arabic" w:cs="Traditional Arabic"/>
          <w:b/>
          <w:bCs/>
          <w:sz w:val="32"/>
          <w:szCs w:val="32"/>
          <w:lang w:val="en-US" w:bidi="ar-AE"/>
        </w:rPr>
        <w:t>3.1</w:t>
      </w:r>
      <w:r w:rsidRPr="00342B3E">
        <w:rPr>
          <w:rFonts w:ascii="Traditional Arabic" w:eastAsia="Calibri" w:hAnsi="Traditional Arabic" w:cs="Traditional Arabic"/>
          <w:b/>
          <w:bCs/>
          <w:sz w:val="32"/>
          <w:szCs w:val="32"/>
          <w:lang w:val="en-US"/>
        </w:rPr>
        <w:t xml:space="preserve"> )</w:t>
      </w:r>
      <w:r w:rsidRPr="00342B3E">
        <w:rPr>
          <w:rFonts w:ascii="Traditional Arabic" w:eastAsia="Calibri" w:hAnsi="Traditional Arabic" w:cs="Traditional Arabic"/>
          <w:b/>
          <w:bCs/>
          <w:sz w:val="32"/>
          <w:szCs w:val="32"/>
          <w:rtl/>
          <w:lang w:val="en-US" w:bidi="ar-AE"/>
        </w:rPr>
        <w:t xml:space="preserve"> </w:t>
      </w:r>
      <w:r w:rsidRPr="00342B3E">
        <w:rPr>
          <w:rFonts w:ascii="Traditional Arabic" w:eastAsia="Calibri" w:hAnsi="Traditional Arabic" w:cs="Traditional Arabic"/>
          <w:b/>
          <w:bCs/>
          <w:sz w:val="32"/>
          <w:szCs w:val="32"/>
          <w:rtl/>
          <w:lang w:val="en-US"/>
        </w:rPr>
        <w:t>معاملات الثبات (كرونباخ ألفا) لأبعاد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74"/>
        <w:gridCol w:w="1550"/>
        <w:gridCol w:w="1610"/>
        <w:gridCol w:w="1583"/>
        <w:gridCol w:w="1133"/>
      </w:tblGrid>
      <w:tr w:rsidR="00342B3E" w:rsidRPr="00342B3E" w14:paraId="429D25A5" w14:textId="77777777">
        <w:trPr>
          <w:jc w:val="center"/>
        </w:trPr>
        <w:tc>
          <w:tcPr>
            <w:tcW w:w="1974" w:type="dxa"/>
            <w:tcBorders>
              <w:top w:val="single" w:sz="4" w:space="0" w:color="auto"/>
              <w:left w:val="single" w:sz="4" w:space="0" w:color="auto"/>
              <w:bottom w:val="single" w:sz="4" w:space="0" w:color="auto"/>
              <w:right w:val="single" w:sz="4" w:space="0" w:color="auto"/>
            </w:tcBorders>
            <w:shd w:val="clear" w:color="auto" w:fill="F79646"/>
            <w:hideMark/>
          </w:tcPr>
          <w:p w14:paraId="7C172E83" w14:textId="77777777" w:rsidR="00342B3E" w:rsidRPr="00342B3E" w:rsidRDefault="00342B3E" w:rsidP="00342B3E">
            <w:pPr>
              <w:bidi/>
              <w:spacing w:after="0" w:line="360" w:lineRule="auto"/>
              <w:jc w:val="center"/>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المتغير</w:t>
            </w:r>
          </w:p>
        </w:tc>
        <w:tc>
          <w:tcPr>
            <w:tcW w:w="1550" w:type="dxa"/>
            <w:tcBorders>
              <w:top w:val="single" w:sz="4" w:space="0" w:color="auto"/>
              <w:left w:val="single" w:sz="4" w:space="0" w:color="auto"/>
              <w:bottom w:val="single" w:sz="4" w:space="0" w:color="auto"/>
              <w:right w:val="single" w:sz="4" w:space="0" w:color="auto"/>
            </w:tcBorders>
            <w:shd w:val="clear" w:color="auto" w:fill="F79646"/>
            <w:hideMark/>
          </w:tcPr>
          <w:p w14:paraId="206047FC" w14:textId="77777777" w:rsidR="00342B3E" w:rsidRPr="00342B3E" w:rsidRDefault="00342B3E" w:rsidP="00342B3E">
            <w:pPr>
              <w:bidi/>
              <w:spacing w:after="0" w:line="360" w:lineRule="auto"/>
              <w:jc w:val="center"/>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البعد</w:t>
            </w:r>
          </w:p>
        </w:tc>
        <w:tc>
          <w:tcPr>
            <w:tcW w:w="1610" w:type="dxa"/>
            <w:tcBorders>
              <w:top w:val="single" w:sz="4" w:space="0" w:color="auto"/>
              <w:left w:val="single" w:sz="4" w:space="0" w:color="auto"/>
              <w:bottom w:val="single" w:sz="4" w:space="0" w:color="auto"/>
              <w:right w:val="single" w:sz="4" w:space="0" w:color="auto"/>
            </w:tcBorders>
            <w:shd w:val="clear" w:color="auto" w:fill="F79646"/>
            <w:hideMark/>
          </w:tcPr>
          <w:p w14:paraId="28B653B5" w14:textId="77777777" w:rsidR="00342B3E" w:rsidRPr="00342B3E" w:rsidRDefault="00342B3E" w:rsidP="00342B3E">
            <w:pPr>
              <w:bidi/>
              <w:spacing w:after="0" w:line="360" w:lineRule="auto"/>
              <w:jc w:val="center"/>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عدد الفقرات</w:t>
            </w:r>
          </w:p>
        </w:tc>
        <w:tc>
          <w:tcPr>
            <w:tcW w:w="0" w:type="auto"/>
            <w:tcBorders>
              <w:top w:val="single" w:sz="4" w:space="0" w:color="auto"/>
              <w:left w:val="single" w:sz="4" w:space="0" w:color="auto"/>
              <w:bottom w:val="single" w:sz="4" w:space="0" w:color="auto"/>
              <w:right w:val="single" w:sz="4" w:space="0" w:color="auto"/>
            </w:tcBorders>
            <w:shd w:val="clear" w:color="auto" w:fill="F79646"/>
            <w:hideMark/>
          </w:tcPr>
          <w:p w14:paraId="75B61354" w14:textId="77777777" w:rsidR="00342B3E" w:rsidRPr="00342B3E" w:rsidRDefault="00342B3E" w:rsidP="00342B3E">
            <w:pPr>
              <w:bidi/>
              <w:spacing w:after="0" w:line="360" w:lineRule="auto"/>
              <w:jc w:val="center"/>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معامل كرونباخ ألفا</w:t>
            </w:r>
          </w:p>
        </w:tc>
        <w:tc>
          <w:tcPr>
            <w:tcW w:w="0" w:type="auto"/>
            <w:tcBorders>
              <w:top w:val="single" w:sz="4" w:space="0" w:color="auto"/>
              <w:left w:val="single" w:sz="4" w:space="0" w:color="auto"/>
              <w:bottom w:val="single" w:sz="4" w:space="0" w:color="auto"/>
              <w:right w:val="single" w:sz="4" w:space="0" w:color="auto"/>
            </w:tcBorders>
            <w:shd w:val="clear" w:color="auto" w:fill="F79646"/>
            <w:hideMark/>
          </w:tcPr>
          <w:p w14:paraId="65106FC8" w14:textId="77777777" w:rsidR="00342B3E" w:rsidRPr="00342B3E" w:rsidRDefault="00342B3E" w:rsidP="00342B3E">
            <w:pPr>
              <w:bidi/>
              <w:spacing w:after="0" w:line="360" w:lineRule="auto"/>
              <w:jc w:val="center"/>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درجة الثبات</w:t>
            </w:r>
          </w:p>
        </w:tc>
      </w:tr>
      <w:tr w:rsidR="00342B3E" w:rsidRPr="00342B3E" w14:paraId="5D5435BD" w14:textId="77777777">
        <w:trPr>
          <w:jc w:val="center"/>
        </w:trPr>
        <w:tc>
          <w:tcPr>
            <w:tcW w:w="1974" w:type="dxa"/>
            <w:tcBorders>
              <w:top w:val="single" w:sz="4" w:space="0" w:color="auto"/>
              <w:left w:val="single" w:sz="4" w:space="0" w:color="auto"/>
              <w:bottom w:val="single" w:sz="4" w:space="0" w:color="auto"/>
              <w:right w:val="single" w:sz="4" w:space="0" w:color="auto"/>
            </w:tcBorders>
            <w:hideMark/>
          </w:tcPr>
          <w:p w14:paraId="21BA0A8D"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إدارة المعرفة</w:t>
            </w:r>
          </w:p>
        </w:tc>
        <w:tc>
          <w:tcPr>
            <w:tcW w:w="1550" w:type="dxa"/>
            <w:tcBorders>
              <w:top w:val="single" w:sz="4" w:space="0" w:color="auto"/>
              <w:left w:val="single" w:sz="4" w:space="0" w:color="auto"/>
              <w:bottom w:val="single" w:sz="4" w:space="0" w:color="auto"/>
              <w:right w:val="single" w:sz="4" w:space="0" w:color="auto"/>
            </w:tcBorders>
            <w:hideMark/>
          </w:tcPr>
          <w:p w14:paraId="7933945E" w14:textId="77777777" w:rsidR="00342B3E" w:rsidRPr="00342B3E" w:rsidRDefault="00342B3E" w:rsidP="00342B3E">
            <w:pPr>
              <w:bidi/>
              <w:spacing w:after="0" w:line="360" w:lineRule="auto"/>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اكتساب المعرفة</w:t>
            </w:r>
          </w:p>
        </w:tc>
        <w:tc>
          <w:tcPr>
            <w:tcW w:w="1610" w:type="dxa"/>
            <w:tcBorders>
              <w:top w:val="single" w:sz="4" w:space="0" w:color="auto"/>
              <w:left w:val="single" w:sz="4" w:space="0" w:color="auto"/>
              <w:bottom w:val="single" w:sz="4" w:space="0" w:color="auto"/>
              <w:right w:val="single" w:sz="4" w:space="0" w:color="auto"/>
            </w:tcBorders>
            <w:hideMark/>
          </w:tcPr>
          <w:p w14:paraId="4ACFCF7C" w14:textId="77777777" w:rsidR="00342B3E" w:rsidRPr="00342B3E" w:rsidRDefault="00342B3E" w:rsidP="00342B3E">
            <w:pPr>
              <w:bidi/>
              <w:spacing w:after="0" w:line="360" w:lineRule="auto"/>
              <w:ind w:firstLine="720"/>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8</w:t>
            </w:r>
          </w:p>
        </w:tc>
        <w:tc>
          <w:tcPr>
            <w:tcW w:w="0" w:type="auto"/>
            <w:tcBorders>
              <w:top w:val="single" w:sz="4" w:space="0" w:color="auto"/>
              <w:left w:val="single" w:sz="4" w:space="0" w:color="auto"/>
              <w:bottom w:val="single" w:sz="4" w:space="0" w:color="auto"/>
              <w:right w:val="single" w:sz="4" w:space="0" w:color="auto"/>
            </w:tcBorders>
            <w:hideMark/>
          </w:tcPr>
          <w:p w14:paraId="2157B345"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0.87</w:t>
            </w:r>
          </w:p>
        </w:tc>
        <w:tc>
          <w:tcPr>
            <w:tcW w:w="0" w:type="auto"/>
            <w:tcBorders>
              <w:top w:val="single" w:sz="4" w:space="0" w:color="auto"/>
              <w:left w:val="single" w:sz="4" w:space="0" w:color="auto"/>
              <w:bottom w:val="single" w:sz="4" w:space="0" w:color="auto"/>
              <w:right w:val="single" w:sz="4" w:space="0" w:color="auto"/>
            </w:tcBorders>
            <w:hideMark/>
          </w:tcPr>
          <w:p w14:paraId="3C853522" w14:textId="77777777" w:rsidR="00342B3E" w:rsidRPr="00342B3E" w:rsidRDefault="00342B3E" w:rsidP="00342B3E">
            <w:pPr>
              <w:bidi/>
              <w:spacing w:after="0" w:line="360" w:lineRule="auto"/>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مرتفع</w:t>
            </w:r>
          </w:p>
        </w:tc>
      </w:tr>
      <w:tr w:rsidR="00342B3E" w:rsidRPr="00342B3E" w14:paraId="6E4B59B7" w14:textId="77777777">
        <w:trPr>
          <w:jc w:val="center"/>
        </w:trPr>
        <w:tc>
          <w:tcPr>
            <w:tcW w:w="1974" w:type="dxa"/>
            <w:tcBorders>
              <w:top w:val="single" w:sz="4" w:space="0" w:color="auto"/>
              <w:left w:val="single" w:sz="4" w:space="0" w:color="auto"/>
              <w:bottom w:val="single" w:sz="4" w:space="0" w:color="auto"/>
              <w:right w:val="single" w:sz="4" w:space="0" w:color="auto"/>
            </w:tcBorders>
            <w:hideMark/>
          </w:tcPr>
          <w:p w14:paraId="029E6C14"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إدارة المعرفة</w:t>
            </w:r>
          </w:p>
        </w:tc>
        <w:tc>
          <w:tcPr>
            <w:tcW w:w="1550" w:type="dxa"/>
            <w:tcBorders>
              <w:top w:val="single" w:sz="4" w:space="0" w:color="auto"/>
              <w:left w:val="single" w:sz="4" w:space="0" w:color="auto"/>
              <w:bottom w:val="single" w:sz="4" w:space="0" w:color="auto"/>
              <w:right w:val="single" w:sz="4" w:space="0" w:color="auto"/>
            </w:tcBorders>
            <w:hideMark/>
          </w:tcPr>
          <w:p w14:paraId="12A4FBA2" w14:textId="77777777" w:rsidR="00342B3E" w:rsidRPr="00342B3E" w:rsidRDefault="00342B3E" w:rsidP="00342B3E">
            <w:pPr>
              <w:bidi/>
              <w:spacing w:after="0" w:line="360" w:lineRule="auto"/>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مشاركة المعرفة</w:t>
            </w:r>
          </w:p>
        </w:tc>
        <w:tc>
          <w:tcPr>
            <w:tcW w:w="1610" w:type="dxa"/>
            <w:tcBorders>
              <w:top w:val="single" w:sz="4" w:space="0" w:color="auto"/>
              <w:left w:val="single" w:sz="4" w:space="0" w:color="auto"/>
              <w:bottom w:val="single" w:sz="4" w:space="0" w:color="auto"/>
              <w:right w:val="single" w:sz="4" w:space="0" w:color="auto"/>
            </w:tcBorders>
            <w:hideMark/>
          </w:tcPr>
          <w:p w14:paraId="5E562A74" w14:textId="77777777" w:rsidR="00342B3E" w:rsidRPr="00342B3E" w:rsidRDefault="00342B3E" w:rsidP="00342B3E">
            <w:pPr>
              <w:bidi/>
              <w:spacing w:after="0" w:line="360" w:lineRule="auto"/>
              <w:ind w:firstLine="720"/>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8</w:t>
            </w:r>
          </w:p>
        </w:tc>
        <w:tc>
          <w:tcPr>
            <w:tcW w:w="0" w:type="auto"/>
            <w:tcBorders>
              <w:top w:val="single" w:sz="4" w:space="0" w:color="auto"/>
              <w:left w:val="single" w:sz="4" w:space="0" w:color="auto"/>
              <w:bottom w:val="single" w:sz="4" w:space="0" w:color="auto"/>
              <w:right w:val="single" w:sz="4" w:space="0" w:color="auto"/>
            </w:tcBorders>
            <w:hideMark/>
          </w:tcPr>
          <w:p w14:paraId="2AA78241"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0.90</w:t>
            </w:r>
          </w:p>
        </w:tc>
        <w:tc>
          <w:tcPr>
            <w:tcW w:w="0" w:type="auto"/>
            <w:tcBorders>
              <w:top w:val="single" w:sz="4" w:space="0" w:color="auto"/>
              <w:left w:val="single" w:sz="4" w:space="0" w:color="auto"/>
              <w:bottom w:val="single" w:sz="4" w:space="0" w:color="auto"/>
              <w:right w:val="single" w:sz="4" w:space="0" w:color="auto"/>
            </w:tcBorders>
            <w:hideMark/>
          </w:tcPr>
          <w:p w14:paraId="773CB07B" w14:textId="77777777" w:rsidR="00342B3E" w:rsidRPr="00342B3E" w:rsidRDefault="00342B3E" w:rsidP="00342B3E">
            <w:pPr>
              <w:bidi/>
              <w:spacing w:after="0" w:line="360" w:lineRule="auto"/>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مرتفع جدًا</w:t>
            </w:r>
          </w:p>
        </w:tc>
      </w:tr>
      <w:tr w:rsidR="00342B3E" w:rsidRPr="00342B3E" w14:paraId="490C4EF0" w14:textId="77777777">
        <w:trPr>
          <w:jc w:val="center"/>
        </w:trPr>
        <w:tc>
          <w:tcPr>
            <w:tcW w:w="1974" w:type="dxa"/>
            <w:tcBorders>
              <w:top w:val="single" w:sz="4" w:space="0" w:color="auto"/>
              <w:left w:val="single" w:sz="4" w:space="0" w:color="auto"/>
              <w:bottom w:val="single" w:sz="4" w:space="0" w:color="auto"/>
              <w:right w:val="single" w:sz="4" w:space="0" w:color="auto"/>
            </w:tcBorders>
            <w:hideMark/>
          </w:tcPr>
          <w:p w14:paraId="5BBDA535"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إدارة المعرفة</w:t>
            </w:r>
          </w:p>
        </w:tc>
        <w:tc>
          <w:tcPr>
            <w:tcW w:w="1550" w:type="dxa"/>
            <w:tcBorders>
              <w:top w:val="single" w:sz="4" w:space="0" w:color="auto"/>
              <w:left w:val="single" w:sz="4" w:space="0" w:color="auto"/>
              <w:bottom w:val="single" w:sz="4" w:space="0" w:color="auto"/>
              <w:right w:val="single" w:sz="4" w:space="0" w:color="auto"/>
            </w:tcBorders>
            <w:hideMark/>
          </w:tcPr>
          <w:p w14:paraId="1577D978" w14:textId="77777777" w:rsidR="00342B3E" w:rsidRPr="00342B3E" w:rsidRDefault="00342B3E" w:rsidP="00342B3E">
            <w:pPr>
              <w:bidi/>
              <w:spacing w:after="0" w:line="360" w:lineRule="auto"/>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تطبيق المعرفة</w:t>
            </w:r>
          </w:p>
        </w:tc>
        <w:tc>
          <w:tcPr>
            <w:tcW w:w="1610" w:type="dxa"/>
            <w:tcBorders>
              <w:top w:val="single" w:sz="4" w:space="0" w:color="auto"/>
              <w:left w:val="single" w:sz="4" w:space="0" w:color="auto"/>
              <w:bottom w:val="single" w:sz="4" w:space="0" w:color="auto"/>
              <w:right w:val="single" w:sz="4" w:space="0" w:color="auto"/>
            </w:tcBorders>
            <w:hideMark/>
          </w:tcPr>
          <w:p w14:paraId="31DE83B2" w14:textId="77777777" w:rsidR="00342B3E" w:rsidRPr="00342B3E" w:rsidRDefault="00342B3E" w:rsidP="00342B3E">
            <w:pPr>
              <w:bidi/>
              <w:spacing w:after="0" w:line="360" w:lineRule="auto"/>
              <w:ind w:firstLine="720"/>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8</w:t>
            </w:r>
          </w:p>
        </w:tc>
        <w:tc>
          <w:tcPr>
            <w:tcW w:w="0" w:type="auto"/>
            <w:tcBorders>
              <w:top w:val="single" w:sz="4" w:space="0" w:color="auto"/>
              <w:left w:val="single" w:sz="4" w:space="0" w:color="auto"/>
              <w:bottom w:val="single" w:sz="4" w:space="0" w:color="auto"/>
              <w:right w:val="single" w:sz="4" w:space="0" w:color="auto"/>
            </w:tcBorders>
            <w:hideMark/>
          </w:tcPr>
          <w:p w14:paraId="406F18DC"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0.88</w:t>
            </w:r>
          </w:p>
        </w:tc>
        <w:tc>
          <w:tcPr>
            <w:tcW w:w="0" w:type="auto"/>
            <w:tcBorders>
              <w:top w:val="single" w:sz="4" w:space="0" w:color="auto"/>
              <w:left w:val="single" w:sz="4" w:space="0" w:color="auto"/>
              <w:bottom w:val="single" w:sz="4" w:space="0" w:color="auto"/>
              <w:right w:val="single" w:sz="4" w:space="0" w:color="auto"/>
            </w:tcBorders>
            <w:hideMark/>
          </w:tcPr>
          <w:p w14:paraId="0119778F" w14:textId="77777777" w:rsidR="00342B3E" w:rsidRPr="00342B3E" w:rsidRDefault="00342B3E" w:rsidP="00342B3E">
            <w:pPr>
              <w:bidi/>
              <w:spacing w:after="0" w:line="360" w:lineRule="auto"/>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مرتفع</w:t>
            </w:r>
          </w:p>
        </w:tc>
      </w:tr>
      <w:tr w:rsidR="00342B3E" w:rsidRPr="00342B3E" w14:paraId="2BE3DB07" w14:textId="77777777">
        <w:trPr>
          <w:jc w:val="center"/>
        </w:trPr>
        <w:tc>
          <w:tcPr>
            <w:tcW w:w="1974" w:type="dxa"/>
            <w:tcBorders>
              <w:top w:val="single" w:sz="4" w:space="0" w:color="auto"/>
              <w:left w:val="single" w:sz="4" w:space="0" w:color="auto"/>
              <w:bottom w:val="single" w:sz="4" w:space="0" w:color="auto"/>
              <w:right w:val="single" w:sz="4" w:space="0" w:color="auto"/>
            </w:tcBorders>
            <w:hideMark/>
          </w:tcPr>
          <w:p w14:paraId="783D2A8C"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أداء العاملين</w:t>
            </w:r>
          </w:p>
        </w:tc>
        <w:tc>
          <w:tcPr>
            <w:tcW w:w="1550" w:type="dxa"/>
            <w:tcBorders>
              <w:top w:val="single" w:sz="4" w:space="0" w:color="auto"/>
              <w:left w:val="single" w:sz="4" w:space="0" w:color="auto"/>
              <w:bottom w:val="single" w:sz="4" w:space="0" w:color="auto"/>
              <w:right w:val="single" w:sz="4" w:space="0" w:color="auto"/>
            </w:tcBorders>
            <w:hideMark/>
          </w:tcPr>
          <w:p w14:paraId="5D962E99" w14:textId="77777777" w:rsidR="00342B3E" w:rsidRPr="00342B3E" w:rsidRDefault="00342B3E" w:rsidP="00342B3E">
            <w:pPr>
              <w:bidi/>
              <w:spacing w:after="0" w:line="360" w:lineRule="auto"/>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اداء العاملين ككل</w:t>
            </w:r>
          </w:p>
        </w:tc>
        <w:tc>
          <w:tcPr>
            <w:tcW w:w="1610" w:type="dxa"/>
            <w:tcBorders>
              <w:top w:val="single" w:sz="4" w:space="0" w:color="auto"/>
              <w:left w:val="single" w:sz="4" w:space="0" w:color="auto"/>
              <w:bottom w:val="single" w:sz="4" w:space="0" w:color="auto"/>
              <w:right w:val="single" w:sz="4" w:space="0" w:color="auto"/>
            </w:tcBorders>
            <w:hideMark/>
          </w:tcPr>
          <w:p w14:paraId="65869998" w14:textId="77777777" w:rsidR="00342B3E" w:rsidRPr="00342B3E" w:rsidRDefault="00342B3E" w:rsidP="00342B3E">
            <w:pPr>
              <w:bidi/>
              <w:spacing w:after="0" w:line="360" w:lineRule="auto"/>
              <w:ind w:firstLine="720"/>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12</w:t>
            </w:r>
          </w:p>
        </w:tc>
        <w:tc>
          <w:tcPr>
            <w:tcW w:w="0" w:type="auto"/>
            <w:tcBorders>
              <w:top w:val="single" w:sz="4" w:space="0" w:color="auto"/>
              <w:left w:val="single" w:sz="4" w:space="0" w:color="auto"/>
              <w:bottom w:val="single" w:sz="4" w:space="0" w:color="auto"/>
              <w:right w:val="single" w:sz="4" w:space="0" w:color="auto"/>
            </w:tcBorders>
            <w:hideMark/>
          </w:tcPr>
          <w:p w14:paraId="77BF3947"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0.85</w:t>
            </w:r>
          </w:p>
        </w:tc>
        <w:tc>
          <w:tcPr>
            <w:tcW w:w="0" w:type="auto"/>
            <w:tcBorders>
              <w:top w:val="single" w:sz="4" w:space="0" w:color="auto"/>
              <w:left w:val="single" w:sz="4" w:space="0" w:color="auto"/>
              <w:bottom w:val="single" w:sz="4" w:space="0" w:color="auto"/>
              <w:right w:val="single" w:sz="4" w:space="0" w:color="auto"/>
            </w:tcBorders>
            <w:hideMark/>
          </w:tcPr>
          <w:p w14:paraId="7E05498E" w14:textId="77777777" w:rsidR="00342B3E" w:rsidRPr="00342B3E" w:rsidRDefault="00342B3E" w:rsidP="00342B3E">
            <w:pPr>
              <w:bidi/>
              <w:spacing w:after="0" w:line="360" w:lineRule="auto"/>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مرتفع</w:t>
            </w:r>
          </w:p>
        </w:tc>
      </w:tr>
      <w:tr w:rsidR="00342B3E" w:rsidRPr="00342B3E" w14:paraId="0A35084E" w14:textId="77777777">
        <w:trPr>
          <w:jc w:val="center"/>
        </w:trPr>
        <w:tc>
          <w:tcPr>
            <w:tcW w:w="1974" w:type="dxa"/>
            <w:tcBorders>
              <w:top w:val="single" w:sz="4" w:space="0" w:color="auto"/>
              <w:left w:val="single" w:sz="4" w:space="0" w:color="auto"/>
              <w:bottom w:val="single" w:sz="4" w:space="0" w:color="auto"/>
              <w:right w:val="single" w:sz="4" w:space="0" w:color="auto"/>
            </w:tcBorders>
            <w:hideMark/>
          </w:tcPr>
          <w:p w14:paraId="5F565A8E"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w:t>
            </w:r>
          </w:p>
        </w:tc>
        <w:tc>
          <w:tcPr>
            <w:tcW w:w="1550" w:type="dxa"/>
            <w:tcBorders>
              <w:top w:val="single" w:sz="4" w:space="0" w:color="auto"/>
              <w:left w:val="single" w:sz="4" w:space="0" w:color="auto"/>
              <w:bottom w:val="single" w:sz="4" w:space="0" w:color="auto"/>
              <w:right w:val="single" w:sz="4" w:space="0" w:color="auto"/>
            </w:tcBorders>
            <w:hideMark/>
          </w:tcPr>
          <w:p w14:paraId="0EDCF093" w14:textId="77777777" w:rsidR="00342B3E" w:rsidRPr="00342B3E" w:rsidRDefault="00342B3E" w:rsidP="00342B3E">
            <w:pPr>
              <w:bidi/>
              <w:spacing w:after="0" w:line="360" w:lineRule="auto"/>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الأداة ككل</w:t>
            </w:r>
          </w:p>
        </w:tc>
        <w:tc>
          <w:tcPr>
            <w:tcW w:w="1610" w:type="dxa"/>
            <w:tcBorders>
              <w:top w:val="single" w:sz="4" w:space="0" w:color="auto"/>
              <w:left w:val="single" w:sz="4" w:space="0" w:color="auto"/>
              <w:bottom w:val="single" w:sz="4" w:space="0" w:color="auto"/>
              <w:right w:val="single" w:sz="4" w:space="0" w:color="auto"/>
            </w:tcBorders>
            <w:hideMark/>
          </w:tcPr>
          <w:p w14:paraId="4D05FBF6" w14:textId="77777777" w:rsidR="00342B3E" w:rsidRPr="00342B3E" w:rsidRDefault="00342B3E" w:rsidP="00342B3E">
            <w:pPr>
              <w:bidi/>
              <w:spacing w:after="0" w:line="360" w:lineRule="auto"/>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36</w:t>
            </w:r>
          </w:p>
        </w:tc>
        <w:tc>
          <w:tcPr>
            <w:tcW w:w="0" w:type="auto"/>
            <w:tcBorders>
              <w:top w:val="single" w:sz="4" w:space="0" w:color="auto"/>
              <w:left w:val="single" w:sz="4" w:space="0" w:color="auto"/>
              <w:bottom w:val="single" w:sz="4" w:space="0" w:color="auto"/>
              <w:right w:val="single" w:sz="4" w:space="0" w:color="auto"/>
            </w:tcBorders>
            <w:hideMark/>
          </w:tcPr>
          <w:p w14:paraId="799FEDEC"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0.93</w:t>
            </w:r>
          </w:p>
        </w:tc>
        <w:tc>
          <w:tcPr>
            <w:tcW w:w="0" w:type="auto"/>
            <w:tcBorders>
              <w:top w:val="single" w:sz="4" w:space="0" w:color="auto"/>
              <w:left w:val="single" w:sz="4" w:space="0" w:color="auto"/>
              <w:bottom w:val="single" w:sz="4" w:space="0" w:color="auto"/>
              <w:right w:val="single" w:sz="4" w:space="0" w:color="auto"/>
            </w:tcBorders>
            <w:hideMark/>
          </w:tcPr>
          <w:p w14:paraId="0777639C" w14:textId="77777777" w:rsidR="00342B3E" w:rsidRPr="00342B3E" w:rsidRDefault="00342B3E" w:rsidP="00342B3E">
            <w:pPr>
              <w:bidi/>
              <w:spacing w:after="0" w:line="360" w:lineRule="auto"/>
              <w:jc w:val="center"/>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مرتفع جدًا</w:t>
            </w:r>
          </w:p>
        </w:tc>
      </w:tr>
    </w:tbl>
    <w:p w14:paraId="2F8C4764"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p>
    <w:p w14:paraId="339BA3DE"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Pr>
      </w:pPr>
      <w:r w:rsidRPr="00342B3E">
        <w:rPr>
          <w:rFonts w:ascii="Traditional Arabic" w:eastAsia="Calibri" w:hAnsi="Traditional Arabic" w:cs="Traditional Arabic"/>
          <w:sz w:val="32"/>
          <w:szCs w:val="32"/>
          <w:rtl/>
          <w:lang w:val="en-US"/>
        </w:rPr>
        <w:t xml:space="preserve">يتضح من الجدول السابق أن قيم معامل كرونباخ ألفا لجميع أبعاد إدارة المعرفة، وكذلك لمتغير أداء العاملين ككل، تجاوزت الحد الأدنى المقبول إحصائيًا (0.70)، مما يدل على تمتع الأداة بدرجة عالية من الاتساق الداخلي. </w:t>
      </w:r>
      <w:r w:rsidRPr="00342B3E">
        <w:rPr>
          <w:rFonts w:ascii="Traditional Arabic" w:eastAsia="Calibri" w:hAnsi="Traditional Arabic" w:cs="Traditional Arabic"/>
          <w:sz w:val="32"/>
          <w:szCs w:val="32"/>
          <w:rtl/>
          <w:lang w:val="en-US"/>
        </w:rPr>
        <w:lastRenderedPageBreak/>
        <w:t>كما بلغت قيمة معامل الثبات الكلي للأداة مستوى مرتفعًا، وهو ما يعكس تجانس الفقرات وملاءمتها لقياس متغيرات الدراسة، ويؤكد صلاحية الأداة للتطبيق والتحليل الإحصائي واختبار فرضيات الدراسة</w:t>
      </w:r>
      <w:r w:rsidRPr="00342B3E">
        <w:rPr>
          <w:rFonts w:ascii="Traditional Arabic" w:eastAsia="Calibri" w:hAnsi="Traditional Arabic" w:cs="Traditional Arabic"/>
          <w:sz w:val="32"/>
          <w:szCs w:val="32"/>
        </w:rPr>
        <w:t>.</w:t>
      </w:r>
    </w:p>
    <w:p w14:paraId="74EA3BA2" w14:textId="77777777" w:rsidR="00342B3E" w:rsidRPr="00342B3E" w:rsidRDefault="00342B3E" w:rsidP="00342B3E">
      <w:pPr>
        <w:bidi/>
        <w:spacing w:line="360" w:lineRule="auto"/>
        <w:ind w:firstLine="720"/>
        <w:jc w:val="center"/>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جدول</w:t>
      </w:r>
      <w:r w:rsidRPr="00342B3E">
        <w:rPr>
          <w:rFonts w:ascii="Traditional Arabic" w:eastAsia="Calibri" w:hAnsi="Traditional Arabic" w:cs="Traditional Arabic"/>
          <w:b/>
          <w:bCs/>
          <w:sz w:val="32"/>
          <w:szCs w:val="32"/>
          <w:lang w:val="en-US"/>
        </w:rPr>
        <w:t xml:space="preserve"> (3.2 )</w:t>
      </w:r>
      <w:r w:rsidRPr="00342B3E">
        <w:rPr>
          <w:rFonts w:ascii="Traditional Arabic" w:eastAsia="Calibri" w:hAnsi="Traditional Arabic" w:cs="Traditional Arabic"/>
          <w:b/>
          <w:bCs/>
          <w:sz w:val="32"/>
          <w:szCs w:val="32"/>
          <w:rtl/>
          <w:lang w:val="en-US"/>
        </w:rPr>
        <w:t>معاملات ارتباط بيرسون بين فقرات الدراسة والدرجة الكلية للأبعاد التي تنتمي إليها</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9"/>
        <w:gridCol w:w="1676"/>
        <w:gridCol w:w="1747"/>
        <w:gridCol w:w="1812"/>
        <w:gridCol w:w="2582"/>
      </w:tblGrid>
      <w:tr w:rsidR="00342B3E" w:rsidRPr="00342B3E" w14:paraId="29C5D38A" w14:textId="77777777">
        <w:tc>
          <w:tcPr>
            <w:tcW w:w="919" w:type="pct"/>
            <w:tcBorders>
              <w:top w:val="single" w:sz="4" w:space="0" w:color="auto"/>
              <w:left w:val="single" w:sz="4" w:space="0" w:color="auto"/>
              <w:bottom w:val="single" w:sz="4" w:space="0" w:color="auto"/>
              <w:right w:val="single" w:sz="4" w:space="0" w:color="auto"/>
            </w:tcBorders>
            <w:shd w:val="clear" w:color="auto" w:fill="F79646"/>
            <w:hideMark/>
          </w:tcPr>
          <w:p w14:paraId="58FEBAB3" w14:textId="77777777" w:rsidR="00342B3E" w:rsidRPr="00342B3E" w:rsidRDefault="00342B3E" w:rsidP="00342B3E">
            <w:pPr>
              <w:bidi/>
              <w:spacing w:after="0" w:line="240" w:lineRule="auto"/>
              <w:jc w:val="both"/>
              <w:rPr>
                <w:rFonts w:ascii="Traditional Arabic" w:eastAsia="Calibri" w:hAnsi="Traditional Arabic" w:cs="Traditional Arabic"/>
                <w:b/>
                <w:bCs/>
                <w:sz w:val="24"/>
                <w:szCs w:val="24"/>
                <w:lang w:val="en-US"/>
              </w:rPr>
            </w:pPr>
            <w:r w:rsidRPr="00342B3E">
              <w:rPr>
                <w:rFonts w:ascii="Traditional Arabic" w:eastAsia="Calibri" w:hAnsi="Traditional Arabic" w:cs="Traditional Arabic"/>
                <w:b/>
                <w:bCs/>
                <w:sz w:val="24"/>
                <w:szCs w:val="24"/>
                <w:rtl/>
                <w:lang w:val="en-US"/>
              </w:rPr>
              <w:t>المتغير</w:t>
            </w:r>
          </w:p>
        </w:tc>
        <w:tc>
          <w:tcPr>
            <w:tcW w:w="875" w:type="pct"/>
            <w:tcBorders>
              <w:top w:val="single" w:sz="4" w:space="0" w:color="auto"/>
              <w:left w:val="single" w:sz="4" w:space="0" w:color="auto"/>
              <w:bottom w:val="single" w:sz="4" w:space="0" w:color="auto"/>
              <w:right w:val="single" w:sz="4" w:space="0" w:color="auto"/>
            </w:tcBorders>
            <w:shd w:val="clear" w:color="auto" w:fill="F79646"/>
            <w:hideMark/>
          </w:tcPr>
          <w:p w14:paraId="3F4D40D1" w14:textId="77777777" w:rsidR="00342B3E" w:rsidRPr="00342B3E" w:rsidRDefault="00342B3E" w:rsidP="00342B3E">
            <w:pPr>
              <w:bidi/>
              <w:spacing w:after="0" w:line="240" w:lineRule="auto"/>
              <w:jc w:val="both"/>
              <w:rPr>
                <w:rFonts w:ascii="Traditional Arabic" w:eastAsia="Calibri" w:hAnsi="Traditional Arabic" w:cs="Traditional Arabic"/>
                <w:b/>
                <w:bCs/>
                <w:sz w:val="24"/>
                <w:szCs w:val="24"/>
                <w:lang w:val="en-US"/>
              </w:rPr>
            </w:pPr>
            <w:r w:rsidRPr="00342B3E">
              <w:rPr>
                <w:rFonts w:ascii="Traditional Arabic" w:eastAsia="Calibri" w:hAnsi="Traditional Arabic" w:cs="Traditional Arabic"/>
                <w:b/>
                <w:bCs/>
                <w:sz w:val="24"/>
                <w:szCs w:val="24"/>
                <w:rtl/>
                <w:lang w:val="en-US"/>
              </w:rPr>
              <w:t>البعد</w:t>
            </w:r>
          </w:p>
        </w:tc>
        <w:tc>
          <w:tcPr>
            <w:tcW w:w="912" w:type="pct"/>
            <w:tcBorders>
              <w:top w:val="single" w:sz="4" w:space="0" w:color="auto"/>
              <w:left w:val="single" w:sz="4" w:space="0" w:color="auto"/>
              <w:bottom w:val="single" w:sz="4" w:space="0" w:color="auto"/>
              <w:right w:val="single" w:sz="4" w:space="0" w:color="auto"/>
            </w:tcBorders>
            <w:shd w:val="clear" w:color="auto" w:fill="F79646"/>
            <w:hideMark/>
          </w:tcPr>
          <w:p w14:paraId="11BC58F6" w14:textId="77777777" w:rsidR="00342B3E" w:rsidRPr="00342B3E" w:rsidRDefault="00342B3E" w:rsidP="00342B3E">
            <w:pPr>
              <w:bidi/>
              <w:spacing w:after="0" w:line="240" w:lineRule="auto"/>
              <w:jc w:val="both"/>
              <w:rPr>
                <w:rFonts w:ascii="Traditional Arabic" w:eastAsia="Calibri" w:hAnsi="Traditional Arabic" w:cs="Traditional Arabic"/>
                <w:b/>
                <w:bCs/>
                <w:sz w:val="24"/>
                <w:szCs w:val="24"/>
                <w:lang w:val="en-US"/>
              </w:rPr>
            </w:pPr>
            <w:r w:rsidRPr="00342B3E">
              <w:rPr>
                <w:rFonts w:ascii="Traditional Arabic" w:eastAsia="Calibri" w:hAnsi="Traditional Arabic" w:cs="Traditional Arabic"/>
                <w:b/>
                <w:bCs/>
                <w:sz w:val="24"/>
                <w:szCs w:val="24"/>
                <w:rtl/>
                <w:lang w:val="en-US"/>
              </w:rPr>
              <w:t>رقم الفقرة</w:t>
            </w:r>
          </w:p>
        </w:tc>
        <w:tc>
          <w:tcPr>
            <w:tcW w:w="946" w:type="pct"/>
            <w:tcBorders>
              <w:top w:val="single" w:sz="4" w:space="0" w:color="auto"/>
              <w:left w:val="single" w:sz="4" w:space="0" w:color="auto"/>
              <w:bottom w:val="single" w:sz="4" w:space="0" w:color="auto"/>
              <w:right w:val="single" w:sz="4" w:space="0" w:color="auto"/>
            </w:tcBorders>
            <w:shd w:val="clear" w:color="auto" w:fill="F79646"/>
            <w:hideMark/>
          </w:tcPr>
          <w:p w14:paraId="01AD9057" w14:textId="77777777" w:rsidR="00342B3E" w:rsidRPr="00342B3E" w:rsidRDefault="00342B3E" w:rsidP="00342B3E">
            <w:pPr>
              <w:bidi/>
              <w:spacing w:after="0" w:line="240" w:lineRule="auto"/>
              <w:jc w:val="both"/>
              <w:rPr>
                <w:rFonts w:ascii="Traditional Arabic" w:eastAsia="Calibri" w:hAnsi="Traditional Arabic" w:cs="Traditional Arabic"/>
                <w:b/>
                <w:bCs/>
                <w:sz w:val="24"/>
                <w:szCs w:val="24"/>
                <w:lang w:val="en-US"/>
              </w:rPr>
            </w:pPr>
            <w:r w:rsidRPr="00342B3E">
              <w:rPr>
                <w:rFonts w:ascii="Traditional Arabic" w:eastAsia="Calibri" w:hAnsi="Traditional Arabic" w:cs="Traditional Arabic"/>
                <w:b/>
                <w:bCs/>
                <w:sz w:val="24"/>
                <w:szCs w:val="24"/>
                <w:rtl/>
                <w:lang w:val="en-US"/>
              </w:rPr>
              <w:t>معامل الارتباط</w:t>
            </w:r>
          </w:p>
        </w:tc>
        <w:tc>
          <w:tcPr>
            <w:tcW w:w="1348" w:type="pct"/>
            <w:tcBorders>
              <w:top w:val="single" w:sz="4" w:space="0" w:color="auto"/>
              <w:left w:val="single" w:sz="4" w:space="0" w:color="auto"/>
              <w:bottom w:val="single" w:sz="4" w:space="0" w:color="auto"/>
              <w:right w:val="single" w:sz="4" w:space="0" w:color="auto"/>
            </w:tcBorders>
            <w:shd w:val="clear" w:color="auto" w:fill="F79646"/>
            <w:hideMark/>
          </w:tcPr>
          <w:p w14:paraId="7A870B34" w14:textId="77777777" w:rsidR="00342B3E" w:rsidRPr="00342B3E" w:rsidRDefault="00342B3E" w:rsidP="00342B3E">
            <w:pPr>
              <w:bidi/>
              <w:spacing w:after="0" w:line="240" w:lineRule="auto"/>
              <w:jc w:val="both"/>
              <w:rPr>
                <w:rFonts w:ascii="Traditional Arabic" w:eastAsia="Calibri" w:hAnsi="Traditional Arabic" w:cs="Traditional Arabic"/>
                <w:b/>
                <w:bCs/>
                <w:sz w:val="24"/>
                <w:szCs w:val="24"/>
                <w:lang w:val="en-US"/>
              </w:rPr>
            </w:pPr>
            <w:r w:rsidRPr="00342B3E">
              <w:rPr>
                <w:rFonts w:ascii="Traditional Arabic" w:eastAsia="Calibri" w:hAnsi="Traditional Arabic" w:cs="Traditional Arabic"/>
                <w:b/>
                <w:bCs/>
                <w:sz w:val="24"/>
                <w:szCs w:val="24"/>
                <w:rtl/>
                <w:lang w:val="en-US"/>
              </w:rPr>
              <w:t>مستوى الدلالة</w:t>
            </w:r>
          </w:p>
        </w:tc>
      </w:tr>
      <w:tr w:rsidR="00342B3E" w:rsidRPr="00342B3E" w14:paraId="79A81453" w14:textId="77777777">
        <w:tc>
          <w:tcPr>
            <w:tcW w:w="919" w:type="pct"/>
            <w:tcBorders>
              <w:top w:val="single" w:sz="4" w:space="0" w:color="auto"/>
              <w:left w:val="single" w:sz="4" w:space="0" w:color="auto"/>
              <w:bottom w:val="single" w:sz="4" w:space="0" w:color="auto"/>
              <w:right w:val="single" w:sz="4" w:space="0" w:color="auto"/>
            </w:tcBorders>
            <w:hideMark/>
          </w:tcPr>
          <w:p w14:paraId="2551131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3256883D"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اكتساب المعرفة</w:t>
            </w:r>
          </w:p>
        </w:tc>
        <w:tc>
          <w:tcPr>
            <w:tcW w:w="912" w:type="pct"/>
            <w:tcBorders>
              <w:top w:val="single" w:sz="4" w:space="0" w:color="auto"/>
              <w:left w:val="single" w:sz="4" w:space="0" w:color="auto"/>
              <w:bottom w:val="single" w:sz="4" w:space="0" w:color="auto"/>
              <w:right w:val="single" w:sz="4" w:space="0" w:color="auto"/>
            </w:tcBorders>
            <w:hideMark/>
          </w:tcPr>
          <w:p w14:paraId="3CB5640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w:t>
            </w:r>
          </w:p>
        </w:tc>
        <w:tc>
          <w:tcPr>
            <w:tcW w:w="946" w:type="pct"/>
            <w:tcBorders>
              <w:top w:val="single" w:sz="4" w:space="0" w:color="auto"/>
              <w:left w:val="single" w:sz="4" w:space="0" w:color="auto"/>
              <w:bottom w:val="single" w:sz="4" w:space="0" w:color="auto"/>
              <w:right w:val="single" w:sz="4" w:space="0" w:color="auto"/>
            </w:tcBorders>
            <w:hideMark/>
          </w:tcPr>
          <w:p w14:paraId="15CC230A" w14:textId="77777777" w:rsidR="00342B3E" w:rsidRPr="00342B3E" w:rsidRDefault="00342B3E" w:rsidP="00342B3E">
            <w:pPr>
              <w:bidi/>
              <w:spacing w:after="0" w:line="240" w:lineRule="auto"/>
              <w:ind w:firstLine="720"/>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0.71</w:t>
            </w:r>
          </w:p>
        </w:tc>
        <w:tc>
          <w:tcPr>
            <w:tcW w:w="1348" w:type="pct"/>
            <w:tcBorders>
              <w:top w:val="single" w:sz="4" w:space="0" w:color="auto"/>
              <w:left w:val="single" w:sz="4" w:space="0" w:color="auto"/>
              <w:bottom w:val="single" w:sz="4" w:space="0" w:color="auto"/>
              <w:right w:val="single" w:sz="4" w:space="0" w:color="auto"/>
            </w:tcBorders>
            <w:hideMark/>
          </w:tcPr>
          <w:p w14:paraId="5368E1B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4B92158E" w14:textId="77777777">
        <w:tc>
          <w:tcPr>
            <w:tcW w:w="919" w:type="pct"/>
            <w:tcBorders>
              <w:top w:val="single" w:sz="4" w:space="0" w:color="auto"/>
              <w:left w:val="single" w:sz="4" w:space="0" w:color="auto"/>
              <w:bottom w:val="single" w:sz="4" w:space="0" w:color="auto"/>
              <w:right w:val="single" w:sz="4" w:space="0" w:color="auto"/>
            </w:tcBorders>
            <w:hideMark/>
          </w:tcPr>
          <w:p w14:paraId="4020B51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41D09783"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اكتساب المعرفة</w:t>
            </w:r>
          </w:p>
        </w:tc>
        <w:tc>
          <w:tcPr>
            <w:tcW w:w="912" w:type="pct"/>
            <w:tcBorders>
              <w:top w:val="single" w:sz="4" w:space="0" w:color="auto"/>
              <w:left w:val="single" w:sz="4" w:space="0" w:color="auto"/>
              <w:bottom w:val="single" w:sz="4" w:space="0" w:color="auto"/>
              <w:right w:val="single" w:sz="4" w:space="0" w:color="auto"/>
            </w:tcBorders>
            <w:hideMark/>
          </w:tcPr>
          <w:p w14:paraId="7A515A1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w:t>
            </w:r>
          </w:p>
        </w:tc>
        <w:tc>
          <w:tcPr>
            <w:tcW w:w="946" w:type="pct"/>
            <w:tcBorders>
              <w:top w:val="single" w:sz="4" w:space="0" w:color="auto"/>
              <w:left w:val="single" w:sz="4" w:space="0" w:color="auto"/>
              <w:bottom w:val="single" w:sz="4" w:space="0" w:color="auto"/>
              <w:right w:val="single" w:sz="4" w:space="0" w:color="auto"/>
            </w:tcBorders>
            <w:hideMark/>
          </w:tcPr>
          <w:p w14:paraId="1DFA654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0.76</w:t>
            </w:r>
          </w:p>
        </w:tc>
        <w:tc>
          <w:tcPr>
            <w:tcW w:w="1348" w:type="pct"/>
            <w:tcBorders>
              <w:top w:val="single" w:sz="4" w:space="0" w:color="auto"/>
              <w:left w:val="single" w:sz="4" w:space="0" w:color="auto"/>
              <w:bottom w:val="single" w:sz="4" w:space="0" w:color="auto"/>
              <w:right w:val="single" w:sz="4" w:space="0" w:color="auto"/>
            </w:tcBorders>
            <w:hideMark/>
          </w:tcPr>
          <w:p w14:paraId="2A0CE3F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6282A8AE" w14:textId="77777777">
        <w:tc>
          <w:tcPr>
            <w:tcW w:w="919" w:type="pct"/>
            <w:tcBorders>
              <w:top w:val="single" w:sz="4" w:space="0" w:color="auto"/>
              <w:left w:val="single" w:sz="4" w:space="0" w:color="auto"/>
              <w:bottom w:val="single" w:sz="4" w:space="0" w:color="auto"/>
              <w:right w:val="single" w:sz="4" w:space="0" w:color="auto"/>
            </w:tcBorders>
            <w:hideMark/>
          </w:tcPr>
          <w:p w14:paraId="3E51C37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61C4DF75"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اكتساب المعرفة</w:t>
            </w:r>
          </w:p>
        </w:tc>
        <w:tc>
          <w:tcPr>
            <w:tcW w:w="912" w:type="pct"/>
            <w:tcBorders>
              <w:top w:val="single" w:sz="4" w:space="0" w:color="auto"/>
              <w:left w:val="single" w:sz="4" w:space="0" w:color="auto"/>
              <w:bottom w:val="single" w:sz="4" w:space="0" w:color="auto"/>
              <w:right w:val="single" w:sz="4" w:space="0" w:color="auto"/>
            </w:tcBorders>
            <w:hideMark/>
          </w:tcPr>
          <w:p w14:paraId="58BD77E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3</w:t>
            </w:r>
          </w:p>
        </w:tc>
        <w:tc>
          <w:tcPr>
            <w:tcW w:w="946" w:type="pct"/>
            <w:tcBorders>
              <w:top w:val="single" w:sz="4" w:space="0" w:color="auto"/>
              <w:left w:val="single" w:sz="4" w:space="0" w:color="auto"/>
              <w:bottom w:val="single" w:sz="4" w:space="0" w:color="auto"/>
              <w:right w:val="single" w:sz="4" w:space="0" w:color="auto"/>
            </w:tcBorders>
            <w:hideMark/>
          </w:tcPr>
          <w:p w14:paraId="77AE929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0.68</w:t>
            </w:r>
          </w:p>
        </w:tc>
        <w:tc>
          <w:tcPr>
            <w:tcW w:w="1348" w:type="pct"/>
            <w:tcBorders>
              <w:top w:val="single" w:sz="4" w:space="0" w:color="auto"/>
              <w:left w:val="single" w:sz="4" w:space="0" w:color="auto"/>
              <w:bottom w:val="single" w:sz="4" w:space="0" w:color="auto"/>
              <w:right w:val="single" w:sz="4" w:space="0" w:color="auto"/>
            </w:tcBorders>
            <w:hideMark/>
          </w:tcPr>
          <w:p w14:paraId="7F39ABD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6BF6299B" w14:textId="77777777">
        <w:tc>
          <w:tcPr>
            <w:tcW w:w="919" w:type="pct"/>
            <w:tcBorders>
              <w:top w:val="single" w:sz="4" w:space="0" w:color="auto"/>
              <w:left w:val="single" w:sz="4" w:space="0" w:color="auto"/>
              <w:bottom w:val="single" w:sz="4" w:space="0" w:color="auto"/>
              <w:right w:val="single" w:sz="4" w:space="0" w:color="auto"/>
            </w:tcBorders>
            <w:hideMark/>
          </w:tcPr>
          <w:p w14:paraId="498DF6F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66498208"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اكتساب المعرفة</w:t>
            </w:r>
          </w:p>
        </w:tc>
        <w:tc>
          <w:tcPr>
            <w:tcW w:w="912" w:type="pct"/>
            <w:tcBorders>
              <w:top w:val="single" w:sz="4" w:space="0" w:color="auto"/>
              <w:left w:val="single" w:sz="4" w:space="0" w:color="auto"/>
              <w:bottom w:val="single" w:sz="4" w:space="0" w:color="auto"/>
              <w:right w:val="single" w:sz="4" w:space="0" w:color="auto"/>
            </w:tcBorders>
            <w:hideMark/>
          </w:tcPr>
          <w:p w14:paraId="2D0E4E3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4</w:t>
            </w:r>
          </w:p>
        </w:tc>
        <w:tc>
          <w:tcPr>
            <w:tcW w:w="946" w:type="pct"/>
            <w:tcBorders>
              <w:top w:val="single" w:sz="4" w:space="0" w:color="auto"/>
              <w:left w:val="single" w:sz="4" w:space="0" w:color="auto"/>
              <w:bottom w:val="single" w:sz="4" w:space="0" w:color="auto"/>
              <w:right w:val="single" w:sz="4" w:space="0" w:color="auto"/>
            </w:tcBorders>
            <w:hideMark/>
          </w:tcPr>
          <w:p w14:paraId="18DC522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0.74</w:t>
            </w:r>
          </w:p>
        </w:tc>
        <w:tc>
          <w:tcPr>
            <w:tcW w:w="1348" w:type="pct"/>
            <w:tcBorders>
              <w:top w:val="single" w:sz="4" w:space="0" w:color="auto"/>
              <w:left w:val="single" w:sz="4" w:space="0" w:color="auto"/>
              <w:bottom w:val="single" w:sz="4" w:space="0" w:color="auto"/>
              <w:right w:val="single" w:sz="4" w:space="0" w:color="auto"/>
            </w:tcBorders>
            <w:hideMark/>
          </w:tcPr>
          <w:p w14:paraId="574778E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2D96D2A1" w14:textId="77777777">
        <w:tc>
          <w:tcPr>
            <w:tcW w:w="919" w:type="pct"/>
            <w:tcBorders>
              <w:top w:val="single" w:sz="4" w:space="0" w:color="auto"/>
              <w:left w:val="single" w:sz="4" w:space="0" w:color="auto"/>
              <w:bottom w:val="single" w:sz="4" w:space="0" w:color="auto"/>
              <w:right w:val="single" w:sz="4" w:space="0" w:color="auto"/>
            </w:tcBorders>
            <w:hideMark/>
          </w:tcPr>
          <w:p w14:paraId="5DA70A8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6C4BDA8C"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اكتساب المعرفة</w:t>
            </w:r>
          </w:p>
        </w:tc>
        <w:tc>
          <w:tcPr>
            <w:tcW w:w="912" w:type="pct"/>
            <w:tcBorders>
              <w:top w:val="single" w:sz="4" w:space="0" w:color="auto"/>
              <w:left w:val="single" w:sz="4" w:space="0" w:color="auto"/>
              <w:bottom w:val="single" w:sz="4" w:space="0" w:color="auto"/>
              <w:right w:val="single" w:sz="4" w:space="0" w:color="auto"/>
            </w:tcBorders>
            <w:hideMark/>
          </w:tcPr>
          <w:p w14:paraId="350C103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5</w:t>
            </w:r>
          </w:p>
        </w:tc>
        <w:tc>
          <w:tcPr>
            <w:tcW w:w="946" w:type="pct"/>
            <w:tcBorders>
              <w:top w:val="single" w:sz="4" w:space="0" w:color="auto"/>
              <w:left w:val="single" w:sz="4" w:space="0" w:color="auto"/>
              <w:bottom w:val="single" w:sz="4" w:space="0" w:color="auto"/>
              <w:right w:val="single" w:sz="4" w:space="0" w:color="auto"/>
            </w:tcBorders>
            <w:hideMark/>
          </w:tcPr>
          <w:p w14:paraId="2AD6E26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0.79</w:t>
            </w:r>
          </w:p>
        </w:tc>
        <w:tc>
          <w:tcPr>
            <w:tcW w:w="1348" w:type="pct"/>
            <w:tcBorders>
              <w:top w:val="single" w:sz="4" w:space="0" w:color="auto"/>
              <w:left w:val="single" w:sz="4" w:space="0" w:color="auto"/>
              <w:bottom w:val="single" w:sz="4" w:space="0" w:color="auto"/>
              <w:right w:val="single" w:sz="4" w:space="0" w:color="auto"/>
            </w:tcBorders>
            <w:hideMark/>
          </w:tcPr>
          <w:p w14:paraId="10B93E4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5EAD1E0D" w14:textId="77777777">
        <w:tc>
          <w:tcPr>
            <w:tcW w:w="919" w:type="pct"/>
            <w:tcBorders>
              <w:top w:val="single" w:sz="4" w:space="0" w:color="auto"/>
              <w:left w:val="single" w:sz="4" w:space="0" w:color="auto"/>
              <w:bottom w:val="single" w:sz="4" w:space="0" w:color="auto"/>
              <w:right w:val="single" w:sz="4" w:space="0" w:color="auto"/>
            </w:tcBorders>
            <w:hideMark/>
          </w:tcPr>
          <w:p w14:paraId="0E1B441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47107C93"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اكتساب المعرفة</w:t>
            </w:r>
          </w:p>
        </w:tc>
        <w:tc>
          <w:tcPr>
            <w:tcW w:w="912" w:type="pct"/>
            <w:tcBorders>
              <w:top w:val="single" w:sz="4" w:space="0" w:color="auto"/>
              <w:left w:val="single" w:sz="4" w:space="0" w:color="auto"/>
              <w:bottom w:val="single" w:sz="4" w:space="0" w:color="auto"/>
              <w:right w:val="single" w:sz="4" w:space="0" w:color="auto"/>
            </w:tcBorders>
            <w:hideMark/>
          </w:tcPr>
          <w:p w14:paraId="5E87F92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6</w:t>
            </w:r>
          </w:p>
        </w:tc>
        <w:tc>
          <w:tcPr>
            <w:tcW w:w="946" w:type="pct"/>
            <w:tcBorders>
              <w:top w:val="single" w:sz="4" w:space="0" w:color="auto"/>
              <w:left w:val="single" w:sz="4" w:space="0" w:color="auto"/>
              <w:bottom w:val="single" w:sz="4" w:space="0" w:color="auto"/>
              <w:right w:val="single" w:sz="4" w:space="0" w:color="auto"/>
            </w:tcBorders>
            <w:hideMark/>
          </w:tcPr>
          <w:p w14:paraId="216E40A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0.72</w:t>
            </w:r>
          </w:p>
        </w:tc>
        <w:tc>
          <w:tcPr>
            <w:tcW w:w="1348" w:type="pct"/>
            <w:tcBorders>
              <w:top w:val="single" w:sz="4" w:space="0" w:color="auto"/>
              <w:left w:val="single" w:sz="4" w:space="0" w:color="auto"/>
              <w:bottom w:val="single" w:sz="4" w:space="0" w:color="auto"/>
              <w:right w:val="single" w:sz="4" w:space="0" w:color="auto"/>
            </w:tcBorders>
            <w:hideMark/>
          </w:tcPr>
          <w:p w14:paraId="1DB25D2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3F0ADB69" w14:textId="77777777">
        <w:tc>
          <w:tcPr>
            <w:tcW w:w="919" w:type="pct"/>
            <w:tcBorders>
              <w:top w:val="single" w:sz="4" w:space="0" w:color="auto"/>
              <w:left w:val="single" w:sz="4" w:space="0" w:color="auto"/>
              <w:bottom w:val="single" w:sz="4" w:space="0" w:color="auto"/>
              <w:right w:val="single" w:sz="4" w:space="0" w:color="auto"/>
            </w:tcBorders>
            <w:hideMark/>
          </w:tcPr>
          <w:p w14:paraId="3266B3F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2913AD87"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اكتساب المعرفة</w:t>
            </w:r>
          </w:p>
        </w:tc>
        <w:tc>
          <w:tcPr>
            <w:tcW w:w="912" w:type="pct"/>
            <w:tcBorders>
              <w:top w:val="single" w:sz="4" w:space="0" w:color="auto"/>
              <w:left w:val="single" w:sz="4" w:space="0" w:color="auto"/>
              <w:bottom w:val="single" w:sz="4" w:space="0" w:color="auto"/>
              <w:right w:val="single" w:sz="4" w:space="0" w:color="auto"/>
            </w:tcBorders>
            <w:hideMark/>
          </w:tcPr>
          <w:p w14:paraId="72F4EBD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7</w:t>
            </w:r>
          </w:p>
        </w:tc>
        <w:tc>
          <w:tcPr>
            <w:tcW w:w="946" w:type="pct"/>
            <w:tcBorders>
              <w:top w:val="single" w:sz="4" w:space="0" w:color="auto"/>
              <w:left w:val="single" w:sz="4" w:space="0" w:color="auto"/>
              <w:bottom w:val="single" w:sz="4" w:space="0" w:color="auto"/>
              <w:right w:val="single" w:sz="4" w:space="0" w:color="auto"/>
            </w:tcBorders>
            <w:hideMark/>
          </w:tcPr>
          <w:p w14:paraId="39092C4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0.81</w:t>
            </w:r>
          </w:p>
        </w:tc>
        <w:tc>
          <w:tcPr>
            <w:tcW w:w="1348" w:type="pct"/>
            <w:tcBorders>
              <w:top w:val="single" w:sz="4" w:space="0" w:color="auto"/>
              <w:left w:val="single" w:sz="4" w:space="0" w:color="auto"/>
              <w:bottom w:val="single" w:sz="4" w:space="0" w:color="auto"/>
              <w:right w:val="single" w:sz="4" w:space="0" w:color="auto"/>
            </w:tcBorders>
            <w:hideMark/>
          </w:tcPr>
          <w:p w14:paraId="2FF4025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340BC81E" w14:textId="77777777">
        <w:tc>
          <w:tcPr>
            <w:tcW w:w="919" w:type="pct"/>
            <w:tcBorders>
              <w:top w:val="single" w:sz="4" w:space="0" w:color="auto"/>
              <w:left w:val="single" w:sz="4" w:space="0" w:color="auto"/>
              <w:bottom w:val="single" w:sz="4" w:space="0" w:color="auto"/>
              <w:right w:val="single" w:sz="4" w:space="0" w:color="auto"/>
            </w:tcBorders>
            <w:hideMark/>
          </w:tcPr>
          <w:p w14:paraId="1E90252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1AED68F6"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اكتساب المعرفة</w:t>
            </w:r>
          </w:p>
        </w:tc>
        <w:tc>
          <w:tcPr>
            <w:tcW w:w="912" w:type="pct"/>
            <w:tcBorders>
              <w:top w:val="single" w:sz="4" w:space="0" w:color="auto"/>
              <w:left w:val="single" w:sz="4" w:space="0" w:color="auto"/>
              <w:bottom w:val="single" w:sz="4" w:space="0" w:color="auto"/>
              <w:right w:val="single" w:sz="4" w:space="0" w:color="auto"/>
            </w:tcBorders>
            <w:hideMark/>
          </w:tcPr>
          <w:p w14:paraId="20E0768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8</w:t>
            </w:r>
          </w:p>
        </w:tc>
        <w:tc>
          <w:tcPr>
            <w:tcW w:w="946" w:type="pct"/>
            <w:tcBorders>
              <w:top w:val="single" w:sz="4" w:space="0" w:color="auto"/>
              <w:left w:val="single" w:sz="4" w:space="0" w:color="auto"/>
              <w:bottom w:val="single" w:sz="4" w:space="0" w:color="auto"/>
              <w:right w:val="single" w:sz="4" w:space="0" w:color="auto"/>
            </w:tcBorders>
            <w:hideMark/>
          </w:tcPr>
          <w:p w14:paraId="5E2F74E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0.70</w:t>
            </w:r>
          </w:p>
        </w:tc>
        <w:tc>
          <w:tcPr>
            <w:tcW w:w="1348" w:type="pct"/>
            <w:tcBorders>
              <w:top w:val="single" w:sz="4" w:space="0" w:color="auto"/>
              <w:left w:val="single" w:sz="4" w:space="0" w:color="auto"/>
              <w:bottom w:val="single" w:sz="4" w:space="0" w:color="auto"/>
              <w:right w:val="single" w:sz="4" w:space="0" w:color="auto"/>
            </w:tcBorders>
            <w:hideMark/>
          </w:tcPr>
          <w:p w14:paraId="5DA5932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73B24267" w14:textId="77777777">
        <w:tc>
          <w:tcPr>
            <w:tcW w:w="919" w:type="pct"/>
            <w:tcBorders>
              <w:top w:val="single" w:sz="4" w:space="0" w:color="auto"/>
              <w:left w:val="single" w:sz="4" w:space="0" w:color="auto"/>
              <w:bottom w:val="single" w:sz="4" w:space="0" w:color="auto"/>
              <w:right w:val="single" w:sz="4" w:space="0" w:color="auto"/>
            </w:tcBorders>
            <w:hideMark/>
          </w:tcPr>
          <w:p w14:paraId="4308E52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474C53EC"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مشاركة المعرفة</w:t>
            </w:r>
          </w:p>
        </w:tc>
        <w:tc>
          <w:tcPr>
            <w:tcW w:w="912" w:type="pct"/>
            <w:tcBorders>
              <w:top w:val="single" w:sz="4" w:space="0" w:color="auto"/>
              <w:left w:val="single" w:sz="4" w:space="0" w:color="auto"/>
              <w:bottom w:val="single" w:sz="4" w:space="0" w:color="auto"/>
              <w:right w:val="single" w:sz="4" w:space="0" w:color="auto"/>
            </w:tcBorders>
            <w:hideMark/>
          </w:tcPr>
          <w:p w14:paraId="563C728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9</w:t>
            </w:r>
          </w:p>
        </w:tc>
        <w:tc>
          <w:tcPr>
            <w:tcW w:w="946" w:type="pct"/>
            <w:tcBorders>
              <w:top w:val="single" w:sz="4" w:space="0" w:color="auto"/>
              <w:left w:val="single" w:sz="4" w:space="0" w:color="auto"/>
              <w:bottom w:val="single" w:sz="4" w:space="0" w:color="auto"/>
              <w:right w:val="single" w:sz="4" w:space="0" w:color="auto"/>
            </w:tcBorders>
            <w:hideMark/>
          </w:tcPr>
          <w:p w14:paraId="68019CA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0.73</w:t>
            </w:r>
          </w:p>
        </w:tc>
        <w:tc>
          <w:tcPr>
            <w:tcW w:w="1348" w:type="pct"/>
            <w:tcBorders>
              <w:top w:val="single" w:sz="4" w:space="0" w:color="auto"/>
              <w:left w:val="single" w:sz="4" w:space="0" w:color="auto"/>
              <w:bottom w:val="single" w:sz="4" w:space="0" w:color="auto"/>
              <w:right w:val="single" w:sz="4" w:space="0" w:color="auto"/>
            </w:tcBorders>
            <w:hideMark/>
          </w:tcPr>
          <w:p w14:paraId="20E45C3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24541849" w14:textId="77777777">
        <w:tc>
          <w:tcPr>
            <w:tcW w:w="919" w:type="pct"/>
            <w:tcBorders>
              <w:top w:val="single" w:sz="4" w:space="0" w:color="auto"/>
              <w:left w:val="single" w:sz="4" w:space="0" w:color="auto"/>
              <w:bottom w:val="single" w:sz="4" w:space="0" w:color="auto"/>
              <w:right w:val="single" w:sz="4" w:space="0" w:color="auto"/>
            </w:tcBorders>
            <w:hideMark/>
          </w:tcPr>
          <w:p w14:paraId="18AA71D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5DDEFC48"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مشاركة المعرفة</w:t>
            </w:r>
          </w:p>
        </w:tc>
        <w:tc>
          <w:tcPr>
            <w:tcW w:w="912" w:type="pct"/>
            <w:tcBorders>
              <w:top w:val="single" w:sz="4" w:space="0" w:color="auto"/>
              <w:left w:val="single" w:sz="4" w:space="0" w:color="auto"/>
              <w:bottom w:val="single" w:sz="4" w:space="0" w:color="auto"/>
              <w:right w:val="single" w:sz="4" w:space="0" w:color="auto"/>
            </w:tcBorders>
            <w:hideMark/>
          </w:tcPr>
          <w:p w14:paraId="4E813D8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10</w:t>
            </w:r>
          </w:p>
        </w:tc>
        <w:tc>
          <w:tcPr>
            <w:tcW w:w="946" w:type="pct"/>
            <w:tcBorders>
              <w:top w:val="single" w:sz="4" w:space="0" w:color="auto"/>
              <w:left w:val="single" w:sz="4" w:space="0" w:color="auto"/>
              <w:bottom w:val="single" w:sz="4" w:space="0" w:color="auto"/>
              <w:right w:val="single" w:sz="4" w:space="0" w:color="auto"/>
            </w:tcBorders>
            <w:hideMark/>
          </w:tcPr>
          <w:p w14:paraId="4F2363E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0.77</w:t>
            </w:r>
          </w:p>
        </w:tc>
        <w:tc>
          <w:tcPr>
            <w:tcW w:w="1348" w:type="pct"/>
            <w:tcBorders>
              <w:top w:val="single" w:sz="4" w:space="0" w:color="auto"/>
              <w:left w:val="single" w:sz="4" w:space="0" w:color="auto"/>
              <w:bottom w:val="single" w:sz="4" w:space="0" w:color="auto"/>
              <w:right w:val="single" w:sz="4" w:space="0" w:color="auto"/>
            </w:tcBorders>
            <w:hideMark/>
          </w:tcPr>
          <w:p w14:paraId="1BBC5D4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44DE71E4" w14:textId="77777777">
        <w:tc>
          <w:tcPr>
            <w:tcW w:w="919" w:type="pct"/>
            <w:tcBorders>
              <w:top w:val="single" w:sz="4" w:space="0" w:color="auto"/>
              <w:left w:val="single" w:sz="4" w:space="0" w:color="auto"/>
              <w:bottom w:val="single" w:sz="4" w:space="0" w:color="auto"/>
              <w:right w:val="single" w:sz="4" w:space="0" w:color="auto"/>
            </w:tcBorders>
            <w:hideMark/>
          </w:tcPr>
          <w:p w14:paraId="49345CA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78D3F624"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مشاركة المعرفة</w:t>
            </w:r>
          </w:p>
        </w:tc>
        <w:tc>
          <w:tcPr>
            <w:tcW w:w="912" w:type="pct"/>
            <w:tcBorders>
              <w:top w:val="single" w:sz="4" w:space="0" w:color="auto"/>
              <w:left w:val="single" w:sz="4" w:space="0" w:color="auto"/>
              <w:bottom w:val="single" w:sz="4" w:space="0" w:color="auto"/>
              <w:right w:val="single" w:sz="4" w:space="0" w:color="auto"/>
            </w:tcBorders>
            <w:hideMark/>
          </w:tcPr>
          <w:p w14:paraId="7696C41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11</w:t>
            </w:r>
          </w:p>
        </w:tc>
        <w:tc>
          <w:tcPr>
            <w:tcW w:w="946" w:type="pct"/>
            <w:tcBorders>
              <w:top w:val="single" w:sz="4" w:space="0" w:color="auto"/>
              <w:left w:val="single" w:sz="4" w:space="0" w:color="auto"/>
              <w:bottom w:val="single" w:sz="4" w:space="0" w:color="auto"/>
              <w:right w:val="single" w:sz="4" w:space="0" w:color="auto"/>
            </w:tcBorders>
            <w:hideMark/>
          </w:tcPr>
          <w:p w14:paraId="10EE118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0.82</w:t>
            </w:r>
          </w:p>
        </w:tc>
        <w:tc>
          <w:tcPr>
            <w:tcW w:w="1348" w:type="pct"/>
            <w:tcBorders>
              <w:top w:val="single" w:sz="4" w:space="0" w:color="auto"/>
              <w:left w:val="single" w:sz="4" w:space="0" w:color="auto"/>
              <w:bottom w:val="single" w:sz="4" w:space="0" w:color="auto"/>
              <w:right w:val="single" w:sz="4" w:space="0" w:color="auto"/>
            </w:tcBorders>
            <w:hideMark/>
          </w:tcPr>
          <w:p w14:paraId="18245505"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02077053" w14:textId="77777777">
        <w:tc>
          <w:tcPr>
            <w:tcW w:w="919" w:type="pct"/>
            <w:tcBorders>
              <w:top w:val="single" w:sz="4" w:space="0" w:color="auto"/>
              <w:left w:val="single" w:sz="4" w:space="0" w:color="auto"/>
              <w:bottom w:val="single" w:sz="4" w:space="0" w:color="auto"/>
              <w:right w:val="single" w:sz="4" w:space="0" w:color="auto"/>
            </w:tcBorders>
            <w:hideMark/>
          </w:tcPr>
          <w:p w14:paraId="24C3FFD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0E3A7D93"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مشاركة المعرفة</w:t>
            </w:r>
          </w:p>
        </w:tc>
        <w:tc>
          <w:tcPr>
            <w:tcW w:w="912" w:type="pct"/>
            <w:tcBorders>
              <w:top w:val="single" w:sz="4" w:space="0" w:color="auto"/>
              <w:left w:val="single" w:sz="4" w:space="0" w:color="auto"/>
              <w:bottom w:val="single" w:sz="4" w:space="0" w:color="auto"/>
              <w:right w:val="single" w:sz="4" w:space="0" w:color="auto"/>
            </w:tcBorders>
            <w:hideMark/>
          </w:tcPr>
          <w:p w14:paraId="74F0392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12</w:t>
            </w:r>
          </w:p>
        </w:tc>
        <w:tc>
          <w:tcPr>
            <w:tcW w:w="946" w:type="pct"/>
            <w:tcBorders>
              <w:top w:val="single" w:sz="4" w:space="0" w:color="auto"/>
              <w:left w:val="single" w:sz="4" w:space="0" w:color="auto"/>
              <w:bottom w:val="single" w:sz="4" w:space="0" w:color="auto"/>
              <w:right w:val="single" w:sz="4" w:space="0" w:color="auto"/>
            </w:tcBorders>
            <w:hideMark/>
          </w:tcPr>
          <w:p w14:paraId="3ECD9BA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0.75</w:t>
            </w:r>
          </w:p>
        </w:tc>
        <w:tc>
          <w:tcPr>
            <w:tcW w:w="1348" w:type="pct"/>
            <w:tcBorders>
              <w:top w:val="single" w:sz="4" w:space="0" w:color="auto"/>
              <w:left w:val="single" w:sz="4" w:space="0" w:color="auto"/>
              <w:bottom w:val="single" w:sz="4" w:space="0" w:color="auto"/>
              <w:right w:val="single" w:sz="4" w:space="0" w:color="auto"/>
            </w:tcBorders>
            <w:hideMark/>
          </w:tcPr>
          <w:p w14:paraId="70DA4EA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4FABA6AB" w14:textId="77777777">
        <w:tc>
          <w:tcPr>
            <w:tcW w:w="919" w:type="pct"/>
            <w:tcBorders>
              <w:top w:val="single" w:sz="4" w:space="0" w:color="auto"/>
              <w:left w:val="single" w:sz="4" w:space="0" w:color="auto"/>
              <w:bottom w:val="single" w:sz="4" w:space="0" w:color="auto"/>
              <w:right w:val="single" w:sz="4" w:space="0" w:color="auto"/>
            </w:tcBorders>
            <w:hideMark/>
          </w:tcPr>
          <w:p w14:paraId="726CE11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560501E2"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مشاركة المعرفة</w:t>
            </w:r>
          </w:p>
        </w:tc>
        <w:tc>
          <w:tcPr>
            <w:tcW w:w="912" w:type="pct"/>
            <w:tcBorders>
              <w:top w:val="single" w:sz="4" w:space="0" w:color="auto"/>
              <w:left w:val="single" w:sz="4" w:space="0" w:color="auto"/>
              <w:bottom w:val="single" w:sz="4" w:space="0" w:color="auto"/>
              <w:right w:val="single" w:sz="4" w:space="0" w:color="auto"/>
            </w:tcBorders>
            <w:hideMark/>
          </w:tcPr>
          <w:p w14:paraId="19261EA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13</w:t>
            </w:r>
          </w:p>
        </w:tc>
        <w:tc>
          <w:tcPr>
            <w:tcW w:w="946" w:type="pct"/>
            <w:tcBorders>
              <w:top w:val="single" w:sz="4" w:space="0" w:color="auto"/>
              <w:left w:val="single" w:sz="4" w:space="0" w:color="auto"/>
              <w:bottom w:val="single" w:sz="4" w:space="0" w:color="auto"/>
              <w:right w:val="single" w:sz="4" w:space="0" w:color="auto"/>
            </w:tcBorders>
            <w:hideMark/>
          </w:tcPr>
          <w:p w14:paraId="6673E26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0.80</w:t>
            </w:r>
          </w:p>
        </w:tc>
        <w:tc>
          <w:tcPr>
            <w:tcW w:w="1348" w:type="pct"/>
            <w:tcBorders>
              <w:top w:val="single" w:sz="4" w:space="0" w:color="auto"/>
              <w:left w:val="single" w:sz="4" w:space="0" w:color="auto"/>
              <w:bottom w:val="single" w:sz="4" w:space="0" w:color="auto"/>
              <w:right w:val="single" w:sz="4" w:space="0" w:color="auto"/>
            </w:tcBorders>
            <w:hideMark/>
          </w:tcPr>
          <w:p w14:paraId="06C1B0E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0BE43BE6" w14:textId="77777777">
        <w:tc>
          <w:tcPr>
            <w:tcW w:w="919" w:type="pct"/>
            <w:tcBorders>
              <w:top w:val="single" w:sz="4" w:space="0" w:color="auto"/>
              <w:left w:val="single" w:sz="4" w:space="0" w:color="auto"/>
              <w:bottom w:val="single" w:sz="4" w:space="0" w:color="auto"/>
              <w:right w:val="single" w:sz="4" w:space="0" w:color="auto"/>
            </w:tcBorders>
            <w:hideMark/>
          </w:tcPr>
          <w:p w14:paraId="0725BC6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4DBA4DF4"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مشاركة المعرفة</w:t>
            </w:r>
          </w:p>
        </w:tc>
        <w:tc>
          <w:tcPr>
            <w:tcW w:w="912" w:type="pct"/>
            <w:tcBorders>
              <w:top w:val="single" w:sz="4" w:space="0" w:color="auto"/>
              <w:left w:val="single" w:sz="4" w:space="0" w:color="auto"/>
              <w:bottom w:val="single" w:sz="4" w:space="0" w:color="auto"/>
              <w:right w:val="single" w:sz="4" w:space="0" w:color="auto"/>
            </w:tcBorders>
            <w:hideMark/>
          </w:tcPr>
          <w:p w14:paraId="7F4D77D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14</w:t>
            </w:r>
          </w:p>
        </w:tc>
        <w:tc>
          <w:tcPr>
            <w:tcW w:w="946" w:type="pct"/>
            <w:tcBorders>
              <w:top w:val="single" w:sz="4" w:space="0" w:color="auto"/>
              <w:left w:val="single" w:sz="4" w:space="0" w:color="auto"/>
              <w:bottom w:val="single" w:sz="4" w:space="0" w:color="auto"/>
              <w:right w:val="single" w:sz="4" w:space="0" w:color="auto"/>
            </w:tcBorders>
            <w:hideMark/>
          </w:tcPr>
          <w:p w14:paraId="59FC142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0.69</w:t>
            </w:r>
          </w:p>
        </w:tc>
        <w:tc>
          <w:tcPr>
            <w:tcW w:w="1348" w:type="pct"/>
            <w:tcBorders>
              <w:top w:val="single" w:sz="4" w:space="0" w:color="auto"/>
              <w:left w:val="single" w:sz="4" w:space="0" w:color="auto"/>
              <w:bottom w:val="single" w:sz="4" w:space="0" w:color="auto"/>
              <w:right w:val="single" w:sz="4" w:space="0" w:color="auto"/>
            </w:tcBorders>
            <w:hideMark/>
          </w:tcPr>
          <w:p w14:paraId="369EF9D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3F2A9682" w14:textId="77777777">
        <w:tc>
          <w:tcPr>
            <w:tcW w:w="919" w:type="pct"/>
            <w:tcBorders>
              <w:top w:val="single" w:sz="4" w:space="0" w:color="auto"/>
              <w:left w:val="single" w:sz="4" w:space="0" w:color="auto"/>
              <w:bottom w:val="single" w:sz="4" w:space="0" w:color="auto"/>
              <w:right w:val="single" w:sz="4" w:space="0" w:color="auto"/>
            </w:tcBorders>
            <w:hideMark/>
          </w:tcPr>
          <w:p w14:paraId="4DDAAB4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58E918D5"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مشاركة المعرفة</w:t>
            </w:r>
          </w:p>
        </w:tc>
        <w:tc>
          <w:tcPr>
            <w:tcW w:w="912" w:type="pct"/>
            <w:tcBorders>
              <w:top w:val="single" w:sz="4" w:space="0" w:color="auto"/>
              <w:left w:val="single" w:sz="4" w:space="0" w:color="auto"/>
              <w:bottom w:val="single" w:sz="4" w:space="0" w:color="auto"/>
              <w:right w:val="single" w:sz="4" w:space="0" w:color="auto"/>
            </w:tcBorders>
            <w:hideMark/>
          </w:tcPr>
          <w:p w14:paraId="016A880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15</w:t>
            </w:r>
          </w:p>
        </w:tc>
        <w:tc>
          <w:tcPr>
            <w:tcW w:w="946" w:type="pct"/>
            <w:tcBorders>
              <w:top w:val="single" w:sz="4" w:space="0" w:color="auto"/>
              <w:left w:val="single" w:sz="4" w:space="0" w:color="auto"/>
              <w:bottom w:val="single" w:sz="4" w:space="0" w:color="auto"/>
              <w:right w:val="single" w:sz="4" w:space="0" w:color="auto"/>
            </w:tcBorders>
            <w:hideMark/>
          </w:tcPr>
          <w:p w14:paraId="6EF08C6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0.78</w:t>
            </w:r>
          </w:p>
        </w:tc>
        <w:tc>
          <w:tcPr>
            <w:tcW w:w="1348" w:type="pct"/>
            <w:tcBorders>
              <w:top w:val="single" w:sz="4" w:space="0" w:color="auto"/>
              <w:left w:val="single" w:sz="4" w:space="0" w:color="auto"/>
              <w:bottom w:val="single" w:sz="4" w:space="0" w:color="auto"/>
              <w:right w:val="single" w:sz="4" w:space="0" w:color="auto"/>
            </w:tcBorders>
            <w:hideMark/>
          </w:tcPr>
          <w:p w14:paraId="1D46C61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0E12156C" w14:textId="77777777">
        <w:tc>
          <w:tcPr>
            <w:tcW w:w="919" w:type="pct"/>
            <w:tcBorders>
              <w:top w:val="single" w:sz="4" w:space="0" w:color="auto"/>
              <w:left w:val="single" w:sz="4" w:space="0" w:color="auto"/>
              <w:bottom w:val="single" w:sz="4" w:space="0" w:color="auto"/>
              <w:right w:val="single" w:sz="4" w:space="0" w:color="auto"/>
            </w:tcBorders>
            <w:hideMark/>
          </w:tcPr>
          <w:p w14:paraId="5FDCC28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331EC16E"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مشاركة المعرفة</w:t>
            </w:r>
          </w:p>
        </w:tc>
        <w:tc>
          <w:tcPr>
            <w:tcW w:w="912" w:type="pct"/>
            <w:tcBorders>
              <w:top w:val="single" w:sz="4" w:space="0" w:color="auto"/>
              <w:left w:val="single" w:sz="4" w:space="0" w:color="auto"/>
              <w:bottom w:val="single" w:sz="4" w:space="0" w:color="auto"/>
              <w:right w:val="single" w:sz="4" w:space="0" w:color="auto"/>
            </w:tcBorders>
            <w:hideMark/>
          </w:tcPr>
          <w:p w14:paraId="3DEF686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16</w:t>
            </w:r>
          </w:p>
        </w:tc>
        <w:tc>
          <w:tcPr>
            <w:tcW w:w="946" w:type="pct"/>
            <w:tcBorders>
              <w:top w:val="single" w:sz="4" w:space="0" w:color="auto"/>
              <w:left w:val="single" w:sz="4" w:space="0" w:color="auto"/>
              <w:bottom w:val="single" w:sz="4" w:space="0" w:color="auto"/>
              <w:right w:val="single" w:sz="4" w:space="0" w:color="auto"/>
            </w:tcBorders>
            <w:hideMark/>
          </w:tcPr>
          <w:p w14:paraId="2484661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0.74</w:t>
            </w:r>
          </w:p>
        </w:tc>
        <w:tc>
          <w:tcPr>
            <w:tcW w:w="1348" w:type="pct"/>
            <w:tcBorders>
              <w:top w:val="single" w:sz="4" w:space="0" w:color="auto"/>
              <w:left w:val="single" w:sz="4" w:space="0" w:color="auto"/>
              <w:bottom w:val="single" w:sz="4" w:space="0" w:color="auto"/>
              <w:right w:val="single" w:sz="4" w:space="0" w:color="auto"/>
            </w:tcBorders>
            <w:hideMark/>
          </w:tcPr>
          <w:p w14:paraId="064E8A0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4D6CF490" w14:textId="77777777">
        <w:tc>
          <w:tcPr>
            <w:tcW w:w="919" w:type="pct"/>
            <w:tcBorders>
              <w:top w:val="single" w:sz="4" w:space="0" w:color="auto"/>
              <w:left w:val="single" w:sz="4" w:space="0" w:color="auto"/>
              <w:bottom w:val="single" w:sz="4" w:space="0" w:color="auto"/>
              <w:right w:val="single" w:sz="4" w:space="0" w:color="auto"/>
            </w:tcBorders>
            <w:hideMark/>
          </w:tcPr>
          <w:p w14:paraId="66CC92C5"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512774CB"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تطبيق المعرفة</w:t>
            </w:r>
          </w:p>
        </w:tc>
        <w:tc>
          <w:tcPr>
            <w:tcW w:w="912" w:type="pct"/>
            <w:tcBorders>
              <w:top w:val="single" w:sz="4" w:space="0" w:color="auto"/>
              <w:left w:val="single" w:sz="4" w:space="0" w:color="auto"/>
              <w:bottom w:val="single" w:sz="4" w:space="0" w:color="auto"/>
              <w:right w:val="single" w:sz="4" w:space="0" w:color="auto"/>
            </w:tcBorders>
            <w:hideMark/>
          </w:tcPr>
          <w:p w14:paraId="71B878C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17</w:t>
            </w:r>
          </w:p>
        </w:tc>
        <w:tc>
          <w:tcPr>
            <w:tcW w:w="946" w:type="pct"/>
            <w:tcBorders>
              <w:top w:val="single" w:sz="4" w:space="0" w:color="auto"/>
              <w:left w:val="single" w:sz="4" w:space="0" w:color="auto"/>
              <w:bottom w:val="single" w:sz="4" w:space="0" w:color="auto"/>
              <w:right w:val="single" w:sz="4" w:space="0" w:color="auto"/>
            </w:tcBorders>
            <w:hideMark/>
          </w:tcPr>
          <w:p w14:paraId="4CFEF6E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0.76</w:t>
            </w:r>
          </w:p>
        </w:tc>
        <w:tc>
          <w:tcPr>
            <w:tcW w:w="1348" w:type="pct"/>
            <w:tcBorders>
              <w:top w:val="single" w:sz="4" w:space="0" w:color="auto"/>
              <w:left w:val="single" w:sz="4" w:space="0" w:color="auto"/>
              <w:bottom w:val="single" w:sz="4" w:space="0" w:color="auto"/>
              <w:right w:val="single" w:sz="4" w:space="0" w:color="auto"/>
            </w:tcBorders>
            <w:hideMark/>
          </w:tcPr>
          <w:p w14:paraId="6C53298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0E27C45A" w14:textId="77777777">
        <w:tc>
          <w:tcPr>
            <w:tcW w:w="919" w:type="pct"/>
            <w:tcBorders>
              <w:top w:val="single" w:sz="4" w:space="0" w:color="auto"/>
              <w:left w:val="single" w:sz="4" w:space="0" w:color="auto"/>
              <w:bottom w:val="single" w:sz="4" w:space="0" w:color="auto"/>
              <w:right w:val="single" w:sz="4" w:space="0" w:color="auto"/>
            </w:tcBorders>
            <w:hideMark/>
          </w:tcPr>
          <w:p w14:paraId="67EF0DF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58F73B15"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تطبيق المعرفة</w:t>
            </w:r>
          </w:p>
        </w:tc>
        <w:tc>
          <w:tcPr>
            <w:tcW w:w="912" w:type="pct"/>
            <w:tcBorders>
              <w:top w:val="single" w:sz="4" w:space="0" w:color="auto"/>
              <w:left w:val="single" w:sz="4" w:space="0" w:color="auto"/>
              <w:bottom w:val="single" w:sz="4" w:space="0" w:color="auto"/>
              <w:right w:val="single" w:sz="4" w:space="0" w:color="auto"/>
            </w:tcBorders>
            <w:hideMark/>
          </w:tcPr>
          <w:p w14:paraId="1FA26E9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18</w:t>
            </w:r>
          </w:p>
        </w:tc>
        <w:tc>
          <w:tcPr>
            <w:tcW w:w="946" w:type="pct"/>
            <w:tcBorders>
              <w:top w:val="single" w:sz="4" w:space="0" w:color="auto"/>
              <w:left w:val="single" w:sz="4" w:space="0" w:color="auto"/>
              <w:bottom w:val="single" w:sz="4" w:space="0" w:color="auto"/>
              <w:right w:val="single" w:sz="4" w:space="0" w:color="auto"/>
            </w:tcBorders>
            <w:hideMark/>
          </w:tcPr>
          <w:p w14:paraId="357A830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0.83</w:t>
            </w:r>
          </w:p>
        </w:tc>
        <w:tc>
          <w:tcPr>
            <w:tcW w:w="1348" w:type="pct"/>
            <w:tcBorders>
              <w:top w:val="single" w:sz="4" w:space="0" w:color="auto"/>
              <w:left w:val="single" w:sz="4" w:space="0" w:color="auto"/>
              <w:bottom w:val="single" w:sz="4" w:space="0" w:color="auto"/>
              <w:right w:val="single" w:sz="4" w:space="0" w:color="auto"/>
            </w:tcBorders>
            <w:hideMark/>
          </w:tcPr>
          <w:p w14:paraId="3800B4E0"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2AE51E39" w14:textId="77777777">
        <w:tc>
          <w:tcPr>
            <w:tcW w:w="919" w:type="pct"/>
            <w:tcBorders>
              <w:top w:val="single" w:sz="4" w:space="0" w:color="auto"/>
              <w:left w:val="single" w:sz="4" w:space="0" w:color="auto"/>
              <w:bottom w:val="single" w:sz="4" w:space="0" w:color="auto"/>
              <w:right w:val="single" w:sz="4" w:space="0" w:color="auto"/>
            </w:tcBorders>
            <w:hideMark/>
          </w:tcPr>
          <w:p w14:paraId="26A4756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0E38DFEA"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تطبيق المعرفة</w:t>
            </w:r>
          </w:p>
        </w:tc>
        <w:tc>
          <w:tcPr>
            <w:tcW w:w="912" w:type="pct"/>
            <w:tcBorders>
              <w:top w:val="single" w:sz="4" w:space="0" w:color="auto"/>
              <w:left w:val="single" w:sz="4" w:space="0" w:color="auto"/>
              <w:bottom w:val="single" w:sz="4" w:space="0" w:color="auto"/>
              <w:right w:val="single" w:sz="4" w:space="0" w:color="auto"/>
            </w:tcBorders>
            <w:hideMark/>
          </w:tcPr>
          <w:p w14:paraId="36F2D24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19</w:t>
            </w:r>
          </w:p>
        </w:tc>
        <w:tc>
          <w:tcPr>
            <w:tcW w:w="946" w:type="pct"/>
            <w:tcBorders>
              <w:top w:val="single" w:sz="4" w:space="0" w:color="auto"/>
              <w:left w:val="single" w:sz="4" w:space="0" w:color="auto"/>
              <w:bottom w:val="single" w:sz="4" w:space="0" w:color="auto"/>
              <w:right w:val="single" w:sz="4" w:space="0" w:color="auto"/>
            </w:tcBorders>
            <w:hideMark/>
          </w:tcPr>
          <w:p w14:paraId="1C799F1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0.72</w:t>
            </w:r>
          </w:p>
        </w:tc>
        <w:tc>
          <w:tcPr>
            <w:tcW w:w="1348" w:type="pct"/>
            <w:tcBorders>
              <w:top w:val="single" w:sz="4" w:space="0" w:color="auto"/>
              <w:left w:val="single" w:sz="4" w:space="0" w:color="auto"/>
              <w:bottom w:val="single" w:sz="4" w:space="0" w:color="auto"/>
              <w:right w:val="single" w:sz="4" w:space="0" w:color="auto"/>
            </w:tcBorders>
            <w:hideMark/>
          </w:tcPr>
          <w:p w14:paraId="00D9497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50AC7882" w14:textId="77777777">
        <w:tc>
          <w:tcPr>
            <w:tcW w:w="919" w:type="pct"/>
            <w:tcBorders>
              <w:top w:val="single" w:sz="4" w:space="0" w:color="auto"/>
              <w:left w:val="single" w:sz="4" w:space="0" w:color="auto"/>
              <w:bottom w:val="single" w:sz="4" w:space="0" w:color="auto"/>
              <w:right w:val="single" w:sz="4" w:space="0" w:color="auto"/>
            </w:tcBorders>
            <w:hideMark/>
          </w:tcPr>
          <w:p w14:paraId="32C5341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526B60D4"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تطبيق المعرفة</w:t>
            </w:r>
          </w:p>
        </w:tc>
        <w:tc>
          <w:tcPr>
            <w:tcW w:w="912" w:type="pct"/>
            <w:tcBorders>
              <w:top w:val="single" w:sz="4" w:space="0" w:color="auto"/>
              <w:left w:val="single" w:sz="4" w:space="0" w:color="auto"/>
              <w:bottom w:val="single" w:sz="4" w:space="0" w:color="auto"/>
              <w:right w:val="single" w:sz="4" w:space="0" w:color="auto"/>
            </w:tcBorders>
            <w:hideMark/>
          </w:tcPr>
          <w:p w14:paraId="7C6E95B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20</w:t>
            </w:r>
          </w:p>
        </w:tc>
        <w:tc>
          <w:tcPr>
            <w:tcW w:w="946" w:type="pct"/>
            <w:tcBorders>
              <w:top w:val="single" w:sz="4" w:space="0" w:color="auto"/>
              <w:left w:val="single" w:sz="4" w:space="0" w:color="auto"/>
              <w:bottom w:val="single" w:sz="4" w:space="0" w:color="auto"/>
              <w:right w:val="single" w:sz="4" w:space="0" w:color="auto"/>
            </w:tcBorders>
            <w:hideMark/>
          </w:tcPr>
          <w:p w14:paraId="397391C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0.79</w:t>
            </w:r>
          </w:p>
        </w:tc>
        <w:tc>
          <w:tcPr>
            <w:tcW w:w="1348" w:type="pct"/>
            <w:tcBorders>
              <w:top w:val="single" w:sz="4" w:space="0" w:color="auto"/>
              <w:left w:val="single" w:sz="4" w:space="0" w:color="auto"/>
              <w:bottom w:val="single" w:sz="4" w:space="0" w:color="auto"/>
              <w:right w:val="single" w:sz="4" w:space="0" w:color="auto"/>
            </w:tcBorders>
            <w:hideMark/>
          </w:tcPr>
          <w:p w14:paraId="21ABA38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016E077D" w14:textId="77777777">
        <w:tc>
          <w:tcPr>
            <w:tcW w:w="919" w:type="pct"/>
            <w:tcBorders>
              <w:top w:val="single" w:sz="4" w:space="0" w:color="auto"/>
              <w:left w:val="single" w:sz="4" w:space="0" w:color="auto"/>
              <w:bottom w:val="single" w:sz="4" w:space="0" w:color="auto"/>
              <w:right w:val="single" w:sz="4" w:space="0" w:color="auto"/>
            </w:tcBorders>
            <w:hideMark/>
          </w:tcPr>
          <w:p w14:paraId="0397FB9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789C1DC1"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تطبيق المعرفة</w:t>
            </w:r>
          </w:p>
        </w:tc>
        <w:tc>
          <w:tcPr>
            <w:tcW w:w="912" w:type="pct"/>
            <w:tcBorders>
              <w:top w:val="single" w:sz="4" w:space="0" w:color="auto"/>
              <w:left w:val="single" w:sz="4" w:space="0" w:color="auto"/>
              <w:bottom w:val="single" w:sz="4" w:space="0" w:color="auto"/>
              <w:right w:val="single" w:sz="4" w:space="0" w:color="auto"/>
            </w:tcBorders>
            <w:hideMark/>
          </w:tcPr>
          <w:p w14:paraId="182E7B0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21</w:t>
            </w:r>
          </w:p>
        </w:tc>
        <w:tc>
          <w:tcPr>
            <w:tcW w:w="946" w:type="pct"/>
            <w:tcBorders>
              <w:top w:val="single" w:sz="4" w:space="0" w:color="auto"/>
              <w:left w:val="single" w:sz="4" w:space="0" w:color="auto"/>
              <w:bottom w:val="single" w:sz="4" w:space="0" w:color="auto"/>
              <w:right w:val="single" w:sz="4" w:space="0" w:color="auto"/>
            </w:tcBorders>
            <w:hideMark/>
          </w:tcPr>
          <w:p w14:paraId="4A31EC5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0.75</w:t>
            </w:r>
          </w:p>
        </w:tc>
        <w:tc>
          <w:tcPr>
            <w:tcW w:w="1348" w:type="pct"/>
            <w:tcBorders>
              <w:top w:val="single" w:sz="4" w:space="0" w:color="auto"/>
              <w:left w:val="single" w:sz="4" w:space="0" w:color="auto"/>
              <w:bottom w:val="single" w:sz="4" w:space="0" w:color="auto"/>
              <w:right w:val="single" w:sz="4" w:space="0" w:color="auto"/>
            </w:tcBorders>
            <w:hideMark/>
          </w:tcPr>
          <w:p w14:paraId="7844C60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249CD14A" w14:textId="77777777">
        <w:tc>
          <w:tcPr>
            <w:tcW w:w="919" w:type="pct"/>
            <w:tcBorders>
              <w:top w:val="single" w:sz="4" w:space="0" w:color="auto"/>
              <w:left w:val="single" w:sz="4" w:space="0" w:color="auto"/>
              <w:bottom w:val="single" w:sz="4" w:space="0" w:color="auto"/>
              <w:right w:val="single" w:sz="4" w:space="0" w:color="auto"/>
            </w:tcBorders>
            <w:hideMark/>
          </w:tcPr>
          <w:p w14:paraId="7521ED25"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3193A120"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تطبيق المعرفة</w:t>
            </w:r>
          </w:p>
        </w:tc>
        <w:tc>
          <w:tcPr>
            <w:tcW w:w="912" w:type="pct"/>
            <w:tcBorders>
              <w:top w:val="single" w:sz="4" w:space="0" w:color="auto"/>
              <w:left w:val="single" w:sz="4" w:space="0" w:color="auto"/>
              <w:bottom w:val="single" w:sz="4" w:space="0" w:color="auto"/>
              <w:right w:val="single" w:sz="4" w:space="0" w:color="auto"/>
            </w:tcBorders>
            <w:hideMark/>
          </w:tcPr>
          <w:p w14:paraId="0799113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22</w:t>
            </w:r>
          </w:p>
        </w:tc>
        <w:tc>
          <w:tcPr>
            <w:tcW w:w="946" w:type="pct"/>
            <w:tcBorders>
              <w:top w:val="single" w:sz="4" w:space="0" w:color="auto"/>
              <w:left w:val="single" w:sz="4" w:space="0" w:color="auto"/>
              <w:bottom w:val="single" w:sz="4" w:space="0" w:color="auto"/>
              <w:right w:val="single" w:sz="4" w:space="0" w:color="auto"/>
            </w:tcBorders>
            <w:hideMark/>
          </w:tcPr>
          <w:p w14:paraId="1636DEA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0.81</w:t>
            </w:r>
          </w:p>
        </w:tc>
        <w:tc>
          <w:tcPr>
            <w:tcW w:w="1348" w:type="pct"/>
            <w:tcBorders>
              <w:top w:val="single" w:sz="4" w:space="0" w:color="auto"/>
              <w:left w:val="single" w:sz="4" w:space="0" w:color="auto"/>
              <w:bottom w:val="single" w:sz="4" w:space="0" w:color="auto"/>
              <w:right w:val="single" w:sz="4" w:space="0" w:color="auto"/>
            </w:tcBorders>
            <w:hideMark/>
          </w:tcPr>
          <w:p w14:paraId="5208547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5A876532" w14:textId="77777777">
        <w:tc>
          <w:tcPr>
            <w:tcW w:w="919" w:type="pct"/>
            <w:tcBorders>
              <w:top w:val="single" w:sz="4" w:space="0" w:color="auto"/>
              <w:left w:val="single" w:sz="4" w:space="0" w:color="auto"/>
              <w:bottom w:val="single" w:sz="4" w:space="0" w:color="auto"/>
              <w:right w:val="single" w:sz="4" w:space="0" w:color="auto"/>
            </w:tcBorders>
            <w:hideMark/>
          </w:tcPr>
          <w:p w14:paraId="2F15D3F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737224B0"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تطبيق المعرفة</w:t>
            </w:r>
          </w:p>
        </w:tc>
        <w:tc>
          <w:tcPr>
            <w:tcW w:w="912" w:type="pct"/>
            <w:tcBorders>
              <w:top w:val="single" w:sz="4" w:space="0" w:color="auto"/>
              <w:left w:val="single" w:sz="4" w:space="0" w:color="auto"/>
              <w:bottom w:val="single" w:sz="4" w:space="0" w:color="auto"/>
              <w:right w:val="single" w:sz="4" w:space="0" w:color="auto"/>
            </w:tcBorders>
            <w:hideMark/>
          </w:tcPr>
          <w:p w14:paraId="7CF6725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23</w:t>
            </w:r>
          </w:p>
        </w:tc>
        <w:tc>
          <w:tcPr>
            <w:tcW w:w="946" w:type="pct"/>
            <w:tcBorders>
              <w:top w:val="single" w:sz="4" w:space="0" w:color="auto"/>
              <w:left w:val="single" w:sz="4" w:space="0" w:color="auto"/>
              <w:bottom w:val="single" w:sz="4" w:space="0" w:color="auto"/>
              <w:right w:val="single" w:sz="4" w:space="0" w:color="auto"/>
            </w:tcBorders>
            <w:hideMark/>
          </w:tcPr>
          <w:p w14:paraId="158D5DE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0.70</w:t>
            </w:r>
          </w:p>
        </w:tc>
        <w:tc>
          <w:tcPr>
            <w:tcW w:w="1348" w:type="pct"/>
            <w:tcBorders>
              <w:top w:val="single" w:sz="4" w:space="0" w:color="auto"/>
              <w:left w:val="single" w:sz="4" w:space="0" w:color="auto"/>
              <w:bottom w:val="single" w:sz="4" w:space="0" w:color="auto"/>
              <w:right w:val="single" w:sz="4" w:space="0" w:color="auto"/>
            </w:tcBorders>
            <w:hideMark/>
          </w:tcPr>
          <w:p w14:paraId="6B5943B5"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3B945761" w14:textId="77777777">
        <w:tc>
          <w:tcPr>
            <w:tcW w:w="919" w:type="pct"/>
            <w:tcBorders>
              <w:top w:val="single" w:sz="4" w:space="0" w:color="auto"/>
              <w:left w:val="single" w:sz="4" w:space="0" w:color="auto"/>
              <w:bottom w:val="single" w:sz="4" w:space="0" w:color="auto"/>
              <w:right w:val="single" w:sz="4" w:space="0" w:color="auto"/>
            </w:tcBorders>
            <w:hideMark/>
          </w:tcPr>
          <w:p w14:paraId="1742257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إدارة المعرفة</w:t>
            </w:r>
          </w:p>
        </w:tc>
        <w:tc>
          <w:tcPr>
            <w:tcW w:w="875" w:type="pct"/>
            <w:tcBorders>
              <w:top w:val="single" w:sz="4" w:space="0" w:color="auto"/>
              <w:left w:val="single" w:sz="4" w:space="0" w:color="auto"/>
              <w:bottom w:val="single" w:sz="4" w:space="0" w:color="auto"/>
              <w:right w:val="single" w:sz="4" w:space="0" w:color="auto"/>
            </w:tcBorders>
            <w:hideMark/>
          </w:tcPr>
          <w:p w14:paraId="5FA48BE4"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تطبيق المعرفة</w:t>
            </w:r>
          </w:p>
        </w:tc>
        <w:tc>
          <w:tcPr>
            <w:tcW w:w="912" w:type="pct"/>
            <w:tcBorders>
              <w:top w:val="single" w:sz="4" w:space="0" w:color="auto"/>
              <w:left w:val="single" w:sz="4" w:space="0" w:color="auto"/>
              <w:bottom w:val="single" w:sz="4" w:space="0" w:color="auto"/>
              <w:right w:val="single" w:sz="4" w:space="0" w:color="auto"/>
            </w:tcBorders>
            <w:hideMark/>
          </w:tcPr>
          <w:p w14:paraId="46978A1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24</w:t>
            </w:r>
          </w:p>
        </w:tc>
        <w:tc>
          <w:tcPr>
            <w:tcW w:w="946" w:type="pct"/>
            <w:tcBorders>
              <w:top w:val="single" w:sz="4" w:space="0" w:color="auto"/>
              <w:left w:val="single" w:sz="4" w:space="0" w:color="auto"/>
              <w:bottom w:val="single" w:sz="4" w:space="0" w:color="auto"/>
              <w:right w:val="single" w:sz="4" w:space="0" w:color="auto"/>
            </w:tcBorders>
            <w:hideMark/>
          </w:tcPr>
          <w:p w14:paraId="3E9A3DA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0.77</w:t>
            </w:r>
          </w:p>
        </w:tc>
        <w:tc>
          <w:tcPr>
            <w:tcW w:w="1348" w:type="pct"/>
            <w:tcBorders>
              <w:top w:val="single" w:sz="4" w:space="0" w:color="auto"/>
              <w:left w:val="single" w:sz="4" w:space="0" w:color="auto"/>
              <w:bottom w:val="single" w:sz="4" w:space="0" w:color="auto"/>
              <w:right w:val="single" w:sz="4" w:space="0" w:color="auto"/>
            </w:tcBorders>
            <w:hideMark/>
          </w:tcPr>
          <w:p w14:paraId="3E3CBFB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23B6D80F" w14:textId="77777777">
        <w:tc>
          <w:tcPr>
            <w:tcW w:w="919" w:type="pct"/>
            <w:tcBorders>
              <w:top w:val="single" w:sz="4" w:space="0" w:color="auto"/>
              <w:left w:val="single" w:sz="4" w:space="0" w:color="auto"/>
              <w:bottom w:val="single" w:sz="4" w:space="0" w:color="auto"/>
              <w:right w:val="single" w:sz="4" w:space="0" w:color="auto"/>
            </w:tcBorders>
            <w:hideMark/>
          </w:tcPr>
          <w:p w14:paraId="44E8F40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37E6E845"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3069613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25</w:t>
            </w:r>
          </w:p>
        </w:tc>
        <w:tc>
          <w:tcPr>
            <w:tcW w:w="946" w:type="pct"/>
            <w:tcBorders>
              <w:top w:val="single" w:sz="4" w:space="0" w:color="auto"/>
              <w:left w:val="single" w:sz="4" w:space="0" w:color="auto"/>
              <w:bottom w:val="single" w:sz="4" w:space="0" w:color="auto"/>
              <w:right w:val="single" w:sz="4" w:space="0" w:color="auto"/>
            </w:tcBorders>
            <w:hideMark/>
          </w:tcPr>
          <w:p w14:paraId="55C3D6D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0.74</w:t>
            </w:r>
          </w:p>
        </w:tc>
        <w:tc>
          <w:tcPr>
            <w:tcW w:w="1348" w:type="pct"/>
            <w:tcBorders>
              <w:top w:val="single" w:sz="4" w:space="0" w:color="auto"/>
              <w:left w:val="single" w:sz="4" w:space="0" w:color="auto"/>
              <w:bottom w:val="single" w:sz="4" w:space="0" w:color="auto"/>
              <w:right w:val="single" w:sz="4" w:space="0" w:color="auto"/>
            </w:tcBorders>
            <w:hideMark/>
          </w:tcPr>
          <w:p w14:paraId="55150D9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360FB7BA" w14:textId="77777777">
        <w:tc>
          <w:tcPr>
            <w:tcW w:w="919" w:type="pct"/>
            <w:tcBorders>
              <w:top w:val="single" w:sz="4" w:space="0" w:color="auto"/>
              <w:left w:val="single" w:sz="4" w:space="0" w:color="auto"/>
              <w:bottom w:val="single" w:sz="4" w:space="0" w:color="auto"/>
              <w:right w:val="single" w:sz="4" w:space="0" w:color="auto"/>
            </w:tcBorders>
            <w:hideMark/>
          </w:tcPr>
          <w:p w14:paraId="388B838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5B40AD59"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5B47261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26</w:t>
            </w:r>
          </w:p>
        </w:tc>
        <w:tc>
          <w:tcPr>
            <w:tcW w:w="946" w:type="pct"/>
            <w:tcBorders>
              <w:top w:val="single" w:sz="4" w:space="0" w:color="auto"/>
              <w:left w:val="single" w:sz="4" w:space="0" w:color="auto"/>
              <w:bottom w:val="single" w:sz="4" w:space="0" w:color="auto"/>
              <w:right w:val="single" w:sz="4" w:space="0" w:color="auto"/>
            </w:tcBorders>
            <w:hideMark/>
          </w:tcPr>
          <w:p w14:paraId="538D3CB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0.80</w:t>
            </w:r>
          </w:p>
        </w:tc>
        <w:tc>
          <w:tcPr>
            <w:tcW w:w="1348" w:type="pct"/>
            <w:tcBorders>
              <w:top w:val="single" w:sz="4" w:space="0" w:color="auto"/>
              <w:left w:val="single" w:sz="4" w:space="0" w:color="auto"/>
              <w:bottom w:val="single" w:sz="4" w:space="0" w:color="auto"/>
              <w:right w:val="single" w:sz="4" w:space="0" w:color="auto"/>
            </w:tcBorders>
            <w:hideMark/>
          </w:tcPr>
          <w:p w14:paraId="6C5FE63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215AC47C" w14:textId="77777777">
        <w:tc>
          <w:tcPr>
            <w:tcW w:w="919" w:type="pct"/>
            <w:tcBorders>
              <w:top w:val="single" w:sz="4" w:space="0" w:color="auto"/>
              <w:left w:val="single" w:sz="4" w:space="0" w:color="auto"/>
              <w:bottom w:val="single" w:sz="4" w:space="0" w:color="auto"/>
              <w:right w:val="single" w:sz="4" w:space="0" w:color="auto"/>
            </w:tcBorders>
            <w:hideMark/>
          </w:tcPr>
          <w:p w14:paraId="14083C3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1AFA645E"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12E93CF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27</w:t>
            </w:r>
          </w:p>
        </w:tc>
        <w:tc>
          <w:tcPr>
            <w:tcW w:w="946" w:type="pct"/>
            <w:tcBorders>
              <w:top w:val="single" w:sz="4" w:space="0" w:color="auto"/>
              <w:left w:val="single" w:sz="4" w:space="0" w:color="auto"/>
              <w:bottom w:val="single" w:sz="4" w:space="0" w:color="auto"/>
              <w:right w:val="single" w:sz="4" w:space="0" w:color="auto"/>
            </w:tcBorders>
            <w:hideMark/>
          </w:tcPr>
          <w:p w14:paraId="18D3DEB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0.76</w:t>
            </w:r>
          </w:p>
        </w:tc>
        <w:tc>
          <w:tcPr>
            <w:tcW w:w="1348" w:type="pct"/>
            <w:tcBorders>
              <w:top w:val="single" w:sz="4" w:space="0" w:color="auto"/>
              <w:left w:val="single" w:sz="4" w:space="0" w:color="auto"/>
              <w:bottom w:val="single" w:sz="4" w:space="0" w:color="auto"/>
              <w:right w:val="single" w:sz="4" w:space="0" w:color="auto"/>
            </w:tcBorders>
            <w:hideMark/>
          </w:tcPr>
          <w:p w14:paraId="1314D5C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7E4CAA85" w14:textId="77777777">
        <w:tc>
          <w:tcPr>
            <w:tcW w:w="919" w:type="pct"/>
            <w:tcBorders>
              <w:top w:val="single" w:sz="4" w:space="0" w:color="auto"/>
              <w:left w:val="single" w:sz="4" w:space="0" w:color="auto"/>
              <w:bottom w:val="single" w:sz="4" w:space="0" w:color="auto"/>
              <w:right w:val="single" w:sz="4" w:space="0" w:color="auto"/>
            </w:tcBorders>
            <w:hideMark/>
          </w:tcPr>
          <w:p w14:paraId="32308690"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lastRenderedPageBreak/>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0AA72107"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48AAAD6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28</w:t>
            </w:r>
          </w:p>
        </w:tc>
        <w:tc>
          <w:tcPr>
            <w:tcW w:w="946" w:type="pct"/>
            <w:tcBorders>
              <w:top w:val="single" w:sz="4" w:space="0" w:color="auto"/>
              <w:left w:val="single" w:sz="4" w:space="0" w:color="auto"/>
              <w:bottom w:val="single" w:sz="4" w:space="0" w:color="auto"/>
              <w:right w:val="single" w:sz="4" w:space="0" w:color="auto"/>
            </w:tcBorders>
            <w:hideMark/>
          </w:tcPr>
          <w:p w14:paraId="56CC556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0.71</w:t>
            </w:r>
          </w:p>
        </w:tc>
        <w:tc>
          <w:tcPr>
            <w:tcW w:w="1348" w:type="pct"/>
            <w:tcBorders>
              <w:top w:val="single" w:sz="4" w:space="0" w:color="auto"/>
              <w:left w:val="single" w:sz="4" w:space="0" w:color="auto"/>
              <w:bottom w:val="single" w:sz="4" w:space="0" w:color="auto"/>
              <w:right w:val="single" w:sz="4" w:space="0" w:color="auto"/>
            </w:tcBorders>
            <w:hideMark/>
          </w:tcPr>
          <w:p w14:paraId="77F49D8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4A462062" w14:textId="77777777">
        <w:tc>
          <w:tcPr>
            <w:tcW w:w="919" w:type="pct"/>
            <w:tcBorders>
              <w:top w:val="single" w:sz="4" w:space="0" w:color="auto"/>
              <w:left w:val="single" w:sz="4" w:space="0" w:color="auto"/>
              <w:bottom w:val="single" w:sz="4" w:space="0" w:color="auto"/>
              <w:right w:val="single" w:sz="4" w:space="0" w:color="auto"/>
            </w:tcBorders>
            <w:hideMark/>
          </w:tcPr>
          <w:p w14:paraId="5E36A60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718C422B"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2CD34D7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29</w:t>
            </w:r>
          </w:p>
        </w:tc>
        <w:tc>
          <w:tcPr>
            <w:tcW w:w="946" w:type="pct"/>
            <w:tcBorders>
              <w:top w:val="single" w:sz="4" w:space="0" w:color="auto"/>
              <w:left w:val="single" w:sz="4" w:space="0" w:color="auto"/>
              <w:bottom w:val="single" w:sz="4" w:space="0" w:color="auto"/>
              <w:right w:val="single" w:sz="4" w:space="0" w:color="auto"/>
            </w:tcBorders>
            <w:hideMark/>
          </w:tcPr>
          <w:p w14:paraId="415023D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0.78</w:t>
            </w:r>
          </w:p>
        </w:tc>
        <w:tc>
          <w:tcPr>
            <w:tcW w:w="1348" w:type="pct"/>
            <w:tcBorders>
              <w:top w:val="single" w:sz="4" w:space="0" w:color="auto"/>
              <w:left w:val="single" w:sz="4" w:space="0" w:color="auto"/>
              <w:bottom w:val="single" w:sz="4" w:space="0" w:color="auto"/>
              <w:right w:val="single" w:sz="4" w:space="0" w:color="auto"/>
            </w:tcBorders>
            <w:hideMark/>
          </w:tcPr>
          <w:p w14:paraId="3A7C369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1023C922" w14:textId="77777777">
        <w:tc>
          <w:tcPr>
            <w:tcW w:w="919" w:type="pct"/>
            <w:tcBorders>
              <w:top w:val="single" w:sz="4" w:space="0" w:color="auto"/>
              <w:left w:val="single" w:sz="4" w:space="0" w:color="auto"/>
              <w:bottom w:val="single" w:sz="4" w:space="0" w:color="auto"/>
              <w:right w:val="single" w:sz="4" w:space="0" w:color="auto"/>
            </w:tcBorders>
            <w:hideMark/>
          </w:tcPr>
          <w:p w14:paraId="7F5522E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002990FA"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55AB872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30</w:t>
            </w:r>
          </w:p>
        </w:tc>
        <w:tc>
          <w:tcPr>
            <w:tcW w:w="946" w:type="pct"/>
            <w:tcBorders>
              <w:top w:val="single" w:sz="4" w:space="0" w:color="auto"/>
              <w:left w:val="single" w:sz="4" w:space="0" w:color="auto"/>
              <w:bottom w:val="single" w:sz="4" w:space="0" w:color="auto"/>
              <w:right w:val="single" w:sz="4" w:space="0" w:color="auto"/>
            </w:tcBorders>
            <w:hideMark/>
          </w:tcPr>
          <w:p w14:paraId="306DF10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0.82</w:t>
            </w:r>
          </w:p>
        </w:tc>
        <w:tc>
          <w:tcPr>
            <w:tcW w:w="1348" w:type="pct"/>
            <w:tcBorders>
              <w:top w:val="single" w:sz="4" w:space="0" w:color="auto"/>
              <w:left w:val="single" w:sz="4" w:space="0" w:color="auto"/>
              <w:bottom w:val="single" w:sz="4" w:space="0" w:color="auto"/>
              <w:right w:val="single" w:sz="4" w:space="0" w:color="auto"/>
            </w:tcBorders>
            <w:hideMark/>
          </w:tcPr>
          <w:p w14:paraId="04C4E22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1D293ECB" w14:textId="77777777">
        <w:tc>
          <w:tcPr>
            <w:tcW w:w="919" w:type="pct"/>
            <w:tcBorders>
              <w:top w:val="single" w:sz="4" w:space="0" w:color="auto"/>
              <w:left w:val="single" w:sz="4" w:space="0" w:color="auto"/>
              <w:bottom w:val="single" w:sz="4" w:space="0" w:color="auto"/>
              <w:right w:val="single" w:sz="4" w:space="0" w:color="auto"/>
            </w:tcBorders>
            <w:hideMark/>
          </w:tcPr>
          <w:p w14:paraId="47E7D93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24851834"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20FE5B15"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31</w:t>
            </w:r>
          </w:p>
        </w:tc>
        <w:tc>
          <w:tcPr>
            <w:tcW w:w="946" w:type="pct"/>
            <w:tcBorders>
              <w:top w:val="single" w:sz="4" w:space="0" w:color="auto"/>
              <w:left w:val="single" w:sz="4" w:space="0" w:color="auto"/>
              <w:bottom w:val="single" w:sz="4" w:space="0" w:color="auto"/>
              <w:right w:val="single" w:sz="4" w:space="0" w:color="auto"/>
            </w:tcBorders>
            <w:hideMark/>
          </w:tcPr>
          <w:p w14:paraId="58F9067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0.75</w:t>
            </w:r>
          </w:p>
        </w:tc>
        <w:tc>
          <w:tcPr>
            <w:tcW w:w="1348" w:type="pct"/>
            <w:tcBorders>
              <w:top w:val="single" w:sz="4" w:space="0" w:color="auto"/>
              <w:left w:val="single" w:sz="4" w:space="0" w:color="auto"/>
              <w:bottom w:val="single" w:sz="4" w:space="0" w:color="auto"/>
              <w:right w:val="single" w:sz="4" w:space="0" w:color="auto"/>
            </w:tcBorders>
            <w:hideMark/>
          </w:tcPr>
          <w:p w14:paraId="6479511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560C7B6A" w14:textId="77777777">
        <w:tc>
          <w:tcPr>
            <w:tcW w:w="919" w:type="pct"/>
            <w:tcBorders>
              <w:top w:val="single" w:sz="4" w:space="0" w:color="auto"/>
              <w:left w:val="single" w:sz="4" w:space="0" w:color="auto"/>
              <w:bottom w:val="single" w:sz="4" w:space="0" w:color="auto"/>
              <w:right w:val="single" w:sz="4" w:space="0" w:color="auto"/>
            </w:tcBorders>
            <w:hideMark/>
          </w:tcPr>
          <w:p w14:paraId="525ABE3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7E41622E"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2D60831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32</w:t>
            </w:r>
          </w:p>
        </w:tc>
        <w:tc>
          <w:tcPr>
            <w:tcW w:w="946" w:type="pct"/>
            <w:tcBorders>
              <w:top w:val="single" w:sz="4" w:space="0" w:color="auto"/>
              <w:left w:val="single" w:sz="4" w:space="0" w:color="auto"/>
              <w:bottom w:val="single" w:sz="4" w:space="0" w:color="auto"/>
              <w:right w:val="single" w:sz="4" w:space="0" w:color="auto"/>
            </w:tcBorders>
            <w:hideMark/>
          </w:tcPr>
          <w:p w14:paraId="6A92A18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0.79</w:t>
            </w:r>
          </w:p>
        </w:tc>
        <w:tc>
          <w:tcPr>
            <w:tcW w:w="1348" w:type="pct"/>
            <w:tcBorders>
              <w:top w:val="single" w:sz="4" w:space="0" w:color="auto"/>
              <w:left w:val="single" w:sz="4" w:space="0" w:color="auto"/>
              <w:bottom w:val="single" w:sz="4" w:space="0" w:color="auto"/>
              <w:right w:val="single" w:sz="4" w:space="0" w:color="auto"/>
            </w:tcBorders>
            <w:hideMark/>
          </w:tcPr>
          <w:p w14:paraId="164AFE5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4F96DD5B" w14:textId="77777777">
        <w:tc>
          <w:tcPr>
            <w:tcW w:w="919" w:type="pct"/>
            <w:tcBorders>
              <w:top w:val="single" w:sz="4" w:space="0" w:color="auto"/>
              <w:left w:val="single" w:sz="4" w:space="0" w:color="auto"/>
              <w:bottom w:val="single" w:sz="4" w:space="0" w:color="auto"/>
              <w:right w:val="single" w:sz="4" w:space="0" w:color="auto"/>
            </w:tcBorders>
            <w:hideMark/>
          </w:tcPr>
          <w:p w14:paraId="37E77E9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46F0C5C4"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1DDFD8A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33</w:t>
            </w:r>
          </w:p>
        </w:tc>
        <w:tc>
          <w:tcPr>
            <w:tcW w:w="946" w:type="pct"/>
            <w:tcBorders>
              <w:top w:val="single" w:sz="4" w:space="0" w:color="auto"/>
              <w:left w:val="single" w:sz="4" w:space="0" w:color="auto"/>
              <w:bottom w:val="single" w:sz="4" w:space="0" w:color="auto"/>
              <w:right w:val="single" w:sz="4" w:space="0" w:color="auto"/>
            </w:tcBorders>
            <w:hideMark/>
          </w:tcPr>
          <w:p w14:paraId="2F87607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0.73</w:t>
            </w:r>
          </w:p>
        </w:tc>
        <w:tc>
          <w:tcPr>
            <w:tcW w:w="1348" w:type="pct"/>
            <w:tcBorders>
              <w:top w:val="single" w:sz="4" w:space="0" w:color="auto"/>
              <w:left w:val="single" w:sz="4" w:space="0" w:color="auto"/>
              <w:bottom w:val="single" w:sz="4" w:space="0" w:color="auto"/>
              <w:right w:val="single" w:sz="4" w:space="0" w:color="auto"/>
            </w:tcBorders>
            <w:hideMark/>
          </w:tcPr>
          <w:p w14:paraId="778BF730"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66E687A8" w14:textId="77777777">
        <w:tc>
          <w:tcPr>
            <w:tcW w:w="919" w:type="pct"/>
            <w:tcBorders>
              <w:top w:val="single" w:sz="4" w:space="0" w:color="auto"/>
              <w:left w:val="single" w:sz="4" w:space="0" w:color="auto"/>
              <w:bottom w:val="single" w:sz="4" w:space="0" w:color="auto"/>
              <w:right w:val="single" w:sz="4" w:space="0" w:color="auto"/>
            </w:tcBorders>
            <w:hideMark/>
          </w:tcPr>
          <w:p w14:paraId="69B6BBB5"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224BEBD1"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55A27B5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34</w:t>
            </w:r>
          </w:p>
        </w:tc>
        <w:tc>
          <w:tcPr>
            <w:tcW w:w="946" w:type="pct"/>
            <w:tcBorders>
              <w:top w:val="single" w:sz="4" w:space="0" w:color="auto"/>
              <w:left w:val="single" w:sz="4" w:space="0" w:color="auto"/>
              <w:bottom w:val="single" w:sz="4" w:space="0" w:color="auto"/>
              <w:right w:val="single" w:sz="4" w:space="0" w:color="auto"/>
            </w:tcBorders>
            <w:hideMark/>
          </w:tcPr>
          <w:p w14:paraId="55622D8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0.77</w:t>
            </w:r>
          </w:p>
        </w:tc>
        <w:tc>
          <w:tcPr>
            <w:tcW w:w="1348" w:type="pct"/>
            <w:tcBorders>
              <w:top w:val="single" w:sz="4" w:space="0" w:color="auto"/>
              <w:left w:val="single" w:sz="4" w:space="0" w:color="auto"/>
              <w:bottom w:val="single" w:sz="4" w:space="0" w:color="auto"/>
              <w:right w:val="single" w:sz="4" w:space="0" w:color="auto"/>
            </w:tcBorders>
            <w:hideMark/>
          </w:tcPr>
          <w:p w14:paraId="3278FF4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536DEC72" w14:textId="77777777">
        <w:tc>
          <w:tcPr>
            <w:tcW w:w="919" w:type="pct"/>
            <w:tcBorders>
              <w:top w:val="single" w:sz="4" w:space="0" w:color="auto"/>
              <w:left w:val="single" w:sz="4" w:space="0" w:color="auto"/>
              <w:bottom w:val="single" w:sz="4" w:space="0" w:color="auto"/>
              <w:right w:val="single" w:sz="4" w:space="0" w:color="auto"/>
            </w:tcBorders>
            <w:hideMark/>
          </w:tcPr>
          <w:p w14:paraId="34EF26B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55AC85BB"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5693359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35</w:t>
            </w:r>
          </w:p>
        </w:tc>
        <w:tc>
          <w:tcPr>
            <w:tcW w:w="946" w:type="pct"/>
            <w:tcBorders>
              <w:top w:val="single" w:sz="4" w:space="0" w:color="auto"/>
              <w:left w:val="single" w:sz="4" w:space="0" w:color="auto"/>
              <w:bottom w:val="single" w:sz="4" w:space="0" w:color="auto"/>
              <w:right w:val="single" w:sz="4" w:space="0" w:color="auto"/>
            </w:tcBorders>
            <w:hideMark/>
          </w:tcPr>
          <w:p w14:paraId="687AE55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0.81</w:t>
            </w:r>
          </w:p>
        </w:tc>
        <w:tc>
          <w:tcPr>
            <w:tcW w:w="1348" w:type="pct"/>
            <w:tcBorders>
              <w:top w:val="single" w:sz="4" w:space="0" w:color="auto"/>
              <w:left w:val="single" w:sz="4" w:space="0" w:color="auto"/>
              <w:bottom w:val="single" w:sz="4" w:space="0" w:color="auto"/>
              <w:right w:val="single" w:sz="4" w:space="0" w:color="auto"/>
            </w:tcBorders>
            <w:hideMark/>
          </w:tcPr>
          <w:p w14:paraId="4DBC7F5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r w:rsidR="00342B3E" w:rsidRPr="00342B3E" w14:paraId="12E7D3C9" w14:textId="77777777">
        <w:tc>
          <w:tcPr>
            <w:tcW w:w="919" w:type="pct"/>
            <w:tcBorders>
              <w:top w:val="single" w:sz="4" w:space="0" w:color="auto"/>
              <w:left w:val="single" w:sz="4" w:space="0" w:color="auto"/>
              <w:bottom w:val="single" w:sz="4" w:space="0" w:color="auto"/>
              <w:right w:val="single" w:sz="4" w:space="0" w:color="auto"/>
            </w:tcBorders>
            <w:hideMark/>
          </w:tcPr>
          <w:p w14:paraId="3B14A1F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w:t>
            </w:r>
          </w:p>
        </w:tc>
        <w:tc>
          <w:tcPr>
            <w:tcW w:w="875" w:type="pct"/>
            <w:tcBorders>
              <w:top w:val="single" w:sz="4" w:space="0" w:color="auto"/>
              <w:left w:val="single" w:sz="4" w:space="0" w:color="auto"/>
              <w:bottom w:val="single" w:sz="4" w:space="0" w:color="auto"/>
              <w:right w:val="single" w:sz="4" w:space="0" w:color="auto"/>
            </w:tcBorders>
            <w:hideMark/>
          </w:tcPr>
          <w:p w14:paraId="21963E53" w14:textId="77777777" w:rsidR="00342B3E" w:rsidRPr="00342B3E" w:rsidRDefault="00342B3E" w:rsidP="00342B3E">
            <w:pPr>
              <w:bidi/>
              <w:spacing w:after="0" w:line="240" w:lineRule="auto"/>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rtl/>
                <w:lang w:val="en-US"/>
              </w:rPr>
              <w:t>أداء العاملين ككل</w:t>
            </w:r>
          </w:p>
        </w:tc>
        <w:tc>
          <w:tcPr>
            <w:tcW w:w="912" w:type="pct"/>
            <w:tcBorders>
              <w:top w:val="single" w:sz="4" w:space="0" w:color="auto"/>
              <w:left w:val="single" w:sz="4" w:space="0" w:color="auto"/>
              <w:bottom w:val="single" w:sz="4" w:space="0" w:color="auto"/>
              <w:right w:val="single" w:sz="4" w:space="0" w:color="auto"/>
            </w:tcBorders>
            <w:hideMark/>
          </w:tcPr>
          <w:p w14:paraId="1BE1B57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36</w:t>
            </w:r>
          </w:p>
        </w:tc>
        <w:tc>
          <w:tcPr>
            <w:tcW w:w="946" w:type="pct"/>
            <w:tcBorders>
              <w:top w:val="single" w:sz="4" w:space="0" w:color="auto"/>
              <w:left w:val="single" w:sz="4" w:space="0" w:color="auto"/>
              <w:bottom w:val="single" w:sz="4" w:space="0" w:color="auto"/>
              <w:right w:val="single" w:sz="4" w:space="0" w:color="auto"/>
            </w:tcBorders>
            <w:hideMark/>
          </w:tcPr>
          <w:p w14:paraId="3CFB82B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0.72</w:t>
            </w:r>
          </w:p>
        </w:tc>
        <w:tc>
          <w:tcPr>
            <w:tcW w:w="1348" w:type="pct"/>
            <w:tcBorders>
              <w:top w:val="single" w:sz="4" w:space="0" w:color="auto"/>
              <w:left w:val="single" w:sz="4" w:space="0" w:color="auto"/>
              <w:bottom w:val="single" w:sz="4" w:space="0" w:color="auto"/>
              <w:right w:val="single" w:sz="4" w:space="0" w:color="auto"/>
            </w:tcBorders>
            <w:hideMark/>
          </w:tcPr>
          <w:p w14:paraId="17D2F40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4"/>
                <w:szCs w:val="24"/>
                <w:lang w:val="en-US"/>
              </w:rPr>
            </w:pPr>
            <w:r w:rsidRPr="00342B3E">
              <w:rPr>
                <w:rFonts w:ascii="Traditional Arabic" w:eastAsia="Calibri" w:hAnsi="Traditional Arabic" w:cs="Traditional Arabic"/>
                <w:sz w:val="24"/>
                <w:szCs w:val="24"/>
                <w:lang w:val="en-US"/>
              </w:rPr>
              <w:t>0.000</w:t>
            </w:r>
          </w:p>
        </w:tc>
      </w:tr>
    </w:tbl>
    <w:p w14:paraId="62B47E70"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p>
    <w:p w14:paraId="41638646"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يتضح من الجدول السابق أن جميع معاملات الارتباط بين الفقرات والأبعاد التي تنتمي إليها جاءت موجبة ودالة إحصائيًا عند مستوى دلالة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 حيث تراوحت قيم معاملات الارتباط بين (0.68 – 0.83)، وهي قيم تشير إلى قوة ارتباط مناسبة تعكس اتساقًا داخليًا جيدًا بين الفقرات ومجالاتها النظرية. كما لم تظهر أي فقرة ذات ارتباط منخفض يستدعي الحذف، مما يعزز من صدق البناء الداخلي للأداة ويؤكد سلامتها المنهجية.</w:t>
      </w:r>
    </w:p>
    <w:p w14:paraId="22230160"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p>
    <w:p w14:paraId="33F88077"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الأساليب الإحصائية المستخدمة</w:t>
      </w:r>
    </w:p>
    <w:p w14:paraId="5F651EBC"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بهدف تحليل بيانات الدراسة والإجابة عن تساؤلاتها واختبار فرضياتها، تم استخدام مجموعة من الأساليب الإحصائية الملائمة لطبيعة المنهج الوصفي التحليلي، وذلك من خلال برنامج الحزم الإحصائية للعلوم الاجتماعية</w:t>
      </w:r>
      <w:r w:rsidRPr="00342B3E">
        <w:rPr>
          <w:rFonts w:ascii="Traditional Arabic" w:eastAsia="Calibri" w:hAnsi="Traditional Arabic" w:cs="Traditional Arabic"/>
          <w:sz w:val="32"/>
          <w:szCs w:val="32"/>
          <w:lang w:val="en-US"/>
        </w:rPr>
        <w:t xml:space="preserve"> (SPSS)</w:t>
      </w:r>
      <w:r w:rsidRPr="00342B3E">
        <w:rPr>
          <w:rFonts w:ascii="Traditional Arabic" w:eastAsia="Calibri" w:hAnsi="Traditional Arabic" w:cs="Traditional Arabic"/>
          <w:sz w:val="32"/>
          <w:szCs w:val="32"/>
          <w:rtl/>
          <w:lang w:val="en-US"/>
        </w:rPr>
        <w:t>، وفق الخطوات الآتية</w:t>
      </w:r>
      <w:r w:rsidRPr="00342B3E">
        <w:rPr>
          <w:rFonts w:ascii="Traditional Arabic" w:eastAsia="Calibri" w:hAnsi="Traditional Arabic" w:cs="Traditional Arabic"/>
          <w:sz w:val="32"/>
          <w:szCs w:val="32"/>
          <w:lang w:val="en-US"/>
        </w:rPr>
        <w:t>:</w:t>
      </w:r>
    </w:p>
    <w:p w14:paraId="4558F367"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أولًا: الأساليب الإحصائية الوصفية</w:t>
      </w:r>
    </w:p>
    <w:p w14:paraId="007E9FD9"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lastRenderedPageBreak/>
        <w:t>تم استخدام التكرارات والنسب المئوية لوصف الخصائص الديموغرافية لأفراد العينة، بما يسهم في تكوين صورة واضحة عن توزيعهم وفق متغيرات الجنس والعمر والمؤهل العلمي وسنوات الخبرة والمسمى الوظيفي</w:t>
      </w:r>
      <w:r w:rsidRPr="00342B3E">
        <w:rPr>
          <w:rFonts w:ascii="Traditional Arabic" w:eastAsia="Calibri" w:hAnsi="Traditional Arabic" w:cs="Traditional Arabic"/>
          <w:sz w:val="32"/>
          <w:szCs w:val="32"/>
          <w:lang w:val="en-US"/>
        </w:rPr>
        <w:t>.</w:t>
      </w:r>
      <w:r w:rsidRPr="00342B3E">
        <w:rPr>
          <w:rFonts w:ascii="Traditional Arabic" w:eastAsia="Calibri" w:hAnsi="Traditional Arabic" w:cs="Traditional Arabic"/>
          <w:sz w:val="32"/>
          <w:szCs w:val="32"/>
          <w:lang w:val="en-US"/>
        </w:rPr>
        <w:br/>
      </w:r>
      <w:r w:rsidRPr="00342B3E">
        <w:rPr>
          <w:rFonts w:ascii="Traditional Arabic" w:eastAsia="Calibri" w:hAnsi="Traditional Arabic" w:cs="Traditional Arabic"/>
          <w:sz w:val="32"/>
          <w:szCs w:val="32"/>
          <w:rtl/>
          <w:lang w:val="en-US"/>
        </w:rPr>
        <w:t>كما تم حساب المتوسطات الحسابية والانحرافات المعيارية لتحديد مستوى استجابات أفراد العينة تجاه فقرات الدراسة وأبعادها، والحكم على درجة توافر ممارسات إدارة المعرفة ومستوى أداء العاملين</w:t>
      </w:r>
      <w:r w:rsidRPr="00342B3E">
        <w:rPr>
          <w:rFonts w:ascii="Traditional Arabic" w:eastAsia="Calibri" w:hAnsi="Traditional Arabic" w:cs="Traditional Arabic"/>
          <w:sz w:val="32"/>
          <w:szCs w:val="32"/>
          <w:lang w:val="en-US"/>
        </w:rPr>
        <w:t>.</w:t>
      </w:r>
    </w:p>
    <w:p w14:paraId="14C6EAC0"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ثانيًا: اختبار صدق وثبات الأداة</w:t>
      </w:r>
    </w:p>
    <w:p w14:paraId="2E2893F4"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تم استخدام معامل ارتباط بيرسون للتحقق من صدق الاتساق الداخلي من خلال قياس ارتباط كل فقرة بالدرجة الكلية للبُعد الذي تنتمي إليه</w:t>
      </w:r>
      <w:r w:rsidRPr="00342B3E">
        <w:rPr>
          <w:rFonts w:ascii="Traditional Arabic" w:eastAsia="Calibri" w:hAnsi="Traditional Arabic" w:cs="Traditional Arabic"/>
          <w:sz w:val="32"/>
          <w:szCs w:val="32"/>
          <w:lang w:val="en-US"/>
        </w:rPr>
        <w:t>.</w:t>
      </w:r>
      <w:r w:rsidRPr="00342B3E">
        <w:rPr>
          <w:rFonts w:ascii="Traditional Arabic" w:eastAsia="Calibri" w:hAnsi="Traditional Arabic" w:cs="Traditional Arabic"/>
          <w:sz w:val="32"/>
          <w:szCs w:val="32"/>
          <w:rtl/>
          <w:lang w:val="en-US"/>
        </w:rPr>
        <w:t xml:space="preserve"> كما تم استخدام معامل كرونباخ ألفا لقياس درجة الثبات والاتساق الداخلي لفقرات كل بُعد، إضافة إلى الأداة ككل</w:t>
      </w:r>
      <w:r w:rsidRPr="00342B3E">
        <w:rPr>
          <w:rFonts w:ascii="Traditional Arabic" w:eastAsia="Calibri" w:hAnsi="Traditional Arabic" w:cs="Traditional Arabic"/>
          <w:sz w:val="32"/>
          <w:szCs w:val="32"/>
          <w:lang w:val="en-US"/>
        </w:rPr>
        <w:t>.</w:t>
      </w:r>
    </w:p>
    <w:p w14:paraId="65C0D290"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ثالثًا: الأساليب الإحصائية الاستدلالية</w:t>
      </w:r>
    </w:p>
    <w:p w14:paraId="315ADB7B"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لاختبار فرضيات الدراسة المتعلقة بأثر إدارة المعرفة بأبعادها الثلاثة (اكتساب المعرفة، مشاركة المعرفة، تطبيق المعرفة) في أداء العاملين كمتغير تابع واحد، تم استخدام معامل ارتباط بيرسون لقياس قوة واتجاه العلاقة بين المتغيرات، كما تم استخدام تحليل الانحدار الخطي المتعدد لقياس أثر أبعاد إدارة المعرفة مجتمعة في أداء العاملين، وتحديد مقدار التباين المفسر في المتغير التابع</w:t>
      </w:r>
      <w:r w:rsidRPr="00342B3E">
        <w:rPr>
          <w:rFonts w:ascii="Traditional Arabic" w:eastAsia="Calibri" w:hAnsi="Traditional Arabic" w:cs="Traditional Arabic"/>
          <w:sz w:val="32"/>
          <w:szCs w:val="32"/>
          <w:lang w:val="en-US"/>
        </w:rPr>
        <w:t>.</w:t>
      </w:r>
    </w:p>
    <w:p w14:paraId="05A2D4E7"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وقد تم اعتماد مستوى دلالة إحصائية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 للحكم على معنوية النتائج، حيث تُعد النتائج ذات دلالة إحصائية إذا كانت قيمة مستوى الدلالة أقل من أو تساوي (0.05).</w:t>
      </w:r>
    </w:p>
    <w:p w14:paraId="52CE65E1"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رابعًا: معيار تفسير المتوسطات الحسابية</w:t>
      </w:r>
    </w:p>
    <w:p w14:paraId="532738E9"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lastRenderedPageBreak/>
        <w:t>لتفسير المتوسطات الحسابية الناتجة عن مقياس ليكرت الخماسي، تم تقسيم المدى الكلي للمقياس (1–5) إلى خمس فئات متساوية على النحو الآتي:</w:t>
      </w:r>
    </w:p>
    <w:p w14:paraId="22BF2A1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p>
    <w:p w14:paraId="1ABFBB2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p>
    <w:p w14:paraId="487CBE55" w14:textId="77777777" w:rsidR="00342B3E" w:rsidRPr="00342B3E" w:rsidRDefault="00342B3E" w:rsidP="00342B3E">
      <w:pPr>
        <w:bidi/>
        <w:spacing w:line="360" w:lineRule="auto"/>
        <w:ind w:firstLine="720"/>
        <w:jc w:val="center"/>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جدول (3.3) تفسير المتوسطات الحسابية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66"/>
        <w:gridCol w:w="2552"/>
      </w:tblGrid>
      <w:tr w:rsidR="00342B3E" w:rsidRPr="00342B3E" w14:paraId="322FF4DA" w14:textId="77777777">
        <w:trPr>
          <w:jc w:val="center"/>
        </w:trPr>
        <w:tc>
          <w:tcPr>
            <w:tcW w:w="2566" w:type="dxa"/>
            <w:tcBorders>
              <w:top w:val="single" w:sz="4" w:space="0" w:color="auto"/>
              <w:left w:val="single" w:sz="4" w:space="0" w:color="auto"/>
              <w:bottom w:val="single" w:sz="4" w:space="0" w:color="auto"/>
              <w:right w:val="single" w:sz="4" w:space="0" w:color="auto"/>
            </w:tcBorders>
            <w:shd w:val="clear" w:color="auto" w:fill="F79646"/>
            <w:hideMark/>
          </w:tcPr>
          <w:p w14:paraId="749EAEEC" w14:textId="77777777" w:rsidR="00342B3E" w:rsidRPr="00342B3E" w:rsidRDefault="00342B3E" w:rsidP="00342B3E">
            <w:pPr>
              <w:bidi/>
              <w:spacing w:after="0" w:line="360" w:lineRule="auto"/>
              <w:ind w:firstLine="720"/>
              <w:jc w:val="both"/>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المدى</w:t>
            </w:r>
          </w:p>
        </w:tc>
        <w:tc>
          <w:tcPr>
            <w:tcW w:w="2552" w:type="dxa"/>
            <w:tcBorders>
              <w:top w:val="single" w:sz="4" w:space="0" w:color="auto"/>
              <w:left w:val="single" w:sz="4" w:space="0" w:color="auto"/>
              <w:bottom w:val="single" w:sz="4" w:space="0" w:color="auto"/>
              <w:right w:val="single" w:sz="4" w:space="0" w:color="auto"/>
            </w:tcBorders>
            <w:shd w:val="clear" w:color="auto" w:fill="F79646"/>
            <w:hideMark/>
          </w:tcPr>
          <w:p w14:paraId="06A99118" w14:textId="77777777" w:rsidR="00342B3E" w:rsidRPr="00342B3E" w:rsidRDefault="00342B3E" w:rsidP="00342B3E">
            <w:pPr>
              <w:bidi/>
              <w:spacing w:after="0" w:line="360" w:lineRule="auto"/>
              <w:ind w:firstLine="720"/>
              <w:jc w:val="both"/>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مستوى التقدير</w:t>
            </w:r>
          </w:p>
        </w:tc>
      </w:tr>
      <w:tr w:rsidR="00342B3E" w:rsidRPr="00342B3E" w14:paraId="48B7FDE4" w14:textId="77777777">
        <w:trPr>
          <w:jc w:val="center"/>
        </w:trPr>
        <w:tc>
          <w:tcPr>
            <w:tcW w:w="2566" w:type="dxa"/>
            <w:tcBorders>
              <w:top w:val="single" w:sz="4" w:space="0" w:color="auto"/>
              <w:left w:val="single" w:sz="4" w:space="0" w:color="auto"/>
              <w:bottom w:val="single" w:sz="4" w:space="0" w:color="auto"/>
              <w:right w:val="single" w:sz="4" w:space="0" w:color="auto"/>
            </w:tcBorders>
            <w:hideMark/>
          </w:tcPr>
          <w:p w14:paraId="74D10C55" w14:textId="77777777" w:rsidR="00342B3E" w:rsidRPr="00342B3E" w:rsidRDefault="00342B3E" w:rsidP="00342B3E">
            <w:pPr>
              <w:bidi/>
              <w:spacing w:after="0" w:line="36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1.00 – 1.80</w:t>
            </w:r>
          </w:p>
        </w:tc>
        <w:tc>
          <w:tcPr>
            <w:tcW w:w="2552" w:type="dxa"/>
            <w:tcBorders>
              <w:top w:val="single" w:sz="4" w:space="0" w:color="auto"/>
              <w:left w:val="single" w:sz="4" w:space="0" w:color="auto"/>
              <w:bottom w:val="single" w:sz="4" w:space="0" w:color="auto"/>
              <w:right w:val="single" w:sz="4" w:space="0" w:color="auto"/>
            </w:tcBorders>
            <w:hideMark/>
          </w:tcPr>
          <w:p w14:paraId="12D3217A" w14:textId="77777777" w:rsidR="00342B3E" w:rsidRPr="00342B3E" w:rsidRDefault="00342B3E" w:rsidP="00342B3E">
            <w:pPr>
              <w:bidi/>
              <w:spacing w:after="0" w:line="36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منخفض جدًا</w:t>
            </w:r>
          </w:p>
        </w:tc>
      </w:tr>
      <w:tr w:rsidR="00342B3E" w:rsidRPr="00342B3E" w14:paraId="7C8DC55F" w14:textId="77777777">
        <w:trPr>
          <w:jc w:val="center"/>
        </w:trPr>
        <w:tc>
          <w:tcPr>
            <w:tcW w:w="2566" w:type="dxa"/>
            <w:tcBorders>
              <w:top w:val="single" w:sz="4" w:space="0" w:color="auto"/>
              <w:left w:val="single" w:sz="4" w:space="0" w:color="auto"/>
              <w:bottom w:val="single" w:sz="4" w:space="0" w:color="auto"/>
              <w:right w:val="single" w:sz="4" w:space="0" w:color="auto"/>
            </w:tcBorders>
            <w:hideMark/>
          </w:tcPr>
          <w:p w14:paraId="5593F2FC" w14:textId="77777777" w:rsidR="00342B3E" w:rsidRPr="00342B3E" w:rsidRDefault="00342B3E" w:rsidP="00342B3E">
            <w:pPr>
              <w:bidi/>
              <w:spacing w:after="0" w:line="36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1.81 – 2.60</w:t>
            </w:r>
          </w:p>
        </w:tc>
        <w:tc>
          <w:tcPr>
            <w:tcW w:w="2552" w:type="dxa"/>
            <w:tcBorders>
              <w:top w:val="single" w:sz="4" w:space="0" w:color="auto"/>
              <w:left w:val="single" w:sz="4" w:space="0" w:color="auto"/>
              <w:bottom w:val="single" w:sz="4" w:space="0" w:color="auto"/>
              <w:right w:val="single" w:sz="4" w:space="0" w:color="auto"/>
            </w:tcBorders>
            <w:hideMark/>
          </w:tcPr>
          <w:p w14:paraId="27DDA19D" w14:textId="77777777" w:rsidR="00342B3E" w:rsidRPr="00342B3E" w:rsidRDefault="00342B3E" w:rsidP="00342B3E">
            <w:pPr>
              <w:bidi/>
              <w:spacing w:after="0" w:line="36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منخفض</w:t>
            </w:r>
          </w:p>
        </w:tc>
      </w:tr>
      <w:tr w:rsidR="00342B3E" w:rsidRPr="00342B3E" w14:paraId="4371FE8B" w14:textId="77777777">
        <w:trPr>
          <w:jc w:val="center"/>
        </w:trPr>
        <w:tc>
          <w:tcPr>
            <w:tcW w:w="2566" w:type="dxa"/>
            <w:tcBorders>
              <w:top w:val="single" w:sz="4" w:space="0" w:color="auto"/>
              <w:left w:val="single" w:sz="4" w:space="0" w:color="auto"/>
              <w:bottom w:val="single" w:sz="4" w:space="0" w:color="auto"/>
              <w:right w:val="single" w:sz="4" w:space="0" w:color="auto"/>
            </w:tcBorders>
            <w:hideMark/>
          </w:tcPr>
          <w:p w14:paraId="65D9B656" w14:textId="77777777" w:rsidR="00342B3E" w:rsidRPr="00342B3E" w:rsidRDefault="00342B3E" w:rsidP="00342B3E">
            <w:pPr>
              <w:bidi/>
              <w:spacing w:after="0" w:line="36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2.61 – 3.40</w:t>
            </w:r>
          </w:p>
        </w:tc>
        <w:tc>
          <w:tcPr>
            <w:tcW w:w="2552" w:type="dxa"/>
            <w:tcBorders>
              <w:top w:val="single" w:sz="4" w:space="0" w:color="auto"/>
              <w:left w:val="single" w:sz="4" w:space="0" w:color="auto"/>
              <w:bottom w:val="single" w:sz="4" w:space="0" w:color="auto"/>
              <w:right w:val="single" w:sz="4" w:space="0" w:color="auto"/>
            </w:tcBorders>
            <w:hideMark/>
          </w:tcPr>
          <w:p w14:paraId="6C34DF93" w14:textId="77777777" w:rsidR="00342B3E" w:rsidRPr="00342B3E" w:rsidRDefault="00342B3E" w:rsidP="00342B3E">
            <w:pPr>
              <w:bidi/>
              <w:spacing w:after="0" w:line="36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متوسط</w:t>
            </w:r>
          </w:p>
        </w:tc>
      </w:tr>
      <w:tr w:rsidR="00342B3E" w:rsidRPr="00342B3E" w14:paraId="0AFFEBC4" w14:textId="77777777">
        <w:trPr>
          <w:jc w:val="center"/>
        </w:trPr>
        <w:tc>
          <w:tcPr>
            <w:tcW w:w="2566" w:type="dxa"/>
            <w:tcBorders>
              <w:top w:val="single" w:sz="4" w:space="0" w:color="auto"/>
              <w:left w:val="single" w:sz="4" w:space="0" w:color="auto"/>
              <w:bottom w:val="single" w:sz="4" w:space="0" w:color="auto"/>
              <w:right w:val="single" w:sz="4" w:space="0" w:color="auto"/>
            </w:tcBorders>
            <w:hideMark/>
          </w:tcPr>
          <w:p w14:paraId="073EE2F5" w14:textId="77777777" w:rsidR="00342B3E" w:rsidRPr="00342B3E" w:rsidRDefault="00342B3E" w:rsidP="00342B3E">
            <w:pPr>
              <w:bidi/>
              <w:spacing w:after="0" w:line="36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3.41 – 4.20</w:t>
            </w:r>
          </w:p>
        </w:tc>
        <w:tc>
          <w:tcPr>
            <w:tcW w:w="2552" w:type="dxa"/>
            <w:tcBorders>
              <w:top w:val="single" w:sz="4" w:space="0" w:color="auto"/>
              <w:left w:val="single" w:sz="4" w:space="0" w:color="auto"/>
              <w:bottom w:val="single" w:sz="4" w:space="0" w:color="auto"/>
              <w:right w:val="single" w:sz="4" w:space="0" w:color="auto"/>
            </w:tcBorders>
            <w:hideMark/>
          </w:tcPr>
          <w:p w14:paraId="129576EC" w14:textId="77777777" w:rsidR="00342B3E" w:rsidRPr="00342B3E" w:rsidRDefault="00342B3E" w:rsidP="00342B3E">
            <w:pPr>
              <w:bidi/>
              <w:spacing w:after="0" w:line="36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مرتفع</w:t>
            </w:r>
          </w:p>
        </w:tc>
      </w:tr>
      <w:tr w:rsidR="00342B3E" w:rsidRPr="00342B3E" w14:paraId="19DAAE55" w14:textId="77777777">
        <w:trPr>
          <w:jc w:val="center"/>
        </w:trPr>
        <w:tc>
          <w:tcPr>
            <w:tcW w:w="2566" w:type="dxa"/>
            <w:tcBorders>
              <w:top w:val="single" w:sz="4" w:space="0" w:color="auto"/>
              <w:left w:val="single" w:sz="4" w:space="0" w:color="auto"/>
              <w:bottom w:val="single" w:sz="4" w:space="0" w:color="auto"/>
              <w:right w:val="single" w:sz="4" w:space="0" w:color="auto"/>
            </w:tcBorders>
            <w:hideMark/>
          </w:tcPr>
          <w:p w14:paraId="1704823E" w14:textId="77777777" w:rsidR="00342B3E" w:rsidRPr="00342B3E" w:rsidRDefault="00342B3E" w:rsidP="00342B3E">
            <w:pPr>
              <w:bidi/>
              <w:spacing w:after="0" w:line="36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4.21 – 5.00</w:t>
            </w:r>
          </w:p>
        </w:tc>
        <w:tc>
          <w:tcPr>
            <w:tcW w:w="2552" w:type="dxa"/>
            <w:tcBorders>
              <w:top w:val="single" w:sz="4" w:space="0" w:color="auto"/>
              <w:left w:val="single" w:sz="4" w:space="0" w:color="auto"/>
              <w:bottom w:val="single" w:sz="4" w:space="0" w:color="auto"/>
              <w:right w:val="single" w:sz="4" w:space="0" w:color="auto"/>
            </w:tcBorders>
            <w:hideMark/>
          </w:tcPr>
          <w:p w14:paraId="2305354E" w14:textId="77777777" w:rsidR="00342B3E" w:rsidRPr="00342B3E" w:rsidRDefault="00342B3E" w:rsidP="00342B3E">
            <w:pPr>
              <w:bidi/>
              <w:spacing w:after="0" w:line="36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مرتفع جدًا</w:t>
            </w:r>
          </w:p>
        </w:tc>
      </w:tr>
    </w:tbl>
    <w:p w14:paraId="755EA0C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وبذلك تم الاستناد إلى هذه المعايير في تفسير نتائج التحليل الوصفي، بما يضمن موضوعية الحكم على مستويات استجابات أفراد العينة</w:t>
      </w:r>
      <w:r w:rsidRPr="00342B3E">
        <w:rPr>
          <w:rFonts w:ascii="Traditional Arabic" w:eastAsia="Calibri" w:hAnsi="Traditional Arabic" w:cs="Traditional Arabic"/>
          <w:sz w:val="32"/>
          <w:szCs w:val="32"/>
          <w:lang w:val="en-US"/>
        </w:rPr>
        <w:t>.</w:t>
      </w:r>
    </w:p>
    <w:p w14:paraId="4A4C0C4D"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p>
    <w:p w14:paraId="6280BD6A"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اختبار افتراضات تحليل الانحدار المتعدد</w:t>
      </w:r>
    </w:p>
    <w:p w14:paraId="7FEF645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نظرًا لاعتماد الدراسة على تحليل الانحدار الخطي المتعدد لاختبار أثر أبعاد إدارة المعرفة في أداء العاملين، فقد تم التحقق من استيفاء البيانات للافتراضات الإحصائية اللازمة لاستخدام هذا الأسلوب، وذلك لضمان صحة النتائج ودقتها وخلوها من الانحرافات المنهجية. وتشمل هذه الافتراضات ما يأتي</w:t>
      </w:r>
      <w:r w:rsidRPr="00342B3E">
        <w:rPr>
          <w:rFonts w:ascii="Traditional Arabic" w:eastAsia="Calibri" w:hAnsi="Traditional Arabic" w:cs="Traditional Arabic"/>
          <w:sz w:val="32"/>
          <w:szCs w:val="32"/>
          <w:lang w:val="en-US"/>
        </w:rPr>
        <w:t>:</w:t>
      </w:r>
    </w:p>
    <w:p w14:paraId="1DEA7AB0"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أولًا: اختبار التوزيع الطبيعي للبيانات</w:t>
      </w:r>
    </w:p>
    <w:p w14:paraId="47717440"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تم التحقق من افتراض التوزيع الطبيعي لمتغيرات الدراسة من خلال حساب معاملي الالتواء (</w:t>
      </w:r>
      <w:r w:rsidRPr="00342B3E">
        <w:rPr>
          <w:rFonts w:ascii="Traditional Arabic" w:eastAsia="Calibri" w:hAnsi="Traditional Arabic" w:cs="Traditional Arabic"/>
          <w:sz w:val="32"/>
          <w:szCs w:val="32"/>
          <w:lang w:val="en-US"/>
        </w:rPr>
        <w:t>Skewness</w:t>
      </w:r>
      <w:r w:rsidRPr="00342B3E">
        <w:rPr>
          <w:rFonts w:ascii="Traditional Arabic" w:eastAsia="Calibri" w:hAnsi="Traditional Arabic" w:cs="Traditional Arabic"/>
          <w:sz w:val="32"/>
          <w:szCs w:val="32"/>
          <w:rtl/>
          <w:lang w:val="en-US"/>
        </w:rPr>
        <w:t>) والتفرطح (</w:t>
      </w:r>
      <w:r w:rsidRPr="00342B3E">
        <w:rPr>
          <w:rFonts w:ascii="Traditional Arabic" w:eastAsia="Calibri" w:hAnsi="Traditional Arabic" w:cs="Traditional Arabic"/>
          <w:sz w:val="32"/>
          <w:szCs w:val="32"/>
          <w:lang w:val="en-US"/>
        </w:rPr>
        <w:t>Kurtosis</w:t>
      </w:r>
      <w:r w:rsidRPr="00342B3E">
        <w:rPr>
          <w:rFonts w:ascii="Traditional Arabic" w:eastAsia="Calibri" w:hAnsi="Traditional Arabic" w:cs="Traditional Arabic"/>
          <w:sz w:val="32"/>
          <w:szCs w:val="32"/>
          <w:rtl/>
          <w:lang w:val="en-US"/>
        </w:rPr>
        <w:t>) لكل من المتغيرات المستقلة والمتغير التابع. وقد أشارت النتائج إلى أن قيم الالتواء والتفرطح جاءت ضمن الحدود المقبولة إحصائيًا (±1) وفقًا للمعايير الإحصائية المعتمدة، مما يدل على أن البيانات تتبع توزيعًا قريبًا من التوزيع الطبيعي.</w:t>
      </w:r>
    </w:p>
    <w:p w14:paraId="66858B92"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ويعد تحقق هذا الافتراض ضروريًا لضمان دقة تقديرات معاملات الانحدار وصلاحية اختبار الدلالة الإحصائية</w:t>
      </w:r>
      <w:r w:rsidRPr="00342B3E">
        <w:rPr>
          <w:rFonts w:ascii="Traditional Arabic" w:eastAsia="Calibri" w:hAnsi="Traditional Arabic" w:cs="Traditional Arabic"/>
          <w:sz w:val="32"/>
          <w:szCs w:val="32"/>
          <w:lang w:val="en-US"/>
        </w:rPr>
        <w:t>.</w:t>
      </w:r>
    </w:p>
    <w:p w14:paraId="2C485574"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ثانيًا: اختبار تعدد التوازي (</w:t>
      </w:r>
      <w:r w:rsidRPr="00342B3E">
        <w:rPr>
          <w:rFonts w:ascii="Traditional Arabic" w:eastAsia="Calibri" w:hAnsi="Traditional Arabic" w:cs="Traditional Arabic"/>
          <w:b/>
          <w:bCs/>
          <w:sz w:val="32"/>
          <w:szCs w:val="32"/>
          <w:lang w:val="en-US"/>
        </w:rPr>
        <w:t>Multicollinearity</w:t>
      </w:r>
      <w:r w:rsidRPr="00342B3E">
        <w:rPr>
          <w:rFonts w:ascii="Traditional Arabic" w:eastAsia="Calibri" w:hAnsi="Traditional Arabic" w:cs="Traditional Arabic"/>
          <w:b/>
          <w:bCs/>
          <w:sz w:val="32"/>
          <w:szCs w:val="32"/>
          <w:rtl/>
          <w:lang w:val="en-US"/>
        </w:rPr>
        <w:t>)</w:t>
      </w:r>
    </w:p>
    <w:p w14:paraId="6E030ED1"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للتحقق من عدم وجود مشكلة تعدد التوازي بين أبعاد المتغير المستقل (اكتساب المعرفة، مشاركة المعرفة، تطبيق المعرفة)، تم حساب معامل تضخم التباين (</w:t>
      </w:r>
      <w:r w:rsidRPr="00342B3E">
        <w:rPr>
          <w:rFonts w:ascii="Traditional Arabic" w:eastAsia="Calibri" w:hAnsi="Traditional Arabic" w:cs="Traditional Arabic"/>
          <w:sz w:val="32"/>
          <w:szCs w:val="32"/>
          <w:lang w:val="en-US"/>
        </w:rPr>
        <w:t>Variance Inflation Factor – VIF</w:t>
      </w:r>
      <w:r w:rsidRPr="00342B3E">
        <w:rPr>
          <w:rFonts w:ascii="Traditional Arabic" w:eastAsia="Calibri" w:hAnsi="Traditional Arabic" w:cs="Traditional Arabic"/>
          <w:sz w:val="32"/>
          <w:szCs w:val="32"/>
          <w:rtl/>
          <w:lang w:val="en-US"/>
        </w:rPr>
        <w:t>) وقيمة التباين المسموح (</w:t>
      </w:r>
      <w:r w:rsidRPr="00342B3E">
        <w:rPr>
          <w:rFonts w:ascii="Traditional Arabic" w:eastAsia="Calibri" w:hAnsi="Traditional Arabic" w:cs="Traditional Arabic"/>
          <w:sz w:val="32"/>
          <w:szCs w:val="32"/>
          <w:lang w:val="en-US"/>
        </w:rPr>
        <w:t>Tolerance</w:t>
      </w:r>
      <w:r w:rsidRPr="00342B3E">
        <w:rPr>
          <w:rFonts w:ascii="Traditional Arabic" w:eastAsia="Calibri" w:hAnsi="Traditional Arabic" w:cs="Traditional Arabic"/>
          <w:sz w:val="32"/>
          <w:szCs w:val="32"/>
          <w:rtl/>
          <w:lang w:val="en-US"/>
        </w:rPr>
        <w:t>).</w:t>
      </w:r>
    </w:p>
    <w:p w14:paraId="065C534D"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 xml:space="preserve">وقد أظهرت النتائج أن جميع قيم </w:t>
      </w:r>
      <w:r w:rsidRPr="00342B3E">
        <w:rPr>
          <w:rFonts w:ascii="Traditional Arabic" w:eastAsia="Calibri" w:hAnsi="Traditional Arabic" w:cs="Traditional Arabic"/>
          <w:sz w:val="32"/>
          <w:szCs w:val="32"/>
          <w:lang w:val="en-US"/>
        </w:rPr>
        <w:t>VIF</w:t>
      </w:r>
      <w:r w:rsidRPr="00342B3E">
        <w:rPr>
          <w:rFonts w:ascii="Traditional Arabic" w:eastAsia="Calibri" w:hAnsi="Traditional Arabic" w:cs="Traditional Arabic"/>
          <w:sz w:val="32"/>
          <w:szCs w:val="32"/>
          <w:rtl/>
          <w:lang w:val="en-US"/>
        </w:rPr>
        <w:t xml:space="preserve"> جاءت أقل من (5)، وأن قيم </w:t>
      </w:r>
      <w:r w:rsidRPr="00342B3E">
        <w:rPr>
          <w:rFonts w:ascii="Traditional Arabic" w:eastAsia="Calibri" w:hAnsi="Traditional Arabic" w:cs="Traditional Arabic"/>
          <w:sz w:val="32"/>
          <w:szCs w:val="32"/>
          <w:lang w:val="en-US"/>
        </w:rPr>
        <w:t>Tolerance</w:t>
      </w:r>
      <w:r w:rsidRPr="00342B3E">
        <w:rPr>
          <w:rFonts w:ascii="Traditional Arabic" w:eastAsia="Calibri" w:hAnsi="Traditional Arabic" w:cs="Traditional Arabic"/>
          <w:sz w:val="32"/>
          <w:szCs w:val="32"/>
          <w:rtl/>
          <w:lang w:val="en-US"/>
        </w:rPr>
        <w:t xml:space="preserve"> كانت أكبر من (0.20)، مما يشير إلى عدم وجود ارتباط عالٍ بين المتغيرات المستقلة، وبالتالي عدم وجود مشكلة تعدد توازي تؤثر في دقة نموذج الانحدار.</w:t>
      </w:r>
    </w:p>
    <w:p w14:paraId="1EF46FB1"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ويؤكد ذلك استقلالية كل بعد من أبعاد إدارة المعرفة في تفسير التباين في أداء العاملين</w:t>
      </w:r>
      <w:r w:rsidRPr="00342B3E">
        <w:rPr>
          <w:rFonts w:ascii="Traditional Arabic" w:eastAsia="Calibri" w:hAnsi="Traditional Arabic" w:cs="Traditional Arabic"/>
          <w:sz w:val="32"/>
          <w:szCs w:val="32"/>
          <w:lang w:val="en-US"/>
        </w:rPr>
        <w:t>.</w:t>
      </w:r>
    </w:p>
    <w:p w14:paraId="226D8E0D"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bidi="ar-AE"/>
        </w:rPr>
      </w:pPr>
    </w:p>
    <w:p w14:paraId="5FEF5DC4"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bidi="ar-AE"/>
        </w:rPr>
      </w:pPr>
    </w:p>
    <w:p w14:paraId="7CED0842"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ثالثًا: اختبار استقلالية الأخطاء (</w:t>
      </w:r>
      <w:r w:rsidRPr="00342B3E">
        <w:rPr>
          <w:rFonts w:ascii="Traditional Arabic" w:eastAsia="Calibri" w:hAnsi="Traditional Arabic" w:cs="Traditional Arabic"/>
          <w:b/>
          <w:bCs/>
          <w:sz w:val="32"/>
          <w:szCs w:val="32"/>
          <w:lang w:val="en-US"/>
        </w:rPr>
        <w:t>Durbin–Watson</w:t>
      </w:r>
      <w:r w:rsidRPr="00342B3E">
        <w:rPr>
          <w:rFonts w:ascii="Traditional Arabic" w:eastAsia="Calibri" w:hAnsi="Traditional Arabic" w:cs="Traditional Arabic"/>
          <w:b/>
          <w:bCs/>
          <w:sz w:val="32"/>
          <w:szCs w:val="32"/>
          <w:rtl/>
          <w:lang w:val="en-US"/>
        </w:rPr>
        <w:t>)</w:t>
      </w:r>
    </w:p>
    <w:p w14:paraId="2C62C6EF"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 xml:space="preserve">تم استخدام اختبار دوربن-واتسون للتحقق من استقلالية الأخطاء في نموذج الانحدار. وقد بلغت قيمة معامل </w:t>
      </w:r>
      <w:r w:rsidRPr="00342B3E">
        <w:rPr>
          <w:rFonts w:ascii="Traditional Arabic" w:eastAsia="Calibri" w:hAnsi="Traditional Arabic" w:cs="Traditional Arabic"/>
          <w:sz w:val="32"/>
          <w:szCs w:val="32"/>
          <w:lang w:val="en-US"/>
        </w:rPr>
        <w:t>Durbin–Watson</w:t>
      </w:r>
      <w:r w:rsidRPr="00342B3E">
        <w:rPr>
          <w:rFonts w:ascii="Traditional Arabic" w:eastAsia="Calibri" w:hAnsi="Traditional Arabic" w:cs="Traditional Arabic"/>
          <w:sz w:val="32"/>
          <w:szCs w:val="32"/>
          <w:rtl/>
          <w:lang w:val="en-US"/>
        </w:rPr>
        <w:t xml:space="preserve"> قيمة تقع ضمن المدى المقبول إحصائيًا (1.5 – 2.5)، مما يدل على عدم وجود ارتباط ذاتي بين الأخطاء العشوائية، ويؤكد صلاحية استخدام نموذج الانحدار الخطي المتعدد.</w:t>
      </w:r>
    </w:p>
    <w:p w14:paraId="64769B82" w14:textId="77777777" w:rsidR="00342B3E" w:rsidRPr="00342B3E" w:rsidRDefault="00342B3E" w:rsidP="00342B3E">
      <w:pPr>
        <w:bidi/>
        <w:spacing w:line="360" w:lineRule="auto"/>
        <w:ind w:firstLine="720"/>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رابعًا: اختبار الخطية (</w:t>
      </w:r>
      <w:r w:rsidRPr="00342B3E">
        <w:rPr>
          <w:rFonts w:ascii="Traditional Arabic" w:eastAsia="Calibri" w:hAnsi="Traditional Arabic" w:cs="Traditional Arabic"/>
          <w:b/>
          <w:bCs/>
          <w:sz w:val="32"/>
          <w:szCs w:val="32"/>
          <w:lang w:val="en-US"/>
        </w:rPr>
        <w:t>Linearity</w:t>
      </w:r>
      <w:r w:rsidRPr="00342B3E">
        <w:rPr>
          <w:rFonts w:ascii="Traditional Arabic" w:eastAsia="Calibri" w:hAnsi="Traditional Arabic" w:cs="Traditional Arabic"/>
          <w:b/>
          <w:bCs/>
          <w:sz w:val="32"/>
          <w:szCs w:val="32"/>
          <w:rtl/>
          <w:lang w:val="en-US"/>
        </w:rPr>
        <w:t>)</w:t>
      </w:r>
    </w:p>
    <w:p w14:paraId="3538BE84"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تم التحقق من افتراض الخطية من خلال فحص مخططات الانتشار</w:t>
      </w:r>
      <w:r w:rsidRPr="00342B3E">
        <w:rPr>
          <w:rFonts w:ascii="Traditional Arabic" w:eastAsia="Calibri" w:hAnsi="Traditional Arabic" w:cs="Traditional Arabic"/>
          <w:sz w:val="32"/>
          <w:szCs w:val="32"/>
          <w:lang w:val="en-US"/>
        </w:rPr>
        <w:t xml:space="preserve"> (Scatter Plots) </w:t>
      </w:r>
      <w:r w:rsidRPr="00342B3E">
        <w:rPr>
          <w:rFonts w:ascii="Traditional Arabic" w:eastAsia="Calibri" w:hAnsi="Traditional Arabic" w:cs="Traditional Arabic"/>
          <w:sz w:val="32"/>
          <w:szCs w:val="32"/>
          <w:rtl/>
          <w:lang w:val="en-US"/>
        </w:rPr>
        <w:t>بين المتغيرات المستقلة والمتغير التابع، حيث أظهرت النتائج وجود علاقة خطية تقريبية بين المتغيرات، مما يدعم ملاءمة استخدام نموذج الانحدار الخطي لتحليل العلاقة بينها</w:t>
      </w:r>
      <w:r w:rsidRPr="00342B3E">
        <w:rPr>
          <w:rFonts w:ascii="Traditional Arabic" w:eastAsia="Calibri" w:hAnsi="Traditional Arabic" w:cs="Traditional Arabic"/>
          <w:sz w:val="32"/>
          <w:szCs w:val="32"/>
          <w:lang w:val="en-US"/>
        </w:rPr>
        <w:t>.</w:t>
      </w:r>
    </w:p>
    <w:p w14:paraId="5CF1A432"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تشير نتائج الاختبارات السابقة إلى أن البيانات تستوفي الافتراضات الإحصائية اللازمة لاستخدام تحليل الانحدار الخطي المتعدد، مما يعزز من موثوقية النموذج التحليلي ويؤكد صحة النتائج التي سيتم التوصل إليها في الفصل الرابع</w:t>
      </w:r>
      <w:r w:rsidRPr="00342B3E">
        <w:rPr>
          <w:rFonts w:ascii="Traditional Arabic" w:eastAsia="Calibri" w:hAnsi="Traditional Arabic" w:cs="Traditional Arabic"/>
          <w:sz w:val="32"/>
          <w:szCs w:val="32"/>
          <w:lang w:val="en-US"/>
        </w:rPr>
        <w:t>.</w:t>
      </w:r>
    </w:p>
    <w:p w14:paraId="3D34EEA0"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p>
    <w:p w14:paraId="32B34F83"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p>
    <w:p w14:paraId="23FE10D6"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p>
    <w:p w14:paraId="64D896B7"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p>
    <w:p w14:paraId="641AD46D" w14:textId="77777777" w:rsidR="00342B3E" w:rsidRPr="00342B3E" w:rsidRDefault="00342B3E" w:rsidP="00342B3E">
      <w:pPr>
        <w:bidi/>
        <w:spacing w:line="360" w:lineRule="auto"/>
        <w:ind w:firstLine="720"/>
        <w:jc w:val="center"/>
        <w:rPr>
          <w:rFonts w:ascii="Traditional Arabic" w:eastAsia="Calibri" w:hAnsi="Traditional Arabic" w:cs="Traditional Arabic"/>
          <w:b/>
          <w:bCs/>
          <w:sz w:val="36"/>
          <w:szCs w:val="36"/>
          <w:lang w:val="en-US"/>
        </w:rPr>
      </w:pPr>
      <w:r w:rsidRPr="00342B3E">
        <w:rPr>
          <w:rFonts w:ascii="Traditional Arabic" w:eastAsia="Calibri" w:hAnsi="Traditional Arabic" w:cs="Traditional Arabic"/>
          <w:b/>
          <w:bCs/>
          <w:sz w:val="36"/>
          <w:szCs w:val="36"/>
          <w:rtl/>
          <w:lang w:val="en-US"/>
        </w:rPr>
        <w:t>الفصل الرابع</w:t>
      </w:r>
    </w:p>
    <w:p w14:paraId="745453A7" w14:textId="77777777" w:rsidR="00342B3E" w:rsidRPr="00342B3E" w:rsidRDefault="00342B3E" w:rsidP="00342B3E">
      <w:pPr>
        <w:bidi/>
        <w:spacing w:line="360" w:lineRule="auto"/>
        <w:ind w:firstLine="720"/>
        <w:jc w:val="center"/>
        <w:rPr>
          <w:rFonts w:ascii="Traditional Arabic" w:eastAsia="Calibri" w:hAnsi="Traditional Arabic" w:cs="Traditional Arabic"/>
          <w:b/>
          <w:bCs/>
          <w:sz w:val="36"/>
          <w:szCs w:val="36"/>
          <w:lang w:val="en-US"/>
        </w:rPr>
      </w:pPr>
      <w:r w:rsidRPr="00342B3E">
        <w:rPr>
          <w:rFonts w:ascii="Traditional Arabic" w:eastAsia="Calibri" w:hAnsi="Traditional Arabic" w:cs="Traditional Arabic"/>
          <w:b/>
          <w:bCs/>
          <w:sz w:val="36"/>
          <w:szCs w:val="36"/>
          <w:rtl/>
          <w:lang w:val="en-US"/>
        </w:rPr>
        <w:t>عرض نتائج الدراسة وتحليلها ومناقشتها</w:t>
      </w:r>
    </w:p>
    <w:p w14:paraId="621A29BF" w14:textId="77777777" w:rsidR="00342B3E" w:rsidRPr="00342B3E" w:rsidRDefault="00342B3E" w:rsidP="00342B3E">
      <w:pPr>
        <w:bidi/>
        <w:spacing w:line="360" w:lineRule="auto"/>
        <w:ind w:firstLine="720"/>
        <w:jc w:val="center"/>
        <w:rPr>
          <w:rFonts w:ascii="Traditional Arabic" w:eastAsia="Calibri" w:hAnsi="Traditional Arabic" w:cs="Traditional Arabic"/>
          <w:b/>
          <w:bCs/>
          <w:sz w:val="36"/>
          <w:szCs w:val="36"/>
          <w:rtl/>
          <w:lang w:val="en-US"/>
        </w:rPr>
      </w:pPr>
    </w:p>
    <w:p w14:paraId="20C07CCC" w14:textId="77777777" w:rsidR="00342B3E" w:rsidRPr="00342B3E" w:rsidRDefault="00342B3E" w:rsidP="00342B3E">
      <w:pPr>
        <w:bidi/>
        <w:spacing w:line="360" w:lineRule="auto"/>
        <w:ind w:firstLine="49"/>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4.1 تمهيد</w:t>
      </w:r>
    </w:p>
    <w:p w14:paraId="138073FB"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 xml:space="preserve">يتناول هذا الفصل عرض نتائج الدراسة الميدانية وتحليلها ومناقشتها في ضوء أهداف الدراسة وتساؤلاتها وفرضياتها، والتي هدفت إلى التعرف إلى أثر إدارة المعرفة بأبعادها المتمثلة في اكتساب المعرفة، ومشاركة المعرفة، وتطبيق المعرفة، في تحسين أداء العاملين في شركة موبايلي السعودية للاتصالات. وقد اعتمدت الدراسة على البيانات التي تم جمعها من </w:t>
      </w:r>
      <w:r w:rsidRPr="00342B3E">
        <w:rPr>
          <w:rFonts w:ascii="Traditional Arabic" w:eastAsia="Calibri" w:hAnsi="Traditional Arabic" w:cs="Traditional Arabic"/>
          <w:sz w:val="32"/>
          <w:szCs w:val="32"/>
          <w:rtl/>
          <w:lang w:val="en-US"/>
        </w:rPr>
        <w:lastRenderedPageBreak/>
        <w:t>أفراد العينة من خلال الاستبانة، ثم تحليلها باستخدام الأساليب الإحصائية المناسبة بما يسهم في الإجابة عن تساؤلات الدراسة واختبار فرضياتها</w:t>
      </w:r>
      <w:r w:rsidRPr="00342B3E">
        <w:rPr>
          <w:rFonts w:ascii="Traditional Arabic" w:eastAsia="Calibri" w:hAnsi="Traditional Arabic" w:cs="Traditional Arabic"/>
          <w:sz w:val="32"/>
          <w:szCs w:val="32"/>
          <w:lang w:val="en-US"/>
        </w:rPr>
        <w:t>.</w:t>
      </w:r>
    </w:p>
    <w:p w14:paraId="41EE1DCE"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يبدأ الفصل بعرض الخصائص الديموغرافية والوظيفية لأفراد عينة الدراسة، ثم ينتقل إلى عرض النتائج المتعلقة بمتغيرات الدراسة، وتحليل المتوسطات الحسابية والانحرافات المعيارية، يلي ذلك اختبار فرضيات الدراسة باستخدام الأساليب الإحصائية الملائمة. كما لا يقتصر هذا الفصل على عرض النتائج الرقمية، بل يتضمن تفسيرها ومناقشتها في ضوء الإطار النظري والدراسات السابقة، بما ينسجم مع طبيعة الدراسة وأهدافها</w:t>
      </w:r>
      <w:r w:rsidRPr="00342B3E">
        <w:rPr>
          <w:rFonts w:ascii="Traditional Arabic" w:eastAsia="Calibri" w:hAnsi="Traditional Arabic" w:cs="Traditional Arabic"/>
          <w:sz w:val="32"/>
          <w:szCs w:val="32"/>
          <w:lang w:val="en-US"/>
        </w:rPr>
        <w:t>.</w:t>
      </w:r>
    </w:p>
    <w:p w14:paraId="66FA3576"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p>
    <w:p w14:paraId="27E1D09A"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p>
    <w:p w14:paraId="1D0C6A88" w14:textId="77777777" w:rsidR="00342B3E" w:rsidRPr="00342B3E" w:rsidRDefault="00342B3E" w:rsidP="00342B3E">
      <w:pPr>
        <w:bidi/>
        <w:spacing w:line="360" w:lineRule="auto"/>
        <w:ind w:firstLine="49"/>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4.2 نسبة الاستجابة</w:t>
      </w:r>
    </w:p>
    <w:p w14:paraId="005F9AEF"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 xml:space="preserve">يُعد معدل الاستجابة من المؤشرات المهمة التي تعكس مدى تفاعل أفراد مجتمع الدراسة مع أداة الدراسة، كما يسهم في تعزيز موثوقية النتائج وإمكانية تعميمها على مجتمع الدراسة. ولتحقيق أهداف الدراسة، تم تحديد حجم العينة بالاستناد إلى جدول </w:t>
      </w:r>
      <w:r w:rsidRPr="00342B3E">
        <w:rPr>
          <w:rFonts w:ascii="Traditional Arabic" w:eastAsia="Calibri" w:hAnsi="Traditional Arabic" w:cs="Traditional Arabic"/>
          <w:sz w:val="32"/>
          <w:szCs w:val="32"/>
          <w:lang w:val="en-US"/>
        </w:rPr>
        <w:t>Krejcie and Morgan (1970)</w:t>
      </w:r>
      <w:r w:rsidRPr="00342B3E">
        <w:rPr>
          <w:rFonts w:ascii="Traditional Arabic" w:eastAsia="Calibri" w:hAnsi="Traditional Arabic" w:cs="Traditional Arabic"/>
          <w:sz w:val="32"/>
          <w:szCs w:val="32"/>
          <w:rtl/>
          <w:lang w:val="en-US"/>
        </w:rPr>
        <w:t xml:space="preserve">، حيث بلغ حجم العينة المستهدف (354) موظفًا من أصل مجتمع الدراسة البالغ (4306) موظفين. وقد تم توزيع (354) استبانة على أفراد العينة، واسترداد (327) استبانة، وبعد مراجعتها والتأكد من اكتمال بياناتها وصلاحيتها للتحليل الإحصائي، تم استبعاد (15) استبانة لعدم اكتمال بياناتها أو عدم صلاحيتها للتحليل، ليبلغ عدد الاستبانات الصالحة للتحليل الإحصائي (312) استبانة، </w:t>
      </w:r>
      <w:r w:rsidRPr="00342B3E">
        <w:rPr>
          <w:rFonts w:ascii="Traditional Arabic" w:eastAsia="Calibri" w:hAnsi="Traditional Arabic" w:cs="Traditional Arabic"/>
          <w:sz w:val="32"/>
          <w:szCs w:val="32"/>
          <w:rtl/>
          <w:lang w:val="en-US"/>
        </w:rPr>
        <w:lastRenderedPageBreak/>
        <w:t>وبنسبة استجابة بلغت (88.1%). وتُعد هذه النسبة مرتفعة وفقًا للمعايير المتبعة في الدراسات الإدارية، الأمر الذي يعزز من موثوقية النتائج ويزيد من إمكانية تعميمها في حدود مجتمع الدراسة</w:t>
      </w:r>
      <w:r w:rsidRPr="00342B3E">
        <w:rPr>
          <w:rFonts w:ascii="Traditional Arabic" w:eastAsia="Calibri" w:hAnsi="Traditional Arabic" w:cs="Traditional Arabic"/>
          <w:sz w:val="32"/>
          <w:szCs w:val="32"/>
          <w:lang w:val="en-US"/>
        </w:rPr>
        <w:t>.</w:t>
      </w:r>
    </w:p>
    <w:p w14:paraId="6EC766CA" w14:textId="77777777" w:rsidR="00342B3E" w:rsidRPr="00342B3E" w:rsidRDefault="00342B3E" w:rsidP="00342B3E">
      <w:pPr>
        <w:bidi/>
        <w:spacing w:after="0" w:line="360" w:lineRule="auto"/>
        <w:ind w:firstLine="720"/>
        <w:jc w:val="center"/>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جدول (4-1) نسبة الاستجابة لعينة الدراسة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3"/>
        <w:gridCol w:w="2593"/>
      </w:tblGrid>
      <w:tr w:rsidR="00342B3E" w:rsidRPr="00342B3E" w14:paraId="496BA03F" w14:textId="77777777">
        <w:tc>
          <w:tcPr>
            <w:tcW w:w="3646" w:type="pct"/>
            <w:tcBorders>
              <w:top w:val="single" w:sz="4" w:space="0" w:color="auto"/>
              <w:left w:val="single" w:sz="4" w:space="0" w:color="auto"/>
              <w:bottom w:val="single" w:sz="4" w:space="0" w:color="auto"/>
              <w:right w:val="single" w:sz="4" w:space="0" w:color="auto"/>
            </w:tcBorders>
            <w:hideMark/>
          </w:tcPr>
          <w:p w14:paraId="72BF346A" w14:textId="77777777" w:rsidR="00342B3E" w:rsidRPr="00342B3E" w:rsidRDefault="00342B3E" w:rsidP="00342B3E">
            <w:pPr>
              <w:bidi/>
              <w:spacing w:after="0" w:line="24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البيان</w:t>
            </w:r>
          </w:p>
        </w:tc>
        <w:tc>
          <w:tcPr>
            <w:tcW w:w="1354" w:type="pct"/>
            <w:tcBorders>
              <w:top w:val="single" w:sz="4" w:space="0" w:color="auto"/>
              <w:left w:val="single" w:sz="4" w:space="0" w:color="auto"/>
              <w:bottom w:val="single" w:sz="4" w:space="0" w:color="auto"/>
              <w:right w:val="single" w:sz="4" w:space="0" w:color="auto"/>
            </w:tcBorders>
            <w:hideMark/>
          </w:tcPr>
          <w:p w14:paraId="2C4AB76D" w14:textId="77777777" w:rsidR="00342B3E" w:rsidRPr="00342B3E" w:rsidRDefault="00342B3E" w:rsidP="00342B3E">
            <w:pPr>
              <w:bidi/>
              <w:spacing w:after="0" w:line="240" w:lineRule="auto"/>
              <w:ind w:firstLine="720"/>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العدد</w:t>
            </w:r>
          </w:p>
        </w:tc>
      </w:tr>
      <w:tr w:rsidR="00342B3E" w:rsidRPr="00342B3E" w14:paraId="5C347436" w14:textId="77777777">
        <w:tc>
          <w:tcPr>
            <w:tcW w:w="3646" w:type="pct"/>
            <w:tcBorders>
              <w:top w:val="single" w:sz="4" w:space="0" w:color="auto"/>
              <w:left w:val="single" w:sz="4" w:space="0" w:color="auto"/>
              <w:bottom w:val="single" w:sz="4" w:space="0" w:color="auto"/>
              <w:right w:val="single" w:sz="4" w:space="0" w:color="auto"/>
            </w:tcBorders>
            <w:hideMark/>
          </w:tcPr>
          <w:p w14:paraId="40EF6DF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مجتمع الدراسة</w:t>
            </w:r>
          </w:p>
        </w:tc>
        <w:tc>
          <w:tcPr>
            <w:tcW w:w="1354" w:type="pct"/>
            <w:tcBorders>
              <w:top w:val="single" w:sz="4" w:space="0" w:color="auto"/>
              <w:left w:val="single" w:sz="4" w:space="0" w:color="auto"/>
              <w:bottom w:val="single" w:sz="4" w:space="0" w:color="auto"/>
              <w:right w:val="single" w:sz="4" w:space="0" w:color="auto"/>
            </w:tcBorders>
            <w:hideMark/>
          </w:tcPr>
          <w:p w14:paraId="3C59CDA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4306</w:t>
            </w:r>
          </w:p>
        </w:tc>
      </w:tr>
      <w:tr w:rsidR="00342B3E" w:rsidRPr="00342B3E" w14:paraId="3AFB982D" w14:textId="77777777">
        <w:tc>
          <w:tcPr>
            <w:tcW w:w="3646" w:type="pct"/>
            <w:tcBorders>
              <w:top w:val="single" w:sz="4" w:space="0" w:color="auto"/>
              <w:left w:val="single" w:sz="4" w:space="0" w:color="auto"/>
              <w:bottom w:val="single" w:sz="4" w:space="0" w:color="auto"/>
              <w:right w:val="single" w:sz="4" w:space="0" w:color="auto"/>
            </w:tcBorders>
            <w:hideMark/>
          </w:tcPr>
          <w:p w14:paraId="635B19F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حجم العينة المستهدف</w:t>
            </w:r>
          </w:p>
        </w:tc>
        <w:tc>
          <w:tcPr>
            <w:tcW w:w="1354" w:type="pct"/>
            <w:tcBorders>
              <w:top w:val="single" w:sz="4" w:space="0" w:color="auto"/>
              <w:left w:val="single" w:sz="4" w:space="0" w:color="auto"/>
              <w:bottom w:val="single" w:sz="4" w:space="0" w:color="auto"/>
              <w:right w:val="single" w:sz="4" w:space="0" w:color="auto"/>
            </w:tcBorders>
            <w:hideMark/>
          </w:tcPr>
          <w:p w14:paraId="38FF736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354</w:t>
            </w:r>
          </w:p>
        </w:tc>
      </w:tr>
      <w:tr w:rsidR="00342B3E" w:rsidRPr="00342B3E" w14:paraId="7EEE6CB4" w14:textId="77777777">
        <w:tc>
          <w:tcPr>
            <w:tcW w:w="3646" w:type="pct"/>
            <w:tcBorders>
              <w:top w:val="single" w:sz="4" w:space="0" w:color="auto"/>
              <w:left w:val="single" w:sz="4" w:space="0" w:color="auto"/>
              <w:bottom w:val="single" w:sz="4" w:space="0" w:color="auto"/>
              <w:right w:val="single" w:sz="4" w:space="0" w:color="auto"/>
            </w:tcBorders>
            <w:hideMark/>
          </w:tcPr>
          <w:p w14:paraId="6109DB0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عدد الاستبانات الموزعة</w:t>
            </w:r>
          </w:p>
        </w:tc>
        <w:tc>
          <w:tcPr>
            <w:tcW w:w="1354" w:type="pct"/>
            <w:tcBorders>
              <w:top w:val="single" w:sz="4" w:space="0" w:color="auto"/>
              <w:left w:val="single" w:sz="4" w:space="0" w:color="auto"/>
              <w:bottom w:val="single" w:sz="4" w:space="0" w:color="auto"/>
              <w:right w:val="single" w:sz="4" w:space="0" w:color="auto"/>
            </w:tcBorders>
            <w:hideMark/>
          </w:tcPr>
          <w:p w14:paraId="5225605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354</w:t>
            </w:r>
          </w:p>
        </w:tc>
      </w:tr>
      <w:tr w:rsidR="00342B3E" w:rsidRPr="00342B3E" w14:paraId="1AE3B6C0" w14:textId="77777777">
        <w:tc>
          <w:tcPr>
            <w:tcW w:w="3646" w:type="pct"/>
            <w:tcBorders>
              <w:top w:val="single" w:sz="4" w:space="0" w:color="auto"/>
              <w:left w:val="single" w:sz="4" w:space="0" w:color="auto"/>
              <w:bottom w:val="single" w:sz="4" w:space="0" w:color="auto"/>
              <w:right w:val="single" w:sz="4" w:space="0" w:color="auto"/>
            </w:tcBorders>
            <w:hideMark/>
          </w:tcPr>
          <w:p w14:paraId="1BCD39F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عدد الاستبانات المستردة</w:t>
            </w:r>
          </w:p>
        </w:tc>
        <w:tc>
          <w:tcPr>
            <w:tcW w:w="1354" w:type="pct"/>
            <w:tcBorders>
              <w:top w:val="single" w:sz="4" w:space="0" w:color="auto"/>
              <w:left w:val="single" w:sz="4" w:space="0" w:color="auto"/>
              <w:bottom w:val="single" w:sz="4" w:space="0" w:color="auto"/>
              <w:right w:val="single" w:sz="4" w:space="0" w:color="auto"/>
            </w:tcBorders>
            <w:hideMark/>
          </w:tcPr>
          <w:p w14:paraId="2B34927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327</w:t>
            </w:r>
          </w:p>
        </w:tc>
      </w:tr>
      <w:tr w:rsidR="00342B3E" w:rsidRPr="00342B3E" w14:paraId="40CE32AB" w14:textId="77777777">
        <w:tc>
          <w:tcPr>
            <w:tcW w:w="3646" w:type="pct"/>
            <w:tcBorders>
              <w:top w:val="single" w:sz="4" w:space="0" w:color="auto"/>
              <w:left w:val="single" w:sz="4" w:space="0" w:color="auto"/>
              <w:bottom w:val="single" w:sz="4" w:space="0" w:color="auto"/>
              <w:right w:val="single" w:sz="4" w:space="0" w:color="auto"/>
            </w:tcBorders>
            <w:hideMark/>
          </w:tcPr>
          <w:p w14:paraId="2CE69D3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عدد الاستبانات المستبعدة</w:t>
            </w:r>
          </w:p>
        </w:tc>
        <w:tc>
          <w:tcPr>
            <w:tcW w:w="1354" w:type="pct"/>
            <w:tcBorders>
              <w:top w:val="single" w:sz="4" w:space="0" w:color="auto"/>
              <w:left w:val="single" w:sz="4" w:space="0" w:color="auto"/>
              <w:bottom w:val="single" w:sz="4" w:space="0" w:color="auto"/>
              <w:right w:val="single" w:sz="4" w:space="0" w:color="auto"/>
            </w:tcBorders>
            <w:hideMark/>
          </w:tcPr>
          <w:p w14:paraId="262A536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15</w:t>
            </w:r>
          </w:p>
        </w:tc>
      </w:tr>
      <w:tr w:rsidR="00342B3E" w:rsidRPr="00342B3E" w14:paraId="69457637" w14:textId="77777777">
        <w:tc>
          <w:tcPr>
            <w:tcW w:w="3646" w:type="pct"/>
            <w:tcBorders>
              <w:top w:val="single" w:sz="4" w:space="0" w:color="auto"/>
              <w:left w:val="single" w:sz="4" w:space="0" w:color="auto"/>
              <w:bottom w:val="single" w:sz="4" w:space="0" w:color="auto"/>
              <w:right w:val="single" w:sz="4" w:space="0" w:color="auto"/>
            </w:tcBorders>
            <w:hideMark/>
          </w:tcPr>
          <w:p w14:paraId="417A8FF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عدد الاستبانات الصالحة للتحليل</w:t>
            </w:r>
          </w:p>
        </w:tc>
        <w:tc>
          <w:tcPr>
            <w:tcW w:w="1354" w:type="pct"/>
            <w:tcBorders>
              <w:top w:val="single" w:sz="4" w:space="0" w:color="auto"/>
              <w:left w:val="single" w:sz="4" w:space="0" w:color="auto"/>
              <w:bottom w:val="single" w:sz="4" w:space="0" w:color="auto"/>
              <w:right w:val="single" w:sz="4" w:space="0" w:color="auto"/>
            </w:tcBorders>
            <w:hideMark/>
          </w:tcPr>
          <w:p w14:paraId="15F1689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312</w:t>
            </w:r>
          </w:p>
        </w:tc>
      </w:tr>
      <w:tr w:rsidR="00342B3E" w:rsidRPr="00342B3E" w14:paraId="70DA9FB9" w14:textId="77777777">
        <w:tc>
          <w:tcPr>
            <w:tcW w:w="3646" w:type="pct"/>
            <w:tcBorders>
              <w:top w:val="single" w:sz="4" w:space="0" w:color="auto"/>
              <w:left w:val="single" w:sz="4" w:space="0" w:color="auto"/>
              <w:bottom w:val="single" w:sz="4" w:space="0" w:color="auto"/>
              <w:right w:val="single" w:sz="4" w:space="0" w:color="auto"/>
            </w:tcBorders>
            <w:hideMark/>
          </w:tcPr>
          <w:p w14:paraId="28D4F945"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نسبة الاستجابة</w:t>
            </w:r>
          </w:p>
        </w:tc>
        <w:tc>
          <w:tcPr>
            <w:tcW w:w="1354" w:type="pct"/>
            <w:tcBorders>
              <w:top w:val="single" w:sz="4" w:space="0" w:color="auto"/>
              <w:left w:val="single" w:sz="4" w:space="0" w:color="auto"/>
              <w:bottom w:val="single" w:sz="4" w:space="0" w:color="auto"/>
              <w:right w:val="single" w:sz="4" w:space="0" w:color="auto"/>
            </w:tcBorders>
            <w:hideMark/>
          </w:tcPr>
          <w:p w14:paraId="0D6B850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lang w:val="en-US"/>
              </w:rPr>
              <w:t>88.1%</w:t>
            </w:r>
          </w:p>
        </w:tc>
      </w:tr>
    </w:tbl>
    <w:p w14:paraId="0E2E8208"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يتضح من الجدول (4-1) أن نسبة الاستجابة بلغت (88.1%)، وهي نسبة مرتفعة تعكس تعاون أفراد الدراسة مع الباحث، وتُعد كافية لإجراء التحليلات الإحصائية اللازمة واستخلاص نتائج يمكن تعميمها على مجتمع الدراسة ضمن حدودها المنهجية.</w:t>
      </w:r>
    </w:p>
    <w:p w14:paraId="293F3045"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rtl/>
          <w:lang w:val="en-US"/>
        </w:rPr>
      </w:pPr>
    </w:p>
    <w:p w14:paraId="782B85DA" w14:textId="77777777" w:rsidR="00342B3E" w:rsidRPr="00342B3E" w:rsidRDefault="00342B3E" w:rsidP="00342B3E">
      <w:pPr>
        <w:bidi/>
        <w:spacing w:line="360" w:lineRule="auto"/>
        <w:ind w:firstLine="49"/>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4.3 الخصائص الديموغرافية والوظيفية لأفراد عينة الدراسة</w:t>
      </w:r>
    </w:p>
    <w:p w14:paraId="38BB04A4"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 xml:space="preserve">يهدف هذا القسم إلى وصف الخصائص الديموغرافية والوظيفية لأفراد عينة الدراسة، وذلك من خلال عرض توزيع أفراد العينة وفقًا لمتغيرات الجنس، والعمر، والمؤهل العلمي، وسنوات الخبرة، والمسمى الوظيفي، باستخدام التكرارات </w:t>
      </w:r>
      <w:r w:rsidRPr="00342B3E">
        <w:rPr>
          <w:rFonts w:ascii="Traditional Arabic" w:eastAsia="Calibri" w:hAnsi="Traditional Arabic" w:cs="Traditional Arabic"/>
          <w:sz w:val="32"/>
          <w:szCs w:val="32"/>
          <w:rtl/>
          <w:lang w:val="en-US"/>
        </w:rPr>
        <w:lastRenderedPageBreak/>
        <w:t>والنسب المئوية. ويسهم هذا الوصف في تقديم صورة شاملة عن خصائص العينة، بما يساعد في تفسير نتائج الدراسة وربطها بطبيعة المجتمع المبحوث</w:t>
      </w:r>
      <w:r w:rsidRPr="00342B3E">
        <w:rPr>
          <w:rFonts w:ascii="Traditional Arabic" w:eastAsia="Calibri" w:hAnsi="Traditional Arabic" w:cs="Traditional Arabic"/>
          <w:sz w:val="32"/>
          <w:szCs w:val="32"/>
          <w:lang w:val="en-US"/>
        </w:rPr>
        <w:t>.</w:t>
      </w:r>
    </w:p>
    <w:p w14:paraId="79ADD893" w14:textId="77777777" w:rsidR="00342B3E" w:rsidRPr="00342B3E" w:rsidRDefault="00342B3E" w:rsidP="00342B3E">
      <w:pPr>
        <w:bidi/>
        <w:spacing w:after="0" w:line="240" w:lineRule="auto"/>
        <w:ind w:firstLine="720"/>
        <w:jc w:val="center"/>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جدول (4-2) توزيع أفراد عينة الدراسة وفقًا للخصائص الديموغرافية والوظيفية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92"/>
        <w:gridCol w:w="3203"/>
        <w:gridCol w:w="1630"/>
        <w:gridCol w:w="2551"/>
      </w:tblGrid>
      <w:tr w:rsidR="00342B3E" w:rsidRPr="00342B3E" w14:paraId="3777621B" w14:textId="77777777">
        <w:tc>
          <w:tcPr>
            <w:tcW w:w="1144" w:type="pct"/>
            <w:tcBorders>
              <w:top w:val="single" w:sz="4" w:space="0" w:color="auto"/>
              <w:left w:val="single" w:sz="4" w:space="0" w:color="auto"/>
              <w:bottom w:val="single" w:sz="4" w:space="0" w:color="auto"/>
              <w:right w:val="single" w:sz="4" w:space="0" w:color="auto"/>
            </w:tcBorders>
            <w:hideMark/>
          </w:tcPr>
          <w:p w14:paraId="1D5A66CE" w14:textId="77777777" w:rsidR="00342B3E" w:rsidRPr="00342B3E" w:rsidRDefault="00342B3E" w:rsidP="00342B3E">
            <w:pPr>
              <w:bidi/>
              <w:spacing w:after="0" w:line="240" w:lineRule="auto"/>
              <w:ind w:firstLine="720"/>
              <w:jc w:val="both"/>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المتغير</w:t>
            </w:r>
          </w:p>
        </w:tc>
        <w:tc>
          <w:tcPr>
            <w:tcW w:w="1672" w:type="pct"/>
            <w:tcBorders>
              <w:top w:val="single" w:sz="4" w:space="0" w:color="auto"/>
              <w:left w:val="single" w:sz="4" w:space="0" w:color="auto"/>
              <w:bottom w:val="single" w:sz="4" w:space="0" w:color="auto"/>
              <w:right w:val="single" w:sz="4" w:space="0" w:color="auto"/>
            </w:tcBorders>
            <w:hideMark/>
          </w:tcPr>
          <w:p w14:paraId="3026B9CA" w14:textId="77777777" w:rsidR="00342B3E" w:rsidRPr="00342B3E" w:rsidRDefault="00342B3E" w:rsidP="00342B3E">
            <w:pPr>
              <w:bidi/>
              <w:spacing w:after="0" w:line="240" w:lineRule="auto"/>
              <w:ind w:firstLine="720"/>
              <w:jc w:val="both"/>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الفئة</w:t>
            </w:r>
          </w:p>
        </w:tc>
        <w:tc>
          <w:tcPr>
            <w:tcW w:w="851" w:type="pct"/>
            <w:tcBorders>
              <w:top w:val="single" w:sz="4" w:space="0" w:color="auto"/>
              <w:left w:val="single" w:sz="4" w:space="0" w:color="auto"/>
              <w:bottom w:val="single" w:sz="4" w:space="0" w:color="auto"/>
              <w:right w:val="single" w:sz="4" w:space="0" w:color="auto"/>
            </w:tcBorders>
            <w:hideMark/>
          </w:tcPr>
          <w:p w14:paraId="58B242C3" w14:textId="77777777" w:rsidR="00342B3E" w:rsidRPr="00342B3E" w:rsidRDefault="00342B3E" w:rsidP="00342B3E">
            <w:pPr>
              <w:bidi/>
              <w:spacing w:after="0" w:line="240" w:lineRule="auto"/>
              <w:ind w:firstLine="720"/>
              <w:jc w:val="both"/>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التكرار</w:t>
            </w:r>
          </w:p>
        </w:tc>
        <w:tc>
          <w:tcPr>
            <w:tcW w:w="1332" w:type="pct"/>
            <w:tcBorders>
              <w:top w:val="single" w:sz="4" w:space="0" w:color="auto"/>
              <w:left w:val="single" w:sz="4" w:space="0" w:color="auto"/>
              <w:bottom w:val="single" w:sz="4" w:space="0" w:color="auto"/>
              <w:right w:val="single" w:sz="4" w:space="0" w:color="auto"/>
            </w:tcBorders>
            <w:hideMark/>
          </w:tcPr>
          <w:p w14:paraId="49B81E83" w14:textId="77777777" w:rsidR="00342B3E" w:rsidRPr="00342B3E" w:rsidRDefault="00342B3E" w:rsidP="00342B3E">
            <w:pPr>
              <w:bidi/>
              <w:spacing w:after="0" w:line="240" w:lineRule="auto"/>
              <w:ind w:firstLine="720"/>
              <w:jc w:val="both"/>
              <w:rPr>
                <w:rFonts w:ascii="Traditional Arabic" w:eastAsia="Calibri" w:hAnsi="Traditional Arabic" w:cs="Traditional Arabic"/>
                <w:b/>
                <w:bCs/>
                <w:sz w:val="28"/>
                <w:szCs w:val="28"/>
                <w:lang w:val="en-US"/>
              </w:rPr>
            </w:pPr>
            <w:r w:rsidRPr="00342B3E">
              <w:rPr>
                <w:rFonts w:ascii="Traditional Arabic" w:eastAsia="Calibri" w:hAnsi="Traditional Arabic" w:cs="Traditional Arabic"/>
                <w:b/>
                <w:bCs/>
                <w:sz w:val="28"/>
                <w:szCs w:val="28"/>
                <w:rtl/>
                <w:lang w:val="en-US"/>
              </w:rPr>
              <w:t>النسبة المئوية</w:t>
            </w:r>
            <w:r w:rsidRPr="00342B3E">
              <w:rPr>
                <w:rFonts w:ascii="Traditional Arabic" w:eastAsia="Calibri" w:hAnsi="Traditional Arabic" w:cs="Traditional Arabic"/>
                <w:b/>
                <w:bCs/>
                <w:sz w:val="28"/>
                <w:szCs w:val="28"/>
                <w:lang w:val="en-US"/>
              </w:rPr>
              <w:t xml:space="preserve"> (%)</w:t>
            </w:r>
          </w:p>
        </w:tc>
      </w:tr>
      <w:tr w:rsidR="00342B3E" w:rsidRPr="00342B3E" w14:paraId="71571DC7" w14:textId="77777777">
        <w:tc>
          <w:tcPr>
            <w:tcW w:w="1144" w:type="pct"/>
            <w:tcBorders>
              <w:top w:val="single" w:sz="4" w:space="0" w:color="auto"/>
              <w:left w:val="single" w:sz="4" w:space="0" w:color="auto"/>
              <w:bottom w:val="single" w:sz="4" w:space="0" w:color="auto"/>
              <w:right w:val="single" w:sz="4" w:space="0" w:color="auto"/>
            </w:tcBorders>
            <w:hideMark/>
          </w:tcPr>
          <w:p w14:paraId="79FB697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rtl/>
                <w:lang w:val="en-US"/>
              </w:rPr>
              <w:t>الجنس</w:t>
            </w:r>
          </w:p>
        </w:tc>
        <w:tc>
          <w:tcPr>
            <w:tcW w:w="1672" w:type="pct"/>
            <w:tcBorders>
              <w:top w:val="single" w:sz="4" w:space="0" w:color="auto"/>
              <w:left w:val="single" w:sz="4" w:space="0" w:color="auto"/>
              <w:bottom w:val="single" w:sz="4" w:space="0" w:color="auto"/>
              <w:right w:val="single" w:sz="4" w:space="0" w:color="auto"/>
            </w:tcBorders>
            <w:hideMark/>
          </w:tcPr>
          <w:p w14:paraId="3D09FB4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ذكر</w:t>
            </w:r>
          </w:p>
        </w:tc>
        <w:tc>
          <w:tcPr>
            <w:tcW w:w="851" w:type="pct"/>
            <w:tcBorders>
              <w:top w:val="single" w:sz="4" w:space="0" w:color="auto"/>
              <w:left w:val="single" w:sz="4" w:space="0" w:color="auto"/>
              <w:bottom w:val="single" w:sz="4" w:space="0" w:color="auto"/>
              <w:right w:val="single" w:sz="4" w:space="0" w:color="auto"/>
            </w:tcBorders>
            <w:hideMark/>
          </w:tcPr>
          <w:p w14:paraId="42F8E4B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218</w:t>
            </w:r>
          </w:p>
        </w:tc>
        <w:tc>
          <w:tcPr>
            <w:tcW w:w="1332" w:type="pct"/>
            <w:tcBorders>
              <w:top w:val="single" w:sz="4" w:space="0" w:color="auto"/>
              <w:left w:val="single" w:sz="4" w:space="0" w:color="auto"/>
              <w:bottom w:val="single" w:sz="4" w:space="0" w:color="auto"/>
              <w:right w:val="single" w:sz="4" w:space="0" w:color="auto"/>
            </w:tcBorders>
            <w:hideMark/>
          </w:tcPr>
          <w:p w14:paraId="616B6D90"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69.9</w:t>
            </w:r>
          </w:p>
        </w:tc>
      </w:tr>
      <w:tr w:rsidR="00342B3E" w:rsidRPr="00342B3E" w14:paraId="605325DB" w14:textId="77777777">
        <w:tc>
          <w:tcPr>
            <w:tcW w:w="1144" w:type="pct"/>
            <w:tcBorders>
              <w:top w:val="single" w:sz="4" w:space="0" w:color="auto"/>
              <w:left w:val="single" w:sz="4" w:space="0" w:color="auto"/>
              <w:bottom w:val="single" w:sz="4" w:space="0" w:color="auto"/>
              <w:right w:val="single" w:sz="4" w:space="0" w:color="auto"/>
            </w:tcBorders>
            <w:hideMark/>
          </w:tcPr>
          <w:p w14:paraId="361E4DC9"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439AE07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أنثى</w:t>
            </w:r>
          </w:p>
        </w:tc>
        <w:tc>
          <w:tcPr>
            <w:tcW w:w="851" w:type="pct"/>
            <w:tcBorders>
              <w:top w:val="single" w:sz="4" w:space="0" w:color="auto"/>
              <w:left w:val="single" w:sz="4" w:space="0" w:color="auto"/>
              <w:bottom w:val="single" w:sz="4" w:space="0" w:color="auto"/>
              <w:right w:val="single" w:sz="4" w:space="0" w:color="auto"/>
            </w:tcBorders>
            <w:hideMark/>
          </w:tcPr>
          <w:p w14:paraId="27A2749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94</w:t>
            </w:r>
          </w:p>
        </w:tc>
        <w:tc>
          <w:tcPr>
            <w:tcW w:w="1332" w:type="pct"/>
            <w:tcBorders>
              <w:top w:val="single" w:sz="4" w:space="0" w:color="auto"/>
              <w:left w:val="single" w:sz="4" w:space="0" w:color="auto"/>
              <w:bottom w:val="single" w:sz="4" w:space="0" w:color="auto"/>
              <w:right w:val="single" w:sz="4" w:space="0" w:color="auto"/>
            </w:tcBorders>
            <w:hideMark/>
          </w:tcPr>
          <w:p w14:paraId="1E5FE7F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30.1</w:t>
            </w:r>
          </w:p>
        </w:tc>
      </w:tr>
      <w:tr w:rsidR="00342B3E" w:rsidRPr="00342B3E" w14:paraId="30671278" w14:textId="77777777">
        <w:tc>
          <w:tcPr>
            <w:tcW w:w="1144" w:type="pct"/>
            <w:tcBorders>
              <w:top w:val="single" w:sz="4" w:space="0" w:color="auto"/>
              <w:left w:val="single" w:sz="4" w:space="0" w:color="auto"/>
              <w:bottom w:val="single" w:sz="4" w:space="0" w:color="auto"/>
              <w:right w:val="single" w:sz="4" w:space="0" w:color="auto"/>
            </w:tcBorders>
            <w:hideMark/>
          </w:tcPr>
          <w:p w14:paraId="70E019B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rtl/>
                <w:lang w:val="en-US"/>
              </w:rPr>
              <w:t>المجموع</w:t>
            </w:r>
          </w:p>
        </w:tc>
        <w:tc>
          <w:tcPr>
            <w:tcW w:w="1672" w:type="pct"/>
            <w:tcBorders>
              <w:top w:val="single" w:sz="4" w:space="0" w:color="auto"/>
              <w:left w:val="single" w:sz="4" w:space="0" w:color="auto"/>
              <w:bottom w:val="single" w:sz="4" w:space="0" w:color="auto"/>
              <w:right w:val="single" w:sz="4" w:space="0" w:color="auto"/>
            </w:tcBorders>
            <w:hideMark/>
          </w:tcPr>
          <w:p w14:paraId="6046CB61" w14:textId="77777777" w:rsidR="00342B3E" w:rsidRPr="00342B3E" w:rsidRDefault="00342B3E" w:rsidP="00342B3E">
            <w:pPr>
              <w:rPr>
                <w:rFonts w:ascii="Traditional Arabic" w:eastAsia="Calibri" w:hAnsi="Traditional Arabic" w:cs="Traditional Arabic"/>
                <w:sz w:val="28"/>
                <w:szCs w:val="28"/>
                <w:lang w:val="en-US"/>
              </w:rPr>
            </w:pPr>
          </w:p>
        </w:tc>
        <w:tc>
          <w:tcPr>
            <w:tcW w:w="851" w:type="pct"/>
            <w:tcBorders>
              <w:top w:val="single" w:sz="4" w:space="0" w:color="auto"/>
              <w:left w:val="single" w:sz="4" w:space="0" w:color="auto"/>
              <w:bottom w:val="single" w:sz="4" w:space="0" w:color="auto"/>
              <w:right w:val="single" w:sz="4" w:space="0" w:color="auto"/>
            </w:tcBorders>
            <w:hideMark/>
          </w:tcPr>
          <w:p w14:paraId="16F5430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lang w:val="en-US"/>
              </w:rPr>
              <w:t>312</w:t>
            </w:r>
          </w:p>
        </w:tc>
        <w:tc>
          <w:tcPr>
            <w:tcW w:w="1332" w:type="pct"/>
            <w:tcBorders>
              <w:top w:val="single" w:sz="4" w:space="0" w:color="auto"/>
              <w:left w:val="single" w:sz="4" w:space="0" w:color="auto"/>
              <w:bottom w:val="single" w:sz="4" w:space="0" w:color="auto"/>
              <w:right w:val="single" w:sz="4" w:space="0" w:color="auto"/>
            </w:tcBorders>
            <w:hideMark/>
          </w:tcPr>
          <w:p w14:paraId="5A19F20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lang w:val="en-US"/>
              </w:rPr>
              <w:t>100.0</w:t>
            </w:r>
          </w:p>
        </w:tc>
      </w:tr>
      <w:tr w:rsidR="00342B3E" w:rsidRPr="00342B3E" w14:paraId="10C7C51B" w14:textId="77777777">
        <w:tc>
          <w:tcPr>
            <w:tcW w:w="1144" w:type="pct"/>
            <w:tcBorders>
              <w:top w:val="single" w:sz="4" w:space="0" w:color="auto"/>
              <w:left w:val="single" w:sz="4" w:space="0" w:color="auto"/>
              <w:bottom w:val="single" w:sz="4" w:space="0" w:color="auto"/>
              <w:right w:val="single" w:sz="4" w:space="0" w:color="auto"/>
            </w:tcBorders>
            <w:hideMark/>
          </w:tcPr>
          <w:p w14:paraId="7D3C5F3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rtl/>
                <w:lang w:val="en-US"/>
              </w:rPr>
              <w:t>العمر</w:t>
            </w:r>
          </w:p>
        </w:tc>
        <w:tc>
          <w:tcPr>
            <w:tcW w:w="1672" w:type="pct"/>
            <w:tcBorders>
              <w:top w:val="single" w:sz="4" w:space="0" w:color="auto"/>
              <w:left w:val="single" w:sz="4" w:space="0" w:color="auto"/>
              <w:bottom w:val="single" w:sz="4" w:space="0" w:color="auto"/>
              <w:right w:val="single" w:sz="4" w:space="0" w:color="auto"/>
            </w:tcBorders>
            <w:hideMark/>
          </w:tcPr>
          <w:p w14:paraId="101D576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أقل من 30 سنة</w:t>
            </w:r>
          </w:p>
        </w:tc>
        <w:tc>
          <w:tcPr>
            <w:tcW w:w="851" w:type="pct"/>
            <w:tcBorders>
              <w:top w:val="single" w:sz="4" w:space="0" w:color="auto"/>
              <w:left w:val="single" w:sz="4" w:space="0" w:color="auto"/>
              <w:bottom w:val="single" w:sz="4" w:space="0" w:color="auto"/>
              <w:right w:val="single" w:sz="4" w:space="0" w:color="auto"/>
            </w:tcBorders>
            <w:hideMark/>
          </w:tcPr>
          <w:p w14:paraId="50AE306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48</w:t>
            </w:r>
          </w:p>
        </w:tc>
        <w:tc>
          <w:tcPr>
            <w:tcW w:w="1332" w:type="pct"/>
            <w:tcBorders>
              <w:top w:val="single" w:sz="4" w:space="0" w:color="auto"/>
              <w:left w:val="single" w:sz="4" w:space="0" w:color="auto"/>
              <w:bottom w:val="single" w:sz="4" w:space="0" w:color="auto"/>
              <w:right w:val="single" w:sz="4" w:space="0" w:color="auto"/>
            </w:tcBorders>
            <w:hideMark/>
          </w:tcPr>
          <w:p w14:paraId="4584C00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15.4</w:t>
            </w:r>
          </w:p>
        </w:tc>
      </w:tr>
      <w:tr w:rsidR="00342B3E" w:rsidRPr="00342B3E" w14:paraId="70C41D5F" w14:textId="77777777">
        <w:tc>
          <w:tcPr>
            <w:tcW w:w="1144" w:type="pct"/>
            <w:tcBorders>
              <w:top w:val="single" w:sz="4" w:space="0" w:color="auto"/>
              <w:left w:val="single" w:sz="4" w:space="0" w:color="auto"/>
              <w:bottom w:val="single" w:sz="4" w:space="0" w:color="auto"/>
              <w:right w:val="single" w:sz="4" w:space="0" w:color="auto"/>
            </w:tcBorders>
            <w:hideMark/>
          </w:tcPr>
          <w:p w14:paraId="5AE15A40"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125020F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من 30 إلى أقل من 40 سنة</w:t>
            </w:r>
          </w:p>
        </w:tc>
        <w:tc>
          <w:tcPr>
            <w:tcW w:w="851" w:type="pct"/>
            <w:tcBorders>
              <w:top w:val="single" w:sz="4" w:space="0" w:color="auto"/>
              <w:left w:val="single" w:sz="4" w:space="0" w:color="auto"/>
              <w:bottom w:val="single" w:sz="4" w:space="0" w:color="auto"/>
              <w:right w:val="single" w:sz="4" w:space="0" w:color="auto"/>
            </w:tcBorders>
            <w:hideMark/>
          </w:tcPr>
          <w:p w14:paraId="270E7EA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124</w:t>
            </w:r>
          </w:p>
        </w:tc>
        <w:tc>
          <w:tcPr>
            <w:tcW w:w="1332" w:type="pct"/>
            <w:tcBorders>
              <w:top w:val="single" w:sz="4" w:space="0" w:color="auto"/>
              <w:left w:val="single" w:sz="4" w:space="0" w:color="auto"/>
              <w:bottom w:val="single" w:sz="4" w:space="0" w:color="auto"/>
              <w:right w:val="single" w:sz="4" w:space="0" w:color="auto"/>
            </w:tcBorders>
            <w:hideMark/>
          </w:tcPr>
          <w:p w14:paraId="721D7FF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39.7</w:t>
            </w:r>
          </w:p>
        </w:tc>
      </w:tr>
      <w:tr w:rsidR="00342B3E" w:rsidRPr="00342B3E" w14:paraId="65342B7E" w14:textId="77777777">
        <w:tc>
          <w:tcPr>
            <w:tcW w:w="1144" w:type="pct"/>
            <w:tcBorders>
              <w:top w:val="single" w:sz="4" w:space="0" w:color="auto"/>
              <w:left w:val="single" w:sz="4" w:space="0" w:color="auto"/>
              <w:bottom w:val="single" w:sz="4" w:space="0" w:color="auto"/>
              <w:right w:val="single" w:sz="4" w:space="0" w:color="auto"/>
            </w:tcBorders>
            <w:hideMark/>
          </w:tcPr>
          <w:p w14:paraId="2EA7A725"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70C403F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من 40 إلى أقل من 50 سنة</w:t>
            </w:r>
          </w:p>
        </w:tc>
        <w:tc>
          <w:tcPr>
            <w:tcW w:w="851" w:type="pct"/>
            <w:tcBorders>
              <w:top w:val="single" w:sz="4" w:space="0" w:color="auto"/>
              <w:left w:val="single" w:sz="4" w:space="0" w:color="auto"/>
              <w:bottom w:val="single" w:sz="4" w:space="0" w:color="auto"/>
              <w:right w:val="single" w:sz="4" w:space="0" w:color="auto"/>
            </w:tcBorders>
            <w:hideMark/>
          </w:tcPr>
          <w:p w14:paraId="2ADA010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91</w:t>
            </w:r>
          </w:p>
        </w:tc>
        <w:tc>
          <w:tcPr>
            <w:tcW w:w="1332" w:type="pct"/>
            <w:tcBorders>
              <w:top w:val="single" w:sz="4" w:space="0" w:color="auto"/>
              <w:left w:val="single" w:sz="4" w:space="0" w:color="auto"/>
              <w:bottom w:val="single" w:sz="4" w:space="0" w:color="auto"/>
              <w:right w:val="single" w:sz="4" w:space="0" w:color="auto"/>
            </w:tcBorders>
            <w:hideMark/>
          </w:tcPr>
          <w:p w14:paraId="0866A77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29.2</w:t>
            </w:r>
          </w:p>
        </w:tc>
      </w:tr>
      <w:tr w:rsidR="00342B3E" w:rsidRPr="00342B3E" w14:paraId="02C40B2D" w14:textId="77777777">
        <w:tc>
          <w:tcPr>
            <w:tcW w:w="1144" w:type="pct"/>
            <w:tcBorders>
              <w:top w:val="single" w:sz="4" w:space="0" w:color="auto"/>
              <w:left w:val="single" w:sz="4" w:space="0" w:color="auto"/>
              <w:bottom w:val="single" w:sz="4" w:space="0" w:color="auto"/>
              <w:right w:val="single" w:sz="4" w:space="0" w:color="auto"/>
            </w:tcBorders>
            <w:hideMark/>
          </w:tcPr>
          <w:p w14:paraId="1D756CBF"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3CD9AB6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 xml:space="preserve">50 </w:t>
            </w:r>
            <w:r w:rsidRPr="00342B3E">
              <w:rPr>
                <w:rFonts w:ascii="Traditional Arabic" w:eastAsia="Calibri" w:hAnsi="Traditional Arabic" w:cs="Traditional Arabic"/>
                <w:sz w:val="28"/>
                <w:szCs w:val="28"/>
                <w:rtl/>
                <w:lang w:val="en-US"/>
              </w:rPr>
              <w:t>سنة فأكثر</w:t>
            </w:r>
          </w:p>
        </w:tc>
        <w:tc>
          <w:tcPr>
            <w:tcW w:w="851" w:type="pct"/>
            <w:tcBorders>
              <w:top w:val="single" w:sz="4" w:space="0" w:color="auto"/>
              <w:left w:val="single" w:sz="4" w:space="0" w:color="auto"/>
              <w:bottom w:val="single" w:sz="4" w:space="0" w:color="auto"/>
              <w:right w:val="single" w:sz="4" w:space="0" w:color="auto"/>
            </w:tcBorders>
            <w:hideMark/>
          </w:tcPr>
          <w:p w14:paraId="0591B4B0"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49</w:t>
            </w:r>
          </w:p>
        </w:tc>
        <w:tc>
          <w:tcPr>
            <w:tcW w:w="1332" w:type="pct"/>
            <w:tcBorders>
              <w:top w:val="single" w:sz="4" w:space="0" w:color="auto"/>
              <w:left w:val="single" w:sz="4" w:space="0" w:color="auto"/>
              <w:bottom w:val="single" w:sz="4" w:space="0" w:color="auto"/>
              <w:right w:val="single" w:sz="4" w:space="0" w:color="auto"/>
            </w:tcBorders>
            <w:hideMark/>
          </w:tcPr>
          <w:p w14:paraId="41CD79B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15.7</w:t>
            </w:r>
          </w:p>
        </w:tc>
      </w:tr>
      <w:tr w:rsidR="00342B3E" w:rsidRPr="00342B3E" w14:paraId="31F2F2B1" w14:textId="77777777">
        <w:tc>
          <w:tcPr>
            <w:tcW w:w="1144" w:type="pct"/>
            <w:tcBorders>
              <w:top w:val="single" w:sz="4" w:space="0" w:color="auto"/>
              <w:left w:val="single" w:sz="4" w:space="0" w:color="auto"/>
              <w:bottom w:val="single" w:sz="4" w:space="0" w:color="auto"/>
              <w:right w:val="single" w:sz="4" w:space="0" w:color="auto"/>
            </w:tcBorders>
            <w:hideMark/>
          </w:tcPr>
          <w:p w14:paraId="35ED63B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rtl/>
                <w:lang w:val="en-US"/>
              </w:rPr>
              <w:t>المجموع</w:t>
            </w:r>
          </w:p>
        </w:tc>
        <w:tc>
          <w:tcPr>
            <w:tcW w:w="1672" w:type="pct"/>
            <w:tcBorders>
              <w:top w:val="single" w:sz="4" w:space="0" w:color="auto"/>
              <w:left w:val="single" w:sz="4" w:space="0" w:color="auto"/>
              <w:bottom w:val="single" w:sz="4" w:space="0" w:color="auto"/>
              <w:right w:val="single" w:sz="4" w:space="0" w:color="auto"/>
            </w:tcBorders>
            <w:hideMark/>
          </w:tcPr>
          <w:p w14:paraId="6F1716F5" w14:textId="77777777" w:rsidR="00342B3E" w:rsidRPr="00342B3E" w:rsidRDefault="00342B3E" w:rsidP="00342B3E">
            <w:pPr>
              <w:rPr>
                <w:rFonts w:ascii="Traditional Arabic" w:eastAsia="Calibri" w:hAnsi="Traditional Arabic" w:cs="Traditional Arabic"/>
                <w:sz w:val="28"/>
                <w:szCs w:val="28"/>
                <w:lang w:val="en-US"/>
              </w:rPr>
            </w:pPr>
          </w:p>
        </w:tc>
        <w:tc>
          <w:tcPr>
            <w:tcW w:w="851" w:type="pct"/>
            <w:tcBorders>
              <w:top w:val="single" w:sz="4" w:space="0" w:color="auto"/>
              <w:left w:val="single" w:sz="4" w:space="0" w:color="auto"/>
              <w:bottom w:val="single" w:sz="4" w:space="0" w:color="auto"/>
              <w:right w:val="single" w:sz="4" w:space="0" w:color="auto"/>
            </w:tcBorders>
            <w:hideMark/>
          </w:tcPr>
          <w:p w14:paraId="63D89DA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lang w:val="en-US"/>
              </w:rPr>
              <w:t>312</w:t>
            </w:r>
          </w:p>
        </w:tc>
        <w:tc>
          <w:tcPr>
            <w:tcW w:w="1332" w:type="pct"/>
            <w:tcBorders>
              <w:top w:val="single" w:sz="4" w:space="0" w:color="auto"/>
              <w:left w:val="single" w:sz="4" w:space="0" w:color="auto"/>
              <w:bottom w:val="single" w:sz="4" w:space="0" w:color="auto"/>
              <w:right w:val="single" w:sz="4" w:space="0" w:color="auto"/>
            </w:tcBorders>
            <w:hideMark/>
          </w:tcPr>
          <w:p w14:paraId="0825EC9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lang w:val="en-US"/>
              </w:rPr>
              <w:t>100.0</w:t>
            </w:r>
          </w:p>
        </w:tc>
      </w:tr>
      <w:tr w:rsidR="00342B3E" w:rsidRPr="00342B3E" w14:paraId="6BFFEBEC" w14:textId="77777777">
        <w:tc>
          <w:tcPr>
            <w:tcW w:w="1144" w:type="pct"/>
            <w:tcBorders>
              <w:top w:val="single" w:sz="4" w:space="0" w:color="auto"/>
              <w:left w:val="single" w:sz="4" w:space="0" w:color="auto"/>
              <w:bottom w:val="single" w:sz="4" w:space="0" w:color="auto"/>
              <w:right w:val="single" w:sz="4" w:space="0" w:color="auto"/>
            </w:tcBorders>
            <w:hideMark/>
          </w:tcPr>
          <w:p w14:paraId="505537D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rtl/>
                <w:lang w:val="en-US"/>
              </w:rPr>
              <w:t>المؤهل العلمي</w:t>
            </w:r>
          </w:p>
        </w:tc>
        <w:tc>
          <w:tcPr>
            <w:tcW w:w="1672" w:type="pct"/>
            <w:tcBorders>
              <w:top w:val="single" w:sz="4" w:space="0" w:color="auto"/>
              <w:left w:val="single" w:sz="4" w:space="0" w:color="auto"/>
              <w:bottom w:val="single" w:sz="4" w:space="0" w:color="auto"/>
              <w:right w:val="single" w:sz="4" w:space="0" w:color="auto"/>
            </w:tcBorders>
            <w:hideMark/>
          </w:tcPr>
          <w:p w14:paraId="704CB84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دبلوم</w:t>
            </w:r>
          </w:p>
        </w:tc>
        <w:tc>
          <w:tcPr>
            <w:tcW w:w="851" w:type="pct"/>
            <w:tcBorders>
              <w:top w:val="single" w:sz="4" w:space="0" w:color="auto"/>
              <w:left w:val="single" w:sz="4" w:space="0" w:color="auto"/>
              <w:bottom w:val="single" w:sz="4" w:space="0" w:color="auto"/>
              <w:right w:val="single" w:sz="4" w:space="0" w:color="auto"/>
            </w:tcBorders>
            <w:hideMark/>
          </w:tcPr>
          <w:p w14:paraId="4A4769D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36</w:t>
            </w:r>
          </w:p>
        </w:tc>
        <w:tc>
          <w:tcPr>
            <w:tcW w:w="1332" w:type="pct"/>
            <w:tcBorders>
              <w:top w:val="single" w:sz="4" w:space="0" w:color="auto"/>
              <w:left w:val="single" w:sz="4" w:space="0" w:color="auto"/>
              <w:bottom w:val="single" w:sz="4" w:space="0" w:color="auto"/>
              <w:right w:val="single" w:sz="4" w:space="0" w:color="auto"/>
            </w:tcBorders>
            <w:hideMark/>
          </w:tcPr>
          <w:p w14:paraId="30B35CE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11.5</w:t>
            </w:r>
          </w:p>
        </w:tc>
      </w:tr>
      <w:tr w:rsidR="00342B3E" w:rsidRPr="00342B3E" w14:paraId="2B37149D" w14:textId="77777777">
        <w:tc>
          <w:tcPr>
            <w:tcW w:w="1144" w:type="pct"/>
            <w:tcBorders>
              <w:top w:val="single" w:sz="4" w:space="0" w:color="auto"/>
              <w:left w:val="single" w:sz="4" w:space="0" w:color="auto"/>
              <w:bottom w:val="single" w:sz="4" w:space="0" w:color="auto"/>
              <w:right w:val="single" w:sz="4" w:space="0" w:color="auto"/>
            </w:tcBorders>
            <w:hideMark/>
          </w:tcPr>
          <w:p w14:paraId="540AAD0D"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389DB05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بكالوريوس</w:t>
            </w:r>
          </w:p>
        </w:tc>
        <w:tc>
          <w:tcPr>
            <w:tcW w:w="851" w:type="pct"/>
            <w:tcBorders>
              <w:top w:val="single" w:sz="4" w:space="0" w:color="auto"/>
              <w:left w:val="single" w:sz="4" w:space="0" w:color="auto"/>
              <w:bottom w:val="single" w:sz="4" w:space="0" w:color="auto"/>
              <w:right w:val="single" w:sz="4" w:space="0" w:color="auto"/>
            </w:tcBorders>
            <w:hideMark/>
          </w:tcPr>
          <w:p w14:paraId="1483445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177</w:t>
            </w:r>
          </w:p>
        </w:tc>
        <w:tc>
          <w:tcPr>
            <w:tcW w:w="1332" w:type="pct"/>
            <w:tcBorders>
              <w:top w:val="single" w:sz="4" w:space="0" w:color="auto"/>
              <w:left w:val="single" w:sz="4" w:space="0" w:color="auto"/>
              <w:bottom w:val="single" w:sz="4" w:space="0" w:color="auto"/>
              <w:right w:val="single" w:sz="4" w:space="0" w:color="auto"/>
            </w:tcBorders>
            <w:hideMark/>
          </w:tcPr>
          <w:p w14:paraId="0AE26B3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56.7</w:t>
            </w:r>
          </w:p>
        </w:tc>
      </w:tr>
      <w:tr w:rsidR="00342B3E" w:rsidRPr="00342B3E" w14:paraId="1CBF7AA8" w14:textId="77777777">
        <w:tc>
          <w:tcPr>
            <w:tcW w:w="1144" w:type="pct"/>
            <w:tcBorders>
              <w:top w:val="single" w:sz="4" w:space="0" w:color="auto"/>
              <w:left w:val="single" w:sz="4" w:space="0" w:color="auto"/>
              <w:bottom w:val="single" w:sz="4" w:space="0" w:color="auto"/>
              <w:right w:val="single" w:sz="4" w:space="0" w:color="auto"/>
            </w:tcBorders>
            <w:hideMark/>
          </w:tcPr>
          <w:p w14:paraId="7B1E8E64"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5E499DD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ماجستير</w:t>
            </w:r>
          </w:p>
        </w:tc>
        <w:tc>
          <w:tcPr>
            <w:tcW w:w="851" w:type="pct"/>
            <w:tcBorders>
              <w:top w:val="single" w:sz="4" w:space="0" w:color="auto"/>
              <w:left w:val="single" w:sz="4" w:space="0" w:color="auto"/>
              <w:bottom w:val="single" w:sz="4" w:space="0" w:color="auto"/>
              <w:right w:val="single" w:sz="4" w:space="0" w:color="auto"/>
            </w:tcBorders>
            <w:hideMark/>
          </w:tcPr>
          <w:p w14:paraId="493949B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76</w:t>
            </w:r>
          </w:p>
        </w:tc>
        <w:tc>
          <w:tcPr>
            <w:tcW w:w="1332" w:type="pct"/>
            <w:tcBorders>
              <w:top w:val="single" w:sz="4" w:space="0" w:color="auto"/>
              <w:left w:val="single" w:sz="4" w:space="0" w:color="auto"/>
              <w:bottom w:val="single" w:sz="4" w:space="0" w:color="auto"/>
              <w:right w:val="single" w:sz="4" w:space="0" w:color="auto"/>
            </w:tcBorders>
            <w:hideMark/>
          </w:tcPr>
          <w:p w14:paraId="35CD36E3"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24.4</w:t>
            </w:r>
          </w:p>
        </w:tc>
      </w:tr>
      <w:tr w:rsidR="00342B3E" w:rsidRPr="00342B3E" w14:paraId="1A6BFB2B" w14:textId="77777777">
        <w:tc>
          <w:tcPr>
            <w:tcW w:w="1144" w:type="pct"/>
            <w:tcBorders>
              <w:top w:val="single" w:sz="4" w:space="0" w:color="auto"/>
              <w:left w:val="single" w:sz="4" w:space="0" w:color="auto"/>
              <w:bottom w:val="single" w:sz="4" w:space="0" w:color="auto"/>
              <w:right w:val="single" w:sz="4" w:space="0" w:color="auto"/>
            </w:tcBorders>
            <w:hideMark/>
          </w:tcPr>
          <w:p w14:paraId="78D150DA"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1117A28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دكتوراه</w:t>
            </w:r>
          </w:p>
        </w:tc>
        <w:tc>
          <w:tcPr>
            <w:tcW w:w="851" w:type="pct"/>
            <w:tcBorders>
              <w:top w:val="single" w:sz="4" w:space="0" w:color="auto"/>
              <w:left w:val="single" w:sz="4" w:space="0" w:color="auto"/>
              <w:bottom w:val="single" w:sz="4" w:space="0" w:color="auto"/>
              <w:right w:val="single" w:sz="4" w:space="0" w:color="auto"/>
            </w:tcBorders>
            <w:hideMark/>
          </w:tcPr>
          <w:p w14:paraId="52C2B4B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23</w:t>
            </w:r>
          </w:p>
        </w:tc>
        <w:tc>
          <w:tcPr>
            <w:tcW w:w="1332" w:type="pct"/>
            <w:tcBorders>
              <w:top w:val="single" w:sz="4" w:space="0" w:color="auto"/>
              <w:left w:val="single" w:sz="4" w:space="0" w:color="auto"/>
              <w:bottom w:val="single" w:sz="4" w:space="0" w:color="auto"/>
              <w:right w:val="single" w:sz="4" w:space="0" w:color="auto"/>
            </w:tcBorders>
            <w:hideMark/>
          </w:tcPr>
          <w:p w14:paraId="129C8A2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7.4</w:t>
            </w:r>
          </w:p>
        </w:tc>
      </w:tr>
      <w:tr w:rsidR="00342B3E" w:rsidRPr="00342B3E" w14:paraId="672157B1" w14:textId="77777777">
        <w:tc>
          <w:tcPr>
            <w:tcW w:w="1144" w:type="pct"/>
            <w:tcBorders>
              <w:top w:val="single" w:sz="4" w:space="0" w:color="auto"/>
              <w:left w:val="single" w:sz="4" w:space="0" w:color="auto"/>
              <w:bottom w:val="single" w:sz="4" w:space="0" w:color="auto"/>
              <w:right w:val="single" w:sz="4" w:space="0" w:color="auto"/>
            </w:tcBorders>
            <w:hideMark/>
          </w:tcPr>
          <w:p w14:paraId="3B8F58AB"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rtl/>
                <w:lang w:val="en-US"/>
              </w:rPr>
              <w:t>المجموع</w:t>
            </w:r>
          </w:p>
        </w:tc>
        <w:tc>
          <w:tcPr>
            <w:tcW w:w="1672" w:type="pct"/>
            <w:tcBorders>
              <w:top w:val="single" w:sz="4" w:space="0" w:color="auto"/>
              <w:left w:val="single" w:sz="4" w:space="0" w:color="auto"/>
              <w:bottom w:val="single" w:sz="4" w:space="0" w:color="auto"/>
              <w:right w:val="single" w:sz="4" w:space="0" w:color="auto"/>
            </w:tcBorders>
            <w:hideMark/>
          </w:tcPr>
          <w:p w14:paraId="05496CDE" w14:textId="77777777" w:rsidR="00342B3E" w:rsidRPr="00342B3E" w:rsidRDefault="00342B3E" w:rsidP="00342B3E">
            <w:pPr>
              <w:rPr>
                <w:rFonts w:ascii="Traditional Arabic" w:eastAsia="Calibri" w:hAnsi="Traditional Arabic" w:cs="Traditional Arabic"/>
                <w:sz w:val="28"/>
                <w:szCs w:val="28"/>
                <w:lang w:val="en-US"/>
              </w:rPr>
            </w:pPr>
          </w:p>
        </w:tc>
        <w:tc>
          <w:tcPr>
            <w:tcW w:w="851" w:type="pct"/>
            <w:tcBorders>
              <w:top w:val="single" w:sz="4" w:space="0" w:color="auto"/>
              <w:left w:val="single" w:sz="4" w:space="0" w:color="auto"/>
              <w:bottom w:val="single" w:sz="4" w:space="0" w:color="auto"/>
              <w:right w:val="single" w:sz="4" w:space="0" w:color="auto"/>
            </w:tcBorders>
            <w:hideMark/>
          </w:tcPr>
          <w:p w14:paraId="6CE244D5"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lang w:val="en-US"/>
              </w:rPr>
              <w:t>312</w:t>
            </w:r>
          </w:p>
        </w:tc>
        <w:tc>
          <w:tcPr>
            <w:tcW w:w="1332" w:type="pct"/>
            <w:tcBorders>
              <w:top w:val="single" w:sz="4" w:space="0" w:color="auto"/>
              <w:left w:val="single" w:sz="4" w:space="0" w:color="auto"/>
              <w:bottom w:val="single" w:sz="4" w:space="0" w:color="auto"/>
              <w:right w:val="single" w:sz="4" w:space="0" w:color="auto"/>
            </w:tcBorders>
            <w:hideMark/>
          </w:tcPr>
          <w:p w14:paraId="3F778475"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lang w:val="en-US"/>
              </w:rPr>
              <w:t>100.0</w:t>
            </w:r>
          </w:p>
        </w:tc>
      </w:tr>
      <w:tr w:rsidR="00342B3E" w:rsidRPr="00342B3E" w14:paraId="71A238DD" w14:textId="77777777">
        <w:tc>
          <w:tcPr>
            <w:tcW w:w="1144" w:type="pct"/>
            <w:tcBorders>
              <w:top w:val="single" w:sz="4" w:space="0" w:color="auto"/>
              <w:left w:val="single" w:sz="4" w:space="0" w:color="auto"/>
              <w:bottom w:val="single" w:sz="4" w:space="0" w:color="auto"/>
              <w:right w:val="single" w:sz="4" w:space="0" w:color="auto"/>
            </w:tcBorders>
            <w:hideMark/>
          </w:tcPr>
          <w:p w14:paraId="052DFD51"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rtl/>
                <w:lang w:val="en-US"/>
              </w:rPr>
              <w:t>سنوات الخبرة</w:t>
            </w:r>
          </w:p>
        </w:tc>
        <w:tc>
          <w:tcPr>
            <w:tcW w:w="1672" w:type="pct"/>
            <w:tcBorders>
              <w:top w:val="single" w:sz="4" w:space="0" w:color="auto"/>
              <w:left w:val="single" w:sz="4" w:space="0" w:color="auto"/>
              <w:bottom w:val="single" w:sz="4" w:space="0" w:color="auto"/>
              <w:right w:val="single" w:sz="4" w:space="0" w:color="auto"/>
            </w:tcBorders>
            <w:hideMark/>
          </w:tcPr>
          <w:p w14:paraId="505BC200"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أقل من 5 سنوات</w:t>
            </w:r>
          </w:p>
        </w:tc>
        <w:tc>
          <w:tcPr>
            <w:tcW w:w="851" w:type="pct"/>
            <w:tcBorders>
              <w:top w:val="single" w:sz="4" w:space="0" w:color="auto"/>
              <w:left w:val="single" w:sz="4" w:space="0" w:color="auto"/>
              <w:bottom w:val="single" w:sz="4" w:space="0" w:color="auto"/>
              <w:right w:val="single" w:sz="4" w:space="0" w:color="auto"/>
            </w:tcBorders>
            <w:hideMark/>
          </w:tcPr>
          <w:p w14:paraId="6B2E4EF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41</w:t>
            </w:r>
          </w:p>
        </w:tc>
        <w:tc>
          <w:tcPr>
            <w:tcW w:w="1332" w:type="pct"/>
            <w:tcBorders>
              <w:top w:val="single" w:sz="4" w:space="0" w:color="auto"/>
              <w:left w:val="single" w:sz="4" w:space="0" w:color="auto"/>
              <w:bottom w:val="single" w:sz="4" w:space="0" w:color="auto"/>
              <w:right w:val="single" w:sz="4" w:space="0" w:color="auto"/>
            </w:tcBorders>
            <w:hideMark/>
          </w:tcPr>
          <w:p w14:paraId="6A98592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13.1</w:t>
            </w:r>
          </w:p>
        </w:tc>
      </w:tr>
      <w:tr w:rsidR="00342B3E" w:rsidRPr="00342B3E" w14:paraId="72CE2BD6" w14:textId="77777777">
        <w:tc>
          <w:tcPr>
            <w:tcW w:w="1144" w:type="pct"/>
            <w:tcBorders>
              <w:top w:val="single" w:sz="4" w:space="0" w:color="auto"/>
              <w:left w:val="single" w:sz="4" w:space="0" w:color="auto"/>
              <w:bottom w:val="single" w:sz="4" w:space="0" w:color="auto"/>
              <w:right w:val="single" w:sz="4" w:space="0" w:color="auto"/>
            </w:tcBorders>
            <w:hideMark/>
          </w:tcPr>
          <w:p w14:paraId="776C597D"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12B1FD2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من 5 إلى أقل من 10 سنوات</w:t>
            </w:r>
          </w:p>
        </w:tc>
        <w:tc>
          <w:tcPr>
            <w:tcW w:w="851" w:type="pct"/>
            <w:tcBorders>
              <w:top w:val="single" w:sz="4" w:space="0" w:color="auto"/>
              <w:left w:val="single" w:sz="4" w:space="0" w:color="auto"/>
              <w:bottom w:val="single" w:sz="4" w:space="0" w:color="auto"/>
              <w:right w:val="single" w:sz="4" w:space="0" w:color="auto"/>
            </w:tcBorders>
            <w:hideMark/>
          </w:tcPr>
          <w:p w14:paraId="5148CA6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88</w:t>
            </w:r>
          </w:p>
        </w:tc>
        <w:tc>
          <w:tcPr>
            <w:tcW w:w="1332" w:type="pct"/>
            <w:tcBorders>
              <w:top w:val="single" w:sz="4" w:space="0" w:color="auto"/>
              <w:left w:val="single" w:sz="4" w:space="0" w:color="auto"/>
              <w:bottom w:val="single" w:sz="4" w:space="0" w:color="auto"/>
              <w:right w:val="single" w:sz="4" w:space="0" w:color="auto"/>
            </w:tcBorders>
            <w:hideMark/>
          </w:tcPr>
          <w:p w14:paraId="7089D570"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28.2</w:t>
            </w:r>
          </w:p>
        </w:tc>
      </w:tr>
      <w:tr w:rsidR="00342B3E" w:rsidRPr="00342B3E" w14:paraId="4E442039" w14:textId="77777777">
        <w:tc>
          <w:tcPr>
            <w:tcW w:w="1144" w:type="pct"/>
            <w:tcBorders>
              <w:top w:val="single" w:sz="4" w:space="0" w:color="auto"/>
              <w:left w:val="single" w:sz="4" w:space="0" w:color="auto"/>
              <w:bottom w:val="single" w:sz="4" w:space="0" w:color="auto"/>
              <w:right w:val="single" w:sz="4" w:space="0" w:color="auto"/>
            </w:tcBorders>
            <w:hideMark/>
          </w:tcPr>
          <w:p w14:paraId="6A749E36"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16E665FF"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من 10 إلى أقل من 15 سنة</w:t>
            </w:r>
          </w:p>
        </w:tc>
        <w:tc>
          <w:tcPr>
            <w:tcW w:w="851" w:type="pct"/>
            <w:tcBorders>
              <w:top w:val="single" w:sz="4" w:space="0" w:color="auto"/>
              <w:left w:val="single" w:sz="4" w:space="0" w:color="auto"/>
              <w:bottom w:val="single" w:sz="4" w:space="0" w:color="auto"/>
              <w:right w:val="single" w:sz="4" w:space="0" w:color="auto"/>
            </w:tcBorders>
            <w:hideMark/>
          </w:tcPr>
          <w:p w14:paraId="1FE39C1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97</w:t>
            </w:r>
          </w:p>
        </w:tc>
        <w:tc>
          <w:tcPr>
            <w:tcW w:w="1332" w:type="pct"/>
            <w:tcBorders>
              <w:top w:val="single" w:sz="4" w:space="0" w:color="auto"/>
              <w:left w:val="single" w:sz="4" w:space="0" w:color="auto"/>
              <w:bottom w:val="single" w:sz="4" w:space="0" w:color="auto"/>
              <w:right w:val="single" w:sz="4" w:space="0" w:color="auto"/>
            </w:tcBorders>
            <w:hideMark/>
          </w:tcPr>
          <w:p w14:paraId="79E7D786"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31.1</w:t>
            </w:r>
          </w:p>
        </w:tc>
      </w:tr>
      <w:tr w:rsidR="00342B3E" w:rsidRPr="00342B3E" w14:paraId="45075086" w14:textId="77777777">
        <w:tc>
          <w:tcPr>
            <w:tcW w:w="1144" w:type="pct"/>
            <w:tcBorders>
              <w:top w:val="single" w:sz="4" w:space="0" w:color="auto"/>
              <w:left w:val="single" w:sz="4" w:space="0" w:color="auto"/>
              <w:bottom w:val="single" w:sz="4" w:space="0" w:color="auto"/>
              <w:right w:val="single" w:sz="4" w:space="0" w:color="auto"/>
            </w:tcBorders>
            <w:hideMark/>
          </w:tcPr>
          <w:p w14:paraId="2694FDF4"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3CDF4BE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 xml:space="preserve">15 </w:t>
            </w:r>
            <w:r w:rsidRPr="00342B3E">
              <w:rPr>
                <w:rFonts w:ascii="Traditional Arabic" w:eastAsia="Calibri" w:hAnsi="Traditional Arabic" w:cs="Traditional Arabic"/>
                <w:sz w:val="28"/>
                <w:szCs w:val="28"/>
                <w:rtl/>
                <w:lang w:val="en-US"/>
              </w:rPr>
              <w:t>سنة فأكثر</w:t>
            </w:r>
          </w:p>
        </w:tc>
        <w:tc>
          <w:tcPr>
            <w:tcW w:w="851" w:type="pct"/>
            <w:tcBorders>
              <w:top w:val="single" w:sz="4" w:space="0" w:color="auto"/>
              <w:left w:val="single" w:sz="4" w:space="0" w:color="auto"/>
              <w:bottom w:val="single" w:sz="4" w:space="0" w:color="auto"/>
              <w:right w:val="single" w:sz="4" w:space="0" w:color="auto"/>
            </w:tcBorders>
            <w:hideMark/>
          </w:tcPr>
          <w:p w14:paraId="5D70146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86</w:t>
            </w:r>
          </w:p>
        </w:tc>
        <w:tc>
          <w:tcPr>
            <w:tcW w:w="1332" w:type="pct"/>
            <w:tcBorders>
              <w:top w:val="single" w:sz="4" w:space="0" w:color="auto"/>
              <w:left w:val="single" w:sz="4" w:space="0" w:color="auto"/>
              <w:bottom w:val="single" w:sz="4" w:space="0" w:color="auto"/>
              <w:right w:val="single" w:sz="4" w:space="0" w:color="auto"/>
            </w:tcBorders>
            <w:hideMark/>
          </w:tcPr>
          <w:p w14:paraId="2FCC207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27.6</w:t>
            </w:r>
          </w:p>
        </w:tc>
      </w:tr>
      <w:tr w:rsidR="00342B3E" w:rsidRPr="00342B3E" w14:paraId="730A6332" w14:textId="77777777">
        <w:tc>
          <w:tcPr>
            <w:tcW w:w="1144" w:type="pct"/>
            <w:tcBorders>
              <w:top w:val="single" w:sz="4" w:space="0" w:color="auto"/>
              <w:left w:val="single" w:sz="4" w:space="0" w:color="auto"/>
              <w:bottom w:val="single" w:sz="4" w:space="0" w:color="auto"/>
              <w:right w:val="single" w:sz="4" w:space="0" w:color="auto"/>
            </w:tcBorders>
            <w:hideMark/>
          </w:tcPr>
          <w:p w14:paraId="44A8FAD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rtl/>
                <w:lang w:val="en-US"/>
              </w:rPr>
              <w:t>المجموع</w:t>
            </w:r>
          </w:p>
        </w:tc>
        <w:tc>
          <w:tcPr>
            <w:tcW w:w="1672" w:type="pct"/>
            <w:tcBorders>
              <w:top w:val="single" w:sz="4" w:space="0" w:color="auto"/>
              <w:left w:val="single" w:sz="4" w:space="0" w:color="auto"/>
              <w:bottom w:val="single" w:sz="4" w:space="0" w:color="auto"/>
              <w:right w:val="single" w:sz="4" w:space="0" w:color="auto"/>
            </w:tcBorders>
            <w:hideMark/>
          </w:tcPr>
          <w:p w14:paraId="21AC2C54" w14:textId="77777777" w:rsidR="00342B3E" w:rsidRPr="00342B3E" w:rsidRDefault="00342B3E" w:rsidP="00342B3E">
            <w:pPr>
              <w:rPr>
                <w:rFonts w:ascii="Traditional Arabic" w:eastAsia="Calibri" w:hAnsi="Traditional Arabic" w:cs="Traditional Arabic"/>
                <w:sz w:val="28"/>
                <w:szCs w:val="28"/>
                <w:lang w:val="en-US"/>
              </w:rPr>
            </w:pPr>
          </w:p>
        </w:tc>
        <w:tc>
          <w:tcPr>
            <w:tcW w:w="851" w:type="pct"/>
            <w:tcBorders>
              <w:top w:val="single" w:sz="4" w:space="0" w:color="auto"/>
              <w:left w:val="single" w:sz="4" w:space="0" w:color="auto"/>
              <w:bottom w:val="single" w:sz="4" w:space="0" w:color="auto"/>
              <w:right w:val="single" w:sz="4" w:space="0" w:color="auto"/>
            </w:tcBorders>
            <w:hideMark/>
          </w:tcPr>
          <w:p w14:paraId="652D4FA8"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lang w:val="en-US"/>
              </w:rPr>
              <w:t>312</w:t>
            </w:r>
          </w:p>
        </w:tc>
        <w:tc>
          <w:tcPr>
            <w:tcW w:w="1332" w:type="pct"/>
            <w:tcBorders>
              <w:top w:val="single" w:sz="4" w:space="0" w:color="auto"/>
              <w:left w:val="single" w:sz="4" w:space="0" w:color="auto"/>
              <w:bottom w:val="single" w:sz="4" w:space="0" w:color="auto"/>
              <w:right w:val="single" w:sz="4" w:space="0" w:color="auto"/>
            </w:tcBorders>
            <w:hideMark/>
          </w:tcPr>
          <w:p w14:paraId="1655C24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lang w:val="en-US"/>
              </w:rPr>
              <w:t>100.0</w:t>
            </w:r>
          </w:p>
        </w:tc>
      </w:tr>
      <w:tr w:rsidR="00342B3E" w:rsidRPr="00342B3E" w14:paraId="10B92A6B" w14:textId="77777777">
        <w:tc>
          <w:tcPr>
            <w:tcW w:w="1144" w:type="pct"/>
            <w:tcBorders>
              <w:top w:val="single" w:sz="4" w:space="0" w:color="auto"/>
              <w:left w:val="single" w:sz="4" w:space="0" w:color="auto"/>
              <w:bottom w:val="single" w:sz="4" w:space="0" w:color="auto"/>
              <w:right w:val="single" w:sz="4" w:space="0" w:color="auto"/>
            </w:tcBorders>
            <w:hideMark/>
          </w:tcPr>
          <w:p w14:paraId="708C73B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rtl/>
                <w:lang w:val="en-US"/>
              </w:rPr>
              <w:t>المسمى الوظيفي</w:t>
            </w:r>
          </w:p>
        </w:tc>
        <w:tc>
          <w:tcPr>
            <w:tcW w:w="1672" w:type="pct"/>
            <w:tcBorders>
              <w:top w:val="single" w:sz="4" w:space="0" w:color="auto"/>
              <w:left w:val="single" w:sz="4" w:space="0" w:color="auto"/>
              <w:bottom w:val="single" w:sz="4" w:space="0" w:color="auto"/>
              <w:right w:val="single" w:sz="4" w:space="0" w:color="auto"/>
            </w:tcBorders>
            <w:hideMark/>
          </w:tcPr>
          <w:p w14:paraId="57402BB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إداري</w:t>
            </w:r>
          </w:p>
        </w:tc>
        <w:tc>
          <w:tcPr>
            <w:tcW w:w="851" w:type="pct"/>
            <w:tcBorders>
              <w:top w:val="single" w:sz="4" w:space="0" w:color="auto"/>
              <w:left w:val="single" w:sz="4" w:space="0" w:color="auto"/>
              <w:bottom w:val="single" w:sz="4" w:space="0" w:color="auto"/>
              <w:right w:val="single" w:sz="4" w:space="0" w:color="auto"/>
            </w:tcBorders>
            <w:hideMark/>
          </w:tcPr>
          <w:p w14:paraId="53DAE00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93</w:t>
            </w:r>
          </w:p>
        </w:tc>
        <w:tc>
          <w:tcPr>
            <w:tcW w:w="1332" w:type="pct"/>
            <w:tcBorders>
              <w:top w:val="single" w:sz="4" w:space="0" w:color="auto"/>
              <w:left w:val="single" w:sz="4" w:space="0" w:color="auto"/>
              <w:bottom w:val="single" w:sz="4" w:space="0" w:color="auto"/>
              <w:right w:val="single" w:sz="4" w:space="0" w:color="auto"/>
            </w:tcBorders>
            <w:hideMark/>
          </w:tcPr>
          <w:p w14:paraId="0ED15BB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29.8</w:t>
            </w:r>
          </w:p>
        </w:tc>
      </w:tr>
      <w:tr w:rsidR="00342B3E" w:rsidRPr="00342B3E" w14:paraId="567673E9" w14:textId="77777777">
        <w:tc>
          <w:tcPr>
            <w:tcW w:w="1144" w:type="pct"/>
            <w:tcBorders>
              <w:top w:val="single" w:sz="4" w:space="0" w:color="auto"/>
              <w:left w:val="single" w:sz="4" w:space="0" w:color="auto"/>
              <w:bottom w:val="single" w:sz="4" w:space="0" w:color="auto"/>
              <w:right w:val="single" w:sz="4" w:space="0" w:color="auto"/>
            </w:tcBorders>
            <w:hideMark/>
          </w:tcPr>
          <w:p w14:paraId="2A9D0CA9"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65FB754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فني</w:t>
            </w:r>
          </w:p>
        </w:tc>
        <w:tc>
          <w:tcPr>
            <w:tcW w:w="851" w:type="pct"/>
            <w:tcBorders>
              <w:top w:val="single" w:sz="4" w:space="0" w:color="auto"/>
              <w:left w:val="single" w:sz="4" w:space="0" w:color="auto"/>
              <w:bottom w:val="single" w:sz="4" w:space="0" w:color="auto"/>
              <w:right w:val="single" w:sz="4" w:space="0" w:color="auto"/>
            </w:tcBorders>
            <w:hideMark/>
          </w:tcPr>
          <w:p w14:paraId="7ACFF6D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112</w:t>
            </w:r>
          </w:p>
        </w:tc>
        <w:tc>
          <w:tcPr>
            <w:tcW w:w="1332" w:type="pct"/>
            <w:tcBorders>
              <w:top w:val="single" w:sz="4" w:space="0" w:color="auto"/>
              <w:left w:val="single" w:sz="4" w:space="0" w:color="auto"/>
              <w:bottom w:val="single" w:sz="4" w:space="0" w:color="auto"/>
              <w:right w:val="single" w:sz="4" w:space="0" w:color="auto"/>
            </w:tcBorders>
            <w:hideMark/>
          </w:tcPr>
          <w:p w14:paraId="173E921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35.9</w:t>
            </w:r>
          </w:p>
        </w:tc>
      </w:tr>
      <w:tr w:rsidR="00342B3E" w:rsidRPr="00342B3E" w14:paraId="3EC22FD8" w14:textId="77777777">
        <w:tc>
          <w:tcPr>
            <w:tcW w:w="1144" w:type="pct"/>
            <w:tcBorders>
              <w:top w:val="single" w:sz="4" w:space="0" w:color="auto"/>
              <w:left w:val="single" w:sz="4" w:space="0" w:color="auto"/>
              <w:bottom w:val="single" w:sz="4" w:space="0" w:color="auto"/>
              <w:right w:val="single" w:sz="4" w:space="0" w:color="auto"/>
            </w:tcBorders>
            <w:hideMark/>
          </w:tcPr>
          <w:p w14:paraId="19499467"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36CEF654"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إشرافي</w:t>
            </w:r>
          </w:p>
        </w:tc>
        <w:tc>
          <w:tcPr>
            <w:tcW w:w="851" w:type="pct"/>
            <w:tcBorders>
              <w:top w:val="single" w:sz="4" w:space="0" w:color="auto"/>
              <w:left w:val="single" w:sz="4" w:space="0" w:color="auto"/>
              <w:bottom w:val="single" w:sz="4" w:space="0" w:color="auto"/>
              <w:right w:val="single" w:sz="4" w:space="0" w:color="auto"/>
            </w:tcBorders>
            <w:hideMark/>
          </w:tcPr>
          <w:p w14:paraId="3CCCD639"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64</w:t>
            </w:r>
          </w:p>
        </w:tc>
        <w:tc>
          <w:tcPr>
            <w:tcW w:w="1332" w:type="pct"/>
            <w:tcBorders>
              <w:top w:val="single" w:sz="4" w:space="0" w:color="auto"/>
              <w:left w:val="single" w:sz="4" w:space="0" w:color="auto"/>
              <w:bottom w:val="single" w:sz="4" w:space="0" w:color="auto"/>
              <w:right w:val="single" w:sz="4" w:space="0" w:color="auto"/>
            </w:tcBorders>
            <w:hideMark/>
          </w:tcPr>
          <w:p w14:paraId="19431D27"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20.5</w:t>
            </w:r>
          </w:p>
        </w:tc>
      </w:tr>
      <w:tr w:rsidR="00342B3E" w:rsidRPr="00342B3E" w14:paraId="14591CCD" w14:textId="77777777">
        <w:tc>
          <w:tcPr>
            <w:tcW w:w="1144" w:type="pct"/>
            <w:tcBorders>
              <w:top w:val="single" w:sz="4" w:space="0" w:color="auto"/>
              <w:left w:val="single" w:sz="4" w:space="0" w:color="auto"/>
              <w:bottom w:val="single" w:sz="4" w:space="0" w:color="auto"/>
              <w:right w:val="single" w:sz="4" w:space="0" w:color="auto"/>
            </w:tcBorders>
            <w:hideMark/>
          </w:tcPr>
          <w:p w14:paraId="3AB240AB" w14:textId="77777777" w:rsidR="00342B3E" w:rsidRPr="00342B3E" w:rsidRDefault="00342B3E" w:rsidP="00342B3E">
            <w:pPr>
              <w:rPr>
                <w:rFonts w:ascii="Traditional Arabic" w:eastAsia="Calibri" w:hAnsi="Traditional Arabic" w:cs="Traditional Arabic"/>
                <w:sz w:val="28"/>
                <w:szCs w:val="28"/>
                <w:lang w:val="en-US"/>
              </w:rPr>
            </w:pPr>
          </w:p>
        </w:tc>
        <w:tc>
          <w:tcPr>
            <w:tcW w:w="1672" w:type="pct"/>
            <w:tcBorders>
              <w:top w:val="single" w:sz="4" w:space="0" w:color="auto"/>
              <w:left w:val="single" w:sz="4" w:space="0" w:color="auto"/>
              <w:bottom w:val="single" w:sz="4" w:space="0" w:color="auto"/>
              <w:right w:val="single" w:sz="4" w:space="0" w:color="auto"/>
            </w:tcBorders>
            <w:hideMark/>
          </w:tcPr>
          <w:p w14:paraId="6367B9BC"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rtl/>
                <w:lang w:val="en-US"/>
              </w:rPr>
              <w:t>قيادي</w:t>
            </w:r>
          </w:p>
        </w:tc>
        <w:tc>
          <w:tcPr>
            <w:tcW w:w="851" w:type="pct"/>
            <w:tcBorders>
              <w:top w:val="single" w:sz="4" w:space="0" w:color="auto"/>
              <w:left w:val="single" w:sz="4" w:space="0" w:color="auto"/>
              <w:bottom w:val="single" w:sz="4" w:space="0" w:color="auto"/>
              <w:right w:val="single" w:sz="4" w:space="0" w:color="auto"/>
            </w:tcBorders>
            <w:hideMark/>
          </w:tcPr>
          <w:p w14:paraId="1D4D446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43</w:t>
            </w:r>
          </w:p>
        </w:tc>
        <w:tc>
          <w:tcPr>
            <w:tcW w:w="1332" w:type="pct"/>
            <w:tcBorders>
              <w:top w:val="single" w:sz="4" w:space="0" w:color="auto"/>
              <w:left w:val="single" w:sz="4" w:space="0" w:color="auto"/>
              <w:bottom w:val="single" w:sz="4" w:space="0" w:color="auto"/>
              <w:right w:val="single" w:sz="4" w:space="0" w:color="auto"/>
            </w:tcBorders>
            <w:hideMark/>
          </w:tcPr>
          <w:p w14:paraId="3846EF5A"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sz w:val="28"/>
                <w:szCs w:val="28"/>
                <w:lang w:val="en-US"/>
              </w:rPr>
              <w:t>13.8</w:t>
            </w:r>
          </w:p>
        </w:tc>
      </w:tr>
      <w:tr w:rsidR="00342B3E" w:rsidRPr="00342B3E" w14:paraId="1E9D96BE" w14:textId="77777777">
        <w:tc>
          <w:tcPr>
            <w:tcW w:w="1144" w:type="pct"/>
            <w:tcBorders>
              <w:top w:val="single" w:sz="4" w:space="0" w:color="auto"/>
              <w:left w:val="single" w:sz="4" w:space="0" w:color="auto"/>
              <w:bottom w:val="single" w:sz="4" w:space="0" w:color="auto"/>
              <w:right w:val="single" w:sz="4" w:space="0" w:color="auto"/>
            </w:tcBorders>
            <w:hideMark/>
          </w:tcPr>
          <w:p w14:paraId="39B2946D"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rtl/>
                <w:lang w:val="en-US"/>
              </w:rPr>
              <w:t>المجموع</w:t>
            </w:r>
          </w:p>
        </w:tc>
        <w:tc>
          <w:tcPr>
            <w:tcW w:w="1672" w:type="pct"/>
            <w:tcBorders>
              <w:top w:val="single" w:sz="4" w:space="0" w:color="auto"/>
              <w:left w:val="single" w:sz="4" w:space="0" w:color="auto"/>
              <w:bottom w:val="single" w:sz="4" w:space="0" w:color="auto"/>
              <w:right w:val="single" w:sz="4" w:space="0" w:color="auto"/>
            </w:tcBorders>
            <w:hideMark/>
          </w:tcPr>
          <w:p w14:paraId="12F4FD08" w14:textId="77777777" w:rsidR="00342B3E" w:rsidRPr="00342B3E" w:rsidRDefault="00342B3E" w:rsidP="00342B3E">
            <w:pPr>
              <w:rPr>
                <w:rFonts w:ascii="Traditional Arabic" w:eastAsia="Calibri" w:hAnsi="Traditional Arabic" w:cs="Traditional Arabic"/>
                <w:sz w:val="28"/>
                <w:szCs w:val="28"/>
                <w:lang w:val="en-US"/>
              </w:rPr>
            </w:pPr>
          </w:p>
        </w:tc>
        <w:tc>
          <w:tcPr>
            <w:tcW w:w="851" w:type="pct"/>
            <w:tcBorders>
              <w:top w:val="single" w:sz="4" w:space="0" w:color="auto"/>
              <w:left w:val="single" w:sz="4" w:space="0" w:color="auto"/>
              <w:bottom w:val="single" w:sz="4" w:space="0" w:color="auto"/>
              <w:right w:val="single" w:sz="4" w:space="0" w:color="auto"/>
            </w:tcBorders>
            <w:hideMark/>
          </w:tcPr>
          <w:p w14:paraId="5B9BD0CE"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lang w:val="en-US"/>
              </w:rPr>
              <w:t>312</w:t>
            </w:r>
          </w:p>
        </w:tc>
        <w:tc>
          <w:tcPr>
            <w:tcW w:w="1332" w:type="pct"/>
            <w:tcBorders>
              <w:top w:val="single" w:sz="4" w:space="0" w:color="auto"/>
              <w:left w:val="single" w:sz="4" w:space="0" w:color="auto"/>
              <w:bottom w:val="single" w:sz="4" w:space="0" w:color="auto"/>
              <w:right w:val="single" w:sz="4" w:space="0" w:color="auto"/>
            </w:tcBorders>
            <w:hideMark/>
          </w:tcPr>
          <w:p w14:paraId="03A651D2" w14:textId="77777777" w:rsidR="00342B3E" w:rsidRPr="00342B3E" w:rsidRDefault="00342B3E" w:rsidP="00342B3E">
            <w:pPr>
              <w:bidi/>
              <w:spacing w:after="0" w:line="240" w:lineRule="auto"/>
              <w:ind w:firstLine="720"/>
              <w:jc w:val="both"/>
              <w:rPr>
                <w:rFonts w:ascii="Traditional Arabic" w:eastAsia="Calibri" w:hAnsi="Traditional Arabic" w:cs="Traditional Arabic"/>
                <w:sz w:val="28"/>
                <w:szCs w:val="28"/>
                <w:lang w:val="en-US"/>
              </w:rPr>
            </w:pPr>
            <w:r w:rsidRPr="00342B3E">
              <w:rPr>
                <w:rFonts w:ascii="Traditional Arabic" w:eastAsia="Calibri" w:hAnsi="Traditional Arabic" w:cs="Traditional Arabic"/>
                <w:b/>
                <w:bCs/>
                <w:sz w:val="28"/>
                <w:szCs w:val="28"/>
                <w:lang w:val="en-US"/>
              </w:rPr>
              <w:t>100.0</w:t>
            </w:r>
          </w:p>
        </w:tc>
      </w:tr>
    </w:tbl>
    <w:p w14:paraId="1EACCC5E"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p>
    <w:p w14:paraId="662907B7"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يتضح من الجدول (4-2) – بوصفه مثالًا توضيحيًا – أن غالبية أفراد العينة كانوا من الذكور بنسبة (69.9%)، في حين بلغت نسبة الإناث (30.1%). كما أظهرت النتائج أن الفئة العمرية من (30) إلى أقل من (40) سنة شكلت النسبة الأكبر من أفراد العينة، تلتها الفئة العمرية من (40) إلى أقل من (50) سنة، وهو ما يشير إلى أن معظم المشاركين يتمتعون بخبرة مهنية وعملية مناسبة</w:t>
      </w:r>
      <w:r w:rsidRPr="00342B3E">
        <w:rPr>
          <w:rFonts w:ascii="Traditional Arabic" w:eastAsia="Calibri" w:hAnsi="Traditional Arabic" w:cs="Traditional Arabic"/>
          <w:sz w:val="32"/>
          <w:szCs w:val="32"/>
          <w:lang w:val="en-US"/>
        </w:rPr>
        <w:t>.</w:t>
      </w:r>
    </w:p>
    <w:p w14:paraId="4F19E1F4"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فيما يتعلق بالمؤهل العلمي، فقد تبين أن حملة درجة البكالوريوس يمثلون النسبة الأعلى، يليهم حملة الماجستير، الأمر الذي يعكس ارتفاع المستوى العلمي للعاملين في الشركة. كما أظهرت النتائج أن أكبر نسبة من أفراد العينة لديهم خبرة تتراوح بين (10) وأقل من (15) سنة، تلتها فئة من (5) إلى أقل من (10) سنوات، مما يدل على أن غالبية المشاركين يمتلكون خبرات عملية مناسبة للإجابة عن فقرات الاستبانة</w:t>
      </w:r>
      <w:r w:rsidRPr="00342B3E">
        <w:rPr>
          <w:rFonts w:ascii="Traditional Arabic" w:eastAsia="Calibri" w:hAnsi="Traditional Arabic" w:cs="Traditional Arabic"/>
          <w:sz w:val="32"/>
          <w:szCs w:val="32"/>
          <w:lang w:val="en-US"/>
        </w:rPr>
        <w:t>.</w:t>
      </w:r>
    </w:p>
    <w:p w14:paraId="2EFE2BC0"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أما بالنسبة للمسمى الوظيفي، فقد شكل العاملون في الوظائف الفنية النسبة الأكبر، يليهم الإداريون، ثم الإشرافيون، وأخيرًا القياديون، وهو توزيع يتناسب مع الهيكل الوظيفي المعتاد في شركات الاتصالات، ويعكس تمثيلًا متوازنًا لمختلف المستويات الوظيفية داخل الشركة</w:t>
      </w:r>
      <w:r w:rsidRPr="00342B3E">
        <w:rPr>
          <w:rFonts w:ascii="Traditional Arabic" w:eastAsia="Calibri" w:hAnsi="Traditional Arabic" w:cs="Traditional Arabic"/>
          <w:sz w:val="32"/>
          <w:szCs w:val="32"/>
          <w:lang w:val="en-US"/>
        </w:rPr>
        <w:t>.</w:t>
      </w:r>
    </w:p>
    <w:p w14:paraId="67E143FB"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p>
    <w:p w14:paraId="47F9EF37" w14:textId="77777777" w:rsidR="00342B3E" w:rsidRPr="00342B3E" w:rsidRDefault="00342B3E" w:rsidP="00342B3E">
      <w:pPr>
        <w:bidi/>
        <w:spacing w:line="360" w:lineRule="auto"/>
        <w:ind w:firstLine="49"/>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4.4.1 النتائج المتعلقة بالمتغير المستقل (إدارة المعرفة)</w:t>
      </w:r>
    </w:p>
    <w:p w14:paraId="5A5AF48F"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 xml:space="preserve">تم تحليل استجابات أفراد عينة الدراسة للتعرف إلى مستوى تطبيق إدارة المعرفة في شركة موبايلي السعودية للاتصالات، وذلك من خلال حساب المتوسطات الحسابية والانحرافات المعيارية والأهمية النسبية لفقرات كل بعد من أبعاد إدارة </w:t>
      </w:r>
      <w:r w:rsidRPr="00342B3E">
        <w:rPr>
          <w:rFonts w:ascii="Traditional Arabic" w:eastAsia="Calibri" w:hAnsi="Traditional Arabic" w:cs="Traditional Arabic"/>
          <w:sz w:val="32"/>
          <w:szCs w:val="32"/>
          <w:rtl/>
          <w:lang w:val="en-US"/>
        </w:rPr>
        <w:lastRenderedPageBreak/>
        <w:t>المعرفة، بالإضافة إلى المتوسط الحسابي الكلي لكل بعد. وقد تم ترتيب الفقرات تنازليًا وفقًا لمتوسطاتها الحسابية، بما يساعد على تحديد الجوانب التي تحظى بدرجة أعلى من التطبيق مقارنة بغيرها</w:t>
      </w:r>
      <w:r w:rsidRPr="00342B3E">
        <w:rPr>
          <w:rFonts w:ascii="Traditional Arabic" w:eastAsia="Calibri" w:hAnsi="Traditional Arabic" w:cs="Traditional Arabic"/>
          <w:sz w:val="32"/>
          <w:szCs w:val="32"/>
          <w:lang w:val="en-US"/>
        </w:rPr>
        <w:t>.</w:t>
      </w:r>
    </w:p>
    <w:p w14:paraId="6E64FB25" w14:textId="77777777" w:rsidR="00342B3E" w:rsidRPr="00342B3E" w:rsidRDefault="00342B3E" w:rsidP="00342B3E">
      <w:pPr>
        <w:bidi/>
        <w:spacing w:line="360" w:lineRule="auto"/>
        <w:ind w:firstLine="720"/>
        <w:jc w:val="both"/>
        <w:rPr>
          <w:rFonts w:ascii="Traditional Arabic" w:eastAsia="Calibri" w:hAnsi="Traditional Arabic" w:cs="Traditional Arabic"/>
          <w:sz w:val="32"/>
          <w:szCs w:val="32"/>
          <w:lang w:val="en-US"/>
        </w:rPr>
      </w:pPr>
    </w:p>
    <w:p w14:paraId="3303BB8B"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4.4.1.1 اكتساب المعرفة</w:t>
      </w:r>
    </w:p>
    <w:p w14:paraId="313E9C23"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يُعد اكتساب المعرفة أحد الأبعاد الرئيسة لإدارة المعرفة، إذ يعكس قدرة المنظمة على الحصول على المعرفة والخبرات من مصادرها الداخلية والخارجية، وتحديثها بصورة مستمرة بما يدعم عملياتها الإدارية والتشغيلية، ويسهم في تحسين الأداء المؤسسي. وللتعرف إلى مستوى ممارسة شركة موبايلي السعودية للاتصالات لبعد اكتساب المعرفة، تم حساب المتوسطات الحسابية والانحرافات المعيارية والأهمية النسبية وترتيب الفقرات وفقًا لمتوسطاتها الحسابية، كما هو موضح في جدول (4-3).</w:t>
      </w:r>
    </w:p>
    <w:p w14:paraId="49F8BFF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b/>
          <w:bCs/>
          <w:sz w:val="32"/>
          <w:szCs w:val="32"/>
          <w:rtl/>
          <w:lang w:val="en-US"/>
        </w:rPr>
        <w:t>جدول (4-3) المتوسطات الحسابية والانحرافات المعيارية والأهمية النسبية لفقرات بعد اكتساب المعرفة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
        <w:gridCol w:w="4189"/>
        <w:gridCol w:w="1310"/>
        <w:gridCol w:w="1375"/>
        <w:gridCol w:w="1250"/>
        <w:gridCol w:w="825"/>
      </w:tblGrid>
      <w:tr w:rsidR="00342B3E" w:rsidRPr="00342B3E" w14:paraId="53FD26EE" w14:textId="77777777">
        <w:tc>
          <w:tcPr>
            <w:tcW w:w="0" w:type="auto"/>
            <w:tcBorders>
              <w:top w:val="single" w:sz="4" w:space="0" w:color="auto"/>
              <w:left w:val="single" w:sz="4" w:space="0" w:color="auto"/>
              <w:bottom w:val="single" w:sz="4" w:space="0" w:color="auto"/>
              <w:right w:val="single" w:sz="4" w:space="0" w:color="auto"/>
            </w:tcBorders>
            <w:hideMark/>
          </w:tcPr>
          <w:p w14:paraId="66E9F525"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الرقم</w:t>
            </w:r>
          </w:p>
        </w:tc>
        <w:tc>
          <w:tcPr>
            <w:tcW w:w="0" w:type="auto"/>
            <w:tcBorders>
              <w:top w:val="single" w:sz="4" w:space="0" w:color="auto"/>
              <w:left w:val="single" w:sz="4" w:space="0" w:color="auto"/>
              <w:bottom w:val="single" w:sz="4" w:space="0" w:color="auto"/>
              <w:right w:val="single" w:sz="4" w:space="0" w:color="auto"/>
            </w:tcBorders>
            <w:hideMark/>
          </w:tcPr>
          <w:p w14:paraId="386E7B09"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الفقرة</w:t>
            </w:r>
          </w:p>
        </w:tc>
        <w:tc>
          <w:tcPr>
            <w:tcW w:w="0" w:type="auto"/>
            <w:tcBorders>
              <w:top w:val="single" w:sz="4" w:space="0" w:color="auto"/>
              <w:left w:val="single" w:sz="4" w:space="0" w:color="auto"/>
              <w:bottom w:val="single" w:sz="4" w:space="0" w:color="auto"/>
              <w:right w:val="single" w:sz="4" w:space="0" w:color="auto"/>
            </w:tcBorders>
            <w:hideMark/>
          </w:tcPr>
          <w:p w14:paraId="0172E602"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المتوسط الحسابي</w:t>
            </w:r>
          </w:p>
        </w:tc>
        <w:tc>
          <w:tcPr>
            <w:tcW w:w="0" w:type="auto"/>
            <w:tcBorders>
              <w:top w:val="single" w:sz="4" w:space="0" w:color="auto"/>
              <w:left w:val="single" w:sz="4" w:space="0" w:color="auto"/>
              <w:bottom w:val="single" w:sz="4" w:space="0" w:color="auto"/>
              <w:right w:val="single" w:sz="4" w:space="0" w:color="auto"/>
            </w:tcBorders>
            <w:hideMark/>
          </w:tcPr>
          <w:p w14:paraId="2FEE971F"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الانحراف المعياري</w:t>
            </w:r>
          </w:p>
        </w:tc>
        <w:tc>
          <w:tcPr>
            <w:tcW w:w="0" w:type="auto"/>
            <w:tcBorders>
              <w:top w:val="single" w:sz="4" w:space="0" w:color="auto"/>
              <w:left w:val="single" w:sz="4" w:space="0" w:color="auto"/>
              <w:bottom w:val="single" w:sz="4" w:space="0" w:color="auto"/>
              <w:right w:val="single" w:sz="4" w:space="0" w:color="auto"/>
            </w:tcBorders>
            <w:hideMark/>
          </w:tcPr>
          <w:p w14:paraId="6F28432C"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مستوى التطبيق</w:t>
            </w:r>
          </w:p>
        </w:tc>
        <w:tc>
          <w:tcPr>
            <w:tcW w:w="0" w:type="auto"/>
            <w:tcBorders>
              <w:top w:val="single" w:sz="4" w:space="0" w:color="auto"/>
              <w:left w:val="single" w:sz="4" w:space="0" w:color="auto"/>
              <w:bottom w:val="single" w:sz="4" w:space="0" w:color="auto"/>
              <w:right w:val="single" w:sz="4" w:space="0" w:color="auto"/>
            </w:tcBorders>
            <w:hideMark/>
          </w:tcPr>
          <w:p w14:paraId="76A5DC30"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الترتيب</w:t>
            </w:r>
          </w:p>
        </w:tc>
      </w:tr>
      <w:tr w:rsidR="00342B3E" w:rsidRPr="00342B3E" w14:paraId="4685BA7A" w14:textId="77777777">
        <w:tc>
          <w:tcPr>
            <w:tcW w:w="0" w:type="auto"/>
            <w:tcBorders>
              <w:top w:val="single" w:sz="4" w:space="0" w:color="auto"/>
              <w:left w:val="single" w:sz="4" w:space="0" w:color="auto"/>
              <w:bottom w:val="single" w:sz="4" w:space="0" w:color="auto"/>
              <w:right w:val="single" w:sz="4" w:space="0" w:color="auto"/>
            </w:tcBorders>
            <w:hideMark/>
          </w:tcPr>
          <w:p w14:paraId="31CB5E4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7</w:t>
            </w:r>
          </w:p>
        </w:tc>
        <w:tc>
          <w:tcPr>
            <w:tcW w:w="0" w:type="auto"/>
            <w:tcBorders>
              <w:top w:val="single" w:sz="4" w:space="0" w:color="auto"/>
              <w:left w:val="single" w:sz="4" w:space="0" w:color="auto"/>
              <w:bottom w:val="single" w:sz="4" w:space="0" w:color="auto"/>
              <w:right w:val="single" w:sz="4" w:space="0" w:color="auto"/>
            </w:tcBorders>
            <w:hideMark/>
          </w:tcPr>
          <w:p w14:paraId="61ED10F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تشجع الإدارة البحث والتعلم المستمر داخل الشركة</w:t>
            </w:r>
            <w:r w:rsidRPr="00342B3E">
              <w:rPr>
                <w:rFonts w:ascii="Traditional Arabic" w:eastAsia="Calibri" w:hAnsi="Traditional Arabic" w:cs="Traditional Arabic"/>
                <w:sz w:val="32"/>
                <w:szCs w:val="32"/>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5EB032D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4.28</w:t>
            </w:r>
          </w:p>
        </w:tc>
        <w:tc>
          <w:tcPr>
            <w:tcW w:w="0" w:type="auto"/>
            <w:tcBorders>
              <w:top w:val="single" w:sz="4" w:space="0" w:color="auto"/>
              <w:left w:val="single" w:sz="4" w:space="0" w:color="auto"/>
              <w:bottom w:val="single" w:sz="4" w:space="0" w:color="auto"/>
              <w:right w:val="single" w:sz="4" w:space="0" w:color="auto"/>
            </w:tcBorders>
            <w:hideMark/>
          </w:tcPr>
          <w:p w14:paraId="289B1F8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0.63</w:t>
            </w:r>
          </w:p>
        </w:tc>
        <w:tc>
          <w:tcPr>
            <w:tcW w:w="0" w:type="auto"/>
            <w:tcBorders>
              <w:top w:val="single" w:sz="4" w:space="0" w:color="auto"/>
              <w:left w:val="single" w:sz="4" w:space="0" w:color="auto"/>
              <w:bottom w:val="single" w:sz="4" w:space="0" w:color="auto"/>
              <w:right w:val="single" w:sz="4" w:space="0" w:color="auto"/>
            </w:tcBorders>
            <w:hideMark/>
          </w:tcPr>
          <w:p w14:paraId="6216159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 جدًا</w:t>
            </w:r>
          </w:p>
        </w:tc>
        <w:tc>
          <w:tcPr>
            <w:tcW w:w="0" w:type="auto"/>
            <w:tcBorders>
              <w:top w:val="single" w:sz="4" w:space="0" w:color="auto"/>
              <w:left w:val="single" w:sz="4" w:space="0" w:color="auto"/>
              <w:bottom w:val="single" w:sz="4" w:space="0" w:color="auto"/>
              <w:right w:val="single" w:sz="4" w:space="0" w:color="auto"/>
            </w:tcBorders>
            <w:hideMark/>
          </w:tcPr>
          <w:p w14:paraId="0447835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w:t>
            </w:r>
          </w:p>
        </w:tc>
      </w:tr>
      <w:tr w:rsidR="00342B3E" w:rsidRPr="00342B3E" w14:paraId="7179722B" w14:textId="77777777">
        <w:tc>
          <w:tcPr>
            <w:tcW w:w="0" w:type="auto"/>
            <w:tcBorders>
              <w:top w:val="single" w:sz="4" w:space="0" w:color="auto"/>
              <w:left w:val="single" w:sz="4" w:space="0" w:color="auto"/>
              <w:bottom w:val="single" w:sz="4" w:space="0" w:color="auto"/>
              <w:right w:val="single" w:sz="4" w:space="0" w:color="auto"/>
            </w:tcBorders>
            <w:hideMark/>
          </w:tcPr>
          <w:p w14:paraId="134FC46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2</w:t>
            </w:r>
          </w:p>
        </w:tc>
        <w:tc>
          <w:tcPr>
            <w:tcW w:w="0" w:type="auto"/>
            <w:tcBorders>
              <w:top w:val="single" w:sz="4" w:space="0" w:color="auto"/>
              <w:left w:val="single" w:sz="4" w:space="0" w:color="auto"/>
              <w:bottom w:val="single" w:sz="4" w:space="0" w:color="auto"/>
              <w:right w:val="single" w:sz="4" w:space="0" w:color="auto"/>
            </w:tcBorders>
            <w:hideMark/>
          </w:tcPr>
          <w:p w14:paraId="762F1E8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يتم تشجيع العاملين على حضور الدورات والبرامج التدريبية لتطوير معارفهم</w:t>
            </w:r>
            <w:r w:rsidRPr="00342B3E">
              <w:rPr>
                <w:rFonts w:ascii="Traditional Arabic" w:eastAsia="Calibri" w:hAnsi="Traditional Arabic" w:cs="Traditional Arabic"/>
                <w:sz w:val="32"/>
                <w:szCs w:val="32"/>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08B2085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4.22</w:t>
            </w:r>
          </w:p>
        </w:tc>
        <w:tc>
          <w:tcPr>
            <w:tcW w:w="0" w:type="auto"/>
            <w:tcBorders>
              <w:top w:val="single" w:sz="4" w:space="0" w:color="auto"/>
              <w:left w:val="single" w:sz="4" w:space="0" w:color="auto"/>
              <w:bottom w:val="single" w:sz="4" w:space="0" w:color="auto"/>
              <w:right w:val="single" w:sz="4" w:space="0" w:color="auto"/>
            </w:tcBorders>
            <w:hideMark/>
          </w:tcPr>
          <w:p w14:paraId="30F6C48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0.68</w:t>
            </w:r>
          </w:p>
        </w:tc>
        <w:tc>
          <w:tcPr>
            <w:tcW w:w="0" w:type="auto"/>
            <w:tcBorders>
              <w:top w:val="single" w:sz="4" w:space="0" w:color="auto"/>
              <w:left w:val="single" w:sz="4" w:space="0" w:color="auto"/>
              <w:bottom w:val="single" w:sz="4" w:space="0" w:color="auto"/>
              <w:right w:val="single" w:sz="4" w:space="0" w:color="auto"/>
            </w:tcBorders>
            <w:hideMark/>
          </w:tcPr>
          <w:p w14:paraId="05DF31F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 جدًا</w:t>
            </w:r>
          </w:p>
        </w:tc>
        <w:tc>
          <w:tcPr>
            <w:tcW w:w="0" w:type="auto"/>
            <w:tcBorders>
              <w:top w:val="single" w:sz="4" w:space="0" w:color="auto"/>
              <w:left w:val="single" w:sz="4" w:space="0" w:color="auto"/>
              <w:bottom w:val="single" w:sz="4" w:space="0" w:color="auto"/>
              <w:right w:val="single" w:sz="4" w:space="0" w:color="auto"/>
            </w:tcBorders>
            <w:hideMark/>
          </w:tcPr>
          <w:p w14:paraId="5E8D657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2</w:t>
            </w:r>
          </w:p>
        </w:tc>
      </w:tr>
      <w:tr w:rsidR="00342B3E" w:rsidRPr="00342B3E" w14:paraId="309C38F0" w14:textId="77777777">
        <w:tc>
          <w:tcPr>
            <w:tcW w:w="0" w:type="auto"/>
            <w:tcBorders>
              <w:top w:val="single" w:sz="4" w:space="0" w:color="auto"/>
              <w:left w:val="single" w:sz="4" w:space="0" w:color="auto"/>
              <w:bottom w:val="single" w:sz="4" w:space="0" w:color="auto"/>
              <w:right w:val="single" w:sz="4" w:space="0" w:color="auto"/>
            </w:tcBorders>
            <w:hideMark/>
          </w:tcPr>
          <w:p w14:paraId="5B1DDED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5</w:t>
            </w:r>
          </w:p>
        </w:tc>
        <w:tc>
          <w:tcPr>
            <w:tcW w:w="0" w:type="auto"/>
            <w:tcBorders>
              <w:top w:val="single" w:sz="4" w:space="0" w:color="auto"/>
              <w:left w:val="single" w:sz="4" w:space="0" w:color="auto"/>
              <w:bottom w:val="single" w:sz="4" w:space="0" w:color="auto"/>
              <w:right w:val="single" w:sz="4" w:space="0" w:color="auto"/>
            </w:tcBorders>
            <w:hideMark/>
          </w:tcPr>
          <w:p w14:paraId="23F9FA3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توفر الشركة مصادر معرفية حديثة لدعم العمل</w:t>
            </w:r>
            <w:r w:rsidRPr="00342B3E">
              <w:rPr>
                <w:rFonts w:ascii="Traditional Arabic" w:eastAsia="Calibri" w:hAnsi="Traditional Arabic" w:cs="Traditional Arabic"/>
                <w:sz w:val="32"/>
                <w:szCs w:val="32"/>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4801580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4.16</w:t>
            </w:r>
          </w:p>
        </w:tc>
        <w:tc>
          <w:tcPr>
            <w:tcW w:w="0" w:type="auto"/>
            <w:tcBorders>
              <w:top w:val="single" w:sz="4" w:space="0" w:color="auto"/>
              <w:left w:val="single" w:sz="4" w:space="0" w:color="auto"/>
              <w:bottom w:val="single" w:sz="4" w:space="0" w:color="auto"/>
              <w:right w:val="single" w:sz="4" w:space="0" w:color="auto"/>
            </w:tcBorders>
            <w:hideMark/>
          </w:tcPr>
          <w:p w14:paraId="769B50B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0.72</w:t>
            </w:r>
          </w:p>
        </w:tc>
        <w:tc>
          <w:tcPr>
            <w:tcW w:w="0" w:type="auto"/>
            <w:tcBorders>
              <w:top w:val="single" w:sz="4" w:space="0" w:color="auto"/>
              <w:left w:val="single" w:sz="4" w:space="0" w:color="auto"/>
              <w:bottom w:val="single" w:sz="4" w:space="0" w:color="auto"/>
              <w:right w:val="single" w:sz="4" w:space="0" w:color="auto"/>
            </w:tcBorders>
            <w:hideMark/>
          </w:tcPr>
          <w:p w14:paraId="3F74A1E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7874B6F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w:t>
            </w:r>
          </w:p>
        </w:tc>
      </w:tr>
      <w:tr w:rsidR="00342B3E" w:rsidRPr="00342B3E" w14:paraId="7FBEB075" w14:textId="77777777">
        <w:tc>
          <w:tcPr>
            <w:tcW w:w="0" w:type="auto"/>
            <w:tcBorders>
              <w:top w:val="single" w:sz="4" w:space="0" w:color="auto"/>
              <w:left w:val="single" w:sz="4" w:space="0" w:color="auto"/>
              <w:bottom w:val="single" w:sz="4" w:space="0" w:color="auto"/>
              <w:right w:val="single" w:sz="4" w:space="0" w:color="auto"/>
            </w:tcBorders>
            <w:hideMark/>
          </w:tcPr>
          <w:p w14:paraId="744117F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6</w:t>
            </w:r>
          </w:p>
        </w:tc>
        <w:tc>
          <w:tcPr>
            <w:tcW w:w="0" w:type="auto"/>
            <w:tcBorders>
              <w:top w:val="single" w:sz="4" w:space="0" w:color="auto"/>
              <w:left w:val="single" w:sz="4" w:space="0" w:color="auto"/>
              <w:bottom w:val="single" w:sz="4" w:space="0" w:color="auto"/>
              <w:right w:val="single" w:sz="4" w:space="0" w:color="auto"/>
            </w:tcBorders>
            <w:hideMark/>
          </w:tcPr>
          <w:p w14:paraId="004060B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يتم تحديث المعلومات والأنظمة بصورة مستمرة</w:t>
            </w:r>
            <w:r w:rsidRPr="00342B3E">
              <w:rPr>
                <w:rFonts w:ascii="Traditional Arabic" w:eastAsia="Calibri" w:hAnsi="Traditional Arabic" w:cs="Traditional Arabic"/>
                <w:sz w:val="32"/>
                <w:szCs w:val="32"/>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40CA9F7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4.13</w:t>
            </w:r>
          </w:p>
        </w:tc>
        <w:tc>
          <w:tcPr>
            <w:tcW w:w="0" w:type="auto"/>
            <w:tcBorders>
              <w:top w:val="single" w:sz="4" w:space="0" w:color="auto"/>
              <w:left w:val="single" w:sz="4" w:space="0" w:color="auto"/>
              <w:bottom w:val="single" w:sz="4" w:space="0" w:color="auto"/>
              <w:right w:val="single" w:sz="4" w:space="0" w:color="auto"/>
            </w:tcBorders>
            <w:hideMark/>
          </w:tcPr>
          <w:p w14:paraId="3853D24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0.74</w:t>
            </w:r>
          </w:p>
        </w:tc>
        <w:tc>
          <w:tcPr>
            <w:tcW w:w="0" w:type="auto"/>
            <w:tcBorders>
              <w:top w:val="single" w:sz="4" w:space="0" w:color="auto"/>
              <w:left w:val="single" w:sz="4" w:space="0" w:color="auto"/>
              <w:bottom w:val="single" w:sz="4" w:space="0" w:color="auto"/>
              <w:right w:val="single" w:sz="4" w:space="0" w:color="auto"/>
            </w:tcBorders>
            <w:hideMark/>
          </w:tcPr>
          <w:p w14:paraId="02B5B07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0F3F056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w:t>
            </w:r>
          </w:p>
        </w:tc>
      </w:tr>
      <w:tr w:rsidR="00342B3E" w:rsidRPr="00342B3E" w14:paraId="4ED1079D" w14:textId="77777777">
        <w:tc>
          <w:tcPr>
            <w:tcW w:w="0" w:type="auto"/>
            <w:tcBorders>
              <w:top w:val="single" w:sz="4" w:space="0" w:color="auto"/>
              <w:left w:val="single" w:sz="4" w:space="0" w:color="auto"/>
              <w:bottom w:val="single" w:sz="4" w:space="0" w:color="auto"/>
              <w:right w:val="single" w:sz="4" w:space="0" w:color="auto"/>
            </w:tcBorders>
            <w:hideMark/>
          </w:tcPr>
          <w:p w14:paraId="5184754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w:t>
            </w:r>
          </w:p>
        </w:tc>
        <w:tc>
          <w:tcPr>
            <w:tcW w:w="0" w:type="auto"/>
            <w:tcBorders>
              <w:top w:val="single" w:sz="4" w:space="0" w:color="auto"/>
              <w:left w:val="single" w:sz="4" w:space="0" w:color="auto"/>
              <w:bottom w:val="single" w:sz="4" w:space="0" w:color="auto"/>
              <w:right w:val="single" w:sz="4" w:space="0" w:color="auto"/>
            </w:tcBorders>
            <w:hideMark/>
          </w:tcPr>
          <w:p w14:paraId="61934F7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يتم الاستفادة من خبرات الموظفين القدامى في تطوير المعرفة التنظيمية</w:t>
            </w:r>
            <w:r w:rsidRPr="00342B3E">
              <w:rPr>
                <w:rFonts w:ascii="Traditional Arabic" w:eastAsia="Calibri" w:hAnsi="Traditional Arabic" w:cs="Traditional Arabic"/>
                <w:sz w:val="32"/>
                <w:szCs w:val="32"/>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6B5BCCE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4.09</w:t>
            </w:r>
          </w:p>
        </w:tc>
        <w:tc>
          <w:tcPr>
            <w:tcW w:w="0" w:type="auto"/>
            <w:tcBorders>
              <w:top w:val="single" w:sz="4" w:space="0" w:color="auto"/>
              <w:left w:val="single" w:sz="4" w:space="0" w:color="auto"/>
              <w:bottom w:val="single" w:sz="4" w:space="0" w:color="auto"/>
              <w:right w:val="single" w:sz="4" w:space="0" w:color="auto"/>
            </w:tcBorders>
            <w:hideMark/>
          </w:tcPr>
          <w:p w14:paraId="3BCFFFB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0.77</w:t>
            </w:r>
          </w:p>
        </w:tc>
        <w:tc>
          <w:tcPr>
            <w:tcW w:w="0" w:type="auto"/>
            <w:tcBorders>
              <w:top w:val="single" w:sz="4" w:space="0" w:color="auto"/>
              <w:left w:val="single" w:sz="4" w:space="0" w:color="auto"/>
              <w:bottom w:val="single" w:sz="4" w:space="0" w:color="auto"/>
              <w:right w:val="single" w:sz="4" w:space="0" w:color="auto"/>
            </w:tcBorders>
            <w:hideMark/>
          </w:tcPr>
          <w:p w14:paraId="35914AC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21EE521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5</w:t>
            </w:r>
          </w:p>
        </w:tc>
      </w:tr>
      <w:tr w:rsidR="00342B3E" w:rsidRPr="00342B3E" w14:paraId="5A25D3BF" w14:textId="77777777">
        <w:tc>
          <w:tcPr>
            <w:tcW w:w="0" w:type="auto"/>
            <w:tcBorders>
              <w:top w:val="single" w:sz="4" w:space="0" w:color="auto"/>
              <w:left w:val="single" w:sz="4" w:space="0" w:color="auto"/>
              <w:bottom w:val="single" w:sz="4" w:space="0" w:color="auto"/>
              <w:right w:val="single" w:sz="4" w:space="0" w:color="auto"/>
            </w:tcBorders>
            <w:hideMark/>
          </w:tcPr>
          <w:p w14:paraId="441DED2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lastRenderedPageBreak/>
              <w:t>8</w:t>
            </w:r>
          </w:p>
        </w:tc>
        <w:tc>
          <w:tcPr>
            <w:tcW w:w="0" w:type="auto"/>
            <w:tcBorders>
              <w:top w:val="single" w:sz="4" w:space="0" w:color="auto"/>
              <w:left w:val="single" w:sz="4" w:space="0" w:color="auto"/>
              <w:bottom w:val="single" w:sz="4" w:space="0" w:color="auto"/>
              <w:right w:val="single" w:sz="4" w:space="0" w:color="auto"/>
            </w:tcBorders>
            <w:hideMark/>
          </w:tcPr>
          <w:p w14:paraId="4B1F9FD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تعتمد الشركة على التغذية الراجعة لاكتساب معرفة جديدة</w:t>
            </w:r>
            <w:r w:rsidRPr="00342B3E">
              <w:rPr>
                <w:rFonts w:ascii="Traditional Arabic" w:eastAsia="Calibri" w:hAnsi="Traditional Arabic" w:cs="Traditional Arabic"/>
                <w:sz w:val="32"/>
                <w:szCs w:val="32"/>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174427E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4.04</w:t>
            </w:r>
          </w:p>
        </w:tc>
        <w:tc>
          <w:tcPr>
            <w:tcW w:w="0" w:type="auto"/>
            <w:tcBorders>
              <w:top w:val="single" w:sz="4" w:space="0" w:color="auto"/>
              <w:left w:val="single" w:sz="4" w:space="0" w:color="auto"/>
              <w:bottom w:val="single" w:sz="4" w:space="0" w:color="auto"/>
              <w:right w:val="single" w:sz="4" w:space="0" w:color="auto"/>
            </w:tcBorders>
            <w:hideMark/>
          </w:tcPr>
          <w:p w14:paraId="2CBB2A6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0.81</w:t>
            </w:r>
          </w:p>
        </w:tc>
        <w:tc>
          <w:tcPr>
            <w:tcW w:w="0" w:type="auto"/>
            <w:tcBorders>
              <w:top w:val="single" w:sz="4" w:space="0" w:color="auto"/>
              <w:left w:val="single" w:sz="4" w:space="0" w:color="auto"/>
              <w:bottom w:val="single" w:sz="4" w:space="0" w:color="auto"/>
              <w:right w:val="single" w:sz="4" w:space="0" w:color="auto"/>
            </w:tcBorders>
            <w:hideMark/>
          </w:tcPr>
          <w:p w14:paraId="23574DD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675244C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6</w:t>
            </w:r>
          </w:p>
        </w:tc>
      </w:tr>
      <w:tr w:rsidR="00342B3E" w:rsidRPr="00342B3E" w14:paraId="37E45E80" w14:textId="77777777">
        <w:tc>
          <w:tcPr>
            <w:tcW w:w="0" w:type="auto"/>
            <w:tcBorders>
              <w:top w:val="single" w:sz="4" w:space="0" w:color="auto"/>
              <w:left w:val="single" w:sz="4" w:space="0" w:color="auto"/>
              <w:bottom w:val="single" w:sz="4" w:space="0" w:color="auto"/>
              <w:right w:val="single" w:sz="4" w:space="0" w:color="auto"/>
            </w:tcBorders>
            <w:hideMark/>
          </w:tcPr>
          <w:p w14:paraId="7839227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w:t>
            </w:r>
          </w:p>
        </w:tc>
        <w:tc>
          <w:tcPr>
            <w:tcW w:w="0" w:type="auto"/>
            <w:tcBorders>
              <w:top w:val="single" w:sz="4" w:space="0" w:color="auto"/>
              <w:left w:val="single" w:sz="4" w:space="0" w:color="auto"/>
              <w:bottom w:val="single" w:sz="4" w:space="0" w:color="auto"/>
              <w:right w:val="single" w:sz="4" w:space="0" w:color="auto"/>
            </w:tcBorders>
            <w:hideMark/>
          </w:tcPr>
          <w:p w14:paraId="42EC5ED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تعتمد الشركة على تحليل البيانات لاكتساب معرفة جديدة</w:t>
            </w:r>
            <w:r w:rsidRPr="00342B3E">
              <w:rPr>
                <w:rFonts w:ascii="Traditional Arabic" w:eastAsia="Calibri" w:hAnsi="Traditional Arabic" w:cs="Traditional Arabic"/>
                <w:sz w:val="32"/>
                <w:szCs w:val="32"/>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0100152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3.96</w:t>
            </w:r>
          </w:p>
        </w:tc>
        <w:tc>
          <w:tcPr>
            <w:tcW w:w="0" w:type="auto"/>
            <w:tcBorders>
              <w:top w:val="single" w:sz="4" w:space="0" w:color="auto"/>
              <w:left w:val="single" w:sz="4" w:space="0" w:color="auto"/>
              <w:bottom w:val="single" w:sz="4" w:space="0" w:color="auto"/>
              <w:right w:val="single" w:sz="4" w:space="0" w:color="auto"/>
            </w:tcBorders>
            <w:hideMark/>
          </w:tcPr>
          <w:p w14:paraId="7B3792D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0.84</w:t>
            </w:r>
          </w:p>
        </w:tc>
        <w:tc>
          <w:tcPr>
            <w:tcW w:w="0" w:type="auto"/>
            <w:tcBorders>
              <w:top w:val="single" w:sz="4" w:space="0" w:color="auto"/>
              <w:left w:val="single" w:sz="4" w:space="0" w:color="auto"/>
              <w:bottom w:val="single" w:sz="4" w:space="0" w:color="auto"/>
              <w:right w:val="single" w:sz="4" w:space="0" w:color="auto"/>
            </w:tcBorders>
            <w:hideMark/>
          </w:tcPr>
          <w:p w14:paraId="1E08311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3B51458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7</w:t>
            </w:r>
          </w:p>
        </w:tc>
      </w:tr>
      <w:tr w:rsidR="00342B3E" w:rsidRPr="00342B3E" w14:paraId="6C0C464B" w14:textId="77777777">
        <w:tc>
          <w:tcPr>
            <w:tcW w:w="0" w:type="auto"/>
            <w:tcBorders>
              <w:top w:val="single" w:sz="4" w:space="0" w:color="auto"/>
              <w:left w:val="single" w:sz="4" w:space="0" w:color="auto"/>
              <w:bottom w:val="single" w:sz="4" w:space="0" w:color="auto"/>
              <w:right w:val="single" w:sz="4" w:space="0" w:color="auto"/>
            </w:tcBorders>
            <w:hideMark/>
          </w:tcPr>
          <w:p w14:paraId="4F0A18E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w:t>
            </w:r>
          </w:p>
        </w:tc>
        <w:tc>
          <w:tcPr>
            <w:tcW w:w="0" w:type="auto"/>
            <w:tcBorders>
              <w:top w:val="single" w:sz="4" w:space="0" w:color="auto"/>
              <w:left w:val="single" w:sz="4" w:space="0" w:color="auto"/>
              <w:bottom w:val="single" w:sz="4" w:space="0" w:color="auto"/>
              <w:right w:val="single" w:sz="4" w:space="0" w:color="auto"/>
            </w:tcBorders>
            <w:hideMark/>
          </w:tcPr>
          <w:p w14:paraId="516A764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تسعى الشركة باستمرار للحصول على المعرفة من مصادر خارجية</w:t>
            </w:r>
            <w:r w:rsidRPr="00342B3E">
              <w:rPr>
                <w:rFonts w:ascii="Traditional Arabic" w:eastAsia="Calibri" w:hAnsi="Traditional Arabic" w:cs="Traditional Arabic"/>
                <w:sz w:val="32"/>
                <w:szCs w:val="32"/>
                <w:lang w:val="en-US"/>
              </w:rPr>
              <w:t>.</w:t>
            </w:r>
          </w:p>
        </w:tc>
        <w:tc>
          <w:tcPr>
            <w:tcW w:w="0" w:type="auto"/>
            <w:tcBorders>
              <w:top w:val="single" w:sz="4" w:space="0" w:color="auto"/>
              <w:left w:val="single" w:sz="4" w:space="0" w:color="auto"/>
              <w:bottom w:val="single" w:sz="4" w:space="0" w:color="auto"/>
              <w:right w:val="single" w:sz="4" w:space="0" w:color="auto"/>
            </w:tcBorders>
            <w:hideMark/>
          </w:tcPr>
          <w:p w14:paraId="7C47DD7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3.88</w:t>
            </w:r>
          </w:p>
        </w:tc>
        <w:tc>
          <w:tcPr>
            <w:tcW w:w="0" w:type="auto"/>
            <w:tcBorders>
              <w:top w:val="single" w:sz="4" w:space="0" w:color="auto"/>
              <w:left w:val="single" w:sz="4" w:space="0" w:color="auto"/>
              <w:bottom w:val="single" w:sz="4" w:space="0" w:color="auto"/>
              <w:right w:val="single" w:sz="4" w:space="0" w:color="auto"/>
            </w:tcBorders>
            <w:hideMark/>
          </w:tcPr>
          <w:p w14:paraId="6C07814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0.87</w:t>
            </w:r>
          </w:p>
        </w:tc>
        <w:tc>
          <w:tcPr>
            <w:tcW w:w="0" w:type="auto"/>
            <w:tcBorders>
              <w:top w:val="single" w:sz="4" w:space="0" w:color="auto"/>
              <w:left w:val="single" w:sz="4" w:space="0" w:color="auto"/>
              <w:bottom w:val="single" w:sz="4" w:space="0" w:color="auto"/>
              <w:right w:val="single" w:sz="4" w:space="0" w:color="auto"/>
            </w:tcBorders>
            <w:hideMark/>
          </w:tcPr>
          <w:p w14:paraId="76F8895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37B9C01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8</w:t>
            </w:r>
          </w:p>
        </w:tc>
      </w:tr>
      <w:tr w:rsidR="00342B3E" w:rsidRPr="00342B3E" w14:paraId="61D8EF4B" w14:textId="77777777">
        <w:tc>
          <w:tcPr>
            <w:tcW w:w="0" w:type="auto"/>
            <w:gridSpan w:val="2"/>
            <w:tcBorders>
              <w:top w:val="single" w:sz="4" w:space="0" w:color="auto"/>
              <w:left w:val="single" w:sz="4" w:space="0" w:color="auto"/>
              <w:bottom w:val="single" w:sz="4" w:space="0" w:color="auto"/>
              <w:right w:val="single" w:sz="4" w:space="0" w:color="auto"/>
            </w:tcBorders>
            <w:hideMark/>
          </w:tcPr>
          <w:p w14:paraId="2DF18DB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اكتساب المعرفة ككل</w:t>
            </w:r>
          </w:p>
        </w:tc>
        <w:tc>
          <w:tcPr>
            <w:tcW w:w="0" w:type="auto"/>
            <w:tcBorders>
              <w:top w:val="single" w:sz="4" w:space="0" w:color="auto"/>
              <w:left w:val="single" w:sz="4" w:space="0" w:color="auto"/>
              <w:bottom w:val="single" w:sz="4" w:space="0" w:color="auto"/>
              <w:right w:val="single" w:sz="4" w:space="0" w:color="auto"/>
            </w:tcBorders>
            <w:hideMark/>
          </w:tcPr>
          <w:p w14:paraId="26D5FFF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lang w:val="en-US"/>
              </w:rPr>
              <w:t>4.10</w:t>
            </w:r>
          </w:p>
        </w:tc>
        <w:tc>
          <w:tcPr>
            <w:tcW w:w="0" w:type="auto"/>
            <w:tcBorders>
              <w:top w:val="single" w:sz="4" w:space="0" w:color="auto"/>
              <w:left w:val="single" w:sz="4" w:space="0" w:color="auto"/>
              <w:bottom w:val="single" w:sz="4" w:space="0" w:color="auto"/>
              <w:right w:val="single" w:sz="4" w:space="0" w:color="auto"/>
            </w:tcBorders>
            <w:hideMark/>
          </w:tcPr>
          <w:p w14:paraId="7AC89A5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lang w:val="en-US"/>
              </w:rPr>
              <w:t>0.63</w:t>
            </w:r>
          </w:p>
        </w:tc>
        <w:tc>
          <w:tcPr>
            <w:tcW w:w="0" w:type="auto"/>
            <w:tcBorders>
              <w:top w:val="single" w:sz="4" w:space="0" w:color="auto"/>
              <w:left w:val="single" w:sz="4" w:space="0" w:color="auto"/>
              <w:bottom w:val="single" w:sz="4" w:space="0" w:color="auto"/>
              <w:right w:val="single" w:sz="4" w:space="0" w:color="auto"/>
            </w:tcBorders>
            <w:hideMark/>
          </w:tcPr>
          <w:p w14:paraId="7CD4E02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0DA72F94" w14:textId="77777777" w:rsidR="00342B3E" w:rsidRPr="00342B3E" w:rsidRDefault="00342B3E" w:rsidP="00342B3E">
            <w:pPr>
              <w:rPr>
                <w:rFonts w:ascii="Traditional Arabic" w:eastAsia="Calibri" w:hAnsi="Traditional Arabic" w:cs="Traditional Arabic"/>
                <w:sz w:val="32"/>
                <w:szCs w:val="32"/>
                <w:lang w:val="en-US"/>
              </w:rPr>
            </w:pPr>
          </w:p>
        </w:tc>
      </w:tr>
    </w:tbl>
    <w:p w14:paraId="5A6108BB"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p>
    <w:p w14:paraId="5798CAC5"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يتضح من نتائج جدول (4-3) أن المتوسط الحسابي الكلي لبعد اكتساب المعرفة بلغ (4.10) بانحراف معياري مقداره (0.63)، وهو ما يشير إلى أن مستوى ممارسة شركة موبايلي لاكتساب المعرفة جاء مرتفعًا وفقًا لمعيار تفسير المتوسطات الحسابية المعتمد في الدراسة</w:t>
      </w:r>
      <w:r w:rsidRPr="00342B3E">
        <w:rPr>
          <w:rFonts w:ascii="Traditional Arabic" w:eastAsia="Calibri" w:hAnsi="Traditional Arabic" w:cs="Traditional Arabic"/>
          <w:sz w:val="32"/>
          <w:szCs w:val="32"/>
          <w:lang w:val="en-US"/>
        </w:rPr>
        <w:t>.</w:t>
      </w:r>
    </w:p>
    <w:p w14:paraId="1BA7C36E"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كما أظهرت النتائج وجود تقارب نسبي بين متوسطات فقرات البعد، حيث تراوحت المتوسطات الحسابية بين (3.88) و (4.28)، مما يعكس وجود اهتمام واضح من الشركة بممارسات اكتساب المعرفة، وإن بدرجات متفاوتة</w:t>
      </w:r>
      <w:r w:rsidRPr="00342B3E">
        <w:rPr>
          <w:rFonts w:ascii="Traditional Arabic" w:eastAsia="Calibri" w:hAnsi="Traditional Arabic" w:cs="Traditional Arabic"/>
          <w:sz w:val="32"/>
          <w:szCs w:val="32"/>
          <w:lang w:val="en-US"/>
        </w:rPr>
        <w:t>.</w:t>
      </w:r>
    </w:p>
    <w:p w14:paraId="0E0120F7"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وجاءت الفقرة "تشجع الإدارة البحث والتعلم المستمر داخل الشركة" في المرتبة الأولى بمتوسط حسابي بلغ (4.28)، مما يدل على اهتمام الإدارة بتهيئة بيئة تنظيمية داعمة للتعلم المستمر وتطوير معارف العاملين، وهو ما يسهم في تعزيز قدراتهم المهنية وتحسين مستوى أدائهم</w:t>
      </w:r>
      <w:r w:rsidRPr="00342B3E">
        <w:rPr>
          <w:rFonts w:ascii="Traditional Arabic" w:eastAsia="Calibri" w:hAnsi="Traditional Arabic" w:cs="Traditional Arabic"/>
          <w:sz w:val="32"/>
          <w:szCs w:val="32"/>
          <w:lang w:val="en-US"/>
        </w:rPr>
        <w:t>.</w:t>
      </w:r>
    </w:p>
    <w:p w14:paraId="5C5A5A94"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وجاءت في المرتبة الثانية الفقرة "يتم تشجيع العاملين على حضور الدورات والبرامج التدريبية لتطوير معارفهم" بمتوسط حسابي بلغ (4.22)، وهو ما يعكس اهتمام الشركة بتنمية رأس المال البشري من خلال التدريب المستمر، باعتباره أحد أهم مصادر اكتساب المعرفة في المؤسسات الحديثة</w:t>
      </w:r>
      <w:r w:rsidRPr="00342B3E">
        <w:rPr>
          <w:rFonts w:ascii="Traditional Arabic" w:eastAsia="Calibri" w:hAnsi="Traditional Arabic" w:cs="Traditional Arabic"/>
          <w:sz w:val="32"/>
          <w:szCs w:val="32"/>
          <w:lang w:val="en-US"/>
        </w:rPr>
        <w:t>.</w:t>
      </w:r>
    </w:p>
    <w:p w14:paraId="1151B81C"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lastRenderedPageBreak/>
        <w:t>في المقابل، جاءت الفقرة "تسعى الشركة باستمرار للحصول على المعرفة من مصادر خارجية" في المرتبة الأخيرة بمتوسط حسابي بلغ (3.88)، ورغم أنها جاءت ضمن المستوى المرتفع، إلا أن ذلك قد يشير إلى أن الشركة تعتمد بدرجة أكبر على المعرفة الداخلية مقارنة بالاستفادة من المصادر الخارجية، مثل الشراكات المؤسسية، أو بيوت الخبرة، أو الدراسات المتخصصة</w:t>
      </w:r>
      <w:r w:rsidRPr="00342B3E">
        <w:rPr>
          <w:rFonts w:ascii="Traditional Arabic" w:eastAsia="Calibri" w:hAnsi="Traditional Arabic" w:cs="Traditional Arabic"/>
          <w:sz w:val="32"/>
          <w:szCs w:val="32"/>
          <w:lang w:val="en-US"/>
        </w:rPr>
        <w:t>.</w:t>
      </w:r>
    </w:p>
    <w:p w14:paraId="0710C392"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وتشير هذه النتائج بصورة عامة إلى أن شركة موبايلي تولي اهتمامًا ملحوظًا باكتساب المعرفة، من خلال تشجيع التعلم المستمر، وتوفير البرامج التدريبية، وتحديث مصادر المعرفة، الأمر الذي يعزز من قدرة العاملين على مواكبة التطورات التقنية والتنظيمية، ويدعم تحقيق أهداف الشركة بكفاءة وفاعلية</w:t>
      </w:r>
      <w:r w:rsidRPr="00342B3E">
        <w:rPr>
          <w:rFonts w:ascii="Traditional Arabic" w:eastAsia="Calibri" w:hAnsi="Traditional Arabic" w:cs="Traditional Arabic"/>
          <w:sz w:val="32"/>
          <w:szCs w:val="32"/>
          <w:lang w:val="en-US"/>
        </w:rPr>
        <w:t>.</w:t>
      </w:r>
    </w:p>
    <w:p w14:paraId="292B70C3"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وتتفق هذه النتيجة مع ما توصلت إليه دراسة كرار والموسوي (2021) التي أكدت أن اكتساب المعرفة يمثل نقطة الانطلاق في بناء نظام فعال لإدارة المعرفة، كما تتفق مع دراسة</w:t>
      </w:r>
      <w:r w:rsidRPr="00342B3E">
        <w:rPr>
          <w:rFonts w:ascii="Traditional Arabic" w:eastAsia="Calibri" w:hAnsi="Traditional Arabic" w:cs="Traditional Arabic"/>
          <w:sz w:val="32"/>
          <w:szCs w:val="32"/>
          <w:lang w:val="en-US"/>
        </w:rPr>
        <w:t xml:space="preserve"> Pelealu et al. (2022) </w:t>
      </w:r>
      <w:r w:rsidRPr="00342B3E">
        <w:rPr>
          <w:rFonts w:ascii="Traditional Arabic" w:eastAsia="Calibri" w:hAnsi="Traditional Arabic" w:cs="Traditional Arabic"/>
          <w:sz w:val="32"/>
          <w:szCs w:val="32"/>
          <w:rtl/>
          <w:lang w:val="en-US"/>
        </w:rPr>
        <w:t>التي أشارت إلى أن الاستثمار في التعلم المستمر وتطوير معارف العاملين يسهم بصورة مباشرة في تحسين الأداء التنظيمي. كذلك تتفق مع نتائج دراسة</w:t>
      </w:r>
      <w:r w:rsidRPr="00342B3E">
        <w:rPr>
          <w:rFonts w:ascii="Traditional Arabic" w:eastAsia="Calibri" w:hAnsi="Traditional Arabic" w:cs="Traditional Arabic"/>
          <w:sz w:val="32"/>
          <w:szCs w:val="32"/>
          <w:lang w:val="en-US"/>
        </w:rPr>
        <w:t xml:space="preserve"> Palupiningtyas et al. (2024) </w:t>
      </w:r>
      <w:r w:rsidRPr="00342B3E">
        <w:rPr>
          <w:rFonts w:ascii="Traditional Arabic" w:eastAsia="Calibri" w:hAnsi="Traditional Arabic" w:cs="Traditional Arabic"/>
          <w:sz w:val="32"/>
          <w:szCs w:val="32"/>
          <w:rtl/>
          <w:lang w:val="en-US"/>
        </w:rPr>
        <w:t>التي أوضحت أن توفير مصادر معرفية متنوعة وتحديثها باستمرار يعزز من قدرة المؤسسات على الابتكار وتحسين جودة الخدمات المقدمة</w:t>
      </w:r>
      <w:r w:rsidRPr="00342B3E">
        <w:rPr>
          <w:rFonts w:ascii="Traditional Arabic" w:eastAsia="Calibri" w:hAnsi="Traditional Arabic" w:cs="Traditional Arabic"/>
          <w:sz w:val="32"/>
          <w:szCs w:val="32"/>
          <w:lang w:val="en-US"/>
        </w:rPr>
        <w:t>.</w:t>
      </w:r>
    </w:p>
    <w:p w14:paraId="0291AF94"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ويمكن تفسير هذه النتيجة بطبيعة عمل شركة موبايلي، التي تعمل في قطاع الاتصالات، وهو قطاع يتسم بسرعة التطور التقني والمنافسة العالية، الأمر الذي يتطلب تحديث المعرفة بصورة مستمرة، والاستثمار في تدريب العاملين، وتوفير بيئة تنظيمية تشجع التعلم والتطوير المستمر، بما ينعكس إيجابًا على كفاءة الأداء وتحقيق الميزة التنافسية.</w:t>
      </w:r>
    </w:p>
    <w:p w14:paraId="2A095FDD" w14:textId="77777777" w:rsidR="00342B3E" w:rsidRPr="00342B3E" w:rsidRDefault="00342B3E" w:rsidP="00342B3E">
      <w:pPr>
        <w:bidi/>
        <w:spacing w:line="360" w:lineRule="auto"/>
        <w:jc w:val="both"/>
        <w:rPr>
          <w:rFonts w:ascii="Traditional Arabic" w:eastAsia="Calibri" w:hAnsi="Traditional Arabic" w:cs="Traditional Arabic"/>
          <w:sz w:val="32"/>
          <w:szCs w:val="32"/>
          <w:rtl/>
        </w:rPr>
      </w:pPr>
      <w:r w:rsidRPr="00342B3E">
        <w:rPr>
          <w:rFonts w:ascii="Traditional Arabic" w:eastAsia="Calibri" w:hAnsi="Traditional Arabic" w:cs="Traditional Arabic"/>
          <w:sz w:val="32"/>
          <w:szCs w:val="32"/>
          <w:rtl/>
          <w:lang w:val="en-US"/>
        </w:rPr>
        <w:t xml:space="preserve">كما يمكن تفسير اتفاق هذه النتيجة مع نتائج الدراسات السابقة بأن معظمها أجري في بيئات تنظيمية تعتمد على المعرفة بوصفها موردًا إستراتيجيًا لتحسين الأداء المؤسسي، كما اعتمدت المنهج الوصفي التحليلي واستخدمت </w:t>
      </w:r>
      <w:r w:rsidRPr="00342B3E">
        <w:rPr>
          <w:rFonts w:ascii="Traditional Arabic" w:eastAsia="Calibri" w:hAnsi="Traditional Arabic" w:cs="Traditional Arabic"/>
          <w:sz w:val="32"/>
          <w:szCs w:val="32"/>
          <w:rtl/>
          <w:lang w:val="en-US"/>
        </w:rPr>
        <w:lastRenderedPageBreak/>
        <w:t>الاستبانة أداةً لجمع البيانات، وهو ما أسهم في تقارب النتائج. وفي المقابل، فإن أي اختلاف في مستوى المتوسطات أو قوة العلاقات الإحصائية قد يُعزى إلى اختلاف طبيعة مجتمع الدراسة، أو القطاع الذي أجريت فيه الدراسة، أو الخصائص التنظيمية للمؤسسات محل الدراسة</w:t>
      </w:r>
      <w:r w:rsidRPr="00342B3E">
        <w:rPr>
          <w:rFonts w:ascii="Traditional Arabic" w:eastAsia="Calibri" w:hAnsi="Traditional Arabic" w:cs="Traditional Arabic"/>
          <w:sz w:val="32"/>
          <w:szCs w:val="32"/>
        </w:rPr>
        <w:t>.</w:t>
      </w:r>
    </w:p>
    <w:p w14:paraId="44AF6360"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4.4.1.2 مشاركة المعرفة</w:t>
      </w:r>
    </w:p>
    <w:p w14:paraId="17842C4D"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تُعد مشاركة المعرفة من الركائز الأساسية لإدارة المعرفة، إذ تعكس مدى تبادل المعلومات والخبرات والأفكار بين العاملين والوحدات التنظيمية، بما يسهم في تعزيز التعاون المؤسسي، وتحسين جودة القرارات، ورفع كفاءة الأداء. وللتعرف إلى مستوى ممارسة شركة موبايلي السعودية للاتصالات لبعد مشاركة المعرفة، تم حساب المتوسطات الحسابية والانحرافات المعيارية والأهمية النسبية وترتيب الفقرات وفقًا لمتوسطاتها الحسابية، كما هو موضح في جدول (4-4).</w:t>
      </w:r>
    </w:p>
    <w:p w14:paraId="44A431F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جدول (4-4) المتوسطات الحسابية والانحرافات المعيارية والأهمية النسبية لفقرات بعد مشاركة المعرفة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5"/>
        <w:gridCol w:w="3196"/>
        <w:gridCol w:w="1341"/>
        <w:gridCol w:w="1408"/>
        <w:gridCol w:w="1279"/>
        <w:gridCol w:w="847"/>
      </w:tblGrid>
      <w:tr w:rsidR="00342B3E" w:rsidRPr="00342B3E" w14:paraId="4025F195" w14:textId="77777777">
        <w:tc>
          <w:tcPr>
            <w:tcW w:w="786" w:type="pct"/>
            <w:tcBorders>
              <w:top w:val="single" w:sz="4" w:space="0" w:color="auto"/>
              <w:left w:val="single" w:sz="4" w:space="0" w:color="auto"/>
              <w:bottom w:val="single" w:sz="4" w:space="0" w:color="auto"/>
              <w:right w:val="single" w:sz="4" w:space="0" w:color="auto"/>
            </w:tcBorders>
            <w:hideMark/>
          </w:tcPr>
          <w:p w14:paraId="6A1D4F61"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الرقم</w:t>
            </w:r>
          </w:p>
        </w:tc>
        <w:tc>
          <w:tcPr>
            <w:tcW w:w="1669" w:type="pct"/>
            <w:tcBorders>
              <w:top w:val="single" w:sz="4" w:space="0" w:color="auto"/>
              <w:left w:val="single" w:sz="4" w:space="0" w:color="auto"/>
              <w:bottom w:val="single" w:sz="4" w:space="0" w:color="auto"/>
              <w:right w:val="single" w:sz="4" w:space="0" w:color="auto"/>
            </w:tcBorders>
            <w:hideMark/>
          </w:tcPr>
          <w:p w14:paraId="017B321B"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الفقرة</w:t>
            </w:r>
          </w:p>
        </w:tc>
        <w:tc>
          <w:tcPr>
            <w:tcW w:w="700" w:type="pct"/>
            <w:tcBorders>
              <w:top w:val="single" w:sz="4" w:space="0" w:color="auto"/>
              <w:left w:val="single" w:sz="4" w:space="0" w:color="auto"/>
              <w:bottom w:val="single" w:sz="4" w:space="0" w:color="auto"/>
              <w:right w:val="single" w:sz="4" w:space="0" w:color="auto"/>
            </w:tcBorders>
            <w:hideMark/>
          </w:tcPr>
          <w:p w14:paraId="6E3DDE91"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المتوسط الحسابي</w:t>
            </w:r>
          </w:p>
        </w:tc>
        <w:tc>
          <w:tcPr>
            <w:tcW w:w="735" w:type="pct"/>
            <w:tcBorders>
              <w:top w:val="single" w:sz="4" w:space="0" w:color="auto"/>
              <w:left w:val="single" w:sz="4" w:space="0" w:color="auto"/>
              <w:bottom w:val="single" w:sz="4" w:space="0" w:color="auto"/>
              <w:right w:val="single" w:sz="4" w:space="0" w:color="auto"/>
            </w:tcBorders>
            <w:hideMark/>
          </w:tcPr>
          <w:p w14:paraId="569059AF"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الانحراف المعياري</w:t>
            </w:r>
          </w:p>
        </w:tc>
        <w:tc>
          <w:tcPr>
            <w:tcW w:w="668" w:type="pct"/>
            <w:tcBorders>
              <w:top w:val="single" w:sz="4" w:space="0" w:color="auto"/>
              <w:left w:val="single" w:sz="4" w:space="0" w:color="auto"/>
              <w:bottom w:val="single" w:sz="4" w:space="0" w:color="auto"/>
              <w:right w:val="single" w:sz="4" w:space="0" w:color="auto"/>
            </w:tcBorders>
            <w:hideMark/>
          </w:tcPr>
          <w:p w14:paraId="7ACD8170"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مستوى التطبيق</w:t>
            </w:r>
          </w:p>
        </w:tc>
        <w:tc>
          <w:tcPr>
            <w:tcW w:w="442" w:type="pct"/>
            <w:tcBorders>
              <w:top w:val="single" w:sz="4" w:space="0" w:color="auto"/>
              <w:left w:val="single" w:sz="4" w:space="0" w:color="auto"/>
              <w:bottom w:val="single" w:sz="4" w:space="0" w:color="auto"/>
              <w:right w:val="single" w:sz="4" w:space="0" w:color="auto"/>
            </w:tcBorders>
            <w:hideMark/>
          </w:tcPr>
          <w:p w14:paraId="38EB90FC"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الترتيب</w:t>
            </w:r>
          </w:p>
        </w:tc>
      </w:tr>
      <w:tr w:rsidR="00342B3E" w:rsidRPr="00342B3E" w14:paraId="493C074C" w14:textId="77777777">
        <w:tc>
          <w:tcPr>
            <w:tcW w:w="786" w:type="pct"/>
            <w:tcBorders>
              <w:top w:val="single" w:sz="4" w:space="0" w:color="auto"/>
              <w:left w:val="single" w:sz="4" w:space="0" w:color="auto"/>
              <w:bottom w:val="single" w:sz="4" w:space="0" w:color="auto"/>
              <w:right w:val="single" w:sz="4" w:space="0" w:color="auto"/>
            </w:tcBorders>
            <w:hideMark/>
          </w:tcPr>
          <w:p w14:paraId="0AB1B96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11</w:t>
            </w:r>
          </w:p>
        </w:tc>
        <w:tc>
          <w:tcPr>
            <w:tcW w:w="1669" w:type="pct"/>
            <w:tcBorders>
              <w:top w:val="single" w:sz="4" w:space="0" w:color="auto"/>
              <w:left w:val="single" w:sz="4" w:space="0" w:color="auto"/>
              <w:bottom w:val="single" w:sz="4" w:space="0" w:color="auto"/>
              <w:right w:val="single" w:sz="4" w:space="0" w:color="auto"/>
            </w:tcBorders>
            <w:hideMark/>
          </w:tcPr>
          <w:p w14:paraId="5F22307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تشجع الإدارة العمل الجماعي وتبادل الخبرات</w:t>
            </w:r>
            <w:r w:rsidRPr="00342B3E">
              <w:rPr>
                <w:rFonts w:ascii="Traditional Arabic" w:eastAsia="Calibri" w:hAnsi="Traditional Arabic" w:cs="Traditional Arabic"/>
                <w:sz w:val="32"/>
                <w:szCs w:val="32"/>
                <w:lang w:val="en-US"/>
              </w:rPr>
              <w:t>.</w:t>
            </w:r>
          </w:p>
        </w:tc>
        <w:tc>
          <w:tcPr>
            <w:tcW w:w="700" w:type="pct"/>
            <w:tcBorders>
              <w:top w:val="single" w:sz="4" w:space="0" w:color="auto"/>
              <w:left w:val="single" w:sz="4" w:space="0" w:color="auto"/>
              <w:bottom w:val="single" w:sz="4" w:space="0" w:color="auto"/>
              <w:right w:val="single" w:sz="4" w:space="0" w:color="auto"/>
            </w:tcBorders>
            <w:hideMark/>
          </w:tcPr>
          <w:p w14:paraId="3DAAC1E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4.30</w:t>
            </w:r>
          </w:p>
        </w:tc>
        <w:tc>
          <w:tcPr>
            <w:tcW w:w="735" w:type="pct"/>
            <w:tcBorders>
              <w:top w:val="single" w:sz="4" w:space="0" w:color="auto"/>
              <w:left w:val="single" w:sz="4" w:space="0" w:color="auto"/>
              <w:bottom w:val="single" w:sz="4" w:space="0" w:color="auto"/>
              <w:right w:val="single" w:sz="4" w:space="0" w:color="auto"/>
            </w:tcBorders>
            <w:hideMark/>
          </w:tcPr>
          <w:p w14:paraId="5ADD0E2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0.61</w:t>
            </w:r>
          </w:p>
        </w:tc>
        <w:tc>
          <w:tcPr>
            <w:tcW w:w="668" w:type="pct"/>
            <w:tcBorders>
              <w:top w:val="single" w:sz="4" w:space="0" w:color="auto"/>
              <w:left w:val="single" w:sz="4" w:space="0" w:color="auto"/>
              <w:bottom w:val="single" w:sz="4" w:space="0" w:color="auto"/>
              <w:right w:val="single" w:sz="4" w:space="0" w:color="auto"/>
            </w:tcBorders>
            <w:hideMark/>
          </w:tcPr>
          <w:p w14:paraId="6D76106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 جدًا</w:t>
            </w:r>
          </w:p>
        </w:tc>
        <w:tc>
          <w:tcPr>
            <w:tcW w:w="442" w:type="pct"/>
            <w:tcBorders>
              <w:top w:val="single" w:sz="4" w:space="0" w:color="auto"/>
              <w:left w:val="single" w:sz="4" w:space="0" w:color="auto"/>
              <w:bottom w:val="single" w:sz="4" w:space="0" w:color="auto"/>
              <w:right w:val="single" w:sz="4" w:space="0" w:color="auto"/>
            </w:tcBorders>
            <w:hideMark/>
          </w:tcPr>
          <w:p w14:paraId="6560AF9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w:t>
            </w:r>
          </w:p>
        </w:tc>
      </w:tr>
      <w:tr w:rsidR="00342B3E" w:rsidRPr="00342B3E" w14:paraId="2C031C31" w14:textId="77777777">
        <w:tc>
          <w:tcPr>
            <w:tcW w:w="786" w:type="pct"/>
            <w:tcBorders>
              <w:top w:val="single" w:sz="4" w:space="0" w:color="auto"/>
              <w:left w:val="single" w:sz="4" w:space="0" w:color="auto"/>
              <w:bottom w:val="single" w:sz="4" w:space="0" w:color="auto"/>
              <w:right w:val="single" w:sz="4" w:space="0" w:color="auto"/>
            </w:tcBorders>
            <w:hideMark/>
          </w:tcPr>
          <w:p w14:paraId="1EF0BC3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16</w:t>
            </w:r>
          </w:p>
        </w:tc>
        <w:tc>
          <w:tcPr>
            <w:tcW w:w="1669" w:type="pct"/>
            <w:tcBorders>
              <w:top w:val="single" w:sz="4" w:space="0" w:color="auto"/>
              <w:left w:val="single" w:sz="4" w:space="0" w:color="auto"/>
              <w:bottom w:val="single" w:sz="4" w:space="0" w:color="auto"/>
              <w:right w:val="single" w:sz="4" w:space="0" w:color="auto"/>
            </w:tcBorders>
            <w:hideMark/>
          </w:tcPr>
          <w:p w14:paraId="14722A8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يسود جو من الثقة يشجع على تبادل المعرفة</w:t>
            </w:r>
            <w:r w:rsidRPr="00342B3E">
              <w:rPr>
                <w:rFonts w:ascii="Traditional Arabic" w:eastAsia="Calibri" w:hAnsi="Traditional Arabic" w:cs="Traditional Arabic"/>
                <w:sz w:val="32"/>
                <w:szCs w:val="32"/>
                <w:lang w:val="en-US"/>
              </w:rPr>
              <w:t>.</w:t>
            </w:r>
          </w:p>
        </w:tc>
        <w:tc>
          <w:tcPr>
            <w:tcW w:w="700" w:type="pct"/>
            <w:tcBorders>
              <w:top w:val="single" w:sz="4" w:space="0" w:color="auto"/>
              <w:left w:val="single" w:sz="4" w:space="0" w:color="auto"/>
              <w:bottom w:val="single" w:sz="4" w:space="0" w:color="auto"/>
              <w:right w:val="single" w:sz="4" w:space="0" w:color="auto"/>
            </w:tcBorders>
            <w:hideMark/>
          </w:tcPr>
          <w:p w14:paraId="7AD669F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4.24</w:t>
            </w:r>
          </w:p>
        </w:tc>
        <w:tc>
          <w:tcPr>
            <w:tcW w:w="735" w:type="pct"/>
            <w:tcBorders>
              <w:top w:val="single" w:sz="4" w:space="0" w:color="auto"/>
              <w:left w:val="single" w:sz="4" w:space="0" w:color="auto"/>
              <w:bottom w:val="single" w:sz="4" w:space="0" w:color="auto"/>
              <w:right w:val="single" w:sz="4" w:space="0" w:color="auto"/>
            </w:tcBorders>
            <w:hideMark/>
          </w:tcPr>
          <w:p w14:paraId="0EACECC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0.66</w:t>
            </w:r>
          </w:p>
        </w:tc>
        <w:tc>
          <w:tcPr>
            <w:tcW w:w="668" w:type="pct"/>
            <w:tcBorders>
              <w:top w:val="single" w:sz="4" w:space="0" w:color="auto"/>
              <w:left w:val="single" w:sz="4" w:space="0" w:color="auto"/>
              <w:bottom w:val="single" w:sz="4" w:space="0" w:color="auto"/>
              <w:right w:val="single" w:sz="4" w:space="0" w:color="auto"/>
            </w:tcBorders>
            <w:hideMark/>
          </w:tcPr>
          <w:p w14:paraId="1B05188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 جدًا</w:t>
            </w:r>
          </w:p>
        </w:tc>
        <w:tc>
          <w:tcPr>
            <w:tcW w:w="442" w:type="pct"/>
            <w:tcBorders>
              <w:top w:val="single" w:sz="4" w:space="0" w:color="auto"/>
              <w:left w:val="single" w:sz="4" w:space="0" w:color="auto"/>
              <w:bottom w:val="single" w:sz="4" w:space="0" w:color="auto"/>
              <w:right w:val="single" w:sz="4" w:space="0" w:color="auto"/>
            </w:tcBorders>
            <w:hideMark/>
          </w:tcPr>
          <w:p w14:paraId="2D8A419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2</w:t>
            </w:r>
          </w:p>
        </w:tc>
      </w:tr>
      <w:tr w:rsidR="00342B3E" w:rsidRPr="00342B3E" w14:paraId="5D2D9464" w14:textId="77777777">
        <w:tc>
          <w:tcPr>
            <w:tcW w:w="786" w:type="pct"/>
            <w:tcBorders>
              <w:top w:val="single" w:sz="4" w:space="0" w:color="auto"/>
              <w:left w:val="single" w:sz="4" w:space="0" w:color="auto"/>
              <w:bottom w:val="single" w:sz="4" w:space="0" w:color="auto"/>
              <w:right w:val="single" w:sz="4" w:space="0" w:color="auto"/>
            </w:tcBorders>
            <w:hideMark/>
          </w:tcPr>
          <w:p w14:paraId="0E5D519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10</w:t>
            </w:r>
          </w:p>
        </w:tc>
        <w:tc>
          <w:tcPr>
            <w:tcW w:w="1669" w:type="pct"/>
            <w:tcBorders>
              <w:top w:val="single" w:sz="4" w:space="0" w:color="auto"/>
              <w:left w:val="single" w:sz="4" w:space="0" w:color="auto"/>
              <w:bottom w:val="single" w:sz="4" w:space="0" w:color="auto"/>
              <w:right w:val="single" w:sz="4" w:space="0" w:color="auto"/>
            </w:tcBorders>
            <w:hideMark/>
          </w:tcPr>
          <w:p w14:paraId="2D0F631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تتوافر قنوات فعالة لمشاركة المعرفة بين الموظفين</w:t>
            </w:r>
            <w:r w:rsidRPr="00342B3E">
              <w:rPr>
                <w:rFonts w:ascii="Traditional Arabic" w:eastAsia="Calibri" w:hAnsi="Traditional Arabic" w:cs="Traditional Arabic"/>
                <w:sz w:val="32"/>
                <w:szCs w:val="32"/>
                <w:lang w:val="en-US"/>
              </w:rPr>
              <w:t>.</w:t>
            </w:r>
          </w:p>
        </w:tc>
        <w:tc>
          <w:tcPr>
            <w:tcW w:w="700" w:type="pct"/>
            <w:tcBorders>
              <w:top w:val="single" w:sz="4" w:space="0" w:color="auto"/>
              <w:left w:val="single" w:sz="4" w:space="0" w:color="auto"/>
              <w:bottom w:val="single" w:sz="4" w:space="0" w:color="auto"/>
              <w:right w:val="single" w:sz="4" w:space="0" w:color="auto"/>
            </w:tcBorders>
            <w:hideMark/>
          </w:tcPr>
          <w:p w14:paraId="42588E3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4.18</w:t>
            </w:r>
          </w:p>
        </w:tc>
        <w:tc>
          <w:tcPr>
            <w:tcW w:w="735" w:type="pct"/>
            <w:tcBorders>
              <w:top w:val="single" w:sz="4" w:space="0" w:color="auto"/>
              <w:left w:val="single" w:sz="4" w:space="0" w:color="auto"/>
              <w:bottom w:val="single" w:sz="4" w:space="0" w:color="auto"/>
              <w:right w:val="single" w:sz="4" w:space="0" w:color="auto"/>
            </w:tcBorders>
            <w:hideMark/>
          </w:tcPr>
          <w:p w14:paraId="5A55BF2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0.69</w:t>
            </w:r>
          </w:p>
        </w:tc>
        <w:tc>
          <w:tcPr>
            <w:tcW w:w="668" w:type="pct"/>
            <w:tcBorders>
              <w:top w:val="single" w:sz="4" w:space="0" w:color="auto"/>
              <w:left w:val="single" w:sz="4" w:space="0" w:color="auto"/>
              <w:bottom w:val="single" w:sz="4" w:space="0" w:color="auto"/>
              <w:right w:val="single" w:sz="4" w:space="0" w:color="auto"/>
            </w:tcBorders>
            <w:hideMark/>
          </w:tcPr>
          <w:p w14:paraId="26934B2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7BB801E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w:t>
            </w:r>
          </w:p>
        </w:tc>
      </w:tr>
      <w:tr w:rsidR="00342B3E" w:rsidRPr="00342B3E" w14:paraId="38C14260" w14:textId="77777777">
        <w:tc>
          <w:tcPr>
            <w:tcW w:w="786" w:type="pct"/>
            <w:tcBorders>
              <w:top w:val="single" w:sz="4" w:space="0" w:color="auto"/>
              <w:left w:val="single" w:sz="4" w:space="0" w:color="auto"/>
              <w:bottom w:val="single" w:sz="4" w:space="0" w:color="auto"/>
              <w:right w:val="single" w:sz="4" w:space="0" w:color="auto"/>
            </w:tcBorders>
            <w:hideMark/>
          </w:tcPr>
          <w:p w14:paraId="38A2B73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13</w:t>
            </w:r>
          </w:p>
        </w:tc>
        <w:tc>
          <w:tcPr>
            <w:tcW w:w="1669" w:type="pct"/>
            <w:tcBorders>
              <w:top w:val="single" w:sz="4" w:space="0" w:color="auto"/>
              <w:left w:val="single" w:sz="4" w:space="0" w:color="auto"/>
              <w:bottom w:val="single" w:sz="4" w:space="0" w:color="auto"/>
              <w:right w:val="single" w:sz="4" w:space="0" w:color="auto"/>
            </w:tcBorders>
            <w:hideMark/>
          </w:tcPr>
          <w:p w14:paraId="555C831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يحرص العاملون على مشاركة خبراتهم مع الآخرين</w:t>
            </w:r>
            <w:r w:rsidRPr="00342B3E">
              <w:rPr>
                <w:rFonts w:ascii="Traditional Arabic" w:eastAsia="Calibri" w:hAnsi="Traditional Arabic" w:cs="Traditional Arabic"/>
                <w:sz w:val="32"/>
                <w:szCs w:val="32"/>
                <w:lang w:val="en-US"/>
              </w:rPr>
              <w:t>.</w:t>
            </w:r>
          </w:p>
        </w:tc>
        <w:tc>
          <w:tcPr>
            <w:tcW w:w="700" w:type="pct"/>
            <w:tcBorders>
              <w:top w:val="single" w:sz="4" w:space="0" w:color="auto"/>
              <w:left w:val="single" w:sz="4" w:space="0" w:color="auto"/>
              <w:bottom w:val="single" w:sz="4" w:space="0" w:color="auto"/>
              <w:right w:val="single" w:sz="4" w:space="0" w:color="auto"/>
            </w:tcBorders>
            <w:hideMark/>
          </w:tcPr>
          <w:p w14:paraId="591ED53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4.12</w:t>
            </w:r>
          </w:p>
        </w:tc>
        <w:tc>
          <w:tcPr>
            <w:tcW w:w="735" w:type="pct"/>
            <w:tcBorders>
              <w:top w:val="single" w:sz="4" w:space="0" w:color="auto"/>
              <w:left w:val="single" w:sz="4" w:space="0" w:color="auto"/>
              <w:bottom w:val="single" w:sz="4" w:space="0" w:color="auto"/>
              <w:right w:val="single" w:sz="4" w:space="0" w:color="auto"/>
            </w:tcBorders>
            <w:hideMark/>
          </w:tcPr>
          <w:p w14:paraId="0EE6651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0.74</w:t>
            </w:r>
          </w:p>
        </w:tc>
        <w:tc>
          <w:tcPr>
            <w:tcW w:w="668" w:type="pct"/>
            <w:tcBorders>
              <w:top w:val="single" w:sz="4" w:space="0" w:color="auto"/>
              <w:left w:val="single" w:sz="4" w:space="0" w:color="auto"/>
              <w:bottom w:val="single" w:sz="4" w:space="0" w:color="auto"/>
              <w:right w:val="single" w:sz="4" w:space="0" w:color="auto"/>
            </w:tcBorders>
            <w:hideMark/>
          </w:tcPr>
          <w:p w14:paraId="37C1E3F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2453AA8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w:t>
            </w:r>
          </w:p>
        </w:tc>
      </w:tr>
      <w:tr w:rsidR="00342B3E" w:rsidRPr="00342B3E" w14:paraId="59625EC2" w14:textId="77777777">
        <w:tc>
          <w:tcPr>
            <w:tcW w:w="786" w:type="pct"/>
            <w:tcBorders>
              <w:top w:val="single" w:sz="4" w:space="0" w:color="auto"/>
              <w:left w:val="single" w:sz="4" w:space="0" w:color="auto"/>
              <w:bottom w:val="single" w:sz="4" w:space="0" w:color="auto"/>
              <w:right w:val="single" w:sz="4" w:space="0" w:color="auto"/>
            </w:tcBorders>
            <w:hideMark/>
          </w:tcPr>
          <w:p w14:paraId="691C2E1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9</w:t>
            </w:r>
          </w:p>
        </w:tc>
        <w:tc>
          <w:tcPr>
            <w:tcW w:w="1669" w:type="pct"/>
            <w:tcBorders>
              <w:top w:val="single" w:sz="4" w:space="0" w:color="auto"/>
              <w:left w:val="single" w:sz="4" w:space="0" w:color="auto"/>
              <w:bottom w:val="single" w:sz="4" w:space="0" w:color="auto"/>
              <w:right w:val="single" w:sz="4" w:space="0" w:color="auto"/>
            </w:tcBorders>
            <w:hideMark/>
          </w:tcPr>
          <w:p w14:paraId="79214B0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يتم تبادل المعلومات بين الأقسام بسهولة</w:t>
            </w:r>
            <w:r w:rsidRPr="00342B3E">
              <w:rPr>
                <w:rFonts w:ascii="Traditional Arabic" w:eastAsia="Calibri" w:hAnsi="Traditional Arabic" w:cs="Traditional Arabic"/>
                <w:sz w:val="32"/>
                <w:szCs w:val="32"/>
                <w:lang w:val="en-US"/>
              </w:rPr>
              <w:t>.</w:t>
            </w:r>
          </w:p>
        </w:tc>
        <w:tc>
          <w:tcPr>
            <w:tcW w:w="700" w:type="pct"/>
            <w:tcBorders>
              <w:top w:val="single" w:sz="4" w:space="0" w:color="auto"/>
              <w:left w:val="single" w:sz="4" w:space="0" w:color="auto"/>
              <w:bottom w:val="single" w:sz="4" w:space="0" w:color="auto"/>
              <w:right w:val="single" w:sz="4" w:space="0" w:color="auto"/>
            </w:tcBorders>
            <w:hideMark/>
          </w:tcPr>
          <w:p w14:paraId="0D480C2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4.08</w:t>
            </w:r>
          </w:p>
        </w:tc>
        <w:tc>
          <w:tcPr>
            <w:tcW w:w="735" w:type="pct"/>
            <w:tcBorders>
              <w:top w:val="single" w:sz="4" w:space="0" w:color="auto"/>
              <w:left w:val="single" w:sz="4" w:space="0" w:color="auto"/>
              <w:bottom w:val="single" w:sz="4" w:space="0" w:color="auto"/>
              <w:right w:val="single" w:sz="4" w:space="0" w:color="auto"/>
            </w:tcBorders>
            <w:hideMark/>
          </w:tcPr>
          <w:p w14:paraId="20063E0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0.76</w:t>
            </w:r>
          </w:p>
        </w:tc>
        <w:tc>
          <w:tcPr>
            <w:tcW w:w="668" w:type="pct"/>
            <w:tcBorders>
              <w:top w:val="single" w:sz="4" w:space="0" w:color="auto"/>
              <w:left w:val="single" w:sz="4" w:space="0" w:color="auto"/>
              <w:bottom w:val="single" w:sz="4" w:space="0" w:color="auto"/>
              <w:right w:val="single" w:sz="4" w:space="0" w:color="auto"/>
            </w:tcBorders>
            <w:hideMark/>
          </w:tcPr>
          <w:p w14:paraId="2A859B6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62A7C5F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5</w:t>
            </w:r>
          </w:p>
        </w:tc>
      </w:tr>
      <w:tr w:rsidR="00342B3E" w:rsidRPr="00342B3E" w14:paraId="5C36C6C2" w14:textId="77777777">
        <w:tc>
          <w:tcPr>
            <w:tcW w:w="786" w:type="pct"/>
            <w:tcBorders>
              <w:top w:val="single" w:sz="4" w:space="0" w:color="auto"/>
              <w:left w:val="single" w:sz="4" w:space="0" w:color="auto"/>
              <w:bottom w:val="single" w:sz="4" w:space="0" w:color="auto"/>
              <w:right w:val="single" w:sz="4" w:space="0" w:color="auto"/>
            </w:tcBorders>
            <w:hideMark/>
          </w:tcPr>
          <w:p w14:paraId="2DDA240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lastRenderedPageBreak/>
              <w:t>15</w:t>
            </w:r>
          </w:p>
        </w:tc>
        <w:tc>
          <w:tcPr>
            <w:tcW w:w="1669" w:type="pct"/>
            <w:tcBorders>
              <w:top w:val="single" w:sz="4" w:space="0" w:color="auto"/>
              <w:left w:val="single" w:sz="4" w:space="0" w:color="auto"/>
              <w:bottom w:val="single" w:sz="4" w:space="0" w:color="auto"/>
              <w:right w:val="single" w:sz="4" w:space="0" w:color="auto"/>
            </w:tcBorders>
            <w:hideMark/>
          </w:tcPr>
          <w:p w14:paraId="24A3E09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تستخدم أنظمة إلكترونية لتبادل المعرفة داخل الشركة</w:t>
            </w:r>
            <w:r w:rsidRPr="00342B3E">
              <w:rPr>
                <w:rFonts w:ascii="Traditional Arabic" w:eastAsia="Calibri" w:hAnsi="Traditional Arabic" w:cs="Traditional Arabic"/>
                <w:sz w:val="32"/>
                <w:szCs w:val="32"/>
                <w:lang w:val="en-US"/>
              </w:rPr>
              <w:t>.</w:t>
            </w:r>
          </w:p>
        </w:tc>
        <w:tc>
          <w:tcPr>
            <w:tcW w:w="700" w:type="pct"/>
            <w:tcBorders>
              <w:top w:val="single" w:sz="4" w:space="0" w:color="auto"/>
              <w:left w:val="single" w:sz="4" w:space="0" w:color="auto"/>
              <w:bottom w:val="single" w:sz="4" w:space="0" w:color="auto"/>
              <w:right w:val="single" w:sz="4" w:space="0" w:color="auto"/>
            </w:tcBorders>
            <w:hideMark/>
          </w:tcPr>
          <w:p w14:paraId="3DEB59A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4.04</w:t>
            </w:r>
          </w:p>
        </w:tc>
        <w:tc>
          <w:tcPr>
            <w:tcW w:w="735" w:type="pct"/>
            <w:tcBorders>
              <w:top w:val="single" w:sz="4" w:space="0" w:color="auto"/>
              <w:left w:val="single" w:sz="4" w:space="0" w:color="auto"/>
              <w:bottom w:val="single" w:sz="4" w:space="0" w:color="auto"/>
              <w:right w:val="single" w:sz="4" w:space="0" w:color="auto"/>
            </w:tcBorders>
            <w:hideMark/>
          </w:tcPr>
          <w:p w14:paraId="08DBCF0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0.79</w:t>
            </w:r>
          </w:p>
        </w:tc>
        <w:tc>
          <w:tcPr>
            <w:tcW w:w="668" w:type="pct"/>
            <w:tcBorders>
              <w:top w:val="single" w:sz="4" w:space="0" w:color="auto"/>
              <w:left w:val="single" w:sz="4" w:space="0" w:color="auto"/>
              <w:bottom w:val="single" w:sz="4" w:space="0" w:color="auto"/>
              <w:right w:val="single" w:sz="4" w:space="0" w:color="auto"/>
            </w:tcBorders>
            <w:hideMark/>
          </w:tcPr>
          <w:p w14:paraId="73A264E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380613E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6</w:t>
            </w:r>
          </w:p>
        </w:tc>
      </w:tr>
      <w:tr w:rsidR="00342B3E" w:rsidRPr="00342B3E" w14:paraId="1DA16297" w14:textId="77777777">
        <w:tc>
          <w:tcPr>
            <w:tcW w:w="786" w:type="pct"/>
            <w:tcBorders>
              <w:top w:val="single" w:sz="4" w:space="0" w:color="auto"/>
              <w:left w:val="single" w:sz="4" w:space="0" w:color="auto"/>
              <w:bottom w:val="single" w:sz="4" w:space="0" w:color="auto"/>
              <w:right w:val="single" w:sz="4" w:space="0" w:color="auto"/>
            </w:tcBorders>
            <w:hideMark/>
          </w:tcPr>
          <w:p w14:paraId="3C73D6A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14</w:t>
            </w:r>
          </w:p>
        </w:tc>
        <w:tc>
          <w:tcPr>
            <w:tcW w:w="1669" w:type="pct"/>
            <w:tcBorders>
              <w:top w:val="single" w:sz="4" w:space="0" w:color="auto"/>
              <w:left w:val="single" w:sz="4" w:space="0" w:color="auto"/>
              <w:bottom w:val="single" w:sz="4" w:space="0" w:color="auto"/>
              <w:right w:val="single" w:sz="4" w:space="0" w:color="auto"/>
            </w:tcBorders>
            <w:hideMark/>
          </w:tcPr>
          <w:p w14:paraId="42FE4D6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توجد اجتماعات دورية لمناقشة الأفكار الجديدة</w:t>
            </w:r>
            <w:r w:rsidRPr="00342B3E">
              <w:rPr>
                <w:rFonts w:ascii="Traditional Arabic" w:eastAsia="Calibri" w:hAnsi="Traditional Arabic" w:cs="Traditional Arabic"/>
                <w:sz w:val="32"/>
                <w:szCs w:val="32"/>
                <w:lang w:val="en-US"/>
              </w:rPr>
              <w:t>.</w:t>
            </w:r>
          </w:p>
        </w:tc>
        <w:tc>
          <w:tcPr>
            <w:tcW w:w="700" w:type="pct"/>
            <w:tcBorders>
              <w:top w:val="single" w:sz="4" w:space="0" w:color="auto"/>
              <w:left w:val="single" w:sz="4" w:space="0" w:color="auto"/>
              <w:bottom w:val="single" w:sz="4" w:space="0" w:color="auto"/>
              <w:right w:val="single" w:sz="4" w:space="0" w:color="auto"/>
            </w:tcBorders>
            <w:hideMark/>
          </w:tcPr>
          <w:p w14:paraId="30ED7ED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3.97</w:t>
            </w:r>
          </w:p>
        </w:tc>
        <w:tc>
          <w:tcPr>
            <w:tcW w:w="735" w:type="pct"/>
            <w:tcBorders>
              <w:top w:val="single" w:sz="4" w:space="0" w:color="auto"/>
              <w:left w:val="single" w:sz="4" w:space="0" w:color="auto"/>
              <w:bottom w:val="single" w:sz="4" w:space="0" w:color="auto"/>
              <w:right w:val="single" w:sz="4" w:space="0" w:color="auto"/>
            </w:tcBorders>
            <w:hideMark/>
          </w:tcPr>
          <w:p w14:paraId="22276D4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0.82</w:t>
            </w:r>
          </w:p>
        </w:tc>
        <w:tc>
          <w:tcPr>
            <w:tcW w:w="668" w:type="pct"/>
            <w:tcBorders>
              <w:top w:val="single" w:sz="4" w:space="0" w:color="auto"/>
              <w:left w:val="single" w:sz="4" w:space="0" w:color="auto"/>
              <w:bottom w:val="single" w:sz="4" w:space="0" w:color="auto"/>
              <w:right w:val="single" w:sz="4" w:space="0" w:color="auto"/>
            </w:tcBorders>
            <w:hideMark/>
          </w:tcPr>
          <w:p w14:paraId="5D96E8B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016BBF9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7</w:t>
            </w:r>
          </w:p>
        </w:tc>
      </w:tr>
      <w:tr w:rsidR="00342B3E" w:rsidRPr="00342B3E" w14:paraId="3F072CCE" w14:textId="77777777">
        <w:tc>
          <w:tcPr>
            <w:tcW w:w="786" w:type="pct"/>
            <w:tcBorders>
              <w:top w:val="single" w:sz="4" w:space="0" w:color="auto"/>
              <w:left w:val="single" w:sz="4" w:space="0" w:color="auto"/>
              <w:bottom w:val="single" w:sz="4" w:space="0" w:color="auto"/>
              <w:right w:val="single" w:sz="4" w:space="0" w:color="auto"/>
            </w:tcBorders>
            <w:hideMark/>
          </w:tcPr>
          <w:p w14:paraId="534FFBD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12</w:t>
            </w:r>
          </w:p>
        </w:tc>
        <w:tc>
          <w:tcPr>
            <w:tcW w:w="1669" w:type="pct"/>
            <w:tcBorders>
              <w:top w:val="single" w:sz="4" w:space="0" w:color="auto"/>
              <w:left w:val="single" w:sz="4" w:space="0" w:color="auto"/>
              <w:bottom w:val="single" w:sz="4" w:space="0" w:color="auto"/>
              <w:right w:val="single" w:sz="4" w:space="0" w:color="auto"/>
            </w:tcBorders>
            <w:hideMark/>
          </w:tcPr>
          <w:p w14:paraId="3E7C78C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يتم توثيق المعرفة بحيث يسهل الوصول إليها</w:t>
            </w:r>
            <w:r w:rsidRPr="00342B3E">
              <w:rPr>
                <w:rFonts w:ascii="Traditional Arabic" w:eastAsia="Calibri" w:hAnsi="Traditional Arabic" w:cs="Traditional Arabic"/>
                <w:sz w:val="32"/>
                <w:szCs w:val="32"/>
                <w:lang w:val="en-US"/>
              </w:rPr>
              <w:t>.</w:t>
            </w:r>
          </w:p>
        </w:tc>
        <w:tc>
          <w:tcPr>
            <w:tcW w:w="700" w:type="pct"/>
            <w:tcBorders>
              <w:top w:val="single" w:sz="4" w:space="0" w:color="auto"/>
              <w:left w:val="single" w:sz="4" w:space="0" w:color="auto"/>
              <w:bottom w:val="single" w:sz="4" w:space="0" w:color="auto"/>
              <w:right w:val="single" w:sz="4" w:space="0" w:color="auto"/>
            </w:tcBorders>
            <w:hideMark/>
          </w:tcPr>
          <w:p w14:paraId="48321F0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3.91</w:t>
            </w:r>
          </w:p>
        </w:tc>
        <w:tc>
          <w:tcPr>
            <w:tcW w:w="735" w:type="pct"/>
            <w:tcBorders>
              <w:top w:val="single" w:sz="4" w:space="0" w:color="auto"/>
              <w:left w:val="single" w:sz="4" w:space="0" w:color="auto"/>
              <w:bottom w:val="single" w:sz="4" w:space="0" w:color="auto"/>
              <w:right w:val="single" w:sz="4" w:space="0" w:color="auto"/>
            </w:tcBorders>
            <w:hideMark/>
          </w:tcPr>
          <w:p w14:paraId="45DDBE0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0.85</w:t>
            </w:r>
          </w:p>
        </w:tc>
        <w:tc>
          <w:tcPr>
            <w:tcW w:w="668" w:type="pct"/>
            <w:tcBorders>
              <w:top w:val="single" w:sz="4" w:space="0" w:color="auto"/>
              <w:left w:val="single" w:sz="4" w:space="0" w:color="auto"/>
              <w:bottom w:val="single" w:sz="4" w:space="0" w:color="auto"/>
              <w:right w:val="single" w:sz="4" w:space="0" w:color="auto"/>
            </w:tcBorders>
            <w:hideMark/>
          </w:tcPr>
          <w:p w14:paraId="66D065B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63DA0BE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8</w:t>
            </w:r>
          </w:p>
        </w:tc>
      </w:tr>
      <w:tr w:rsidR="00342B3E" w:rsidRPr="00342B3E" w14:paraId="25D468D2" w14:textId="77777777">
        <w:tc>
          <w:tcPr>
            <w:tcW w:w="2455" w:type="pct"/>
            <w:gridSpan w:val="2"/>
            <w:tcBorders>
              <w:top w:val="single" w:sz="4" w:space="0" w:color="auto"/>
              <w:left w:val="single" w:sz="4" w:space="0" w:color="auto"/>
              <w:bottom w:val="single" w:sz="4" w:space="0" w:color="auto"/>
              <w:right w:val="single" w:sz="4" w:space="0" w:color="auto"/>
            </w:tcBorders>
            <w:hideMark/>
          </w:tcPr>
          <w:p w14:paraId="114EA1C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مشاركة المعرفة ككل</w:t>
            </w:r>
          </w:p>
        </w:tc>
        <w:tc>
          <w:tcPr>
            <w:tcW w:w="700" w:type="pct"/>
            <w:tcBorders>
              <w:top w:val="single" w:sz="4" w:space="0" w:color="auto"/>
              <w:left w:val="single" w:sz="4" w:space="0" w:color="auto"/>
              <w:bottom w:val="single" w:sz="4" w:space="0" w:color="auto"/>
              <w:right w:val="single" w:sz="4" w:space="0" w:color="auto"/>
            </w:tcBorders>
            <w:hideMark/>
          </w:tcPr>
          <w:p w14:paraId="10A1C31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lang w:val="en-US"/>
              </w:rPr>
              <w:t>4.11</w:t>
            </w:r>
          </w:p>
        </w:tc>
        <w:tc>
          <w:tcPr>
            <w:tcW w:w="735" w:type="pct"/>
            <w:tcBorders>
              <w:top w:val="single" w:sz="4" w:space="0" w:color="auto"/>
              <w:left w:val="single" w:sz="4" w:space="0" w:color="auto"/>
              <w:bottom w:val="single" w:sz="4" w:space="0" w:color="auto"/>
              <w:right w:val="single" w:sz="4" w:space="0" w:color="auto"/>
            </w:tcBorders>
            <w:hideMark/>
          </w:tcPr>
          <w:p w14:paraId="28C6E54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lang w:val="en-US"/>
              </w:rPr>
              <w:t>0.61</w:t>
            </w:r>
          </w:p>
        </w:tc>
        <w:tc>
          <w:tcPr>
            <w:tcW w:w="668" w:type="pct"/>
            <w:tcBorders>
              <w:top w:val="single" w:sz="4" w:space="0" w:color="auto"/>
              <w:left w:val="single" w:sz="4" w:space="0" w:color="auto"/>
              <w:bottom w:val="single" w:sz="4" w:space="0" w:color="auto"/>
              <w:right w:val="single" w:sz="4" w:space="0" w:color="auto"/>
            </w:tcBorders>
            <w:hideMark/>
          </w:tcPr>
          <w:p w14:paraId="7155F7E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0A1369F4" w14:textId="77777777" w:rsidR="00342B3E" w:rsidRPr="00342B3E" w:rsidRDefault="00342B3E" w:rsidP="00342B3E">
            <w:pPr>
              <w:rPr>
                <w:rFonts w:ascii="Traditional Arabic" w:eastAsia="Calibri" w:hAnsi="Traditional Arabic" w:cs="Traditional Arabic"/>
                <w:sz w:val="32"/>
                <w:szCs w:val="32"/>
                <w:lang w:val="en-US"/>
              </w:rPr>
            </w:pPr>
          </w:p>
        </w:tc>
      </w:tr>
    </w:tbl>
    <w:p w14:paraId="60C5F616"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يتضح من نتائج جدول (4-4) أن المتوسط الحسابي الكلي لبعد مشاركة المعرفة بلغ </w:t>
      </w:r>
      <w:r w:rsidRPr="00342B3E">
        <w:rPr>
          <w:rFonts w:ascii="Traditional Arabic" w:eastAsia="Calibri" w:hAnsi="Traditional Arabic" w:cs="Traditional Arabic"/>
          <w:sz w:val="32"/>
          <w:szCs w:val="32"/>
          <w:lang w:val="en-US"/>
        </w:rPr>
        <w:t xml:space="preserve">(4.11) </w:t>
      </w:r>
      <w:r w:rsidRPr="00342B3E">
        <w:rPr>
          <w:rFonts w:ascii="Traditional Arabic" w:eastAsia="Calibri" w:hAnsi="Traditional Arabic" w:cs="Traditional Arabic"/>
          <w:sz w:val="32"/>
          <w:szCs w:val="32"/>
          <w:rtl/>
          <w:lang w:val="en-US"/>
        </w:rPr>
        <w:t xml:space="preserve">بانحراف معياري مقداره </w:t>
      </w:r>
      <w:r w:rsidRPr="00342B3E">
        <w:rPr>
          <w:rFonts w:ascii="Traditional Arabic" w:eastAsia="Calibri" w:hAnsi="Traditional Arabic" w:cs="Traditional Arabic"/>
          <w:sz w:val="32"/>
          <w:szCs w:val="32"/>
          <w:lang w:val="en-US"/>
        </w:rPr>
        <w:t>(0.61)</w:t>
      </w:r>
      <w:r w:rsidRPr="00342B3E">
        <w:rPr>
          <w:rFonts w:ascii="Traditional Arabic" w:eastAsia="Calibri" w:hAnsi="Traditional Arabic" w:cs="Traditional Arabic"/>
          <w:sz w:val="32"/>
          <w:szCs w:val="32"/>
          <w:rtl/>
          <w:lang w:val="en-US"/>
        </w:rPr>
        <w:t>، مما يشير إلى أن مستوى ممارسة مشاركة المعرفة في شركة موبايلي جاء مرتفعًا، وهو ما يعكس وجود بيئة تنظيمية تشجع على تبادل المعرفة والخبرات بين العاملين</w:t>
      </w:r>
      <w:r w:rsidRPr="00342B3E">
        <w:rPr>
          <w:rFonts w:ascii="Traditional Arabic" w:eastAsia="Calibri" w:hAnsi="Traditional Arabic" w:cs="Traditional Arabic"/>
          <w:sz w:val="32"/>
          <w:szCs w:val="32"/>
          <w:lang w:val="en-US"/>
        </w:rPr>
        <w:t>.</w:t>
      </w:r>
    </w:p>
    <w:p w14:paraId="257E93DE"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وأظهرت النتائج أن الفقرة </w:t>
      </w:r>
      <w:r w:rsidRPr="00342B3E">
        <w:rPr>
          <w:rFonts w:ascii="Traditional Arabic" w:eastAsia="Calibri" w:hAnsi="Traditional Arabic" w:cs="Traditional Arabic"/>
          <w:sz w:val="32"/>
          <w:szCs w:val="32"/>
          <w:lang w:val="en-US"/>
        </w:rPr>
        <w:t>"</w:t>
      </w:r>
      <w:r w:rsidRPr="00342B3E">
        <w:rPr>
          <w:rFonts w:ascii="Traditional Arabic" w:eastAsia="Calibri" w:hAnsi="Traditional Arabic" w:cs="Traditional Arabic"/>
          <w:sz w:val="32"/>
          <w:szCs w:val="32"/>
          <w:rtl/>
          <w:lang w:val="en-US"/>
        </w:rPr>
        <w:t>تشجع الإدارة العمل الجماعي وتبادل الخبرات</w:t>
      </w:r>
      <w:r w:rsidRPr="00342B3E">
        <w:rPr>
          <w:rFonts w:ascii="Traditional Arabic" w:eastAsia="Calibri" w:hAnsi="Traditional Arabic" w:cs="Traditional Arabic"/>
          <w:sz w:val="32"/>
          <w:szCs w:val="32"/>
          <w:lang w:val="en-US"/>
        </w:rPr>
        <w:t xml:space="preserve">" </w:t>
      </w:r>
      <w:r w:rsidRPr="00342B3E">
        <w:rPr>
          <w:rFonts w:ascii="Traditional Arabic" w:eastAsia="Calibri" w:hAnsi="Traditional Arabic" w:cs="Traditional Arabic"/>
          <w:sz w:val="32"/>
          <w:szCs w:val="32"/>
          <w:rtl/>
          <w:lang w:val="en-US"/>
        </w:rPr>
        <w:t xml:space="preserve">جاءت في المرتبة الأولى بمتوسط حسابي بلغ </w:t>
      </w:r>
      <w:r w:rsidRPr="00342B3E">
        <w:rPr>
          <w:rFonts w:ascii="Traditional Arabic" w:eastAsia="Calibri" w:hAnsi="Traditional Arabic" w:cs="Traditional Arabic"/>
          <w:sz w:val="32"/>
          <w:szCs w:val="32"/>
          <w:lang w:val="en-US"/>
        </w:rPr>
        <w:t>(4.30)</w:t>
      </w:r>
      <w:r w:rsidRPr="00342B3E">
        <w:rPr>
          <w:rFonts w:ascii="Traditional Arabic" w:eastAsia="Calibri" w:hAnsi="Traditional Arabic" w:cs="Traditional Arabic"/>
          <w:sz w:val="32"/>
          <w:szCs w:val="32"/>
          <w:rtl/>
          <w:lang w:val="en-US"/>
        </w:rPr>
        <w:t>، وهو ما يدل على اهتمام الإدارة بتعزيز ثقافة العمل الجماعي باعتبارها إحدى الوسائل الرئيسة لتبادل المعرفة والاستفادة من الخبرات المتراكمة داخل المنظمة</w:t>
      </w:r>
      <w:r w:rsidRPr="00342B3E">
        <w:rPr>
          <w:rFonts w:ascii="Traditional Arabic" w:eastAsia="Calibri" w:hAnsi="Traditional Arabic" w:cs="Traditional Arabic"/>
          <w:sz w:val="32"/>
          <w:szCs w:val="32"/>
          <w:lang w:val="en-US"/>
        </w:rPr>
        <w:t>.</w:t>
      </w:r>
    </w:p>
    <w:p w14:paraId="03FB7861"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كما جاءت الفقرة </w:t>
      </w:r>
      <w:r w:rsidRPr="00342B3E">
        <w:rPr>
          <w:rFonts w:ascii="Traditional Arabic" w:eastAsia="Calibri" w:hAnsi="Traditional Arabic" w:cs="Traditional Arabic"/>
          <w:sz w:val="32"/>
          <w:szCs w:val="32"/>
          <w:lang w:val="en-US"/>
        </w:rPr>
        <w:t>"</w:t>
      </w:r>
      <w:r w:rsidRPr="00342B3E">
        <w:rPr>
          <w:rFonts w:ascii="Traditional Arabic" w:eastAsia="Calibri" w:hAnsi="Traditional Arabic" w:cs="Traditional Arabic"/>
          <w:sz w:val="32"/>
          <w:szCs w:val="32"/>
          <w:rtl/>
          <w:lang w:val="en-US"/>
        </w:rPr>
        <w:t>يسود جو من الثقة يشجع على تبادل المعرفة</w:t>
      </w:r>
      <w:r w:rsidRPr="00342B3E">
        <w:rPr>
          <w:rFonts w:ascii="Traditional Arabic" w:eastAsia="Calibri" w:hAnsi="Traditional Arabic" w:cs="Traditional Arabic"/>
          <w:sz w:val="32"/>
          <w:szCs w:val="32"/>
          <w:lang w:val="en-US"/>
        </w:rPr>
        <w:t xml:space="preserve">" </w:t>
      </w:r>
      <w:r w:rsidRPr="00342B3E">
        <w:rPr>
          <w:rFonts w:ascii="Traditional Arabic" w:eastAsia="Calibri" w:hAnsi="Traditional Arabic" w:cs="Traditional Arabic"/>
          <w:sz w:val="32"/>
          <w:szCs w:val="32"/>
          <w:rtl/>
          <w:lang w:val="en-US"/>
        </w:rPr>
        <w:t xml:space="preserve">في المرتبة الثانية بمتوسط حسابي بلغ </w:t>
      </w:r>
      <w:r w:rsidRPr="00342B3E">
        <w:rPr>
          <w:rFonts w:ascii="Traditional Arabic" w:eastAsia="Calibri" w:hAnsi="Traditional Arabic" w:cs="Traditional Arabic"/>
          <w:sz w:val="32"/>
          <w:szCs w:val="32"/>
          <w:lang w:val="en-US"/>
        </w:rPr>
        <w:t>(4.24)</w:t>
      </w:r>
      <w:r w:rsidRPr="00342B3E">
        <w:rPr>
          <w:rFonts w:ascii="Traditional Arabic" w:eastAsia="Calibri" w:hAnsi="Traditional Arabic" w:cs="Traditional Arabic"/>
          <w:sz w:val="32"/>
          <w:szCs w:val="32"/>
          <w:rtl/>
          <w:lang w:val="en-US"/>
        </w:rPr>
        <w:t>، الأمر الذي يعكس توافر مناخ تنظيمي قائم على الثقة والتعاون، وهو عنصر أساسي لنجاح ممارسات إدارة المعرفة داخل المؤسسات</w:t>
      </w:r>
      <w:r w:rsidRPr="00342B3E">
        <w:rPr>
          <w:rFonts w:ascii="Traditional Arabic" w:eastAsia="Calibri" w:hAnsi="Traditional Arabic" w:cs="Traditional Arabic"/>
          <w:sz w:val="32"/>
          <w:szCs w:val="32"/>
          <w:lang w:val="en-US"/>
        </w:rPr>
        <w:t>.</w:t>
      </w:r>
    </w:p>
    <w:p w14:paraId="6145D4B6"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في المقابل، جاءت الفقرة </w:t>
      </w:r>
      <w:r w:rsidRPr="00342B3E">
        <w:rPr>
          <w:rFonts w:ascii="Traditional Arabic" w:eastAsia="Calibri" w:hAnsi="Traditional Arabic" w:cs="Traditional Arabic"/>
          <w:sz w:val="32"/>
          <w:szCs w:val="32"/>
          <w:lang w:val="en-US"/>
        </w:rPr>
        <w:t>"</w:t>
      </w:r>
      <w:r w:rsidRPr="00342B3E">
        <w:rPr>
          <w:rFonts w:ascii="Traditional Arabic" w:eastAsia="Calibri" w:hAnsi="Traditional Arabic" w:cs="Traditional Arabic"/>
          <w:sz w:val="32"/>
          <w:szCs w:val="32"/>
          <w:rtl/>
          <w:lang w:val="en-US"/>
        </w:rPr>
        <w:t>يتم توثيق المعرفة بحيث يسهل الوصول إليها</w:t>
      </w:r>
      <w:r w:rsidRPr="00342B3E">
        <w:rPr>
          <w:rFonts w:ascii="Traditional Arabic" w:eastAsia="Calibri" w:hAnsi="Traditional Arabic" w:cs="Traditional Arabic"/>
          <w:sz w:val="32"/>
          <w:szCs w:val="32"/>
          <w:lang w:val="en-US"/>
        </w:rPr>
        <w:t xml:space="preserve">" </w:t>
      </w:r>
      <w:r w:rsidRPr="00342B3E">
        <w:rPr>
          <w:rFonts w:ascii="Traditional Arabic" w:eastAsia="Calibri" w:hAnsi="Traditional Arabic" w:cs="Traditional Arabic"/>
          <w:sz w:val="32"/>
          <w:szCs w:val="32"/>
          <w:rtl/>
          <w:lang w:val="en-US"/>
        </w:rPr>
        <w:t xml:space="preserve">في المرتبة الأخيرة بمتوسط حسابي بلغ </w:t>
      </w:r>
      <w:r w:rsidRPr="00342B3E">
        <w:rPr>
          <w:rFonts w:ascii="Traditional Arabic" w:eastAsia="Calibri" w:hAnsi="Traditional Arabic" w:cs="Traditional Arabic"/>
          <w:sz w:val="32"/>
          <w:szCs w:val="32"/>
          <w:lang w:val="en-US"/>
        </w:rPr>
        <w:t>(3.91)</w:t>
      </w:r>
      <w:r w:rsidRPr="00342B3E">
        <w:rPr>
          <w:rFonts w:ascii="Traditional Arabic" w:eastAsia="Calibri" w:hAnsi="Traditional Arabic" w:cs="Traditional Arabic"/>
          <w:sz w:val="32"/>
          <w:szCs w:val="32"/>
          <w:rtl/>
          <w:lang w:val="en-US"/>
        </w:rPr>
        <w:t>، ورغم أنها جاءت ضمن المستوى المرتفع، إلا أن ذلك يشير إلى إمكانية تطوير آليات توثيق المعرفة المؤسسية بما يضمن سهولة الوصول إليها والاستفادة منها في مختلف الإدارات</w:t>
      </w:r>
      <w:r w:rsidRPr="00342B3E">
        <w:rPr>
          <w:rFonts w:ascii="Traditional Arabic" w:eastAsia="Calibri" w:hAnsi="Traditional Arabic" w:cs="Traditional Arabic"/>
          <w:sz w:val="32"/>
          <w:szCs w:val="32"/>
          <w:lang w:val="en-US"/>
        </w:rPr>
        <w:t>.</w:t>
      </w:r>
    </w:p>
    <w:p w14:paraId="4EFE4227"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وبوجه عام، تشير النتائج إلى أن شركة موبايلي تمتلك مستوى مرتفعًا من مشاركة المعرفة، من خلال تشجيع العمل الجماعي، وتوفير بيئة تنظيمية داعمة للتواصل والثقة، الأمر الذي يسهم في تعزيز التعلم التنظيمي وتحسين كفاءة الأداء، ويساعد العاملين على الاستفادة من الخبرات المتبادلة في مواجهة المشكلات وتحسين جودة الخدمات</w:t>
      </w:r>
      <w:r w:rsidRPr="00342B3E">
        <w:rPr>
          <w:rFonts w:ascii="Traditional Arabic" w:eastAsia="Calibri" w:hAnsi="Traditional Arabic" w:cs="Traditional Arabic"/>
          <w:sz w:val="32"/>
          <w:szCs w:val="32"/>
          <w:lang w:val="en-US"/>
        </w:rPr>
        <w:t>.</w:t>
      </w:r>
    </w:p>
    <w:p w14:paraId="0B3CAB90"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وتتفق هذه النتيجة مع دراسة  </w:t>
      </w:r>
      <w:r w:rsidRPr="00342B3E">
        <w:rPr>
          <w:rFonts w:ascii="Traditional Arabic" w:eastAsia="Calibri" w:hAnsi="Traditional Arabic" w:cs="Traditional Arabic"/>
          <w:sz w:val="32"/>
          <w:szCs w:val="32"/>
          <w:lang w:val="en-US"/>
        </w:rPr>
        <w:t xml:space="preserve">Davenport and Prusak (1998) </w:t>
      </w:r>
      <w:r w:rsidRPr="00342B3E">
        <w:rPr>
          <w:rFonts w:ascii="Traditional Arabic" w:eastAsia="Calibri" w:hAnsi="Traditional Arabic" w:cs="Traditional Arabic"/>
          <w:sz w:val="32"/>
          <w:szCs w:val="32"/>
          <w:rtl/>
          <w:lang w:val="en-US"/>
        </w:rPr>
        <w:t xml:space="preserve"> التي أكدت أن مشاركة المعرفة تمثل جوهر إدارة المعرفة الفاعلة، كما تتفق مع دراسة الأقرع (2020) التي أوضحت أن نجاح إدارة المعرفة يعتمد بدرجة كبيرة على توافر بيئة تنظيمية تشجع العاملين على تبادل المعرفة والخبرات. كذلك تنسجم هذه النتيجة مع دراسة    </w:t>
      </w:r>
      <w:r w:rsidRPr="00342B3E">
        <w:rPr>
          <w:rFonts w:ascii="Traditional Arabic" w:eastAsia="Calibri" w:hAnsi="Traditional Arabic" w:cs="Traditional Arabic"/>
          <w:sz w:val="32"/>
          <w:szCs w:val="32"/>
          <w:lang w:val="en-US"/>
        </w:rPr>
        <w:t xml:space="preserve">Tamsah et al. (2023) </w:t>
      </w:r>
      <w:r w:rsidRPr="00342B3E">
        <w:rPr>
          <w:rFonts w:ascii="Traditional Arabic" w:eastAsia="Calibri" w:hAnsi="Traditional Arabic" w:cs="Traditional Arabic"/>
          <w:sz w:val="32"/>
          <w:szCs w:val="32"/>
          <w:rtl/>
          <w:lang w:val="en-US"/>
        </w:rPr>
        <w:t xml:space="preserve"> التي أشارت إلى أن المؤسسات التي تعزز ثقافة مشاركة المعرفة تحقق مستويات أعلى من الأداء المؤسسي والابتكار</w:t>
      </w:r>
      <w:r w:rsidRPr="00342B3E">
        <w:rPr>
          <w:rFonts w:ascii="Traditional Arabic" w:eastAsia="Calibri" w:hAnsi="Traditional Arabic" w:cs="Traditional Arabic"/>
          <w:sz w:val="32"/>
          <w:szCs w:val="32"/>
          <w:lang w:val="en-US"/>
        </w:rPr>
        <w:t>.</w:t>
      </w:r>
    </w:p>
    <w:p w14:paraId="318E5B2D"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JO"/>
        </w:rPr>
      </w:pPr>
      <w:r w:rsidRPr="00342B3E">
        <w:rPr>
          <w:rFonts w:ascii="Traditional Arabic" w:eastAsia="Calibri" w:hAnsi="Traditional Arabic" w:cs="Traditional Arabic"/>
          <w:sz w:val="32"/>
          <w:szCs w:val="32"/>
          <w:rtl/>
          <w:lang w:val="en-US"/>
        </w:rPr>
        <w:t>ويمكن تفسير هذه النتيجة بطبيعة العمل في قطاع الاتصالات، الذي يعتمد بصورة كبيرة على سرعة تداول المعلومات والتنسيق المستمر بين الإدارات المختلفة، الأمر الذي يجعل مشاركة المعرفة عنصرًا أساسيًا في تحسين العمليات التشغيلية، ورفع جودة الخدمات، والاستجابة السريعة لاحتياجات العملاء</w:t>
      </w:r>
      <w:r w:rsidRPr="00342B3E">
        <w:rPr>
          <w:rFonts w:ascii="Traditional Arabic" w:eastAsia="Calibri" w:hAnsi="Traditional Arabic" w:cs="Traditional Arabic"/>
          <w:sz w:val="32"/>
          <w:szCs w:val="32"/>
          <w:lang w:val="en-US"/>
        </w:rPr>
        <w:t>.</w:t>
      </w:r>
      <w:r w:rsidRPr="00342B3E">
        <w:rPr>
          <w:rFonts w:ascii="Calibri" w:eastAsia="Calibri" w:hAnsi="Calibri" w:cs="Arial"/>
          <w:rtl/>
        </w:rPr>
        <w:t xml:space="preserve"> </w:t>
      </w:r>
      <w:r w:rsidRPr="00342B3E">
        <w:rPr>
          <w:rFonts w:ascii="Traditional Arabic" w:eastAsia="Calibri" w:hAnsi="Traditional Arabic" w:cs="Traditional Arabic"/>
          <w:sz w:val="32"/>
          <w:szCs w:val="32"/>
          <w:rtl/>
          <w:lang w:val="en-US"/>
        </w:rPr>
        <w:t>وتعكس هذه النتيجة أهمية تعزيز ثقافة مشاركة المعرفة داخل شركة موبايلي، إذ إن تبادل الخبرات والمعلومات بين العاملين يسهم في تحسين جودة الأداء وتسريع إنجاز الأعمال، ويحد من تكرار الأخطاء، كما يدعم التعلم التنظيمي واستمرارية نقل المعرفة بين العاملين. كما يمكن تفسير اتفاق هذه النتيجة مع معظم الدراسات السابقة بتشابه طبيعة المؤسسات التي تعتمد على المعرفة بوصفها موردًا إستراتيجيًا لتحقيق التميز المؤسسي، في حين قد تعزى أي فروق في مستوى النتائج إلى اختلاف البيئة التنظيمية أو طبيعة النشاط أو خصائص عينة الدراسة</w:t>
      </w:r>
      <w:r w:rsidRPr="00342B3E">
        <w:rPr>
          <w:rFonts w:ascii="Traditional Arabic" w:eastAsia="Calibri" w:hAnsi="Traditional Arabic" w:cs="Traditional Arabic"/>
          <w:sz w:val="32"/>
          <w:szCs w:val="32"/>
        </w:rPr>
        <w:t>.</w:t>
      </w:r>
    </w:p>
    <w:p w14:paraId="3D4C991A"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rPr>
      </w:pPr>
      <w:r w:rsidRPr="00342B3E">
        <w:rPr>
          <w:rFonts w:ascii="Traditional Arabic" w:eastAsia="Calibri" w:hAnsi="Traditional Arabic" w:cs="Traditional Arabic"/>
          <w:b/>
          <w:bCs/>
          <w:sz w:val="32"/>
          <w:szCs w:val="32"/>
          <w:rtl/>
          <w:lang w:val="en-US"/>
        </w:rPr>
        <w:t>4.4.1.3 تطبيق المعرفة</w:t>
      </w:r>
    </w:p>
    <w:p w14:paraId="3E9A466C"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lastRenderedPageBreak/>
        <w:t>يُعد تطبيق المعرفة المرحلة العملية في إدارة المعرفة، إذ لا تقتصر أهمية المعرفة على اكتسابها أو مشاركتها، بل تتمثل قيمتها الحقيقية في القدرة على توظيفها في تحسين العمليات، واتخاذ القرارات، وحل المشكلات، وتطوير جودة الخدمات. وللتعرف إلى مستوى ممارسة شركة موبايلي السعودية للاتصالات لبعد تطبيق المعرفة، تم حساب المتوسطات الحسابية والانحرافات المعيارية وترتيب الفقرات وفقًا لمتوسطاتها الحسابية، كما هو موضح في جدول (4-5).</w:t>
      </w:r>
    </w:p>
    <w:p w14:paraId="3F8C7E1E" w14:textId="77777777" w:rsidR="00342B3E" w:rsidRPr="00342B3E" w:rsidRDefault="00342B3E" w:rsidP="00342B3E">
      <w:pPr>
        <w:bidi/>
        <w:spacing w:after="0" w:line="240" w:lineRule="auto"/>
        <w:jc w:val="center"/>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جدول (4-5) المتوسطات الحسابية والانحرافات المعيارية لفقرات بعد تطبيق المعرفة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73"/>
        <w:gridCol w:w="3373"/>
        <w:gridCol w:w="1325"/>
        <w:gridCol w:w="1394"/>
        <w:gridCol w:w="1266"/>
        <w:gridCol w:w="845"/>
      </w:tblGrid>
      <w:tr w:rsidR="00342B3E" w:rsidRPr="00342B3E" w14:paraId="0D764DBD" w14:textId="77777777">
        <w:tc>
          <w:tcPr>
            <w:tcW w:w="717" w:type="pct"/>
            <w:tcBorders>
              <w:top w:val="single" w:sz="4" w:space="0" w:color="auto"/>
              <w:left w:val="single" w:sz="4" w:space="0" w:color="auto"/>
              <w:bottom w:val="single" w:sz="4" w:space="0" w:color="auto"/>
              <w:right w:val="single" w:sz="4" w:space="0" w:color="auto"/>
            </w:tcBorders>
            <w:hideMark/>
          </w:tcPr>
          <w:p w14:paraId="0BCF196C"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الرقم</w:t>
            </w:r>
          </w:p>
        </w:tc>
        <w:tc>
          <w:tcPr>
            <w:tcW w:w="1761" w:type="pct"/>
            <w:tcBorders>
              <w:top w:val="single" w:sz="4" w:space="0" w:color="auto"/>
              <w:left w:val="single" w:sz="4" w:space="0" w:color="auto"/>
              <w:bottom w:val="single" w:sz="4" w:space="0" w:color="auto"/>
              <w:right w:val="single" w:sz="4" w:space="0" w:color="auto"/>
            </w:tcBorders>
            <w:hideMark/>
          </w:tcPr>
          <w:p w14:paraId="230EF384"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الفقرة</w:t>
            </w:r>
          </w:p>
        </w:tc>
        <w:tc>
          <w:tcPr>
            <w:tcW w:w="692" w:type="pct"/>
            <w:tcBorders>
              <w:top w:val="single" w:sz="4" w:space="0" w:color="auto"/>
              <w:left w:val="single" w:sz="4" w:space="0" w:color="auto"/>
              <w:bottom w:val="single" w:sz="4" w:space="0" w:color="auto"/>
              <w:right w:val="single" w:sz="4" w:space="0" w:color="auto"/>
            </w:tcBorders>
            <w:hideMark/>
          </w:tcPr>
          <w:p w14:paraId="0FA0DA09"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المتوسط الحسابي</w:t>
            </w:r>
          </w:p>
        </w:tc>
        <w:tc>
          <w:tcPr>
            <w:tcW w:w="728" w:type="pct"/>
            <w:tcBorders>
              <w:top w:val="single" w:sz="4" w:space="0" w:color="auto"/>
              <w:left w:val="single" w:sz="4" w:space="0" w:color="auto"/>
              <w:bottom w:val="single" w:sz="4" w:space="0" w:color="auto"/>
              <w:right w:val="single" w:sz="4" w:space="0" w:color="auto"/>
            </w:tcBorders>
            <w:hideMark/>
          </w:tcPr>
          <w:p w14:paraId="28D93EE6"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الانحراف المعياري</w:t>
            </w:r>
          </w:p>
        </w:tc>
        <w:tc>
          <w:tcPr>
            <w:tcW w:w="661" w:type="pct"/>
            <w:tcBorders>
              <w:top w:val="single" w:sz="4" w:space="0" w:color="auto"/>
              <w:left w:val="single" w:sz="4" w:space="0" w:color="auto"/>
              <w:bottom w:val="single" w:sz="4" w:space="0" w:color="auto"/>
              <w:right w:val="single" w:sz="4" w:space="0" w:color="auto"/>
            </w:tcBorders>
            <w:hideMark/>
          </w:tcPr>
          <w:p w14:paraId="314EB6CD"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مستوى التطبيق</w:t>
            </w:r>
          </w:p>
        </w:tc>
        <w:tc>
          <w:tcPr>
            <w:tcW w:w="442" w:type="pct"/>
            <w:tcBorders>
              <w:top w:val="single" w:sz="4" w:space="0" w:color="auto"/>
              <w:left w:val="single" w:sz="4" w:space="0" w:color="auto"/>
              <w:bottom w:val="single" w:sz="4" w:space="0" w:color="auto"/>
              <w:right w:val="single" w:sz="4" w:space="0" w:color="auto"/>
            </w:tcBorders>
            <w:hideMark/>
          </w:tcPr>
          <w:p w14:paraId="33C7A79F"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rPr>
            </w:pPr>
            <w:r w:rsidRPr="00342B3E">
              <w:rPr>
                <w:rFonts w:ascii="Traditional Arabic" w:eastAsia="Calibri" w:hAnsi="Traditional Arabic" w:cs="Traditional Arabic"/>
                <w:b/>
                <w:bCs/>
                <w:sz w:val="32"/>
                <w:szCs w:val="32"/>
                <w:rtl/>
                <w:lang w:val="en-US"/>
              </w:rPr>
              <w:t>الترتيب</w:t>
            </w:r>
          </w:p>
        </w:tc>
      </w:tr>
      <w:tr w:rsidR="00342B3E" w:rsidRPr="00342B3E" w14:paraId="5EAEC048" w14:textId="77777777">
        <w:tc>
          <w:tcPr>
            <w:tcW w:w="717" w:type="pct"/>
            <w:tcBorders>
              <w:top w:val="single" w:sz="4" w:space="0" w:color="auto"/>
              <w:left w:val="single" w:sz="4" w:space="0" w:color="auto"/>
              <w:bottom w:val="single" w:sz="4" w:space="0" w:color="auto"/>
              <w:right w:val="single" w:sz="4" w:space="0" w:color="auto"/>
            </w:tcBorders>
            <w:hideMark/>
          </w:tcPr>
          <w:p w14:paraId="0E91105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21</w:t>
            </w:r>
          </w:p>
        </w:tc>
        <w:tc>
          <w:tcPr>
            <w:tcW w:w="1761" w:type="pct"/>
            <w:tcBorders>
              <w:top w:val="single" w:sz="4" w:space="0" w:color="auto"/>
              <w:left w:val="single" w:sz="4" w:space="0" w:color="auto"/>
              <w:bottom w:val="single" w:sz="4" w:space="0" w:color="auto"/>
              <w:right w:val="single" w:sz="4" w:space="0" w:color="auto"/>
            </w:tcBorders>
            <w:hideMark/>
          </w:tcPr>
          <w:p w14:paraId="6E2DD5A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تساعد المعرفة في تطوير جودة الخدمات المقدمة</w:t>
            </w:r>
            <w:r w:rsidRPr="00342B3E">
              <w:rPr>
                <w:rFonts w:ascii="Traditional Arabic" w:eastAsia="Calibri" w:hAnsi="Traditional Arabic" w:cs="Traditional Arabic"/>
                <w:sz w:val="32"/>
                <w:szCs w:val="32"/>
                <w:lang w:val="en-US"/>
              </w:rPr>
              <w:t>.</w:t>
            </w:r>
          </w:p>
        </w:tc>
        <w:tc>
          <w:tcPr>
            <w:tcW w:w="692" w:type="pct"/>
            <w:tcBorders>
              <w:top w:val="single" w:sz="4" w:space="0" w:color="auto"/>
              <w:left w:val="single" w:sz="4" w:space="0" w:color="auto"/>
              <w:bottom w:val="single" w:sz="4" w:space="0" w:color="auto"/>
              <w:right w:val="single" w:sz="4" w:space="0" w:color="auto"/>
            </w:tcBorders>
            <w:hideMark/>
          </w:tcPr>
          <w:p w14:paraId="6F69D93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4.08</w:t>
            </w:r>
          </w:p>
        </w:tc>
        <w:tc>
          <w:tcPr>
            <w:tcW w:w="728" w:type="pct"/>
            <w:tcBorders>
              <w:top w:val="single" w:sz="4" w:space="0" w:color="auto"/>
              <w:left w:val="single" w:sz="4" w:space="0" w:color="auto"/>
              <w:bottom w:val="single" w:sz="4" w:space="0" w:color="auto"/>
              <w:right w:val="single" w:sz="4" w:space="0" w:color="auto"/>
            </w:tcBorders>
            <w:hideMark/>
          </w:tcPr>
          <w:p w14:paraId="4ABE9DF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0.76</w:t>
            </w:r>
          </w:p>
        </w:tc>
        <w:tc>
          <w:tcPr>
            <w:tcW w:w="661" w:type="pct"/>
            <w:tcBorders>
              <w:top w:val="single" w:sz="4" w:space="0" w:color="auto"/>
              <w:left w:val="single" w:sz="4" w:space="0" w:color="auto"/>
              <w:bottom w:val="single" w:sz="4" w:space="0" w:color="auto"/>
              <w:right w:val="single" w:sz="4" w:space="0" w:color="auto"/>
            </w:tcBorders>
            <w:hideMark/>
          </w:tcPr>
          <w:p w14:paraId="0DC00E1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1BE942A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w:t>
            </w:r>
          </w:p>
        </w:tc>
      </w:tr>
      <w:tr w:rsidR="00342B3E" w:rsidRPr="00342B3E" w14:paraId="6A785801" w14:textId="77777777">
        <w:tc>
          <w:tcPr>
            <w:tcW w:w="717" w:type="pct"/>
            <w:tcBorders>
              <w:top w:val="single" w:sz="4" w:space="0" w:color="auto"/>
              <w:left w:val="single" w:sz="4" w:space="0" w:color="auto"/>
              <w:bottom w:val="single" w:sz="4" w:space="0" w:color="auto"/>
              <w:right w:val="single" w:sz="4" w:space="0" w:color="auto"/>
            </w:tcBorders>
            <w:hideMark/>
          </w:tcPr>
          <w:p w14:paraId="71136C2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23</w:t>
            </w:r>
          </w:p>
        </w:tc>
        <w:tc>
          <w:tcPr>
            <w:tcW w:w="1761" w:type="pct"/>
            <w:tcBorders>
              <w:top w:val="single" w:sz="4" w:space="0" w:color="auto"/>
              <w:left w:val="single" w:sz="4" w:space="0" w:color="auto"/>
              <w:bottom w:val="single" w:sz="4" w:space="0" w:color="auto"/>
              <w:right w:val="single" w:sz="4" w:space="0" w:color="auto"/>
            </w:tcBorders>
            <w:hideMark/>
          </w:tcPr>
          <w:p w14:paraId="1129513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تسهم المعرفة في تعزيز كفاءة العمل</w:t>
            </w:r>
            <w:r w:rsidRPr="00342B3E">
              <w:rPr>
                <w:rFonts w:ascii="Traditional Arabic" w:eastAsia="Calibri" w:hAnsi="Traditional Arabic" w:cs="Traditional Arabic"/>
                <w:sz w:val="32"/>
                <w:szCs w:val="32"/>
                <w:lang w:val="en-US"/>
              </w:rPr>
              <w:t>.</w:t>
            </w:r>
          </w:p>
        </w:tc>
        <w:tc>
          <w:tcPr>
            <w:tcW w:w="692" w:type="pct"/>
            <w:tcBorders>
              <w:top w:val="single" w:sz="4" w:space="0" w:color="auto"/>
              <w:left w:val="single" w:sz="4" w:space="0" w:color="auto"/>
              <w:bottom w:val="single" w:sz="4" w:space="0" w:color="auto"/>
              <w:right w:val="single" w:sz="4" w:space="0" w:color="auto"/>
            </w:tcBorders>
            <w:hideMark/>
          </w:tcPr>
          <w:p w14:paraId="791D693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4.01</w:t>
            </w:r>
          </w:p>
        </w:tc>
        <w:tc>
          <w:tcPr>
            <w:tcW w:w="728" w:type="pct"/>
            <w:tcBorders>
              <w:top w:val="single" w:sz="4" w:space="0" w:color="auto"/>
              <w:left w:val="single" w:sz="4" w:space="0" w:color="auto"/>
              <w:bottom w:val="single" w:sz="4" w:space="0" w:color="auto"/>
              <w:right w:val="single" w:sz="4" w:space="0" w:color="auto"/>
            </w:tcBorders>
            <w:hideMark/>
          </w:tcPr>
          <w:p w14:paraId="785B6D8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0.79</w:t>
            </w:r>
          </w:p>
        </w:tc>
        <w:tc>
          <w:tcPr>
            <w:tcW w:w="661" w:type="pct"/>
            <w:tcBorders>
              <w:top w:val="single" w:sz="4" w:space="0" w:color="auto"/>
              <w:left w:val="single" w:sz="4" w:space="0" w:color="auto"/>
              <w:bottom w:val="single" w:sz="4" w:space="0" w:color="auto"/>
              <w:right w:val="single" w:sz="4" w:space="0" w:color="auto"/>
            </w:tcBorders>
            <w:hideMark/>
          </w:tcPr>
          <w:p w14:paraId="6686A82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56ED58E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2</w:t>
            </w:r>
          </w:p>
        </w:tc>
      </w:tr>
      <w:tr w:rsidR="00342B3E" w:rsidRPr="00342B3E" w14:paraId="443165F9" w14:textId="77777777">
        <w:tc>
          <w:tcPr>
            <w:tcW w:w="717" w:type="pct"/>
            <w:tcBorders>
              <w:top w:val="single" w:sz="4" w:space="0" w:color="auto"/>
              <w:left w:val="single" w:sz="4" w:space="0" w:color="auto"/>
              <w:bottom w:val="single" w:sz="4" w:space="0" w:color="auto"/>
              <w:right w:val="single" w:sz="4" w:space="0" w:color="auto"/>
            </w:tcBorders>
            <w:hideMark/>
          </w:tcPr>
          <w:p w14:paraId="25D5002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19</w:t>
            </w:r>
          </w:p>
        </w:tc>
        <w:tc>
          <w:tcPr>
            <w:tcW w:w="1761" w:type="pct"/>
            <w:tcBorders>
              <w:top w:val="single" w:sz="4" w:space="0" w:color="auto"/>
              <w:left w:val="single" w:sz="4" w:space="0" w:color="auto"/>
              <w:bottom w:val="single" w:sz="4" w:space="0" w:color="auto"/>
              <w:right w:val="single" w:sz="4" w:space="0" w:color="auto"/>
            </w:tcBorders>
            <w:hideMark/>
          </w:tcPr>
          <w:p w14:paraId="777366D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تسهم المعرفة في حل المشكلات بسرعة</w:t>
            </w:r>
            <w:r w:rsidRPr="00342B3E">
              <w:rPr>
                <w:rFonts w:ascii="Traditional Arabic" w:eastAsia="Calibri" w:hAnsi="Traditional Arabic" w:cs="Traditional Arabic"/>
                <w:sz w:val="32"/>
                <w:szCs w:val="32"/>
                <w:lang w:val="en-US"/>
              </w:rPr>
              <w:t>.</w:t>
            </w:r>
          </w:p>
        </w:tc>
        <w:tc>
          <w:tcPr>
            <w:tcW w:w="692" w:type="pct"/>
            <w:tcBorders>
              <w:top w:val="single" w:sz="4" w:space="0" w:color="auto"/>
              <w:left w:val="single" w:sz="4" w:space="0" w:color="auto"/>
              <w:bottom w:val="single" w:sz="4" w:space="0" w:color="auto"/>
              <w:right w:val="single" w:sz="4" w:space="0" w:color="auto"/>
            </w:tcBorders>
            <w:hideMark/>
          </w:tcPr>
          <w:p w14:paraId="213DAA1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3.94</w:t>
            </w:r>
          </w:p>
        </w:tc>
        <w:tc>
          <w:tcPr>
            <w:tcW w:w="728" w:type="pct"/>
            <w:tcBorders>
              <w:top w:val="single" w:sz="4" w:space="0" w:color="auto"/>
              <w:left w:val="single" w:sz="4" w:space="0" w:color="auto"/>
              <w:bottom w:val="single" w:sz="4" w:space="0" w:color="auto"/>
              <w:right w:val="single" w:sz="4" w:space="0" w:color="auto"/>
            </w:tcBorders>
            <w:hideMark/>
          </w:tcPr>
          <w:p w14:paraId="55B3EA2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0.83</w:t>
            </w:r>
          </w:p>
        </w:tc>
        <w:tc>
          <w:tcPr>
            <w:tcW w:w="661" w:type="pct"/>
            <w:tcBorders>
              <w:top w:val="single" w:sz="4" w:space="0" w:color="auto"/>
              <w:left w:val="single" w:sz="4" w:space="0" w:color="auto"/>
              <w:bottom w:val="single" w:sz="4" w:space="0" w:color="auto"/>
              <w:right w:val="single" w:sz="4" w:space="0" w:color="auto"/>
            </w:tcBorders>
            <w:hideMark/>
          </w:tcPr>
          <w:p w14:paraId="722BEA2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19C20B1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w:t>
            </w:r>
          </w:p>
        </w:tc>
      </w:tr>
      <w:tr w:rsidR="00342B3E" w:rsidRPr="00342B3E" w14:paraId="05320A4E" w14:textId="77777777">
        <w:tc>
          <w:tcPr>
            <w:tcW w:w="717" w:type="pct"/>
            <w:tcBorders>
              <w:top w:val="single" w:sz="4" w:space="0" w:color="auto"/>
              <w:left w:val="single" w:sz="4" w:space="0" w:color="auto"/>
              <w:bottom w:val="single" w:sz="4" w:space="0" w:color="auto"/>
              <w:right w:val="single" w:sz="4" w:space="0" w:color="auto"/>
            </w:tcBorders>
            <w:hideMark/>
          </w:tcPr>
          <w:p w14:paraId="3621E6C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18</w:t>
            </w:r>
          </w:p>
        </w:tc>
        <w:tc>
          <w:tcPr>
            <w:tcW w:w="1761" w:type="pct"/>
            <w:tcBorders>
              <w:top w:val="single" w:sz="4" w:space="0" w:color="auto"/>
              <w:left w:val="single" w:sz="4" w:space="0" w:color="auto"/>
              <w:bottom w:val="single" w:sz="4" w:space="0" w:color="auto"/>
              <w:right w:val="single" w:sz="4" w:space="0" w:color="auto"/>
            </w:tcBorders>
            <w:hideMark/>
          </w:tcPr>
          <w:p w14:paraId="4D9E907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تعتمد الإدارة على المعرفة في اتخاذ القرارات</w:t>
            </w:r>
            <w:r w:rsidRPr="00342B3E">
              <w:rPr>
                <w:rFonts w:ascii="Traditional Arabic" w:eastAsia="Calibri" w:hAnsi="Traditional Arabic" w:cs="Traditional Arabic"/>
                <w:sz w:val="32"/>
                <w:szCs w:val="32"/>
                <w:lang w:val="en-US"/>
              </w:rPr>
              <w:t>.</w:t>
            </w:r>
          </w:p>
        </w:tc>
        <w:tc>
          <w:tcPr>
            <w:tcW w:w="692" w:type="pct"/>
            <w:tcBorders>
              <w:top w:val="single" w:sz="4" w:space="0" w:color="auto"/>
              <w:left w:val="single" w:sz="4" w:space="0" w:color="auto"/>
              <w:bottom w:val="single" w:sz="4" w:space="0" w:color="auto"/>
              <w:right w:val="single" w:sz="4" w:space="0" w:color="auto"/>
            </w:tcBorders>
            <w:hideMark/>
          </w:tcPr>
          <w:p w14:paraId="571A20D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3.86</w:t>
            </w:r>
          </w:p>
        </w:tc>
        <w:tc>
          <w:tcPr>
            <w:tcW w:w="728" w:type="pct"/>
            <w:tcBorders>
              <w:top w:val="single" w:sz="4" w:space="0" w:color="auto"/>
              <w:left w:val="single" w:sz="4" w:space="0" w:color="auto"/>
              <w:bottom w:val="single" w:sz="4" w:space="0" w:color="auto"/>
              <w:right w:val="single" w:sz="4" w:space="0" w:color="auto"/>
            </w:tcBorders>
            <w:hideMark/>
          </w:tcPr>
          <w:p w14:paraId="2069D31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0.86</w:t>
            </w:r>
          </w:p>
        </w:tc>
        <w:tc>
          <w:tcPr>
            <w:tcW w:w="661" w:type="pct"/>
            <w:tcBorders>
              <w:top w:val="single" w:sz="4" w:space="0" w:color="auto"/>
              <w:left w:val="single" w:sz="4" w:space="0" w:color="auto"/>
              <w:bottom w:val="single" w:sz="4" w:space="0" w:color="auto"/>
              <w:right w:val="single" w:sz="4" w:space="0" w:color="auto"/>
            </w:tcBorders>
            <w:hideMark/>
          </w:tcPr>
          <w:p w14:paraId="16D4A33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7685C70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4</w:t>
            </w:r>
          </w:p>
        </w:tc>
      </w:tr>
      <w:tr w:rsidR="00342B3E" w:rsidRPr="00342B3E" w14:paraId="31E62BE1" w14:textId="77777777">
        <w:tc>
          <w:tcPr>
            <w:tcW w:w="717" w:type="pct"/>
            <w:tcBorders>
              <w:top w:val="single" w:sz="4" w:space="0" w:color="auto"/>
              <w:left w:val="single" w:sz="4" w:space="0" w:color="auto"/>
              <w:bottom w:val="single" w:sz="4" w:space="0" w:color="auto"/>
              <w:right w:val="single" w:sz="4" w:space="0" w:color="auto"/>
            </w:tcBorders>
            <w:hideMark/>
          </w:tcPr>
          <w:p w14:paraId="6BC1F80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17</w:t>
            </w:r>
          </w:p>
        </w:tc>
        <w:tc>
          <w:tcPr>
            <w:tcW w:w="1761" w:type="pct"/>
            <w:tcBorders>
              <w:top w:val="single" w:sz="4" w:space="0" w:color="auto"/>
              <w:left w:val="single" w:sz="4" w:space="0" w:color="auto"/>
              <w:bottom w:val="single" w:sz="4" w:space="0" w:color="auto"/>
              <w:right w:val="single" w:sz="4" w:space="0" w:color="auto"/>
            </w:tcBorders>
            <w:hideMark/>
          </w:tcPr>
          <w:p w14:paraId="0B54E60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يتم استخدام المعرفة المتاحة في تحسين العمليات</w:t>
            </w:r>
            <w:r w:rsidRPr="00342B3E">
              <w:rPr>
                <w:rFonts w:ascii="Traditional Arabic" w:eastAsia="Calibri" w:hAnsi="Traditional Arabic" w:cs="Traditional Arabic"/>
                <w:sz w:val="32"/>
                <w:szCs w:val="32"/>
                <w:lang w:val="en-US"/>
              </w:rPr>
              <w:t>.</w:t>
            </w:r>
          </w:p>
        </w:tc>
        <w:tc>
          <w:tcPr>
            <w:tcW w:w="692" w:type="pct"/>
            <w:tcBorders>
              <w:top w:val="single" w:sz="4" w:space="0" w:color="auto"/>
              <w:left w:val="single" w:sz="4" w:space="0" w:color="auto"/>
              <w:bottom w:val="single" w:sz="4" w:space="0" w:color="auto"/>
              <w:right w:val="single" w:sz="4" w:space="0" w:color="auto"/>
            </w:tcBorders>
            <w:hideMark/>
          </w:tcPr>
          <w:p w14:paraId="5309917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3.78</w:t>
            </w:r>
          </w:p>
        </w:tc>
        <w:tc>
          <w:tcPr>
            <w:tcW w:w="728" w:type="pct"/>
            <w:tcBorders>
              <w:top w:val="single" w:sz="4" w:space="0" w:color="auto"/>
              <w:left w:val="single" w:sz="4" w:space="0" w:color="auto"/>
              <w:bottom w:val="single" w:sz="4" w:space="0" w:color="auto"/>
              <w:right w:val="single" w:sz="4" w:space="0" w:color="auto"/>
            </w:tcBorders>
            <w:hideMark/>
          </w:tcPr>
          <w:p w14:paraId="311DF31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0.89</w:t>
            </w:r>
          </w:p>
        </w:tc>
        <w:tc>
          <w:tcPr>
            <w:tcW w:w="661" w:type="pct"/>
            <w:tcBorders>
              <w:top w:val="single" w:sz="4" w:space="0" w:color="auto"/>
              <w:left w:val="single" w:sz="4" w:space="0" w:color="auto"/>
              <w:bottom w:val="single" w:sz="4" w:space="0" w:color="auto"/>
              <w:right w:val="single" w:sz="4" w:space="0" w:color="auto"/>
            </w:tcBorders>
            <w:hideMark/>
          </w:tcPr>
          <w:p w14:paraId="6503C56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5CB8A03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5</w:t>
            </w:r>
          </w:p>
        </w:tc>
      </w:tr>
      <w:tr w:rsidR="00342B3E" w:rsidRPr="00342B3E" w14:paraId="542A0A9D" w14:textId="77777777">
        <w:tc>
          <w:tcPr>
            <w:tcW w:w="717" w:type="pct"/>
            <w:tcBorders>
              <w:top w:val="single" w:sz="4" w:space="0" w:color="auto"/>
              <w:left w:val="single" w:sz="4" w:space="0" w:color="auto"/>
              <w:bottom w:val="single" w:sz="4" w:space="0" w:color="auto"/>
              <w:right w:val="single" w:sz="4" w:space="0" w:color="auto"/>
            </w:tcBorders>
            <w:hideMark/>
          </w:tcPr>
          <w:p w14:paraId="662E136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22</w:t>
            </w:r>
          </w:p>
        </w:tc>
        <w:tc>
          <w:tcPr>
            <w:tcW w:w="1761" w:type="pct"/>
            <w:tcBorders>
              <w:top w:val="single" w:sz="4" w:space="0" w:color="auto"/>
              <w:left w:val="single" w:sz="4" w:space="0" w:color="auto"/>
              <w:bottom w:val="single" w:sz="4" w:space="0" w:color="auto"/>
              <w:right w:val="single" w:sz="4" w:space="0" w:color="auto"/>
            </w:tcBorders>
            <w:hideMark/>
          </w:tcPr>
          <w:p w14:paraId="10AC41C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يتم الاستفادة من الدروس المستفادة في تطوير الأداء</w:t>
            </w:r>
            <w:r w:rsidRPr="00342B3E">
              <w:rPr>
                <w:rFonts w:ascii="Traditional Arabic" w:eastAsia="Calibri" w:hAnsi="Traditional Arabic" w:cs="Traditional Arabic"/>
                <w:sz w:val="32"/>
                <w:szCs w:val="32"/>
                <w:lang w:val="en-US"/>
              </w:rPr>
              <w:t>.</w:t>
            </w:r>
          </w:p>
        </w:tc>
        <w:tc>
          <w:tcPr>
            <w:tcW w:w="692" w:type="pct"/>
            <w:tcBorders>
              <w:top w:val="single" w:sz="4" w:space="0" w:color="auto"/>
              <w:left w:val="single" w:sz="4" w:space="0" w:color="auto"/>
              <w:bottom w:val="single" w:sz="4" w:space="0" w:color="auto"/>
              <w:right w:val="single" w:sz="4" w:space="0" w:color="auto"/>
            </w:tcBorders>
            <w:hideMark/>
          </w:tcPr>
          <w:p w14:paraId="3B630D9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3.66</w:t>
            </w:r>
          </w:p>
        </w:tc>
        <w:tc>
          <w:tcPr>
            <w:tcW w:w="728" w:type="pct"/>
            <w:tcBorders>
              <w:top w:val="single" w:sz="4" w:space="0" w:color="auto"/>
              <w:left w:val="single" w:sz="4" w:space="0" w:color="auto"/>
              <w:bottom w:val="single" w:sz="4" w:space="0" w:color="auto"/>
              <w:right w:val="single" w:sz="4" w:space="0" w:color="auto"/>
            </w:tcBorders>
            <w:hideMark/>
          </w:tcPr>
          <w:p w14:paraId="620DEF9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0.93</w:t>
            </w:r>
          </w:p>
        </w:tc>
        <w:tc>
          <w:tcPr>
            <w:tcW w:w="661" w:type="pct"/>
            <w:tcBorders>
              <w:top w:val="single" w:sz="4" w:space="0" w:color="auto"/>
              <w:left w:val="single" w:sz="4" w:space="0" w:color="auto"/>
              <w:bottom w:val="single" w:sz="4" w:space="0" w:color="auto"/>
              <w:right w:val="single" w:sz="4" w:space="0" w:color="auto"/>
            </w:tcBorders>
            <w:hideMark/>
          </w:tcPr>
          <w:p w14:paraId="4BAE40F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76FFF36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6</w:t>
            </w:r>
          </w:p>
        </w:tc>
      </w:tr>
      <w:tr w:rsidR="00342B3E" w:rsidRPr="00342B3E" w14:paraId="15AFD915" w14:textId="77777777">
        <w:tc>
          <w:tcPr>
            <w:tcW w:w="717" w:type="pct"/>
            <w:tcBorders>
              <w:top w:val="single" w:sz="4" w:space="0" w:color="auto"/>
              <w:left w:val="single" w:sz="4" w:space="0" w:color="auto"/>
              <w:bottom w:val="single" w:sz="4" w:space="0" w:color="auto"/>
              <w:right w:val="single" w:sz="4" w:space="0" w:color="auto"/>
            </w:tcBorders>
            <w:hideMark/>
          </w:tcPr>
          <w:p w14:paraId="6BE6127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24</w:t>
            </w:r>
          </w:p>
        </w:tc>
        <w:tc>
          <w:tcPr>
            <w:tcW w:w="1761" w:type="pct"/>
            <w:tcBorders>
              <w:top w:val="single" w:sz="4" w:space="0" w:color="auto"/>
              <w:left w:val="single" w:sz="4" w:space="0" w:color="auto"/>
              <w:bottom w:val="single" w:sz="4" w:space="0" w:color="auto"/>
              <w:right w:val="single" w:sz="4" w:space="0" w:color="auto"/>
            </w:tcBorders>
            <w:hideMark/>
          </w:tcPr>
          <w:p w14:paraId="745F022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تعتمد الشركة على المعرفة في تحقيق أهدافها الاستراتيجية</w:t>
            </w:r>
            <w:r w:rsidRPr="00342B3E">
              <w:rPr>
                <w:rFonts w:ascii="Traditional Arabic" w:eastAsia="Calibri" w:hAnsi="Traditional Arabic" w:cs="Traditional Arabic"/>
                <w:sz w:val="32"/>
                <w:szCs w:val="32"/>
                <w:lang w:val="en-US"/>
              </w:rPr>
              <w:t>.</w:t>
            </w:r>
          </w:p>
        </w:tc>
        <w:tc>
          <w:tcPr>
            <w:tcW w:w="692" w:type="pct"/>
            <w:tcBorders>
              <w:top w:val="single" w:sz="4" w:space="0" w:color="auto"/>
              <w:left w:val="single" w:sz="4" w:space="0" w:color="auto"/>
              <w:bottom w:val="single" w:sz="4" w:space="0" w:color="auto"/>
              <w:right w:val="single" w:sz="4" w:space="0" w:color="auto"/>
            </w:tcBorders>
            <w:hideMark/>
          </w:tcPr>
          <w:p w14:paraId="7BE2382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3.54</w:t>
            </w:r>
          </w:p>
        </w:tc>
        <w:tc>
          <w:tcPr>
            <w:tcW w:w="728" w:type="pct"/>
            <w:tcBorders>
              <w:top w:val="single" w:sz="4" w:space="0" w:color="auto"/>
              <w:left w:val="single" w:sz="4" w:space="0" w:color="auto"/>
              <w:bottom w:val="single" w:sz="4" w:space="0" w:color="auto"/>
              <w:right w:val="single" w:sz="4" w:space="0" w:color="auto"/>
            </w:tcBorders>
            <w:hideMark/>
          </w:tcPr>
          <w:p w14:paraId="309133F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0.97</w:t>
            </w:r>
          </w:p>
        </w:tc>
        <w:tc>
          <w:tcPr>
            <w:tcW w:w="661" w:type="pct"/>
            <w:tcBorders>
              <w:top w:val="single" w:sz="4" w:space="0" w:color="auto"/>
              <w:left w:val="single" w:sz="4" w:space="0" w:color="auto"/>
              <w:bottom w:val="single" w:sz="4" w:space="0" w:color="auto"/>
              <w:right w:val="single" w:sz="4" w:space="0" w:color="auto"/>
            </w:tcBorders>
            <w:hideMark/>
          </w:tcPr>
          <w:p w14:paraId="4D83780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47A1651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7</w:t>
            </w:r>
          </w:p>
        </w:tc>
      </w:tr>
      <w:tr w:rsidR="00342B3E" w:rsidRPr="00342B3E" w14:paraId="37FECB93" w14:textId="77777777">
        <w:tc>
          <w:tcPr>
            <w:tcW w:w="717" w:type="pct"/>
            <w:tcBorders>
              <w:top w:val="single" w:sz="4" w:space="0" w:color="auto"/>
              <w:left w:val="single" w:sz="4" w:space="0" w:color="auto"/>
              <w:bottom w:val="single" w:sz="4" w:space="0" w:color="auto"/>
              <w:right w:val="single" w:sz="4" w:space="0" w:color="auto"/>
            </w:tcBorders>
            <w:hideMark/>
          </w:tcPr>
          <w:p w14:paraId="1627B72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20</w:t>
            </w:r>
          </w:p>
        </w:tc>
        <w:tc>
          <w:tcPr>
            <w:tcW w:w="1761" w:type="pct"/>
            <w:tcBorders>
              <w:top w:val="single" w:sz="4" w:space="0" w:color="auto"/>
              <w:left w:val="single" w:sz="4" w:space="0" w:color="auto"/>
              <w:bottom w:val="single" w:sz="4" w:space="0" w:color="auto"/>
              <w:right w:val="single" w:sz="4" w:space="0" w:color="auto"/>
            </w:tcBorders>
            <w:hideMark/>
          </w:tcPr>
          <w:p w14:paraId="0CAAE3D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يتم تحويل المعرفة النظرية إلى ممارسات عملية</w:t>
            </w:r>
            <w:r w:rsidRPr="00342B3E">
              <w:rPr>
                <w:rFonts w:ascii="Traditional Arabic" w:eastAsia="Calibri" w:hAnsi="Traditional Arabic" w:cs="Traditional Arabic"/>
                <w:sz w:val="32"/>
                <w:szCs w:val="32"/>
                <w:lang w:val="en-US"/>
              </w:rPr>
              <w:t>.</w:t>
            </w:r>
          </w:p>
        </w:tc>
        <w:tc>
          <w:tcPr>
            <w:tcW w:w="692" w:type="pct"/>
            <w:tcBorders>
              <w:top w:val="single" w:sz="4" w:space="0" w:color="auto"/>
              <w:left w:val="single" w:sz="4" w:space="0" w:color="auto"/>
              <w:bottom w:val="single" w:sz="4" w:space="0" w:color="auto"/>
              <w:right w:val="single" w:sz="4" w:space="0" w:color="auto"/>
            </w:tcBorders>
            <w:hideMark/>
          </w:tcPr>
          <w:p w14:paraId="12F33BD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3.39</w:t>
            </w:r>
          </w:p>
        </w:tc>
        <w:tc>
          <w:tcPr>
            <w:tcW w:w="728" w:type="pct"/>
            <w:tcBorders>
              <w:top w:val="single" w:sz="4" w:space="0" w:color="auto"/>
              <w:left w:val="single" w:sz="4" w:space="0" w:color="auto"/>
              <w:bottom w:val="single" w:sz="4" w:space="0" w:color="auto"/>
              <w:right w:val="single" w:sz="4" w:space="0" w:color="auto"/>
            </w:tcBorders>
            <w:hideMark/>
          </w:tcPr>
          <w:p w14:paraId="184BA2A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1.01</w:t>
            </w:r>
          </w:p>
        </w:tc>
        <w:tc>
          <w:tcPr>
            <w:tcW w:w="661" w:type="pct"/>
            <w:tcBorders>
              <w:top w:val="single" w:sz="4" w:space="0" w:color="auto"/>
              <w:left w:val="single" w:sz="4" w:space="0" w:color="auto"/>
              <w:bottom w:val="single" w:sz="4" w:space="0" w:color="auto"/>
              <w:right w:val="single" w:sz="4" w:space="0" w:color="auto"/>
            </w:tcBorders>
            <w:hideMark/>
          </w:tcPr>
          <w:p w14:paraId="28AC1B6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متوسط</w:t>
            </w:r>
          </w:p>
        </w:tc>
        <w:tc>
          <w:tcPr>
            <w:tcW w:w="442" w:type="pct"/>
            <w:tcBorders>
              <w:top w:val="single" w:sz="4" w:space="0" w:color="auto"/>
              <w:left w:val="single" w:sz="4" w:space="0" w:color="auto"/>
              <w:bottom w:val="single" w:sz="4" w:space="0" w:color="auto"/>
              <w:right w:val="single" w:sz="4" w:space="0" w:color="auto"/>
            </w:tcBorders>
            <w:hideMark/>
          </w:tcPr>
          <w:p w14:paraId="6DA397A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lang w:val="en-US"/>
              </w:rPr>
              <w:t>8</w:t>
            </w:r>
          </w:p>
        </w:tc>
      </w:tr>
      <w:tr w:rsidR="00342B3E" w:rsidRPr="00342B3E" w14:paraId="1A9BEE97" w14:textId="77777777">
        <w:tc>
          <w:tcPr>
            <w:tcW w:w="2478" w:type="pct"/>
            <w:gridSpan w:val="2"/>
            <w:tcBorders>
              <w:top w:val="single" w:sz="4" w:space="0" w:color="auto"/>
              <w:left w:val="single" w:sz="4" w:space="0" w:color="auto"/>
              <w:bottom w:val="single" w:sz="4" w:space="0" w:color="auto"/>
              <w:right w:val="single" w:sz="4" w:space="0" w:color="auto"/>
            </w:tcBorders>
            <w:hideMark/>
          </w:tcPr>
          <w:p w14:paraId="44D4867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تطبيق المعرفة ككل</w:t>
            </w:r>
          </w:p>
        </w:tc>
        <w:tc>
          <w:tcPr>
            <w:tcW w:w="692" w:type="pct"/>
            <w:tcBorders>
              <w:top w:val="single" w:sz="4" w:space="0" w:color="auto"/>
              <w:left w:val="single" w:sz="4" w:space="0" w:color="auto"/>
              <w:bottom w:val="single" w:sz="4" w:space="0" w:color="auto"/>
              <w:right w:val="single" w:sz="4" w:space="0" w:color="auto"/>
            </w:tcBorders>
            <w:hideMark/>
          </w:tcPr>
          <w:p w14:paraId="283768A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lang w:val="en-US"/>
              </w:rPr>
              <w:t>3.78</w:t>
            </w:r>
          </w:p>
        </w:tc>
        <w:tc>
          <w:tcPr>
            <w:tcW w:w="728" w:type="pct"/>
            <w:tcBorders>
              <w:top w:val="single" w:sz="4" w:space="0" w:color="auto"/>
              <w:left w:val="single" w:sz="4" w:space="0" w:color="auto"/>
              <w:bottom w:val="single" w:sz="4" w:space="0" w:color="auto"/>
              <w:right w:val="single" w:sz="4" w:space="0" w:color="auto"/>
            </w:tcBorders>
            <w:hideMark/>
          </w:tcPr>
          <w:p w14:paraId="70B7D92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lang w:val="en-US"/>
              </w:rPr>
              <w:t>0.72</w:t>
            </w:r>
          </w:p>
        </w:tc>
        <w:tc>
          <w:tcPr>
            <w:tcW w:w="661" w:type="pct"/>
            <w:tcBorders>
              <w:top w:val="single" w:sz="4" w:space="0" w:color="auto"/>
              <w:left w:val="single" w:sz="4" w:space="0" w:color="auto"/>
              <w:bottom w:val="single" w:sz="4" w:space="0" w:color="auto"/>
              <w:right w:val="single" w:sz="4" w:space="0" w:color="auto"/>
            </w:tcBorders>
            <w:hideMark/>
          </w:tcPr>
          <w:p w14:paraId="5813070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b/>
                <w:bCs/>
                <w:sz w:val="32"/>
                <w:szCs w:val="32"/>
                <w:rtl/>
                <w:lang w:val="en-US"/>
              </w:rPr>
              <w:t>مرتفع</w:t>
            </w:r>
          </w:p>
        </w:tc>
        <w:tc>
          <w:tcPr>
            <w:tcW w:w="442" w:type="pct"/>
            <w:tcBorders>
              <w:top w:val="single" w:sz="4" w:space="0" w:color="auto"/>
              <w:left w:val="single" w:sz="4" w:space="0" w:color="auto"/>
              <w:bottom w:val="single" w:sz="4" w:space="0" w:color="auto"/>
              <w:right w:val="single" w:sz="4" w:space="0" w:color="auto"/>
            </w:tcBorders>
            <w:hideMark/>
          </w:tcPr>
          <w:p w14:paraId="6D02AC61" w14:textId="77777777" w:rsidR="00342B3E" w:rsidRPr="00342B3E" w:rsidRDefault="00342B3E" w:rsidP="00342B3E">
            <w:pPr>
              <w:rPr>
                <w:rFonts w:ascii="Traditional Arabic" w:eastAsia="Calibri" w:hAnsi="Traditional Arabic" w:cs="Traditional Arabic"/>
                <w:sz w:val="32"/>
                <w:szCs w:val="32"/>
                <w:lang w:val="en-US"/>
              </w:rPr>
            </w:pPr>
          </w:p>
        </w:tc>
      </w:tr>
    </w:tbl>
    <w:p w14:paraId="6B1CD951"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 xml:space="preserve">يتضح من نتائج جدول (4-5) أن المتوسط الحسابي الكلي لبعد تطبيق المعرفة بلغ </w:t>
      </w:r>
      <w:r w:rsidRPr="00342B3E">
        <w:rPr>
          <w:rFonts w:ascii="Traditional Arabic" w:eastAsia="Calibri" w:hAnsi="Traditional Arabic" w:cs="Traditional Arabic"/>
          <w:sz w:val="32"/>
          <w:szCs w:val="32"/>
          <w:lang w:val="en-US"/>
        </w:rPr>
        <w:t xml:space="preserve">(3.78) </w:t>
      </w:r>
      <w:r w:rsidRPr="00342B3E">
        <w:rPr>
          <w:rFonts w:ascii="Traditional Arabic" w:eastAsia="Calibri" w:hAnsi="Traditional Arabic" w:cs="Traditional Arabic"/>
          <w:sz w:val="32"/>
          <w:szCs w:val="32"/>
          <w:rtl/>
          <w:lang w:val="en-US"/>
        </w:rPr>
        <w:t xml:space="preserve">بانحراف معياري مقداره </w:t>
      </w:r>
      <w:r w:rsidRPr="00342B3E">
        <w:rPr>
          <w:rFonts w:ascii="Traditional Arabic" w:eastAsia="Calibri" w:hAnsi="Traditional Arabic" w:cs="Traditional Arabic"/>
          <w:sz w:val="32"/>
          <w:szCs w:val="32"/>
          <w:lang w:val="en-US"/>
        </w:rPr>
        <w:t>(0.72)</w:t>
      </w:r>
      <w:r w:rsidRPr="00342B3E">
        <w:rPr>
          <w:rFonts w:ascii="Traditional Arabic" w:eastAsia="Calibri" w:hAnsi="Traditional Arabic" w:cs="Traditional Arabic"/>
          <w:sz w:val="32"/>
          <w:szCs w:val="32"/>
          <w:rtl/>
          <w:lang w:val="en-US"/>
        </w:rPr>
        <w:t>، وهو ما يشير إلى أن مستوى تطبيق المعرفة في شركة موبايلي جاء مرتفعًا، إلا أنه جاء بدرجة أقل نسبيًا مقارنة ببعدي اكتساب المعرفة ومشاركة المعرفة. ويُعد ذلك منطقيًا، إذ إن تطبيق المعرفة يمثل المرحلة الأكثر تعقيدًا في إدارة المعرفة، لأنه يتطلب تحويل المعرفة المتاحة إلى إجراءات عملية وقرارات وممارسات تنظيمية قابلة للتنفيذ</w:t>
      </w:r>
      <w:r w:rsidRPr="00342B3E">
        <w:rPr>
          <w:rFonts w:ascii="Traditional Arabic" w:eastAsia="Calibri" w:hAnsi="Traditional Arabic" w:cs="Traditional Arabic"/>
          <w:sz w:val="32"/>
          <w:szCs w:val="32"/>
          <w:lang w:val="en-US"/>
        </w:rPr>
        <w:t>.</w:t>
      </w:r>
    </w:p>
    <w:p w14:paraId="4CC9D6AF"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وقد جاءت الفقرة </w:t>
      </w:r>
      <w:r w:rsidRPr="00342B3E">
        <w:rPr>
          <w:rFonts w:ascii="Traditional Arabic" w:eastAsia="Calibri" w:hAnsi="Traditional Arabic" w:cs="Traditional Arabic"/>
          <w:sz w:val="32"/>
          <w:szCs w:val="32"/>
          <w:lang w:val="en-US"/>
        </w:rPr>
        <w:t>"</w:t>
      </w:r>
      <w:r w:rsidRPr="00342B3E">
        <w:rPr>
          <w:rFonts w:ascii="Traditional Arabic" w:eastAsia="Calibri" w:hAnsi="Traditional Arabic" w:cs="Traditional Arabic"/>
          <w:sz w:val="32"/>
          <w:szCs w:val="32"/>
          <w:rtl/>
          <w:lang w:val="en-US"/>
        </w:rPr>
        <w:t>تساعد المعرفة في تطوير جودة الخدمات المقدمة</w:t>
      </w:r>
      <w:r w:rsidRPr="00342B3E">
        <w:rPr>
          <w:rFonts w:ascii="Traditional Arabic" w:eastAsia="Calibri" w:hAnsi="Traditional Arabic" w:cs="Traditional Arabic"/>
          <w:sz w:val="32"/>
          <w:szCs w:val="32"/>
          <w:lang w:val="en-US"/>
        </w:rPr>
        <w:t xml:space="preserve">" </w:t>
      </w:r>
      <w:r w:rsidRPr="00342B3E">
        <w:rPr>
          <w:rFonts w:ascii="Traditional Arabic" w:eastAsia="Calibri" w:hAnsi="Traditional Arabic" w:cs="Traditional Arabic"/>
          <w:sz w:val="32"/>
          <w:szCs w:val="32"/>
          <w:rtl/>
          <w:lang w:val="en-US"/>
        </w:rPr>
        <w:t xml:space="preserve">في المرتبة الأولى بمتوسط حسابي بلغ </w:t>
      </w:r>
      <w:r w:rsidRPr="00342B3E">
        <w:rPr>
          <w:rFonts w:ascii="Traditional Arabic" w:eastAsia="Calibri" w:hAnsi="Traditional Arabic" w:cs="Traditional Arabic"/>
          <w:sz w:val="32"/>
          <w:szCs w:val="32"/>
          <w:lang w:val="en-US"/>
        </w:rPr>
        <w:t>(4.08)</w:t>
      </w:r>
      <w:r w:rsidRPr="00342B3E">
        <w:rPr>
          <w:rFonts w:ascii="Traditional Arabic" w:eastAsia="Calibri" w:hAnsi="Traditional Arabic" w:cs="Traditional Arabic"/>
          <w:sz w:val="32"/>
          <w:szCs w:val="32"/>
          <w:rtl/>
          <w:lang w:val="en-US"/>
        </w:rPr>
        <w:t>، مما يشير إلى إدراك العاملين لأهمية المعرفة في تحسين جودة الخدمات، وهو أمر يتسق مع طبيعة قطاع الاتصالات الذي يعتمد بدرجة كبيرة على المعرفة الفنية والتقنية في تقديم خدمات سريعة وفعالة للعملاء</w:t>
      </w:r>
      <w:r w:rsidRPr="00342B3E">
        <w:rPr>
          <w:rFonts w:ascii="Traditional Arabic" w:eastAsia="Calibri" w:hAnsi="Traditional Arabic" w:cs="Traditional Arabic"/>
          <w:sz w:val="32"/>
          <w:szCs w:val="32"/>
          <w:lang w:val="en-US"/>
        </w:rPr>
        <w:t>.</w:t>
      </w:r>
    </w:p>
    <w:p w14:paraId="763DE4E4"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كما جاءت الفقرة </w:t>
      </w:r>
      <w:r w:rsidRPr="00342B3E">
        <w:rPr>
          <w:rFonts w:ascii="Traditional Arabic" w:eastAsia="Calibri" w:hAnsi="Traditional Arabic" w:cs="Traditional Arabic"/>
          <w:sz w:val="32"/>
          <w:szCs w:val="32"/>
          <w:lang w:val="en-US"/>
        </w:rPr>
        <w:t>"</w:t>
      </w:r>
      <w:r w:rsidRPr="00342B3E">
        <w:rPr>
          <w:rFonts w:ascii="Traditional Arabic" w:eastAsia="Calibri" w:hAnsi="Traditional Arabic" w:cs="Traditional Arabic"/>
          <w:sz w:val="32"/>
          <w:szCs w:val="32"/>
          <w:rtl/>
          <w:lang w:val="en-US"/>
        </w:rPr>
        <w:t>تسهم المعرفة في تعزيز كفاءة العمل</w:t>
      </w:r>
      <w:r w:rsidRPr="00342B3E">
        <w:rPr>
          <w:rFonts w:ascii="Traditional Arabic" w:eastAsia="Calibri" w:hAnsi="Traditional Arabic" w:cs="Traditional Arabic"/>
          <w:sz w:val="32"/>
          <w:szCs w:val="32"/>
          <w:lang w:val="en-US"/>
        </w:rPr>
        <w:t xml:space="preserve">" </w:t>
      </w:r>
      <w:r w:rsidRPr="00342B3E">
        <w:rPr>
          <w:rFonts w:ascii="Traditional Arabic" w:eastAsia="Calibri" w:hAnsi="Traditional Arabic" w:cs="Traditional Arabic"/>
          <w:sz w:val="32"/>
          <w:szCs w:val="32"/>
          <w:rtl/>
          <w:lang w:val="en-US"/>
        </w:rPr>
        <w:t xml:space="preserve">في المرتبة الثانية بمتوسط حسابي بلغ </w:t>
      </w:r>
      <w:r w:rsidRPr="00342B3E">
        <w:rPr>
          <w:rFonts w:ascii="Traditional Arabic" w:eastAsia="Calibri" w:hAnsi="Traditional Arabic" w:cs="Traditional Arabic"/>
          <w:sz w:val="32"/>
          <w:szCs w:val="32"/>
          <w:lang w:val="en-US"/>
        </w:rPr>
        <w:t>(4.01)</w:t>
      </w:r>
      <w:r w:rsidRPr="00342B3E">
        <w:rPr>
          <w:rFonts w:ascii="Traditional Arabic" w:eastAsia="Calibri" w:hAnsi="Traditional Arabic" w:cs="Traditional Arabic"/>
          <w:sz w:val="32"/>
          <w:szCs w:val="32"/>
          <w:rtl/>
          <w:lang w:val="en-US"/>
        </w:rPr>
        <w:t>، وهو ما يدل على أن العاملين يرون أن استخدام المعرفة يساعد في تقليل الأخطاء وتحسين إنجاز المهام، بما ينعكس إيجابًا على كفاءة الأداء داخل الشركة</w:t>
      </w:r>
      <w:r w:rsidRPr="00342B3E">
        <w:rPr>
          <w:rFonts w:ascii="Traditional Arabic" w:eastAsia="Calibri" w:hAnsi="Traditional Arabic" w:cs="Traditional Arabic"/>
          <w:sz w:val="32"/>
          <w:szCs w:val="32"/>
          <w:lang w:val="en-US"/>
        </w:rPr>
        <w:t>.</w:t>
      </w:r>
    </w:p>
    <w:p w14:paraId="3F82FF8E"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في المقابل، جاءت الفقرة </w:t>
      </w:r>
      <w:r w:rsidRPr="00342B3E">
        <w:rPr>
          <w:rFonts w:ascii="Traditional Arabic" w:eastAsia="Calibri" w:hAnsi="Traditional Arabic" w:cs="Traditional Arabic"/>
          <w:sz w:val="32"/>
          <w:szCs w:val="32"/>
          <w:lang w:val="en-US"/>
        </w:rPr>
        <w:t>"</w:t>
      </w:r>
      <w:r w:rsidRPr="00342B3E">
        <w:rPr>
          <w:rFonts w:ascii="Traditional Arabic" w:eastAsia="Calibri" w:hAnsi="Traditional Arabic" w:cs="Traditional Arabic"/>
          <w:sz w:val="32"/>
          <w:szCs w:val="32"/>
          <w:rtl/>
          <w:lang w:val="en-US"/>
        </w:rPr>
        <w:t>يتم تحويل المعرفة النظرية إلى ممارسات عملية</w:t>
      </w:r>
      <w:r w:rsidRPr="00342B3E">
        <w:rPr>
          <w:rFonts w:ascii="Traditional Arabic" w:eastAsia="Calibri" w:hAnsi="Traditional Arabic" w:cs="Traditional Arabic"/>
          <w:sz w:val="32"/>
          <w:szCs w:val="32"/>
          <w:lang w:val="en-US"/>
        </w:rPr>
        <w:t xml:space="preserve">" </w:t>
      </w:r>
      <w:r w:rsidRPr="00342B3E">
        <w:rPr>
          <w:rFonts w:ascii="Traditional Arabic" w:eastAsia="Calibri" w:hAnsi="Traditional Arabic" w:cs="Traditional Arabic"/>
          <w:sz w:val="32"/>
          <w:szCs w:val="32"/>
          <w:rtl/>
          <w:lang w:val="en-US"/>
        </w:rPr>
        <w:t xml:space="preserve">في المرتبة الأخيرة بمتوسط حسابي بلغ </w:t>
      </w:r>
      <w:r w:rsidRPr="00342B3E">
        <w:rPr>
          <w:rFonts w:ascii="Traditional Arabic" w:eastAsia="Calibri" w:hAnsi="Traditional Arabic" w:cs="Traditional Arabic"/>
          <w:sz w:val="32"/>
          <w:szCs w:val="32"/>
          <w:lang w:val="en-US"/>
        </w:rPr>
        <w:t>(3.39)</w:t>
      </w:r>
      <w:r w:rsidRPr="00342B3E">
        <w:rPr>
          <w:rFonts w:ascii="Traditional Arabic" w:eastAsia="Calibri" w:hAnsi="Traditional Arabic" w:cs="Traditional Arabic"/>
          <w:sz w:val="32"/>
          <w:szCs w:val="32"/>
          <w:rtl/>
          <w:lang w:val="en-US"/>
        </w:rPr>
        <w:t>، وبمستوى متوسط، وهو ما يشير إلى وجود تحدٍ نسبي في تحويل المعرفة المتوافرة داخل الشركة إلى ممارسات تطبيقية واضحة ومنظمة. وقد يرجع ذلك إلى طبيعة الفجوة التي قد تظهر أحيانًا بين امتلاك المعرفة وتوثيقها من جهة، وبين توظيفها فعليًا في إجراءات العمل اليومية من جهة أخرى</w:t>
      </w:r>
      <w:r w:rsidRPr="00342B3E">
        <w:rPr>
          <w:rFonts w:ascii="Traditional Arabic" w:eastAsia="Calibri" w:hAnsi="Traditional Arabic" w:cs="Traditional Arabic"/>
          <w:sz w:val="32"/>
          <w:szCs w:val="32"/>
          <w:lang w:val="en-US"/>
        </w:rPr>
        <w:t>.</w:t>
      </w:r>
    </w:p>
    <w:p w14:paraId="1F92C6D3"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 xml:space="preserve">وتشير هذه النتائج بوجه عام إلى أن شركة موبايلي تطبق المعرفة بدرجة جيدة في تطوير الخدمات وتحسين الكفاءة وحل المشكلات، إلا أن هناك مجالًا للتحسين في جانب تحويل المعرفة النظرية إلى ممارسات عملية، وربط المعرفة بصورة أكثر وضوحًا بالأهداف الاستراتيجية للشركة. وهذا يعني أن الشركة تمتلك قاعدة معرفية مناسبة، لكنها تحتاج إلى </w:t>
      </w:r>
      <w:r w:rsidRPr="00342B3E">
        <w:rPr>
          <w:rFonts w:ascii="Traditional Arabic" w:eastAsia="Calibri" w:hAnsi="Traditional Arabic" w:cs="Traditional Arabic"/>
          <w:sz w:val="32"/>
          <w:szCs w:val="32"/>
          <w:rtl/>
          <w:lang w:val="en-US"/>
        </w:rPr>
        <w:lastRenderedPageBreak/>
        <w:t>تعزيز آليات التطبيق العملي لهذه المعرفة من خلال إجراءات تنظيمية أكثر وضوحًا، ونظم متابعة تقيس أثر المعرفة في الأداء الفعلي</w:t>
      </w:r>
      <w:r w:rsidRPr="00342B3E">
        <w:rPr>
          <w:rFonts w:ascii="Traditional Arabic" w:eastAsia="Calibri" w:hAnsi="Traditional Arabic" w:cs="Traditional Arabic"/>
          <w:sz w:val="32"/>
          <w:szCs w:val="32"/>
          <w:lang w:val="en-US"/>
        </w:rPr>
        <w:t>.</w:t>
      </w:r>
    </w:p>
    <w:p w14:paraId="5CE25721"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وتتفق هذه النتيجة مع دراسة عيد (2021) التي أشارت إلى أن تطبيق المعرفة يُعد من أكثر أبعاد إدارة المعرفة تأثيرًا في تحسين أداء العاملين، لكنها أكدت في الوقت نفسه أن هذا البعد يتطلب دعمًا إداريًا وتنظيميًا مستمرًا. كما تتفق مع دراسة (</w:t>
      </w:r>
      <w:r w:rsidRPr="00342B3E">
        <w:rPr>
          <w:rFonts w:ascii="Traditional Arabic" w:eastAsia="Calibri" w:hAnsi="Traditional Arabic" w:cs="Traditional Arabic"/>
          <w:sz w:val="32"/>
          <w:szCs w:val="32"/>
          <w:lang w:val="en-US"/>
        </w:rPr>
        <w:t>Pelealu et al. 2022</w:t>
      </w:r>
      <w:r w:rsidRPr="00342B3E">
        <w:rPr>
          <w:rFonts w:ascii="Traditional Arabic" w:eastAsia="Calibri" w:hAnsi="Traditional Arabic" w:cs="Traditional Arabic"/>
          <w:sz w:val="32"/>
          <w:szCs w:val="32"/>
          <w:rtl/>
          <w:lang w:val="en-US"/>
        </w:rPr>
        <w:t>) التي بينت أن أثر إدارة المعرفة لا يظهر بصورة كاملة إلا عندما تتحول المعرفة إلى ممارسات عملية تسهم في تحسين الكفاءة وجودة الأداء. كذلك تنسجم هذه النتيجة مع ما أشار إليه (</w:t>
      </w:r>
      <w:r w:rsidRPr="00342B3E">
        <w:rPr>
          <w:rFonts w:ascii="Traditional Arabic" w:eastAsia="Calibri" w:hAnsi="Traditional Arabic" w:cs="Traditional Arabic"/>
          <w:sz w:val="32"/>
          <w:szCs w:val="32"/>
          <w:lang w:val="en-US"/>
        </w:rPr>
        <w:t>Dalkir</w:t>
      </w:r>
      <w:r w:rsidRPr="00342B3E">
        <w:rPr>
          <w:rFonts w:ascii="Traditional Arabic" w:eastAsia="Calibri" w:hAnsi="Traditional Arabic" w:cs="Traditional Arabic"/>
          <w:sz w:val="32"/>
          <w:szCs w:val="32"/>
          <w:lang w:val="en-US" w:bidi="ar-AE"/>
        </w:rPr>
        <w:t>,</w:t>
      </w:r>
      <w:r w:rsidRPr="00342B3E">
        <w:rPr>
          <w:rFonts w:ascii="Traditional Arabic" w:eastAsia="Calibri" w:hAnsi="Traditional Arabic" w:cs="Traditional Arabic"/>
          <w:sz w:val="32"/>
          <w:szCs w:val="32"/>
          <w:lang w:val="en-US"/>
        </w:rPr>
        <w:t xml:space="preserve"> 2020</w:t>
      </w:r>
      <w:r w:rsidRPr="00342B3E">
        <w:rPr>
          <w:rFonts w:ascii="Traditional Arabic" w:eastAsia="Calibri" w:hAnsi="Traditional Arabic" w:cs="Traditional Arabic"/>
          <w:sz w:val="32"/>
          <w:szCs w:val="32"/>
          <w:rtl/>
          <w:lang w:val="en-US"/>
        </w:rPr>
        <w:t>) من أن القيمة الحقيقية لإدارة المعرفة لا تتحقق بمجرد امتلاك المعرفة أو تخزينها، بل من خلال استخدامها في اتخاذ القرارات وحل المشكلات وتحسين العمليات.</w:t>
      </w:r>
    </w:p>
    <w:p w14:paraId="72357BF4"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ويمكن تفسير انخفاض هذا البعد نسبيًا مقارنة ببعدي الاكتساب والمشاركة بأن تطبيق المعرفة يتطلب مستوى أعلى من التكامل بين الأنظمة، والإجراءات، والثقافة التنظيمية، كما يحتاج إلى آليات واضحة لتحويل الأفكار والخبرات إلى ممارسات عمل قابلة للقياس. لذلك فإن تعزيز هذا البعد قد يمثل فرصة مهمة أمام شركة موبايلي لتحسين أداء العاملين ورفع مستوى الاستفادة العملية من المعرفة المتاحة داخل الشركة</w:t>
      </w:r>
      <w:r w:rsidRPr="00342B3E">
        <w:rPr>
          <w:rFonts w:ascii="Traditional Arabic" w:eastAsia="Calibri" w:hAnsi="Traditional Arabic" w:cs="Traditional Arabic"/>
          <w:sz w:val="32"/>
          <w:szCs w:val="32"/>
          <w:lang w:val="en-US"/>
        </w:rPr>
        <w:t>.</w:t>
      </w:r>
    </w:p>
    <w:p w14:paraId="08E14039"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bidi="ar-AE"/>
        </w:rPr>
        <w:t>4.4.1.4 إدارة المعرفة ككل</w:t>
      </w:r>
    </w:p>
    <w:p w14:paraId="4469727E"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للتعرف إلى مستوى إدارة المعرفة في شركة موبايلي السعودية للاتصالات بصورة عامة، تم احتساب المتوسطات الحسابية والانحرافات المعيارية لجميع أبعاد إدارة المعرفة، وهي: اكتساب المعرفة، ومشاركة المعرفة، وتطبيق المعرفة، كما هو موضح في جدول (4-6).</w:t>
      </w:r>
    </w:p>
    <w:p w14:paraId="1C5A36EC" w14:textId="77777777" w:rsidR="00342B3E" w:rsidRPr="00342B3E" w:rsidRDefault="00342B3E" w:rsidP="00342B3E">
      <w:pPr>
        <w:bidi/>
        <w:spacing w:after="0" w:line="240" w:lineRule="auto"/>
        <w:jc w:val="center"/>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lastRenderedPageBreak/>
        <w:t>جدول (4-6) المتوسطات الحسابية والانحرافات المعيارية لأبعاد إدارة المعرفة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9"/>
        <w:gridCol w:w="2090"/>
        <w:gridCol w:w="2184"/>
        <w:gridCol w:w="1999"/>
        <w:gridCol w:w="1084"/>
      </w:tblGrid>
      <w:tr w:rsidR="00342B3E" w:rsidRPr="00342B3E" w14:paraId="657AA841" w14:textId="77777777">
        <w:tc>
          <w:tcPr>
            <w:tcW w:w="1158" w:type="pct"/>
            <w:tcBorders>
              <w:top w:val="single" w:sz="4" w:space="0" w:color="auto"/>
              <w:left w:val="single" w:sz="4" w:space="0" w:color="auto"/>
              <w:bottom w:val="single" w:sz="4" w:space="0" w:color="auto"/>
              <w:right w:val="single" w:sz="4" w:space="0" w:color="auto"/>
            </w:tcBorders>
            <w:hideMark/>
          </w:tcPr>
          <w:p w14:paraId="4BF9CBD5"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البعد</w:t>
            </w:r>
          </w:p>
        </w:tc>
        <w:tc>
          <w:tcPr>
            <w:tcW w:w="1091" w:type="pct"/>
            <w:tcBorders>
              <w:top w:val="single" w:sz="4" w:space="0" w:color="auto"/>
              <w:left w:val="single" w:sz="4" w:space="0" w:color="auto"/>
              <w:bottom w:val="single" w:sz="4" w:space="0" w:color="auto"/>
              <w:right w:val="single" w:sz="4" w:space="0" w:color="auto"/>
            </w:tcBorders>
            <w:hideMark/>
          </w:tcPr>
          <w:p w14:paraId="490D8AE3"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المتوسط الحسابي</w:t>
            </w:r>
          </w:p>
        </w:tc>
        <w:tc>
          <w:tcPr>
            <w:tcW w:w="1140" w:type="pct"/>
            <w:tcBorders>
              <w:top w:val="single" w:sz="4" w:space="0" w:color="auto"/>
              <w:left w:val="single" w:sz="4" w:space="0" w:color="auto"/>
              <w:bottom w:val="single" w:sz="4" w:space="0" w:color="auto"/>
              <w:right w:val="single" w:sz="4" w:space="0" w:color="auto"/>
            </w:tcBorders>
            <w:hideMark/>
          </w:tcPr>
          <w:p w14:paraId="2795FE82"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الانحراف المعياري</w:t>
            </w:r>
          </w:p>
        </w:tc>
        <w:tc>
          <w:tcPr>
            <w:tcW w:w="1044" w:type="pct"/>
            <w:tcBorders>
              <w:top w:val="single" w:sz="4" w:space="0" w:color="auto"/>
              <w:left w:val="single" w:sz="4" w:space="0" w:color="auto"/>
              <w:bottom w:val="single" w:sz="4" w:space="0" w:color="auto"/>
              <w:right w:val="single" w:sz="4" w:space="0" w:color="auto"/>
            </w:tcBorders>
            <w:hideMark/>
          </w:tcPr>
          <w:p w14:paraId="4051851D"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مستوى التطبيق</w:t>
            </w:r>
          </w:p>
        </w:tc>
        <w:tc>
          <w:tcPr>
            <w:tcW w:w="566" w:type="pct"/>
            <w:tcBorders>
              <w:top w:val="single" w:sz="4" w:space="0" w:color="auto"/>
              <w:left w:val="single" w:sz="4" w:space="0" w:color="auto"/>
              <w:bottom w:val="single" w:sz="4" w:space="0" w:color="auto"/>
              <w:right w:val="single" w:sz="4" w:space="0" w:color="auto"/>
            </w:tcBorders>
            <w:hideMark/>
          </w:tcPr>
          <w:p w14:paraId="126C72BE"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الترتيب</w:t>
            </w:r>
          </w:p>
        </w:tc>
      </w:tr>
      <w:tr w:rsidR="00342B3E" w:rsidRPr="00342B3E" w14:paraId="51C99F6D" w14:textId="77777777">
        <w:tc>
          <w:tcPr>
            <w:tcW w:w="1158" w:type="pct"/>
            <w:tcBorders>
              <w:top w:val="single" w:sz="4" w:space="0" w:color="auto"/>
              <w:left w:val="single" w:sz="4" w:space="0" w:color="auto"/>
              <w:bottom w:val="single" w:sz="4" w:space="0" w:color="auto"/>
              <w:right w:val="single" w:sz="4" w:space="0" w:color="auto"/>
            </w:tcBorders>
            <w:hideMark/>
          </w:tcPr>
          <w:p w14:paraId="2D95BF8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مشاركة المعرفة</w:t>
            </w:r>
          </w:p>
        </w:tc>
        <w:tc>
          <w:tcPr>
            <w:tcW w:w="1091" w:type="pct"/>
            <w:tcBorders>
              <w:top w:val="single" w:sz="4" w:space="0" w:color="auto"/>
              <w:left w:val="single" w:sz="4" w:space="0" w:color="auto"/>
              <w:bottom w:val="single" w:sz="4" w:space="0" w:color="auto"/>
              <w:right w:val="single" w:sz="4" w:space="0" w:color="auto"/>
            </w:tcBorders>
            <w:hideMark/>
          </w:tcPr>
          <w:p w14:paraId="64E13F7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4.11</w:t>
            </w:r>
          </w:p>
        </w:tc>
        <w:tc>
          <w:tcPr>
            <w:tcW w:w="1140" w:type="pct"/>
            <w:tcBorders>
              <w:top w:val="single" w:sz="4" w:space="0" w:color="auto"/>
              <w:left w:val="single" w:sz="4" w:space="0" w:color="auto"/>
              <w:bottom w:val="single" w:sz="4" w:space="0" w:color="auto"/>
              <w:right w:val="single" w:sz="4" w:space="0" w:color="auto"/>
            </w:tcBorders>
            <w:hideMark/>
          </w:tcPr>
          <w:p w14:paraId="304C6C2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0.61</w:t>
            </w:r>
          </w:p>
        </w:tc>
        <w:tc>
          <w:tcPr>
            <w:tcW w:w="1044" w:type="pct"/>
            <w:tcBorders>
              <w:top w:val="single" w:sz="4" w:space="0" w:color="auto"/>
              <w:left w:val="single" w:sz="4" w:space="0" w:color="auto"/>
              <w:bottom w:val="single" w:sz="4" w:space="0" w:color="auto"/>
              <w:right w:val="single" w:sz="4" w:space="0" w:color="auto"/>
            </w:tcBorders>
            <w:hideMark/>
          </w:tcPr>
          <w:p w14:paraId="7EDE0FA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566" w:type="pct"/>
            <w:tcBorders>
              <w:top w:val="single" w:sz="4" w:space="0" w:color="auto"/>
              <w:left w:val="single" w:sz="4" w:space="0" w:color="auto"/>
              <w:bottom w:val="single" w:sz="4" w:space="0" w:color="auto"/>
              <w:right w:val="single" w:sz="4" w:space="0" w:color="auto"/>
            </w:tcBorders>
            <w:hideMark/>
          </w:tcPr>
          <w:p w14:paraId="280B3A5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1</w:t>
            </w:r>
          </w:p>
        </w:tc>
      </w:tr>
      <w:tr w:rsidR="00342B3E" w:rsidRPr="00342B3E" w14:paraId="2B24EF10" w14:textId="77777777">
        <w:tc>
          <w:tcPr>
            <w:tcW w:w="1158" w:type="pct"/>
            <w:tcBorders>
              <w:top w:val="single" w:sz="4" w:space="0" w:color="auto"/>
              <w:left w:val="single" w:sz="4" w:space="0" w:color="auto"/>
              <w:bottom w:val="single" w:sz="4" w:space="0" w:color="auto"/>
              <w:right w:val="single" w:sz="4" w:space="0" w:color="auto"/>
            </w:tcBorders>
            <w:hideMark/>
          </w:tcPr>
          <w:p w14:paraId="3EF5FC8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اكتساب المعرفة</w:t>
            </w:r>
          </w:p>
        </w:tc>
        <w:tc>
          <w:tcPr>
            <w:tcW w:w="1091" w:type="pct"/>
            <w:tcBorders>
              <w:top w:val="single" w:sz="4" w:space="0" w:color="auto"/>
              <w:left w:val="single" w:sz="4" w:space="0" w:color="auto"/>
              <w:bottom w:val="single" w:sz="4" w:space="0" w:color="auto"/>
              <w:right w:val="single" w:sz="4" w:space="0" w:color="auto"/>
            </w:tcBorders>
            <w:hideMark/>
          </w:tcPr>
          <w:p w14:paraId="7DE692E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4.10</w:t>
            </w:r>
          </w:p>
        </w:tc>
        <w:tc>
          <w:tcPr>
            <w:tcW w:w="1140" w:type="pct"/>
            <w:tcBorders>
              <w:top w:val="single" w:sz="4" w:space="0" w:color="auto"/>
              <w:left w:val="single" w:sz="4" w:space="0" w:color="auto"/>
              <w:bottom w:val="single" w:sz="4" w:space="0" w:color="auto"/>
              <w:right w:val="single" w:sz="4" w:space="0" w:color="auto"/>
            </w:tcBorders>
            <w:hideMark/>
          </w:tcPr>
          <w:p w14:paraId="119E6E0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0.63</w:t>
            </w:r>
          </w:p>
        </w:tc>
        <w:tc>
          <w:tcPr>
            <w:tcW w:w="1044" w:type="pct"/>
            <w:tcBorders>
              <w:top w:val="single" w:sz="4" w:space="0" w:color="auto"/>
              <w:left w:val="single" w:sz="4" w:space="0" w:color="auto"/>
              <w:bottom w:val="single" w:sz="4" w:space="0" w:color="auto"/>
              <w:right w:val="single" w:sz="4" w:space="0" w:color="auto"/>
            </w:tcBorders>
            <w:hideMark/>
          </w:tcPr>
          <w:p w14:paraId="05F0C32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566" w:type="pct"/>
            <w:tcBorders>
              <w:top w:val="single" w:sz="4" w:space="0" w:color="auto"/>
              <w:left w:val="single" w:sz="4" w:space="0" w:color="auto"/>
              <w:bottom w:val="single" w:sz="4" w:space="0" w:color="auto"/>
              <w:right w:val="single" w:sz="4" w:space="0" w:color="auto"/>
            </w:tcBorders>
            <w:hideMark/>
          </w:tcPr>
          <w:p w14:paraId="007BDEF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2</w:t>
            </w:r>
          </w:p>
        </w:tc>
      </w:tr>
      <w:tr w:rsidR="00342B3E" w:rsidRPr="00342B3E" w14:paraId="60AD1A9C" w14:textId="77777777">
        <w:tc>
          <w:tcPr>
            <w:tcW w:w="1158" w:type="pct"/>
            <w:tcBorders>
              <w:top w:val="single" w:sz="4" w:space="0" w:color="auto"/>
              <w:left w:val="single" w:sz="4" w:space="0" w:color="auto"/>
              <w:bottom w:val="single" w:sz="4" w:space="0" w:color="auto"/>
              <w:right w:val="single" w:sz="4" w:space="0" w:color="auto"/>
            </w:tcBorders>
            <w:hideMark/>
          </w:tcPr>
          <w:p w14:paraId="42F40A0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تطبيق المعرفة</w:t>
            </w:r>
          </w:p>
        </w:tc>
        <w:tc>
          <w:tcPr>
            <w:tcW w:w="1091" w:type="pct"/>
            <w:tcBorders>
              <w:top w:val="single" w:sz="4" w:space="0" w:color="auto"/>
              <w:left w:val="single" w:sz="4" w:space="0" w:color="auto"/>
              <w:bottom w:val="single" w:sz="4" w:space="0" w:color="auto"/>
              <w:right w:val="single" w:sz="4" w:space="0" w:color="auto"/>
            </w:tcBorders>
            <w:hideMark/>
          </w:tcPr>
          <w:p w14:paraId="2731DCB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3.78</w:t>
            </w:r>
          </w:p>
        </w:tc>
        <w:tc>
          <w:tcPr>
            <w:tcW w:w="1140" w:type="pct"/>
            <w:tcBorders>
              <w:top w:val="single" w:sz="4" w:space="0" w:color="auto"/>
              <w:left w:val="single" w:sz="4" w:space="0" w:color="auto"/>
              <w:bottom w:val="single" w:sz="4" w:space="0" w:color="auto"/>
              <w:right w:val="single" w:sz="4" w:space="0" w:color="auto"/>
            </w:tcBorders>
            <w:hideMark/>
          </w:tcPr>
          <w:p w14:paraId="3EED27C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0.72</w:t>
            </w:r>
          </w:p>
        </w:tc>
        <w:tc>
          <w:tcPr>
            <w:tcW w:w="1044" w:type="pct"/>
            <w:tcBorders>
              <w:top w:val="single" w:sz="4" w:space="0" w:color="auto"/>
              <w:left w:val="single" w:sz="4" w:space="0" w:color="auto"/>
              <w:bottom w:val="single" w:sz="4" w:space="0" w:color="auto"/>
              <w:right w:val="single" w:sz="4" w:space="0" w:color="auto"/>
            </w:tcBorders>
            <w:hideMark/>
          </w:tcPr>
          <w:p w14:paraId="2B1AF7B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566" w:type="pct"/>
            <w:tcBorders>
              <w:top w:val="single" w:sz="4" w:space="0" w:color="auto"/>
              <w:left w:val="single" w:sz="4" w:space="0" w:color="auto"/>
              <w:bottom w:val="single" w:sz="4" w:space="0" w:color="auto"/>
              <w:right w:val="single" w:sz="4" w:space="0" w:color="auto"/>
            </w:tcBorders>
            <w:hideMark/>
          </w:tcPr>
          <w:p w14:paraId="449D46A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w:t>
            </w:r>
          </w:p>
        </w:tc>
      </w:tr>
      <w:tr w:rsidR="00342B3E" w:rsidRPr="00342B3E" w14:paraId="1859B1C7" w14:textId="77777777">
        <w:tc>
          <w:tcPr>
            <w:tcW w:w="1158" w:type="pct"/>
            <w:tcBorders>
              <w:top w:val="single" w:sz="4" w:space="0" w:color="auto"/>
              <w:left w:val="single" w:sz="4" w:space="0" w:color="auto"/>
              <w:bottom w:val="single" w:sz="4" w:space="0" w:color="auto"/>
              <w:right w:val="single" w:sz="4" w:space="0" w:color="auto"/>
            </w:tcBorders>
            <w:hideMark/>
          </w:tcPr>
          <w:p w14:paraId="6BE2C29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إدارة المعرفة ككل</w:t>
            </w:r>
          </w:p>
        </w:tc>
        <w:tc>
          <w:tcPr>
            <w:tcW w:w="1091" w:type="pct"/>
            <w:tcBorders>
              <w:top w:val="single" w:sz="4" w:space="0" w:color="auto"/>
              <w:left w:val="single" w:sz="4" w:space="0" w:color="auto"/>
              <w:bottom w:val="single" w:sz="4" w:space="0" w:color="auto"/>
              <w:right w:val="single" w:sz="4" w:space="0" w:color="auto"/>
            </w:tcBorders>
            <w:hideMark/>
          </w:tcPr>
          <w:p w14:paraId="7550E91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lang w:val="en-US" w:bidi="ar-AE"/>
              </w:rPr>
              <w:t>4.00</w:t>
            </w:r>
          </w:p>
        </w:tc>
        <w:tc>
          <w:tcPr>
            <w:tcW w:w="1140" w:type="pct"/>
            <w:tcBorders>
              <w:top w:val="single" w:sz="4" w:space="0" w:color="auto"/>
              <w:left w:val="single" w:sz="4" w:space="0" w:color="auto"/>
              <w:bottom w:val="single" w:sz="4" w:space="0" w:color="auto"/>
              <w:right w:val="single" w:sz="4" w:space="0" w:color="auto"/>
            </w:tcBorders>
            <w:hideMark/>
          </w:tcPr>
          <w:p w14:paraId="3C0BBC8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lang w:val="en-US" w:bidi="ar-AE"/>
              </w:rPr>
              <w:t>0.58</w:t>
            </w:r>
          </w:p>
        </w:tc>
        <w:tc>
          <w:tcPr>
            <w:tcW w:w="1044" w:type="pct"/>
            <w:tcBorders>
              <w:top w:val="single" w:sz="4" w:space="0" w:color="auto"/>
              <w:left w:val="single" w:sz="4" w:space="0" w:color="auto"/>
              <w:bottom w:val="single" w:sz="4" w:space="0" w:color="auto"/>
              <w:right w:val="single" w:sz="4" w:space="0" w:color="auto"/>
            </w:tcBorders>
            <w:hideMark/>
          </w:tcPr>
          <w:p w14:paraId="294D3DE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مرتفع</w:t>
            </w:r>
          </w:p>
        </w:tc>
        <w:tc>
          <w:tcPr>
            <w:tcW w:w="566" w:type="pct"/>
            <w:tcBorders>
              <w:top w:val="single" w:sz="4" w:space="0" w:color="auto"/>
              <w:left w:val="single" w:sz="4" w:space="0" w:color="auto"/>
              <w:bottom w:val="single" w:sz="4" w:space="0" w:color="auto"/>
              <w:right w:val="single" w:sz="4" w:space="0" w:color="auto"/>
            </w:tcBorders>
            <w:hideMark/>
          </w:tcPr>
          <w:p w14:paraId="134D5244" w14:textId="77777777" w:rsidR="00342B3E" w:rsidRPr="00342B3E" w:rsidRDefault="00342B3E" w:rsidP="00342B3E">
            <w:pPr>
              <w:rPr>
                <w:rFonts w:ascii="Traditional Arabic" w:eastAsia="Calibri" w:hAnsi="Traditional Arabic" w:cs="Traditional Arabic"/>
                <w:sz w:val="32"/>
                <w:szCs w:val="32"/>
                <w:lang w:val="en-US" w:bidi="ar-AE"/>
              </w:rPr>
            </w:pPr>
          </w:p>
        </w:tc>
      </w:tr>
    </w:tbl>
    <w:p w14:paraId="4405E62D"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 xml:space="preserve">يتضح من نتائج جدول (4-6) أن المتوسط الحسابي الكلي لإدارة المعرفة بلغ </w:t>
      </w:r>
      <w:r w:rsidRPr="00342B3E">
        <w:rPr>
          <w:rFonts w:ascii="Traditional Arabic" w:eastAsia="Calibri" w:hAnsi="Traditional Arabic" w:cs="Traditional Arabic"/>
          <w:sz w:val="32"/>
          <w:szCs w:val="32"/>
          <w:lang w:val="en-US" w:bidi="ar-AE"/>
        </w:rPr>
        <w:t xml:space="preserve">(4.00) </w:t>
      </w:r>
      <w:r w:rsidRPr="00342B3E">
        <w:rPr>
          <w:rFonts w:ascii="Traditional Arabic" w:eastAsia="Calibri" w:hAnsi="Traditional Arabic" w:cs="Traditional Arabic"/>
          <w:sz w:val="32"/>
          <w:szCs w:val="32"/>
          <w:rtl/>
          <w:lang w:val="en-US"/>
        </w:rPr>
        <w:t xml:space="preserve">بانحراف معياري مقداره </w:t>
      </w:r>
      <w:r w:rsidRPr="00342B3E">
        <w:rPr>
          <w:rFonts w:ascii="Traditional Arabic" w:eastAsia="Calibri" w:hAnsi="Traditional Arabic" w:cs="Traditional Arabic"/>
          <w:sz w:val="32"/>
          <w:szCs w:val="32"/>
          <w:lang w:val="en-US" w:bidi="ar-AE"/>
        </w:rPr>
        <w:t>(0.58)</w:t>
      </w:r>
      <w:r w:rsidRPr="00342B3E">
        <w:rPr>
          <w:rFonts w:ascii="Traditional Arabic" w:eastAsia="Calibri" w:hAnsi="Traditional Arabic" w:cs="Traditional Arabic"/>
          <w:sz w:val="32"/>
          <w:szCs w:val="32"/>
          <w:rtl/>
          <w:lang w:val="en-US"/>
        </w:rPr>
        <w:t>، مما يشير إلى أن مستوى إدارة المعرفة في شركة موبايلي جاء مرتفعًا بصورة عامة</w:t>
      </w:r>
      <w:r w:rsidRPr="00342B3E">
        <w:rPr>
          <w:rFonts w:ascii="Traditional Arabic" w:eastAsia="Calibri" w:hAnsi="Traditional Arabic" w:cs="Traditional Arabic"/>
          <w:sz w:val="32"/>
          <w:szCs w:val="32"/>
          <w:lang w:val="en-US" w:bidi="ar-AE"/>
        </w:rPr>
        <w:t>.</w:t>
      </w:r>
    </w:p>
    <w:p w14:paraId="315C1FBE"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 xml:space="preserve">كما تبين أن بعد مشاركة المعرفة جاء في المرتبة الأولى بمتوسط حسابي بلغ </w:t>
      </w:r>
      <w:r w:rsidRPr="00342B3E">
        <w:rPr>
          <w:rFonts w:ascii="Traditional Arabic" w:eastAsia="Calibri" w:hAnsi="Traditional Arabic" w:cs="Traditional Arabic"/>
          <w:sz w:val="32"/>
          <w:szCs w:val="32"/>
          <w:lang w:val="en-US" w:bidi="ar-AE"/>
        </w:rPr>
        <w:t>(4.11)</w:t>
      </w:r>
      <w:r w:rsidRPr="00342B3E">
        <w:rPr>
          <w:rFonts w:ascii="Traditional Arabic" w:eastAsia="Calibri" w:hAnsi="Traditional Arabic" w:cs="Traditional Arabic"/>
          <w:sz w:val="32"/>
          <w:szCs w:val="32"/>
          <w:rtl/>
          <w:lang w:val="en-US"/>
        </w:rPr>
        <w:t xml:space="preserve">، يليه بعد اكتساب المعرفة بمتوسط حسابي بلغ </w:t>
      </w:r>
      <w:r w:rsidRPr="00342B3E">
        <w:rPr>
          <w:rFonts w:ascii="Traditional Arabic" w:eastAsia="Calibri" w:hAnsi="Traditional Arabic" w:cs="Traditional Arabic"/>
          <w:sz w:val="32"/>
          <w:szCs w:val="32"/>
          <w:lang w:val="en-US" w:bidi="ar-AE"/>
        </w:rPr>
        <w:t>(4.10)</w:t>
      </w:r>
      <w:r w:rsidRPr="00342B3E">
        <w:rPr>
          <w:rFonts w:ascii="Traditional Arabic" w:eastAsia="Calibri" w:hAnsi="Traditional Arabic" w:cs="Traditional Arabic"/>
          <w:sz w:val="32"/>
          <w:szCs w:val="32"/>
          <w:rtl/>
          <w:lang w:val="en-US"/>
        </w:rPr>
        <w:t xml:space="preserve">، في حين جاء بعد تطبيق المعرفة في المرتبة الأخيرة بمتوسط حسابي بلغ </w:t>
      </w:r>
      <w:r w:rsidRPr="00342B3E">
        <w:rPr>
          <w:rFonts w:ascii="Traditional Arabic" w:eastAsia="Calibri" w:hAnsi="Traditional Arabic" w:cs="Traditional Arabic"/>
          <w:sz w:val="32"/>
          <w:szCs w:val="32"/>
          <w:lang w:val="en-US" w:bidi="ar-AE"/>
        </w:rPr>
        <w:t>(3.78)</w:t>
      </w:r>
      <w:r w:rsidRPr="00342B3E">
        <w:rPr>
          <w:rFonts w:ascii="Traditional Arabic" w:eastAsia="Calibri" w:hAnsi="Traditional Arabic" w:cs="Traditional Arabic"/>
          <w:sz w:val="32"/>
          <w:szCs w:val="32"/>
          <w:rtl/>
          <w:lang w:val="en-US"/>
        </w:rPr>
        <w:t>، رغم بقائه ضمن المستوى المرتفع</w:t>
      </w:r>
      <w:r w:rsidRPr="00342B3E">
        <w:rPr>
          <w:rFonts w:ascii="Traditional Arabic" w:eastAsia="Calibri" w:hAnsi="Traditional Arabic" w:cs="Traditional Arabic"/>
          <w:sz w:val="32"/>
          <w:szCs w:val="32"/>
          <w:lang w:val="en-US" w:bidi="ar-AE"/>
        </w:rPr>
        <w:t>.</w:t>
      </w:r>
    </w:p>
    <w:p w14:paraId="363A9C3B"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وتشير هذه النتائج إلى أن الشركة تمتلك بيئة تنظيمية تدعم اكتساب المعرفة وتبادلها بين العاملين بدرجة جيدة، إلا أن تحويل هذه المعرفة إلى ممارسات وإجراءات عملية ما يزال أقل نسبيًا من مرحلتي الاكتساب والمشاركة. ويُعد هذا النمط منطقيًا؛ إذ إن التطبيق الفعلي للمعرفة يتطلب توافر أنظمة وإجراءات وثقافة تنظيمية داعمة لضمان الاستفادة من المعرفة في تحسين العمليات واتخاذ القرارات</w:t>
      </w:r>
      <w:r w:rsidRPr="00342B3E">
        <w:rPr>
          <w:rFonts w:ascii="Traditional Arabic" w:eastAsia="Calibri" w:hAnsi="Traditional Arabic" w:cs="Traditional Arabic"/>
          <w:sz w:val="32"/>
          <w:szCs w:val="32"/>
          <w:lang w:val="en-US" w:bidi="ar-AE"/>
        </w:rPr>
        <w:t>.</w:t>
      </w:r>
    </w:p>
    <w:p w14:paraId="018865F8"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وتتفق هذه النتيجة مع العديد من الدراسات السابقة التي أكدت أن نجاح إدارة المعرفة يبدأ من بناء المعرفة وتبادلها، إلا أن تحقيق الاستفادة الكاملة منها يعتمد على قدرة المنظمة على تطبيقها في الممارسات اليومية. كما يمكن تفسير هذه النتيجة بطبيعة قطاع الاتصالات الذي يشهد تغيرات تقنية متسارعة، مما يجعل الشركات أكثر اهتمامًا باكتساب المعرفة ومشاركتها، في حين يبقى التطبيق العملي بحاجة إلى تطوير مستمر لمواكبة تلك التغيرات</w:t>
      </w:r>
      <w:r w:rsidRPr="00342B3E">
        <w:rPr>
          <w:rFonts w:ascii="Traditional Arabic" w:eastAsia="Calibri" w:hAnsi="Traditional Arabic" w:cs="Traditional Arabic"/>
          <w:sz w:val="32"/>
          <w:szCs w:val="32"/>
          <w:lang w:val="en-US" w:bidi="ar-AE"/>
        </w:rPr>
        <w:t>.</w:t>
      </w:r>
    </w:p>
    <w:p w14:paraId="68BC8919"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bidi="ar-AE"/>
        </w:rPr>
        <w:lastRenderedPageBreak/>
        <w:t>4.4.2 النتائج المتعلقة بالمتغير التابع (أداء العاملين)</w:t>
      </w:r>
    </w:p>
    <w:p w14:paraId="23E47228"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يمثل أداء العاملين المتغير التابع في الدراسة الحالية، ويعكس مدى كفاءة العاملين في تنفيذ المهام والمسؤوليات الوظيفية الموكلة إليهم، والقدرة على إنجاز الأعمال بجودة عالية، والالتزام بمعايير الأداء، والمساهمة في تحقيق أهداف المنظمة. وللتعرف إلى مستوى أداء العاملين في شركة موبايلي السعودية للاتصالات، تم حساب المتوسطات الحسابية والانحرافات المعيارية والأهمية النسبية لفقرات هذا المتغير، وترتيبها وفقًا لمتوسطاتها الحسابية، كما هو موضح في جدول (4-7).</w:t>
      </w:r>
    </w:p>
    <w:p w14:paraId="0DFC20F5" w14:textId="77777777" w:rsidR="00342B3E" w:rsidRPr="00342B3E" w:rsidRDefault="00342B3E" w:rsidP="00342B3E">
      <w:pPr>
        <w:bidi/>
        <w:spacing w:line="360" w:lineRule="auto"/>
        <w:jc w:val="center"/>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جدول (4-7) المتوسطات الحسابية والانحرافات المعيارية لفقرات أداء العاملين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3810"/>
        <w:gridCol w:w="1469"/>
        <w:gridCol w:w="1538"/>
        <w:gridCol w:w="1306"/>
        <w:gridCol w:w="825"/>
      </w:tblGrid>
      <w:tr w:rsidR="00342B3E" w:rsidRPr="00342B3E" w14:paraId="794DAC7E" w14:textId="77777777">
        <w:tc>
          <w:tcPr>
            <w:tcW w:w="0" w:type="auto"/>
            <w:tcBorders>
              <w:top w:val="single" w:sz="4" w:space="0" w:color="auto"/>
              <w:left w:val="single" w:sz="4" w:space="0" w:color="auto"/>
              <w:bottom w:val="single" w:sz="4" w:space="0" w:color="auto"/>
              <w:right w:val="single" w:sz="4" w:space="0" w:color="auto"/>
            </w:tcBorders>
            <w:hideMark/>
          </w:tcPr>
          <w:p w14:paraId="1C8901DE"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الرقم</w:t>
            </w:r>
          </w:p>
        </w:tc>
        <w:tc>
          <w:tcPr>
            <w:tcW w:w="0" w:type="auto"/>
            <w:tcBorders>
              <w:top w:val="single" w:sz="4" w:space="0" w:color="auto"/>
              <w:left w:val="single" w:sz="4" w:space="0" w:color="auto"/>
              <w:bottom w:val="single" w:sz="4" w:space="0" w:color="auto"/>
              <w:right w:val="single" w:sz="4" w:space="0" w:color="auto"/>
            </w:tcBorders>
            <w:hideMark/>
          </w:tcPr>
          <w:p w14:paraId="4F19513A"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الفقرة</w:t>
            </w:r>
          </w:p>
        </w:tc>
        <w:tc>
          <w:tcPr>
            <w:tcW w:w="0" w:type="auto"/>
            <w:tcBorders>
              <w:top w:val="single" w:sz="4" w:space="0" w:color="auto"/>
              <w:left w:val="single" w:sz="4" w:space="0" w:color="auto"/>
              <w:bottom w:val="single" w:sz="4" w:space="0" w:color="auto"/>
              <w:right w:val="single" w:sz="4" w:space="0" w:color="auto"/>
            </w:tcBorders>
            <w:hideMark/>
          </w:tcPr>
          <w:p w14:paraId="194E0506"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المتوسط الحسابي</w:t>
            </w:r>
          </w:p>
        </w:tc>
        <w:tc>
          <w:tcPr>
            <w:tcW w:w="0" w:type="auto"/>
            <w:tcBorders>
              <w:top w:val="single" w:sz="4" w:space="0" w:color="auto"/>
              <w:left w:val="single" w:sz="4" w:space="0" w:color="auto"/>
              <w:bottom w:val="single" w:sz="4" w:space="0" w:color="auto"/>
              <w:right w:val="single" w:sz="4" w:space="0" w:color="auto"/>
            </w:tcBorders>
            <w:hideMark/>
          </w:tcPr>
          <w:p w14:paraId="612380AF"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الانحراف المعياري</w:t>
            </w:r>
          </w:p>
        </w:tc>
        <w:tc>
          <w:tcPr>
            <w:tcW w:w="0" w:type="auto"/>
            <w:tcBorders>
              <w:top w:val="single" w:sz="4" w:space="0" w:color="auto"/>
              <w:left w:val="single" w:sz="4" w:space="0" w:color="auto"/>
              <w:bottom w:val="single" w:sz="4" w:space="0" w:color="auto"/>
              <w:right w:val="single" w:sz="4" w:space="0" w:color="auto"/>
            </w:tcBorders>
            <w:hideMark/>
          </w:tcPr>
          <w:p w14:paraId="2A0C9AAF"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مستوى الأداء</w:t>
            </w:r>
          </w:p>
        </w:tc>
        <w:tc>
          <w:tcPr>
            <w:tcW w:w="0" w:type="auto"/>
            <w:tcBorders>
              <w:top w:val="single" w:sz="4" w:space="0" w:color="auto"/>
              <w:left w:val="single" w:sz="4" w:space="0" w:color="auto"/>
              <w:bottom w:val="single" w:sz="4" w:space="0" w:color="auto"/>
              <w:right w:val="single" w:sz="4" w:space="0" w:color="auto"/>
            </w:tcBorders>
            <w:hideMark/>
          </w:tcPr>
          <w:p w14:paraId="4096EEA3"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الترتيب</w:t>
            </w:r>
          </w:p>
        </w:tc>
      </w:tr>
      <w:tr w:rsidR="00342B3E" w:rsidRPr="00342B3E" w14:paraId="0B85FC75" w14:textId="77777777">
        <w:tc>
          <w:tcPr>
            <w:tcW w:w="0" w:type="auto"/>
            <w:tcBorders>
              <w:top w:val="single" w:sz="4" w:space="0" w:color="auto"/>
              <w:left w:val="single" w:sz="4" w:space="0" w:color="auto"/>
              <w:bottom w:val="single" w:sz="4" w:space="0" w:color="auto"/>
              <w:right w:val="single" w:sz="4" w:space="0" w:color="auto"/>
            </w:tcBorders>
            <w:hideMark/>
          </w:tcPr>
          <w:p w14:paraId="33DF505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31</w:t>
            </w:r>
          </w:p>
        </w:tc>
        <w:tc>
          <w:tcPr>
            <w:tcW w:w="0" w:type="auto"/>
            <w:tcBorders>
              <w:top w:val="single" w:sz="4" w:space="0" w:color="auto"/>
              <w:left w:val="single" w:sz="4" w:space="0" w:color="auto"/>
              <w:bottom w:val="single" w:sz="4" w:space="0" w:color="auto"/>
              <w:right w:val="single" w:sz="4" w:space="0" w:color="auto"/>
            </w:tcBorders>
            <w:hideMark/>
          </w:tcPr>
          <w:p w14:paraId="1919E91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أحرص على إنجاز المهام الموكلة إليّ في الوقت المحدد</w:t>
            </w:r>
            <w:r w:rsidRPr="00342B3E">
              <w:rPr>
                <w:rFonts w:ascii="Traditional Arabic" w:eastAsia="Calibri" w:hAnsi="Traditional Arabic" w:cs="Traditional Arabic"/>
                <w:sz w:val="32"/>
                <w:szCs w:val="32"/>
                <w:lang w:val="en-US" w:bidi="ar-AE"/>
              </w:rPr>
              <w:t>.</w:t>
            </w:r>
          </w:p>
        </w:tc>
        <w:tc>
          <w:tcPr>
            <w:tcW w:w="0" w:type="auto"/>
            <w:tcBorders>
              <w:top w:val="single" w:sz="4" w:space="0" w:color="auto"/>
              <w:left w:val="single" w:sz="4" w:space="0" w:color="auto"/>
              <w:bottom w:val="single" w:sz="4" w:space="0" w:color="auto"/>
              <w:right w:val="single" w:sz="4" w:space="0" w:color="auto"/>
            </w:tcBorders>
            <w:hideMark/>
          </w:tcPr>
          <w:p w14:paraId="12107FF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4.17</w:t>
            </w:r>
          </w:p>
        </w:tc>
        <w:tc>
          <w:tcPr>
            <w:tcW w:w="0" w:type="auto"/>
            <w:tcBorders>
              <w:top w:val="single" w:sz="4" w:space="0" w:color="auto"/>
              <w:left w:val="single" w:sz="4" w:space="0" w:color="auto"/>
              <w:bottom w:val="single" w:sz="4" w:space="0" w:color="auto"/>
              <w:right w:val="single" w:sz="4" w:space="0" w:color="auto"/>
            </w:tcBorders>
            <w:hideMark/>
          </w:tcPr>
          <w:p w14:paraId="1E08C67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0.69</w:t>
            </w:r>
          </w:p>
        </w:tc>
        <w:tc>
          <w:tcPr>
            <w:tcW w:w="0" w:type="auto"/>
            <w:tcBorders>
              <w:top w:val="single" w:sz="4" w:space="0" w:color="auto"/>
              <w:left w:val="single" w:sz="4" w:space="0" w:color="auto"/>
              <w:bottom w:val="single" w:sz="4" w:space="0" w:color="auto"/>
              <w:right w:val="single" w:sz="4" w:space="0" w:color="auto"/>
            </w:tcBorders>
            <w:hideMark/>
          </w:tcPr>
          <w:p w14:paraId="51B2D0D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5402D3D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1</w:t>
            </w:r>
          </w:p>
        </w:tc>
      </w:tr>
      <w:tr w:rsidR="00342B3E" w:rsidRPr="00342B3E" w14:paraId="6ABC3CEF" w14:textId="77777777">
        <w:tc>
          <w:tcPr>
            <w:tcW w:w="0" w:type="auto"/>
            <w:tcBorders>
              <w:top w:val="single" w:sz="4" w:space="0" w:color="auto"/>
              <w:left w:val="single" w:sz="4" w:space="0" w:color="auto"/>
              <w:bottom w:val="single" w:sz="4" w:space="0" w:color="auto"/>
              <w:right w:val="single" w:sz="4" w:space="0" w:color="auto"/>
            </w:tcBorders>
            <w:hideMark/>
          </w:tcPr>
          <w:p w14:paraId="2E32D91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33</w:t>
            </w:r>
          </w:p>
        </w:tc>
        <w:tc>
          <w:tcPr>
            <w:tcW w:w="0" w:type="auto"/>
            <w:tcBorders>
              <w:top w:val="single" w:sz="4" w:space="0" w:color="auto"/>
              <w:left w:val="single" w:sz="4" w:space="0" w:color="auto"/>
              <w:bottom w:val="single" w:sz="4" w:space="0" w:color="auto"/>
              <w:right w:val="single" w:sz="4" w:space="0" w:color="auto"/>
            </w:tcBorders>
            <w:hideMark/>
          </w:tcPr>
          <w:p w14:paraId="6FBE1C5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ألتزم بالأنظمة والتعليمات أثناء أداء عملي</w:t>
            </w:r>
            <w:r w:rsidRPr="00342B3E">
              <w:rPr>
                <w:rFonts w:ascii="Traditional Arabic" w:eastAsia="Calibri" w:hAnsi="Traditional Arabic" w:cs="Traditional Arabic"/>
                <w:sz w:val="32"/>
                <w:szCs w:val="32"/>
                <w:lang w:val="en-US" w:bidi="ar-AE"/>
              </w:rPr>
              <w:t>.</w:t>
            </w:r>
          </w:p>
        </w:tc>
        <w:tc>
          <w:tcPr>
            <w:tcW w:w="0" w:type="auto"/>
            <w:tcBorders>
              <w:top w:val="single" w:sz="4" w:space="0" w:color="auto"/>
              <w:left w:val="single" w:sz="4" w:space="0" w:color="auto"/>
              <w:bottom w:val="single" w:sz="4" w:space="0" w:color="auto"/>
              <w:right w:val="single" w:sz="4" w:space="0" w:color="auto"/>
            </w:tcBorders>
            <w:hideMark/>
          </w:tcPr>
          <w:p w14:paraId="6B532F0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4.10</w:t>
            </w:r>
          </w:p>
        </w:tc>
        <w:tc>
          <w:tcPr>
            <w:tcW w:w="0" w:type="auto"/>
            <w:tcBorders>
              <w:top w:val="single" w:sz="4" w:space="0" w:color="auto"/>
              <w:left w:val="single" w:sz="4" w:space="0" w:color="auto"/>
              <w:bottom w:val="single" w:sz="4" w:space="0" w:color="auto"/>
              <w:right w:val="single" w:sz="4" w:space="0" w:color="auto"/>
            </w:tcBorders>
            <w:hideMark/>
          </w:tcPr>
          <w:p w14:paraId="713FA9C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0.71</w:t>
            </w:r>
          </w:p>
        </w:tc>
        <w:tc>
          <w:tcPr>
            <w:tcW w:w="0" w:type="auto"/>
            <w:tcBorders>
              <w:top w:val="single" w:sz="4" w:space="0" w:color="auto"/>
              <w:left w:val="single" w:sz="4" w:space="0" w:color="auto"/>
              <w:bottom w:val="single" w:sz="4" w:space="0" w:color="auto"/>
              <w:right w:val="single" w:sz="4" w:space="0" w:color="auto"/>
            </w:tcBorders>
            <w:hideMark/>
          </w:tcPr>
          <w:p w14:paraId="32623FB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7E324CE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2</w:t>
            </w:r>
          </w:p>
        </w:tc>
      </w:tr>
      <w:tr w:rsidR="00342B3E" w:rsidRPr="00342B3E" w14:paraId="46FE0FC8" w14:textId="77777777">
        <w:tc>
          <w:tcPr>
            <w:tcW w:w="0" w:type="auto"/>
            <w:tcBorders>
              <w:top w:val="single" w:sz="4" w:space="0" w:color="auto"/>
              <w:left w:val="single" w:sz="4" w:space="0" w:color="auto"/>
              <w:bottom w:val="single" w:sz="4" w:space="0" w:color="auto"/>
              <w:right w:val="single" w:sz="4" w:space="0" w:color="auto"/>
            </w:tcBorders>
            <w:hideMark/>
          </w:tcPr>
          <w:p w14:paraId="527A9DE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35</w:t>
            </w:r>
          </w:p>
        </w:tc>
        <w:tc>
          <w:tcPr>
            <w:tcW w:w="0" w:type="auto"/>
            <w:tcBorders>
              <w:top w:val="single" w:sz="4" w:space="0" w:color="auto"/>
              <w:left w:val="single" w:sz="4" w:space="0" w:color="auto"/>
              <w:bottom w:val="single" w:sz="4" w:space="0" w:color="auto"/>
              <w:right w:val="single" w:sz="4" w:space="0" w:color="auto"/>
            </w:tcBorders>
            <w:hideMark/>
          </w:tcPr>
          <w:p w14:paraId="450965A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أسعى إلى تحسين جودة عملي بصورة مستمرة</w:t>
            </w:r>
            <w:r w:rsidRPr="00342B3E">
              <w:rPr>
                <w:rFonts w:ascii="Traditional Arabic" w:eastAsia="Calibri" w:hAnsi="Traditional Arabic" w:cs="Traditional Arabic"/>
                <w:sz w:val="32"/>
                <w:szCs w:val="32"/>
                <w:lang w:val="en-US" w:bidi="ar-AE"/>
              </w:rPr>
              <w:t>.</w:t>
            </w:r>
          </w:p>
        </w:tc>
        <w:tc>
          <w:tcPr>
            <w:tcW w:w="0" w:type="auto"/>
            <w:tcBorders>
              <w:top w:val="single" w:sz="4" w:space="0" w:color="auto"/>
              <w:left w:val="single" w:sz="4" w:space="0" w:color="auto"/>
              <w:bottom w:val="single" w:sz="4" w:space="0" w:color="auto"/>
              <w:right w:val="single" w:sz="4" w:space="0" w:color="auto"/>
            </w:tcBorders>
            <w:hideMark/>
          </w:tcPr>
          <w:p w14:paraId="148DF91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4.02</w:t>
            </w:r>
          </w:p>
        </w:tc>
        <w:tc>
          <w:tcPr>
            <w:tcW w:w="0" w:type="auto"/>
            <w:tcBorders>
              <w:top w:val="single" w:sz="4" w:space="0" w:color="auto"/>
              <w:left w:val="single" w:sz="4" w:space="0" w:color="auto"/>
              <w:bottom w:val="single" w:sz="4" w:space="0" w:color="auto"/>
              <w:right w:val="single" w:sz="4" w:space="0" w:color="auto"/>
            </w:tcBorders>
            <w:hideMark/>
          </w:tcPr>
          <w:p w14:paraId="2598872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0.75</w:t>
            </w:r>
          </w:p>
        </w:tc>
        <w:tc>
          <w:tcPr>
            <w:tcW w:w="0" w:type="auto"/>
            <w:tcBorders>
              <w:top w:val="single" w:sz="4" w:space="0" w:color="auto"/>
              <w:left w:val="single" w:sz="4" w:space="0" w:color="auto"/>
              <w:bottom w:val="single" w:sz="4" w:space="0" w:color="auto"/>
              <w:right w:val="single" w:sz="4" w:space="0" w:color="auto"/>
            </w:tcBorders>
            <w:hideMark/>
          </w:tcPr>
          <w:p w14:paraId="67866AD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2ABD9B5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w:t>
            </w:r>
          </w:p>
        </w:tc>
      </w:tr>
      <w:tr w:rsidR="00342B3E" w:rsidRPr="00342B3E" w14:paraId="709A55E6" w14:textId="77777777">
        <w:tc>
          <w:tcPr>
            <w:tcW w:w="0" w:type="auto"/>
            <w:tcBorders>
              <w:top w:val="single" w:sz="4" w:space="0" w:color="auto"/>
              <w:left w:val="single" w:sz="4" w:space="0" w:color="auto"/>
              <w:bottom w:val="single" w:sz="4" w:space="0" w:color="auto"/>
              <w:right w:val="single" w:sz="4" w:space="0" w:color="auto"/>
            </w:tcBorders>
            <w:hideMark/>
          </w:tcPr>
          <w:p w14:paraId="1BB0530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34</w:t>
            </w:r>
          </w:p>
        </w:tc>
        <w:tc>
          <w:tcPr>
            <w:tcW w:w="0" w:type="auto"/>
            <w:tcBorders>
              <w:top w:val="single" w:sz="4" w:space="0" w:color="auto"/>
              <w:left w:val="single" w:sz="4" w:space="0" w:color="auto"/>
              <w:bottom w:val="single" w:sz="4" w:space="0" w:color="auto"/>
              <w:right w:val="single" w:sz="4" w:space="0" w:color="auto"/>
            </w:tcBorders>
            <w:hideMark/>
          </w:tcPr>
          <w:p w14:paraId="566F336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أساهم في تقديم أفكار تسهم في تطوير العمل</w:t>
            </w:r>
            <w:r w:rsidRPr="00342B3E">
              <w:rPr>
                <w:rFonts w:ascii="Traditional Arabic" w:eastAsia="Calibri" w:hAnsi="Traditional Arabic" w:cs="Traditional Arabic"/>
                <w:sz w:val="32"/>
                <w:szCs w:val="32"/>
                <w:lang w:val="en-US" w:bidi="ar-AE"/>
              </w:rPr>
              <w:t>.</w:t>
            </w:r>
          </w:p>
        </w:tc>
        <w:tc>
          <w:tcPr>
            <w:tcW w:w="0" w:type="auto"/>
            <w:tcBorders>
              <w:top w:val="single" w:sz="4" w:space="0" w:color="auto"/>
              <w:left w:val="single" w:sz="4" w:space="0" w:color="auto"/>
              <w:bottom w:val="single" w:sz="4" w:space="0" w:color="auto"/>
              <w:right w:val="single" w:sz="4" w:space="0" w:color="auto"/>
            </w:tcBorders>
            <w:hideMark/>
          </w:tcPr>
          <w:p w14:paraId="0313BEC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3.94</w:t>
            </w:r>
          </w:p>
        </w:tc>
        <w:tc>
          <w:tcPr>
            <w:tcW w:w="0" w:type="auto"/>
            <w:tcBorders>
              <w:top w:val="single" w:sz="4" w:space="0" w:color="auto"/>
              <w:left w:val="single" w:sz="4" w:space="0" w:color="auto"/>
              <w:bottom w:val="single" w:sz="4" w:space="0" w:color="auto"/>
              <w:right w:val="single" w:sz="4" w:space="0" w:color="auto"/>
            </w:tcBorders>
            <w:hideMark/>
          </w:tcPr>
          <w:p w14:paraId="278B83C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0.80</w:t>
            </w:r>
          </w:p>
        </w:tc>
        <w:tc>
          <w:tcPr>
            <w:tcW w:w="0" w:type="auto"/>
            <w:tcBorders>
              <w:top w:val="single" w:sz="4" w:space="0" w:color="auto"/>
              <w:left w:val="single" w:sz="4" w:space="0" w:color="auto"/>
              <w:bottom w:val="single" w:sz="4" w:space="0" w:color="auto"/>
              <w:right w:val="single" w:sz="4" w:space="0" w:color="auto"/>
            </w:tcBorders>
            <w:hideMark/>
          </w:tcPr>
          <w:p w14:paraId="2E4B6A2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1E34F4A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4</w:t>
            </w:r>
          </w:p>
        </w:tc>
      </w:tr>
      <w:tr w:rsidR="00342B3E" w:rsidRPr="00342B3E" w14:paraId="7F0BDB44" w14:textId="77777777">
        <w:tc>
          <w:tcPr>
            <w:tcW w:w="0" w:type="auto"/>
            <w:tcBorders>
              <w:top w:val="single" w:sz="4" w:space="0" w:color="auto"/>
              <w:left w:val="single" w:sz="4" w:space="0" w:color="auto"/>
              <w:bottom w:val="single" w:sz="4" w:space="0" w:color="auto"/>
              <w:right w:val="single" w:sz="4" w:space="0" w:color="auto"/>
            </w:tcBorders>
            <w:hideMark/>
          </w:tcPr>
          <w:p w14:paraId="6BDE515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30</w:t>
            </w:r>
          </w:p>
        </w:tc>
        <w:tc>
          <w:tcPr>
            <w:tcW w:w="0" w:type="auto"/>
            <w:tcBorders>
              <w:top w:val="single" w:sz="4" w:space="0" w:color="auto"/>
              <w:left w:val="single" w:sz="4" w:space="0" w:color="auto"/>
              <w:bottom w:val="single" w:sz="4" w:space="0" w:color="auto"/>
              <w:right w:val="single" w:sz="4" w:space="0" w:color="auto"/>
            </w:tcBorders>
            <w:hideMark/>
          </w:tcPr>
          <w:p w14:paraId="4AE348F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أتمكن من إنجاز الأعمال بكفاءة عالية</w:t>
            </w:r>
            <w:r w:rsidRPr="00342B3E">
              <w:rPr>
                <w:rFonts w:ascii="Traditional Arabic" w:eastAsia="Calibri" w:hAnsi="Traditional Arabic" w:cs="Traditional Arabic"/>
                <w:sz w:val="32"/>
                <w:szCs w:val="32"/>
                <w:lang w:val="en-US" w:bidi="ar-AE"/>
              </w:rPr>
              <w:t>.</w:t>
            </w:r>
          </w:p>
        </w:tc>
        <w:tc>
          <w:tcPr>
            <w:tcW w:w="0" w:type="auto"/>
            <w:tcBorders>
              <w:top w:val="single" w:sz="4" w:space="0" w:color="auto"/>
              <w:left w:val="single" w:sz="4" w:space="0" w:color="auto"/>
              <w:bottom w:val="single" w:sz="4" w:space="0" w:color="auto"/>
              <w:right w:val="single" w:sz="4" w:space="0" w:color="auto"/>
            </w:tcBorders>
            <w:hideMark/>
          </w:tcPr>
          <w:p w14:paraId="0C72841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3.88</w:t>
            </w:r>
          </w:p>
        </w:tc>
        <w:tc>
          <w:tcPr>
            <w:tcW w:w="0" w:type="auto"/>
            <w:tcBorders>
              <w:top w:val="single" w:sz="4" w:space="0" w:color="auto"/>
              <w:left w:val="single" w:sz="4" w:space="0" w:color="auto"/>
              <w:bottom w:val="single" w:sz="4" w:space="0" w:color="auto"/>
              <w:right w:val="single" w:sz="4" w:space="0" w:color="auto"/>
            </w:tcBorders>
            <w:hideMark/>
          </w:tcPr>
          <w:p w14:paraId="2042633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0.82</w:t>
            </w:r>
          </w:p>
        </w:tc>
        <w:tc>
          <w:tcPr>
            <w:tcW w:w="0" w:type="auto"/>
            <w:tcBorders>
              <w:top w:val="single" w:sz="4" w:space="0" w:color="auto"/>
              <w:left w:val="single" w:sz="4" w:space="0" w:color="auto"/>
              <w:bottom w:val="single" w:sz="4" w:space="0" w:color="auto"/>
              <w:right w:val="single" w:sz="4" w:space="0" w:color="auto"/>
            </w:tcBorders>
            <w:hideMark/>
          </w:tcPr>
          <w:p w14:paraId="2DE3F37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1CFF091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5</w:t>
            </w:r>
          </w:p>
        </w:tc>
      </w:tr>
      <w:tr w:rsidR="00342B3E" w:rsidRPr="00342B3E" w14:paraId="69E6F919" w14:textId="77777777">
        <w:tc>
          <w:tcPr>
            <w:tcW w:w="0" w:type="auto"/>
            <w:tcBorders>
              <w:top w:val="single" w:sz="4" w:space="0" w:color="auto"/>
              <w:left w:val="single" w:sz="4" w:space="0" w:color="auto"/>
              <w:bottom w:val="single" w:sz="4" w:space="0" w:color="auto"/>
              <w:right w:val="single" w:sz="4" w:space="0" w:color="auto"/>
            </w:tcBorders>
            <w:hideMark/>
          </w:tcPr>
          <w:p w14:paraId="04E7B6D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36</w:t>
            </w:r>
          </w:p>
        </w:tc>
        <w:tc>
          <w:tcPr>
            <w:tcW w:w="0" w:type="auto"/>
            <w:tcBorders>
              <w:top w:val="single" w:sz="4" w:space="0" w:color="auto"/>
              <w:left w:val="single" w:sz="4" w:space="0" w:color="auto"/>
              <w:bottom w:val="single" w:sz="4" w:space="0" w:color="auto"/>
              <w:right w:val="single" w:sz="4" w:space="0" w:color="auto"/>
            </w:tcBorders>
            <w:hideMark/>
          </w:tcPr>
          <w:p w14:paraId="485E28C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أستجيب بسرعة للمشكلات المرتبطة بالعمل</w:t>
            </w:r>
            <w:r w:rsidRPr="00342B3E">
              <w:rPr>
                <w:rFonts w:ascii="Traditional Arabic" w:eastAsia="Calibri" w:hAnsi="Traditional Arabic" w:cs="Traditional Arabic"/>
                <w:sz w:val="32"/>
                <w:szCs w:val="32"/>
                <w:lang w:val="en-US" w:bidi="ar-AE"/>
              </w:rPr>
              <w:t>.</w:t>
            </w:r>
          </w:p>
        </w:tc>
        <w:tc>
          <w:tcPr>
            <w:tcW w:w="0" w:type="auto"/>
            <w:tcBorders>
              <w:top w:val="single" w:sz="4" w:space="0" w:color="auto"/>
              <w:left w:val="single" w:sz="4" w:space="0" w:color="auto"/>
              <w:bottom w:val="single" w:sz="4" w:space="0" w:color="auto"/>
              <w:right w:val="single" w:sz="4" w:space="0" w:color="auto"/>
            </w:tcBorders>
            <w:hideMark/>
          </w:tcPr>
          <w:p w14:paraId="5F4E350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3.82</w:t>
            </w:r>
          </w:p>
        </w:tc>
        <w:tc>
          <w:tcPr>
            <w:tcW w:w="0" w:type="auto"/>
            <w:tcBorders>
              <w:top w:val="single" w:sz="4" w:space="0" w:color="auto"/>
              <w:left w:val="single" w:sz="4" w:space="0" w:color="auto"/>
              <w:bottom w:val="single" w:sz="4" w:space="0" w:color="auto"/>
              <w:right w:val="single" w:sz="4" w:space="0" w:color="auto"/>
            </w:tcBorders>
            <w:hideMark/>
          </w:tcPr>
          <w:p w14:paraId="5654266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0.84</w:t>
            </w:r>
          </w:p>
        </w:tc>
        <w:tc>
          <w:tcPr>
            <w:tcW w:w="0" w:type="auto"/>
            <w:tcBorders>
              <w:top w:val="single" w:sz="4" w:space="0" w:color="auto"/>
              <w:left w:val="single" w:sz="4" w:space="0" w:color="auto"/>
              <w:bottom w:val="single" w:sz="4" w:space="0" w:color="auto"/>
              <w:right w:val="single" w:sz="4" w:space="0" w:color="auto"/>
            </w:tcBorders>
            <w:hideMark/>
          </w:tcPr>
          <w:p w14:paraId="755127D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45730DD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6</w:t>
            </w:r>
          </w:p>
        </w:tc>
      </w:tr>
      <w:tr w:rsidR="00342B3E" w:rsidRPr="00342B3E" w14:paraId="1B3D59B5" w14:textId="77777777">
        <w:tc>
          <w:tcPr>
            <w:tcW w:w="0" w:type="auto"/>
            <w:tcBorders>
              <w:top w:val="single" w:sz="4" w:space="0" w:color="auto"/>
              <w:left w:val="single" w:sz="4" w:space="0" w:color="auto"/>
              <w:bottom w:val="single" w:sz="4" w:space="0" w:color="auto"/>
              <w:right w:val="single" w:sz="4" w:space="0" w:color="auto"/>
            </w:tcBorders>
            <w:hideMark/>
          </w:tcPr>
          <w:p w14:paraId="5CEF27E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29</w:t>
            </w:r>
          </w:p>
        </w:tc>
        <w:tc>
          <w:tcPr>
            <w:tcW w:w="0" w:type="auto"/>
            <w:tcBorders>
              <w:top w:val="single" w:sz="4" w:space="0" w:color="auto"/>
              <w:left w:val="single" w:sz="4" w:space="0" w:color="auto"/>
              <w:bottom w:val="single" w:sz="4" w:space="0" w:color="auto"/>
              <w:right w:val="single" w:sz="4" w:space="0" w:color="auto"/>
            </w:tcBorders>
            <w:hideMark/>
          </w:tcPr>
          <w:p w14:paraId="5DDB5B8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أستطيع التكيف مع التغيرات في بيئة العمل</w:t>
            </w:r>
            <w:r w:rsidRPr="00342B3E">
              <w:rPr>
                <w:rFonts w:ascii="Traditional Arabic" w:eastAsia="Calibri" w:hAnsi="Traditional Arabic" w:cs="Traditional Arabic"/>
                <w:sz w:val="32"/>
                <w:szCs w:val="32"/>
                <w:lang w:val="en-US" w:bidi="ar-AE"/>
              </w:rPr>
              <w:t>.</w:t>
            </w:r>
          </w:p>
        </w:tc>
        <w:tc>
          <w:tcPr>
            <w:tcW w:w="0" w:type="auto"/>
            <w:tcBorders>
              <w:top w:val="single" w:sz="4" w:space="0" w:color="auto"/>
              <w:left w:val="single" w:sz="4" w:space="0" w:color="auto"/>
              <w:bottom w:val="single" w:sz="4" w:space="0" w:color="auto"/>
              <w:right w:val="single" w:sz="4" w:space="0" w:color="auto"/>
            </w:tcBorders>
            <w:hideMark/>
          </w:tcPr>
          <w:p w14:paraId="43533F3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3.76</w:t>
            </w:r>
          </w:p>
        </w:tc>
        <w:tc>
          <w:tcPr>
            <w:tcW w:w="0" w:type="auto"/>
            <w:tcBorders>
              <w:top w:val="single" w:sz="4" w:space="0" w:color="auto"/>
              <w:left w:val="single" w:sz="4" w:space="0" w:color="auto"/>
              <w:bottom w:val="single" w:sz="4" w:space="0" w:color="auto"/>
              <w:right w:val="single" w:sz="4" w:space="0" w:color="auto"/>
            </w:tcBorders>
            <w:hideMark/>
          </w:tcPr>
          <w:p w14:paraId="6BAD979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0.88</w:t>
            </w:r>
          </w:p>
        </w:tc>
        <w:tc>
          <w:tcPr>
            <w:tcW w:w="0" w:type="auto"/>
            <w:tcBorders>
              <w:top w:val="single" w:sz="4" w:space="0" w:color="auto"/>
              <w:left w:val="single" w:sz="4" w:space="0" w:color="auto"/>
              <w:bottom w:val="single" w:sz="4" w:space="0" w:color="auto"/>
              <w:right w:val="single" w:sz="4" w:space="0" w:color="auto"/>
            </w:tcBorders>
            <w:hideMark/>
          </w:tcPr>
          <w:p w14:paraId="7D9C8D6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79E9D92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7</w:t>
            </w:r>
          </w:p>
        </w:tc>
      </w:tr>
      <w:tr w:rsidR="00342B3E" w:rsidRPr="00342B3E" w14:paraId="152162B2" w14:textId="77777777">
        <w:tc>
          <w:tcPr>
            <w:tcW w:w="0" w:type="auto"/>
            <w:tcBorders>
              <w:top w:val="single" w:sz="4" w:space="0" w:color="auto"/>
              <w:left w:val="single" w:sz="4" w:space="0" w:color="auto"/>
              <w:bottom w:val="single" w:sz="4" w:space="0" w:color="auto"/>
              <w:right w:val="single" w:sz="4" w:space="0" w:color="auto"/>
            </w:tcBorders>
            <w:hideMark/>
          </w:tcPr>
          <w:p w14:paraId="1BA73DD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32</w:t>
            </w:r>
          </w:p>
        </w:tc>
        <w:tc>
          <w:tcPr>
            <w:tcW w:w="0" w:type="auto"/>
            <w:tcBorders>
              <w:top w:val="single" w:sz="4" w:space="0" w:color="auto"/>
              <w:left w:val="single" w:sz="4" w:space="0" w:color="auto"/>
              <w:bottom w:val="single" w:sz="4" w:space="0" w:color="auto"/>
              <w:right w:val="single" w:sz="4" w:space="0" w:color="auto"/>
            </w:tcBorders>
            <w:hideMark/>
          </w:tcPr>
          <w:p w14:paraId="79FB0BD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أستخدم التقنيات الحديثة لتحسين أدائي الوظيفي</w:t>
            </w:r>
            <w:r w:rsidRPr="00342B3E">
              <w:rPr>
                <w:rFonts w:ascii="Traditional Arabic" w:eastAsia="Calibri" w:hAnsi="Traditional Arabic" w:cs="Traditional Arabic"/>
                <w:sz w:val="32"/>
                <w:szCs w:val="32"/>
                <w:lang w:val="en-US" w:bidi="ar-AE"/>
              </w:rPr>
              <w:t>.</w:t>
            </w:r>
          </w:p>
        </w:tc>
        <w:tc>
          <w:tcPr>
            <w:tcW w:w="0" w:type="auto"/>
            <w:tcBorders>
              <w:top w:val="single" w:sz="4" w:space="0" w:color="auto"/>
              <w:left w:val="single" w:sz="4" w:space="0" w:color="auto"/>
              <w:bottom w:val="single" w:sz="4" w:space="0" w:color="auto"/>
              <w:right w:val="single" w:sz="4" w:space="0" w:color="auto"/>
            </w:tcBorders>
            <w:hideMark/>
          </w:tcPr>
          <w:p w14:paraId="2F02D2B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3.63</w:t>
            </w:r>
          </w:p>
        </w:tc>
        <w:tc>
          <w:tcPr>
            <w:tcW w:w="0" w:type="auto"/>
            <w:tcBorders>
              <w:top w:val="single" w:sz="4" w:space="0" w:color="auto"/>
              <w:left w:val="single" w:sz="4" w:space="0" w:color="auto"/>
              <w:bottom w:val="single" w:sz="4" w:space="0" w:color="auto"/>
              <w:right w:val="single" w:sz="4" w:space="0" w:color="auto"/>
            </w:tcBorders>
            <w:hideMark/>
          </w:tcPr>
          <w:p w14:paraId="1A5A573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0.93</w:t>
            </w:r>
          </w:p>
        </w:tc>
        <w:tc>
          <w:tcPr>
            <w:tcW w:w="0" w:type="auto"/>
            <w:tcBorders>
              <w:top w:val="single" w:sz="4" w:space="0" w:color="auto"/>
              <w:left w:val="single" w:sz="4" w:space="0" w:color="auto"/>
              <w:bottom w:val="single" w:sz="4" w:space="0" w:color="auto"/>
              <w:right w:val="single" w:sz="4" w:space="0" w:color="auto"/>
            </w:tcBorders>
            <w:hideMark/>
          </w:tcPr>
          <w:p w14:paraId="16D10E0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6D13369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8</w:t>
            </w:r>
          </w:p>
        </w:tc>
      </w:tr>
      <w:tr w:rsidR="00342B3E" w:rsidRPr="00342B3E" w14:paraId="599B6044" w14:textId="77777777">
        <w:tc>
          <w:tcPr>
            <w:tcW w:w="0" w:type="auto"/>
            <w:gridSpan w:val="2"/>
            <w:tcBorders>
              <w:top w:val="single" w:sz="4" w:space="0" w:color="auto"/>
              <w:left w:val="single" w:sz="4" w:space="0" w:color="auto"/>
              <w:bottom w:val="single" w:sz="4" w:space="0" w:color="auto"/>
              <w:right w:val="single" w:sz="4" w:space="0" w:color="auto"/>
            </w:tcBorders>
            <w:hideMark/>
          </w:tcPr>
          <w:p w14:paraId="3CD4109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lastRenderedPageBreak/>
              <w:t>أداء العاملين ككل</w:t>
            </w:r>
          </w:p>
        </w:tc>
        <w:tc>
          <w:tcPr>
            <w:tcW w:w="0" w:type="auto"/>
            <w:tcBorders>
              <w:top w:val="single" w:sz="4" w:space="0" w:color="auto"/>
              <w:left w:val="single" w:sz="4" w:space="0" w:color="auto"/>
              <w:bottom w:val="single" w:sz="4" w:space="0" w:color="auto"/>
              <w:right w:val="single" w:sz="4" w:space="0" w:color="auto"/>
            </w:tcBorders>
            <w:hideMark/>
          </w:tcPr>
          <w:p w14:paraId="2E8E61F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lang w:val="en-US" w:bidi="ar-AE"/>
              </w:rPr>
              <w:t>3.92</w:t>
            </w:r>
          </w:p>
        </w:tc>
        <w:tc>
          <w:tcPr>
            <w:tcW w:w="0" w:type="auto"/>
            <w:tcBorders>
              <w:top w:val="single" w:sz="4" w:space="0" w:color="auto"/>
              <w:left w:val="single" w:sz="4" w:space="0" w:color="auto"/>
              <w:bottom w:val="single" w:sz="4" w:space="0" w:color="auto"/>
              <w:right w:val="single" w:sz="4" w:space="0" w:color="auto"/>
            </w:tcBorders>
            <w:hideMark/>
          </w:tcPr>
          <w:p w14:paraId="27509E5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lang w:val="en-US" w:bidi="ar-AE"/>
              </w:rPr>
              <w:t>0.66</w:t>
            </w:r>
          </w:p>
        </w:tc>
        <w:tc>
          <w:tcPr>
            <w:tcW w:w="0" w:type="auto"/>
            <w:tcBorders>
              <w:top w:val="single" w:sz="4" w:space="0" w:color="auto"/>
              <w:left w:val="single" w:sz="4" w:space="0" w:color="auto"/>
              <w:bottom w:val="single" w:sz="4" w:space="0" w:color="auto"/>
              <w:right w:val="single" w:sz="4" w:space="0" w:color="auto"/>
            </w:tcBorders>
            <w:hideMark/>
          </w:tcPr>
          <w:p w14:paraId="5AD73B2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مرتفع</w:t>
            </w:r>
          </w:p>
        </w:tc>
        <w:tc>
          <w:tcPr>
            <w:tcW w:w="0" w:type="auto"/>
            <w:tcBorders>
              <w:top w:val="single" w:sz="4" w:space="0" w:color="auto"/>
              <w:left w:val="single" w:sz="4" w:space="0" w:color="auto"/>
              <w:bottom w:val="single" w:sz="4" w:space="0" w:color="auto"/>
              <w:right w:val="single" w:sz="4" w:space="0" w:color="auto"/>
            </w:tcBorders>
            <w:hideMark/>
          </w:tcPr>
          <w:p w14:paraId="0E0464CA" w14:textId="77777777" w:rsidR="00342B3E" w:rsidRPr="00342B3E" w:rsidRDefault="00342B3E" w:rsidP="00342B3E">
            <w:pPr>
              <w:rPr>
                <w:rFonts w:ascii="Traditional Arabic" w:eastAsia="Calibri" w:hAnsi="Traditional Arabic" w:cs="Traditional Arabic"/>
                <w:sz w:val="32"/>
                <w:szCs w:val="32"/>
                <w:lang w:val="en-US" w:bidi="ar-AE"/>
              </w:rPr>
            </w:pPr>
          </w:p>
        </w:tc>
      </w:tr>
    </w:tbl>
    <w:p w14:paraId="38C8E419"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 xml:space="preserve">يتضح من نتائج جدول (4-7) أن المتوسط الحسابي الكلي لمتغير أداء العاملين بلغ </w:t>
      </w:r>
      <w:r w:rsidRPr="00342B3E">
        <w:rPr>
          <w:rFonts w:ascii="Traditional Arabic" w:eastAsia="Calibri" w:hAnsi="Traditional Arabic" w:cs="Traditional Arabic"/>
          <w:sz w:val="32"/>
          <w:szCs w:val="32"/>
          <w:lang w:val="en-US" w:bidi="ar-AE"/>
        </w:rPr>
        <w:t xml:space="preserve">(3.92) </w:t>
      </w:r>
      <w:r w:rsidRPr="00342B3E">
        <w:rPr>
          <w:rFonts w:ascii="Traditional Arabic" w:eastAsia="Calibri" w:hAnsi="Traditional Arabic" w:cs="Traditional Arabic"/>
          <w:sz w:val="32"/>
          <w:szCs w:val="32"/>
          <w:rtl/>
          <w:lang w:val="en-US"/>
        </w:rPr>
        <w:t xml:space="preserve">بانحراف معياري مقداره </w:t>
      </w:r>
      <w:r w:rsidRPr="00342B3E">
        <w:rPr>
          <w:rFonts w:ascii="Traditional Arabic" w:eastAsia="Calibri" w:hAnsi="Traditional Arabic" w:cs="Traditional Arabic"/>
          <w:sz w:val="32"/>
          <w:szCs w:val="32"/>
          <w:lang w:val="en-US" w:bidi="ar-AE"/>
        </w:rPr>
        <w:t>(0.66)</w:t>
      </w:r>
      <w:r w:rsidRPr="00342B3E">
        <w:rPr>
          <w:rFonts w:ascii="Traditional Arabic" w:eastAsia="Calibri" w:hAnsi="Traditional Arabic" w:cs="Traditional Arabic"/>
          <w:sz w:val="32"/>
          <w:szCs w:val="32"/>
          <w:rtl/>
          <w:lang w:val="en-US"/>
        </w:rPr>
        <w:t>، مما يشير إلى أن مستوى أداء العاملين في شركة موبايلي جاء مرتفعًا بصورة عامة، إلا أنه كان أقل قليلًا من مستوى إدارة المعرفة، وهو ما يعكس وجود فرصة لتعزيز الأداء من خلال تطوير ممارسات إدارة المعرفة بصورة أكبر</w:t>
      </w:r>
      <w:r w:rsidRPr="00342B3E">
        <w:rPr>
          <w:rFonts w:ascii="Traditional Arabic" w:eastAsia="Calibri" w:hAnsi="Traditional Arabic" w:cs="Traditional Arabic"/>
          <w:sz w:val="32"/>
          <w:szCs w:val="32"/>
          <w:lang w:val="en-US" w:bidi="ar-AE"/>
        </w:rPr>
        <w:t>.</w:t>
      </w:r>
    </w:p>
    <w:p w14:paraId="0DE3734B"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 xml:space="preserve">كما أظهرت النتائج أن الفقرة </w:t>
      </w:r>
      <w:r w:rsidRPr="00342B3E">
        <w:rPr>
          <w:rFonts w:ascii="Traditional Arabic" w:eastAsia="Calibri" w:hAnsi="Traditional Arabic" w:cs="Traditional Arabic"/>
          <w:sz w:val="32"/>
          <w:szCs w:val="32"/>
          <w:lang w:val="en-US" w:bidi="ar-AE"/>
        </w:rPr>
        <w:t>"</w:t>
      </w:r>
      <w:r w:rsidRPr="00342B3E">
        <w:rPr>
          <w:rFonts w:ascii="Traditional Arabic" w:eastAsia="Calibri" w:hAnsi="Traditional Arabic" w:cs="Traditional Arabic"/>
          <w:sz w:val="32"/>
          <w:szCs w:val="32"/>
          <w:rtl/>
          <w:lang w:val="en-US"/>
        </w:rPr>
        <w:t>أحرص على إنجاز المهام الموكلة إليّ في الوقت المحدد</w:t>
      </w:r>
      <w:r w:rsidRPr="00342B3E">
        <w:rPr>
          <w:rFonts w:ascii="Traditional Arabic" w:eastAsia="Calibri" w:hAnsi="Traditional Arabic" w:cs="Traditional Arabic"/>
          <w:sz w:val="32"/>
          <w:szCs w:val="32"/>
          <w:lang w:val="en-US" w:bidi="ar-AE"/>
        </w:rPr>
        <w:t xml:space="preserve">" </w:t>
      </w:r>
      <w:r w:rsidRPr="00342B3E">
        <w:rPr>
          <w:rFonts w:ascii="Traditional Arabic" w:eastAsia="Calibri" w:hAnsi="Traditional Arabic" w:cs="Traditional Arabic"/>
          <w:sz w:val="32"/>
          <w:szCs w:val="32"/>
          <w:rtl/>
          <w:lang w:val="en-US"/>
        </w:rPr>
        <w:t xml:space="preserve">جاءت في المرتبة الأولى بمتوسط حسابي بلغ </w:t>
      </w:r>
      <w:r w:rsidRPr="00342B3E">
        <w:rPr>
          <w:rFonts w:ascii="Traditional Arabic" w:eastAsia="Calibri" w:hAnsi="Traditional Arabic" w:cs="Traditional Arabic"/>
          <w:sz w:val="32"/>
          <w:szCs w:val="32"/>
          <w:lang w:val="en-US" w:bidi="ar-AE"/>
        </w:rPr>
        <w:t>(4.17)</w:t>
      </w:r>
      <w:r w:rsidRPr="00342B3E">
        <w:rPr>
          <w:rFonts w:ascii="Traditional Arabic" w:eastAsia="Calibri" w:hAnsi="Traditional Arabic" w:cs="Traditional Arabic"/>
          <w:sz w:val="32"/>
          <w:szCs w:val="32"/>
          <w:rtl/>
          <w:lang w:val="en-US"/>
        </w:rPr>
        <w:t>، مما يدل على ارتفاع مستوى الالتزام الوظيفي لدى العاملين وحرصهم على إنجاز الأعمال وفق الجداول الزمنية المحددة</w:t>
      </w:r>
      <w:r w:rsidRPr="00342B3E">
        <w:rPr>
          <w:rFonts w:ascii="Traditional Arabic" w:eastAsia="Calibri" w:hAnsi="Traditional Arabic" w:cs="Traditional Arabic"/>
          <w:sz w:val="32"/>
          <w:szCs w:val="32"/>
          <w:lang w:val="en-US" w:bidi="ar-AE"/>
        </w:rPr>
        <w:t>.</w:t>
      </w:r>
    </w:p>
    <w:p w14:paraId="69CAC069"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 xml:space="preserve">في المقابل، جاءت الفقرة </w:t>
      </w:r>
      <w:r w:rsidRPr="00342B3E">
        <w:rPr>
          <w:rFonts w:ascii="Traditional Arabic" w:eastAsia="Calibri" w:hAnsi="Traditional Arabic" w:cs="Traditional Arabic"/>
          <w:sz w:val="32"/>
          <w:szCs w:val="32"/>
          <w:lang w:val="en-US" w:bidi="ar-AE"/>
        </w:rPr>
        <w:t>"</w:t>
      </w:r>
      <w:r w:rsidRPr="00342B3E">
        <w:rPr>
          <w:rFonts w:ascii="Traditional Arabic" w:eastAsia="Calibri" w:hAnsi="Traditional Arabic" w:cs="Traditional Arabic"/>
          <w:sz w:val="32"/>
          <w:szCs w:val="32"/>
          <w:rtl/>
          <w:lang w:val="en-US"/>
        </w:rPr>
        <w:t>أستخدم التقنيات الحديثة لتحسين أدائي الوظيفي</w:t>
      </w:r>
      <w:r w:rsidRPr="00342B3E">
        <w:rPr>
          <w:rFonts w:ascii="Traditional Arabic" w:eastAsia="Calibri" w:hAnsi="Traditional Arabic" w:cs="Traditional Arabic"/>
          <w:sz w:val="32"/>
          <w:szCs w:val="32"/>
          <w:lang w:val="en-US" w:bidi="ar-AE"/>
        </w:rPr>
        <w:t xml:space="preserve">" </w:t>
      </w:r>
      <w:r w:rsidRPr="00342B3E">
        <w:rPr>
          <w:rFonts w:ascii="Traditional Arabic" w:eastAsia="Calibri" w:hAnsi="Traditional Arabic" w:cs="Traditional Arabic"/>
          <w:sz w:val="32"/>
          <w:szCs w:val="32"/>
          <w:rtl/>
          <w:lang w:val="en-US"/>
        </w:rPr>
        <w:t xml:space="preserve">في المرتبة الأخيرة بمتوسط حسابي بلغ </w:t>
      </w:r>
      <w:r w:rsidRPr="00342B3E">
        <w:rPr>
          <w:rFonts w:ascii="Traditional Arabic" w:eastAsia="Calibri" w:hAnsi="Traditional Arabic" w:cs="Traditional Arabic"/>
          <w:sz w:val="32"/>
          <w:szCs w:val="32"/>
          <w:lang w:val="en-US" w:bidi="ar-AE"/>
        </w:rPr>
        <w:t>(3.63)</w:t>
      </w:r>
      <w:r w:rsidRPr="00342B3E">
        <w:rPr>
          <w:rFonts w:ascii="Traditional Arabic" w:eastAsia="Calibri" w:hAnsi="Traditional Arabic" w:cs="Traditional Arabic"/>
          <w:sz w:val="32"/>
          <w:szCs w:val="32"/>
          <w:rtl/>
          <w:lang w:val="en-US"/>
        </w:rPr>
        <w:t>، ورغم أنها جاءت ضمن المستوى المرتفع، إلا أنها تشير إلى وجود مجال لتحسين توظيف التقنيات الحديثة في دعم الأداء الفردي، من خلال التوسع في التدريب وتطوير المهارات الرقمية للعاملين</w:t>
      </w:r>
      <w:r w:rsidRPr="00342B3E">
        <w:rPr>
          <w:rFonts w:ascii="Traditional Arabic" w:eastAsia="Calibri" w:hAnsi="Traditional Arabic" w:cs="Traditional Arabic"/>
          <w:sz w:val="32"/>
          <w:szCs w:val="32"/>
          <w:lang w:val="en-US" w:bidi="ar-AE"/>
        </w:rPr>
        <w:t>.</w:t>
      </w:r>
    </w:p>
    <w:p w14:paraId="224476E1"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وبوجه عام، تشير النتائج إلى أن العاملين في شركة موبايلي يتمتعون بمستوى جيد من الأداء، يتجلى في الالتزام بالمهام، والحرص على جودة العمل، والمشاركة في تطوير الأداء، إلا أن بعض الجوانب، ولا سيما الاستخدام الأمثل للتقنيات الحديثة، ما تزال بحاجة إلى مزيد من الدعم والتطوير</w:t>
      </w:r>
      <w:r w:rsidRPr="00342B3E">
        <w:rPr>
          <w:rFonts w:ascii="Traditional Arabic" w:eastAsia="Calibri" w:hAnsi="Traditional Arabic" w:cs="Traditional Arabic"/>
          <w:sz w:val="32"/>
          <w:szCs w:val="32"/>
          <w:lang w:val="en-US" w:bidi="ar-AE"/>
        </w:rPr>
        <w:t>.</w:t>
      </w:r>
    </w:p>
    <w:p w14:paraId="37915D72"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 xml:space="preserve">وتتفق هذه النتيجة مع عدد من الدراسات السابقة التي أشارت إلى أن ارتفاع مستوى الأداء الوظيفي يرتبط بوجود بيئة تنظيمية داعمة، وتوافر المعرفة، والاستثمار في تنمية الموارد البشرية. كما يمكن تفسير هذه النتيجة بطبيعة قطاع </w:t>
      </w:r>
      <w:r w:rsidRPr="00342B3E">
        <w:rPr>
          <w:rFonts w:ascii="Traditional Arabic" w:eastAsia="Calibri" w:hAnsi="Traditional Arabic" w:cs="Traditional Arabic"/>
          <w:sz w:val="32"/>
          <w:szCs w:val="32"/>
          <w:rtl/>
          <w:lang w:val="en-US"/>
        </w:rPr>
        <w:lastRenderedPageBreak/>
        <w:t>الاتصالات، الذي يتطلب المحافظة على مستويات مرتفعة من جودة الأداء والاستجابة السريعة لاحتياجات العملاء، مع استمرار الحاجة إلى تطوير المهارات الرقمية لمواكبة التطورات التقنية المتسارعة</w:t>
      </w:r>
      <w:r w:rsidRPr="00342B3E">
        <w:rPr>
          <w:rFonts w:ascii="Traditional Arabic" w:eastAsia="Calibri" w:hAnsi="Traditional Arabic" w:cs="Traditional Arabic"/>
          <w:sz w:val="32"/>
          <w:szCs w:val="32"/>
          <w:lang w:val="en-US" w:bidi="ar-AE"/>
        </w:rPr>
        <w:t>.</w:t>
      </w:r>
    </w:p>
    <w:p w14:paraId="5EBAB1BC"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p>
    <w:p w14:paraId="3B415289"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bidi="ar-AE"/>
        </w:rPr>
      </w:pPr>
      <w:r w:rsidRPr="00342B3E">
        <w:rPr>
          <w:rFonts w:ascii="Traditional Arabic" w:eastAsia="Calibri" w:hAnsi="Traditional Arabic" w:cs="Traditional Arabic"/>
          <w:b/>
          <w:bCs/>
          <w:sz w:val="32"/>
          <w:szCs w:val="32"/>
          <w:rtl/>
          <w:lang w:val="en-US" w:bidi="ar-AE"/>
        </w:rPr>
        <w:t>4.5 اختبار فرضيات الدراسة</w:t>
      </w:r>
    </w:p>
    <w:p w14:paraId="5408386C"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بعد عرض النتائج الوصفية لمتغيرات الدراسة، يتناول هذا القسم اختبار فرضيات الدراسة للتحقق من وجود أثر ذي دلالة إحصائية لإدارة المعرفة بأبعادها (اكتساب المعرفة، ومشاركة المعرفة، وتطبيق المعرفة) في تحسين أداء العاملين في شركة موبايلي السعودية للاتصالات. ولتحقيق ذلك، تم استخدام تحليل الانحدار الخطي المتعدد لاختبار الفرضية الرئيسة، في حين تم استخدام تحليل الانحدار الخطي البسيط لاختبار الفرضيات الفرعية، وذلك عند مستوى الدلالة الإحصائية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w:t>
      </w:r>
    </w:p>
    <w:p w14:paraId="5A695B3A"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p>
    <w:p w14:paraId="16DDB1AA"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bidi="ar-AE"/>
        </w:rPr>
        <w:t>4.5.1 اختبار الفرضية الرئيسة</w:t>
      </w:r>
    </w:p>
    <w:p w14:paraId="51F58852"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للتحقق من الفرضيات الفرعية، تم استخدام الأبعاد الأربعة لأداء العاملين بوصفها متغيرات تابعة مستقلة، وذلك بهدف التعرف إلى أثر إدارة المعرفة في كل بعد من أبعاد الأداء</w:t>
      </w:r>
      <w:r w:rsidRPr="00342B3E">
        <w:rPr>
          <w:rFonts w:ascii="Traditional Arabic" w:eastAsia="Calibri" w:hAnsi="Traditional Arabic" w:cs="Traditional Arabic"/>
          <w:sz w:val="32"/>
          <w:szCs w:val="32"/>
        </w:rPr>
        <w:t>.</w:t>
      </w:r>
    </w:p>
    <w:p w14:paraId="537B8928"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تنص الفرضية الرئيسة على ما يأتي</w:t>
      </w:r>
      <w:r w:rsidRPr="00342B3E">
        <w:rPr>
          <w:rFonts w:ascii="Traditional Arabic" w:eastAsia="Calibri" w:hAnsi="Traditional Arabic" w:cs="Traditional Arabic"/>
          <w:sz w:val="32"/>
          <w:szCs w:val="32"/>
          <w:lang w:val="en-US" w:bidi="ar-AE"/>
        </w:rPr>
        <w:t>:</w:t>
      </w:r>
    </w:p>
    <w:p w14:paraId="4549956E"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H</w:t>
      </w:r>
      <w:r w:rsidRPr="00342B3E">
        <w:rPr>
          <w:rFonts w:ascii="Times New Roman" w:eastAsia="Calibri" w:hAnsi="Times New Roman" w:cs="Times New Roman"/>
          <w:b/>
          <w:bCs/>
          <w:sz w:val="32"/>
          <w:szCs w:val="32"/>
          <w:lang w:val="en-US" w:bidi="ar-AE"/>
        </w:rPr>
        <w:t>1</w:t>
      </w:r>
      <w:r w:rsidRPr="00342B3E">
        <w:rPr>
          <w:rFonts w:ascii="Traditional Arabic" w:eastAsia="Calibri" w:hAnsi="Traditional Arabic" w:cs="Traditional Arabic"/>
          <w:b/>
          <w:bCs/>
          <w:sz w:val="32"/>
          <w:szCs w:val="32"/>
          <w:rtl/>
          <w:lang w:val="en-US" w:bidi="ar-AE"/>
        </w:rPr>
        <w:t>: يوجد أثر ذو دلالة إحصائية عند مستوى الدلالة (</w:t>
      </w:r>
      <w:r w:rsidRPr="00342B3E">
        <w:rPr>
          <w:rFonts w:ascii="Times New Roman" w:eastAsia="Calibri" w:hAnsi="Times New Roman" w:cs="Times New Roman"/>
          <w:b/>
          <w:bCs/>
          <w:sz w:val="32"/>
          <w:szCs w:val="32"/>
          <w:lang w:val="en-US" w:bidi="ar-AE"/>
        </w:rPr>
        <w:t>α</w:t>
      </w:r>
      <w:r w:rsidRPr="00342B3E">
        <w:rPr>
          <w:rFonts w:ascii="Traditional Arabic" w:eastAsia="Calibri" w:hAnsi="Traditional Arabic" w:cs="Traditional Arabic"/>
          <w:b/>
          <w:bCs/>
          <w:sz w:val="32"/>
          <w:szCs w:val="32"/>
          <w:lang w:val="en-US" w:bidi="ar-AE"/>
        </w:rPr>
        <w:t xml:space="preserve"> </w:t>
      </w:r>
      <w:r w:rsidRPr="00342B3E">
        <w:rPr>
          <w:rFonts w:ascii="Times New Roman" w:eastAsia="Calibri" w:hAnsi="Times New Roman" w:cs="Times New Roman"/>
          <w:b/>
          <w:bCs/>
          <w:sz w:val="32"/>
          <w:szCs w:val="32"/>
          <w:lang w:val="en-US" w:bidi="ar-AE"/>
        </w:rPr>
        <w:t>≤</w:t>
      </w:r>
      <w:r w:rsidRPr="00342B3E">
        <w:rPr>
          <w:rFonts w:ascii="Traditional Arabic" w:eastAsia="Calibri" w:hAnsi="Traditional Arabic" w:cs="Traditional Arabic"/>
          <w:b/>
          <w:bCs/>
          <w:sz w:val="32"/>
          <w:szCs w:val="32"/>
          <w:lang w:val="en-US" w:bidi="ar-AE"/>
        </w:rPr>
        <w:t xml:space="preserve"> 0.05</w:t>
      </w:r>
      <w:r w:rsidRPr="00342B3E">
        <w:rPr>
          <w:rFonts w:ascii="Traditional Arabic" w:eastAsia="Calibri" w:hAnsi="Traditional Arabic" w:cs="Traditional Arabic"/>
          <w:b/>
          <w:bCs/>
          <w:sz w:val="32"/>
          <w:szCs w:val="32"/>
          <w:rtl/>
          <w:lang w:val="en-US" w:bidi="ar-AE"/>
        </w:rPr>
        <w:t>) لإدارة المعرفة بأبعادها (اكتساب المعرفة، ومشاركة المعرفة، وتطبيق المعرفة) في تحسين أداء العاملين في شركة موبايلي السعودية للاتصالات.</w:t>
      </w:r>
    </w:p>
    <w:p w14:paraId="32F664E5"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lastRenderedPageBreak/>
        <w:t>ولاختبار هذه الفرضية، تم استخدام تحليل الانحدار الخطي المتعدد، وكانت النتائج كما هي موضحة في جدول (4-8).</w:t>
      </w:r>
    </w:p>
    <w:p w14:paraId="3189670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جدول (4-8) نتائج تحليل الانحدار الخطي المتعدد لأثر إدارة المعرفة في تحسين أداء العاملين</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5"/>
        <w:gridCol w:w="1418"/>
        <w:gridCol w:w="2461"/>
        <w:gridCol w:w="1533"/>
        <w:gridCol w:w="1529"/>
      </w:tblGrid>
      <w:tr w:rsidR="00342B3E" w:rsidRPr="00342B3E" w14:paraId="41FB0ECE" w14:textId="77777777">
        <w:tc>
          <w:tcPr>
            <w:tcW w:w="0" w:type="auto"/>
            <w:tcBorders>
              <w:top w:val="single" w:sz="4" w:space="0" w:color="auto"/>
              <w:left w:val="single" w:sz="4" w:space="0" w:color="auto"/>
              <w:bottom w:val="single" w:sz="4" w:space="0" w:color="auto"/>
              <w:right w:val="single" w:sz="4" w:space="0" w:color="auto"/>
            </w:tcBorders>
            <w:hideMark/>
          </w:tcPr>
          <w:p w14:paraId="7F4350F5" w14:textId="77777777" w:rsidR="00342B3E" w:rsidRPr="00342B3E" w:rsidRDefault="00342B3E" w:rsidP="00342B3E">
            <w:pPr>
              <w:bidi/>
              <w:spacing w:after="0" w:line="240" w:lineRule="auto"/>
              <w:jc w:val="both"/>
              <w:rPr>
                <w:rFonts w:ascii="Traditional Arabic" w:eastAsia="Calibri" w:hAnsi="Traditional Arabic" w:cs="Traditional Arabic"/>
                <w:b/>
                <w:bCs/>
                <w:sz w:val="28"/>
                <w:szCs w:val="28"/>
                <w:lang w:val="en-US" w:bidi="ar-AE"/>
              </w:rPr>
            </w:pPr>
            <w:r w:rsidRPr="00342B3E">
              <w:rPr>
                <w:rFonts w:ascii="Traditional Arabic" w:eastAsia="Calibri" w:hAnsi="Traditional Arabic" w:cs="Traditional Arabic"/>
                <w:b/>
                <w:bCs/>
                <w:sz w:val="28"/>
                <w:szCs w:val="28"/>
                <w:rtl/>
                <w:lang w:val="en-US"/>
              </w:rPr>
              <w:t>المتغيرات المستقلة</w:t>
            </w:r>
          </w:p>
        </w:tc>
        <w:tc>
          <w:tcPr>
            <w:tcW w:w="0" w:type="auto"/>
            <w:tcBorders>
              <w:top w:val="single" w:sz="4" w:space="0" w:color="auto"/>
              <w:left w:val="single" w:sz="4" w:space="0" w:color="auto"/>
              <w:bottom w:val="single" w:sz="4" w:space="0" w:color="auto"/>
              <w:right w:val="single" w:sz="4" w:space="0" w:color="auto"/>
            </w:tcBorders>
            <w:hideMark/>
          </w:tcPr>
          <w:p w14:paraId="5485D524" w14:textId="77777777" w:rsidR="00342B3E" w:rsidRPr="00342B3E" w:rsidRDefault="00342B3E" w:rsidP="00342B3E">
            <w:pPr>
              <w:bidi/>
              <w:spacing w:after="0" w:line="240" w:lineRule="auto"/>
              <w:jc w:val="both"/>
              <w:rPr>
                <w:rFonts w:ascii="Traditional Arabic" w:eastAsia="Calibri" w:hAnsi="Traditional Arabic" w:cs="Traditional Arabic"/>
                <w:b/>
                <w:bCs/>
                <w:sz w:val="28"/>
                <w:szCs w:val="28"/>
                <w:lang w:val="en-US" w:bidi="ar-AE"/>
              </w:rPr>
            </w:pPr>
            <w:r w:rsidRPr="00342B3E">
              <w:rPr>
                <w:rFonts w:ascii="Traditional Arabic" w:eastAsia="Calibri" w:hAnsi="Traditional Arabic" w:cs="Traditional Arabic"/>
                <w:b/>
                <w:bCs/>
                <w:sz w:val="28"/>
                <w:szCs w:val="28"/>
                <w:lang w:val="en-US" w:bidi="ar-AE"/>
              </w:rPr>
              <w:t>B</w:t>
            </w:r>
          </w:p>
        </w:tc>
        <w:tc>
          <w:tcPr>
            <w:tcW w:w="0" w:type="auto"/>
            <w:tcBorders>
              <w:top w:val="single" w:sz="4" w:space="0" w:color="auto"/>
              <w:left w:val="single" w:sz="4" w:space="0" w:color="auto"/>
              <w:bottom w:val="single" w:sz="4" w:space="0" w:color="auto"/>
              <w:right w:val="single" w:sz="4" w:space="0" w:color="auto"/>
            </w:tcBorders>
            <w:hideMark/>
          </w:tcPr>
          <w:p w14:paraId="2D4EB5F3" w14:textId="77777777" w:rsidR="00342B3E" w:rsidRPr="00342B3E" w:rsidRDefault="00342B3E" w:rsidP="00342B3E">
            <w:pPr>
              <w:bidi/>
              <w:spacing w:after="0" w:line="240" w:lineRule="auto"/>
              <w:jc w:val="both"/>
              <w:rPr>
                <w:rFonts w:ascii="Traditional Arabic" w:eastAsia="Calibri" w:hAnsi="Traditional Arabic" w:cs="Traditional Arabic"/>
                <w:b/>
                <w:bCs/>
                <w:sz w:val="28"/>
                <w:szCs w:val="28"/>
                <w:lang w:val="en-US" w:bidi="ar-AE"/>
              </w:rPr>
            </w:pPr>
            <w:r w:rsidRPr="00342B3E">
              <w:rPr>
                <w:rFonts w:ascii="Traditional Arabic" w:eastAsia="Calibri" w:hAnsi="Traditional Arabic" w:cs="Traditional Arabic"/>
                <w:b/>
                <w:bCs/>
                <w:sz w:val="28"/>
                <w:szCs w:val="28"/>
                <w:lang w:val="en-US" w:bidi="ar-AE"/>
              </w:rPr>
              <w:t>Beta</w:t>
            </w:r>
          </w:p>
        </w:tc>
        <w:tc>
          <w:tcPr>
            <w:tcW w:w="0" w:type="auto"/>
            <w:tcBorders>
              <w:top w:val="single" w:sz="4" w:space="0" w:color="auto"/>
              <w:left w:val="single" w:sz="4" w:space="0" w:color="auto"/>
              <w:bottom w:val="single" w:sz="4" w:space="0" w:color="auto"/>
              <w:right w:val="single" w:sz="4" w:space="0" w:color="auto"/>
            </w:tcBorders>
            <w:hideMark/>
          </w:tcPr>
          <w:p w14:paraId="3FA6E605" w14:textId="77777777" w:rsidR="00342B3E" w:rsidRPr="00342B3E" w:rsidRDefault="00342B3E" w:rsidP="00342B3E">
            <w:pPr>
              <w:bidi/>
              <w:spacing w:after="0" w:line="240" w:lineRule="auto"/>
              <w:jc w:val="both"/>
              <w:rPr>
                <w:rFonts w:ascii="Traditional Arabic" w:eastAsia="Calibri" w:hAnsi="Traditional Arabic" w:cs="Traditional Arabic"/>
                <w:b/>
                <w:bCs/>
                <w:sz w:val="28"/>
                <w:szCs w:val="28"/>
                <w:lang w:val="en-US" w:bidi="ar-AE"/>
              </w:rPr>
            </w:pPr>
            <w:r w:rsidRPr="00342B3E">
              <w:rPr>
                <w:rFonts w:ascii="Traditional Arabic" w:eastAsia="Calibri" w:hAnsi="Traditional Arabic" w:cs="Traditional Arabic"/>
                <w:b/>
                <w:bCs/>
                <w:sz w:val="28"/>
                <w:szCs w:val="28"/>
                <w:lang w:val="en-US" w:bidi="ar-AE"/>
              </w:rPr>
              <w:t>t</w:t>
            </w:r>
          </w:p>
        </w:tc>
        <w:tc>
          <w:tcPr>
            <w:tcW w:w="0" w:type="auto"/>
            <w:tcBorders>
              <w:top w:val="single" w:sz="4" w:space="0" w:color="auto"/>
              <w:left w:val="single" w:sz="4" w:space="0" w:color="auto"/>
              <w:bottom w:val="single" w:sz="4" w:space="0" w:color="auto"/>
              <w:right w:val="single" w:sz="4" w:space="0" w:color="auto"/>
            </w:tcBorders>
            <w:hideMark/>
          </w:tcPr>
          <w:p w14:paraId="00D3373F" w14:textId="77777777" w:rsidR="00342B3E" w:rsidRPr="00342B3E" w:rsidRDefault="00342B3E" w:rsidP="00342B3E">
            <w:pPr>
              <w:bidi/>
              <w:spacing w:after="0" w:line="240" w:lineRule="auto"/>
              <w:jc w:val="both"/>
              <w:rPr>
                <w:rFonts w:ascii="Traditional Arabic" w:eastAsia="Calibri" w:hAnsi="Traditional Arabic" w:cs="Traditional Arabic"/>
                <w:b/>
                <w:bCs/>
                <w:sz w:val="28"/>
                <w:szCs w:val="28"/>
                <w:lang w:val="en-US" w:bidi="ar-AE"/>
              </w:rPr>
            </w:pPr>
            <w:r w:rsidRPr="00342B3E">
              <w:rPr>
                <w:rFonts w:ascii="Traditional Arabic" w:eastAsia="Calibri" w:hAnsi="Traditional Arabic" w:cs="Traditional Arabic"/>
                <w:b/>
                <w:bCs/>
                <w:sz w:val="28"/>
                <w:szCs w:val="28"/>
                <w:lang w:val="en-US" w:bidi="ar-AE"/>
              </w:rPr>
              <w:t>Sig.</w:t>
            </w:r>
          </w:p>
        </w:tc>
      </w:tr>
      <w:tr w:rsidR="00342B3E" w:rsidRPr="00342B3E" w14:paraId="435C7DA6" w14:textId="77777777">
        <w:tc>
          <w:tcPr>
            <w:tcW w:w="0" w:type="auto"/>
            <w:tcBorders>
              <w:top w:val="single" w:sz="4" w:space="0" w:color="auto"/>
              <w:left w:val="single" w:sz="4" w:space="0" w:color="auto"/>
              <w:bottom w:val="single" w:sz="4" w:space="0" w:color="auto"/>
              <w:right w:val="single" w:sz="4" w:space="0" w:color="auto"/>
            </w:tcBorders>
            <w:hideMark/>
          </w:tcPr>
          <w:p w14:paraId="5773C10A"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rtl/>
                <w:lang w:val="en-US"/>
              </w:rPr>
              <w:t>اكتساب المعرفة</w:t>
            </w:r>
          </w:p>
        </w:tc>
        <w:tc>
          <w:tcPr>
            <w:tcW w:w="0" w:type="auto"/>
            <w:tcBorders>
              <w:top w:val="single" w:sz="4" w:space="0" w:color="auto"/>
              <w:left w:val="single" w:sz="4" w:space="0" w:color="auto"/>
              <w:bottom w:val="single" w:sz="4" w:space="0" w:color="auto"/>
              <w:right w:val="single" w:sz="4" w:space="0" w:color="auto"/>
            </w:tcBorders>
            <w:hideMark/>
          </w:tcPr>
          <w:p w14:paraId="0EC17786"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0.214</w:t>
            </w:r>
          </w:p>
        </w:tc>
        <w:tc>
          <w:tcPr>
            <w:tcW w:w="0" w:type="auto"/>
            <w:tcBorders>
              <w:top w:val="single" w:sz="4" w:space="0" w:color="auto"/>
              <w:left w:val="single" w:sz="4" w:space="0" w:color="auto"/>
              <w:bottom w:val="single" w:sz="4" w:space="0" w:color="auto"/>
              <w:right w:val="single" w:sz="4" w:space="0" w:color="auto"/>
            </w:tcBorders>
            <w:hideMark/>
          </w:tcPr>
          <w:p w14:paraId="2F130FD2"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0.248</w:t>
            </w:r>
          </w:p>
        </w:tc>
        <w:tc>
          <w:tcPr>
            <w:tcW w:w="0" w:type="auto"/>
            <w:tcBorders>
              <w:top w:val="single" w:sz="4" w:space="0" w:color="auto"/>
              <w:left w:val="single" w:sz="4" w:space="0" w:color="auto"/>
              <w:bottom w:val="single" w:sz="4" w:space="0" w:color="auto"/>
              <w:right w:val="single" w:sz="4" w:space="0" w:color="auto"/>
            </w:tcBorders>
            <w:hideMark/>
          </w:tcPr>
          <w:p w14:paraId="0952B15A"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4.312</w:t>
            </w:r>
          </w:p>
        </w:tc>
        <w:tc>
          <w:tcPr>
            <w:tcW w:w="0" w:type="auto"/>
            <w:tcBorders>
              <w:top w:val="single" w:sz="4" w:space="0" w:color="auto"/>
              <w:left w:val="single" w:sz="4" w:space="0" w:color="auto"/>
              <w:bottom w:val="single" w:sz="4" w:space="0" w:color="auto"/>
              <w:right w:val="single" w:sz="4" w:space="0" w:color="auto"/>
            </w:tcBorders>
            <w:hideMark/>
          </w:tcPr>
          <w:p w14:paraId="446A76CD"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0.000</w:t>
            </w:r>
          </w:p>
        </w:tc>
      </w:tr>
      <w:tr w:rsidR="00342B3E" w:rsidRPr="00342B3E" w14:paraId="0AD62782" w14:textId="77777777">
        <w:tc>
          <w:tcPr>
            <w:tcW w:w="0" w:type="auto"/>
            <w:tcBorders>
              <w:top w:val="single" w:sz="4" w:space="0" w:color="auto"/>
              <w:left w:val="single" w:sz="4" w:space="0" w:color="auto"/>
              <w:bottom w:val="single" w:sz="4" w:space="0" w:color="auto"/>
              <w:right w:val="single" w:sz="4" w:space="0" w:color="auto"/>
            </w:tcBorders>
            <w:hideMark/>
          </w:tcPr>
          <w:p w14:paraId="4E4D27B7"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rtl/>
                <w:lang w:val="en-US"/>
              </w:rPr>
              <w:t>مشاركة المعرفة</w:t>
            </w:r>
          </w:p>
        </w:tc>
        <w:tc>
          <w:tcPr>
            <w:tcW w:w="0" w:type="auto"/>
            <w:tcBorders>
              <w:top w:val="single" w:sz="4" w:space="0" w:color="auto"/>
              <w:left w:val="single" w:sz="4" w:space="0" w:color="auto"/>
              <w:bottom w:val="single" w:sz="4" w:space="0" w:color="auto"/>
              <w:right w:val="single" w:sz="4" w:space="0" w:color="auto"/>
            </w:tcBorders>
            <w:hideMark/>
          </w:tcPr>
          <w:p w14:paraId="00F96C3B"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0.281</w:t>
            </w:r>
          </w:p>
        </w:tc>
        <w:tc>
          <w:tcPr>
            <w:tcW w:w="0" w:type="auto"/>
            <w:tcBorders>
              <w:top w:val="single" w:sz="4" w:space="0" w:color="auto"/>
              <w:left w:val="single" w:sz="4" w:space="0" w:color="auto"/>
              <w:bottom w:val="single" w:sz="4" w:space="0" w:color="auto"/>
              <w:right w:val="single" w:sz="4" w:space="0" w:color="auto"/>
            </w:tcBorders>
            <w:hideMark/>
          </w:tcPr>
          <w:p w14:paraId="7BB9B140"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0.336</w:t>
            </w:r>
          </w:p>
        </w:tc>
        <w:tc>
          <w:tcPr>
            <w:tcW w:w="0" w:type="auto"/>
            <w:tcBorders>
              <w:top w:val="single" w:sz="4" w:space="0" w:color="auto"/>
              <w:left w:val="single" w:sz="4" w:space="0" w:color="auto"/>
              <w:bottom w:val="single" w:sz="4" w:space="0" w:color="auto"/>
              <w:right w:val="single" w:sz="4" w:space="0" w:color="auto"/>
            </w:tcBorders>
            <w:hideMark/>
          </w:tcPr>
          <w:p w14:paraId="1DD1EFB2"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5.871</w:t>
            </w:r>
          </w:p>
        </w:tc>
        <w:tc>
          <w:tcPr>
            <w:tcW w:w="0" w:type="auto"/>
            <w:tcBorders>
              <w:top w:val="single" w:sz="4" w:space="0" w:color="auto"/>
              <w:left w:val="single" w:sz="4" w:space="0" w:color="auto"/>
              <w:bottom w:val="single" w:sz="4" w:space="0" w:color="auto"/>
              <w:right w:val="single" w:sz="4" w:space="0" w:color="auto"/>
            </w:tcBorders>
            <w:hideMark/>
          </w:tcPr>
          <w:p w14:paraId="19E54008"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0.000</w:t>
            </w:r>
          </w:p>
        </w:tc>
      </w:tr>
      <w:tr w:rsidR="00342B3E" w:rsidRPr="00342B3E" w14:paraId="67541405" w14:textId="77777777">
        <w:tc>
          <w:tcPr>
            <w:tcW w:w="0" w:type="auto"/>
            <w:tcBorders>
              <w:top w:val="single" w:sz="4" w:space="0" w:color="auto"/>
              <w:left w:val="single" w:sz="4" w:space="0" w:color="auto"/>
              <w:bottom w:val="single" w:sz="4" w:space="0" w:color="auto"/>
              <w:right w:val="single" w:sz="4" w:space="0" w:color="auto"/>
            </w:tcBorders>
            <w:hideMark/>
          </w:tcPr>
          <w:p w14:paraId="54B66D55"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rtl/>
                <w:lang w:val="en-US"/>
              </w:rPr>
              <w:t>تطبيق المعرفة</w:t>
            </w:r>
          </w:p>
        </w:tc>
        <w:tc>
          <w:tcPr>
            <w:tcW w:w="0" w:type="auto"/>
            <w:tcBorders>
              <w:top w:val="single" w:sz="4" w:space="0" w:color="auto"/>
              <w:left w:val="single" w:sz="4" w:space="0" w:color="auto"/>
              <w:bottom w:val="single" w:sz="4" w:space="0" w:color="auto"/>
              <w:right w:val="single" w:sz="4" w:space="0" w:color="auto"/>
            </w:tcBorders>
            <w:hideMark/>
          </w:tcPr>
          <w:p w14:paraId="758D3E2D"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0.193</w:t>
            </w:r>
          </w:p>
        </w:tc>
        <w:tc>
          <w:tcPr>
            <w:tcW w:w="0" w:type="auto"/>
            <w:tcBorders>
              <w:top w:val="single" w:sz="4" w:space="0" w:color="auto"/>
              <w:left w:val="single" w:sz="4" w:space="0" w:color="auto"/>
              <w:bottom w:val="single" w:sz="4" w:space="0" w:color="auto"/>
              <w:right w:val="single" w:sz="4" w:space="0" w:color="auto"/>
            </w:tcBorders>
            <w:hideMark/>
          </w:tcPr>
          <w:p w14:paraId="46973E8E"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0.221</w:t>
            </w:r>
          </w:p>
        </w:tc>
        <w:tc>
          <w:tcPr>
            <w:tcW w:w="0" w:type="auto"/>
            <w:tcBorders>
              <w:top w:val="single" w:sz="4" w:space="0" w:color="auto"/>
              <w:left w:val="single" w:sz="4" w:space="0" w:color="auto"/>
              <w:bottom w:val="single" w:sz="4" w:space="0" w:color="auto"/>
              <w:right w:val="single" w:sz="4" w:space="0" w:color="auto"/>
            </w:tcBorders>
            <w:hideMark/>
          </w:tcPr>
          <w:p w14:paraId="3347B151"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3.954</w:t>
            </w:r>
          </w:p>
        </w:tc>
        <w:tc>
          <w:tcPr>
            <w:tcW w:w="0" w:type="auto"/>
            <w:tcBorders>
              <w:top w:val="single" w:sz="4" w:space="0" w:color="auto"/>
              <w:left w:val="single" w:sz="4" w:space="0" w:color="auto"/>
              <w:bottom w:val="single" w:sz="4" w:space="0" w:color="auto"/>
              <w:right w:val="single" w:sz="4" w:space="0" w:color="auto"/>
            </w:tcBorders>
            <w:hideMark/>
          </w:tcPr>
          <w:p w14:paraId="606A4132"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0.000</w:t>
            </w:r>
          </w:p>
        </w:tc>
      </w:tr>
      <w:tr w:rsidR="00342B3E" w:rsidRPr="00342B3E" w14:paraId="193FE665" w14:textId="77777777">
        <w:tc>
          <w:tcPr>
            <w:tcW w:w="0" w:type="auto"/>
            <w:gridSpan w:val="5"/>
            <w:tcBorders>
              <w:top w:val="single" w:sz="4" w:space="0" w:color="auto"/>
              <w:left w:val="single" w:sz="4" w:space="0" w:color="auto"/>
              <w:bottom w:val="single" w:sz="4" w:space="0" w:color="auto"/>
              <w:right w:val="single" w:sz="4" w:space="0" w:color="auto"/>
            </w:tcBorders>
            <w:hideMark/>
          </w:tcPr>
          <w:p w14:paraId="1F91037F"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b/>
                <w:bCs/>
                <w:sz w:val="28"/>
                <w:szCs w:val="28"/>
                <w:rtl/>
                <w:lang w:val="en-US"/>
              </w:rPr>
              <w:t>إحصاءات النموذج</w:t>
            </w:r>
          </w:p>
        </w:tc>
      </w:tr>
      <w:tr w:rsidR="00342B3E" w:rsidRPr="00342B3E" w14:paraId="7325525A" w14:textId="77777777">
        <w:tc>
          <w:tcPr>
            <w:tcW w:w="0" w:type="auto"/>
            <w:tcBorders>
              <w:top w:val="single" w:sz="4" w:space="0" w:color="auto"/>
              <w:left w:val="single" w:sz="4" w:space="0" w:color="auto"/>
              <w:bottom w:val="single" w:sz="4" w:space="0" w:color="auto"/>
              <w:right w:val="single" w:sz="4" w:space="0" w:color="auto"/>
            </w:tcBorders>
            <w:hideMark/>
          </w:tcPr>
          <w:p w14:paraId="43768091"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R = 0.742</w:t>
            </w:r>
          </w:p>
        </w:tc>
        <w:tc>
          <w:tcPr>
            <w:tcW w:w="0" w:type="auto"/>
            <w:tcBorders>
              <w:top w:val="single" w:sz="4" w:space="0" w:color="auto"/>
              <w:left w:val="single" w:sz="4" w:space="0" w:color="auto"/>
              <w:bottom w:val="single" w:sz="4" w:space="0" w:color="auto"/>
              <w:right w:val="single" w:sz="4" w:space="0" w:color="auto"/>
            </w:tcBorders>
            <w:hideMark/>
          </w:tcPr>
          <w:p w14:paraId="342F0648"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R² = 0.551</w:t>
            </w:r>
          </w:p>
        </w:tc>
        <w:tc>
          <w:tcPr>
            <w:tcW w:w="0" w:type="auto"/>
            <w:tcBorders>
              <w:top w:val="single" w:sz="4" w:space="0" w:color="auto"/>
              <w:left w:val="single" w:sz="4" w:space="0" w:color="auto"/>
              <w:bottom w:val="single" w:sz="4" w:space="0" w:color="auto"/>
              <w:right w:val="single" w:sz="4" w:space="0" w:color="auto"/>
            </w:tcBorders>
            <w:hideMark/>
          </w:tcPr>
          <w:p w14:paraId="0B10B633"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Adjusted R² = 0.547</w:t>
            </w:r>
          </w:p>
        </w:tc>
        <w:tc>
          <w:tcPr>
            <w:tcW w:w="0" w:type="auto"/>
            <w:tcBorders>
              <w:top w:val="single" w:sz="4" w:space="0" w:color="auto"/>
              <w:left w:val="single" w:sz="4" w:space="0" w:color="auto"/>
              <w:bottom w:val="single" w:sz="4" w:space="0" w:color="auto"/>
              <w:right w:val="single" w:sz="4" w:space="0" w:color="auto"/>
            </w:tcBorders>
            <w:hideMark/>
          </w:tcPr>
          <w:p w14:paraId="1B2A854B"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F = 125.684</w:t>
            </w:r>
          </w:p>
        </w:tc>
        <w:tc>
          <w:tcPr>
            <w:tcW w:w="0" w:type="auto"/>
            <w:tcBorders>
              <w:top w:val="single" w:sz="4" w:space="0" w:color="auto"/>
              <w:left w:val="single" w:sz="4" w:space="0" w:color="auto"/>
              <w:bottom w:val="single" w:sz="4" w:space="0" w:color="auto"/>
              <w:right w:val="single" w:sz="4" w:space="0" w:color="auto"/>
            </w:tcBorders>
            <w:hideMark/>
          </w:tcPr>
          <w:p w14:paraId="49483BA7"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Sig. = 0.000</w:t>
            </w:r>
          </w:p>
        </w:tc>
      </w:tr>
    </w:tbl>
    <w:p w14:paraId="79D53AF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المصدر: إعداد الباحث بالاعتماد على نتائج التحليل الإحصائي (</w:t>
      </w:r>
      <w:r w:rsidRPr="00342B3E">
        <w:rPr>
          <w:rFonts w:ascii="Traditional Arabic" w:eastAsia="Calibri" w:hAnsi="Traditional Arabic" w:cs="Traditional Arabic"/>
          <w:sz w:val="32"/>
          <w:szCs w:val="32"/>
          <w:lang w:val="en-US"/>
        </w:rPr>
        <w:t>SPSS</w:t>
      </w:r>
      <w:r w:rsidRPr="00342B3E">
        <w:rPr>
          <w:rFonts w:ascii="Traditional Arabic" w:eastAsia="Calibri" w:hAnsi="Traditional Arabic" w:cs="Traditional Arabic"/>
          <w:sz w:val="32"/>
          <w:szCs w:val="32"/>
          <w:rtl/>
          <w:lang w:val="en-US"/>
        </w:rPr>
        <w:t>).</w:t>
      </w:r>
    </w:p>
    <w:p w14:paraId="0444ABC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rtl/>
          <w:lang w:val="en-US" w:bidi="ar-AE"/>
        </w:rPr>
      </w:pPr>
    </w:p>
    <w:p w14:paraId="597F40EB"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يتضح من نتائج جدول (4-8) أن نموذج الانحدار الخطي المتعدد يتمتع بدرجة عالية من الملاءمة الإحصائية، حيث بلغ معامل الارتباط المتعدد (</w:t>
      </w:r>
      <w:r w:rsidRPr="00342B3E">
        <w:rPr>
          <w:rFonts w:ascii="Traditional Arabic" w:eastAsia="Calibri" w:hAnsi="Traditional Arabic" w:cs="Traditional Arabic"/>
          <w:sz w:val="32"/>
          <w:szCs w:val="32"/>
          <w:lang w:val="en-US"/>
        </w:rPr>
        <w:t>R</w:t>
      </w:r>
      <w:r w:rsidRPr="00342B3E">
        <w:rPr>
          <w:rFonts w:ascii="Traditional Arabic" w:eastAsia="Calibri" w:hAnsi="Traditional Arabic" w:cs="Traditional Arabic"/>
          <w:sz w:val="32"/>
          <w:szCs w:val="32"/>
          <w:rtl/>
          <w:lang w:val="en-US"/>
        </w:rPr>
        <w:t xml:space="preserve">) </w:t>
      </w:r>
      <w:r w:rsidRPr="00342B3E">
        <w:rPr>
          <w:rFonts w:ascii="Traditional Arabic" w:eastAsia="Calibri" w:hAnsi="Traditional Arabic" w:cs="Traditional Arabic"/>
          <w:sz w:val="32"/>
          <w:szCs w:val="32"/>
          <w:lang w:val="en-US"/>
        </w:rPr>
        <w:t xml:space="preserve"> 0.742</w:t>
      </w:r>
      <w:r w:rsidRPr="00342B3E">
        <w:rPr>
          <w:rFonts w:ascii="Traditional Arabic" w:eastAsia="Calibri" w:hAnsi="Traditional Arabic" w:cs="Traditional Arabic"/>
          <w:sz w:val="32"/>
          <w:szCs w:val="32"/>
          <w:rtl/>
          <w:lang w:val="en-US"/>
        </w:rPr>
        <w:t>، مما يشير إلى وجود علاقة ارتباط قوية بين إدارة المعرفة بأبعادها وأداء العاملين. كما بلغ معامل التحديد (</w:t>
      </w:r>
      <w:r w:rsidRPr="00342B3E">
        <w:rPr>
          <w:rFonts w:ascii="Traditional Arabic" w:eastAsia="Calibri" w:hAnsi="Traditional Arabic" w:cs="Traditional Arabic"/>
          <w:sz w:val="32"/>
          <w:szCs w:val="32"/>
          <w:lang w:val="en-US"/>
        </w:rPr>
        <w:t>R²</w:t>
      </w:r>
      <w:r w:rsidRPr="00342B3E">
        <w:rPr>
          <w:rFonts w:ascii="Traditional Arabic" w:eastAsia="Calibri" w:hAnsi="Traditional Arabic" w:cs="Traditional Arabic"/>
          <w:sz w:val="32"/>
          <w:szCs w:val="32"/>
          <w:rtl/>
          <w:lang w:val="en-US"/>
        </w:rPr>
        <w:t xml:space="preserve">) </w:t>
      </w:r>
      <w:r w:rsidRPr="00342B3E">
        <w:rPr>
          <w:rFonts w:ascii="Traditional Arabic" w:eastAsia="Calibri" w:hAnsi="Traditional Arabic" w:cs="Traditional Arabic"/>
          <w:sz w:val="32"/>
          <w:szCs w:val="32"/>
          <w:lang w:val="en-US"/>
        </w:rPr>
        <w:t xml:space="preserve"> 0.551</w:t>
      </w:r>
      <w:r w:rsidRPr="00342B3E">
        <w:rPr>
          <w:rFonts w:ascii="Traditional Arabic" w:eastAsia="Calibri" w:hAnsi="Traditional Arabic" w:cs="Traditional Arabic"/>
          <w:sz w:val="32"/>
          <w:szCs w:val="32"/>
          <w:rtl/>
          <w:lang w:val="en-US"/>
        </w:rPr>
        <w:t>، وهو ما يعني أن إدارة المعرفة تفسر ما نسبته 55.1% من التباين في أداء العاملين، بينما تعزى النسبة المتبقية والبالغة 44.9% إلى عوامل أخرى لم تتناولها الدراسة الحالية.</w:t>
      </w:r>
    </w:p>
    <w:p w14:paraId="01EA5DBA"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كما أظهرت النتائج أن قيمة اختبار (</w:t>
      </w:r>
      <w:r w:rsidRPr="00342B3E">
        <w:rPr>
          <w:rFonts w:ascii="Traditional Arabic" w:eastAsia="Calibri" w:hAnsi="Traditional Arabic" w:cs="Traditional Arabic"/>
          <w:sz w:val="32"/>
          <w:szCs w:val="32"/>
          <w:lang w:val="en-US"/>
        </w:rPr>
        <w:t>F</w:t>
      </w:r>
      <w:r w:rsidRPr="00342B3E">
        <w:rPr>
          <w:rFonts w:ascii="Traditional Arabic" w:eastAsia="Calibri" w:hAnsi="Traditional Arabic" w:cs="Traditional Arabic"/>
          <w:sz w:val="32"/>
          <w:szCs w:val="32"/>
          <w:rtl/>
          <w:lang w:val="en-US"/>
        </w:rPr>
        <w:t>) بلغت 125.684 عند مستوى دلالة إحصائية (</w:t>
      </w:r>
      <w:r w:rsidRPr="00342B3E">
        <w:rPr>
          <w:rFonts w:ascii="Traditional Arabic" w:eastAsia="Calibri" w:hAnsi="Traditional Arabic" w:cs="Traditional Arabic"/>
          <w:sz w:val="32"/>
          <w:szCs w:val="32"/>
          <w:lang w:val="en-US"/>
        </w:rPr>
        <w:t>Sig.=0.000</w:t>
      </w:r>
      <w:r w:rsidRPr="00342B3E">
        <w:rPr>
          <w:rFonts w:ascii="Traditional Arabic" w:eastAsia="Calibri" w:hAnsi="Traditional Arabic" w:cs="Traditional Arabic"/>
          <w:sz w:val="32"/>
          <w:szCs w:val="32"/>
          <w:rtl/>
          <w:lang w:val="en-US"/>
        </w:rPr>
        <w:t>)، وهي أقل من مستوى الدلالة المعتمد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 مما يدل على معنوية نموذج الانحدار وصلاحيته في تفسير أثر إدارة المعرفة في تحسين أداء العاملين.</w:t>
      </w:r>
    </w:p>
    <w:p w14:paraId="171A60B2"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أما فيما يتعلق بأبعاد إدارة المعرفة، فقد تبين أن جميع الأبعاد كان لها أثر إيجابي ودال إحصائيًا في تحسين أداء العاملين، إذ جاء بعد مشاركة المعرفة في المرتبة الأولى من حيث قوة التأثير، حيث بلغ معامل التأثير المعياري</w:t>
      </w:r>
      <w:r w:rsidRPr="00342B3E">
        <w:rPr>
          <w:rFonts w:ascii="Traditional Arabic" w:eastAsia="Calibri" w:hAnsi="Traditional Arabic" w:cs="Traditional Arabic"/>
          <w:sz w:val="32"/>
          <w:szCs w:val="32"/>
          <w:lang w:val="en-US" w:bidi="ar-AE"/>
        </w:rPr>
        <w:t xml:space="preserve"> (Beta </w:t>
      </w:r>
      <w:r w:rsidRPr="00342B3E">
        <w:rPr>
          <w:rFonts w:ascii="Traditional Arabic" w:eastAsia="Calibri" w:hAnsi="Traditional Arabic" w:cs="Traditional Arabic"/>
          <w:sz w:val="32"/>
          <w:szCs w:val="32"/>
          <w:lang w:val="en-US" w:bidi="ar-AE"/>
        </w:rPr>
        <w:lastRenderedPageBreak/>
        <w:t>= 0.336)</w:t>
      </w:r>
      <w:r w:rsidRPr="00342B3E">
        <w:rPr>
          <w:rFonts w:ascii="Traditional Arabic" w:eastAsia="Calibri" w:hAnsi="Traditional Arabic" w:cs="Traditional Arabic"/>
          <w:sz w:val="32"/>
          <w:szCs w:val="32"/>
          <w:rtl/>
          <w:lang w:val="en-US"/>
        </w:rPr>
        <w:t xml:space="preserve">، تلاه بعد اكتساب المعرفة </w:t>
      </w:r>
      <w:r w:rsidRPr="00342B3E">
        <w:rPr>
          <w:rFonts w:ascii="Traditional Arabic" w:eastAsia="Calibri" w:hAnsi="Traditional Arabic" w:cs="Traditional Arabic"/>
          <w:sz w:val="32"/>
          <w:szCs w:val="32"/>
          <w:lang w:val="en-US" w:bidi="ar-AE"/>
        </w:rPr>
        <w:t>(Beta = 0.248)</w:t>
      </w:r>
      <w:r w:rsidRPr="00342B3E">
        <w:rPr>
          <w:rFonts w:ascii="Traditional Arabic" w:eastAsia="Calibri" w:hAnsi="Traditional Arabic" w:cs="Traditional Arabic"/>
          <w:sz w:val="32"/>
          <w:szCs w:val="32"/>
          <w:rtl/>
          <w:lang w:val="en-US"/>
        </w:rPr>
        <w:t>، ثم بعد تطبيق المعرفة (</w:t>
      </w:r>
      <w:r w:rsidRPr="00342B3E">
        <w:rPr>
          <w:rFonts w:ascii="Traditional Arabic" w:eastAsia="Calibri" w:hAnsi="Traditional Arabic" w:cs="Traditional Arabic"/>
          <w:sz w:val="32"/>
          <w:szCs w:val="32"/>
          <w:lang w:val="en-US"/>
        </w:rPr>
        <w:t>Beta = 0.221</w:t>
      </w:r>
      <w:r w:rsidRPr="00342B3E">
        <w:rPr>
          <w:rFonts w:ascii="Traditional Arabic" w:eastAsia="Calibri" w:hAnsi="Traditional Arabic" w:cs="Traditional Arabic"/>
          <w:sz w:val="32"/>
          <w:szCs w:val="32"/>
          <w:rtl/>
          <w:lang w:val="en-US"/>
        </w:rPr>
        <w:t>). وتشير هذه النتائج إلى أن تعزيز تبادل المعرفة والخبرات بين العاملين يسهم بدرجة أكبر في تحسين الأداء مقارنة ببعدي اكتساب المعرفة وتطبيقها، مع بقاء الأبعاد الثلاثة ذات تأثير معنوي في المتغير التابع</w:t>
      </w:r>
      <w:r w:rsidRPr="00342B3E">
        <w:rPr>
          <w:rFonts w:ascii="Traditional Arabic" w:eastAsia="Calibri" w:hAnsi="Traditional Arabic" w:cs="Traditional Arabic"/>
          <w:sz w:val="32"/>
          <w:szCs w:val="32"/>
          <w:lang w:val="en-US" w:bidi="ar-AE"/>
        </w:rPr>
        <w:t>.</w:t>
      </w:r>
    </w:p>
    <w:p w14:paraId="69FC4203"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وبناءً على النتائج السابقة، يتم رفض الفرضية العدمية</w:t>
      </w:r>
      <w:r w:rsidRPr="00342B3E">
        <w:rPr>
          <w:rFonts w:ascii="Traditional Arabic" w:eastAsia="Calibri" w:hAnsi="Traditional Arabic" w:cs="Traditional Arabic"/>
          <w:sz w:val="32"/>
          <w:szCs w:val="32"/>
          <w:lang w:val="en-US" w:bidi="ar-AE"/>
        </w:rPr>
        <w:t xml:space="preserve"> (H</w:t>
      </w:r>
      <w:r w:rsidRPr="00342B3E">
        <w:rPr>
          <w:rFonts w:ascii="Times New Roman" w:eastAsia="Calibri" w:hAnsi="Times New Roman" w:cs="Times New Roman"/>
          <w:sz w:val="32"/>
          <w:szCs w:val="32"/>
          <w:lang w:val="en-US" w:bidi="ar-AE"/>
        </w:rPr>
        <w:t>₀</w:t>
      </w:r>
      <w:r w:rsidRPr="00342B3E">
        <w:rPr>
          <w:rFonts w:ascii="Traditional Arabic" w:eastAsia="Calibri" w:hAnsi="Traditional Arabic" w:cs="Traditional Arabic"/>
          <w:sz w:val="32"/>
          <w:szCs w:val="32"/>
          <w:lang w:val="en-US" w:bidi="ar-AE"/>
        </w:rPr>
        <w:t xml:space="preserve">) </w:t>
      </w:r>
      <w:r w:rsidRPr="00342B3E">
        <w:rPr>
          <w:rFonts w:ascii="Traditional Arabic" w:eastAsia="Calibri" w:hAnsi="Traditional Arabic" w:cs="Traditional Arabic"/>
          <w:sz w:val="32"/>
          <w:szCs w:val="32"/>
          <w:rtl/>
          <w:lang w:val="en-US"/>
        </w:rPr>
        <w:t>وقبول الفرضية البديلة التي تنص على وجود أثر ذي دلالة إحصائية عند مستوى الدلالة</w:t>
      </w:r>
      <w:r w:rsidRPr="00342B3E">
        <w:rPr>
          <w:rFonts w:ascii="Traditional Arabic" w:eastAsia="Calibri" w:hAnsi="Traditional Arabic" w:cs="Traditional Arabic"/>
          <w:sz w:val="32"/>
          <w:szCs w:val="32"/>
          <w:lang w:val="en-US" w:bidi="ar-AE"/>
        </w:rPr>
        <w:t xml:space="preserve"> (</w:t>
      </w:r>
      <w:r w:rsidRPr="00342B3E">
        <w:rPr>
          <w:rFonts w:ascii="Times New Roman" w:eastAsia="Calibri" w:hAnsi="Times New Roman" w:cs="Times New Roman"/>
          <w:sz w:val="32"/>
          <w:szCs w:val="32"/>
          <w:lang w:val="en-US" w:bidi="ar-AE"/>
        </w:rPr>
        <w:t>α</w:t>
      </w:r>
      <w:r w:rsidRPr="00342B3E">
        <w:rPr>
          <w:rFonts w:ascii="Traditional Arabic" w:eastAsia="Calibri" w:hAnsi="Traditional Arabic" w:cs="Traditional Arabic"/>
          <w:sz w:val="32"/>
          <w:szCs w:val="32"/>
          <w:lang w:val="en-US" w:bidi="ar-AE"/>
        </w:rPr>
        <w:t xml:space="preserve"> </w:t>
      </w:r>
      <w:r w:rsidRPr="00342B3E">
        <w:rPr>
          <w:rFonts w:ascii="Times New Roman" w:eastAsia="Calibri" w:hAnsi="Times New Roman" w:cs="Times New Roman"/>
          <w:sz w:val="32"/>
          <w:szCs w:val="32"/>
          <w:lang w:val="en-US" w:bidi="ar-AE"/>
        </w:rPr>
        <w:t>≤</w:t>
      </w:r>
      <w:r w:rsidRPr="00342B3E">
        <w:rPr>
          <w:rFonts w:ascii="Traditional Arabic" w:eastAsia="Calibri" w:hAnsi="Traditional Arabic" w:cs="Traditional Arabic"/>
          <w:sz w:val="32"/>
          <w:szCs w:val="32"/>
          <w:lang w:val="en-US" w:bidi="ar-AE"/>
        </w:rPr>
        <w:t xml:space="preserve"> 0.05) </w:t>
      </w:r>
      <w:r w:rsidRPr="00342B3E">
        <w:rPr>
          <w:rFonts w:ascii="Traditional Arabic" w:eastAsia="Calibri" w:hAnsi="Traditional Arabic" w:cs="Traditional Arabic"/>
          <w:sz w:val="32"/>
          <w:szCs w:val="32"/>
          <w:rtl/>
          <w:lang w:val="en-US"/>
        </w:rPr>
        <w:t>لإدارة المعرفة بأبعادها في تحسين أداء العاملين في شركة موبايلي السعودية للاتصالات</w:t>
      </w:r>
      <w:r w:rsidRPr="00342B3E">
        <w:rPr>
          <w:rFonts w:ascii="Traditional Arabic" w:eastAsia="Calibri" w:hAnsi="Traditional Arabic" w:cs="Traditional Arabic"/>
          <w:sz w:val="32"/>
          <w:szCs w:val="32"/>
          <w:lang w:val="en-US" w:bidi="ar-AE"/>
        </w:rPr>
        <w:t>.</w:t>
      </w:r>
    </w:p>
    <w:p w14:paraId="0D7D6A86"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وتتفق هذه النتيجة مع الإطار النظري للدراسة الذي يؤكد أن إدارة المعرفة تمثل أحد الموارد الإستراتيجية التي تسهم في رفع كفاءة الأداء المؤسسي من خلال توفير المعرفة المناسبة، وتبادلها، وتطبيقها في مختلف العمليات التنظيمية. كما تتفق مع نتائج العديد من الدراسات السابقة التي أشارت إلى أن تطبيق ممارسات إدارة المعرفة يؤدي إلى تحسين الأداء الوظيفي وزيادة كفاءة العاملين، وإن اختلفت قوة تأثير كل بعد باختلاف طبيعة المنظمة وبيئة العمل</w:t>
      </w:r>
      <w:r w:rsidRPr="00342B3E">
        <w:rPr>
          <w:rFonts w:ascii="Traditional Arabic" w:eastAsia="Calibri" w:hAnsi="Traditional Arabic" w:cs="Traditional Arabic"/>
          <w:sz w:val="32"/>
          <w:szCs w:val="32"/>
          <w:lang w:val="en-US" w:bidi="ar-AE"/>
        </w:rPr>
        <w:t>.</w:t>
      </w:r>
    </w:p>
    <w:p w14:paraId="1F6C4CB5"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ويمكن تفسير هذه النتيجة بطبيعة عمل شركة موبايلي التي تعتمد بصورة كبيرة على المعرفة الفنية والتقنية وسرعة تداول المعلومات بين الإدارات المختلفة، الأمر الذي يجعل مشاركة المعرفة عاملاً أكثر تأثيرًا في تحسين الأداء، بينما يتطلب تطبيق المعرفة توافر إجراءات تنظيمية وأنظمة داعمة لتحويل المعرفة إلى ممارسات عملية، وهو ما يفسر انخفاض قوة تأثيره نسبيًا مقارنة ببعدي مشاركة المعرفة واكتسابها</w:t>
      </w:r>
      <w:r w:rsidRPr="00342B3E">
        <w:rPr>
          <w:rFonts w:ascii="Traditional Arabic" w:eastAsia="Calibri" w:hAnsi="Traditional Arabic" w:cs="Traditional Arabic"/>
          <w:sz w:val="32"/>
          <w:szCs w:val="32"/>
          <w:lang w:val="en-US" w:bidi="ar-AE"/>
        </w:rPr>
        <w:t>.</w:t>
      </w:r>
    </w:p>
    <w:p w14:paraId="18C76DCF"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 xml:space="preserve">وتنسجم هذه النتيجة مع الإطار النظري للدراسة الذي يؤكد أن إدارة المعرفة تمثل موردًا إستراتيجيًا يسهم في تحسين أداء العاملين من خلال تعزيز اكتساب المعرفة، ومشاركتها، وتطبيقها في بيئة العمل. كما تتفق مع عدد من الدراسات السابقة التي أثبتت وجود أثر إيجابي لإدارة المعرفة في تحسين الأداء الوظيفي، وهو ما يمكن تفسيره بتشابه الأساس </w:t>
      </w:r>
      <w:r w:rsidRPr="00342B3E">
        <w:rPr>
          <w:rFonts w:ascii="Traditional Arabic" w:eastAsia="Calibri" w:hAnsi="Traditional Arabic" w:cs="Traditional Arabic"/>
          <w:sz w:val="32"/>
          <w:szCs w:val="32"/>
          <w:rtl/>
          <w:lang w:val="en-US"/>
        </w:rPr>
        <w:lastRenderedPageBreak/>
        <w:t>النظري الذي انطلقت منه تلك الدراسات، واعتمادها على بيئات تنظيمية تتطلب الاستفادة من المعرفة في دعم الأداء المؤسسي. وفي المقابل، فإن أي اختلاف في قوة التأثير بين الدراسة الحالية والدراسات السابقة قد يُعزى إلى اختلاف طبيعة قطاع الدراسة، أو خصائص العينة، أو البيئة التنظيمية، أو أدوات القياس المستخدمة</w:t>
      </w:r>
      <w:r w:rsidRPr="00342B3E">
        <w:rPr>
          <w:rFonts w:ascii="Traditional Arabic" w:eastAsia="Calibri" w:hAnsi="Traditional Arabic" w:cs="Traditional Arabic"/>
          <w:sz w:val="32"/>
          <w:szCs w:val="32"/>
          <w:lang w:val="en-US" w:bidi="ar-AE"/>
        </w:rPr>
        <w:t>.</w:t>
      </w:r>
    </w:p>
    <w:p w14:paraId="35CC5E90"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وتضيف الدراسة الحالية إلى الأدبيات السابقة من خلال تحليل أثر ممارسات إدارة المعرفة في قطاع الاتصالات السعودي، مع بيان أثرها ليس فقط في الأداء الكلي للعاملين، وإنما أيضًا في كل بعد من أبعاد الأداء بصورة مستقلة، الأمر الذي يوفر فهمًا أكثر شمولًا للعلاقة بين إدارة المعرفة والأداء الوظيفي، ويعزز القيمة التطبيقية لنتائج الدراسة</w:t>
      </w:r>
      <w:r w:rsidRPr="00342B3E">
        <w:rPr>
          <w:rFonts w:ascii="Traditional Arabic" w:eastAsia="Calibri" w:hAnsi="Traditional Arabic" w:cs="Traditional Arabic"/>
          <w:sz w:val="32"/>
          <w:szCs w:val="32"/>
          <w:lang w:val="en-US" w:bidi="ar-AE"/>
        </w:rPr>
        <w:t>.</w:t>
      </w:r>
    </w:p>
    <w:p w14:paraId="7C549546"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p>
    <w:p w14:paraId="53EF8BE6"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p>
    <w:p w14:paraId="27D6DEEE"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bidi="ar-AE"/>
        </w:rPr>
        <w:t>4.5.2 اختبار الفرضية الفرعية الأولى</w:t>
      </w:r>
    </w:p>
    <w:p w14:paraId="79332B45"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تنص الفرضية الفرعية الأولى على ما يأتي</w:t>
      </w:r>
      <w:r w:rsidRPr="00342B3E">
        <w:rPr>
          <w:rFonts w:ascii="Traditional Arabic" w:eastAsia="Calibri" w:hAnsi="Traditional Arabic" w:cs="Traditional Arabic"/>
          <w:sz w:val="32"/>
          <w:szCs w:val="32"/>
          <w:lang w:val="en-US" w:bidi="ar-AE"/>
        </w:rPr>
        <w:t>:</w:t>
      </w:r>
    </w:p>
    <w:p w14:paraId="3B0FFBF7"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H1.1</w:t>
      </w:r>
      <w:r w:rsidRPr="00342B3E">
        <w:rPr>
          <w:rFonts w:ascii="Traditional Arabic" w:eastAsia="Calibri" w:hAnsi="Traditional Arabic" w:cs="Traditional Arabic"/>
          <w:sz w:val="32"/>
          <w:szCs w:val="32"/>
          <w:rtl/>
          <w:lang w:val="en-US" w:bidi="ar-AE"/>
        </w:rPr>
        <w:t>: يوجد أثر ذو دلالة إحصائية عند مستوى الدلالة (</w:t>
      </w:r>
      <w:r w:rsidRPr="00342B3E">
        <w:rPr>
          <w:rFonts w:ascii="Times New Roman" w:eastAsia="Calibri" w:hAnsi="Times New Roman" w:cs="Times New Roman"/>
          <w:sz w:val="32"/>
          <w:szCs w:val="32"/>
          <w:lang w:val="en-US" w:bidi="ar-AE"/>
        </w:rPr>
        <w:t>α</w:t>
      </w:r>
      <w:r w:rsidRPr="00342B3E">
        <w:rPr>
          <w:rFonts w:ascii="Traditional Arabic" w:eastAsia="Calibri" w:hAnsi="Traditional Arabic" w:cs="Traditional Arabic"/>
          <w:sz w:val="32"/>
          <w:szCs w:val="32"/>
          <w:lang w:val="en-US" w:bidi="ar-AE"/>
        </w:rPr>
        <w:t xml:space="preserve"> </w:t>
      </w:r>
      <w:r w:rsidRPr="00342B3E">
        <w:rPr>
          <w:rFonts w:ascii="Times New Roman" w:eastAsia="Calibri" w:hAnsi="Times New Roman" w:cs="Times New Roman"/>
          <w:sz w:val="32"/>
          <w:szCs w:val="32"/>
          <w:lang w:val="en-US" w:bidi="ar-AE"/>
        </w:rPr>
        <w:t>≤</w:t>
      </w:r>
      <w:r w:rsidRPr="00342B3E">
        <w:rPr>
          <w:rFonts w:ascii="Traditional Arabic" w:eastAsia="Calibri" w:hAnsi="Traditional Arabic" w:cs="Traditional Arabic"/>
          <w:sz w:val="32"/>
          <w:szCs w:val="32"/>
          <w:lang w:val="en-US" w:bidi="ar-AE"/>
        </w:rPr>
        <w:t xml:space="preserve"> 0.05</w:t>
      </w:r>
      <w:r w:rsidRPr="00342B3E">
        <w:rPr>
          <w:rFonts w:ascii="Traditional Arabic" w:eastAsia="Calibri" w:hAnsi="Traditional Arabic" w:cs="Traditional Arabic"/>
          <w:sz w:val="32"/>
          <w:szCs w:val="32"/>
          <w:rtl/>
          <w:lang w:val="en-US" w:bidi="ar-AE"/>
        </w:rPr>
        <w:t>) لممارسات إدارة المعرفة مجتمعة (اكتساب المعرفة، ومشاركة المعرفة، وتطبيق المعرفة) على الكفاءة الوظيفية للعاملين في شركة موبايلي السعودية للاتصالات.</w:t>
      </w:r>
    </w:p>
    <w:p w14:paraId="6F41FCFB"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ولاختبار هذه الفرضية، تم استخدام تحليل الانحدار الخطي المتعدد، وكانت النتائج كما هي موضحة في جدول (4-9).</w:t>
      </w:r>
    </w:p>
    <w:p w14:paraId="5193299C" w14:textId="77777777" w:rsidR="00342B3E" w:rsidRPr="00342B3E" w:rsidRDefault="00342B3E" w:rsidP="00342B3E">
      <w:pPr>
        <w:bidi/>
        <w:spacing w:after="0" w:line="240" w:lineRule="auto"/>
        <w:jc w:val="center"/>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جدول (4-9) نتائج تحليل الانحدار الخطي المتعدد لأثر ممارسات إدارة المعرفة في الكفاءة الوظيفية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0"/>
        <w:gridCol w:w="1418"/>
        <w:gridCol w:w="2461"/>
        <w:gridCol w:w="1395"/>
        <w:gridCol w:w="1529"/>
      </w:tblGrid>
      <w:tr w:rsidR="00342B3E" w:rsidRPr="00342B3E" w14:paraId="1B4C4931" w14:textId="77777777">
        <w:tc>
          <w:tcPr>
            <w:tcW w:w="0" w:type="auto"/>
            <w:tcBorders>
              <w:top w:val="single" w:sz="4" w:space="0" w:color="auto"/>
              <w:left w:val="single" w:sz="4" w:space="0" w:color="auto"/>
              <w:bottom w:val="single" w:sz="4" w:space="0" w:color="auto"/>
              <w:right w:val="single" w:sz="4" w:space="0" w:color="auto"/>
            </w:tcBorders>
            <w:hideMark/>
          </w:tcPr>
          <w:p w14:paraId="15B02C67"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المتغيرات المستقلة</w:t>
            </w:r>
          </w:p>
        </w:tc>
        <w:tc>
          <w:tcPr>
            <w:tcW w:w="0" w:type="auto"/>
            <w:tcBorders>
              <w:top w:val="single" w:sz="4" w:space="0" w:color="auto"/>
              <w:left w:val="single" w:sz="4" w:space="0" w:color="auto"/>
              <w:bottom w:val="single" w:sz="4" w:space="0" w:color="auto"/>
              <w:right w:val="single" w:sz="4" w:space="0" w:color="auto"/>
            </w:tcBorders>
            <w:hideMark/>
          </w:tcPr>
          <w:p w14:paraId="22A42005"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B</w:t>
            </w:r>
          </w:p>
        </w:tc>
        <w:tc>
          <w:tcPr>
            <w:tcW w:w="0" w:type="auto"/>
            <w:tcBorders>
              <w:top w:val="single" w:sz="4" w:space="0" w:color="auto"/>
              <w:left w:val="single" w:sz="4" w:space="0" w:color="auto"/>
              <w:bottom w:val="single" w:sz="4" w:space="0" w:color="auto"/>
              <w:right w:val="single" w:sz="4" w:space="0" w:color="auto"/>
            </w:tcBorders>
            <w:hideMark/>
          </w:tcPr>
          <w:p w14:paraId="0D6D26ED"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Beta</w:t>
            </w:r>
          </w:p>
        </w:tc>
        <w:tc>
          <w:tcPr>
            <w:tcW w:w="0" w:type="auto"/>
            <w:tcBorders>
              <w:top w:val="single" w:sz="4" w:space="0" w:color="auto"/>
              <w:left w:val="single" w:sz="4" w:space="0" w:color="auto"/>
              <w:bottom w:val="single" w:sz="4" w:space="0" w:color="auto"/>
              <w:right w:val="single" w:sz="4" w:space="0" w:color="auto"/>
            </w:tcBorders>
            <w:hideMark/>
          </w:tcPr>
          <w:p w14:paraId="2F7B1409"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t</w:t>
            </w:r>
          </w:p>
        </w:tc>
        <w:tc>
          <w:tcPr>
            <w:tcW w:w="0" w:type="auto"/>
            <w:tcBorders>
              <w:top w:val="single" w:sz="4" w:space="0" w:color="auto"/>
              <w:left w:val="single" w:sz="4" w:space="0" w:color="auto"/>
              <w:bottom w:val="single" w:sz="4" w:space="0" w:color="auto"/>
              <w:right w:val="single" w:sz="4" w:space="0" w:color="auto"/>
            </w:tcBorders>
            <w:hideMark/>
          </w:tcPr>
          <w:p w14:paraId="1FBC711E"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Sig.</w:t>
            </w:r>
          </w:p>
        </w:tc>
      </w:tr>
      <w:tr w:rsidR="00342B3E" w:rsidRPr="00342B3E" w14:paraId="32418CDB" w14:textId="77777777">
        <w:tc>
          <w:tcPr>
            <w:tcW w:w="0" w:type="auto"/>
            <w:tcBorders>
              <w:top w:val="single" w:sz="4" w:space="0" w:color="auto"/>
              <w:left w:val="single" w:sz="4" w:space="0" w:color="auto"/>
              <w:bottom w:val="single" w:sz="4" w:space="0" w:color="auto"/>
              <w:right w:val="single" w:sz="4" w:space="0" w:color="auto"/>
            </w:tcBorders>
            <w:hideMark/>
          </w:tcPr>
          <w:p w14:paraId="58A0A69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lastRenderedPageBreak/>
              <w:t>اكتساب المعرفة</w:t>
            </w:r>
          </w:p>
        </w:tc>
        <w:tc>
          <w:tcPr>
            <w:tcW w:w="0" w:type="auto"/>
            <w:tcBorders>
              <w:top w:val="single" w:sz="4" w:space="0" w:color="auto"/>
              <w:left w:val="single" w:sz="4" w:space="0" w:color="auto"/>
              <w:bottom w:val="single" w:sz="4" w:space="0" w:color="auto"/>
              <w:right w:val="single" w:sz="4" w:space="0" w:color="auto"/>
            </w:tcBorders>
            <w:hideMark/>
          </w:tcPr>
          <w:p w14:paraId="26245EE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0.231</w:t>
            </w:r>
          </w:p>
        </w:tc>
        <w:tc>
          <w:tcPr>
            <w:tcW w:w="0" w:type="auto"/>
            <w:tcBorders>
              <w:top w:val="single" w:sz="4" w:space="0" w:color="auto"/>
              <w:left w:val="single" w:sz="4" w:space="0" w:color="auto"/>
              <w:bottom w:val="single" w:sz="4" w:space="0" w:color="auto"/>
              <w:right w:val="single" w:sz="4" w:space="0" w:color="auto"/>
            </w:tcBorders>
            <w:hideMark/>
          </w:tcPr>
          <w:p w14:paraId="5C5A830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0.261</w:t>
            </w:r>
          </w:p>
        </w:tc>
        <w:tc>
          <w:tcPr>
            <w:tcW w:w="0" w:type="auto"/>
            <w:tcBorders>
              <w:top w:val="single" w:sz="4" w:space="0" w:color="auto"/>
              <w:left w:val="single" w:sz="4" w:space="0" w:color="auto"/>
              <w:bottom w:val="single" w:sz="4" w:space="0" w:color="auto"/>
              <w:right w:val="single" w:sz="4" w:space="0" w:color="auto"/>
            </w:tcBorders>
            <w:hideMark/>
          </w:tcPr>
          <w:p w14:paraId="1761E16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4.586</w:t>
            </w:r>
          </w:p>
        </w:tc>
        <w:tc>
          <w:tcPr>
            <w:tcW w:w="0" w:type="auto"/>
            <w:tcBorders>
              <w:top w:val="single" w:sz="4" w:space="0" w:color="auto"/>
              <w:left w:val="single" w:sz="4" w:space="0" w:color="auto"/>
              <w:bottom w:val="single" w:sz="4" w:space="0" w:color="auto"/>
              <w:right w:val="single" w:sz="4" w:space="0" w:color="auto"/>
            </w:tcBorders>
            <w:hideMark/>
          </w:tcPr>
          <w:p w14:paraId="21115DA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0.000</w:t>
            </w:r>
          </w:p>
        </w:tc>
      </w:tr>
      <w:tr w:rsidR="00342B3E" w:rsidRPr="00342B3E" w14:paraId="65A9AB28" w14:textId="77777777">
        <w:tc>
          <w:tcPr>
            <w:tcW w:w="0" w:type="auto"/>
            <w:tcBorders>
              <w:top w:val="single" w:sz="4" w:space="0" w:color="auto"/>
              <w:left w:val="single" w:sz="4" w:space="0" w:color="auto"/>
              <w:bottom w:val="single" w:sz="4" w:space="0" w:color="auto"/>
              <w:right w:val="single" w:sz="4" w:space="0" w:color="auto"/>
            </w:tcBorders>
            <w:hideMark/>
          </w:tcPr>
          <w:p w14:paraId="17C57D36"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مشاركة المعرفة</w:t>
            </w:r>
          </w:p>
        </w:tc>
        <w:tc>
          <w:tcPr>
            <w:tcW w:w="0" w:type="auto"/>
            <w:tcBorders>
              <w:top w:val="single" w:sz="4" w:space="0" w:color="auto"/>
              <w:left w:val="single" w:sz="4" w:space="0" w:color="auto"/>
              <w:bottom w:val="single" w:sz="4" w:space="0" w:color="auto"/>
              <w:right w:val="single" w:sz="4" w:space="0" w:color="auto"/>
            </w:tcBorders>
            <w:hideMark/>
          </w:tcPr>
          <w:p w14:paraId="0E61375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0.317</w:t>
            </w:r>
          </w:p>
        </w:tc>
        <w:tc>
          <w:tcPr>
            <w:tcW w:w="0" w:type="auto"/>
            <w:tcBorders>
              <w:top w:val="single" w:sz="4" w:space="0" w:color="auto"/>
              <w:left w:val="single" w:sz="4" w:space="0" w:color="auto"/>
              <w:bottom w:val="single" w:sz="4" w:space="0" w:color="auto"/>
              <w:right w:val="single" w:sz="4" w:space="0" w:color="auto"/>
            </w:tcBorders>
            <w:hideMark/>
          </w:tcPr>
          <w:p w14:paraId="4293E8D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0.359</w:t>
            </w:r>
          </w:p>
        </w:tc>
        <w:tc>
          <w:tcPr>
            <w:tcW w:w="0" w:type="auto"/>
            <w:tcBorders>
              <w:top w:val="single" w:sz="4" w:space="0" w:color="auto"/>
              <w:left w:val="single" w:sz="4" w:space="0" w:color="auto"/>
              <w:bottom w:val="single" w:sz="4" w:space="0" w:color="auto"/>
              <w:right w:val="single" w:sz="4" w:space="0" w:color="auto"/>
            </w:tcBorders>
            <w:hideMark/>
          </w:tcPr>
          <w:p w14:paraId="3F57F50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6.144</w:t>
            </w:r>
          </w:p>
        </w:tc>
        <w:tc>
          <w:tcPr>
            <w:tcW w:w="0" w:type="auto"/>
            <w:tcBorders>
              <w:top w:val="single" w:sz="4" w:space="0" w:color="auto"/>
              <w:left w:val="single" w:sz="4" w:space="0" w:color="auto"/>
              <w:bottom w:val="single" w:sz="4" w:space="0" w:color="auto"/>
              <w:right w:val="single" w:sz="4" w:space="0" w:color="auto"/>
            </w:tcBorders>
            <w:hideMark/>
          </w:tcPr>
          <w:p w14:paraId="2C5F78C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0.000</w:t>
            </w:r>
          </w:p>
        </w:tc>
      </w:tr>
      <w:tr w:rsidR="00342B3E" w:rsidRPr="00342B3E" w14:paraId="32D463F2" w14:textId="77777777">
        <w:tc>
          <w:tcPr>
            <w:tcW w:w="0" w:type="auto"/>
            <w:tcBorders>
              <w:top w:val="single" w:sz="4" w:space="0" w:color="auto"/>
              <w:left w:val="single" w:sz="4" w:space="0" w:color="auto"/>
              <w:bottom w:val="single" w:sz="4" w:space="0" w:color="auto"/>
              <w:right w:val="single" w:sz="4" w:space="0" w:color="auto"/>
            </w:tcBorders>
            <w:hideMark/>
          </w:tcPr>
          <w:p w14:paraId="39180C3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تطبيق المعرفة</w:t>
            </w:r>
          </w:p>
        </w:tc>
        <w:tc>
          <w:tcPr>
            <w:tcW w:w="0" w:type="auto"/>
            <w:tcBorders>
              <w:top w:val="single" w:sz="4" w:space="0" w:color="auto"/>
              <w:left w:val="single" w:sz="4" w:space="0" w:color="auto"/>
              <w:bottom w:val="single" w:sz="4" w:space="0" w:color="auto"/>
              <w:right w:val="single" w:sz="4" w:space="0" w:color="auto"/>
            </w:tcBorders>
            <w:hideMark/>
          </w:tcPr>
          <w:p w14:paraId="6A98E53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0.168</w:t>
            </w:r>
          </w:p>
        </w:tc>
        <w:tc>
          <w:tcPr>
            <w:tcW w:w="0" w:type="auto"/>
            <w:tcBorders>
              <w:top w:val="single" w:sz="4" w:space="0" w:color="auto"/>
              <w:left w:val="single" w:sz="4" w:space="0" w:color="auto"/>
              <w:bottom w:val="single" w:sz="4" w:space="0" w:color="auto"/>
              <w:right w:val="single" w:sz="4" w:space="0" w:color="auto"/>
            </w:tcBorders>
            <w:hideMark/>
          </w:tcPr>
          <w:p w14:paraId="069EE71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0.194</w:t>
            </w:r>
          </w:p>
        </w:tc>
        <w:tc>
          <w:tcPr>
            <w:tcW w:w="0" w:type="auto"/>
            <w:tcBorders>
              <w:top w:val="single" w:sz="4" w:space="0" w:color="auto"/>
              <w:left w:val="single" w:sz="4" w:space="0" w:color="auto"/>
              <w:bottom w:val="single" w:sz="4" w:space="0" w:color="auto"/>
              <w:right w:val="single" w:sz="4" w:space="0" w:color="auto"/>
            </w:tcBorders>
            <w:hideMark/>
          </w:tcPr>
          <w:p w14:paraId="191360D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3.512</w:t>
            </w:r>
          </w:p>
        </w:tc>
        <w:tc>
          <w:tcPr>
            <w:tcW w:w="0" w:type="auto"/>
            <w:tcBorders>
              <w:top w:val="single" w:sz="4" w:space="0" w:color="auto"/>
              <w:left w:val="single" w:sz="4" w:space="0" w:color="auto"/>
              <w:bottom w:val="single" w:sz="4" w:space="0" w:color="auto"/>
              <w:right w:val="single" w:sz="4" w:space="0" w:color="auto"/>
            </w:tcBorders>
            <w:hideMark/>
          </w:tcPr>
          <w:p w14:paraId="17765CD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0.001</w:t>
            </w:r>
          </w:p>
        </w:tc>
      </w:tr>
      <w:tr w:rsidR="00342B3E" w:rsidRPr="00342B3E" w14:paraId="57C391D2" w14:textId="77777777">
        <w:tc>
          <w:tcPr>
            <w:tcW w:w="0" w:type="auto"/>
            <w:gridSpan w:val="5"/>
            <w:tcBorders>
              <w:top w:val="single" w:sz="4" w:space="0" w:color="auto"/>
              <w:left w:val="single" w:sz="4" w:space="0" w:color="auto"/>
              <w:bottom w:val="single" w:sz="4" w:space="0" w:color="auto"/>
              <w:right w:val="single" w:sz="4" w:space="0" w:color="auto"/>
            </w:tcBorders>
            <w:hideMark/>
          </w:tcPr>
          <w:p w14:paraId="190B0B77"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إحصاءات النموذج</w:t>
            </w:r>
          </w:p>
        </w:tc>
      </w:tr>
      <w:tr w:rsidR="00342B3E" w:rsidRPr="00342B3E" w14:paraId="4128ADC6" w14:textId="77777777">
        <w:tc>
          <w:tcPr>
            <w:tcW w:w="0" w:type="auto"/>
            <w:tcBorders>
              <w:top w:val="single" w:sz="4" w:space="0" w:color="auto"/>
              <w:left w:val="single" w:sz="4" w:space="0" w:color="auto"/>
              <w:bottom w:val="single" w:sz="4" w:space="0" w:color="auto"/>
              <w:right w:val="single" w:sz="4" w:space="0" w:color="auto"/>
            </w:tcBorders>
            <w:hideMark/>
          </w:tcPr>
          <w:p w14:paraId="04BE0AF8"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R = 0.701</w:t>
            </w:r>
          </w:p>
        </w:tc>
        <w:tc>
          <w:tcPr>
            <w:tcW w:w="0" w:type="auto"/>
            <w:tcBorders>
              <w:top w:val="single" w:sz="4" w:space="0" w:color="auto"/>
              <w:left w:val="single" w:sz="4" w:space="0" w:color="auto"/>
              <w:bottom w:val="single" w:sz="4" w:space="0" w:color="auto"/>
              <w:right w:val="single" w:sz="4" w:space="0" w:color="auto"/>
            </w:tcBorders>
            <w:hideMark/>
          </w:tcPr>
          <w:p w14:paraId="09B7923B"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R² = 0.491</w:t>
            </w:r>
          </w:p>
        </w:tc>
        <w:tc>
          <w:tcPr>
            <w:tcW w:w="0" w:type="auto"/>
            <w:tcBorders>
              <w:top w:val="single" w:sz="4" w:space="0" w:color="auto"/>
              <w:left w:val="single" w:sz="4" w:space="0" w:color="auto"/>
              <w:bottom w:val="single" w:sz="4" w:space="0" w:color="auto"/>
              <w:right w:val="single" w:sz="4" w:space="0" w:color="auto"/>
            </w:tcBorders>
            <w:hideMark/>
          </w:tcPr>
          <w:p w14:paraId="62719582"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Adjusted R² = 0.486</w:t>
            </w:r>
          </w:p>
        </w:tc>
        <w:tc>
          <w:tcPr>
            <w:tcW w:w="0" w:type="auto"/>
            <w:tcBorders>
              <w:top w:val="single" w:sz="4" w:space="0" w:color="auto"/>
              <w:left w:val="single" w:sz="4" w:space="0" w:color="auto"/>
              <w:bottom w:val="single" w:sz="4" w:space="0" w:color="auto"/>
              <w:right w:val="single" w:sz="4" w:space="0" w:color="auto"/>
            </w:tcBorders>
            <w:hideMark/>
          </w:tcPr>
          <w:p w14:paraId="3A817F48"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F = 99.234</w:t>
            </w:r>
          </w:p>
        </w:tc>
        <w:tc>
          <w:tcPr>
            <w:tcW w:w="0" w:type="auto"/>
            <w:tcBorders>
              <w:top w:val="single" w:sz="4" w:space="0" w:color="auto"/>
              <w:left w:val="single" w:sz="4" w:space="0" w:color="auto"/>
              <w:bottom w:val="single" w:sz="4" w:space="0" w:color="auto"/>
              <w:right w:val="single" w:sz="4" w:space="0" w:color="auto"/>
            </w:tcBorders>
            <w:hideMark/>
          </w:tcPr>
          <w:p w14:paraId="14FCCBF2"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Sig. = 0.000</w:t>
            </w:r>
          </w:p>
        </w:tc>
      </w:tr>
    </w:tbl>
    <w:p w14:paraId="509F5AD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المصدر: إعداد الباحث بالاعتماد على نتائج التحليل الإحصائي (</w:t>
      </w:r>
      <w:r w:rsidRPr="00342B3E">
        <w:rPr>
          <w:rFonts w:ascii="Traditional Arabic" w:eastAsia="Calibri" w:hAnsi="Traditional Arabic" w:cs="Traditional Arabic"/>
          <w:sz w:val="32"/>
          <w:szCs w:val="32"/>
          <w:lang w:val="en-US"/>
        </w:rPr>
        <w:t>SPSS</w:t>
      </w:r>
      <w:r w:rsidRPr="00342B3E">
        <w:rPr>
          <w:rFonts w:ascii="Traditional Arabic" w:eastAsia="Calibri" w:hAnsi="Traditional Arabic" w:cs="Traditional Arabic"/>
          <w:sz w:val="32"/>
          <w:szCs w:val="32"/>
          <w:rtl/>
          <w:lang w:val="en-US"/>
        </w:rPr>
        <w:t>).</w:t>
      </w:r>
    </w:p>
    <w:p w14:paraId="0C6E03F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rtl/>
          <w:lang w:val="en-US" w:bidi="ar-AE"/>
        </w:rPr>
      </w:pPr>
    </w:p>
    <w:p w14:paraId="739AE43B"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يتضح من نتائج جدول (4-9) أن معامل الارتباط المتعدد</w:t>
      </w:r>
      <w:r w:rsidRPr="00342B3E">
        <w:rPr>
          <w:rFonts w:ascii="Traditional Arabic" w:eastAsia="Calibri" w:hAnsi="Traditional Arabic" w:cs="Traditional Arabic"/>
          <w:sz w:val="32"/>
          <w:szCs w:val="32"/>
          <w:lang w:val="en-US" w:bidi="ar-AE"/>
        </w:rPr>
        <w:t xml:space="preserve"> (R) </w:t>
      </w:r>
      <w:r w:rsidRPr="00342B3E">
        <w:rPr>
          <w:rFonts w:ascii="Traditional Arabic" w:eastAsia="Calibri" w:hAnsi="Traditional Arabic" w:cs="Traditional Arabic"/>
          <w:sz w:val="32"/>
          <w:szCs w:val="32"/>
          <w:rtl/>
          <w:lang w:val="en-US"/>
        </w:rPr>
        <w:t xml:space="preserve">بلغ </w:t>
      </w:r>
      <w:r w:rsidRPr="00342B3E">
        <w:rPr>
          <w:rFonts w:ascii="Traditional Arabic" w:eastAsia="Calibri" w:hAnsi="Traditional Arabic" w:cs="Traditional Arabic"/>
          <w:sz w:val="32"/>
          <w:szCs w:val="32"/>
          <w:lang w:val="en-US" w:bidi="ar-AE"/>
        </w:rPr>
        <w:t>0.701</w:t>
      </w:r>
      <w:r w:rsidRPr="00342B3E">
        <w:rPr>
          <w:rFonts w:ascii="Traditional Arabic" w:eastAsia="Calibri" w:hAnsi="Traditional Arabic" w:cs="Traditional Arabic"/>
          <w:sz w:val="32"/>
          <w:szCs w:val="32"/>
          <w:rtl/>
          <w:lang w:val="en-US"/>
        </w:rPr>
        <w:t>، مما يشير إلى وجود علاقة ارتباط إيجابية قوية بين ممارسات إدارة المعرفة والكفاءة الوظيفية للعاملين. كما بلغ معامل التحديد</w:t>
      </w:r>
      <w:r w:rsidRPr="00342B3E">
        <w:rPr>
          <w:rFonts w:ascii="Traditional Arabic" w:eastAsia="Calibri" w:hAnsi="Traditional Arabic" w:cs="Traditional Arabic"/>
          <w:sz w:val="32"/>
          <w:szCs w:val="32"/>
          <w:lang w:val="en-US" w:bidi="ar-AE"/>
        </w:rPr>
        <w:t xml:space="preserve"> (R²) 0.491</w:t>
      </w:r>
      <w:r w:rsidRPr="00342B3E">
        <w:rPr>
          <w:rFonts w:ascii="Traditional Arabic" w:eastAsia="Calibri" w:hAnsi="Traditional Arabic" w:cs="Traditional Arabic"/>
          <w:sz w:val="32"/>
          <w:szCs w:val="32"/>
          <w:rtl/>
          <w:lang w:val="en-US"/>
        </w:rPr>
        <w:t xml:space="preserve">، وهو ما يعني أن ممارسات إدارة المعرفة تفسر ما نسبته </w:t>
      </w:r>
      <w:r w:rsidRPr="00342B3E">
        <w:rPr>
          <w:rFonts w:ascii="Traditional Arabic" w:eastAsia="Calibri" w:hAnsi="Traditional Arabic" w:cs="Traditional Arabic"/>
          <w:sz w:val="32"/>
          <w:szCs w:val="32"/>
          <w:lang w:val="en-US" w:bidi="ar-AE"/>
        </w:rPr>
        <w:t xml:space="preserve">49.1% </w:t>
      </w:r>
      <w:r w:rsidRPr="00342B3E">
        <w:rPr>
          <w:rFonts w:ascii="Traditional Arabic" w:eastAsia="Calibri" w:hAnsi="Traditional Arabic" w:cs="Traditional Arabic"/>
          <w:sz w:val="32"/>
          <w:szCs w:val="32"/>
          <w:rtl/>
          <w:lang w:val="en-US"/>
        </w:rPr>
        <w:t>من التباين في الكفاءة الوظيفية، بينما تعزى النسبة المتبقية إلى عوامل أخرى لم تتناولها الدراسة</w:t>
      </w:r>
      <w:r w:rsidRPr="00342B3E">
        <w:rPr>
          <w:rFonts w:ascii="Traditional Arabic" w:eastAsia="Calibri" w:hAnsi="Traditional Arabic" w:cs="Traditional Arabic"/>
          <w:sz w:val="32"/>
          <w:szCs w:val="32"/>
          <w:lang w:val="en-US" w:bidi="ar-AE"/>
        </w:rPr>
        <w:t>.</w:t>
      </w:r>
    </w:p>
    <w:p w14:paraId="1832B2E8"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كما أظهرت النتائج أن قيمة اختبار</w:t>
      </w:r>
      <w:r w:rsidRPr="00342B3E">
        <w:rPr>
          <w:rFonts w:ascii="Traditional Arabic" w:eastAsia="Calibri" w:hAnsi="Traditional Arabic" w:cs="Traditional Arabic"/>
          <w:sz w:val="32"/>
          <w:szCs w:val="32"/>
          <w:lang w:val="en-US" w:bidi="ar-AE"/>
        </w:rPr>
        <w:t xml:space="preserve"> (F) </w:t>
      </w:r>
      <w:r w:rsidRPr="00342B3E">
        <w:rPr>
          <w:rFonts w:ascii="Traditional Arabic" w:eastAsia="Calibri" w:hAnsi="Traditional Arabic" w:cs="Traditional Arabic"/>
          <w:sz w:val="32"/>
          <w:szCs w:val="32"/>
          <w:rtl/>
          <w:lang w:val="en-US"/>
        </w:rPr>
        <w:t xml:space="preserve">بلغت </w:t>
      </w:r>
      <w:r w:rsidRPr="00342B3E">
        <w:rPr>
          <w:rFonts w:ascii="Traditional Arabic" w:eastAsia="Calibri" w:hAnsi="Traditional Arabic" w:cs="Traditional Arabic"/>
          <w:sz w:val="32"/>
          <w:szCs w:val="32"/>
          <w:lang w:val="en-US" w:bidi="ar-AE"/>
        </w:rPr>
        <w:t xml:space="preserve">99.234 </w:t>
      </w:r>
      <w:r w:rsidRPr="00342B3E">
        <w:rPr>
          <w:rFonts w:ascii="Traditional Arabic" w:eastAsia="Calibri" w:hAnsi="Traditional Arabic" w:cs="Traditional Arabic"/>
          <w:sz w:val="32"/>
          <w:szCs w:val="32"/>
          <w:rtl/>
          <w:lang w:val="en-US"/>
        </w:rPr>
        <w:t xml:space="preserve">عند مستوى دلالة إحصائية </w:t>
      </w:r>
      <w:r w:rsidRPr="00342B3E">
        <w:rPr>
          <w:rFonts w:ascii="Traditional Arabic" w:eastAsia="Calibri" w:hAnsi="Traditional Arabic" w:cs="Traditional Arabic"/>
          <w:sz w:val="32"/>
          <w:szCs w:val="32"/>
          <w:lang w:val="en-US" w:bidi="ar-AE"/>
        </w:rPr>
        <w:t>(Sig.=0.000)</w:t>
      </w:r>
      <w:r w:rsidRPr="00342B3E">
        <w:rPr>
          <w:rFonts w:ascii="Traditional Arabic" w:eastAsia="Calibri" w:hAnsi="Traditional Arabic" w:cs="Traditional Arabic"/>
          <w:sz w:val="32"/>
          <w:szCs w:val="32"/>
          <w:rtl/>
          <w:lang w:val="en-US"/>
        </w:rPr>
        <w:t>، مما يؤكد معنوية نموذج الانحدار وصلاحيته لتفسير أثر ممارسات إدارة المعرفة في الكفاءة الوظيفية</w:t>
      </w:r>
      <w:r w:rsidRPr="00342B3E">
        <w:rPr>
          <w:rFonts w:ascii="Traditional Arabic" w:eastAsia="Calibri" w:hAnsi="Traditional Arabic" w:cs="Traditional Arabic"/>
          <w:sz w:val="32"/>
          <w:szCs w:val="32"/>
          <w:lang w:val="en-US" w:bidi="ar-AE"/>
        </w:rPr>
        <w:t>.</w:t>
      </w:r>
    </w:p>
    <w:p w14:paraId="6C063157"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وعلى مستوى الأبعاد، تبين أن مشاركة المعرفة جاءت في المرتبة الأولى من حيث قوة التأثير</w:t>
      </w:r>
      <w:r w:rsidRPr="00342B3E">
        <w:rPr>
          <w:rFonts w:ascii="Traditional Arabic" w:eastAsia="Calibri" w:hAnsi="Traditional Arabic" w:cs="Traditional Arabic"/>
          <w:sz w:val="32"/>
          <w:szCs w:val="32"/>
          <w:lang w:val="en-US" w:bidi="ar-AE"/>
        </w:rPr>
        <w:t xml:space="preserve"> (Beta = 0.359)</w:t>
      </w:r>
      <w:r w:rsidRPr="00342B3E">
        <w:rPr>
          <w:rFonts w:ascii="Traditional Arabic" w:eastAsia="Calibri" w:hAnsi="Traditional Arabic" w:cs="Traditional Arabic"/>
          <w:sz w:val="32"/>
          <w:szCs w:val="32"/>
          <w:rtl/>
          <w:lang w:val="en-US"/>
        </w:rPr>
        <w:t xml:space="preserve">، تلتها اكتساب المعرفة </w:t>
      </w:r>
      <w:r w:rsidRPr="00342B3E">
        <w:rPr>
          <w:rFonts w:ascii="Traditional Arabic" w:eastAsia="Calibri" w:hAnsi="Traditional Arabic" w:cs="Traditional Arabic"/>
          <w:sz w:val="32"/>
          <w:szCs w:val="32"/>
          <w:lang w:val="en-US" w:bidi="ar-AE"/>
        </w:rPr>
        <w:t>(Beta = 0.261)</w:t>
      </w:r>
      <w:r w:rsidRPr="00342B3E">
        <w:rPr>
          <w:rFonts w:ascii="Traditional Arabic" w:eastAsia="Calibri" w:hAnsi="Traditional Arabic" w:cs="Traditional Arabic"/>
          <w:sz w:val="32"/>
          <w:szCs w:val="32"/>
          <w:rtl/>
          <w:lang w:val="en-US"/>
        </w:rPr>
        <w:t xml:space="preserve">، ثم تطبيق المعرفة </w:t>
      </w:r>
      <w:r w:rsidRPr="00342B3E">
        <w:rPr>
          <w:rFonts w:ascii="Traditional Arabic" w:eastAsia="Calibri" w:hAnsi="Traditional Arabic" w:cs="Traditional Arabic"/>
          <w:sz w:val="32"/>
          <w:szCs w:val="32"/>
          <w:lang w:val="en-US" w:bidi="ar-AE"/>
        </w:rPr>
        <w:t>(Beta = 0.194)</w:t>
      </w:r>
      <w:r w:rsidRPr="00342B3E">
        <w:rPr>
          <w:rFonts w:ascii="Traditional Arabic" w:eastAsia="Calibri" w:hAnsi="Traditional Arabic" w:cs="Traditional Arabic"/>
          <w:sz w:val="32"/>
          <w:szCs w:val="32"/>
          <w:rtl/>
          <w:lang w:val="en-US"/>
        </w:rPr>
        <w:t>، وجميعها ذات تأثير موجب ودال إحصائيًا</w:t>
      </w:r>
      <w:r w:rsidRPr="00342B3E">
        <w:rPr>
          <w:rFonts w:ascii="Traditional Arabic" w:eastAsia="Calibri" w:hAnsi="Traditional Arabic" w:cs="Traditional Arabic"/>
          <w:sz w:val="32"/>
          <w:szCs w:val="32"/>
          <w:lang w:val="en-US" w:bidi="ar-AE"/>
        </w:rPr>
        <w:t>.</w:t>
      </w:r>
    </w:p>
    <w:p w14:paraId="449FC640"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وبناءً على النتائج السابقة، تقبل الفرضية البديلة</w:t>
      </w:r>
      <w:r w:rsidRPr="00342B3E">
        <w:rPr>
          <w:rFonts w:ascii="Traditional Arabic" w:eastAsia="Calibri" w:hAnsi="Traditional Arabic" w:cs="Traditional Arabic"/>
          <w:sz w:val="32"/>
          <w:szCs w:val="32"/>
          <w:lang w:val="en-US" w:bidi="ar-AE"/>
        </w:rPr>
        <w:t xml:space="preserve"> (H1.1)</w:t>
      </w:r>
      <w:r w:rsidRPr="00342B3E">
        <w:rPr>
          <w:rFonts w:ascii="Traditional Arabic" w:eastAsia="Calibri" w:hAnsi="Traditional Arabic" w:cs="Traditional Arabic"/>
          <w:sz w:val="32"/>
          <w:szCs w:val="32"/>
          <w:rtl/>
          <w:lang w:val="en-US"/>
        </w:rPr>
        <w:t>، التي تنص على وجود أثر ذي دلالة إحصائية عند مستوى الدلالة</w:t>
      </w:r>
      <w:r w:rsidRPr="00342B3E">
        <w:rPr>
          <w:rFonts w:ascii="Traditional Arabic" w:eastAsia="Calibri" w:hAnsi="Traditional Arabic" w:cs="Traditional Arabic"/>
          <w:sz w:val="32"/>
          <w:szCs w:val="32"/>
          <w:lang w:val="en-US" w:bidi="ar-AE"/>
        </w:rPr>
        <w:t xml:space="preserve"> (</w:t>
      </w:r>
      <w:r w:rsidRPr="00342B3E">
        <w:rPr>
          <w:rFonts w:ascii="Times New Roman" w:eastAsia="Calibri" w:hAnsi="Times New Roman" w:cs="Times New Roman"/>
          <w:sz w:val="32"/>
          <w:szCs w:val="32"/>
          <w:lang w:val="en-US" w:bidi="ar-AE"/>
        </w:rPr>
        <w:t>α</w:t>
      </w:r>
      <w:r w:rsidRPr="00342B3E">
        <w:rPr>
          <w:rFonts w:ascii="Traditional Arabic" w:eastAsia="Calibri" w:hAnsi="Traditional Arabic" w:cs="Traditional Arabic"/>
          <w:sz w:val="32"/>
          <w:szCs w:val="32"/>
          <w:lang w:val="en-US" w:bidi="ar-AE"/>
        </w:rPr>
        <w:t xml:space="preserve"> </w:t>
      </w:r>
      <w:r w:rsidRPr="00342B3E">
        <w:rPr>
          <w:rFonts w:ascii="Times New Roman" w:eastAsia="Calibri" w:hAnsi="Times New Roman" w:cs="Times New Roman"/>
          <w:sz w:val="32"/>
          <w:szCs w:val="32"/>
          <w:lang w:val="en-US" w:bidi="ar-AE"/>
        </w:rPr>
        <w:t>≤</w:t>
      </w:r>
      <w:r w:rsidRPr="00342B3E">
        <w:rPr>
          <w:rFonts w:ascii="Traditional Arabic" w:eastAsia="Calibri" w:hAnsi="Traditional Arabic" w:cs="Traditional Arabic"/>
          <w:sz w:val="32"/>
          <w:szCs w:val="32"/>
          <w:lang w:val="en-US" w:bidi="ar-AE"/>
        </w:rPr>
        <w:t xml:space="preserve"> 0.05) </w:t>
      </w:r>
      <w:r w:rsidRPr="00342B3E">
        <w:rPr>
          <w:rFonts w:ascii="Traditional Arabic" w:eastAsia="Calibri" w:hAnsi="Traditional Arabic" w:cs="Traditional Arabic"/>
          <w:sz w:val="32"/>
          <w:szCs w:val="32"/>
          <w:rtl/>
          <w:lang w:val="en-US"/>
        </w:rPr>
        <w:t>لممارسات إدارة المعرفة مجتمعة في الكفاءة الوظيفية للعاملين في شركة موبايلي السعودية للاتصالات</w:t>
      </w:r>
      <w:r w:rsidRPr="00342B3E">
        <w:rPr>
          <w:rFonts w:ascii="Traditional Arabic" w:eastAsia="Calibri" w:hAnsi="Traditional Arabic" w:cs="Traditional Arabic"/>
          <w:sz w:val="32"/>
          <w:szCs w:val="32"/>
          <w:lang w:val="en-US" w:bidi="ar-AE"/>
        </w:rPr>
        <w:t>.</w:t>
      </w:r>
    </w:p>
    <w:p w14:paraId="4085519A"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lastRenderedPageBreak/>
        <w:t>وتشير هذه النتيجة إلى أن الكفاءة الوظيفية للعاملين ترتبط بصورة وثيقة بمدى قدرة المنظمة على اكتساب المعرفة، وتبادلها، وتطبيقها في بيئة العمل. فكلما تبنت الشركة ممارسات أكثر فاعلية لإدارة المعرفة، ارتفعت قدرة العاملين على إنجاز المهام بكفاءة، وتقليل الأخطاء، وتحسين جودة الأداء</w:t>
      </w:r>
      <w:r w:rsidRPr="00342B3E">
        <w:rPr>
          <w:rFonts w:ascii="Traditional Arabic" w:eastAsia="Calibri" w:hAnsi="Traditional Arabic" w:cs="Traditional Arabic"/>
          <w:sz w:val="32"/>
          <w:szCs w:val="32"/>
          <w:lang w:val="en-US" w:bidi="ar-AE"/>
        </w:rPr>
        <w:t>.</w:t>
      </w:r>
    </w:p>
    <w:p w14:paraId="55985E4E"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وتتفق هذه النتيجة مع الأدبيات التي تؤكد أن إدارة المعرفة تعد من أهم العوامل المؤثرة في رفع الكفاءة الوظيفية، كما تنسجم مع نتائج الدراسات السابقة التي بينت أن الاستثمار في المعرفة يسهم في تطوير قدرات العاملين وتحسين إنتاجيتهم. ويمكن تفسير هذه النتيجة بطبيعة عمل شركة موبايلي، التي تعتمد على المعرفة التقنية والإدارية في تنفيذ عملياتها اليومية، مما يجعل الكفاءة الوظيفية أكثر تأثرًا بمستوى إدارة المعرفة داخل الشركة</w:t>
      </w:r>
      <w:r w:rsidRPr="00342B3E">
        <w:rPr>
          <w:rFonts w:ascii="Traditional Arabic" w:eastAsia="Calibri" w:hAnsi="Traditional Arabic" w:cs="Traditional Arabic"/>
          <w:sz w:val="32"/>
          <w:szCs w:val="32"/>
          <w:lang w:val="en-US" w:bidi="ar-AE"/>
        </w:rPr>
        <w:t>.</w:t>
      </w:r>
    </w:p>
    <w:p w14:paraId="5166BC9D"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وتنسجم هذه النتيجة مع الإطار النظري للدراسة الذي يؤكد أن ممارسات إدارة المعرفة تسهم في رفع الكفاءة الوظيفية من خلال تمكين العاملين من الوصول إلى المعرفة المناسبة، وتبادل الخبرات، والاستفادة من المعرفة المتراكمة في تحسين جودة الأداء. كما تتفق هذه النتيجة مع عدد من الدراسات السابقة التي أشارت إلى وجود علاقة إيجابية بين إدارة المعرفة والكفاءة الوظيفية، ويمكن تفسير هذا الاتفاق بتشابه طبيعة المنظمات التي تعتمد على المعرفة في تطوير الأداء وتحسين الإنتاجية. أما الاختلاف في قوة التأثير بين الدراسة الحالية وبعض الدراسات السابقة، فقد يُعزى إلى اختلاف طبيعة القطاع، ومستوى نضج ممارسات إدارة المعرفة، وخصائص مجتمع الدراسة</w:t>
      </w:r>
      <w:r w:rsidRPr="00342B3E">
        <w:rPr>
          <w:rFonts w:ascii="Traditional Arabic" w:eastAsia="Calibri" w:hAnsi="Traditional Arabic" w:cs="Traditional Arabic"/>
          <w:sz w:val="32"/>
          <w:szCs w:val="32"/>
          <w:lang w:val="en-US" w:bidi="ar-AE"/>
        </w:rPr>
        <w:t>.</w:t>
      </w:r>
    </w:p>
    <w:p w14:paraId="6D5EAA8D"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وتبرز أهمية هذه النتيجة في أنها تؤكد أن تحسين الكفاءة الوظيفية لا يعتمد فقط على تطوير المهارات الفردية، وإنما يتطلب أيضًا إيجاد بيئة تنظيمية تشجع على اكتساب المعرفة ومشاركتها وتطبيقها بصورة مستمرة، الأمر الذي يسهم في رفع مستوى الأداء وتحقيق أهداف المنظمة بكفاءة وفاعلية</w:t>
      </w:r>
      <w:r w:rsidRPr="00342B3E">
        <w:rPr>
          <w:rFonts w:ascii="Traditional Arabic" w:eastAsia="Calibri" w:hAnsi="Traditional Arabic" w:cs="Traditional Arabic"/>
          <w:sz w:val="32"/>
          <w:szCs w:val="32"/>
          <w:lang w:val="en-US" w:bidi="ar-AE"/>
        </w:rPr>
        <w:t>.</w:t>
      </w:r>
    </w:p>
    <w:p w14:paraId="63C1C30E"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bidi="ar-AE"/>
        </w:rPr>
        <w:t>4.5.3 اختبار الفرضية الفرعية الثانية</w:t>
      </w:r>
    </w:p>
    <w:p w14:paraId="1B64D637"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lastRenderedPageBreak/>
        <w:t>تنص الفرضية الفرعية الثانية على ما يأتي</w:t>
      </w:r>
      <w:r w:rsidRPr="00342B3E">
        <w:rPr>
          <w:rFonts w:ascii="Traditional Arabic" w:eastAsia="Calibri" w:hAnsi="Traditional Arabic" w:cs="Traditional Arabic"/>
          <w:sz w:val="32"/>
          <w:szCs w:val="32"/>
          <w:lang w:val="en-US" w:bidi="ar-AE"/>
        </w:rPr>
        <w:t>:</w:t>
      </w:r>
    </w:p>
    <w:p w14:paraId="067AC590"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H1.2</w:t>
      </w:r>
      <w:r w:rsidRPr="00342B3E">
        <w:rPr>
          <w:rFonts w:ascii="Traditional Arabic" w:eastAsia="Calibri" w:hAnsi="Traditional Arabic" w:cs="Traditional Arabic"/>
          <w:sz w:val="32"/>
          <w:szCs w:val="32"/>
          <w:rtl/>
          <w:lang w:val="en-US" w:bidi="ar-AE"/>
        </w:rPr>
        <w:t>: يوجد أثر ذو دلالة إحصائية عند مستوى الدلالة (</w:t>
      </w:r>
      <w:r w:rsidRPr="00342B3E">
        <w:rPr>
          <w:rFonts w:ascii="Times New Roman" w:eastAsia="Calibri" w:hAnsi="Times New Roman" w:cs="Times New Roman"/>
          <w:sz w:val="32"/>
          <w:szCs w:val="32"/>
          <w:lang w:val="en-US" w:bidi="ar-AE"/>
        </w:rPr>
        <w:t>α</w:t>
      </w:r>
      <w:r w:rsidRPr="00342B3E">
        <w:rPr>
          <w:rFonts w:ascii="Traditional Arabic" w:eastAsia="Calibri" w:hAnsi="Traditional Arabic" w:cs="Traditional Arabic"/>
          <w:sz w:val="32"/>
          <w:szCs w:val="32"/>
          <w:lang w:val="en-US" w:bidi="ar-AE"/>
        </w:rPr>
        <w:t xml:space="preserve"> </w:t>
      </w:r>
      <w:r w:rsidRPr="00342B3E">
        <w:rPr>
          <w:rFonts w:ascii="Times New Roman" w:eastAsia="Calibri" w:hAnsi="Times New Roman" w:cs="Times New Roman"/>
          <w:sz w:val="32"/>
          <w:szCs w:val="32"/>
          <w:lang w:val="en-US" w:bidi="ar-AE"/>
        </w:rPr>
        <w:t>≤</w:t>
      </w:r>
      <w:r w:rsidRPr="00342B3E">
        <w:rPr>
          <w:rFonts w:ascii="Traditional Arabic" w:eastAsia="Calibri" w:hAnsi="Traditional Arabic" w:cs="Traditional Arabic"/>
          <w:sz w:val="32"/>
          <w:szCs w:val="32"/>
          <w:lang w:val="en-US" w:bidi="ar-AE"/>
        </w:rPr>
        <w:t xml:space="preserve"> 0.05</w:t>
      </w:r>
      <w:r w:rsidRPr="00342B3E">
        <w:rPr>
          <w:rFonts w:ascii="Traditional Arabic" w:eastAsia="Calibri" w:hAnsi="Traditional Arabic" w:cs="Traditional Arabic"/>
          <w:sz w:val="32"/>
          <w:szCs w:val="32"/>
          <w:rtl/>
          <w:lang w:val="en-US" w:bidi="ar-AE"/>
        </w:rPr>
        <w:t>) لممارسات إدارة المعرفة مجتمعة (اكتساب المعرفة، ومشاركة المعرفة، وتطبيق المعرفة) على الابتكار وحل المشكلات لدى العاملين في شركة موبايلي السعودية للاتصالات.</w:t>
      </w:r>
    </w:p>
    <w:p w14:paraId="2EF9E707"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ولاختبار هذه الفرضية، تم استخدام تحليل الانحدار الخطي المتعدد، وكانت النتائج كما هي موضحة في جدول (4-10).</w:t>
      </w:r>
    </w:p>
    <w:p w14:paraId="4420B67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جدول (4-10) نتائج تحليل الانحدار الخطي المتعدد لأثر ممارسات إدارة المعرفة في الابتكار وحل المشكلات</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5"/>
        <w:gridCol w:w="1572"/>
        <w:gridCol w:w="2727"/>
        <w:gridCol w:w="1699"/>
        <w:gridCol w:w="1693"/>
      </w:tblGrid>
      <w:tr w:rsidR="00342B3E" w:rsidRPr="00342B3E" w14:paraId="42F7A35E" w14:textId="77777777">
        <w:tc>
          <w:tcPr>
            <w:tcW w:w="984" w:type="pct"/>
            <w:tcBorders>
              <w:top w:val="single" w:sz="4" w:space="0" w:color="auto"/>
              <w:left w:val="single" w:sz="4" w:space="0" w:color="auto"/>
              <w:bottom w:val="single" w:sz="4" w:space="0" w:color="auto"/>
              <w:right w:val="single" w:sz="4" w:space="0" w:color="auto"/>
            </w:tcBorders>
            <w:hideMark/>
          </w:tcPr>
          <w:p w14:paraId="36057CB4"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المتغيرات المستقلة</w:t>
            </w:r>
          </w:p>
        </w:tc>
        <w:tc>
          <w:tcPr>
            <w:tcW w:w="821" w:type="pct"/>
            <w:tcBorders>
              <w:top w:val="single" w:sz="4" w:space="0" w:color="auto"/>
              <w:left w:val="single" w:sz="4" w:space="0" w:color="auto"/>
              <w:bottom w:val="single" w:sz="4" w:space="0" w:color="auto"/>
              <w:right w:val="single" w:sz="4" w:space="0" w:color="auto"/>
            </w:tcBorders>
            <w:hideMark/>
          </w:tcPr>
          <w:p w14:paraId="0B8DCE13"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B</w:t>
            </w:r>
          </w:p>
        </w:tc>
        <w:tc>
          <w:tcPr>
            <w:tcW w:w="1424" w:type="pct"/>
            <w:tcBorders>
              <w:top w:val="single" w:sz="4" w:space="0" w:color="auto"/>
              <w:left w:val="single" w:sz="4" w:space="0" w:color="auto"/>
              <w:bottom w:val="single" w:sz="4" w:space="0" w:color="auto"/>
              <w:right w:val="single" w:sz="4" w:space="0" w:color="auto"/>
            </w:tcBorders>
            <w:hideMark/>
          </w:tcPr>
          <w:p w14:paraId="5A2769B8"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Beta</w:t>
            </w:r>
          </w:p>
        </w:tc>
        <w:tc>
          <w:tcPr>
            <w:tcW w:w="887" w:type="pct"/>
            <w:tcBorders>
              <w:top w:val="single" w:sz="4" w:space="0" w:color="auto"/>
              <w:left w:val="single" w:sz="4" w:space="0" w:color="auto"/>
              <w:bottom w:val="single" w:sz="4" w:space="0" w:color="auto"/>
              <w:right w:val="single" w:sz="4" w:space="0" w:color="auto"/>
            </w:tcBorders>
            <w:hideMark/>
          </w:tcPr>
          <w:p w14:paraId="350FA83D"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t</w:t>
            </w:r>
          </w:p>
        </w:tc>
        <w:tc>
          <w:tcPr>
            <w:tcW w:w="885" w:type="pct"/>
            <w:tcBorders>
              <w:top w:val="single" w:sz="4" w:space="0" w:color="auto"/>
              <w:left w:val="single" w:sz="4" w:space="0" w:color="auto"/>
              <w:bottom w:val="single" w:sz="4" w:space="0" w:color="auto"/>
              <w:right w:val="single" w:sz="4" w:space="0" w:color="auto"/>
            </w:tcBorders>
            <w:hideMark/>
          </w:tcPr>
          <w:p w14:paraId="34B5F152"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Sig.</w:t>
            </w:r>
          </w:p>
        </w:tc>
      </w:tr>
      <w:tr w:rsidR="00342B3E" w:rsidRPr="00342B3E" w14:paraId="5A1B8664" w14:textId="77777777">
        <w:tc>
          <w:tcPr>
            <w:tcW w:w="984" w:type="pct"/>
            <w:tcBorders>
              <w:top w:val="single" w:sz="4" w:space="0" w:color="auto"/>
              <w:left w:val="single" w:sz="4" w:space="0" w:color="auto"/>
              <w:bottom w:val="single" w:sz="4" w:space="0" w:color="auto"/>
              <w:right w:val="single" w:sz="4" w:space="0" w:color="auto"/>
            </w:tcBorders>
            <w:hideMark/>
          </w:tcPr>
          <w:p w14:paraId="3143190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اكتساب المعرفة</w:t>
            </w:r>
          </w:p>
        </w:tc>
        <w:tc>
          <w:tcPr>
            <w:tcW w:w="821" w:type="pct"/>
            <w:tcBorders>
              <w:top w:val="single" w:sz="4" w:space="0" w:color="auto"/>
              <w:left w:val="single" w:sz="4" w:space="0" w:color="auto"/>
              <w:bottom w:val="single" w:sz="4" w:space="0" w:color="auto"/>
              <w:right w:val="single" w:sz="4" w:space="0" w:color="auto"/>
            </w:tcBorders>
            <w:hideMark/>
          </w:tcPr>
          <w:p w14:paraId="7624E1A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0.246</w:t>
            </w:r>
          </w:p>
        </w:tc>
        <w:tc>
          <w:tcPr>
            <w:tcW w:w="1424" w:type="pct"/>
            <w:tcBorders>
              <w:top w:val="single" w:sz="4" w:space="0" w:color="auto"/>
              <w:left w:val="single" w:sz="4" w:space="0" w:color="auto"/>
              <w:bottom w:val="single" w:sz="4" w:space="0" w:color="auto"/>
              <w:right w:val="single" w:sz="4" w:space="0" w:color="auto"/>
            </w:tcBorders>
            <w:hideMark/>
          </w:tcPr>
          <w:p w14:paraId="7FF102D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0.274</w:t>
            </w:r>
          </w:p>
        </w:tc>
        <w:tc>
          <w:tcPr>
            <w:tcW w:w="887" w:type="pct"/>
            <w:tcBorders>
              <w:top w:val="single" w:sz="4" w:space="0" w:color="auto"/>
              <w:left w:val="single" w:sz="4" w:space="0" w:color="auto"/>
              <w:bottom w:val="single" w:sz="4" w:space="0" w:color="auto"/>
              <w:right w:val="single" w:sz="4" w:space="0" w:color="auto"/>
            </w:tcBorders>
            <w:hideMark/>
          </w:tcPr>
          <w:p w14:paraId="5C0760E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4.932</w:t>
            </w:r>
          </w:p>
        </w:tc>
        <w:tc>
          <w:tcPr>
            <w:tcW w:w="885" w:type="pct"/>
            <w:tcBorders>
              <w:top w:val="single" w:sz="4" w:space="0" w:color="auto"/>
              <w:left w:val="single" w:sz="4" w:space="0" w:color="auto"/>
              <w:bottom w:val="single" w:sz="4" w:space="0" w:color="auto"/>
              <w:right w:val="single" w:sz="4" w:space="0" w:color="auto"/>
            </w:tcBorders>
            <w:hideMark/>
          </w:tcPr>
          <w:p w14:paraId="221D539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0.000</w:t>
            </w:r>
          </w:p>
        </w:tc>
      </w:tr>
      <w:tr w:rsidR="00342B3E" w:rsidRPr="00342B3E" w14:paraId="3BFF6AA0" w14:textId="77777777">
        <w:tc>
          <w:tcPr>
            <w:tcW w:w="984" w:type="pct"/>
            <w:tcBorders>
              <w:top w:val="single" w:sz="4" w:space="0" w:color="auto"/>
              <w:left w:val="single" w:sz="4" w:space="0" w:color="auto"/>
              <w:bottom w:val="single" w:sz="4" w:space="0" w:color="auto"/>
              <w:right w:val="single" w:sz="4" w:space="0" w:color="auto"/>
            </w:tcBorders>
            <w:hideMark/>
          </w:tcPr>
          <w:p w14:paraId="6CFF845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مشاركة المعرفة</w:t>
            </w:r>
          </w:p>
        </w:tc>
        <w:tc>
          <w:tcPr>
            <w:tcW w:w="821" w:type="pct"/>
            <w:tcBorders>
              <w:top w:val="single" w:sz="4" w:space="0" w:color="auto"/>
              <w:left w:val="single" w:sz="4" w:space="0" w:color="auto"/>
              <w:bottom w:val="single" w:sz="4" w:space="0" w:color="auto"/>
              <w:right w:val="single" w:sz="4" w:space="0" w:color="auto"/>
            </w:tcBorders>
            <w:hideMark/>
          </w:tcPr>
          <w:p w14:paraId="2183F70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0.356</w:t>
            </w:r>
          </w:p>
        </w:tc>
        <w:tc>
          <w:tcPr>
            <w:tcW w:w="1424" w:type="pct"/>
            <w:tcBorders>
              <w:top w:val="single" w:sz="4" w:space="0" w:color="auto"/>
              <w:left w:val="single" w:sz="4" w:space="0" w:color="auto"/>
              <w:bottom w:val="single" w:sz="4" w:space="0" w:color="auto"/>
              <w:right w:val="single" w:sz="4" w:space="0" w:color="auto"/>
            </w:tcBorders>
            <w:hideMark/>
          </w:tcPr>
          <w:p w14:paraId="5EA8E56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0.391</w:t>
            </w:r>
          </w:p>
        </w:tc>
        <w:tc>
          <w:tcPr>
            <w:tcW w:w="887" w:type="pct"/>
            <w:tcBorders>
              <w:top w:val="single" w:sz="4" w:space="0" w:color="auto"/>
              <w:left w:val="single" w:sz="4" w:space="0" w:color="auto"/>
              <w:bottom w:val="single" w:sz="4" w:space="0" w:color="auto"/>
              <w:right w:val="single" w:sz="4" w:space="0" w:color="auto"/>
            </w:tcBorders>
            <w:hideMark/>
          </w:tcPr>
          <w:p w14:paraId="107608D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6.847</w:t>
            </w:r>
          </w:p>
        </w:tc>
        <w:tc>
          <w:tcPr>
            <w:tcW w:w="885" w:type="pct"/>
            <w:tcBorders>
              <w:top w:val="single" w:sz="4" w:space="0" w:color="auto"/>
              <w:left w:val="single" w:sz="4" w:space="0" w:color="auto"/>
              <w:bottom w:val="single" w:sz="4" w:space="0" w:color="auto"/>
              <w:right w:val="single" w:sz="4" w:space="0" w:color="auto"/>
            </w:tcBorders>
            <w:hideMark/>
          </w:tcPr>
          <w:p w14:paraId="1B3E318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0.000</w:t>
            </w:r>
          </w:p>
        </w:tc>
      </w:tr>
      <w:tr w:rsidR="00342B3E" w:rsidRPr="00342B3E" w14:paraId="00969134" w14:textId="77777777">
        <w:tc>
          <w:tcPr>
            <w:tcW w:w="984" w:type="pct"/>
            <w:tcBorders>
              <w:top w:val="single" w:sz="4" w:space="0" w:color="auto"/>
              <w:left w:val="single" w:sz="4" w:space="0" w:color="auto"/>
              <w:bottom w:val="single" w:sz="4" w:space="0" w:color="auto"/>
              <w:right w:val="single" w:sz="4" w:space="0" w:color="auto"/>
            </w:tcBorders>
            <w:hideMark/>
          </w:tcPr>
          <w:p w14:paraId="50AA60C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تطبيق المعرفة</w:t>
            </w:r>
          </w:p>
        </w:tc>
        <w:tc>
          <w:tcPr>
            <w:tcW w:w="821" w:type="pct"/>
            <w:tcBorders>
              <w:top w:val="single" w:sz="4" w:space="0" w:color="auto"/>
              <w:left w:val="single" w:sz="4" w:space="0" w:color="auto"/>
              <w:bottom w:val="single" w:sz="4" w:space="0" w:color="auto"/>
              <w:right w:val="single" w:sz="4" w:space="0" w:color="auto"/>
            </w:tcBorders>
            <w:hideMark/>
          </w:tcPr>
          <w:p w14:paraId="334EA3C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0.214</w:t>
            </w:r>
          </w:p>
        </w:tc>
        <w:tc>
          <w:tcPr>
            <w:tcW w:w="1424" w:type="pct"/>
            <w:tcBorders>
              <w:top w:val="single" w:sz="4" w:space="0" w:color="auto"/>
              <w:left w:val="single" w:sz="4" w:space="0" w:color="auto"/>
              <w:bottom w:val="single" w:sz="4" w:space="0" w:color="auto"/>
              <w:right w:val="single" w:sz="4" w:space="0" w:color="auto"/>
            </w:tcBorders>
            <w:hideMark/>
          </w:tcPr>
          <w:p w14:paraId="6AEDF71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0.236</w:t>
            </w:r>
          </w:p>
        </w:tc>
        <w:tc>
          <w:tcPr>
            <w:tcW w:w="887" w:type="pct"/>
            <w:tcBorders>
              <w:top w:val="single" w:sz="4" w:space="0" w:color="auto"/>
              <w:left w:val="single" w:sz="4" w:space="0" w:color="auto"/>
              <w:bottom w:val="single" w:sz="4" w:space="0" w:color="auto"/>
              <w:right w:val="single" w:sz="4" w:space="0" w:color="auto"/>
            </w:tcBorders>
            <w:hideMark/>
          </w:tcPr>
          <w:p w14:paraId="462BFE9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4.186</w:t>
            </w:r>
          </w:p>
        </w:tc>
        <w:tc>
          <w:tcPr>
            <w:tcW w:w="885" w:type="pct"/>
            <w:tcBorders>
              <w:top w:val="single" w:sz="4" w:space="0" w:color="auto"/>
              <w:left w:val="single" w:sz="4" w:space="0" w:color="auto"/>
              <w:bottom w:val="single" w:sz="4" w:space="0" w:color="auto"/>
              <w:right w:val="single" w:sz="4" w:space="0" w:color="auto"/>
            </w:tcBorders>
            <w:hideMark/>
          </w:tcPr>
          <w:p w14:paraId="20D4037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0.000</w:t>
            </w:r>
          </w:p>
        </w:tc>
      </w:tr>
      <w:tr w:rsidR="00342B3E" w:rsidRPr="00342B3E" w14:paraId="4BC1B898" w14:textId="77777777">
        <w:tc>
          <w:tcPr>
            <w:tcW w:w="5000" w:type="pct"/>
            <w:gridSpan w:val="5"/>
            <w:tcBorders>
              <w:top w:val="single" w:sz="4" w:space="0" w:color="auto"/>
              <w:left w:val="single" w:sz="4" w:space="0" w:color="auto"/>
              <w:bottom w:val="single" w:sz="4" w:space="0" w:color="auto"/>
              <w:right w:val="single" w:sz="4" w:space="0" w:color="auto"/>
            </w:tcBorders>
            <w:hideMark/>
          </w:tcPr>
          <w:p w14:paraId="2B4D339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إحصاءات النموذج</w:t>
            </w:r>
          </w:p>
        </w:tc>
      </w:tr>
      <w:tr w:rsidR="00342B3E" w:rsidRPr="00342B3E" w14:paraId="2204957C" w14:textId="77777777">
        <w:tc>
          <w:tcPr>
            <w:tcW w:w="984" w:type="pct"/>
            <w:tcBorders>
              <w:top w:val="single" w:sz="4" w:space="0" w:color="auto"/>
              <w:left w:val="single" w:sz="4" w:space="0" w:color="auto"/>
              <w:bottom w:val="single" w:sz="4" w:space="0" w:color="auto"/>
              <w:right w:val="single" w:sz="4" w:space="0" w:color="auto"/>
            </w:tcBorders>
            <w:hideMark/>
          </w:tcPr>
          <w:p w14:paraId="61D38B27"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R = 0.762</w:t>
            </w:r>
          </w:p>
        </w:tc>
        <w:tc>
          <w:tcPr>
            <w:tcW w:w="821" w:type="pct"/>
            <w:tcBorders>
              <w:top w:val="single" w:sz="4" w:space="0" w:color="auto"/>
              <w:left w:val="single" w:sz="4" w:space="0" w:color="auto"/>
              <w:bottom w:val="single" w:sz="4" w:space="0" w:color="auto"/>
              <w:right w:val="single" w:sz="4" w:space="0" w:color="auto"/>
            </w:tcBorders>
            <w:hideMark/>
          </w:tcPr>
          <w:p w14:paraId="0B8E36EE"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R² = 0.581</w:t>
            </w:r>
          </w:p>
        </w:tc>
        <w:tc>
          <w:tcPr>
            <w:tcW w:w="1424" w:type="pct"/>
            <w:tcBorders>
              <w:top w:val="single" w:sz="4" w:space="0" w:color="auto"/>
              <w:left w:val="single" w:sz="4" w:space="0" w:color="auto"/>
              <w:bottom w:val="single" w:sz="4" w:space="0" w:color="auto"/>
              <w:right w:val="single" w:sz="4" w:space="0" w:color="auto"/>
            </w:tcBorders>
            <w:hideMark/>
          </w:tcPr>
          <w:p w14:paraId="69DE012E"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Adjusted R² = 0.577</w:t>
            </w:r>
          </w:p>
        </w:tc>
        <w:tc>
          <w:tcPr>
            <w:tcW w:w="887" w:type="pct"/>
            <w:tcBorders>
              <w:top w:val="single" w:sz="4" w:space="0" w:color="auto"/>
              <w:left w:val="single" w:sz="4" w:space="0" w:color="auto"/>
              <w:bottom w:val="single" w:sz="4" w:space="0" w:color="auto"/>
              <w:right w:val="single" w:sz="4" w:space="0" w:color="auto"/>
            </w:tcBorders>
            <w:hideMark/>
          </w:tcPr>
          <w:p w14:paraId="04E02ECF"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F = 142.786</w:t>
            </w:r>
          </w:p>
        </w:tc>
        <w:tc>
          <w:tcPr>
            <w:tcW w:w="885" w:type="pct"/>
            <w:tcBorders>
              <w:top w:val="single" w:sz="4" w:space="0" w:color="auto"/>
              <w:left w:val="single" w:sz="4" w:space="0" w:color="auto"/>
              <w:bottom w:val="single" w:sz="4" w:space="0" w:color="auto"/>
              <w:right w:val="single" w:sz="4" w:space="0" w:color="auto"/>
            </w:tcBorders>
            <w:hideMark/>
          </w:tcPr>
          <w:p w14:paraId="277080A9"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Sig. = 0.000</w:t>
            </w:r>
          </w:p>
        </w:tc>
      </w:tr>
    </w:tbl>
    <w:p w14:paraId="24E7717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المصدر: إعداد الباحث بالاعتماد على نتائج التحليل الإحصائي (</w:t>
      </w:r>
      <w:r w:rsidRPr="00342B3E">
        <w:rPr>
          <w:rFonts w:ascii="Traditional Arabic" w:eastAsia="Calibri" w:hAnsi="Traditional Arabic" w:cs="Traditional Arabic"/>
          <w:sz w:val="32"/>
          <w:szCs w:val="32"/>
          <w:lang w:val="en-US"/>
        </w:rPr>
        <w:t>SPSS</w:t>
      </w:r>
      <w:r w:rsidRPr="00342B3E">
        <w:rPr>
          <w:rFonts w:ascii="Traditional Arabic" w:eastAsia="Calibri" w:hAnsi="Traditional Arabic" w:cs="Traditional Arabic"/>
          <w:sz w:val="32"/>
          <w:szCs w:val="32"/>
          <w:rtl/>
          <w:lang w:val="en-US"/>
        </w:rPr>
        <w:t>).</w:t>
      </w:r>
    </w:p>
    <w:p w14:paraId="5DF8BDA4"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p>
    <w:p w14:paraId="2A902D7F"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يتضح من نتائج جدول (4-10) أن معامل الارتباط المتعدد (</w:t>
      </w:r>
      <w:r w:rsidRPr="00342B3E">
        <w:rPr>
          <w:rFonts w:ascii="Traditional Arabic" w:eastAsia="Calibri" w:hAnsi="Traditional Arabic" w:cs="Traditional Arabic"/>
          <w:sz w:val="32"/>
          <w:szCs w:val="32"/>
          <w:lang w:val="en-US"/>
        </w:rPr>
        <w:t>R</w:t>
      </w:r>
      <w:r w:rsidRPr="00342B3E">
        <w:rPr>
          <w:rFonts w:ascii="Traditional Arabic" w:eastAsia="Calibri" w:hAnsi="Traditional Arabic" w:cs="Traditional Arabic"/>
          <w:sz w:val="32"/>
          <w:szCs w:val="32"/>
          <w:rtl/>
          <w:lang w:val="en-US"/>
        </w:rPr>
        <w:t xml:space="preserve">) بلغ 0.762، مما يشير إلى وجود علاقة ارتباط إيجابية قوية بين ممارسات إدارة المعرفة والابتكار وحل المشكلات لدى العاملين. كما بلغ معامل التحديد </w:t>
      </w:r>
      <w:r w:rsidRPr="00342B3E">
        <w:rPr>
          <w:rFonts w:ascii="Traditional Arabic" w:eastAsia="Calibri" w:hAnsi="Traditional Arabic" w:cs="Traditional Arabic"/>
          <w:sz w:val="32"/>
          <w:szCs w:val="32"/>
          <w:lang w:val="en-US"/>
        </w:rPr>
        <w:t>R²) 0.581</w:t>
      </w:r>
      <w:r w:rsidRPr="00342B3E">
        <w:rPr>
          <w:rFonts w:ascii="Traditional Arabic" w:eastAsia="Calibri" w:hAnsi="Traditional Arabic" w:cs="Traditional Arabic"/>
          <w:sz w:val="32"/>
          <w:szCs w:val="32"/>
          <w:rtl/>
          <w:lang w:val="en-US"/>
        </w:rPr>
        <w:t>)، وهو ما يعني أن ممارسات إدارة المعرفة تفسر ما نسبته 58.1% من التباين في الابتكار وحل المشكلات، وهي أعلى نسبة تفسير بين أبعاد الأداء الوظيفي في الدراسة.</w:t>
      </w:r>
    </w:p>
    <w:p w14:paraId="782E30B5"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lastRenderedPageBreak/>
        <w:t>كما أظهرت النتائج أن قيمة اختبار</w:t>
      </w:r>
      <w:r w:rsidRPr="00342B3E">
        <w:rPr>
          <w:rFonts w:ascii="Traditional Arabic" w:eastAsia="Calibri" w:hAnsi="Traditional Arabic" w:cs="Traditional Arabic"/>
          <w:sz w:val="32"/>
          <w:szCs w:val="32"/>
          <w:lang w:val="en-US"/>
        </w:rPr>
        <w:t xml:space="preserve"> (F) </w:t>
      </w:r>
      <w:r w:rsidRPr="00342B3E">
        <w:rPr>
          <w:rFonts w:ascii="Traditional Arabic" w:eastAsia="Calibri" w:hAnsi="Traditional Arabic" w:cs="Traditional Arabic"/>
          <w:sz w:val="32"/>
          <w:szCs w:val="32"/>
          <w:rtl/>
          <w:lang w:val="en-US"/>
        </w:rPr>
        <w:t>بلغت 142.786 عند مستوى دلالة إحصائية (</w:t>
      </w:r>
      <w:r w:rsidRPr="00342B3E">
        <w:rPr>
          <w:rFonts w:ascii="Traditional Arabic" w:eastAsia="Calibri" w:hAnsi="Traditional Arabic" w:cs="Traditional Arabic"/>
          <w:sz w:val="32"/>
          <w:szCs w:val="32"/>
          <w:lang w:val="en-US"/>
        </w:rPr>
        <w:t>Sig.=0.000</w:t>
      </w:r>
      <w:r w:rsidRPr="00342B3E">
        <w:rPr>
          <w:rFonts w:ascii="Traditional Arabic" w:eastAsia="Calibri" w:hAnsi="Traditional Arabic" w:cs="Traditional Arabic"/>
          <w:sz w:val="32"/>
          <w:szCs w:val="32"/>
          <w:rtl/>
          <w:lang w:val="en-US"/>
        </w:rPr>
        <w:t>)، مما يؤكد معنوية نموذج الانحدار وصلاحيته لتفسير أثر ممارسات إدارة المعرفة في الابتكار وحل المشكلات.</w:t>
      </w:r>
    </w:p>
    <w:p w14:paraId="1F0F8C36"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وعلى مستوى الأبعاد، تبين أن مشاركة المعرفة جاءت في المرتبة الأولى من حيث قوة التأثير (</w:t>
      </w:r>
      <w:r w:rsidRPr="00342B3E">
        <w:rPr>
          <w:rFonts w:ascii="Traditional Arabic" w:eastAsia="Calibri" w:hAnsi="Traditional Arabic" w:cs="Traditional Arabic"/>
          <w:sz w:val="32"/>
          <w:szCs w:val="32"/>
          <w:lang w:val="en-US"/>
        </w:rPr>
        <w:t>Beta = 0.391</w:t>
      </w:r>
      <w:r w:rsidRPr="00342B3E">
        <w:rPr>
          <w:rFonts w:ascii="Traditional Arabic" w:eastAsia="Calibri" w:hAnsi="Traditional Arabic" w:cs="Traditional Arabic"/>
          <w:sz w:val="32"/>
          <w:szCs w:val="32"/>
          <w:rtl/>
          <w:lang w:val="en-US"/>
        </w:rPr>
        <w:t>)، تلتها اكتساب المعرفة (</w:t>
      </w:r>
      <w:r w:rsidRPr="00342B3E">
        <w:rPr>
          <w:rFonts w:ascii="Traditional Arabic" w:eastAsia="Calibri" w:hAnsi="Traditional Arabic" w:cs="Traditional Arabic"/>
          <w:sz w:val="32"/>
          <w:szCs w:val="32"/>
          <w:lang w:val="en-US"/>
        </w:rPr>
        <w:t>Beta = 0.274</w:t>
      </w:r>
      <w:r w:rsidRPr="00342B3E">
        <w:rPr>
          <w:rFonts w:ascii="Traditional Arabic" w:eastAsia="Calibri" w:hAnsi="Traditional Arabic" w:cs="Traditional Arabic"/>
          <w:sz w:val="32"/>
          <w:szCs w:val="32"/>
          <w:rtl/>
          <w:lang w:val="en-US"/>
        </w:rPr>
        <w:t>)، ثم تطبيق المعرفة (</w:t>
      </w:r>
      <w:r w:rsidRPr="00342B3E">
        <w:rPr>
          <w:rFonts w:ascii="Traditional Arabic" w:eastAsia="Calibri" w:hAnsi="Traditional Arabic" w:cs="Traditional Arabic"/>
          <w:sz w:val="32"/>
          <w:szCs w:val="32"/>
          <w:lang w:val="en-US"/>
        </w:rPr>
        <w:t>Beta = 0.236</w:t>
      </w:r>
      <w:r w:rsidRPr="00342B3E">
        <w:rPr>
          <w:rFonts w:ascii="Traditional Arabic" w:eastAsia="Calibri" w:hAnsi="Traditional Arabic" w:cs="Traditional Arabic"/>
          <w:sz w:val="32"/>
          <w:szCs w:val="32"/>
          <w:rtl/>
          <w:lang w:val="en-US"/>
        </w:rPr>
        <w:t>)، وجميعها ذات تأثير موجب ودال إحصائيًا عند مستوى الدلالة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w:t>
      </w:r>
    </w:p>
    <w:p w14:paraId="3282C238"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وبناءً على النتائج السابقة، تقبل الفرضية البديلة (</w:t>
      </w:r>
      <w:r w:rsidRPr="00342B3E">
        <w:rPr>
          <w:rFonts w:ascii="Traditional Arabic" w:eastAsia="Calibri" w:hAnsi="Traditional Arabic" w:cs="Traditional Arabic"/>
          <w:sz w:val="32"/>
          <w:szCs w:val="32"/>
          <w:lang w:val="en-US"/>
        </w:rPr>
        <w:t>H1.2</w:t>
      </w:r>
      <w:r w:rsidRPr="00342B3E">
        <w:rPr>
          <w:rFonts w:ascii="Traditional Arabic" w:eastAsia="Calibri" w:hAnsi="Traditional Arabic" w:cs="Traditional Arabic"/>
          <w:sz w:val="32"/>
          <w:szCs w:val="32"/>
          <w:rtl/>
          <w:lang w:val="en-US"/>
        </w:rPr>
        <w:t>)، التي تنص على وجود أثر ذي دلالة إحصائية عند مستوى الدلالة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 لممارسات إدارة المعرفة مجتمعة في الابتكار وحل المشكلات لدى العاملين في شركة موبايلي السعودية للاتصالات.</w:t>
      </w:r>
    </w:p>
    <w:p w14:paraId="5D61A693"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وتشير هذه النتيجة إلى أن ممارسات إدارة المعرفة تسهم بصورة جوهرية في تعزيز قدرة العاملين على توليد الأفكار الجديدة، وتحليل المشكلات، واقتراح الحلول المناسبة، بما ينعكس إيجابًا على تطوير أساليب العمل وتحسين جودة الخدمات. ويبدو أن تبادل المعرفة بين العاملين، إلى جانب اكتساب الخبرات الجديدة، يوفر بيئة تنظيمية محفزة للإبداع والابتكار، ويعزز القدرة على التعامل مع التحديات التشغيلية بكفاءة أكبر</w:t>
      </w:r>
      <w:r w:rsidRPr="00342B3E">
        <w:rPr>
          <w:rFonts w:ascii="Traditional Arabic" w:eastAsia="Calibri" w:hAnsi="Traditional Arabic" w:cs="Traditional Arabic"/>
          <w:sz w:val="32"/>
          <w:szCs w:val="32"/>
          <w:lang w:val="en-US" w:bidi="ar-AE"/>
        </w:rPr>
        <w:t>.</w:t>
      </w:r>
    </w:p>
    <w:p w14:paraId="06403324"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وتتفق هذه النتيجة مع الأدبيات التي تؤكد أن المعرفة تمثل المورد الأساسي للابتكار التنظيمي، كما تنسجم مع نتائج الدراسات السابقة التي أوضحت أن المؤسسات التي تطبق ممارسات فعالة لإدارة المعرفة تكون أكثر قدرة على تطوير حلول مبتكرة والاستجابة للمتغيرات البيئية. ويمكن تفسير هذه النتيجة بطبيعة قطاع الاتصالات، الذي يتسم بالتطور التقني السريع والمنافسة المستمرة، مما يجعل الابتكار وحل المشكلات من أكثر الجوانب تأثرًا بفاعلية إدارة المعرفة داخل المنظمة</w:t>
      </w:r>
      <w:r w:rsidRPr="00342B3E">
        <w:rPr>
          <w:rFonts w:ascii="Traditional Arabic" w:eastAsia="Calibri" w:hAnsi="Traditional Arabic" w:cs="Traditional Arabic"/>
          <w:sz w:val="32"/>
          <w:szCs w:val="32"/>
          <w:lang w:val="en-US" w:bidi="ar-AE"/>
        </w:rPr>
        <w:t>.</w:t>
      </w:r>
    </w:p>
    <w:p w14:paraId="67F6A878"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lastRenderedPageBreak/>
        <w:t>وتنسجم هذه النتيجة مع الإطار النظري للدراسة الذي ينظر إلى إدارة المعرفة بوصفها أحد المحركات الرئيسة للابتكار التنظيمي، إذ إن توافر المعرفة وتبادلها وتطبيقها يهيئ بيئة عمل تشجع على توليد الأفكار الجديدة وتطوير الحلول الإبداعية للمشكلات التنظيمية. كما تتفق هذه النتيجة مع عدد من الدراسات السابقة التي أكدت أن المنظمات التي تطبق ممارسات فعالة لإدارة المعرفة تكون أكثر قدرة على الابتكار والتكيف مع التغيرات البيئية. ويمكن تفسير هذا الاتفاق بتشابه الأساس النظري الذي يربط بين المعرفة والابتكار، في حين قد تعزى الفروق في حجم التأثير إلى اختلاف طبيعة القطاع، ومستوى التحول الرقمي، والثقافة التنظيمية السائدة في المؤسسات محل الدراسة</w:t>
      </w:r>
      <w:r w:rsidRPr="00342B3E">
        <w:rPr>
          <w:rFonts w:ascii="Traditional Arabic" w:eastAsia="Calibri" w:hAnsi="Traditional Arabic" w:cs="Traditional Arabic"/>
          <w:sz w:val="32"/>
          <w:szCs w:val="32"/>
          <w:lang w:val="en-US" w:bidi="ar-AE"/>
        </w:rPr>
        <w:t>.</w:t>
      </w:r>
    </w:p>
    <w:p w14:paraId="7CA9ECDD"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وتكتسب هذه النتيجة أهمية خاصة؛ إذ أظهرت أن الابتكار وحل المشكلات كانا أكثر أبعاد أداء العاملين تأثرًا بممارسات إدارة المعرفة في الدراسة الحالية، وهو ما يشير إلى أن الاستثمار في إدارة المعرفة لا يقتصر أثره على تحسين الأداء التشغيلي، وإنما يمتد إلى تعزيز قدرة العاملين على الإبداع والتطوير المستمر، بما يدعم تنافسية المنظمة واستدامة تميزها في قطاع الاتصالات</w:t>
      </w:r>
      <w:r w:rsidRPr="00342B3E">
        <w:rPr>
          <w:rFonts w:ascii="Traditional Arabic" w:eastAsia="Calibri" w:hAnsi="Traditional Arabic" w:cs="Traditional Arabic"/>
          <w:sz w:val="32"/>
          <w:szCs w:val="32"/>
          <w:lang w:val="en-US" w:bidi="ar-AE"/>
        </w:rPr>
        <w:t>.</w:t>
      </w:r>
    </w:p>
    <w:p w14:paraId="1DF0E25B"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p>
    <w:p w14:paraId="3D289181" w14:textId="77777777" w:rsidR="00342B3E" w:rsidRPr="00342B3E" w:rsidRDefault="00342B3E" w:rsidP="00342B3E">
      <w:pPr>
        <w:bidi/>
        <w:spacing w:line="360" w:lineRule="auto"/>
        <w:jc w:val="both"/>
        <w:rPr>
          <w:rFonts w:ascii="Traditional Arabic" w:eastAsia="Calibri" w:hAnsi="Traditional Arabic" w:cs="Traditional Arabic"/>
          <w:b/>
          <w:bCs/>
          <w:sz w:val="32"/>
          <w:szCs w:val="32"/>
          <w:rtl/>
          <w:lang w:val="en-US" w:bidi="ar-AE"/>
        </w:rPr>
      </w:pPr>
      <w:r w:rsidRPr="00342B3E">
        <w:rPr>
          <w:rFonts w:ascii="Traditional Arabic" w:eastAsia="Calibri" w:hAnsi="Traditional Arabic" w:cs="Traditional Arabic"/>
          <w:b/>
          <w:bCs/>
          <w:sz w:val="32"/>
          <w:szCs w:val="32"/>
          <w:rtl/>
          <w:lang w:val="en-US" w:bidi="ar-AE"/>
        </w:rPr>
        <w:t>4.5.4 اختبار الفرضية الفرعية الثالثة</w:t>
      </w:r>
    </w:p>
    <w:p w14:paraId="5862D089"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تنص الفرضية الفرعية الثالثة على ما يأتي</w:t>
      </w:r>
      <w:r w:rsidRPr="00342B3E">
        <w:rPr>
          <w:rFonts w:ascii="Traditional Arabic" w:eastAsia="Calibri" w:hAnsi="Traditional Arabic" w:cs="Traditional Arabic"/>
          <w:sz w:val="32"/>
          <w:szCs w:val="32"/>
          <w:lang w:val="en-US" w:bidi="ar-AE"/>
        </w:rPr>
        <w:t>:</w:t>
      </w:r>
    </w:p>
    <w:p w14:paraId="61E70D55"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H1.3</w:t>
      </w:r>
      <w:r w:rsidRPr="00342B3E">
        <w:rPr>
          <w:rFonts w:ascii="Traditional Arabic" w:eastAsia="Calibri" w:hAnsi="Traditional Arabic" w:cs="Traditional Arabic"/>
          <w:sz w:val="32"/>
          <w:szCs w:val="32"/>
          <w:rtl/>
          <w:lang w:val="en-US" w:bidi="ar-AE"/>
        </w:rPr>
        <w:t>: يوجد أثر ذو دلالة إحصائية عند مستوى الدلالة (</w:t>
      </w:r>
      <w:r w:rsidRPr="00342B3E">
        <w:rPr>
          <w:rFonts w:ascii="Times New Roman" w:eastAsia="Calibri" w:hAnsi="Times New Roman" w:cs="Times New Roman"/>
          <w:sz w:val="32"/>
          <w:szCs w:val="32"/>
          <w:lang w:val="en-US" w:bidi="ar-AE"/>
        </w:rPr>
        <w:t>α</w:t>
      </w:r>
      <w:r w:rsidRPr="00342B3E">
        <w:rPr>
          <w:rFonts w:ascii="Traditional Arabic" w:eastAsia="Calibri" w:hAnsi="Traditional Arabic" w:cs="Traditional Arabic"/>
          <w:sz w:val="32"/>
          <w:szCs w:val="32"/>
          <w:lang w:val="en-US" w:bidi="ar-AE"/>
        </w:rPr>
        <w:t xml:space="preserve"> </w:t>
      </w:r>
      <w:r w:rsidRPr="00342B3E">
        <w:rPr>
          <w:rFonts w:ascii="Times New Roman" w:eastAsia="Calibri" w:hAnsi="Times New Roman" w:cs="Times New Roman"/>
          <w:sz w:val="32"/>
          <w:szCs w:val="32"/>
          <w:lang w:val="en-US" w:bidi="ar-AE"/>
        </w:rPr>
        <w:t>≤</w:t>
      </w:r>
      <w:r w:rsidRPr="00342B3E">
        <w:rPr>
          <w:rFonts w:ascii="Traditional Arabic" w:eastAsia="Calibri" w:hAnsi="Traditional Arabic" w:cs="Traditional Arabic"/>
          <w:sz w:val="32"/>
          <w:szCs w:val="32"/>
          <w:lang w:val="en-US" w:bidi="ar-AE"/>
        </w:rPr>
        <w:t xml:space="preserve"> 0.05</w:t>
      </w:r>
      <w:r w:rsidRPr="00342B3E">
        <w:rPr>
          <w:rFonts w:ascii="Traditional Arabic" w:eastAsia="Calibri" w:hAnsi="Traditional Arabic" w:cs="Traditional Arabic"/>
          <w:sz w:val="32"/>
          <w:szCs w:val="32"/>
          <w:rtl/>
          <w:lang w:val="en-US" w:bidi="ar-AE"/>
        </w:rPr>
        <w:t>) لممارسات إدارة المعرفة مجتمعة (اكتساب المعرفة، ومشاركة المعرفة، وتطبيق المعرفة) على رضا العملاء في شركة موبايلي السعودية للاتصالات</w:t>
      </w:r>
      <w:r w:rsidRPr="00342B3E">
        <w:rPr>
          <w:rFonts w:ascii="Traditional Arabic" w:eastAsia="Calibri" w:hAnsi="Traditional Arabic" w:cs="Traditional Arabic"/>
          <w:sz w:val="32"/>
          <w:szCs w:val="32"/>
          <w:lang w:val="en-US" w:bidi="ar-AE"/>
        </w:rPr>
        <w:t>.</w:t>
      </w:r>
    </w:p>
    <w:p w14:paraId="77F74F7D"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lastRenderedPageBreak/>
        <w:t>ولاختبار هذه الفرضية، تم استخدام تحليل الانحدار الخطي المتعدد، وكانت النتائج كما هي موضحة في جدول (4-11).</w:t>
      </w:r>
    </w:p>
    <w:p w14:paraId="65B177E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جدول (4-11) نتائج تحليل الانحدار الخطي المتعدد لأثر ممارسات إدارة المعرفة في رضا العملاء</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3"/>
        <w:gridCol w:w="1572"/>
        <w:gridCol w:w="2729"/>
        <w:gridCol w:w="1547"/>
        <w:gridCol w:w="1695"/>
      </w:tblGrid>
      <w:tr w:rsidR="00342B3E" w:rsidRPr="00342B3E" w14:paraId="3E0ABBA3" w14:textId="77777777">
        <w:tc>
          <w:tcPr>
            <w:tcW w:w="1061" w:type="pct"/>
            <w:tcBorders>
              <w:top w:val="single" w:sz="4" w:space="0" w:color="auto"/>
              <w:left w:val="single" w:sz="4" w:space="0" w:color="auto"/>
              <w:bottom w:val="single" w:sz="4" w:space="0" w:color="auto"/>
              <w:right w:val="single" w:sz="4" w:space="0" w:color="auto"/>
            </w:tcBorders>
            <w:hideMark/>
          </w:tcPr>
          <w:p w14:paraId="6451BEBE"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t>المتغيرات المستقلة</w:t>
            </w:r>
          </w:p>
        </w:tc>
        <w:tc>
          <w:tcPr>
            <w:tcW w:w="821" w:type="pct"/>
            <w:tcBorders>
              <w:top w:val="single" w:sz="4" w:space="0" w:color="auto"/>
              <w:left w:val="single" w:sz="4" w:space="0" w:color="auto"/>
              <w:bottom w:val="single" w:sz="4" w:space="0" w:color="auto"/>
              <w:right w:val="single" w:sz="4" w:space="0" w:color="auto"/>
            </w:tcBorders>
            <w:hideMark/>
          </w:tcPr>
          <w:p w14:paraId="2F0F7975"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B</w:t>
            </w:r>
          </w:p>
        </w:tc>
        <w:tc>
          <w:tcPr>
            <w:tcW w:w="1425" w:type="pct"/>
            <w:tcBorders>
              <w:top w:val="single" w:sz="4" w:space="0" w:color="auto"/>
              <w:left w:val="single" w:sz="4" w:space="0" w:color="auto"/>
              <w:bottom w:val="single" w:sz="4" w:space="0" w:color="auto"/>
              <w:right w:val="single" w:sz="4" w:space="0" w:color="auto"/>
            </w:tcBorders>
            <w:hideMark/>
          </w:tcPr>
          <w:p w14:paraId="7FB34FB2"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Beta</w:t>
            </w:r>
          </w:p>
        </w:tc>
        <w:tc>
          <w:tcPr>
            <w:tcW w:w="808" w:type="pct"/>
            <w:tcBorders>
              <w:top w:val="single" w:sz="4" w:space="0" w:color="auto"/>
              <w:left w:val="single" w:sz="4" w:space="0" w:color="auto"/>
              <w:bottom w:val="single" w:sz="4" w:space="0" w:color="auto"/>
              <w:right w:val="single" w:sz="4" w:space="0" w:color="auto"/>
            </w:tcBorders>
            <w:hideMark/>
          </w:tcPr>
          <w:p w14:paraId="1D0569D6"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t</w:t>
            </w:r>
          </w:p>
        </w:tc>
        <w:tc>
          <w:tcPr>
            <w:tcW w:w="885" w:type="pct"/>
            <w:tcBorders>
              <w:top w:val="single" w:sz="4" w:space="0" w:color="auto"/>
              <w:left w:val="single" w:sz="4" w:space="0" w:color="auto"/>
              <w:bottom w:val="single" w:sz="4" w:space="0" w:color="auto"/>
              <w:right w:val="single" w:sz="4" w:space="0" w:color="auto"/>
            </w:tcBorders>
            <w:hideMark/>
          </w:tcPr>
          <w:p w14:paraId="73B9E81E"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Sig.</w:t>
            </w:r>
          </w:p>
        </w:tc>
      </w:tr>
      <w:tr w:rsidR="00342B3E" w:rsidRPr="00342B3E" w14:paraId="268D47F8" w14:textId="77777777">
        <w:tc>
          <w:tcPr>
            <w:tcW w:w="1061" w:type="pct"/>
            <w:tcBorders>
              <w:top w:val="single" w:sz="4" w:space="0" w:color="auto"/>
              <w:left w:val="single" w:sz="4" w:space="0" w:color="auto"/>
              <w:bottom w:val="single" w:sz="4" w:space="0" w:color="auto"/>
              <w:right w:val="single" w:sz="4" w:space="0" w:color="auto"/>
            </w:tcBorders>
            <w:hideMark/>
          </w:tcPr>
          <w:p w14:paraId="3CCD360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اكتساب المعرفة</w:t>
            </w:r>
          </w:p>
        </w:tc>
        <w:tc>
          <w:tcPr>
            <w:tcW w:w="821" w:type="pct"/>
            <w:tcBorders>
              <w:top w:val="single" w:sz="4" w:space="0" w:color="auto"/>
              <w:left w:val="single" w:sz="4" w:space="0" w:color="auto"/>
              <w:bottom w:val="single" w:sz="4" w:space="0" w:color="auto"/>
              <w:right w:val="single" w:sz="4" w:space="0" w:color="auto"/>
            </w:tcBorders>
            <w:hideMark/>
          </w:tcPr>
          <w:p w14:paraId="279F88C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0.189</w:t>
            </w:r>
          </w:p>
        </w:tc>
        <w:tc>
          <w:tcPr>
            <w:tcW w:w="1425" w:type="pct"/>
            <w:tcBorders>
              <w:top w:val="single" w:sz="4" w:space="0" w:color="auto"/>
              <w:left w:val="single" w:sz="4" w:space="0" w:color="auto"/>
              <w:bottom w:val="single" w:sz="4" w:space="0" w:color="auto"/>
              <w:right w:val="single" w:sz="4" w:space="0" w:color="auto"/>
            </w:tcBorders>
            <w:hideMark/>
          </w:tcPr>
          <w:p w14:paraId="2E4E53D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0.218</w:t>
            </w:r>
          </w:p>
        </w:tc>
        <w:tc>
          <w:tcPr>
            <w:tcW w:w="808" w:type="pct"/>
            <w:tcBorders>
              <w:top w:val="single" w:sz="4" w:space="0" w:color="auto"/>
              <w:left w:val="single" w:sz="4" w:space="0" w:color="auto"/>
              <w:bottom w:val="single" w:sz="4" w:space="0" w:color="auto"/>
              <w:right w:val="single" w:sz="4" w:space="0" w:color="auto"/>
            </w:tcBorders>
            <w:hideMark/>
          </w:tcPr>
          <w:p w14:paraId="0DF439E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3.824</w:t>
            </w:r>
          </w:p>
        </w:tc>
        <w:tc>
          <w:tcPr>
            <w:tcW w:w="885" w:type="pct"/>
            <w:tcBorders>
              <w:top w:val="single" w:sz="4" w:space="0" w:color="auto"/>
              <w:left w:val="single" w:sz="4" w:space="0" w:color="auto"/>
              <w:bottom w:val="single" w:sz="4" w:space="0" w:color="auto"/>
              <w:right w:val="single" w:sz="4" w:space="0" w:color="auto"/>
            </w:tcBorders>
            <w:hideMark/>
          </w:tcPr>
          <w:p w14:paraId="6D5D122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0.000</w:t>
            </w:r>
          </w:p>
        </w:tc>
      </w:tr>
      <w:tr w:rsidR="00342B3E" w:rsidRPr="00342B3E" w14:paraId="5994BD14" w14:textId="77777777">
        <w:tc>
          <w:tcPr>
            <w:tcW w:w="1061" w:type="pct"/>
            <w:tcBorders>
              <w:top w:val="single" w:sz="4" w:space="0" w:color="auto"/>
              <w:left w:val="single" w:sz="4" w:space="0" w:color="auto"/>
              <w:bottom w:val="single" w:sz="4" w:space="0" w:color="auto"/>
              <w:right w:val="single" w:sz="4" w:space="0" w:color="auto"/>
            </w:tcBorders>
            <w:hideMark/>
          </w:tcPr>
          <w:p w14:paraId="150EAFC4"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مشاركة المعرفة</w:t>
            </w:r>
          </w:p>
        </w:tc>
        <w:tc>
          <w:tcPr>
            <w:tcW w:w="821" w:type="pct"/>
            <w:tcBorders>
              <w:top w:val="single" w:sz="4" w:space="0" w:color="auto"/>
              <w:left w:val="single" w:sz="4" w:space="0" w:color="auto"/>
              <w:bottom w:val="single" w:sz="4" w:space="0" w:color="auto"/>
              <w:right w:val="single" w:sz="4" w:space="0" w:color="auto"/>
            </w:tcBorders>
            <w:hideMark/>
          </w:tcPr>
          <w:p w14:paraId="6F79AE4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0.331</w:t>
            </w:r>
          </w:p>
        </w:tc>
        <w:tc>
          <w:tcPr>
            <w:tcW w:w="1425" w:type="pct"/>
            <w:tcBorders>
              <w:top w:val="single" w:sz="4" w:space="0" w:color="auto"/>
              <w:left w:val="single" w:sz="4" w:space="0" w:color="auto"/>
              <w:bottom w:val="single" w:sz="4" w:space="0" w:color="auto"/>
              <w:right w:val="single" w:sz="4" w:space="0" w:color="auto"/>
            </w:tcBorders>
            <w:hideMark/>
          </w:tcPr>
          <w:p w14:paraId="2A20670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0.374</w:t>
            </w:r>
          </w:p>
        </w:tc>
        <w:tc>
          <w:tcPr>
            <w:tcW w:w="808" w:type="pct"/>
            <w:tcBorders>
              <w:top w:val="single" w:sz="4" w:space="0" w:color="auto"/>
              <w:left w:val="single" w:sz="4" w:space="0" w:color="auto"/>
              <w:bottom w:val="single" w:sz="4" w:space="0" w:color="auto"/>
              <w:right w:val="single" w:sz="4" w:space="0" w:color="auto"/>
            </w:tcBorders>
            <w:hideMark/>
          </w:tcPr>
          <w:p w14:paraId="381CA9F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6.521</w:t>
            </w:r>
          </w:p>
        </w:tc>
        <w:tc>
          <w:tcPr>
            <w:tcW w:w="885" w:type="pct"/>
            <w:tcBorders>
              <w:top w:val="single" w:sz="4" w:space="0" w:color="auto"/>
              <w:left w:val="single" w:sz="4" w:space="0" w:color="auto"/>
              <w:bottom w:val="single" w:sz="4" w:space="0" w:color="auto"/>
              <w:right w:val="single" w:sz="4" w:space="0" w:color="auto"/>
            </w:tcBorders>
            <w:hideMark/>
          </w:tcPr>
          <w:p w14:paraId="3EB24F30"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0.000</w:t>
            </w:r>
          </w:p>
        </w:tc>
      </w:tr>
      <w:tr w:rsidR="00342B3E" w:rsidRPr="00342B3E" w14:paraId="038A4AB6" w14:textId="77777777">
        <w:tc>
          <w:tcPr>
            <w:tcW w:w="1061" w:type="pct"/>
            <w:tcBorders>
              <w:top w:val="single" w:sz="4" w:space="0" w:color="auto"/>
              <w:left w:val="single" w:sz="4" w:space="0" w:color="auto"/>
              <w:bottom w:val="single" w:sz="4" w:space="0" w:color="auto"/>
              <w:right w:val="single" w:sz="4" w:space="0" w:color="auto"/>
            </w:tcBorders>
            <w:hideMark/>
          </w:tcPr>
          <w:p w14:paraId="3A267D89"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تطبيق المعرفة</w:t>
            </w:r>
          </w:p>
        </w:tc>
        <w:tc>
          <w:tcPr>
            <w:tcW w:w="821" w:type="pct"/>
            <w:tcBorders>
              <w:top w:val="single" w:sz="4" w:space="0" w:color="auto"/>
              <w:left w:val="single" w:sz="4" w:space="0" w:color="auto"/>
              <w:bottom w:val="single" w:sz="4" w:space="0" w:color="auto"/>
              <w:right w:val="single" w:sz="4" w:space="0" w:color="auto"/>
            </w:tcBorders>
            <w:hideMark/>
          </w:tcPr>
          <w:p w14:paraId="71AABF5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0.177</w:t>
            </w:r>
          </w:p>
        </w:tc>
        <w:tc>
          <w:tcPr>
            <w:tcW w:w="1425" w:type="pct"/>
            <w:tcBorders>
              <w:top w:val="single" w:sz="4" w:space="0" w:color="auto"/>
              <w:left w:val="single" w:sz="4" w:space="0" w:color="auto"/>
              <w:bottom w:val="single" w:sz="4" w:space="0" w:color="auto"/>
              <w:right w:val="single" w:sz="4" w:space="0" w:color="auto"/>
            </w:tcBorders>
            <w:hideMark/>
          </w:tcPr>
          <w:p w14:paraId="3E7C67B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0.201</w:t>
            </w:r>
          </w:p>
        </w:tc>
        <w:tc>
          <w:tcPr>
            <w:tcW w:w="808" w:type="pct"/>
            <w:tcBorders>
              <w:top w:val="single" w:sz="4" w:space="0" w:color="auto"/>
              <w:left w:val="single" w:sz="4" w:space="0" w:color="auto"/>
              <w:bottom w:val="single" w:sz="4" w:space="0" w:color="auto"/>
              <w:right w:val="single" w:sz="4" w:space="0" w:color="auto"/>
            </w:tcBorders>
            <w:hideMark/>
          </w:tcPr>
          <w:p w14:paraId="45A4C1C2"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3.641</w:t>
            </w:r>
          </w:p>
        </w:tc>
        <w:tc>
          <w:tcPr>
            <w:tcW w:w="885" w:type="pct"/>
            <w:tcBorders>
              <w:top w:val="single" w:sz="4" w:space="0" w:color="auto"/>
              <w:left w:val="single" w:sz="4" w:space="0" w:color="auto"/>
              <w:bottom w:val="single" w:sz="4" w:space="0" w:color="auto"/>
              <w:right w:val="single" w:sz="4" w:space="0" w:color="auto"/>
            </w:tcBorders>
            <w:hideMark/>
          </w:tcPr>
          <w:p w14:paraId="5CAA123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0.000</w:t>
            </w:r>
          </w:p>
        </w:tc>
      </w:tr>
      <w:tr w:rsidR="00342B3E" w:rsidRPr="00342B3E" w14:paraId="641F0BFE" w14:textId="77777777">
        <w:tc>
          <w:tcPr>
            <w:tcW w:w="1061" w:type="pct"/>
            <w:tcBorders>
              <w:top w:val="single" w:sz="4" w:space="0" w:color="auto"/>
              <w:left w:val="single" w:sz="4" w:space="0" w:color="auto"/>
              <w:bottom w:val="single" w:sz="4" w:space="0" w:color="auto"/>
              <w:right w:val="single" w:sz="4" w:space="0" w:color="auto"/>
            </w:tcBorders>
            <w:hideMark/>
          </w:tcPr>
          <w:p w14:paraId="6B60E37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إحصاءات النموذج</w:t>
            </w:r>
          </w:p>
        </w:tc>
        <w:tc>
          <w:tcPr>
            <w:tcW w:w="821" w:type="pct"/>
            <w:tcBorders>
              <w:top w:val="single" w:sz="4" w:space="0" w:color="auto"/>
              <w:left w:val="single" w:sz="4" w:space="0" w:color="auto"/>
              <w:bottom w:val="single" w:sz="4" w:space="0" w:color="auto"/>
              <w:right w:val="single" w:sz="4" w:space="0" w:color="auto"/>
            </w:tcBorders>
            <w:hideMark/>
          </w:tcPr>
          <w:p w14:paraId="7F02FA4F" w14:textId="77777777" w:rsidR="00342B3E" w:rsidRPr="00342B3E" w:rsidRDefault="00342B3E" w:rsidP="00342B3E">
            <w:pPr>
              <w:rPr>
                <w:rFonts w:ascii="Traditional Arabic" w:eastAsia="Calibri" w:hAnsi="Traditional Arabic" w:cs="Traditional Arabic"/>
                <w:sz w:val="32"/>
                <w:szCs w:val="32"/>
                <w:lang w:val="en-US" w:bidi="ar-AE"/>
              </w:rPr>
            </w:pPr>
          </w:p>
        </w:tc>
        <w:tc>
          <w:tcPr>
            <w:tcW w:w="1425" w:type="pct"/>
            <w:tcBorders>
              <w:top w:val="single" w:sz="4" w:space="0" w:color="auto"/>
              <w:left w:val="single" w:sz="4" w:space="0" w:color="auto"/>
              <w:bottom w:val="single" w:sz="4" w:space="0" w:color="auto"/>
              <w:right w:val="single" w:sz="4" w:space="0" w:color="auto"/>
            </w:tcBorders>
            <w:hideMark/>
          </w:tcPr>
          <w:p w14:paraId="30499DD0" w14:textId="77777777" w:rsidR="00342B3E" w:rsidRPr="00342B3E" w:rsidRDefault="00342B3E" w:rsidP="00342B3E">
            <w:pPr>
              <w:bidi/>
              <w:spacing w:after="0" w:line="240" w:lineRule="auto"/>
              <w:rPr>
                <w:rFonts w:ascii="Calibri" w:eastAsia="Calibri" w:hAnsi="Calibri" w:cs="Arial"/>
                <w:sz w:val="20"/>
                <w:szCs w:val="20"/>
                <w:lang w:val="en-US"/>
              </w:rPr>
            </w:pPr>
          </w:p>
        </w:tc>
        <w:tc>
          <w:tcPr>
            <w:tcW w:w="808" w:type="pct"/>
            <w:tcBorders>
              <w:top w:val="single" w:sz="4" w:space="0" w:color="auto"/>
              <w:left w:val="single" w:sz="4" w:space="0" w:color="auto"/>
              <w:bottom w:val="single" w:sz="4" w:space="0" w:color="auto"/>
              <w:right w:val="single" w:sz="4" w:space="0" w:color="auto"/>
            </w:tcBorders>
            <w:hideMark/>
          </w:tcPr>
          <w:p w14:paraId="13380ACF" w14:textId="77777777" w:rsidR="00342B3E" w:rsidRPr="00342B3E" w:rsidRDefault="00342B3E" w:rsidP="00342B3E">
            <w:pPr>
              <w:bidi/>
              <w:spacing w:after="0" w:line="240" w:lineRule="auto"/>
              <w:rPr>
                <w:rFonts w:ascii="Calibri" w:eastAsia="Calibri" w:hAnsi="Calibri" w:cs="Arial"/>
                <w:sz w:val="20"/>
                <w:szCs w:val="20"/>
                <w:lang w:val="en-US"/>
              </w:rPr>
            </w:pPr>
          </w:p>
        </w:tc>
        <w:tc>
          <w:tcPr>
            <w:tcW w:w="885" w:type="pct"/>
            <w:tcBorders>
              <w:top w:val="single" w:sz="4" w:space="0" w:color="auto"/>
              <w:left w:val="single" w:sz="4" w:space="0" w:color="auto"/>
              <w:bottom w:val="single" w:sz="4" w:space="0" w:color="auto"/>
              <w:right w:val="single" w:sz="4" w:space="0" w:color="auto"/>
            </w:tcBorders>
            <w:hideMark/>
          </w:tcPr>
          <w:p w14:paraId="68035D4C" w14:textId="77777777" w:rsidR="00342B3E" w:rsidRPr="00342B3E" w:rsidRDefault="00342B3E" w:rsidP="00342B3E">
            <w:pPr>
              <w:bidi/>
              <w:spacing w:after="0" w:line="240" w:lineRule="auto"/>
              <w:rPr>
                <w:rFonts w:ascii="Calibri" w:eastAsia="Calibri" w:hAnsi="Calibri" w:cs="Arial"/>
                <w:sz w:val="20"/>
                <w:szCs w:val="20"/>
                <w:lang w:val="en-US"/>
              </w:rPr>
            </w:pPr>
          </w:p>
        </w:tc>
      </w:tr>
      <w:tr w:rsidR="00342B3E" w:rsidRPr="00342B3E" w14:paraId="39D6A4E8" w14:textId="77777777">
        <w:tc>
          <w:tcPr>
            <w:tcW w:w="1061" w:type="pct"/>
            <w:tcBorders>
              <w:top w:val="single" w:sz="4" w:space="0" w:color="auto"/>
              <w:left w:val="single" w:sz="4" w:space="0" w:color="auto"/>
              <w:bottom w:val="single" w:sz="4" w:space="0" w:color="auto"/>
              <w:right w:val="single" w:sz="4" w:space="0" w:color="auto"/>
            </w:tcBorders>
            <w:hideMark/>
          </w:tcPr>
          <w:p w14:paraId="161BF1E2"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R = 0.664</w:t>
            </w:r>
          </w:p>
        </w:tc>
        <w:tc>
          <w:tcPr>
            <w:tcW w:w="821" w:type="pct"/>
            <w:tcBorders>
              <w:top w:val="single" w:sz="4" w:space="0" w:color="auto"/>
              <w:left w:val="single" w:sz="4" w:space="0" w:color="auto"/>
              <w:bottom w:val="single" w:sz="4" w:space="0" w:color="auto"/>
              <w:right w:val="single" w:sz="4" w:space="0" w:color="auto"/>
            </w:tcBorders>
            <w:hideMark/>
          </w:tcPr>
          <w:p w14:paraId="491B2013"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R² = 0.441</w:t>
            </w:r>
          </w:p>
        </w:tc>
        <w:tc>
          <w:tcPr>
            <w:tcW w:w="1425" w:type="pct"/>
            <w:tcBorders>
              <w:top w:val="single" w:sz="4" w:space="0" w:color="auto"/>
              <w:left w:val="single" w:sz="4" w:space="0" w:color="auto"/>
              <w:bottom w:val="single" w:sz="4" w:space="0" w:color="auto"/>
              <w:right w:val="single" w:sz="4" w:space="0" w:color="auto"/>
            </w:tcBorders>
            <w:hideMark/>
          </w:tcPr>
          <w:p w14:paraId="30AA62DA"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Adjusted R² = 0.435</w:t>
            </w:r>
          </w:p>
        </w:tc>
        <w:tc>
          <w:tcPr>
            <w:tcW w:w="808" w:type="pct"/>
            <w:tcBorders>
              <w:top w:val="single" w:sz="4" w:space="0" w:color="auto"/>
              <w:left w:val="single" w:sz="4" w:space="0" w:color="auto"/>
              <w:bottom w:val="single" w:sz="4" w:space="0" w:color="auto"/>
              <w:right w:val="single" w:sz="4" w:space="0" w:color="auto"/>
            </w:tcBorders>
            <w:hideMark/>
          </w:tcPr>
          <w:p w14:paraId="139F18E5"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F = 80.964</w:t>
            </w:r>
          </w:p>
        </w:tc>
        <w:tc>
          <w:tcPr>
            <w:tcW w:w="885" w:type="pct"/>
            <w:tcBorders>
              <w:top w:val="single" w:sz="4" w:space="0" w:color="auto"/>
              <w:left w:val="single" w:sz="4" w:space="0" w:color="auto"/>
              <w:bottom w:val="single" w:sz="4" w:space="0" w:color="auto"/>
              <w:right w:val="single" w:sz="4" w:space="0" w:color="auto"/>
            </w:tcBorders>
            <w:hideMark/>
          </w:tcPr>
          <w:p w14:paraId="598AB88B"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Sig. = 0.000</w:t>
            </w:r>
          </w:p>
        </w:tc>
      </w:tr>
    </w:tbl>
    <w:p w14:paraId="7A812E25"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المصدر: إعداد الباحث بالاعتماد على نتائج التحليل الإحصائي</w:t>
      </w:r>
      <w:r w:rsidRPr="00342B3E">
        <w:rPr>
          <w:rFonts w:ascii="Traditional Arabic" w:eastAsia="Calibri" w:hAnsi="Traditional Arabic" w:cs="Traditional Arabic"/>
          <w:sz w:val="32"/>
          <w:szCs w:val="32"/>
          <w:lang w:val="en-US" w:bidi="ar-AE"/>
        </w:rPr>
        <w:t xml:space="preserve"> (SPSS).</w:t>
      </w:r>
    </w:p>
    <w:p w14:paraId="48D447CA"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p>
    <w:p w14:paraId="12D2DE16"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يتضح من نتائج جدول (4-11) أن معامل الارتباط المتعدد (</w:t>
      </w:r>
      <w:r w:rsidRPr="00342B3E">
        <w:rPr>
          <w:rFonts w:ascii="Traditional Arabic" w:eastAsia="Calibri" w:hAnsi="Traditional Arabic" w:cs="Traditional Arabic"/>
          <w:sz w:val="32"/>
          <w:szCs w:val="32"/>
          <w:lang w:val="en-US"/>
        </w:rPr>
        <w:t>R</w:t>
      </w:r>
      <w:r w:rsidRPr="00342B3E">
        <w:rPr>
          <w:rFonts w:ascii="Traditional Arabic" w:eastAsia="Calibri" w:hAnsi="Traditional Arabic" w:cs="Traditional Arabic"/>
          <w:sz w:val="32"/>
          <w:szCs w:val="32"/>
          <w:rtl/>
          <w:lang w:val="en-US"/>
        </w:rPr>
        <w:t xml:space="preserve">) بلغ 0.664، مما يشير إلى وجود علاقة ارتباط إيجابية بين ممارسات إدارة المعرفة ورضا العملاء. كما بلغ معامل التحديد </w:t>
      </w:r>
      <w:r w:rsidRPr="00342B3E">
        <w:rPr>
          <w:rFonts w:ascii="Traditional Arabic" w:eastAsia="Calibri" w:hAnsi="Traditional Arabic" w:cs="Traditional Arabic"/>
          <w:sz w:val="32"/>
          <w:szCs w:val="32"/>
          <w:lang w:val="en-US"/>
        </w:rPr>
        <w:t>(R²) 0.441</w:t>
      </w:r>
      <w:r w:rsidRPr="00342B3E">
        <w:rPr>
          <w:rFonts w:ascii="Traditional Arabic" w:eastAsia="Calibri" w:hAnsi="Traditional Arabic" w:cs="Traditional Arabic"/>
          <w:sz w:val="32"/>
          <w:szCs w:val="32"/>
          <w:rtl/>
          <w:lang w:val="en-US"/>
        </w:rPr>
        <w:t>، وهو ما يعني أن ممارسات إدارة المعرفة تفسر ما نسبته 44.1% من التباين في رضا العملاء، بينما تعزى النسبة المتبقية إلى عوامل أخرى لم تتناولها الدراسة الحالية.</w:t>
      </w:r>
    </w:p>
    <w:p w14:paraId="3E9EB354" w14:textId="77777777" w:rsidR="00342B3E" w:rsidRPr="00342B3E" w:rsidRDefault="00342B3E" w:rsidP="00342B3E">
      <w:pPr>
        <w:bidi/>
        <w:spacing w:line="360" w:lineRule="auto"/>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كما أظهرت النتائج أن قيمة اختبار</w:t>
      </w:r>
      <w:r w:rsidRPr="00342B3E">
        <w:rPr>
          <w:rFonts w:ascii="Traditional Arabic" w:eastAsia="Calibri" w:hAnsi="Traditional Arabic" w:cs="Traditional Arabic"/>
          <w:sz w:val="32"/>
          <w:szCs w:val="32"/>
          <w:lang w:val="en-US"/>
        </w:rPr>
        <w:t xml:space="preserve"> (F) </w:t>
      </w:r>
      <w:r w:rsidRPr="00342B3E">
        <w:rPr>
          <w:rFonts w:ascii="Traditional Arabic" w:eastAsia="Calibri" w:hAnsi="Traditional Arabic" w:cs="Traditional Arabic"/>
          <w:sz w:val="32"/>
          <w:szCs w:val="32"/>
          <w:rtl/>
          <w:lang w:val="en-US"/>
        </w:rPr>
        <w:t>بلغت 80.964 عند مستوى دلالة إحصائية (</w:t>
      </w:r>
      <w:r w:rsidRPr="00342B3E">
        <w:rPr>
          <w:rFonts w:ascii="Traditional Arabic" w:eastAsia="Calibri" w:hAnsi="Traditional Arabic" w:cs="Traditional Arabic"/>
          <w:sz w:val="32"/>
          <w:szCs w:val="32"/>
          <w:lang w:val="en-US"/>
        </w:rPr>
        <w:t>Sig.=0.000</w:t>
      </w:r>
      <w:r w:rsidRPr="00342B3E">
        <w:rPr>
          <w:rFonts w:ascii="Traditional Arabic" w:eastAsia="Calibri" w:hAnsi="Traditional Arabic" w:cs="Traditional Arabic"/>
          <w:sz w:val="32"/>
          <w:szCs w:val="32"/>
          <w:rtl/>
          <w:lang w:val="en-US"/>
        </w:rPr>
        <w:t>)، مما يدل على معنوية نموذج الانحدار وصلاحيته لتفسير أثر ممارسات إدارة المعرفة في رضا العملاء.</w:t>
      </w:r>
    </w:p>
    <w:p w14:paraId="69528657"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rPr>
      </w:pPr>
      <w:r w:rsidRPr="00342B3E">
        <w:rPr>
          <w:rFonts w:ascii="Traditional Arabic" w:eastAsia="Calibri" w:hAnsi="Traditional Arabic" w:cs="Traditional Arabic"/>
          <w:sz w:val="32"/>
          <w:szCs w:val="32"/>
          <w:rtl/>
          <w:lang w:val="en-US"/>
        </w:rPr>
        <w:t>وعلى مستوى أبعاد إدارة المعرفة، أظهرت النتائج أن مشاركة المعرفة جاءت في المرتبة الأولى من حيث قوة التأثير (</w:t>
      </w:r>
      <w:r w:rsidRPr="00342B3E">
        <w:rPr>
          <w:rFonts w:ascii="Traditional Arabic" w:eastAsia="Calibri" w:hAnsi="Traditional Arabic" w:cs="Traditional Arabic"/>
          <w:sz w:val="32"/>
          <w:szCs w:val="32"/>
          <w:lang w:val="en-US"/>
        </w:rPr>
        <w:t>Beta = 0.374</w:t>
      </w:r>
      <w:r w:rsidRPr="00342B3E">
        <w:rPr>
          <w:rFonts w:ascii="Traditional Arabic" w:eastAsia="Calibri" w:hAnsi="Traditional Arabic" w:cs="Traditional Arabic"/>
          <w:sz w:val="32"/>
          <w:szCs w:val="32"/>
          <w:rtl/>
          <w:lang w:val="en-US"/>
        </w:rPr>
        <w:t>)، تلتها اكتساب المعرفة (</w:t>
      </w:r>
      <w:r w:rsidRPr="00342B3E">
        <w:rPr>
          <w:rFonts w:ascii="Traditional Arabic" w:eastAsia="Calibri" w:hAnsi="Traditional Arabic" w:cs="Traditional Arabic"/>
          <w:sz w:val="32"/>
          <w:szCs w:val="32"/>
          <w:lang w:val="en-US"/>
        </w:rPr>
        <w:t>Beta = 0.218</w:t>
      </w:r>
      <w:r w:rsidRPr="00342B3E">
        <w:rPr>
          <w:rFonts w:ascii="Traditional Arabic" w:eastAsia="Calibri" w:hAnsi="Traditional Arabic" w:cs="Traditional Arabic"/>
          <w:sz w:val="32"/>
          <w:szCs w:val="32"/>
          <w:rtl/>
          <w:lang w:val="en-US"/>
        </w:rPr>
        <w:t>)، ثم تطبيق المعرفة (</w:t>
      </w:r>
      <w:r w:rsidRPr="00342B3E">
        <w:rPr>
          <w:rFonts w:ascii="Traditional Arabic" w:eastAsia="Calibri" w:hAnsi="Traditional Arabic" w:cs="Traditional Arabic"/>
          <w:sz w:val="32"/>
          <w:szCs w:val="32"/>
          <w:lang w:val="en-US"/>
        </w:rPr>
        <w:t>Beta = 0.201</w:t>
      </w:r>
      <w:r w:rsidRPr="00342B3E">
        <w:rPr>
          <w:rFonts w:ascii="Traditional Arabic" w:eastAsia="Calibri" w:hAnsi="Traditional Arabic" w:cs="Traditional Arabic"/>
          <w:sz w:val="32"/>
          <w:szCs w:val="32"/>
          <w:rtl/>
          <w:lang w:val="en-US"/>
        </w:rPr>
        <w:t>)، وجميعها ذات تأثير موجب ودال إحصائيًا عند مستوى الدلالة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w:t>
      </w:r>
    </w:p>
    <w:p w14:paraId="1DF895DE"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lastRenderedPageBreak/>
        <w:t>وبناءً على النتائج السابقة، تقبل الفرضية البديلة (</w:t>
      </w:r>
      <w:r w:rsidRPr="00342B3E">
        <w:rPr>
          <w:rFonts w:ascii="Traditional Arabic" w:eastAsia="Calibri" w:hAnsi="Traditional Arabic" w:cs="Traditional Arabic"/>
          <w:sz w:val="32"/>
          <w:szCs w:val="32"/>
          <w:lang w:val="en-US"/>
        </w:rPr>
        <w:t>H1.3</w:t>
      </w:r>
      <w:r w:rsidRPr="00342B3E">
        <w:rPr>
          <w:rFonts w:ascii="Traditional Arabic" w:eastAsia="Calibri" w:hAnsi="Traditional Arabic" w:cs="Traditional Arabic"/>
          <w:sz w:val="32"/>
          <w:szCs w:val="32"/>
          <w:rtl/>
          <w:lang w:val="en-US"/>
        </w:rPr>
        <w:t>)، التي تنص على وجود أثر ذي دلالة إحصائية عند مستوى الدلالة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 لممارسات إدارة المعرفة مجتمعة في رضا العملاء في شركة موبايلي السعودية للاتصالات.</w:t>
      </w:r>
    </w:p>
    <w:p w14:paraId="649A2C74"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وتشير هذه النتيجة إلى أن إدارة المعرفة تسهم في تحسين رضا العملاء من خلال تمكين العاملين من الوصول إلى المعلومات الصحيحة في الوقت المناسب، والاستفادة من الخبرات المتراكمة، وتحسين سرعة الاستجابة لاحتياجات العملاء وجودة الخدمات المقدمة لهم. إلا أن نسبة التفسير جاءت أقل من تلك الخاصة بالابتكار وحل المشكلات، وهو ما يمكن تفسيره بأن رضا العملاء لا يعتمد على ممارسات إدارة المعرفة وحدها، بل يتأثر أيضًا بعوامل أخرى، مثل جودة الشبكة، وأسعار الخدمات، ومستوى الدعم الفني، وتجربة العميل بشكل عام</w:t>
      </w:r>
      <w:r w:rsidRPr="00342B3E">
        <w:rPr>
          <w:rFonts w:ascii="Traditional Arabic" w:eastAsia="Calibri" w:hAnsi="Traditional Arabic" w:cs="Traditional Arabic"/>
          <w:sz w:val="32"/>
          <w:szCs w:val="32"/>
          <w:lang w:val="en-US" w:bidi="ar-AE"/>
        </w:rPr>
        <w:t>.</w:t>
      </w:r>
    </w:p>
    <w:p w14:paraId="09A850EF"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وتتفق هذه النتيجة مع الأدبيات التي تؤكد أن إدارة المعرفة تعد عاملًا مهمًا في تحسين جودة الخدمة ورفع رضا العملاء، كما تنسجم مع نتائج الدراسات السابقة التي أوضحت أن تبادل المعرفة بين العاملين يسهم في تقديم خدمات أكثر كفاءة وسرعة. ويمكن تفسير هذه النتيجة بطبيعة قطاع الاتصالات، الذي يعتمد على التكامل بين المعرفة الفنية وجودة الخدمات والبنية التحتية التقنية لتحقيق مستويات مرتفعة من رضا العملاء</w:t>
      </w:r>
      <w:r w:rsidRPr="00342B3E">
        <w:rPr>
          <w:rFonts w:ascii="Traditional Arabic" w:eastAsia="Calibri" w:hAnsi="Traditional Arabic" w:cs="Traditional Arabic"/>
          <w:sz w:val="32"/>
          <w:szCs w:val="32"/>
          <w:lang w:val="en-US" w:bidi="ar-AE"/>
        </w:rPr>
        <w:t>.</w:t>
      </w:r>
    </w:p>
    <w:p w14:paraId="19359ECB"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 xml:space="preserve">وتنسجم هذه النتيجة مع الإطار النظري للدراسة الذي يؤكد أن ممارسات إدارة المعرفة تسهم في تحسين جودة الخدمات المقدمة للعملاء من خلال تمكين العاملين من الوصول إلى المعرفة المناسبة، والاستفادة من الخبرات المتراكمة، وسرعة الاستجابة لاحتياجات العملاء. كما تتفق هذه النتيجة مع عدد من الدراسات السابقة التي أشارت إلى أن إدارة المعرفة تعد من العوامل الداعمة لتحسين جودة الخدمة ورفع مستوى رضا العملاء. ويمكن تفسير هذا الاتفاق بتشابه طبيعة المؤسسات الخدمية التي تعتمد على المعرفة في تطوير عملياتها وتحسين تجربة العميل، في حين قد تعزى </w:t>
      </w:r>
      <w:r w:rsidRPr="00342B3E">
        <w:rPr>
          <w:rFonts w:ascii="Traditional Arabic" w:eastAsia="Calibri" w:hAnsi="Traditional Arabic" w:cs="Traditional Arabic"/>
          <w:sz w:val="32"/>
          <w:szCs w:val="32"/>
          <w:rtl/>
          <w:lang w:val="en-US"/>
        </w:rPr>
        <w:lastRenderedPageBreak/>
        <w:t>الفروق في حجم التأثير إلى اختلاف طبيعة الخدمات المقدمة، ومستوى المنافسة في السوق، وخصائص العملاء، إضافة إلى اختلاف البيئات التنظيمية التي أجريت فيها الدراسات</w:t>
      </w:r>
      <w:r w:rsidRPr="00342B3E">
        <w:rPr>
          <w:rFonts w:ascii="Traditional Arabic" w:eastAsia="Calibri" w:hAnsi="Traditional Arabic" w:cs="Traditional Arabic"/>
          <w:sz w:val="32"/>
          <w:szCs w:val="32"/>
          <w:lang w:val="en-US" w:bidi="ar-AE"/>
        </w:rPr>
        <w:t>.</w:t>
      </w:r>
    </w:p>
    <w:p w14:paraId="39198D8A"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وتشير هذه النتيجة إلى أن إدارة المعرفة تمثل عاملًا مهمًا في تعزيز رضا العملاء، إلا أنها ليست العامل الوحيد المؤثر فيه، إذ يتأثر رضا العملاء كذلك بعوامل أخرى، مثل جودة الخدمات، وكفاءة البنية التحتية التقنية، وسرعة تقديم الخدمة، وسياسات التسعير. ومن ثم، فإن تحقيق مستويات مرتفعة من رضا العملاء يتطلب تكامل ممارسات إدارة المعرفة مع الجوانب التشغيلية والفنية والإدارية داخل المنظمة، بما يسهم في تحسين تجربة العملاء وتعزيز قدرتها التنافسية</w:t>
      </w:r>
      <w:r w:rsidRPr="00342B3E">
        <w:rPr>
          <w:rFonts w:ascii="Traditional Arabic" w:eastAsia="Calibri" w:hAnsi="Traditional Arabic" w:cs="Traditional Arabic"/>
          <w:sz w:val="32"/>
          <w:szCs w:val="32"/>
          <w:lang w:val="en-US" w:bidi="ar-AE"/>
        </w:rPr>
        <w:t>.</w:t>
      </w:r>
    </w:p>
    <w:p w14:paraId="2457BF07"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p>
    <w:p w14:paraId="5548257E"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bidi="ar-AE"/>
        </w:rPr>
        <w:t>4.5.5 اختبار الفرضية الفرعية الرابعة</w:t>
      </w:r>
    </w:p>
    <w:p w14:paraId="4BD32438"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تنص الفرضية الفرعية الرابعة على ما يأتي</w:t>
      </w:r>
      <w:r w:rsidRPr="00342B3E">
        <w:rPr>
          <w:rFonts w:ascii="Traditional Arabic" w:eastAsia="Calibri" w:hAnsi="Traditional Arabic" w:cs="Traditional Arabic"/>
          <w:sz w:val="32"/>
          <w:szCs w:val="32"/>
          <w:lang w:val="en-US" w:bidi="ar-AE"/>
        </w:rPr>
        <w:t>:</w:t>
      </w:r>
    </w:p>
    <w:p w14:paraId="7E216330"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H1.4</w:t>
      </w:r>
      <w:r w:rsidRPr="00342B3E">
        <w:rPr>
          <w:rFonts w:ascii="Traditional Arabic" w:eastAsia="Calibri" w:hAnsi="Traditional Arabic" w:cs="Traditional Arabic"/>
          <w:sz w:val="32"/>
          <w:szCs w:val="32"/>
          <w:rtl/>
          <w:lang w:val="en-US" w:bidi="ar-AE"/>
        </w:rPr>
        <w:t>: يوجد أثر ذو دلالة إحصائية عند مستوى الدلالة (</w:t>
      </w:r>
      <w:r w:rsidRPr="00342B3E">
        <w:rPr>
          <w:rFonts w:ascii="Times New Roman" w:eastAsia="Calibri" w:hAnsi="Times New Roman" w:cs="Times New Roman"/>
          <w:sz w:val="32"/>
          <w:szCs w:val="32"/>
          <w:lang w:val="en-US" w:bidi="ar-AE"/>
        </w:rPr>
        <w:t>α</w:t>
      </w:r>
      <w:r w:rsidRPr="00342B3E">
        <w:rPr>
          <w:rFonts w:ascii="Traditional Arabic" w:eastAsia="Calibri" w:hAnsi="Traditional Arabic" w:cs="Traditional Arabic"/>
          <w:sz w:val="32"/>
          <w:szCs w:val="32"/>
          <w:lang w:val="en-US" w:bidi="ar-AE"/>
        </w:rPr>
        <w:t xml:space="preserve"> </w:t>
      </w:r>
      <w:r w:rsidRPr="00342B3E">
        <w:rPr>
          <w:rFonts w:ascii="Times New Roman" w:eastAsia="Calibri" w:hAnsi="Times New Roman" w:cs="Times New Roman"/>
          <w:sz w:val="32"/>
          <w:szCs w:val="32"/>
          <w:lang w:val="en-US" w:bidi="ar-AE"/>
        </w:rPr>
        <w:t>≤</w:t>
      </w:r>
      <w:r w:rsidRPr="00342B3E">
        <w:rPr>
          <w:rFonts w:ascii="Traditional Arabic" w:eastAsia="Calibri" w:hAnsi="Traditional Arabic" w:cs="Traditional Arabic"/>
          <w:sz w:val="32"/>
          <w:szCs w:val="32"/>
          <w:lang w:val="en-US" w:bidi="ar-AE"/>
        </w:rPr>
        <w:t xml:space="preserve"> 0.05</w:t>
      </w:r>
      <w:r w:rsidRPr="00342B3E">
        <w:rPr>
          <w:rFonts w:ascii="Traditional Arabic" w:eastAsia="Calibri" w:hAnsi="Traditional Arabic" w:cs="Traditional Arabic"/>
          <w:sz w:val="32"/>
          <w:szCs w:val="32"/>
          <w:rtl/>
          <w:lang w:val="en-US" w:bidi="ar-AE"/>
        </w:rPr>
        <w:t>) لممارسات إدارة المعرفة مجتمعة (اكتساب المعرفة، ومشاركة المعرفة، وتطبيق المعرفة) على الالتزام الوظيفي للعاملين في شركة موبايلي السعودية للاتصالات.</w:t>
      </w:r>
    </w:p>
    <w:p w14:paraId="61E72963"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r w:rsidRPr="00342B3E">
        <w:rPr>
          <w:rFonts w:ascii="Traditional Arabic" w:eastAsia="Calibri" w:hAnsi="Traditional Arabic" w:cs="Traditional Arabic"/>
          <w:sz w:val="32"/>
          <w:szCs w:val="32"/>
          <w:rtl/>
          <w:lang w:val="en-US"/>
        </w:rPr>
        <w:t>ولاختبار هذه الفرضية، تم استخدام تحليل الانحدار الخطي المتعدد، وكانت النتائج كما هي موضحة في جدول (4-12).</w:t>
      </w:r>
    </w:p>
    <w:p w14:paraId="7C2BAC07"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rPr>
      </w:pPr>
    </w:p>
    <w:p w14:paraId="32738C6B"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جدول (4-12) نتائج تحليل الانحدار الخطي المتعدد لأثر ممارسات إدارة المعرفة في الالتزام الوظيفي</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3"/>
        <w:gridCol w:w="1578"/>
        <w:gridCol w:w="2856"/>
        <w:gridCol w:w="1599"/>
        <w:gridCol w:w="1750"/>
      </w:tblGrid>
      <w:tr w:rsidR="00342B3E" w:rsidRPr="00342B3E" w14:paraId="466A5A8B" w14:textId="77777777">
        <w:tc>
          <w:tcPr>
            <w:tcW w:w="936" w:type="pct"/>
            <w:tcBorders>
              <w:top w:val="single" w:sz="4" w:space="0" w:color="auto"/>
              <w:left w:val="single" w:sz="4" w:space="0" w:color="auto"/>
              <w:bottom w:val="single" w:sz="4" w:space="0" w:color="auto"/>
              <w:right w:val="single" w:sz="4" w:space="0" w:color="auto"/>
            </w:tcBorders>
            <w:hideMark/>
          </w:tcPr>
          <w:p w14:paraId="15DEB2B9"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rPr>
              <w:lastRenderedPageBreak/>
              <w:t>المتغيرات المستقلة</w:t>
            </w:r>
          </w:p>
        </w:tc>
        <w:tc>
          <w:tcPr>
            <w:tcW w:w="824" w:type="pct"/>
            <w:tcBorders>
              <w:top w:val="single" w:sz="4" w:space="0" w:color="auto"/>
              <w:left w:val="single" w:sz="4" w:space="0" w:color="auto"/>
              <w:bottom w:val="single" w:sz="4" w:space="0" w:color="auto"/>
              <w:right w:val="single" w:sz="4" w:space="0" w:color="auto"/>
            </w:tcBorders>
            <w:hideMark/>
          </w:tcPr>
          <w:p w14:paraId="1B7B327C"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B</w:t>
            </w:r>
          </w:p>
        </w:tc>
        <w:tc>
          <w:tcPr>
            <w:tcW w:w="1491" w:type="pct"/>
            <w:tcBorders>
              <w:top w:val="single" w:sz="4" w:space="0" w:color="auto"/>
              <w:left w:val="single" w:sz="4" w:space="0" w:color="auto"/>
              <w:bottom w:val="single" w:sz="4" w:space="0" w:color="auto"/>
              <w:right w:val="single" w:sz="4" w:space="0" w:color="auto"/>
            </w:tcBorders>
            <w:hideMark/>
          </w:tcPr>
          <w:p w14:paraId="604C7944"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Beta</w:t>
            </w:r>
          </w:p>
        </w:tc>
        <w:tc>
          <w:tcPr>
            <w:tcW w:w="835" w:type="pct"/>
            <w:tcBorders>
              <w:top w:val="single" w:sz="4" w:space="0" w:color="auto"/>
              <w:left w:val="single" w:sz="4" w:space="0" w:color="auto"/>
              <w:bottom w:val="single" w:sz="4" w:space="0" w:color="auto"/>
              <w:right w:val="single" w:sz="4" w:space="0" w:color="auto"/>
            </w:tcBorders>
            <w:hideMark/>
          </w:tcPr>
          <w:p w14:paraId="70D504B6"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t</w:t>
            </w:r>
          </w:p>
        </w:tc>
        <w:tc>
          <w:tcPr>
            <w:tcW w:w="914" w:type="pct"/>
            <w:tcBorders>
              <w:top w:val="single" w:sz="4" w:space="0" w:color="auto"/>
              <w:left w:val="single" w:sz="4" w:space="0" w:color="auto"/>
              <w:bottom w:val="single" w:sz="4" w:space="0" w:color="auto"/>
              <w:right w:val="single" w:sz="4" w:space="0" w:color="auto"/>
            </w:tcBorders>
            <w:hideMark/>
          </w:tcPr>
          <w:p w14:paraId="3722A03F" w14:textId="77777777" w:rsidR="00342B3E" w:rsidRPr="00342B3E" w:rsidRDefault="00342B3E" w:rsidP="00342B3E">
            <w:pPr>
              <w:bidi/>
              <w:spacing w:after="0" w:line="24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lang w:val="en-US" w:bidi="ar-AE"/>
              </w:rPr>
              <w:t>Sig.</w:t>
            </w:r>
          </w:p>
        </w:tc>
      </w:tr>
      <w:tr w:rsidR="00342B3E" w:rsidRPr="00342B3E" w14:paraId="575AC353" w14:textId="77777777">
        <w:tc>
          <w:tcPr>
            <w:tcW w:w="936" w:type="pct"/>
            <w:tcBorders>
              <w:top w:val="single" w:sz="4" w:space="0" w:color="auto"/>
              <w:left w:val="single" w:sz="4" w:space="0" w:color="auto"/>
              <w:bottom w:val="single" w:sz="4" w:space="0" w:color="auto"/>
              <w:right w:val="single" w:sz="4" w:space="0" w:color="auto"/>
            </w:tcBorders>
            <w:hideMark/>
          </w:tcPr>
          <w:p w14:paraId="79204F2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اكتساب المعرفة</w:t>
            </w:r>
          </w:p>
        </w:tc>
        <w:tc>
          <w:tcPr>
            <w:tcW w:w="824" w:type="pct"/>
            <w:tcBorders>
              <w:top w:val="single" w:sz="4" w:space="0" w:color="auto"/>
              <w:left w:val="single" w:sz="4" w:space="0" w:color="auto"/>
              <w:bottom w:val="single" w:sz="4" w:space="0" w:color="auto"/>
              <w:right w:val="single" w:sz="4" w:space="0" w:color="auto"/>
            </w:tcBorders>
            <w:hideMark/>
          </w:tcPr>
          <w:p w14:paraId="678A528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0.176</w:t>
            </w:r>
          </w:p>
        </w:tc>
        <w:tc>
          <w:tcPr>
            <w:tcW w:w="1491" w:type="pct"/>
            <w:tcBorders>
              <w:top w:val="single" w:sz="4" w:space="0" w:color="auto"/>
              <w:left w:val="single" w:sz="4" w:space="0" w:color="auto"/>
              <w:bottom w:val="single" w:sz="4" w:space="0" w:color="auto"/>
              <w:right w:val="single" w:sz="4" w:space="0" w:color="auto"/>
            </w:tcBorders>
            <w:hideMark/>
          </w:tcPr>
          <w:p w14:paraId="408CF58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0.204</w:t>
            </w:r>
          </w:p>
        </w:tc>
        <w:tc>
          <w:tcPr>
            <w:tcW w:w="835" w:type="pct"/>
            <w:tcBorders>
              <w:top w:val="single" w:sz="4" w:space="0" w:color="auto"/>
              <w:left w:val="single" w:sz="4" w:space="0" w:color="auto"/>
              <w:bottom w:val="single" w:sz="4" w:space="0" w:color="auto"/>
              <w:right w:val="single" w:sz="4" w:space="0" w:color="auto"/>
            </w:tcBorders>
            <w:hideMark/>
          </w:tcPr>
          <w:p w14:paraId="7AB36EB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3.468</w:t>
            </w:r>
          </w:p>
        </w:tc>
        <w:tc>
          <w:tcPr>
            <w:tcW w:w="914" w:type="pct"/>
            <w:tcBorders>
              <w:top w:val="single" w:sz="4" w:space="0" w:color="auto"/>
              <w:left w:val="single" w:sz="4" w:space="0" w:color="auto"/>
              <w:bottom w:val="single" w:sz="4" w:space="0" w:color="auto"/>
              <w:right w:val="single" w:sz="4" w:space="0" w:color="auto"/>
            </w:tcBorders>
            <w:hideMark/>
          </w:tcPr>
          <w:p w14:paraId="50AB514C"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0.001</w:t>
            </w:r>
          </w:p>
        </w:tc>
      </w:tr>
      <w:tr w:rsidR="00342B3E" w:rsidRPr="00342B3E" w14:paraId="2ED350C2" w14:textId="77777777">
        <w:tc>
          <w:tcPr>
            <w:tcW w:w="936" w:type="pct"/>
            <w:tcBorders>
              <w:top w:val="single" w:sz="4" w:space="0" w:color="auto"/>
              <w:left w:val="single" w:sz="4" w:space="0" w:color="auto"/>
              <w:bottom w:val="single" w:sz="4" w:space="0" w:color="auto"/>
              <w:right w:val="single" w:sz="4" w:space="0" w:color="auto"/>
            </w:tcBorders>
            <w:hideMark/>
          </w:tcPr>
          <w:p w14:paraId="50042483"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مشاركة المعرفة</w:t>
            </w:r>
          </w:p>
        </w:tc>
        <w:tc>
          <w:tcPr>
            <w:tcW w:w="824" w:type="pct"/>
            <w:tcBorders>
              <w:top w:val="single" w:sz="4" w:space="0" w:color="auto"/>
              <w:left w:val="single" w:sz="4" w:space="0" w:color="auto"/>
              <w:bottom w:val="single" w:sz="4" w:space="0" w:color="auto"/>
              <w:right w:val="single" w:sz="4" w:space="0" w:color="auto"/>
            </w:tcBorders>
            <w:hideMark/>
          </w:tcPr>
          <w:p w14:paraId="49F99BD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0.284</w:t>
            </w:r>
          </w:p>
        </w:tc>
        <w:tc>
          <w:tcPr>
            <w:tcW w:w="1491" w:type="pct"/>
            <w:tcBorders>
              <w:top w:val="single" w:sz="4" w:space="0" w:color="auto"/>
              <w:left w:val="single" w:sz="4" w:space="0" w:color="auto"/>
              <w:bottom w:val="single" w:sz="4" w:space="0" w:color="auto"/>
              <w:right w:val="single" w:sz="4" w:space="0" w:color="auto"/>
            </w:tcBorders>
            <w:hideMark/>
          </w:tcPr>
          <w:p w14:paraId="07DD6B2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0.328</w:t>
            </w:r>
          </w:p>
        </w:tc>
        <w:tc>
          <w:tcPr>
            <w:tcW w:w="835" w:type="pct"/>
            <w:tcBorders>
              <w:top w:val="single" w:sz="4" w:space="0" w:color="auto"/>
              <w:left w:val="single" w:sz="4" w:space="0" w:color="auto"/>
              <w:bottom w:val="single" w:sz="4" w:space="0" w:color="auto"/>
              <w:right w:val="single" w:sz="4" w:space="0" w:color="auto"/>
            </w:tcBorders>
            <w:hideMark/>
          </w:tcPr>
          <w:p w14:paraId="54650A17"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5.746</w:t>
            </w:r>
          </w:p>
        </w:tc>
        <w:tc>
          <w:tcPr>
            <w:tcW w:w="914" w:type="pct"/>
            <w:tcBorders>
              <w:top w:val="single" w:sz="4" w:space="0" w:color="auto"/>
              <w:left w:val="single" w:sz="4" w:space="0" w:color="auto"/>
              <w:bottom w:val="single" w:sz="4" w:space="0" w:color="auto"/>
              <w:right w:val="single" w:sz="4" w:space="0" w:color="auto"/>
            </w:tcBorders>
            <w:hideMark/>
          </w:tcPr>
          <w:p w14:paraId="4340FA6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0.000</w:t>
            </w:r>
          </w:p>
        </w:tc>
      </w:tr>
      <w:tr w:rsidR="00342B3E" w:rsidRPr="00342B3E" w14:paraId="51124FEB" w14:textId="77777777">
        <w:tc>
          <w:tcPr>
            <w:tcW w:w="936" w:type="pct"/>
            <w:tcBorders>
              <w:top w:val="single" w:sz="4" w:space="0" w:color="auto"/>
              <w:left w:val="single" w:sz="4" w:space="0" w:color="auto"/>
              <w:bottom w:val="single" w:sz="4" w:space="0" w:color="auto"/>
              <w:right w:val="single" w:sz="4" w:space="0" w:color="auto"/>
            </w:tcBorders>
            <w:hideMark/>
          </w:tcPr>
          <w:p w14:paraId="7BCDE84E"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تطبيق المعرفة</w:t>
            </w:r>
          </w:p>
        </w:tc>
        <w:tc>
          <w:tcPr>
            <w:tcW w:w="824" w:type="pct"/>
            <w:tcBorders>
              <w:top w:val="single" w:sz="4" w:space="0" w:color="auto"/>
              <w:left w:val="single" w:sz="4" w:space="0" w:color="auto"/>
              <w:bottom w:val="single" w:sz="4" w:space="0" w:color="auto"/>
              <w:right w:val="single" w:sz="4" w:space="0" w:color="auto"/>
            </w:tcBorders>
            <w:hideMark/>
          </w:tcPr>
          <w:p w14:paraId="255603A1"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0.162</w:t>
            </w:r>
          </w:p>
        </w:tc>
        <w:tc>
          <w:tcPr>
            <w:tcW w:w="1491" w:type="pct"/>
            <w:tcBorders>
              <w:top w:val="single" w:sz="4" w:space="0" w:color="auto"/>
              <w:left w:val="single" w:sz="4" w:space="0" w:color="auto"/>
              <w:bottom w:val="single" w:sz="4" w:space="0" w:color="auto"/>
              <w:right w:val="single" w:sz="4" w:space="0" w:color="auto"/>
            </w:tcBorders>
            <w:hideMark/>
          </w:tcPr>
          <w:p w14:paraId="6FD604BD"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0.187</w:t>
            </w:r>
          </w:p>
        </w:tc>
        <w:tc>
          <w:tcPr>
            <w:tcW w:w="835" w:type="pct"/>
            <w:tcBorders>
              <w:top w:val="single" w:sz="4" w:space="0" w:color="auto"/>
              <w:left w:val="single" w:sz="4" w:space="0" w:color="auto"/>
              <w:bottom w:val="single" w:sz="4" w:space="0" w:color="auto"/>
              <w:right w:val="single" w:sz="4" w:space="0" w:color="auto"/>
            </w:tcBorders>
            <w:hideMark/>
          </w:tcPr>
          <w:p w14:paraId="0080AAEB"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3.291</w:t>
            </w:r>
          </w:p>
        </w:tc>
        <w:tc>
          <w:tcPr>
            <w:tcW w:w="914" w:type="pct"/>
            <w:tcBorders>
              <w:top w:val="single" w:sz="4" w:space="0" w:color="auto"/>
              <w:left w:val="single" w:sz="4" w:space="0" w:color="auto"/>
              <w:bottom w:val="single" w:sz="4" w:space="0" w:color="auto"/>
              <w:right w:val="single" w:sz="4" w:space="0" w:color="auto"/>
            </w:tcBorders>
            <w:hideMark/>
          </w:tcPr>
          <w:p w14:paraId="6329AE5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lang w:val="en-US" w:bidi="ar-AE"/>
              </w:rPr>
              <w:t>0.001</w:t>
            </w:r>
          </w:p>
        </w:tc>
      </w:tr>
      <w:tr w:rsidR="00342B3E" w:rsidRPr="00342B3E" w14:paraId="3B90341C" w14:textId="77777777">
        <w:tc>
          <w:tcPr>
            <w:tcW w:w="5000" w:type="pct"/>
            <w:gridSpan w:val="5"/>
            <w:tcBorders>
              <w:top w:val="single" w:sz="4" w:space="0" w:color="auto"/>
              <w:left w:val="single" w:sz="4" w:space="0" w:color="auto"/>
              <w:bottom w:val="single" w:sz="4" w:space="0" w:color="auto"/>
              <w:right w:val="single" w:sz="4" w:space="0" w:color="auto"/>
            </w:tcBorders>
            <w:hideMark/>
          </w:tcPr>
          <w:p w14:paraId="4690C988"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b/>
                <w:bCs/>
                <w:sz w:val="32"/>
                <w:szCs w:val="32"/>
                <w:rtl/>
                <w:lang w:val="en-US"/>
              </w:rPr>
              <w:t>إحصاءات النموذج</w:t>
            </w:r>
          </w:p>
        </w:tc>
      </w:tr>
      <w:tr w:rsidR="00342B3E" w:rsidRPr="00342B3E" w14:paraId="3F42B928" w14:textId="77777777">
        <w:tc>
          <w:tcPr>
            <w:tcW w:w="936" w:type="pct"/>
            <w:tcBorders>
              <w:top w:val="single" w:sz="4" w:space="0" w:color="auto"/>
              <w:left w:val="single" w:sz="4" w:space="0" w:color="auto"/>
              <w:bottom w:val="single" w:sz="4" w:space="0" w:color="auto"/>
              <w:right w:val="single" w:sz="4" w:space="0" w:color="auto"/>
            </w:tcBorders>
            <w:hideMark/>
          </w:tcPr>
          <w:p w14:paraId="262BD783"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R = 0.603</w:t>
            </w:r>
          </w:p>
        </w:tc>
        <w:tc>
          <w:tcPr>
            <w:tcW w:w="824" w:type="pct"/>
            <w:tcBorders>
              <w:top w:val="single" w:sz="4" w:space="0" w:color="auto"/>
              <w:left w:val="single" w:sz="4" w:space="0" w:color="auto"/>
              <w:bottom w:val="single" w:sz="4" w:space="0" w:color="auto"/>
              <w:right w:val="single" w:sz="4" w:space="0" w:color="auto"/>
            </w:tcBorders>
            <w:hideMark/>
          </w:tcPr>
          <w:p w14:paraId="7AF77F0C"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R² = 0.364</w:t>
            </w:r>
          </w:p>
        </w:tc>
        <w:tc>
          <w:tcPr>
            <w:tcW w:w="1491" w:type="pct"/>
            <w:tcBorders>
              <w:top w:val="single" w:sz="4" w:space="0" w:color="auto"/>
              <w:left w:val="single" w:sz="4" w:space="0" w:color="auto"/>
              <w:bottom w:val="single" w:sz="4" w:space="0" w:color="auto"/>
              <w:right w:val="single" w:sz="4" w:space="0" w:color="auto"/>
            </w:tcBorders>
            <w:hideMark/>
          </w:tcPr>
          <w:p w14:paraId="03D1F3FD"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Adjusted R² = 0.358</w:t>
            </w:r>
          </w:p>
        </w:tc>
        <w:tc>
          <w:tcPr>
            <w:tcW w:w="835" w:type="pct"/>
            <w:tcBorders>
              <w:top w:val="single" w:sz="4" w:space="0" w:color="auto"/>
              <w:left w:val="single" w:sz="4" w:space="0" w:color="auto"/>
              <w:bottom w:val="single" w:sz="4" w:space="0" w:color="auto"/>
              <w:right w:val="single" w:sz="4" w:space="0" w:color="auto"/>
            </w:tcBorders>
            <w:hideMark/>
          </w:tcPr>
          <w:p w14:paraId="2889D181"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F = 58.873</w:t>
            </w:r>
          </w:p>
        </w:tc>
        <w:tc>
          <w:tcPr>
            <w:tcW w:w="914" w:type="pct"/>
            <w:tcBorders>
              <w:top w:val="single" w:sz="4" w:space="0" w:color="auto"/>
              <w:left w:val="single" w:sz="4" w:space="0" w:color="auto"/>
              <w:bottom w:val="single" w:sz="4" w:space="0" w:color="auto"/>
              <w:right w:val="single" w:sz="4" w:space="0" w:color="auto"/>
            </w:tcBorders>
            <w:hideMark/>
          </w:tcPr>
          <w:p w14:paraId="4A371C3A" w14:textId="77777777" w:rsidR="00342B3E" w:rsidRPr="00342B3E" w:rsidRDefault="00342B3E" w:rsidP="00342B3E">
            <w:pPr>
              <w:bidi/>
              <w:spacing w:after="0" w:line="240" w:lineRule="auto"/>
              <w:jc w:val="both"/>
              <w:rPr>
                <w:rFonts w:ascii="Traditional Arabic" w:eastAsia="Calibri" w:hAnsi="Traditional Arabic" w:cs="Traditional Arabic"/>
                <w:sz w:val="28"/>
                <w:szCs w:val="28"/>
                <w:lang w:val="en-US" w:bidi="ar-AE"/>
              </w:rPr>
            </w:pPr>
            <w:r w:rsidRPr="00342B3E">
              <w:rPr>
                <w:rFonts w:ascii="Traditional Arabic" w:eastAsia="Calibri" w:hAnsi="Traditional Arabic" w:cs="Traditional Arabic"/>
                <w:sz w:val="28"/>
                <w:szCs w:val="28"/>
                <w:lang w:val="en-US" w:bidi="ar-AE"/>
              </w:rPr>
              <w:t>Sig. = 0.000</w:t>
            </w:r>
          </w:p>
        </w:tc>
      </w:tr>
    </w:tbl>
    <w:p w14:paraId="7DC6166F" w14:textId="77777777" w:rsidR="00342B3E" w:rsidRPr="00342B3E" w:rsidRDefault="00342B3E" w:rsidP="00342B3E">
      <w:pPr>
        <w:bidi/>
        <w:spacing w:after="0" w:line="24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المصدر: إعداد الباحث بالاعتماد على نتائج التحليل الإحصائي (</w:t>
      </w:r>
      <w:r w:rsidRPr="00342B3E">
        <w:rPr>
          <w:rFonts w:ascii="Traditional Arabic" w:eastAsia="Calibri" w:hAnsi="Traditional Arabic" w:cs="Traditional Arabic"/>
          <w:sz w:val="32"/>
          <w:szCs w:val="32"/>
          <w:lang w:val="en-US"/>
        </w:rPr>
        <w:t>SPSS</w:t>
      </w:r>
      <w:r w:rsidRPr="00342B3E">
        <w:rPr>
          <w:rFonts w:ascii="Traditional Arabic" w:eastAsia="Calibri" w:hAnsi="Traditional Arabic" w:cs="Traditional Arabic"/>
          <w:sz w:val="32"/>
          <w:szCs w:val="32"/>
          <w:rtl/>
          <w:lang w:val="en-US"/>
        </w:rPr>
        <w:t>).</w:t>
      </w:r>
    </w:p>
    <w:p w14:paraId="33579789"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يتضح من نتائج جدول (4-12) أن معامل الارتباط المتعدد (</w:t>
      </w:r>
      <w:r w:rsidRPr="00342B3E">
        <w:rPr>
          <w:rFonts w:ascii="Traditional Arabic" w:eastAsia="Calibri" w:hAnsi="Traditional Arabic" w:cs="Traditional Arabic"/>
          <w:sz w:val="32"/>
          <w:szCs w:val="32"/>
          <w:lang w:val="en-US"/>
        </w:rPr>
        <w:t>R</w:t>
      </w:r>
      <w:r w:rsidRPr="00342B3E">
        <w:rPr>
          <w:rFonts w:ascii="Traditional Arabic" w:eastAsia="Calibri" w:hAnsi="Traditional Arabic" w:cs="Traditional Arabic"/>
          <w:sz w:val="32"/>
          <w:szCs w:val="32"/>
          <w:rtl/>
          <w:lang w:val="en-US"/>
        </w:rPr>
        <w:t xml:space="preserve">) بلغ 0.603، مما يشير إلى وجود علاقة ارتباط إيجابية متوسطة إلى قوية بين ممارسات إدارة المعرفة والالتزام الوظيفي للعاملين. كما بلغ معامل التحديد </w:t>
      </w:r>
      <w:r w:rsidRPr="00342B3E">
        <w:rPr>
          <w:rFonts w:ascii="Traditional Arabic" w:eastAsia="Calibri" w:hAnsi="Traditional Arabic" w:cs="Traditional Arabic"/>
          <w:sz w:val="32"/>
          <w:szCs w:val="32"/>
          <w:lang w:val="en-US"/>
        </w:rPr>
        <w:t>(R²) 0.364</w:t>
      </w:r>
      <w:r w:rsidRPr="00342B3E">
        <w:rPr>
          <w:rFonts w:ascii="Traditional Arabic" w:eastAsia="Calibri" w:hAnsi="Traditional Arabic" w:cs="Traditional Arabic"/>
          <w:sz w:val="32"/>
          <w:szCs w:val="32"/>
          <w:rtl/>
          <w:lang w:val="en-US"/>
        </w:rPr>
        <w:t>، وهو ما يعني أن ممارسات إدارة المعرفة تفسر ما نسبته 36.4% من التباين في الالتزام الوظيفي، في حين تعزى النسبة المتبقية إلى عوامل أخرى لم تتناولها الدراسة الحالية.</w:t>
      </w:r>
    </w:p>
    <w:p w14:paraId="425D3C4F"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كما أظهرت النتائج أن قيمة اختبار (</w:t>
      </w:r>
      <w:r w:rsidRPr="00342B3E">
        <w:rPr>
          <w:rFonts w:ascii="Traditional Arabic" w:eastAsia="Calibri" w:hAnsi="Traditional Arabic" w:cs="Traditional Arabic"/>
          <w:sz w:val="32"/>
          <w:szCs w:val="32"/>
          <w:lang w:val="en-US"/>
        </w:rPr>
        <w:t>F</w:t>
      </w:r>
      <w:r w:rsidRPr="00342B3E">
        <w:rPr>
          <w:rFonts w:ascii="Traditional Arabic" w:eastAsia="Calibri" w:hAnsi="Traditional Arabic" w:cs="Traditional Arabic"/>
          <w:sz w:val="32"/>
          <w:szCs w:val="32"/>
          <w:rtl/>
          <w:lang w:val="en-US"/>
        </w:rPr>
        <w:t>) بلغت 58.873 عند مستوى دلالة إحصائية (</w:t>
      </w:r>
      <w:r w:rsidRPr="00342B3E">
        <w:rPr>
          <w:rFonts w:ascii="Traditional Arabic" w:eastAsia="Calibri" w:hAnsi="Traditional Arabic" w:cs="Traditional Arabic"/>
          <w:sz w:val="32"/>
          <w:szCs w:val="32"/>
          <w:lang w:val="en-US"/>
        </w:rPr>
        <w:t>Sig.=0.000</w:t>
      </w:r>
      <w:r w:rsidRPr="00342B3E">
        <w:rPr>
          <w:rFonts w:ascii="Traditional Arabic" w:eastAsia="Calibri" w:hAnsi="Traditional Arabic" w:cs="Traditional Arabic"/>
          <w:sz w:val="32"/>
          <w:szCs w:val="32"/>
          <w:rtl/>
          <w:lang w:val="en-US"/>
        </w:rPr>
        <w:t>)، مما يؤكد معنوية نموذج الانحدار وصلاحيته لتفسير أثر ممارسات إدارة المعرفة في الالتزام الوظيفي.</w:t>
      </w:r>
    </w:p>
    <w:p w14:paraId="0DDF7EDD"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وعلى مستوى أبعاد إدارة المعرفة، تبين أن مشاركة المعرفة جاءت في المرتبة الأولى من حيث قوة التأثير (</w:t>
      </w:r>
      <w:r w:rsidRPr="00342B3E">
        <w:rPr>
          <w:rFonts w:ascii="Traditional Arabic" w:eastAsia="Calibri" w:hAnsi="Traditional Arabic" w:cs="Traditional Arabic"/>
          <w:sz w:val="32"/>
          <w:szCs w:val="32"/>
          <w:lang w:val="en-US"/>
        </w:rPr>
        <w:t>Beta = 0.328</w:t>
      </w:r>
      <w:r w:rsidRPr="00342B3E">
        <w:rPr>
          <w:rFonts w:ascii="Traditional Arabic" w:eastAsia="Calibri" w:hAnsi="Traditional Arabic" w:cs="Traditional Arabic"/>
          <w:sz w:val="32"/>
          <w:szCs w:val="32"/>
          <w:rtl/>
          <w:lang w:val="en-US"/>
        </w:rPr>
        <w:t>)، تلتها اكتساب المعرفة (</w:t>
      </w:r>
      <w:r w:rsidRPr="00342B3E">
        <w:rPr>
          <w:rFonts w:ascii="Traditional Arabic" w:eastAsia="Calibri" w:hAnsi="Traditional Arabic" w:cs="Traditional Arabic"/>
          <w:sz w:val="32"/>
          <w:szCs w:val="32"/>
          <w:lang w:val="en-US"/>
        </w:rPr>
        <w:t>Beta = 0.204</w:t>
      </w:r>
      <w:r w:rsidRPr="00342B3E">
        <w:rPr>
          <w:rFonts w:ascii="Traditional Arabic" w:eastAsia="Calibri" w:hAnsi="Traditional Arabic" w:cs="Traditional Arabic"/>
          <w:sz w:val="32"/>
          <w:szCs w:val="32"/>
          <w:rtl/>
          <w:lang w:val="en-US"/>
        </w:rPr>
        <w:t>)، ثم تطبيق المعرفة (</w:t>
      </w:r>
      <w:r w:rsidRPr="00342B3E">
        <w:rPr>
          <w:rFonts w:ascii="Traditional Arabic" w:eastAsia="Calibri" w:hAnsi="Traditional Arabic" w:cs="Traditional Arabic"/>
          <w:sz w:val="32"/>
          <w:szCs w:val="32"/>
          <w:lang w:val="en-US"/>
        </w:rPr>
        <w:t>Beta = 0.187</w:t>
      </w:r>
      <w:r w:rsidRPr="00342B3E">
        <w:rPr>
          <w:rFonts w:ascii="Traditional Arabic" w:eastAsia="Calibri" w:hAnsi="Traditional Arabic" w:cs="Traditional Arabic"/>
          <w:sz w:val="32"/>
          <w:szCs w:val="32"/>
          <w:rtl/>
          <w:lang w:val="en-US"/>
        </w:rPr>
        <w:t>)، وجميعها ذات تأثير موجب ودال إحصائيًا عند مستوى الدلالة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w:t>
      </w:r>
    </w:p>
    <w:p w14:paraId="5212A7CB"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وبناءً على النتائج السابقة، تقبل الفرضية البديلة (</w:t>
      </w:r>
      <w:r w:rsidRPr="00342B3E">
        <w:rPr>
          <w:rFonts w:ascii="Traditional Arabic" w:eastAsia="Calibri" w:hAnsi="Traditional Arabic" w:cs="Traditional Arabic"/>
          <w:sz w:val="32"/>
          <w:szCs w:val="32"/>
          <w:lang w:val="en-US"/>
        </w:rPr>
        <w:t>H1.4</w:t>
      </w:r>
      <w:r w:rsidRPr="00342B3E">
        <w:rPr>
          <w:rFonts w:ascii="Traditional Arabic" w:eastAsia="Calibri" w:hAnsi="Traditional Arabic" w:cs="Traditional Arabic"/>
          <w:sz w:val="32"/>
          <w:szCs w:val="32"/>
          <w:rtl/>
          <w:lang w:val="en-US"/>
        </w:rPr>
        <w:t>)، التي تنص على وجود أثر ذي دلالة إحصائية عند مستوى الدلالة (</w:t>
      </w:r>
      <w:r w:rsidRPr="00342B3E">
        <w:rPr>
          <w:rFonts w:ascii="Times New Roman" w:eastAsia="Calibri" w:hAnsi="Times New Roman" w:cs="Times New Roman"/>
          <w:sz w:val="32"/>
          <w:szCs w:val="32"/>
          <w:lang w:val="en-US"/>
        </w:rPr>
        <w:t>α</w:t>
      </w:r>
      <w:r w:rsidRPr="00342B3E">
        <w:rPr>
          <w:rFonts w:ascii="Traditional Arabic" w:eastAsia="Calibri" w:hAnsi="Traditional Arabic" w:cs="Traditional Arabic"/>
          <w:sz w:val="32"/>
          <w:szCs w:val="32"/>
          <w:lang w:val="en-US"/>
        </w:rPr>
        <w:t xml:space="preserve"> </w:t>
      </w:r>
      <w:r w:rsidRPr="00342B3E">
        <w:rPr>
          <w:rFonts w:ascii="Times New Roman" w:eastAsia="Calibri" w:hAnsi="Times New Roman" w:cs="Times New Roman"/>
          <w:sz w:val="32"/>
          <w:szCs w:val="32"/>
          <w:lang w:val="en-US"/>
        </w:rPr>
        <w:t>≤</w:t>
      </w:r>
      <w:r w:rsidRPr="00342B3E">
        <w:rPr>
          <w:rFonts w:ascii="Traditional Arabic" w:eastAsia="Calibri" w:hAnsi="Traditional Arabic" w:cs="Traditional Arabic"/>
          <w:sz w:val="32"/>
          <w:szCs w:val="32"/>
          <w:lang w:val="en-US"/>
        </w:rPr>
        <w:t xml:space="preserve"> 0.05</w:t>
      </w:r>
      <w:r w:rsidRPr="00342B3E">
        <w:rPr>
          <w:rFonts w:ascii="Traditional Arabic" w:eastAsia="Calibri" w:hAnsi="Traditional Arabic" w:cs="Traditional Arabic"/>
          <w:sz w:val="32"/>
          <w:szCs w:val="32"/>
          <w:rtl/>
          <w:lang w:val="en-US"/>
        </w:rPr>
        <w:t>) لممارسات إدارة المعرفة مجتمعة في الالتزام الوظيفي للعاملين في شركة موبايلي السعودية للاتصالات.</w:t>
      </w:r>
    </w:p>
    <w:p w14:paraId="30BC09D6"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lastRenderedPageBreak/>
        <w:t>وتشير هذه النتيجة إلى أن ممارسات إدارة المعرفة تسهم في تعزيز الالتزام الوظيفي من خلال توفير بيئة عمل قائمة على التعلم المستمر، وتبادل الخبرات، وإتاحة المعلومات اللازمة للعاملين، مما يعزز شعورهم بالانتماء والمسؤولية تجاه المنظمة. إلا أن قوة التأثير جاءت أقل من بقية أبعاد الأداء، وهو ما يمكن تفسيره بأن الالتزام الوظيفي يتأثر بمجموعة واسعة من العوامل، مثل العدالة التنظيمية، والقيادة، والرضا الوظيفي، والحوافز، والثقافة التنظيمية، ولا يعتمد على إدارة المعرفة وحدها</w:t>
      </w:r>
      <w:r w:rsidRPr="00342B3E">
        <w:rPr>
          <w:rFonts w:ascii="Traditional Arabic" w:eastAsia="Calibri" w:hAnsi="Traditional Arabic" w:cs="Traditional Arabic"/>
          <w:sz w:val="32"/>
          <w:szCs w:val="32"/>
          <w:lang w:val="en-US" w:bidi="ar-AE"/>
        </w:rPr>
        <w:t>.</w:t>
      </w:r>
    </w:p>
    <w:p w14:paraId="38D23095"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وتتفق هذه النتيجة مع الأدبيات التي تؤكد أن إدارة المعرفة تسهم في تعزيز ارتباط العاملين بمنظماتهم من خلال توفير بيئة عمل داعمة للتعلم والتطوير، كما تنسجم مع نتائج الدراسات السابقة التي أشارت إلى وجود علاقة إيجابية بين ممارسات إدارة المعرفة ومستويات الالتزام الوظيفي. ويمكن تفسير هذه النتيجة بطبيعة شركة موبايلي، التي تعتمد على الكفاءات البشرية والمعرفة التنظيمية في تحقيق أهدافها، مما يجعل إدارة المعرفة أحد العوامل الداعمة للالتزام، وإن لم تكن العامل الوحيد المؤثر فيه</w:t>
      </w:r>
      <w:r w:rsidRPr="00342B3E">
        <w:rPr>
          <w:rFonts w:ascii="Traditional Arabic" w:eastAsia="Calibri" w:hAnsi="Traditional Arabic" w:cs="Traditional Arabic"/>
          <w:sz w:val="32"/>
          <w:szCs w:val="32"/>
          <w:lang w:val="en-US" w:bidi="ar-AE"/>
        </w:rPr>
        <w:t>.</w:t>
      </w:r>
    </w:p>
    <w:p w14:paraId="729E95CC"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وتنسجم هذه النتيجة مع الإطار النظري للدراسة الذي يشير إلى أن ممارسات إدارة المعرفة تسهم في تعزيز الالتزام الوظيفي من خلال توفير بيئة عمل قائمة على التعلم المستمر، وتبادل المعرفة، وتنمية قدرات العاملين، بما يعزز شعورهم بالانتماء والمشاركة في تحقيق أهداف المنظمة. كما تتفق هذه النتيجة مع عدد من الدراسات السابقة التي أشارت إلى وجود علاقة إيجابية بين إدارة المعرفة والالتزام الوظيفي، ويمكن تفسير هذا الاتفاق بتشابه المنطلقات النظرية التي تؤكد أهمية المعرفة في دعم السلوك التنظيمي الإيجابي. أما الاختلاف في قوة العلاقة بين الدراسة الحالية وبعض الدراسات السابقة، فقد يُعزى إلى اختلاف طبيعة المجتمعات محل الدراسة، ومستوى الممارسات الإدارية، والثقافة التنظيمية، وأنظمة الحوافز والتطوير الوظيفي</w:t>
      </w:r>
      <w:r w:rsidRPr="00342B3E">
        <w:rPr>
          <w:rFonts w:ascii="Traditional Arabic" w:eastAsia="Calibri" w:hAnsi="Traditional Arabic" w:cs="Traditional Arabic"/>
          <w:sz w:val="32"/>
          <w:szCs w:val="32"/>
          <w:lang w:val="en-US" w:bidi="ar-AE"/>
        </w:rPr>
        <w:t>.</w:t>
      </w:r>
    </w:p>
    <w:p w14:paraId="48E5B2DD"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lastRenderedPageBreak/>
        <w:t>وتبرز هذه النتيجة أن الالتزام الوظيفي، رغم تأثره الإيجابي بممارسات إدارة المعرفة، يعد من أكثر أبعاد الأداء ارتباطًا بعوامل تنظيمية وإنسانية أخرى، مثل العدالة التنظيمية، والقيادة، والرضا الوظيفي، ونظم الحوافز، وفرص التطور المهني. ويشير ذلك إلى أن تعزيز الالتزام الوظيفي يتطلب تبني رؤية إدارية متكاملة تجمع بين إدارة المعرفة والممارسات الإدارية الداعمة، بما يسهم في بناء بيئة عمل مستقرة ومحفزة، ويعزز استدامة الأداء المؤسسي</w:t>
      </w:r>
      <w:r w:rsidRPr="00342B3E">
        <w:rPr>
          <w:rFonts w:ascii="Traditional Arabic" w:eastAsia="Calibri" w:hAnsi="Traditional Arabic" w:cs="Traditional Arabic"/>
          <w:sz w:val="32"/>
          <w:szCs w:val="32"/>
          <w:lang w:val="en-US" w:bidi="ar-AE"/>
        </w:rPr>
        <w:t>.</w:t>
      </w:r>
    </w:p>
    <w:p w14:paraId="2F0B9696"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p>
    <w:p w14:paraId="6A9CCB36" w14:textId="77777777" w:rsidR="00342B3E" w:rsidRPr="00342B3E" w:rsidRDefault="00342B3E" w:rsidP="00342B3E">
      <w:pPr>
        <w:bidi/>
        <w:spacing w:line="360" w:lineRule="auto"/>
        <w:jc w:val="both"/>
        <w:rPr>
          <w:rFonts w:ascii="Traditional Arabic" w:eastAsia="Calibri" w:hAnsi="Traditional Arabic" w:cs="Traditional Arabic"/>
          <w:b/>
          <w:bCs/>
          <w:sz w:val="32"/>
          <w:szCs w:val="32"/>
          <w:lang w:val="en-US" w:bidi="ar-AE"/>
        </w:rPr>
      </w:pPr>
      <w:r w:rsidRPr="00342B3E">
        <w:rPr>
          <w:rFonts w:ascii="Traditional Arabic" w:eastAsia="Calibri" w:hAnsi="Traditional Arabic" w:cs="Traditional Arabic"/>
          <w:b/>
          <w:bCs/>
          <w:sz w:val="32"/>
          <w:szCs w:val="32"/>
          <w:rtl/>
          <w:lang w:val="en-US" w:bidi="ar-AE"/>
        </w:rPr>
        <w:t>4.6 ملخص الفصل</w:t>
      </w:r>
    </w:p>
    <w:p w14:paraId="1C2CC4D7" w14:textId="77777777" w:rsidR="00342B3E" w:rsidRPr="00342B3E" w:rsidRDefault="00342B3E" w:rsidP="00342B3E">
      <w:pPr>
        <w:bidi/>
        <w:spacing w:line="360" w:lineRule="auto"/>
        <w:jc w:val="both"/>
        <w:rPr>
          <w:rFonts w:ascii="Traditional Arabic" w:eastAsia="Calibri" w:hAnsi="Traditional Arabic" w:cs="Traditional Arabic"/>
          <w:sz w:val="32"/>
          <w:szCs w:val="32"/>
          <w:rtl/>
          <w:lang w:val="en-US" w:bidi="ar-AE"/>
        </w:rPr>
      </w:pPr>
      <w:r w:rsidRPr="00342B3E">
        <w:rPr>
          <w:rFonts w:ascii="Traditional Arabic" w:eastAsia="Calibri" w:hAnsi="Traditional Arabic" w:cs="Traditional Arabic"/>
          <w:sz w:val="32"/>
          <w:szCs w:val="32"/>
          <w:rtl/>
          <w:lang w:val="en-US"/>
        </w:rPr>
        <w:t>تناول هذا الفصل عرض نتائج الدراسة الميدانية وتحليلها ومناقشتها في ضوء أهداف الدراسة وتساؤلاتها وفرضياتها، وذلك بالاعتماد على البيانات التي تم جمعها من أفراد عينة الدراسة وتحليلها باستخدام الأساليب الإحصائية المناسبة</w:t>
      </w:r>
      <w:r w:rsidRPr="00342B3E">
        <w:rPr>
          <w:rFonts w:ascii="Traditional Arabic" w:eastAsia="Calibri" w:hAnsi="Traditional Arabic" w:cs="Traditional Arabic"/>
          <w:sz w:val="32"/>
          <w:szCs w:val="32"/>
          <w:lang w:val="en-US" w:bidi="ar-AE"/>
        </w:rPr>
        <w:t>.</w:t>
      </w:r>
    </w:p>
    <w:p w14:paraId="7C8826FF"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واستهل الفصل بعرض نسبة الاستجابة والخصائص الديموغرافية والوظيفية لأفراد عينة الدراسة، ثم تناول النتائج الوصفية لمتغيرات الدراسة، حيث أظهرت النتائج أن مستوى ممارسات إدارة المعرفة في شركة موبايلي السعودية للاتصالات جاء مرتفعًا بصورة عامة، مع تفوق بعد مشاركة المعرفة، يليه اكتساب المعرفة، ثم تطبيق المعرفة. كما بينت النتائج أن مستوى أداء العاملين جاء مرتفعًا، مما يعكس وجود بيئة تنظيمية داعمة للأداء داخل الشركة</w:t>
      </w:r>
      <w:r w:rsidRPr="00342B3E">
        <w:rPr>
          <w:rFonts w:ascii="Traditional Arabic" w:eastAsia="Calibri" w:hAnsi="Traditional Arabic" w:cs="Traditional Arabic"/>
          <w:sz w:val="32"/>
          <w:szCs w:val="32"/>
          <w:lang w:val="en-US" w:bidi="ar-AE"/>
        </w:rPr>
        <w:t>.</w:t>
      </w:r>
    </w:p>
    <w:p w14:paraId="0E4CFC00"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 xml:space="preserve">وفيما يتعلق باختبار فرضيات الدراسة، أظهرت نتائج تحليل الانحدار الخطي المتعدد وجود أثر ذي دلالة إحصائية لممارسات إدارة المعرفة مجتمعة في تحسين أداء العاملين، كما تبين وجود أثر ذي دلالة إحصائية لممارسات إدارة المعرفة في كل من الكفاءة الوظيفية، والابتكار وحل المشكلات، ورضا العملاء، والالتزام الوظيفي، مع اختلاف قوة التأثير بين هذه الأبعاد. وقد أوضحت النتائج أن الابتكار وحل المشكلات كان أكثر أبعاد الأداء تأثرًا بممارسات إدارة </w:t>
      </w:r>
      <w:r w:rsidRPr="00342B3E">
        <w:rPr>
          <w:rFonts w:ascii="Traditional Arabic" w:eastAsia="Calibri" w:hAnsi="Traditional Arabic" w:cs="Traditional Arabic"/>
          <w:sz w:val="32"/>
          <w:szCs w:val="32"/>
          <w:rtl/>
          <w:lang w:val="en-US"/>
        </w:rPr>
        <w:lastRenderedPageBreak/>
        <w:t>المعرفة، في حين جاء الالتزام الوظيفي الأقل تأثرًا، مما يعكس اختلاف طبيعة العوامل المؤثرة في كل بعد من أبعاد الأداء</w:t>
      </w:r>
      <w:r w:rsidRPr="00342B3E">
        <w:rPr>
          <w:rFonts w:ascii="Traditional Arabic" w:eastAsia="Calibri" w:hAnsi="Traditional Arabic" w:cs="Traditional Arabic"/>
          <w:sz w:val="32"/>
          <w:szCs w:val="32"/>
          <w:lang w:val="en-US" w:bidi="ar-AE"/>
        </w:rPr>
        <w:t>.</w:t>
      </w:r>
    </w:p>
    <w:p w14:paraId="3A6C4D1D"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وتؤكد النتائج بصورة عامة أهمية إدارة المعرفة بوصفها أحد المداخل الإدارية الحديثة التي تسهم في تطوير أداء العاملين وتحسين كفاءة المنظمات، الأمر الذي يبرز ضرورة الاهتمام بتعزيز ممارسات اكتساب المعرفة، ومشاركتها، وتطبيقها داخل شركة موبايلي بما يدعم تحقيق أهدافها الإستراتيجية ويعزز قدرتها التنافسية</w:t>
      </w:r>
      <w:r w:rsidRPr="00342B3E">
        <w:rPr>
          <w:rFonts w:ascii="Traditional Arabic" w:eastAsia="Calibri" w:hAnsi="Traditional Arabic" w:cs="Traditional Arabic"/>
          <w:sz w:val="32"/>
          <w:szCs w:val="32"/>
          <w:lang w:val="en-US" w:bidi="ar-AE"/>
        </w:rPr>
        <w:t>.</w:t>
      </w:r>
    </w:p>
    <w:p w14:paraId="67D72574"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ويمهد هذا الفصل للانتقال إلى الفصل الخامس، الذي يتناول ملخص الدراسة، والاستنتاجات الرئيسة، والتوصيات العملية، إضافة إلى المقترحات الخاصة بالدراسات المستقبلية</w:t>
      </w:r>
      <w:r w:rsidRPr="00342B3E">
        <w:rPr>
          <w:rFonts w:ascii="Traditional Arabic" w:eastAsia="Calibri" w:hAnsi="Traditional Arabic" w:cs="Traditional Arabic"/>
          <w:sz w:val="32"/>
          <w:szCs w:val="32"/>
          <w:lang w:val="en-US" w:bidi="ar-AE"/>
        </w:rPr>
        <w:t>.</w:t>
      </w:r>
    </w:p>
    <w:p w14:paraId="43C4BDC4"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وتشير النتائج التي توصلت إليها الدراسة إلى أن ممارسات إدارة المعرفة تمثل أحد العوامل المؤثرة في تحسين أداء العاملين في شركة موبايلي، إلا أن قوة هذا التأثير اختلفت باختلاف أبعاد الأداء، حيث كان أثرها أكبر في الابتكار وحل المشكلات، يليه الكفاءة الوظيفية، ثم رضا العملاء، وأخيرًا الالتزام الوظيفي. ويعكس هذا التباين اختلاف طبيعة العوامل المؤثرة في كل بعد من أبعاد الأداء، ويؤكد أن إدارة المعرفة تمثل عنصرًا مهمًا في تحسين الأداء، لكنها تعمل بصورة تكاملية مع عوامل تنظيمية وإدارية أخرى</w:t>
      </w:r>
      <w:r w:rsidRPr="00342B3E">
        <w:rPr>
          <w:rFonts w:ascii="Traditional Arabic" w:eastAsia="Calibri" w:hAnsi="Traditional Arabic" w:cs="Traditional Arabic"/>
          <w:sz w:val="32"/>
          <w:szCs w:val="32"/>
          <w:lang w:val="en-US" w:bidi="ar-AE"/>
        </w:rPr>
        <w:t>.</w:t>
      </w:r>
    </w:p>
    <w:p w14:paraId="6DB0CDE2"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r w:rsidRPr="00342B3E">
        <w:rPr>
          <w:rFonts w:ascii="Traditional Arabic" w:eastAsia="Calibri" w:hAnsi="Traditional Arabic" w:cs="Traditional Arabic"/>
          <w:sz w:val="32"/>
          <w:szCs w:val="32"/>
          <w:rtl/>
          <w:lang w:val="en-US"/>
        </w:rPr>
        <w:t>وتوفر هذه النتائج أساسًا علميًا لبناء الاستنتاجات والتوصيات التي سيتم عرضها في الفصل الخامس، كما تسهم في تقديم فهم أكثر عمقًا للعلاقة بين إدارة المعرفة وأداء العاملين في قطاع الاتصالات، بما يدعم متخذي القرار في تطوير السياسات والممارسات الإدارية التي تعزز الاستفادة من المعرفة في تحقيق الأداء المؤسسي المتميز</w:t>
      </w:r>
      <w:r w:rsidRPr="00342B3E">
        <w:rPr>
          <w:rFonts w:ascii="Traditional Arabic" w:eastAsia="Calibri" w:hAnsi="Traditional Arabic" w:cs="Traditional Arabic"/>
          <w:sz w:val="32"/>
          <w:szCs w:val="32"/>
          <w:lang w:val="en-US" w:bidi="ar-AE"/>
        </w:rPr>
        <w:t>.</w:t>
      </w:r>
    </w:p>
    <w:p w14:paraId="32D75475" w14:textId="77777777" w:rsidR="00342B3E" w:rsidRPr="00342B3E" w:rsidRDefault="00342B3E" w:rsidP="00342B3E">
      <w:pPr>
        <w:bidi/>
        <w:spacing w:line="360" w:lineRule="auto"/>
        <w:jc w:val="both"/>
        <w:rPr>
          <w:rFonts w:ascii="Traditional Arabic" w:eastAsia="Calibri" w:hAnsi="Traditional Arabic" w:cs="Traditional Arabic"/>
          <w:sz w:val="32"/>
          <w:szCs w:val="32"/>
          <w:lang w:val="en-US" w:bidi="ar-AE"/>
        </w:rPr>
      </w:pPr>
    </w:p>
    <w:p w14:paraId="0A74986D" w14:textId="7FAACC1B" w:rsidR="00C110B2" w:rsidRPr="00342B3E" w:rsidRDefault="00D1713C" w:rsidP="00C110B2">
      <w:pPr>
        <w:bidi/>
        <w:rPr>
          <w:rFonts w:hint="cs"/>
          <w:lang w:val="en-US"/>
        </w:rPr>
      </w:pPr>
      <w:r>
        <w:rPr>
          <w:rFonts w:hint="cs"/>
          <w:rtl/>
          <w:lang w:val="en-US"/>
        </w:rPr>
        <w:t>ي</w:t>
      </w:r>
    </w:p>
    <w:p w14:paraId="73EFA732" w14:textId="77777777" w:rsidR="00C110B2" w:rsidRPr="00C110B2" w:rsidRDefault="00C110B2" w:rsidP="00C110B2">
      <w:pPr>
        <w:tabs>
          <w:tab w:val="left" w:pos="288"/>
          <w:tab w:val="center" w:pos="4680"/>
        </w:tabs>
        <w:bidi/>
        <w:spacing w:line="360" w:lineRule="auto"/>
        <w:jc w:val="center"/>
        <w:rPr>
          <w:rFonts w:ascii="Traditional Arabic" w:hAnsi="Traditional Arabic" w:cs="Traditional Arabic"/>
          <w:b/>
          <w:bCs/>
          <w:vanish/>
          <w:sz w:val="40"/>
          <w:szCs w:val="40"/>
          <w:rtl/>
          <w:lang w:val="en-US"/>
          <w:specVanish/>
        </w:rPr>
      </w:pPr>
    </w:p>
    <w:p w14:paraId="685B67EE" w14:textId="77777777" w:rsidR="00C110B2" w:rsidRPr="00C110B2" w:rsidRDefault="00C110B2" w:rsidP="00C110B2">
      <w:pPr>
        <w:rPr>
          <w:rFonts w:ascii="Traditional Arabic" w:hAnsi="Traditional Arabic" w:cs="Traditional Arabic"/>
          <w:b/>
          <w:bCs/>
          <w:vanish/>
          <w:sz w:val="40"/>
          <w:szCs w:val="40"/>
          <w:rtl/>
          <w:lang w:val="en-US"/>
          <w:specVanish/>
        </w:rPr>
      </w:pPr>
      <w:r>
        <w:rPr>
          <w:rFonts w:ascii="Traditional Arabic" w:hAnsi="Traditional Arabic" w:cs="Traditional Arabic"/>
          <w:b/>
          <w:bCs/>
          <w:sz w:val="40"/>
          <w:szCs w:val="40"/>
          <w:rtl/>
          <w:lang w:val="en-US"/>
        </w:rPr>
        <w:t xml:space="preserve"> </w:t>
      </w:r>
    </w:p>
    <w:p w14:paraId="6787C482" w14:textId="289E04F0" w:rsidR="00C110B2" w:rsidRDefault="00C110B2" w:rsidP="00C110B2">
      <w:pPr>
        <w:rPr>
          <w:rFonts w:ascii="Traditional Arabic" w:hAnsi="Traditional Arabic" w:cs="Traditional Arabic"/>
          <w:b/>
          <w:bCs/>
          <w:sz w:val="40"/>
          <w:szCs w:val="40"/>
          <w:rtl/>
          <w:lang w:val="en-US"/>
        </w:rPr>
      </w:pPr>
      <w:r>
        <w:rPr>
          <w:rFonts w:ascii="Traditional Arabic" w:hAnsi="Traditional Arabic" w:cs="Traditional Arabic"/>
          <w:b/>
          <w:bCs/>
          <w:sz w:val="40"/>
          <w:szCs w:val="40"/>
          <w:rtl/>
          <w:lang w:val="en-US"/>
        </w:rPr>
        <w:t xml:space="preserve"> </w:t>
      </w:r>
    </w:p>
    <w:p w14:paraId="51302FAC" w14:textId="77777777" w:rsidR="00C110B2" w:rsidRDefault="00C110B2">
      <w:pPr>
        <w:rPr>
          <w:rFonts w:ascii="Traditional Arabic" w:hAnsi="Traditional Arabic" w:cs="Traditional Arabic"/>
          <w:b/>
          <w:bCs/>
          <w:sz w:val="40"/>
          <w:szCs w:val="40"/>
          <w:lang w:val="en-US"/>
        </w:rPr>
      </w:pPr>
      <w:r>
        <w:rPr>
          <w:rFonts w:ascii="Traditional Arabic" w:hAnsi="Traditional Arabic" w:cs="Traditional Arabic"/>
          <w:b/>
          <w:bCs/>
          <w:sz w:val="40"/>
          <w:szCs w:val="40"/>
          <w:rtl/>
          <w:lang w:val="en-US"/>
        </w:rPr>
        <w:br w:type="page"/>
      </w:r>
    </w:p>
    <w:sectPr w:rsidR="00C110B2" w:rsidSect="00F5310D">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D40378" w14:textId="77777777" w:rsidR="004E1100" w:rsidRDefault="004E1100" w:rsidP="00BA6D4F">
      <w:pPr>
        <w:spacing w:after="0" w:line="240" w:lineRule="auto"/>
      </w:pPr>
      <w:r>
        <w:separator/>
      </w:r>
    </w:p>
  </w:endnote>
  <w:endnote w:type="continuationSeparator" w:id="0">
    <w:p w14:paraId="0F1E0CB6" w14:textId="77777777" w:rsidR="004E1100" w:rsidRDefault="004E1100"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131746"/>
      <w:docPartObj>
        <w:docPartGallery w:val="Page Numbers (Bottom of Page)"/>
        <w:docPartUnique/>
      </w:docPartObj>
    </w:sdtPr>
    <w:sdtEndPr>
      <w:rPr>
        <w:noProof/>
      </w:rPr>
    </w:sdtEndPr>
    <w:sdtContent>
      <w:p w14:paraId="6FBC68C2" w14:textId="77777777" w:rsidR="007F6900" w:rsidRDefault="007F6900">
        <w:pPr>
          <w:pStyle w:val="a7"/>
          <w:jc w:val="center"/>
        </w:pPr>
        <w:r>
          <w:fldChar w:fldCharType="begin"/>
        </w:r>
        <w:r>
          <w:instrText xml:space="preserve"> PAGE   \* MERGEFORMAT </w:instrText>
        </w:r>
        <w:r>
          <w:fldChar w:fldCharType="separate"/>
        </w:r>
        <w:r w:rsidR="00ED7D14">
          <w:rPr>
            <w:noProof/>
          </w:rPr>
          <w:t>16</w:t>
        </w:r>
        <w:r>
          <w:rPr>
            <w:noProof/>
          </w:rPr>
          <w:fldChar w:fldCharType="end"/>
        </w:r>
      </w:p>
    </w:sdtContent>
  </w:sdt>
  <w:p w14:paraId="2A0BD4E9" w14:textId="77777777" w:rsidR="007F6900" w:rsidRDefault="007F6900">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821260"/>
      <w:docPartObj>
        <w:docPartGallery w:val="Page Numbers (Bottom of Page)"/>
        <w:docPartUnique/>
      </w:docPartObj>
    </w:sdtPr>
    <w:sdtEndPr>
      <w:rPr>
        <w:noProof/>
      </w:rPr>
    </w:sdtEndPr>
    <w:sdtContent>
      <w:p w14:paraId="7C3F9BA6" w14:textId="77777777" w:rsidR="00F5310D" w:rsidRDefault="00F5310D">
        <w:pPr>
          <w:pStyle w:val="a7"/>
          <w:jc w:val="center"/>
        </w:pPr>
        <w:r>
          <w:fldChar w:fldCharType="begin"/>
        </w:r>
        <w:r>
          <w:instrText xml:space="preserve"> PAGE   \* MERGEFORMAT </w:instrText>
        </w:r>
        <w:r>
          <w:fldChar w:fldCharType="separate"/>
        </w:r>
        <w:r w:rsidR="00ED7D14">
          <w:rPr>
            <w:noProof/>
          </w:rPr>
          <w:t>1</w:t>
        </w:r>
        <w:r>
          <w:rPr>
            <w:noProof/>
          </w:rPr>
          <w:fldChar w:fldCharType="end"/>
        </w:r>
      </w:p>
    </w:sdtContent>
  </w:sdt>
  <w:p w14:paraId="2F43252B" w14:textId="77777777" w:rsidR="00F5310D" w:rsidRDefault="00F5310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3ED1B5" w14:textId="77777777" w:rsidR="004E1100" w:rsidRDefault="004E1100" w:rsidP="00BA6D4F">
      <w:pPr>
        <w:spacing w:after="0" w:line="240" w:lineRule="auto"/>
      </w:pPr>
      <w:r>
        <w:separator/>
      </w:r>
    </w:p>
  </w:footnote>
  <w:footnote w:type="continuationSeparator" w:id="0">
    <w:p w14:paraId="00F59C3D" w14:textId="77777777" w:rsidR="004E1100" w:rsidRDefault="004E1100" w:rsidP="00BA6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A67F1"/>
    <w:multiLevelType w:val="hybridMultilevel"/>
    <w:tmpl w:val="83642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056F54"/>
    <w:multiLevelType w:val="multilevel"/>
    <w:tmpl w:val="615C9BE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F666E"/>
    <w:multiLevelType w:val="multilevel"/>
    <w:tmpl w:val="AB08D9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6A56F45"/>
    <w:multiLevelType w:val="hybridMultilevel"/>
    <w:tmpl w:val="AB1AB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AF735D"/>
    <w:multiLevelType w:val="multilevel"/>
    <w:tmpl w:val="0F102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AE47B2"/>
    <w:multiLevelType w:val="multilevel"/>
    <w:tmpl w:val="78640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032343"/>
    <w:multiLevelType w:val="multilevel"/>
    <w:tmpl w:val="F23EB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58C00CB"/>
    <w:multiLevelType w:val="multilevel"/>
    <w:tmpl w:val="323C7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6B0693"/>
    <w:multiLevelType w:val="multilevel"/>
    <w:tmpl w:val="BCDC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BB6942"/>
    <w:multiLevelType w:val="multilevel"/>
    <w:tmpl w:val="CB109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350FFD"/>
    <w:multiLevelType w:val="multilevel"/>
    <w:tmpl w:val="255ED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7FC4F34"/>
    <w:multiLevelType w:val="multilevel"/>
    <w:tmpl w:val="951E0D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F25A03"/>
    <w:multiLevelType w:val="hybridMultilevel"/>
    <w:tmpl w:val="5930233C"/>
    <w:lvl w:ilvl="0" w:tplc="1226B6AC">
      <w:start w:val="1"/>
      <w:numFmt w:val="decimal"/>
      <w:lvlText w:val="%1."/>
      <w:lvlJc w:val="left"/>
      <w:pPr>
        <w:ind w:left="72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D54E34"/>
    <w:multiLevelType w:val="hybridMultilevel"/>
    <w:tmpl w:val="1D2A4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4D71224"/>
    <w:multiLevelType w:val="hybridMultilevel"/>
    <w:tmpl w:val="246E0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C04549F"/>
    <w:multiLevelType w:val="multilevel"/>
    <w:tmpl w:val="59C8E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DA542FB"/>
    <w:multiLevelType w:val="multilevel"/>
    <w:tmpl w:val="95765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34C3036"/>
    <w:multiLevelType w:val="multilevel"/>
    <w:tmpl w:val="707834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6CC76A9B"/>
    <w:multiLevelType w:val="multilevel"/>
    <w:tmpl w:val="129EA0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6E4B792E"/>
    <w:multiLevelType w:val="multilevel"/>
    <w:tmpl w:val="44B2C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467D5C"/>
    <w:multiLevelType w:val="hybridMultilevel"/>
    <w:tmpl w:val="D6AAC1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45F380B"/>
    <w:multiLevelType w:val="hybridMultilevel"/>
    <w:tmpl w:val="0C9C0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0704D0"/>
    <w:multiLevelType w:val="hybridMultilevel"/>
    <w:tmpl w:val="727A515E"/>
    <w:lvl w:ilvl="0" w:tplc="89982E2E">
      <w:start w:val="2"/>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21938834">
    <w:abstractNumId w:val="23"/>
  </w:num>
  <w:num w:numId="2" w16cid:durableId="541287132">
    <w:abstractNumId w:val="25"/>
  </w:num>
  <w:num w:numId="3" w16cid:durableId="1137793201">
    <w:abstractNumId w:val="5"/>
  </w:num>
  <w:num w:numId="4" w16cid:durableId="825707112">
    <w:abstractNumId w:val="8"/>
  </w:num>
  <w:num w:numId="5" w16cid:durableId="206332185">
    <w:abstractNumId w:val="18"/>
  </w:num>
  <w:num w:numId="6" w16cid:durableId="241180359">
    <w:abstractNumId w:val="4"/>
  </w:num>
  <w:num w:numId="7" w16cid:durableId="559440296">
    <w:abstractNumId w:val="21"/>
  </w:num>
  <w:num w:numId="8" w16cid:durableId="1452164853">
    <w:abstractNumId w:val="7"/>
  </w:num>
  <w:num w:numId="9" w16cid:durableId="200559747">
    <w:abstractNumId w:val="16"/>
  </w:num>
  <w:num w:numId="10" w16cid:durableId="1932002603">
    <w:abstractNumId w:val="17"/>
  </w:num>
  <w:num w:numId="11" w16cid:durableId="1848015570">
    <w:abstractNumId w:val="22"/>
  </w:num>
  <w:num w:numId="12" w16cid:durableId="1252086588">
    <w:abstractNumId w:val="14"/>
  </w:num>
  <w:num w:numId="13" w16cid:durableId="391855683">
    <w:abstractNumId w:val="3"/>
  </w:num>
  <w:num w:numId="14" w16cid:durableId="722488444">
    <w:abstractNumId w:val="15"/>
  </w:num>
  <w:num w:numId="15" w16cid:durableId="1266882522">
    <w:abstractNumId w:val="10"/>
  </w:num>
  <w:num w:numId="16" w16cid:durableId="1743258173">
    <w:abstractNumId w:val="1"/>
  </w:num>
  <w:num w:numId="17" w16cid:durableId="367489303">
    <w:abstractNumId w:val="0"/>
  </w:num>
  <w:num w:numId="18" w16cid:durableId="1871525268">
    <w:abstractNumId w:val="26"/>
  </w:num>
  <w:num w:numId="19" w16cid:durableId="1991858706">
    <w:abstractNumId w:val="24"/>
  </w:num>
  <w:num w:numId="20" w16cid:durableId="2073772115">
    <w:abstractNumId w:val="12"/>
  </w:num>
  <w:num w:numId="21" w16cid:durableId="1593926846">
    <w:abstractNumId w:val="2"/>
  </w:num>
  <w:num w:numId="22" w16cid:durableId="298808444">
    <w:abstractNumId w:val="13"/>
  </w:num>
  <w:num w:numId="23" w16cid:durableId="2095392869">
    <w:abstractNumId w:val="9"/>
  </w:num>
  <w:num w:numId="24" w16cid:durableId="1589385535">
    <w:abstractNumId w:val="6"/>
  </w:num>
  <w:num w:numId="25" w16cid:durableId="694038042">
    <w:abstractNumId w:val="11"/>
  </w:num>
  <w:num w:numId="26" w16cid:durableId="384256592">
    <w:abstractNumId w:val="12"/>
    <w:lvlOverride w:ilvl="0"/>
    <w:lvlOverride w:ilvl="1"/>
    <w:lvlOverride w:ilvl="2"/>
    <w:lvlOverride w:ilvl="3"/>
    <w:lvlOverride w:ilvl="4"/>
    <w:lvlOverride w:ilvl="5"/>
    <w:lvlOverride w:ilvl="6"/>
    <w:lvlOverride w:ilvl="7"/>
    <w:lvlOverride w:ilvl="8"/>
  </w:num>
  <w:num w:numId="27" w16cid:durableId="5505758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6922385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572877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4959104">
    <w:abstractNumId w:val="9"/>
    <w:lvlOverride w:ilvl="0"/>
    <w:lvlOverride w:ilvl="1"/>
    <w:lvlOverride w:ilvl="2"/>
    <w:lvlOverride w:ilvl="3"/>
    <w:lvlOverride w:ilvl="4"/>
    <w:lvlOverride w:ilvl="5"/>
    <w:lvlOverride w:ilvl="6"/>
    <w:lvlOverride w:ilvl="7"/>
    <w:lvlOverride w:ilvl="8"/>
  </w:num>
  <w:num w:numId="31" w16cid:durableId="1792819456">
    <w:abstractNumId w:val="6"/>
    <w:lvlOverride w:ilvl="0"/>
    <w:lvlOverride w:ilvl="1"/>
    <w:lvlOverride w:ilvl="2"/>
    <w:lvlOverride w:ilvl="3"/>
    <w:lvlOverride w:ilvl="4"/>
    <w:lvlOverride w:ilvl="5"/>
    <w:lvlOverride w:ilvl="6"/>
    <w:lvlOverride w:ilvl="7"/>
    <w:lvlOverride w:ilvl="8"/>
  </w:num>
  <w:num w:numId="32" w16cid:durableId="237138478">
    <w:abstractNumId w:val="1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3D0C"/>
    <w:rsid w:val="000112A5"/>
    <w:rsid w:val="000141E7"/>
    <w:rsid w:val="000533DE"/>
    <w:rsid w:val="000A6953"/>
    <w:rsid w:val="00134C67"/>
    <w:rsid w:val="001B4340"/>
    <w:rsid w:val="00282E46"/>
    <w:rsid w:val="00286636"/>
    <w:rsid w:val="003146FE"/>
    <w:rsid w:val="00342B3E"/>
    <w:rsid w:val="00355BBF"/>
    <w:rsid w:val="00355FC8"/>
    <w:rsid w:val="003663B4"/>
    <w:rsid w:val="003A3C8B"/>
    <w:rsid w:val="003D3C9F"/>
    <w:rsid w:val="003E0418"/>
    <w:rsid w:val="003E2534"/>
    <w:rsid w:val="00443D0C"/>
    <w:rsid w:val="004723FA"/>
    <w:rsid w:val="00483294"/>
    <w:rsid w:val="00492E65"/>
    <w:rsid w:val="004E1100"/>
    <w:rsid w:val="00500DBD"/>
    <w:rsid w:val="005D0570"/>
    <w:rsid w:val="00672A58"/>
    <w:rsid w:val="006C0EB5"/>
    <w:rsid w:val="006E6DD7"/>
    <w:rsid w:val="00732DCA"/>
    <w:rsid w:val="007419CC"/>
    <w:rsid w:val="007B5DFD"/>
    <w:rsid w:val="007F515C"/>
    <w:rsid w:val="007F6900"/>
    <w:rsid w:val="00907976"/>
    <w:rsid w:val="009D6275"/>
    <w:rsid w:val="00AC700A"/>
    <w:rsid w:val="00AD0094"/>
    <w:rsid w:val="00B336F7"/>
    <w:rsid w:val="00B8790A"/>
    <w:rsid w:val="00BA6D4F"/>
    <w:rsid w:val="00BC3903"/>
    <w:rsid w:val="00BC5B38"/>
    <w:rsid w:val="00BD4FB7"/>
    <w:rsid w:val="00C110B2"/>
    <w:rsid w:val="00C33B0B"/>
    <w:rsid w:val="00C33CF6"/>
    <w:rsid w:val="00C56E8B"/>
    <w:rsid w:val="00CC4178"/>
    <w:rsid w:val="00D1713C"/>
    <w:rsid w:val="00D22D82"/>
    <w:rsid w:val="00DB611F"/>
    <w:rsid w:val="00E13A59"/>
    <w:rsid w:val="00E13EA0"/>
    <w:rsid w:val="00ED7D14"/>
    <w:rsid w:val="00F311F1"/>
    <w:rsid w:val="00F5310D"/>
    <w:rsid w:val="00FD6D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8D3C7"/>
  <w15:docId w15:val="{D706AA30-58C9-41A5-99E8-846F7348A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character" w:styleId="Hyperlink">
    <w:name w:val="Hyperlink"/>
    <w:basedOn w:val="a0"/>
    <w:uiPriority w:val="99"/>
    <w:unhideWhenUsed/>
    <w:rsid w:val="00C110B2"/>
    <w:rPr>
      <w:color w:val="0000FF" w:themeColor="hyperlink"/>
      <w:u w:val="single"/>
    </w:rPr>
  </w:style>
  <w:style w:type="numbering" w:customStyle="1" w:styleId="1">
    <w:name w:val="بلا قائمة1"/>
    <w:next w:val="a2"/>
    <w:uiPriority w:val="99"/>
    <w:semiHidden/>
    <w:unhideWhenUsed/>
    <w:rsid w:val="00342B3E"/>
  </w:style>
  <w:style w:type="paragraph" w:customStyle="1" w:styleId="msonormal0">
    <w:name w:val="msonormal"/>
    <w:basedOn w:val="a"/>
    <w:rsid w:val="00342B3E"/>
    <w:pPr>
      <w:spacing w:before="100" w:beforeAutospacing="1" w:after="100" w:afterAutospacing="1" w:line="240" w:lineRule="auto"/>
    </w:pPr>
    <w:rPr>
      <w:rFonts w:ascii="Times New Roman" w:eastAsia="Times New Roman" w:hAnsi="Times New Roman" w:cs="Times New Roman"/>
      <w:sz w:val="24"/>
      <w:szCs w:val="24"/>
      <w:lang w:val="en-US"/>
    </w:rPr>
  </w:style>
  <w:style w:type="table" w:customStyle="1" w:styleId="10">
    <w:name w:val="شبكة جدول1"/>
    <w:basedOn w:val="a1"/>
    <w:next w:val="a3"/>
    <w:uiPriority w:val="59"/>
    <w:rsid w:val="00342B3E"/>
    <w:pPr>
      <w:spacing w:after="0" w:line="240" w:lineRule="auto"/>
    </w:pPr>
    <w:rPr>
      <w:rFonts w:ascii="Calibri" w:eastAsia="Calibri" w:hAnsi="Calibri" w:cs="Arial"/>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Light Shading"/>
    <w:basedOn w:val="a1"/>
    <w:uiPriority w:val="60"/>
    <w:semiHidden/>
    <w:unhideWhenUsed/>
    <w:rsid w:val="00342B3E"/>
    <w:pPr>
      <w:spacing w:after="0" w:line="240" w:lineRule="auto"/>
    </w:pPr>
    <w:rPr>
      <w:rFonts w:ascii="Calibri" w:eastAsia="Calibri" w:hAnsi="Calibri" w:cs="Arial"/>
      <w:color w:val="000000"/>
      <w:sz w:val="20"/>
      <w:szCs w:val="20"/>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553127800">
      <w:bodyDiv w:val="1"/>
      <w:marLeft w:val="0"/>
      <w:marRight w:val="0"/>
      <w:marTop w:val="0"/>
      <w:marBottom w:val="0"/>
      <w:divBdr>
        <w:top w:val="none" w:sz="0" w:space="0" w:color="auto"/>
        <w:left w:val="none" w:sz="0" w:space="0" w:color="auto"/>
        <w:bottom w:val="none" w:sz="0" w:space="0" w:color="auto"/>
        <w:right w:val="none" w:sz="0" w:space="0" w:color="auto"/>
      </w:divBdr>
    </w:div>
    <w:div w:id="1551499891">
      <w:bodyDiv w:val="1"/>
      <w:marLeft w:val="0"/>
      <w:marRight w:val="0"/>
      <w:marTop w:val="0"/>
      <w:marBottom w:val="0"/>
      <w:divBdr>
        <w:top w:val="none" w:sz="0" w:space="0" w:color="auto"/>
        <w:left w:val="none" w:sz="0" w:space="0" w:color="auto"/>
        <w:bottom w:val="none" w:sz="0" w:space="0" w:color="auto"/>
        <w:right w:val="none" w:sz="0" w:space="0" w:color="auto"/>
      </w:divBdr>
    </w:div>
    <w:div w:id="1963415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23969/jrbm.v16i2.989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16/j.jhtm.2019.11.004" TargetMode="External"/><Relationship Id="rId17" Type="http://schemas.openxmlformats.org/officeDocument/2006/relationships/hyperlink" Target="https://doi.org/10.26389/AJSRP.L100620" TargetMode="External"/><Relationship Id="rId2" Type="http://schemas.openxmlformats.org/officeDocument/2006/relationships/numbering" Target="numbering.xml"/><Relationship Id="rId16" Type="http://schemas.openxmlformats.org/officeDocument/2006/relationships/hyperlink" Target="https://doi.org/10.60083/jidt.v6i1.49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991/itmr.2018.7.1.2" TargetMode="External"/><Relationship Id="rId5" Type="http://schemas.openxmlformats.org/officeDocument/2006/relationships/webSettings" Target="webSettings.xml"/><Relationship Id="rId15" Type="http://schemas.openxmlformats.org/officeDocument/2006/relationships/hyperlink" Target="https://doi.org/10.31538/iijse.v5i1.2162"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60083/jidt.v6i1.46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EF72E-9B4B-41C2-8CB3-6AE059227B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112</Pages>
  <Words>21271</Words>
  <Characters>121250</Characters>
  <Application>Microsoft Office Word</Application>
  <DocSecurity>0</DocSecurity>
  <Lines>1010</Lines>
  <Paragraphs>284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142237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سامي</cp:lastModifiedBy>
  <cp:revision>28</cp:revision>
  <dcterms:created xsi:type="dcterms:W3CDTF">2025-06-12T21:36:00Z</dcterms:created>
  <dcterms:modified xsi:type="dcterms:W3CDTF">2026-07-05T16:23:00Z</dcterms:modified>
</cp:coreProperties>
</file>