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66433" w14:textId="77777777" w:rsidR="00D32FB9" w:rsidRPr="004C7603" w:rsidRDefault="00D32FB9" w:rsidP="00D32FB9">
      <w:pPr>
        <w:rPr>
          <w:rFonts w:ascii="Sakkal Majalla" w:hAnsi="Sakkal Majalla" w:cs="Sakkal Majalla"/>
          <w:sz w:val="28"/>
          <w:szCs w:val="28"/>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25B302BB" wp14:editId="5F7C73B5">
            <wp:simplePos x="0" y="0"/>
            <wp:positionH relativeFrom="margin">
              <wp:posOffset>-606425</wp:posOffset>
            </wp:positionH>
            <wp:positionV relativeFrom="margin">
              <wp:posOffset>-393700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C7603">
        <w:rPr>
          <w:rFonts w:ascii="Sakkal Majalla" w:hAnsi="Sakkal Majalla" w:cs="Sakkal Majalla"/>
          <w:sz w:val="28"/>
          <w:szCs w:val="28"/>
          <w:rtl/>
          <w:lang w:bidi="ar-EG"/>
        </w:rPr>
        <w:t xml:space="preserve">جامعة ميدأوشن </w:t>
      </w:r>
    </w:p>
    <w:p w14:paraId="3D0EECAB" w14:textId="77777777" w:rsidR="00D32FB9" w:rsidRPr="004C7603" w:rsidRDefault="00D32FB9" w:rsidP="00D32FB9">
      <w:pPr>
        <w:rPr>
          <w:rFonts w:ascii="Sakkal Majalla" w:hAnsi="Sakkal Majalla" w:cs="Sakkal Majalla"/>
          <w:sz w:val="28"/>
          <w:szCs w:val="28"/>
          <w:rtl/>
          <w:lang w:bidi="ar-EG"/>
        </w:rPr>
      </w:pPr>
      <w:r w:rsidRPr="004C7603">
        <w:rPr>
          <w:rFonts w:ascii="Sakkal Majalla" w:hAnsi="Sakkal Majalla" w:cs="Sakkal Majalla"/>
          <w:sz w:val="28"/>
          <w:szCs w:val="28"/>
          <w:lang w:bidi="ar-EG"/>
        </w:rPr>
        <w:t xml:space="preserve">    </w:t>
      </w:r>
      <w:r w:rsidRPr="004C7603">
        <w:rPr>
          <w:rFonts w:ascii="Sakkal Majalla" w:hAnsi="Sakkal Majalla" w:cs="Sakkal Majalla"/>
          <w:sz w:val="28"/>
          <w:szCs w:val="28"/>
          <w:rtl/>
          <w:lang w:bidi="ar-EG"/>
        </w:rPr>
        <w:t xml:space="preserve">كلية الإدارة </w:t>
      </w:r>
    </w:p>
    <w:p w14:paraId="009A246E" w14:textId="7D74058D" w:rsidR="00D32FB9" w:rsidRPr="004C7603" w:rsidRDefault="00D32FB9" w:rsidP="00D32FB9">
      <w:pPr>
        <w:tabs>
          <w:tab w:val="left" w:pos="1697"/>
        </w:tabs>
        <w:rPr>
          <w:rFonts w:ascii="Sakkal Majalla" w:hAnsi="Sakkal Majalla" w:cs="Sakkal Majalla"/>
          <w:sz w:val="28"/>
          <w:szCs w:val="28"/>
          <w:rtl/>
          <w:lang w:bidi="ar-EG"/>
        </w:rPr>
      </w:pPr>
      <w:r w:rsidRPr="004C7603">
        <w:rPr>
          <w:rFonts w:ascii="Sakkal Majalla" w:hAnsi="Sakkal Majalla" w:cs="Sakkal Majalla"/>
          <w:sz w:val="28"/>
          <w:szCs w:val="28"/>
          <w:rtl/>
          <w:lang w:bidi="ar-EG"/>
        </w:rPr>
        <w:t>تخصص</w:t>
      </w:r>
      <w:r w:rsidRPr="004C7603">
        <w:rPr>
          <w:rFonts w:ascii="Sakkal Majalla" w:hAnsi="Sakkal Majalla" w:cs="Sakkal Majalla"/>
          <w:sz w:val="28"/>
          <w:szCs w:val="28"/>
          <w:lang w:bidi="ar-EG"/>
        </w:rPr>
        <w:t xml:space="preserve"> </w:t>
      </w:r>
      <w:r w:rsidRPr="004C7603">
        <w:rPr>
          <w:rFonts w:ascii="Sakkal Majalla" w:hAnsi="Sakkal Majalla" w:cs="Sakkal Majalla"/>
          <w:sz w:val="28"/>
          <w:szCs w:val="28"/>
          <w:rtl/>
        </w:rPr>
        <w:t xml:space="preserve"> إدارة المشاريع</w:t>
      </w:r>
      <w:r w:rsidRPr="004C7603">
        <w:rPr>
          <w:rFonts w:ascii="Sakkal Majalla" w:hAnsi="Sakkal Majalla" w:cs="Sakkal Majalla"/>
          <w:sz w:val="28"/>
          <w:szCs w:val="28"/>
          <w:rtl/>
          <w:lang w:bidi="ar-EG"/>
        </w:rPr>
        <w:tab/>
      </w:r>
      <w:r w:rsidRPr="004C7603">
        <w:rPr>
          <w:rFonts w:ascii="Sakkal Majalla" w:hAnsi="Sakkal Majalla" w:cs="Sakkal Majalla"/>
          <w:sz w:val="28"/>
          <w:szCs w:val="28"/>
          <w:rtl/>
          <w:lang w:bidi="ar-EG"/>
        </w:rPr>
        <w:tab/>
      </w:r>
      <w:r w:rsidRPr="004C7603">
        <w:rPr>
          <w:rFonts w:ascii="Sakkal Majalla" w:hAnsi="Sakkal Majalla" w:cs="Sakkal Majalla"/>
          <w:sz w:val="28"/>
          <w:szCs w:val="28"/>
          <w:rtl/>
          <w:lang w:bidi="ar-EG"/>
        </w:rPr>
        <w:tab/>
      </w:r>
      <w:r w:rsidRPr="004C7603">
        <w:rPr>
          <w:rFonts w:ascii="Sakkal Majalla" w:hAnsi="Sakkal Majalla" w:cs="Sakkal Majalla"/>
          <w:sz w:val="28"/>
          <w:szCs w:val="28"/>
          <w:rtl/>
          <w:lang w:bidi="ar-EG"/>
        </w:rPr>
        <w:tab/>
      </w:r>
    </w:p>
    <w:p w14:paraId="34744E4D" w14:textId="77777777" w:rsidR="00D32FB9" w:rsidRPr="004C7603" w:rsidRDefault="00D32FB9" w:rsidP="00D32FB9">
      <w:pPr>
        <w:rPr>
          <w:rFonts w:ascii="Sakkal Majalla" w:hAnsi="Sakkal Majalla" w:cs="Sakkal Majalla"/>
          <w:sz w:val="28"/>
          <w:szCs w:val="28"/>
          <w:rtl/>
          <w:lang w:bidi="ar-EG"/>
        </w:rPr>
      </w:pPr>
    </w:p>
    <w:p w14:paraId="6CECBE9B" w14:textId="77777777" w:rsidR="00D32FB9" w:rsidRPr="004C7603" w:rsidRDefault="00D32FB9" w:rsidP="00D32FB9">
      <w:pPr>
        <w:rPr>
          <w:rFonts w:ascii="Sakkal Majalla" w:hAnsi="Sakkal Majalla" w:cs="Sakkal Majalla"/>
          <w:sz w:val="28"/>
          <w:szCs w:val="28"/>
          <w:rtl/>
        </w:rPr>
      </w:pPr>
    </w:p>
    <w:p w14:paraId="51593575" w14:textId="77777777" w:rsidR="00D32FB9" w:rsidRPr="004C7603" w:rsidRDefault="00D32FB9" w:rsidP="00D32FB9">
      <w:pPr>
        <w:rPr>
          <w:rFonts w:ascii="Sakkal Majalla" w:hAnsi="Sakkal Majalla" w:cs="Sakkal Majalla"/>
          <w:sz w:val="28"/>
          <w:szCs w:val="28"/>
          <w:rtl/>
          <w:lang w:bidi="ar-EG"/>
        </w:rPr>
      </w:pPr>
    </w:p>
    <w:p w14:paraId="6664B65F" w14:textId="77777777" w:rsidR="00D32FB9" w:rsidRPr="004C7603" w:rsidRDefault="00D32FB9" w:rsidP="00D32FB9">
      <w:pPr>
        <w:jc w:val="center"/>
        <w:rPr>
          <w:rFonts w:ascii="Sakkal Majalla" w:hAnsi="Sakkal Majalla" w:cs="Sakkal Majalla"/>
          <w:sz w:val="28"/>
          <w:szCs w:val="28"/>
          <w:rtl/>
          <w:lang w:bidi="ar-EG"/>
        </w:rPr>
      </w:pPr>
    </w:p>
    <w:p w14:paraId="40B557CB" w14:textId="4CFD42BC" w:rsidR="00D32FB9" w:rsidRPr="00AB1BF2" w:rsidRDefault="00AA0AD4" w:rsidP="00D32FB9">
      <w:pPr>
        <w:jc w:val="center"/>
        <w:rPr>
          <w:rFonts w:ascii="Sakkal Majalla" w:hAnsi="Sakkal Majalla" w:cs="Sakkal Majalla"/>
          <w:sz w:val="32"/>
          <w:szCs w:val="32"/>
          <w:rtl/>
        </w:rPr>
      </w:pPr>
      <w:proofErr w:type="gramStart"/>
      <w:r>
        <w:rPr>
          <w:rFonts w:ascii="Sakkal Majalla" w:hAnsi="Sakkal Majalla" w:cs="Sakkal Majalla" w:hint="cs"/>
          <w:b/>
          <w:bCs/>
          <w:sz w:val="40"/>
          <w:szCs w:val="40"/>
          <w:rtl/>
        </w:rPr>
        <w:t>الاطار</w:t>
      </w:r>
      <w:proofErr w:type="gramEnd"/>
      <w:r>
        <w:rPr>
          <w:rFonts w:ascii="Sakkal Majalla" w:hAnsi="Sakkal Majalla" w:cs="Sakkal Majalla" w:hint="cs"/>
          <w:b/>
          <w:bCs/>
          <w:sz w:val="40"/>
          <w:szCs w:val="40"/>
          <w:rtl/>
        </w:rPr>
        <w:t xml:space="preserve"> النظري لدراسة </w:t>
      </w:r>
      <w:r w:rsidR="00D32FB9" w:rsidRPr="00AB1BF2">
        <w:rPr>
          <w:rFonts w:ascii="Sakkal Majalla" w:hAnsi="Sakkal Majalla" w:cs="Sakkal Majalla"/>
          <w:b/>
          <w:bCs/>
          <w:sz w:val="40"/>
          <w:szCs w:val="40"/>
          <w:rtl/>
        </w:rPr>
        <w:t>أثر التحول الرقمي ومستوى تطبيق الحوكمة على نجاح المشاريع الحكومية في المملكة العربية السعودية</w:t>
      </w:r>
    </w:p>
    <w:p w14:paraId="07F5D533" w14:textId="77777777" w:rsidR="00D32FB9" w:rsidRPr="007E01D0" w:rsidRDefault="00D32FB9" w:rsidP="00D32FB9">
      <w:pPr>
        <w:jc w:val="center"/>
        <w:rPr>
          <w:rFonts w:ascii="Sakkal Majalla" w:hAnsi="Sakkal Majalla" w:cs="Sakkal Majalla"/>
          <w:sz w:val="32"/>
          <w:szCs w:val="32"/>
          <w:rtl/>
          <w:lang w:bidi="ar-EG"/>
        </w:rPr>
      </w:pPr>
    </w:p>
    <w:p w14:paraId="7D00BFD1" w14:textId="77777777" w:rsidR="00D32FB9" w:rsidRPr="007E01D0" w:rsidRDefault="00D32FB9" w:rsidP="00D32FB9">
      <w:pPr>
        <w:jc w:val="center"/>
        <w:rPr>
          <w:rFonts w:ascii="Sakkal Majalla" w:hAnsi="Sakkal Majalla" w:cs="Sakkal Majalla"/>
          <w:sz w:val="32"/>
          <w:szCs w:val="32"/>
          <w:rtl/>
          <w:lang w:bidi="ar-EG"/>
        </w:rPr>
      </w:pPr>
    </w:p>
    <w:p w14:paraId="20CBC145" w14:textId="77777777" w:rsidR="00D32FB9" w:rsidRPr="007E01D0" w:rsidRDefault="00D32FB9" w:rsidP="00D32FB9">
      <w:pPr>
        <w:jc w:val="center"/>
        <w:rPr>
          <w:rFonts w:ascii="Sakkal Majalla" w:hAnsi="Sakkal Majalla" w:cs="Sakkal Majalla"/>
          <w:b/>
          <w:bCs/>
          <w:sz w:val="32"/>
          <w:szCs w:val="32"/>
          <w:rtl/>
          <w:lang w:bidi="ar-EG"/>
        </w:rPr>
      </w:pPr>
      <w:r w:rsidRPr="007E01D0">
        <w:rPr>
          <w:rFonts w:ascii="Sakkal Majalla" w:hAnsi="Sakkal Majalla" w:cs="Sakkal Majalla"/>
          <w:b/>
          <w:bCs/>
          <w:sz w:val="32"/>
          <w:szCs w:val="32"/>
          <w:rtl/>
          <w:lang w:bidi="ar-EG"/>
        </w:rPr>
        <w:t>إعداد /</w:t>
      </w:r>
    </w:p>
    <w:p w14:paraId="43C22FC9" w14:textId="77777777" w:rsidR="00D32FB9" w:rsidRPr="007E01D0" w:rsidRDefault="00D32FB9" w:rsidP="00D32FB9">
      <w:pPr>
        <w:jc w:val="center"/>
        <w:rPr>
          <w:rFonts w:ascii="Sakkal Majalla" w:hAnsi="Sakkal Majalla" w:cs="Sakkal Majalla"/>
          <w:b/>
          <w:bCs/>
          <w:sz w:val="32"/>
          <w:szCs w:val="32"/>
          <w:rtl/>
          <w:lang w:bidi="ar-EG"/>
        </w:rPr>
      </w:pPr>
      <w:r w:rsidRPr="007E01D0">
        <w:rPr>
          <w:rFonts w:ascii="Sakkal Majalla" w:hAnsi="Sakkal Majalla" w:cs="Sakkal Majalla"/>
          <w:b/>
          <w:bCs/>
          <w:sz w:val="32"/>
          <w:szCs w:val="32"/>
          <w:rtl/>
          <w:lang w:bidi="ar-EG"/>
        </w:rPr>
        <w:t>فيصل بن عيضه بن عوض الثقفي</w:t>
      </w:r>
    </w:p>
    <w:p w14:paraId="0BB002F2" w14:textId="77777777" w:rsidR="00D32FB9" w:rsidRPr="007E01D0" w:rsidRDefault="00D32FB9" w:rsidP="00D32FB9">
      <w:pPr>
        <w:jc w:val="center"/>
        <w:rPr>
          <w:rFonts w:ascii="Sakkal Majalla" w:hAnsi="Sakkal Majalla" w:cs="Sakkal Majalla"/>
          <w:b/>
          <w:bCs/>
          <w:sz w:val="32"/>
          <w:szCs w:val="32"/>
          <w:rtl/>
          <w:lang w:bidi="ar-EG"/>
        </w:rPr>
      </w:pPr>
    </w:p>
    <w:p w14:paraId="7A6DB7FB" w14:textId="77777777" w:rsidR="00D32FB9" w:rsidRPr="007E01D0" w:rsidRDefault="00D32FB9" w:rsidP="00D32FB9">
      <w:pPr>
        <w:jc w:val="center"/>
        <w:rPr>
          <w:rFonts w:ascii="Sakkal Majalla" w:hAnsi="Sakkal Majalla" w:cs="Sakkal Majalla"/>
          <w:b/>
          <w:bCs/>
          <w:sz w:val="32"/>
          <w:szCs w:val="32"/>
          <w:rtl/>
          <w:lang w:bidi="ar-EG"/>
        </w:rPr>
      </w:pPr>
    </w:p>
    <w:p w14:paraId="5E380F9E" w14:textId="77777777" w:rsidR="00D32FB9" w:rsidRPr="007E01D0" w:rsidRDefault="00D32FB9" w:rsidP="00D32FB9">
      <w:pPr>
        <w:jc w:val="center"/>
        <w:rPr>
          <w:rFonts w:ascii="Sakkal Majalla" w:hAnsi="Sakkal Majalla" w:cs="Sakkal Majalla"/>
          <w:b/>
          <w:bCs/>
          <w:sz w:val="32"/>
          <w:szCs w:val="32"/>
          <w:rtl/>
          <w:lang w:bidi="ar-EG"/>
        </w:rPr>
      </w:pPr>
      <w:r w:rsidRPr="007E01D0">
        <w:rPr>
          <w:rFonts w:ascii="Sakkal Majalla" w:hAnsi="Sakkal Majalla" w:cs="Sakkal Majalla"/>
          <w:b/>
          <w:bCs/>
          <w:sz w:val="32"/>
          <w:szCs w:val="32"/>
          <w:rtl/>
          <w:lang w:bidi="ar-EG"/>
        </w:rPr>
        <w:t>إشراف/</w:t>
      </w:r>
    </w:p>
    <w:p w14:paraId="27BC0EC5" w14:textId="77777777" w:rsidR="00D32FB9" w:rsidRDefault="00D32FB9" w:rsidP="00D32FB9">
      <w:pPr>
        <w:jc w:val="center"/>
        <w:rPr>
          <w:rFonts w:ascii="Sakkal Majalla" w:hAnsi="Sakkal Majalla" w:cs="Sakkal Majalla"/>
          <w:b/>
          <w:bCs/>
          <w:sz w:val="32"/>
          <w:szCs w:val="32"/>
          <w:rtl/>
          <w:lang w:bidi="ar-EG"/>
        </w:rPr>
      </w:pPr>
      <w:r w:rsidRPr="007E01D0">
        <w:rPr>
          <w:rFonts w:ascii="Sakkal Majalla" w:hAnsi="Sakkal Majalla" w:cs="Sakkal Majalla"/>
          <w:b/>
          <w:bCs/>
          <w:sz w:val="32"/>
          <w:szCs w:val="32"/>
          <w:rtl/>
          <w:lang w:bidi="ar-EG"/>
        </w:rPr>
        <w:t>د.فايز</w:t>
      </w:r>
      <w:r>
        <w:rPr>
          <w:rFonts w:ascii="Sakkal Majalla" w:hAnsi="Sakkal Majalla" w:cs="Sakkal Majalla" w:hint="cs"/>
          <w:b/>
          <w:bCs/>
          <w:sz w:val="32"/>
          <w:szCs w:val="32"/>
          <w:rtl/>
          <w:lang w:bidi="ar-EG"/>
        </w:rPr>
        <w:t xml:space="preserve"> علي</w:t>
      </w:r>
      <w:r w:rsidRPr="007E01D0">
        <w:rPr>
          <w:rFonts w:ascii="Sakkal Majalla" w:hAnsi="Sakkal Majalla" w:cs="Sakkal Majalla"/>
          <w:b/>
          <w:bCs/>
          <w:sz w:val="32"/>
          <w:szCs w:val="32"/>
          <w:rtl/>
          <w:lang w:bidi="ar-EG"/>
        </w:rPr>
        <w:t xml:space="preserve"> جراد</w:t>
      </w:r>
    </w:p>
    <w:p w14:paraId="748F6465" w14:textId="77777777" w:rsidR="00D32FB9" w:rsidRPr="007E01D0" w:rsidRDefault="00D32FB9" w:rsidP="00D32FB9">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 عبدالحميد الفيصل</w:t>
      </w:r>
    </w:p>
    <w:p w14:paraId="3C0B65D0" w14:textId="77777777" w:rsidR="00D32FB9" w:rsidRPr="007E01D0" w:rsidRDefault="00D32FB9" w:rsidP="00D32FB9">
      <w:pPr>
        <w:jc w:val="center"/>
        <w:rPr>
          <w:rFonts w:ascii="Sakkal Majalla" w:hAnsi="Sakkal Majalla" w:cs="Sakkal Majalla"/>
          <w:b/>
          <w:bCs/>
          <w:sz w:val="32"/>
          <w:szCs w:val="32"/>
          <w:rtl/>
          <w:lang w:bidi="ar-EG"/>
        </w:rPr>
      </w:pPr>
    </w:p>
    <w:p w14:paraId="1C4D9E6D" w14:textId="77777777" w:rsidR="00D32FB9" w:rsidRPr="007E01D0" w:rsidRDefault="00D32FB9" w:rsidP="00D32FB9">
      <w:pPr>
        <w:jc w:val="center"/>
        <w:rPr>
          <w:rFonts w:ascii="Sakkal Majalla" w:hAnsi="Sakkal Majalla" w:cs="Sakkal Majalla"/>
          <w:b/>
          <w:bCs/>
          <w:sz w:val="32"/>
          <w:szCs w:val="32"/>
          <w:rtl/>
          <w:lang w:bidi="ar-EG"/>
        </w:rPr>
      </w:pPr>
    </w:p>
    <w:p w14:paraId="68C38879" w14:textId="77777777" w:rsidR="00D32FB9" w:rsidRPr="007E01D0" w:rsidRDefault="00D32FB9" w:rsidP="00D32FB9">
      <w:pPr>
        <w:jc w:val="center"/>
        <w:rPr>
          <w:rFonts w:ascii="Sakkal Majalla" w:hAnsi="Sakkal Majalla" w:cs="Sakkal Majalla"/>
          <w:b/>
          <w:bCs/>
          <w:sz w:val="32"/>
          <w:szCs w:val="32"/>
          <w:rtl/>
          <w:lang w:bidi="ar-EG"/>
        </w:rPr>
      </w:pPr>
      <w:r w:rsidRPr="007E01D0">
        <w:rPr>
          <w:rFonts w:ascii="Sakkal Majalla" w:hAnsi="Sakkal Majalla" w:cs="Sakkal Majalla"/>
          <w:b/>
          <w:bCs/>
          <w:sz w:val="32"/>
          <w:szCs w:val="32"/>
          <w:rtl/>
          <w:lang w:bidi="ar-EG"/>
        </w:rPr>
        <w:t>العام الدراسي:</w:t>
      </w:r>
    </w:p>
    <w:p w14:paraId="6C7A02E4" w14:textId="3947FDB5" w:rsidR="00D52480" w:rsidRPr="00AA0AD4" w:rsidRDefault="00D32FB9" w:rsidP="00AA0AD4">
      <w:pPr>
        <w:jc w:val="center"/>
        <w:rPr>
          <w:rFonts w:ascii="Sakkal Majalla" w:hAnsi="Sakkal Majalla" w:cs="Sakkal Majalla"/>
          <w:b/>
          <w:bCs/>
          <w:sz w:val="32"/>
          <w:szCs w:val="32"/>
          <w:rtl/>
        </w:rPr>
      </w:pPr>
      <w:r w:rsidRPr="007E01D0">
        <w:rPr>
          <w:rFonts w:ascii="Sakkal Majalla" w:hAnsi="Sakkal Majalla" w:cs="Sakkal Majalla"/>
          <w:b/>
          <w:bCs/>
          <w:sz w:val="32"/>
          <w:szCs w:val="32"/>
          <w:lang w:bidi="ar-EG"/>
        </w:rPr>
        <w:t>20</w:t>
      </w:r>
      <w:r w:rsidR="00AA0AD4">
        <w:rPr>
          <w:rFonts w:ascii="Sakkal Majalla" w:hAnsi="Sakkal Majalla" w:cs="Sakkal Majalla"/>
          <w:b/>
          <w:bCs/>
          <w:sz w:val="32"/>
          <w:szCs w:val="32"/>
          <w:lang w:bidi="ar-EG"/>
        </w:rPr>
        <w:t>26</w:t>
      </w:r>
    </w:p>
    <w:p w14:paraId="32DDC605" w14:textId="3B144FF0" w:rsidR="009125CE" w:rsidRPr="00531BB5" w:rsidRDefault="009125CE" w:rsidP="00531BB5">
      <w:pPr>
        <w:pStyle w:val="2"/>
        <w:jc w:val="center"/>
        <w:rPr>
          <w:sz w:val="36"/>
          <w:szCs w:val="36"/>
        </w:rPr>
      </w:pPr>
      <w:bookmarkStart w:id="0" w:name="_Toc235215114"/>
      <w:r w:rsidRPr="00531BB5">
        <w:rPr>
          <w:rFonts w:hint="cs"/>
          <w:sz w:val="36"/>
          <w:szCs w:val="36"/>
          <w:rtl/>
          <w:lang w:bidi="ar-EG"/>
        </w:rPr>
        <w:lastRenderedPageBreak/>
        <w:t>المستخل</w:t>
      </w:r>
      <w:r w:rsidR="00741A94" w:rsidRPr="00531BB5">
        <w:rPr>
          <w:rFonts w:hint="cs"/>
          <w:sz w:val="36"/>
          <w:szCs w:val="36"/>
          <w:rtl/>
          <w:lang w:bidi="ar-EG"/>
        </w:rPr>
        <w:t>ص:</w:t>
      </w:r>
      <w:bookmarkEnd w:id="0"/>
    </w:p>
    <w:p w14:paraId="51F452D3" w14:textId="77777777" w:rsidR="00023325" w:rsidRPr="00EE6B78" w:rsidRDefault="00023325" w:rsidP="00023325">
      <w:pPr>
        <w:rPr>
          <w:rFonts w:ascii="Sakkal Majalla" w:hAnsi="Sakkal Majalla" w:cs="Sakkal Majalla"/>
          <w:sz w:val="32"/>
          <w:szCs w:val="32"/>
          <w:rtl/>
        </w:rPr>
      </w:pPr>
      <w:r w:rsidRPr="00EE6B78">
        <w:rPr>
          <w:rFonts w:ascii="Sakkal Majalla" w:hAnsi="Sakkal Majalla" w:cs="Sakkal Majalla"/>
          <w:sz w:val="32"/>
          <w:szCs w:val="32"/>
          <w:rtl/>
        </w:rPr>
        <w:t>هدفت هذه الدراسة إلى تحليل أثر التحول الرقمي ومستوى تطبيق الحوكمة على نجاح المشاريع الحكومية في المملكة العربية السعودية، والكشف عن طبيعة العلاقة بين متغيرات الدراسة، وتحديد الإسهام النسبي لكل من التحول الرقمي والحوكمة في تفسير نجاح المشاريع الحكومية. واعتمدت الدراسة على المنهج الوصفي التحليلي باستخدام تصميم مقطعي، وجُمعت البيانات بواسطة استبانة إلكترونية مكونة من 42 فقرة موزعة على ثلاثة محاور رئيسة هي: التحول الرقمي، والحوكمة، ونجاح المشاريع الحكومية.</w:t>
      </w:r>
    </w:p>
    <w:p w14:paraId="251A372E" w14:textId="77777777" w:rsidR="00023325" w:rsidRPr="00EE6B78" w:rsidRDefault="00023325" w:rsidP="00023325">
      <w:pPr>
        <w:rPr>
          <w:rFonts w:ascii="Sakkal Majalla" w:hAnsi="Sakkal Majalla" w:cs="Sakkal Majalla"/>
          <w:sz w:val="32"/>
          <w:szCs w:val="32"/>
          <w:rtl/>
        </w:rPr>
      </w:pPr>
      <w:r w:rsidRPr="00EE6B78">
        <w:rPr>
          <w:rFonts w:ascii="Sakkal Majalla" w:hAnsi="Sakkal Majalla" w:cs="Sakkal Majalla"/>
          <w:sz w:val="32"/>
          <w:szCs w:val="32"/>
          <w:rtl/>
        </w:rPr>
        <w:t xml:space="preserve">تكونت عينة الدراسة من 323 مشاركًا من العاملين المرتبطين بإدارة المشاريع الحكومية أو تنفيذها أو دعمها في الجهات الحكومية وشبه الحكومية والشركات المشغلة أو المتعاقدة في المملكة العربية السعودية. وحُللت البيانات باستخدام برنامج </w:t>
      </w:r>
      <w:proofErr w:type="spellStart"/>
      <w:r w:rsidRPr="00EE6B78">
        <w:rPr>
          <w:rFonts w:ascii="Sakkal Majalla" w:hAnsi="Sakkal Majalla" w:cs="Sakkal Majalla"/>
          <w:sz w:val="32"/>
          <w:szCs w:val="32"/>
        </w:rPr>
        <w:t>Jamovi</w:t>
      </w:r>
      <w:proofErr w:type="spellEnd"/>
      <w:r w:rsidRPr="00EE6B78">
        <w:rPr>
          <w:rFonts w:ascii="Sakkal Majalla" w:hAnsi="Sakkal Majalla" w:cs="Sakkal Majalla"/>
          <w:sz w:val="32"/>
          <w:szCs w:val="32"/>
          <w:rtl/>
        </w:rPr>
        <w:t xml:space="preserve">، من خلال التكرارات والنسب المئوية، والمتوسطات الحسابية والانحرافات المعيارية، ومعامل </w:t>
      </w:r>
      <w:proofErr w:type="spellStart"/>
      <w:r w:rsidRPr="00EE6B78">
        <w:rPr>
          <w:rFonts w:ascii="Sakkal Majalla" w:hAnsi="Sakkal Majalla" w:cs="Sakkal Majalla"/>
          <w:sz w:val="32"/>
          <w:szCs w:val="32"/>
          <w:rtl/>
        </w:rPr>
        <w:t>كرونباخ</w:t>
      </w:r>
      <w:proofErr w:type="spellEnd"/>
      <w:r w:rsidRPr="00EE6B78">
        <w:rPr>
          <w:rFonts w:ascii="Sakkal Majalla" w:hAnsi="Sakkal Majalla" w:cs="Sakkal Majalla"/>
          <w:sz w:val="32"/>
          <w:szCs w:val="32"/>
          <w:rtl/>
        </w:rPr>
        <w:t xml:space="preserve"> ألفا، ومعامل ارتباط بيرسون، والانحدار الخطي المتعدد. كما استُخدمت الأخطاء المعيارية المتينة بطريقة </w:t>
      </w:r>
      <w:r w:rsidRPr="00EE6B78">
        <w:rPr>
          <w:rFonts w:ascii="Sakkal Majalla" w:hAnsi="Sakkal Majalla" w:cs="Sakkal Majalla"/>
          <w:sz w:val="32"/>
          <w:szCs w:val="32"/>
        </w:rPr>
        <w:t>HC3</w:t>
      </w:r>
      <w:r w:rsidRPr="00EE6B78">
        <w:rPr>
          <w:rFonts w:ascii="Sakkal Majalla" w:hAnsi="Sakkal Majalla" w:cs="Sakkal Majalla"/>
          <w:sz w:val="32"/>
          <w:szCs w:val="32"/>
          <w:rtl/>
        </w:rPr>
        <w:t xml:space="preserve"> للتحقق من متانة نتائج الانحدار في ظل وجود مؤشرات على عدم تجانس تباين البواقي.</w:t>
      </w:r>
    </w:p>
    <w:p w14:paraId="79C3A0F8" w14:textId="77777777" w:rsidR="00023325" w:rsidRPr="00EE6B78" w:rsidRDefault="00023325" w:rsidP="00023325">
      <w:pPr>
        <w:rPr>
          <w:rFonts w:ascii="Sakkal Majalla" w:hAnsi="Sakkal Majalla" w:cs="Sakkal Majalla"/>
          <w:sz w:val="32"/>
          <w:szCs w:val="32"/>
          <w:rtl/>
        </w:rPr>
      </w:pPr>
      <w:r w:rsidRPr="00EE6B78">
        <w:rPr>
          <w:rFonts w:ascii="Sakkal Majalla" w:hAnsi="Sakkal Majalla" w:cs="Sakkal Majalla"/>
          <w:sz w:val="32"/>
          <w:szCs w:val="32"/>
          <w:rtl/>
        </w:rPr>
        <w:t>أظهرت النتائج ارتفاع مستوى تطبيق التحول الرقمي بمتوسط بلغ 4.10، وارتفاع مستوى تطبيق الحوكمة بمتوسط بلغ 3.97، كما جاء مستوى نجاح المشاريع الحكومية مرتفعًا بمتوسط بلغ 4.00. وأظهرت النتائج وجود علاقة إيجابية ذات دلالة إحصائية بين التحول الرقمي ونجاح المشاريع الحكومية، حيث بلغ معامل الارتباط 0.655، كما وجدت علاقة إيجابية بين الحوكمة ونجاح المشاريع بلغت 0.702، وعلاقة إيجابية بين التحول الرقمي والحوكمة بلغت 0.702، وكانت جميع العلاقات دالة عند مستوى أقل من 0.001.</w:t>
      </w:r>
    </w:p>
    <w:p w14:paraId="61035250" w14:textId="77777777" w:rsidR="00023325" w:rsidRPr="00EE6B78" w:rsidRDefault="00023325" w:rsidP="00023325">
      <w:pPr>
        <w:rPr>
          <w:rFonts w:ascii="Sakkal Majalla" w:hAnsi="Sakkal Majalla" w:cs="Sakkal Majalla"/>
          <w:sz w:val="32"/>
          <w:szCs w:val="32"/>
          <w:rtl/>
        </w:rPr>
      </w:pPr>
      <w:r w:rsidRPr="00EE6B78">
        <w:rPr>
          <w:rFonts w:ascii="Sakkal Majalla" w:hAnsi="Sakkal Majalla" w:cs="Sakkal Majalla"/>
          <w:sz w:val="32"/>
          <w:szCs w:val="32"/>
          <w:rtl/>
        </w:rPr>
        <w:t>كما أظهر نموذج الانحدار أن التحول الرقمي والحوكمة مجتمعين يفسران 54.5% من التباين في نجاح المشاريع الحكومية، وأن لكلا المتغيرين أثرًا إيجابيًا ودالًا إحصائيًا، مع تفوق نسبي لأثر الحوكمة، حيث بلغ معاملها المعياري 0.478، مقارنة بمعامل معياري بلغ 0.320 للتحول الرقمي.</w:t>
      </w:r>
    </w:p>
    <w:p w14:paraId="7C9B0F9A" w14:textId="716640D8" w:rsidR="009125CE" w:rsidRPr="00EE6B78" w:rsidRDefault="00023325" w:rsidP="00023325">
      <w:pPr>
        <w:rPr>
          <w:rFonts w:ascii="Sakkal Majalla" w:hAnsi="Sakkal Majalla" w:cs="Sakkal Majalla"/>
          <w:sz w:val="32"/>
          <w:szCs w:val="32"/>
          <w:rtl/>
        </w:rPr>
      </w:pPr>
      <w:r w:rsidRPr="00EE6B78">
        <w:rPr>
          <w:rFonts w:ascii="Sakkal Majalla" w:hAnsi="Sakkal Majalla" w:cs="Sakkal Majalla"/>
          <w:sz w:val="32"/>
          <w:szCs w:val="32"/>
          <w:rtl/>
        </w:rPr>
        <w:t>الكلمات المفتاحية: التحول الرقمي، الحوكمة، نجاح المشاريع، المشاريع الحكومية، إدارة المشاريع، المملكة العربية السعودية.</w:t>
      </w:r>
    </w:p>
    <w:p w14:paraId="67403C0D" w14:textId="77777777" w:rsidR="00023325" w:rsidRPr="00EE6B78" w:rsidRDefault="00023325" w:rsidP="00023325">
      <w:pPr>
        <w:rPr>
          <w:rFonts w:ascii="Sakkal Majalla" w:hAnsi="Sakkal Majalla" w:cs="Sakkal Majalla"/>
          <w:sz w:val="32"/>
          <w:szCs w:val="32"/>
          <w:rtl/>
        </w:rPr>
      </w:pPr>
    </w:p>
    <w:p w14:paraId="0D609D2B" w14:textId="77777777" w:rsidR="009125CE" w:rsidRDefault="009125CE" w:rsidP="009125CE">
      <w:pPr>
        <w:rPr>
          <w:rFonts w:ascii="Sakkal Majalla" w:hAnsi="Sakkal Majalla" w:cs="Sakkal Majalla"/>
          <w:sz w:val="28"/>
          <w:szCs w:val="28"/>
          <w:u w:val="single"/>
        </w:rPr>
      </w:pPr>
    </w:p>
    <w:p w14:paraId="32BDF63E" w14:textId="3390D8D4" w:rsidR="009125CE" w:rsidRPr="00531BB5" w:rsidRDefault="009125CE" w:rsidP="00531BB5">
      <w:pPr>
        <w:pStyle w:val="1"/>
        <w:jc w:val="center"/>
        <w:rPr>
          <w:sz w:val="36"/>
          <w:szCs w:val="36"/>
          <w:rtl/>
        </w:rPr>
      </w:pPr>
      <w:bookmarkStart w:id="1" w:name="_Toc235215115"/>
      <w:r w:rsidRPr="00531BB5">
        <w:rPr>
          <w:rFonts w:hint="cs"/>
          <w:sz w:val="36"/>
          <w:szCs w:val="36"/>
          <w:rtl/>
        </w:rPr>
        <w:lastRenderedPageBreak/>
        <w:t>الفصل الأول</w:t>
      </w:r>
      <w:r w:rsidR="0033278E" w:rsidRPr="00531BB5">
        <w:rPr>
          <w:rFonts w:hint="cs"/>
          <w:sz w:val="36"/>
          <w:szCs w:val="36"/>
          <w:rtl/>
        </w:rPr>
        <w:t xml:space="preserve">: </w:t>
      </w:r>
      <w:r w:rsidR="0033278E" w:rsidRPr="00531BB5">
        <w:rPr>
          <w:sz w:val="36"/>
          <w:szCs w:val="36"/>
          <w:rtl/>
        </w:rPr>
        <w:t>الإطار العام للدراسة</w:t>
      </w:r>
      <w:bookmarkEnd w:id="1"/>
    </w:p>
    <w:p w14:paraId="268F62F4" w14:textId="77777777" w:rsidR="00B66695" w:rsidRPr="00EE6B78" w:rsidRDefault="00B66695" w:rsidP="00EE6B78">
      <w:pPr>
        <w:pStyle w:val="2"/>
        <w:spacing w:line="276" w:lineRule="auto"/>
        <w:rPr>
          <w:sz w:val="32"/>
          <w:szCs w:val="32"/>
          <w:rtl/>
        </w:rPr>
      </w:pPr>
      <w:bookmarkStart w:id="2" w:name="_Toc235215116"/>
      <w:r w:rsidRPr="00B66695">
        <w:rPr>
          <w:rtl/>
        </w:rPr>
        <w:t>1.</w:t>
      </w:r>
      <w:r w:rsidRPr="00EE6B78">
        <w:rPr>
          <w:sz w:val="32"/>
          <w:szCs w:val="32"/>
          <w:rtl/>
        </w:rPr>
        <w:t>1 المقدمة</w:t>
      </w:r>
      <w:bookmarkEnd w:id="2"/>
    </w:p>
    <w:p w14:paraId="65D3F365"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شهدت المملكة العربية السعودية خلال السنوات الأخيرة توسعًا متسارعًا في تطبيقات التحول الرقمي في القطاع الحكومي، مدفوعًا بمستهدفات رؤية المملكة 2030 الهادفة إلى بناء حكومة فعالة وشفافة، ورفع كفاءة الأداء المؤسسي، وتحسين جودة الخدمات المقدمة للمواطنين والمقيمين وقطاع الأعمال. وفي هذا السياق، أصبحت الحكومة الرقمية أحد المسارات الرئيسة للتطوير المؤسسي، حيث تعمل هيئة الحكومة الرقمية بوصفها المرجع الوطني المختص بتنظيم أعمال الحكومة الرقمية، وتعزيز التكامل بين الجهات الحكومية، وتطوير المعايير والسياسات التي ترفع مستوى النضج الرقمي وجودة الخدمات الحكومية.</w:t>
      </w:r>
    </w:p>
    <w:p w14:paraId="6CD406AE" w14:textId="52412F25"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ولا يقتصر التحول الرقمي على استخدام الأنظمة والتقنيات الحديثة أو تحويل الإجراءات الورقية إلى إجراءات إلكترونية، بل يمثل عملية تغيير مؤسسي شاملة تتضمن إعادة تصميم العمليات، وتطوير نماذج تقديم الخدمات، وتعزيز الاستفادة من البيانات، وتحسين التكامل بين الأنظمة، وبناء القدرات التنظيمية والبشرية اللازمة للاستفادة من التقنيات الرقمية. ويشير </w:t>
      </w:r>
      <w:r w:rsidRPr="00EE6B78">
        <w:rPr>
          <w:rFonts w:ascii="Sakkal Majalla" w:hAnsi="Sakkal Majalla" w:cs="Sakkal Majalla"/>
          <w:sz w:val="32"/>
          <w:szCs w:val="32"/>
        </w:rPr>
        <w:t>Mergel et al. (2019</w:t>
      </w:r>
      <w:r w:rsidRPr="00EE6B78">
        <w:rPr>
          <w:rFonts w:ascii="Sakkal Majalla" w:hAnsi="Sakkal Majalla" w:cs="Sakkal Majalla"/>
          <w:sz w:val="32"/>
          <w:szCs w:val="32"/>
          <w:rtl/>
        </w:rPr>
        <w:t>) إلى أن التحول الرقمي في القطاع الحكومي يتضمن تغييرات في العمليات والثقافة التنظيمية والعلاقات مع المستفيدين، بهدف تحقيق قيمة عامة وتحسين نتائج الخدمات الحكومية</w:t>
      </w:r>
      <w:r w:rsidRPr="00EE6B78">
        <w:rPr>
          <w:rFonts w:ascii="Sakkal Majalla" w:hAnsi="Sakkal Majalla" w:cs="Sakkal Majalla" w:hint="cs"/>
          <w:sz w:val="32"/>
          <w:szCs w:val="32"/>
          <w:rtl/>
        </w:rPr>
        <w:t>.</w:t>
      </w:r>
    </w:p>
    <w:p w14:paraId="5FE0E91C" w14:textId="702E1D65"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وقد تبنت المملكة استراتيجية للحكومة الرقمية للفترة 2023–2030، تتضمن عددًا من التوجهات المرتبطة بالتصميم الرقمي للخدمات، وحوكمة البيانات، والهوية الرقمية، والتكامل بين الجهات، وتطبيق مبدأ طلب بيانات المستفيد مرة واحدة. ويعكس ذلك انتقال التحول الرقمي من كونه مبادرات تقنية منفصلة إلى توجه مؤسسي متكامل يرتبط بالسياسات والحوكمة وقياس الأداء والتحسين المستمر.</w:t>
      </w:r>
      <w:r w:rsidR="00C34833" w:rsidRPr="00EE6B78">
        <w:rPr>
          <w:rFonts w:ascii="Sakkal Majalla" w:hAnsi="Sakkal Majalla" w:cs="Sakkal Majalla" w:hint="cs"/>
          <w:sz w:val="32"/>
          <w:szCs w:val="32"/>
          <w:rtl/>
        </w:rPr>
        <w:t xml:space="preserve"> (</w:t>
      </w:r>
      <w:r w:rsidR="00C34833" w:rsidRPr="00EE6B78">
        <w:rPr>
          <w:rFonts w:ascii="Sakkal Majalla" w:hAnsi="Sakkal Majalla" w:cs="Sakkal Majalla"/>
          <w:sz w:val="32"/>
          <w:szCs w:val="32"/>
          <w:rtl/>
        </w:rPr>
        <w:t>هيئة الحكومة الرقمية</w:t>
      </w:r>
      <w:r w:rsidR="00C34833" w:rsidRPr="00EE6B78">
        <w:rPr>
          <w:rFonts w:ascii="Sakkal Majalla" w:hAnsi="Sakkal Majalla" w:cs="Sakkal Majalla" w:hint="cs"/>
          <w:sz w:val="32"/>
          <w:szCs w:val="32"/>
          <w:rtl/>
        </w:rPr>
        <w:t xml:space="preserve"> </w:t>
      </w:r>
      <w:r w:rsidR="00C34833" w:rsidRPr="00EE6B78">
        <w:rPr>
          <w:rFonts w:ascii="Sakkal Majalla" w:hAnsi="Sakkal Majalla" w:cs="Sakkal Majalla"/>
          <w:sz w:val="32"/>
          <w:szCs w:val="32"/>
          <w:rtl/>
        </w:rPr>
        <w:t>2025</w:t>
      </w:r>
      <w:r w:rsidR="00C34833" w:rsidRPr="00EE6B78">
        <w:rPr>
          <w:rFonts w:ascii="Sakkal Majalla" w:hAnsi="Sakkal Majalla" w:cs="Sakkal Majalla" w:hint="cs"/>
          <w:sz w:val="32"/>
          <w:szCs w:val="32"/>
          <w:rtl/>
        </w:rPr>
        <w:t>)</w:t>
      </w:r>
    </w:p>
    <w:p w14:paraId="525BBF79"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وفي مقابل التطور التقني، تبرز الحوكمة بوصفها عنصرًا أساسيًا لضمان توجيه الموارد والقرارات والعمليات بما يتوافق مع الأهداف الاستراتيجية للجهات الحكومية. وتشمل الحوكمة تحديد صلاحيات اتخاذ القرار، ووضوح الأدوار والمسؤوليات، وتعزيز الشفافية والمساءلة، وإدارة المخاطر، وتطبيق الرقابة، ومتابعة الالتزام بالسياسات والمعايير. ويرى </w:t>
      </w:r>
      <w:r w:rsidRPr="00EE6B78">
        <w:rPr>
          <w:rFonts w:ascii="Sakkal Majalla" w:hAnsi="Sakkal Majalla" w:cs="Sakkal Majalla"/>
          <w:sz w:val="32"/>
          <w:szCs w:val="32"/>
        </w:rPr>
        <w:t>Weill and Ross (2004</w:t>
      </w:r>
      <w:r w:rsidRPr="00EE6B78">
        <w:rPr>
          <w:rFonts w:ascii="Sakkal Majalla" w:hAnsi="Sakkal Majalla" w:cs="Sakkal Majalla"/>
          <w:sz w:val="32"/>
          <w:szCs w:val="32"/>
          <w:rtl/>
        </w:rPr>
        <w:t>) أن وجود ترتيبات واضحة لصلاحيات اتخاذ القرار وآليات المتابعة يمثل أساسًا لتحقيق قيمة أفضل من الاستثمارات التقنية وتحسين مستوى الأداء المؤسسي.</w:t>
      </w:r>
    </w:p>
    <w:p w14:paraId="24CD58CE"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lastRenderedPageBreak/>
        <w:t>وتزداد أهمية الحوكمة في المشاريع الحكومية الرقمية بسبب تعدد أصحاب المصلحة، وترابط الأنظمة والبيانات، ووجود متطلبات تنظيمية وأمنية وتشغيلية متعددة. فقد تمتلك الجهة الحكومية بنية تقنية متقدمة، إلا أن ضعف تحديد المسؤوليات، أو بطء اتخاذ القرار، أو عدم فاعلية إدارة المخاطر، قد يحد من الاستفادة من هذه الإمكانات. وفي المقابل، قد تسهم الحوكمة الفعالة في توجيه استخدام التقنيات الرقمية، وتحسين التنسيق بين الأطراف، ومتابعة الأداء، ومعالجة الانحرافات، بما يرفع احتمالية تحقيق النتائج المستهدفة من المشروع.</w:t>
      </w:r>
    </w:p>
    <w:p w14:paraId="38C83F89" w14:textId="74D49420"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كما لم يعد نجاح المشروع يُقاس بالالتزام بالوقت والتكلفة والجودة فقط، بل أصبح مفهومًا متعدد الأبعاد يشمل تحقيق نطاق المشروع ومتطلباته، ورضا أصحاب المصلحة، والقيمة المتحققة للجهة المستفيدة. وقد أوضحت الأدبيات أن مؤشرات الكفاءة التقليدية تظل مهمة، لكنها لا تكفي بمفردها للحكم على النجاح الشامل للمشروع، مما يستدعي استخدام مجموعة أوسع من المعايير عند تقييم النتائج (</w:t>
      </w:r>
      <w:r w:rsidRPr="00EE6B78">
        <w:rPr>
          <w:rFonts w:ascii="Sakkal Majalla" w:hAnsi="Sakkal Majalla" w:cs="Sakkal Majalla"/>
          <w:sz w:val="32"/>
          <w:szCs w:val="32"/>
        </w:rPr>
        <w:t xml:space="preserve">Atkinson, 1999; </w:t>
      </w:r>
      <w:proofErr w:type="spellStart"/>
      <w:r w:rsidRPr="00EE6B78">
        <w:rPr>
          <w:rFonts w:ascii="Sakkal Majalla" w:hAnsi="Sakkal Majalla" w:cs="Sakkal Majalla"/>
          <w:sz w:val="32"/>
          <w:szCs w:val="32"/>
        </w:rPr>
        <w:t>Serrador</w:t>
      </w:r>
      <w:proofErr w:type="spellEnd"/>
      <w:r w:rsidRPr="00EE6B78">
        <w:rPr>
          <w:rFonts w:ascii="Sakkal Majalla" w:hAnsi="Sakkal Majalla" w:cs="Sakkal Majalla"/>
          <w:sz w:val="32"/>
          <w:szCs w:val="32"/>
        </w:rPr>
        <w:t xml:space="preserve"> &amp; Turner, 2015</w:t>
      </w:r>
      <w:r w:rsidRPr="00EE6B78">
        <w:rPr>
          <w:rFonts w:ascii="Sakkal Majalla" w:hAnsi="Sakkal Majalla" w:cs="Sakkal Majalla"/>
          <w:sz w:val="32"/>
          <w:szCs w:val="32"/>
          <w:rtl/>
        </w:rPr>
        <w:t>).</w:t>
      </w:r>
    </w:p>
    <w:p w14:paraId="29EC9091" w14:textId="3C4C4E10" w:rsidR="0033278E" w:rsidRPr="00EE6B78" w:rsidRDefault="00741A94" w:rsidP="00EE6B78">
      <w:pPr>
        <w:pStyle w:val="2"/>
        <w:spacing w:line="276" w:lineRule="auto"/>
        <w:rPr>
          <w:sz w:val="32"/>
          <w:szCs w:val="32"/>
          <w:rtl/>
        </w:rPr>
      </w:pPr>
      <w:bookmarkStart w:id="3" w:name="_Toc235215117"/>
      <w:r w:rsidRPr="00EE6B78">
        <w:rPr>
          <w:sz w:val="32"/>
          <w:szCs w:val="32"/>
        </w:rPr>
        <w:t>1.2</w:t>
      </w:r>
      <w:r w:rsidR="0033278E" w:rsidRPr="00EE6B78">
        <w:rPr>
          <w:rFonts w:hint="cs"/>
          <w:sz w:val="32"/>
          <w:szCs w:val="32"/>
          <w:rtl/>
        </w:rPr>
        <w:t xml:space="preserve"> مشكلة الدراسة</w:t>
      </w:r>
      <w:bookmarkEnd w:id="3"/>
    </w:p>
    <w:p w14:paraId="4B03A229" w14:textId="77777777" w:rsidR="00741A94" w:rsidRPr="00EE6B78" w:rsidRDefault="00741A94"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شهدت الجهات الحكومية في المملكة العربية السعودية توسعًا ملحوظًا في تنفيذ مبادرات ومشاريع التحول الرقمي، بهدف تطوير الخدمات، ورفع كفاءة العمليات، وتحسين تجربة المستفيدين، وتعزيز الاستفادة من البيانات والتقنيات الحديثة. ومع ذلك، فإن توافر الأنظمة والبنية التحتية التقنية لا يضمن بمفرده نجاح المشاريع الحكومية؛ إذ يتطلب تحقيق النتائج المستهدفة توافق الجوانب التقنية مع الجوانب التنظيمية والإدارية والبشرية.</w:t>
      </w:r>
    </w:p>
    <w:p w14:paraId="6570D728" w14:textId="77777777" w:rsidR="00741A94" w:rsidRPr="00EE6B78" w:rsidRDefault="00741A94"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ويُعد التحول الرقمي عملية تغيير مؤسسي شاملة تتجاوز تحويل الإجراءات التقليدية إلى إجراءات إلكترونية، لتشمل إعادة تصميم العمليات، وتكامل الأنظمة، واستخدام البيانات في دعم القرار، وتطوير أساليب العمل والثقافة التنظيمية (</w:t>
      </w:r>
      <w:r w:rsidRPr="00EE6B78">
        <w:rPr>
          <w:rFonts w:ascii="Sakkal Majalla" w:hAnsi="Sakkal Majalla" w:cs="Sakkal Majalla"/>
          <w:sz w:val="32"/>
          <w:szCs w:val="32"/>
        </w:rPr>
        <w:t>Mergel et al., 2019; Vial, 2019</w:t>
      </w:r>
      <w:r w:rsidRPr="00EE6B78">
        <w:rPr>
          <w:rFonts w:ascii="Sakkal Majalla" w:hAnsi="Sakkal Majalla" w:cs="Sakkal Majalla"/>
          <w:sz w:val="32"/>
          <w:szCs w:val="32"/>
          <w:rtl/>
        </w:rPr>
        <w:t>). ومن ثم، قد لا تحقق الاستثمارات الرقمية القيمة المتوقعة منها عندما لا تصاحبها آليات تنظيمية واضحة تدعم التنفيذ وتضبط القرارات والمسؤوليات.</w:t>
      </w:r>
    </w:p>
    <w:p w14:paraId="34FB18B0" w14:textId="77777777" w:rsidR="00741A94" w:rsidRPr="00EE6B78" w:rsidRDefault="00741A94"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وفي هذا السياق، تبرز الحوكمة بوصفها عاملًا أساسيًا في توجيه المشاريع الحكومية ومتابعتها، من خلال تعزيز الشفافية والمساءلة، وتحديد الأدوار والصلاحيات، وإدارة المخاطر، وتوفير آليات فعالة للرقابة واتخاذ القرار. وتشير الأدبيات إلى أن وضوح ترتيبات الحوكمة وربط المشاريع بالأهداف </w:t>
      </w:r>
      <w:r w:rsidRPr="00EE6B78">
        <w:rPr>
          <w:rFonts w:ascii="Sakkal Majalla" w:hAnsi="Sakkal Majalla" w:cs="Sakkal Majalla"/>
          <w:sz w:val="32"/>
          <w:szCs w:val="32"/>
          <w:rtl/>
        </w:rPr>
        <w:lastRenderedPageBreak/>
        <w:t>المؤسسية يسهمان في تحسين فرص نجاحها وتحقيق القيمة المستهدفة منها (</w:t>
      </w:r>
      <w:r w:rsidRPr="00EE6B78">
        <w:rPr>
          <w:rFonts w:ascii="Sakkal Majalla" w:hAnsi="Sakkal Majalla" w:cs="Sakkal Majalla"/>
          <w:sz w:val="32"/>
          <w:szCs w:val="32"/>
        </w:rPr>
        <w:t>Too &amp; Weaver, 2014; Joslin &amp; Müller, 2016</w:t>
      </w:r>
      <w:r w:rsidRPr="00EE6B78">
        <w:rPr>
          <w:rFonts w:ascii="Sakkal Majalla" w:hAnsi="Sakkal Majalla" w:cs="Sakkal Majalla"/>
          <w:sz w:val="32"/>
          <w:szCs w:val="32"/>
          <w:rtl/>
        </w:rPr>
        <w:t>).</w:t>
      </w:r>
    </w:p>
    <w:p w14:paraId="1FEED4C8" w14:textId="77777777" w:rsidR="00741A94" w:rsidRPr="00EE6B78" w:rsidRDefault="00741A94"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وقد يؤدي ضعف التكامل بين التحول الرقمي والحوكمة إلى عدد من التحديات، مثل تداخل الأدوار والمسؤوليات، وتأخر القرارات والاعتمادات، وضعف إدارة المخاطر والاعتماديات، وعدم الاستفادة الكاملة من البيانات، وانخفاض مستوى التنسيق بين الجهات والأطراف المشاركة. وقد تنعكس هذه التحديات على قدرة المشروع على الالتزام بالوقت والتكلفة والنطاق، وتحقيق جودة المخرجات ورضا أصحاب المصلحة.</w:t>
      </w:r>
    </w:p>
    <w:p w14:paraId="2865C304" w14:textId="77777777" w:rsidR="00741A94" w:rsidRPr="00EE6B78" w:rsidRDefault="00741A94"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وعلى الرغم من تعدد الدراسات التي تناولت التحول الرقمي أو الحوكمة أو نجاح المشاريع بصورة منفصلة، فإن الحاجة ما تزال قائمة إلى دراسة الأثر المشترك للتحول الرقمي ومستوى تطبيق الحوكمة على نجاح المشاريع الحكومية في البيئة السعودية. كما تبرز الحاجة إلى تحديد الإسهام النسبي لكل منهما عند إدخالهما معًا في نموذج تحليلي واحد، بما يساعد على معرفة العامل الأكثر تأثيرًا في نجاح المشاريع الحكومية.</w:t>
      </w:r>
    </w:p>
    <w:p w14:paraId="62F7396E" w14:textId="77777777" w:rsidR="00741A94" w:rsidRPr="00EE6B78" w:rsidRDefault="00741A94"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وبناءً على ذلك، تتمثل مشكلة الدراسة في عدم وضوح مدى تأثير التحول الرقمي ومستوى تطبيق الحوكمة، بصورة منفردة ومجتمعة، على نجاح المشاريع الحكومية في المملكة العربية السعودية. وتسعى الدراسة إلى معالجة هذه المشكلة من خلال دراسة ميدانية تستند إلى آراء العاملين المرتبطين بإدارة المشاريع الحكومية أو تنفيذها أو دعمها في الجهات الحكومية وشبه الحكومية والشركات المشغلة أو المتعاقدة.</w:t>
      </w:r>
    </w:p>
    <w:p w14:paraId="41632E04" w14:textId="77777777" w:rsidR="00741A94" w:rsidRPr="00EE6B78" w:rsidRDefault="00741A94"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ومن ثم، يمكن التعبير عن مشكلة الدراسة في السؤال الرئيس الآتي:</w:t>
      </w:r>
    </w:p>
    <w:p w14:paraId="3CBB05E3" w14:textId="14E92F5D" w:rsidR="00B66695" w:rsidRPr="00EE6B78" w:rsidRDefault="00741A94"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ما أثر التحول الرقمي ومستوى تطبيق الحوكمة على نجاح المشاريع الحكومية في المملكة العربية السعودية؟</w:t>
      </w:r>
    </w:p>
    <w:p w14:paraId="3B79D978" w14:textId="77777777" w:rsidR="00B66695" w:rsidRPr="00EE6B78" w:rsidRDefault="00B66695" w:rsidP="00EE6B78">
      <w:pPr>
        <w:pStyle w:val="2"/>
        <w:spacing w:line="276" w:lineRule="auto"/>
        <w:rPr>
          <w:sz w:val="32"/>
          <w:szCs w:val="32"/>
          <w:rtl/>
        </w:rPr>
      </w:pPr>
      <w:bookmarkStart w:id="4" w:name="_Toc235215118"/>
      <w:r w:rsidRPr="00EE6B78">
        <w:rPr>
          <w:sz w:val="32"/>
          <w:szCs w:val="32"/>
          <w:rtl/>
        </w:rPr>
        <w:t>1.3 أهمية الدراسة</w:t>
      </w:r>
      <w:bookmarkEnd w:id="4"/>
    </w:p>
    <w:p w14:paraId="4C98B1ED"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تستمد الدراسة أهميتها من ارتباطها بثلاثة موضوعات رئيسة تحظى باهتمام متزايد في البيئة الحكومية، وهي التحول الرقمي، والحوكمة، ونجاح المشاريع. ويمكن توضيح أهمية الدراسة من الجانبين العلمي والتطبيقي على النحو الآتي:</w:t>
      </w:r>
    </w:p>
    <w:p w14:paraId="18EEA911" w14:textId="77777777" w:rsidR="00B66695" w:rsidRPr="00EE6B78" w:rsidRDefault="00B66695" w:rsidP="00EE6B78">
      <w:pPr>
        <w:pStyle w:val="3"/>
        <w:spacing w:line="276" w:lineRule="auto"/>
        <w:rPr>
          <w:sz w:val="32"/>
          <w:szCs w:val="32"/>
          <w:rtl/>
        </w:rPr>
      </w:pPr>
      <w:bookmarkStart w:id="5" w:name="_Toc235215119"/>
      <w:r w:rsidRPr="00EE6B78">
        <w:rPr>
          <w:sz w:val="32"/>
          <w:szCs w:val="32"/>
          <w:rtl/>
        </w:rPr>
        <w:lastRenderedPageBreak/>
        <w:t>1.3.1 الأهمية العلمية</w:t>
      </w:r>
      <w:bookmarkEnd w:id="5"/>
    </w:p>
    <w:p w14:paraId="16D8AE18"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تسهم الدراسة في إثراء الأدبيات المرتبطة بإدارة المشاريع الحكومية من خلال دراسة التحول الرقمي والحوكمة ضمن نموذج تحليلي واحد، بدلًا من تناول كل متغير بصورة منفصلة.</w:t>
      </w:r>
    </w:p>
    <w:p w14:paraId="119B9C0C"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كما تقدم الدراسة إطارًا يربط بين الجوانب التقنية للتحول الرقمي والجوانب التنظيمية والإدارية للحوكمة، ويوضح أثرهما في مجموعة متعددة من مؤشرات نجاح المشاريع، تشمل الوقت والتكلفة والجودة ورضا أصحاب المصلحة ونطاق المشروع.</w:t>
      </w:r>
    </w:p>
    <w:p w14:paraId="19BE3D39"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وتوفر الدراسة نتائج ميدانية من البيئة السعودية، مما يسهم في زيادة المعرفة المتعلقة بالعوامل المؤثرة في نجاح المشاريع الحكومية في سياق يشهد نموًا متسارعًا في المبادرات والخدمات الرقمية.</w:t>
      </w:r>
    </w:p>
    <w:p w14:paraId="5A125CE3" w14:textId="29BA92BB"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كما تساعد الدراسة في تطبيق نظرية النظم الاجتماعية التقنية على بيئة المشاريع الحكومية، من خلال النظر إلى التحول الرقمي بوصفه نظامًا تقنيًا، والحوكمة بوصفها نظامًا تنظيميًا واجتماعيًا، وتحليل أثر التكامل بينهما في نتائج المشروع.</w:t>
      </w:r>
    </w:p>
    <w:p w14:paraId="01F01465" w14:textId="77777777" w:rsidR="00B66695" w:rsidRPr="00EE6B78" w:rsidRDefault="00B66695" w:rsidP="00EE6B78">
      <w:pPr>
        <w:pStyle w:val="3"/>
        <w:spacing w:line="276" w:lineRule="auto"/>
        <w:rPr>
          <w:sz w:val="32"/>
          <w:szCs w:val="32"/>
          <w:rtl/>
        </w:rPr>
      </w:pPr>
      <w:bookmarkStart w:id="6" w:name="_Toc235215120"/>
      <w:r w:rsidRPr="00EE6B78">
        <w:rPr>
          <w:sz w:val="32"/>
          <w:szCs w:val="32"/>
          <w:rtl/>
        </w:rPr>
        <w:t>1.3.2 الأهمية التطبيقية</w:t>
      </w:r>
      <w:bookmarkEnd w:id="6"/>
    </w:p>
    <w:p w14:paraId="724B04F6"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يمكن أن تساعد نتائج الدراسة القيادات وصناع القرار في الجهات الحكومية على تحديد الجوانب الأكثر تأثيرًا في نجاح المشاريع، وتوجيه الموارد والجهود التطويرية نحوها.</w:t>
      </w:r>
    </w:p>
    <w:p w14:paraId="430A39E5"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كما يمكن أن تسهم في تحسين ممارسات حوكمة المشاريع من خلال تعزيز الشفافية والمساءلة، وتوضيح الأدوار والمسؤوليات، وتطوير إدارة المخاطر والرقابة وآليات اتخاذ القرار.</w:t>
      </w:r>
    </w:p>
    <w:p w14:paraId="7A5BDF94"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وتوفر نتائج الدراسة مؤشرات يمكن الاستفادة منها في تقييم مستوى تطبيق التحول الرقمي من حيث جاهزية البنية التحتية، وتكامل الأنظمة، والاستفادة من البيانات، </w:t>
      </w:r>
      <w:proofErr w:type="spellStart"/>
      <w:r w:rsidRPr="00EE6B78">
        <w:rPr>
          <w:rFonts w:ascii="Sakkal Majalla" w:hAnsi="Sakkal Majalla" w:cs="Sakkal Majalla"/>
          <w:sz w:val="32"/>
          <w:szCs w:val="32"/>
          <w:rtl/>
        </w:rPr>
        <w:t>ورقمنة</w:t>
      </w:r>
      <w:proofErr w:type="spellEnd"/>
      <w:r w:rsidRPr="00EE6B78">
        <w:rPr>
          <w:rFonts w:ascii="Sakkal Majalla" w:hAnsi="Sakkal Majalla" w:cs="Sakkal Majalla"/>
          <w:sz w:val="32"/>
          <w:szCs w:val="32"/>
          <w:rtl/>
        </w:rPr>
        <w:t xml:space="preserve"> الإجراءات والعمليات.</w:t>
      </w:r>
    </w:p>
    <w:p w14:paraId="319D255B"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كذلك تساعد الدراسة مديري البرامج والمشاريع والمكاتب الإدارية المتخصصة على فهم العلاقة بين الممكنات الرقمية ونتائج المشاريع، وعدم التعامل مع التحول الرقمي بوصفه جانبًا تقنيًا منفصلًا عن الإدارة والحوكمة.</w:t>
      </w:r>
    </w:p>
    <w:p w14:paraId="701E7FF0" w14:textId="759BE62C"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ومن المتوقع أن تسهم التوصيات المستخلصة من الدراسة في دعم الجهات الحكومية وشبه الحكومية والشركات المشغلة للمشاريع الحكومية في تطوير الممارسات التي تعزز الالتزام بالوقت والتكلفة والنطاق، وترفع جودة المخرجات ورضا أصحاب المصلحة.</w:t>
      </w:r>
    </w:p>
    <w:p w14:paraId="0CBF20D7" w14:textId="77777777" w:rsidR="00B66695" w:rsidRPr="00EE6B78" w:rsidRDefault="00B66695" w:rsidP="00EE6B78">
      <w:pPr>
        <w:pStyle w:val="2"/>
        <w:spacing w:line="276" w:lineRule="auto"/>
        <w:rPr>
          <w:sz w:val="32"/>
          <w:szCs w:val="32"/>
          <w:rtl/>
        </w:rPr>
      </w:pPr>
      <w:bookmarkStart w:id="7" w:name="_Toc235215121"/>
      <w:r w:rsidRPr="00EE6B78">
        <w:rPr>
          <w:sz w:val="32"/>
          <w:szCs w:val="32"/>
          <w:rtl/>
        </w:rPr>
        <w:lastRenderedPageBreak/>
        <w:t>1.4 أهداف الدراسة</w:t>
      </w:r>
      <w:bookmarkEnd w:id="7"/>
    </w:p>
    <w:p w14:paraId="1B5B9CBE"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تهدف الدراسة بصورة رئيسة إلى تحليل أثر التحول الرقمي ومستوى تطبيق الحوكمة على نجاح المشاريع الحكومية في المملكة العربية السعودية.</w:t>
      </w:r>
    </w:p>
    <w:p w14:paraId="2498E730"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ويتفرع من هذا الهدف الرئيس الأهداف الآتية:</w:t>
      </w:r>
    </w:p>
    <w:p w14:paraId="18E9DED4"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التعرف على مستوى تطبيق التحول الرقمي في بيئة المشاريع الحكومية.</w:t>
      </w:r>
    </w:p>
    <w:p w14:paraId="5F161BF1"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قياس مستوى تطبيق ممارسات الحوكمة في إدارة المشاريع الحكومية.</w:t>
      </w:r>
    </w:p>
    <w:p w14:paraId="6E3ADDD7"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تحديد مستوى نجاح المشاريع الحكومية من حيث الوقت والتكلفة والجودة ورضا أصحاب المصلحة وتحقيق النطاق.</w:t>
      </w:r>
    </w:p>
    <w:p w14:paraId="635D7385"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تحليل العلاقة بين التحول الرقمي ونجاح المشاريع الحكومية.</w:t>
      </w:r>
    </w:p>
    <w:p w14:paraId="13259D3F"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تحليل العلاقة بين مستوى تطبيق الحوكمة ونجاح المشاريع الحكومية.</w:t>
      </w:r>
    </w:p>
    <w:p w14:paraId="250E2AE4"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قياس الأثر المنفرد والمشترك للتحول الرقمي والحوكمة على نجاح المشاريع الحكومية.</w:t>
      </w:r>
    </w:p>
    <w:p w14:paraId="2B903EBA"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تحديد المتغير الأكثر إسهامًا في تفسير نجاح المشاريع الحكومية.</w:t>
      </w:r>
    </w:p>
    <w:p w14:paraId="4D50DF6F" w14:textId="78DA28CE"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تقديم توصيات عملية تسهم في تعزيز نجاح المشاريع وتحسين ممارسات التحول الرقمي والحوكمة.</w:t>
      </w:r>
    </w:p>
    <w:p w14:paraId="1952559A" w14:textId="77777777" w:rsidR="00B66695" w:rsidRPr="00EE6B78" w:rsidRDefault="00B66695" w:rsidP="00EE6B78">
      <w:pPr>
        <w:pStyle w:val="2"/>
        <w:spacing w:line="276" w:lineRule="auto"/>
        <w:rPr>
          <w:sz w:val="32"/>
          <w:szCs w:val="32"/>
          <w:rtl/>
        </w:rPr>
      </w:pPr>
      <w:bookmarkStart w:id="8" w:name="_Toc235215122"/>
      <w:r w:rsidRPr="00EE6B78">
        <w:rPr>
          <w:sz w:val="32"/>
          <w:szCs w:val="32"/>
          <w:rtl/>
        </w:rPr>
        <w:t>1.5 تساؤلات الدراسة</w:t>
      </w:r>
      <w:bookmarkEnd w:id="8"/>
    </w:p>
    <w:p w14:paraId="06AABBFB" w14:textId="77777777" w:rsidR="00B66695" w:rsidRPr="00EE6B78" w:rsidRDefault="00B66695" w:rsidP="00EE6B78">
      <w:pPr>
        <w:pStyle w:val="3"/>
        <w:spacing w:line="276" w:lineRule="auto"/>
        <w:rPr>
          <w:sz w:val="32"/>
          <w:szCs w:val="32"/>
          <w:rtl/>
        </w:rPr>
      </w:pPr>
      <w:bookmarkStart w:id="9" w:name="_Toc235215123"/>
      <w:r w:rsidRPr="00EE6B78">
        <w:rPr>
          <w:sz w:val="32"/>
          <w:szCs w:val="32"/>
          <w:rtl/>
        </w:rPr>
        <w:t>1.5.1 السؤال الرئيس</w:t>
      </w:r>
      <w:bookmarkEnd w:id="9"/>
    </w:p>
    <w:p w14:paraId="5EFA4727"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ما أثر التحول الرقمي ومستوى تطبيق الحوكمة على نجاح المشاريع الحكومية في المملكة العربية السعودية؟</w:t>
      </w:r>
    </w:p>
    <w:p w14:paraId="42887B22" w14:textId="77777777" w:rsidR="00B66695" w:rsidRPr="00EE6B78" w:rsidRDefault="00B66695" w:rsidP="00EE6B78">
      <w:pPr>
        <w:pStyle w:val="3"/>
        <w:spacing w:line="276" w:lineRule="auto"/>
        <w:rPr>
          <w:sz w:val="32"/>
          <w:szCs w:val="32"/>
          <w:rtl/>
        </w:rPr>
      </w:pPr>
      <w:bookmarkStart w:id="10" w:name="_Toc235215124"/>
      <w:r w:rsidRPr="00EE6B78">
        <w:rPr>
          <w:sz w:val="32"/>
          <w:szCs w:val="32"/>
          <w:rtl/>
        </w:rPr>
        <w:t>1.5.2 الأسئلة الفرعية</w:t>
      </w:r>
      <w:bookmarkEnd w:id="10"/>
    </w:p>
    <w:p w14:paraId="08E8AAA3"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ما مستوى تطبيق التحول الرقمي في بيئة المشاريع الحكومية؟</w:t>
      </w:r>
    </w:p>
    <w:p w14:paraId="60E6D62D"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ما مستوى تطبيق ممارسات الحوكمة في إدارة المشاريع الحكومية؟</w:t>
      </w:r>
    </w:p>
    <w:p w14:paraId="12B36793"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ما مستوى نجاح المشاريع الحكومية من حيث الالتزام بالوقت والتكلفة، وجودة المخرجات، ورضا أصحاب المصلحة، وتحقيق نطاق المشروع؟</w:t>
      </w:r>
    </w:p>
    <w:p w14:paraId="0799231C"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ما طبيعة العلاقة بين التحول الرقمي ونجاح المشاريع الحكومية؟</w:t>
      </w:r>
    </w:p>
    <w:p w14:paraId="18E49F33"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lastRenderedPageBreak/>
        <w:t>ما طبيعة العلاقة بين مستوى تطبيق الحوكمة ونجاح المشاريع الحكومية؟</w:t>
      </w:r>
    </w:p>
    <w:p w14:paraId="15BC1995"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ما مقدار إسهام التحول الرقمي والحوكمة مجتمعين في تفسير نجاح المشاريع الحكومية؟</w:t>
      </w:r>
    </w:p>
    <w:p w14:paraId="203BF478" w14:textId="645C6C95"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أي المتغيرين، التحول الرقمي أم الحوكمة، له إسهام نسبي أكبر في نجاح المشاريع الحكومية؟</w:t>
      </w:r>
    </w:p>
    <w:p w14:paraId="0EE8E84B" w14:textId="77777777" w:rsidR="00B66695" w:rsidRPr="00EE6B78" w:rsidRDefault="00B66695" w:rsidP="00EE6B78">
      <w:pPr>
        <w:pStyle w:val="2"/>
        <w:spacing w:line="276" w:lineRule="auto"/>
        <w:rPr>
          <w:sz w:val="32"/>
          <w:szCs w:val="32"/>
          <w:rtl/>
        </w:rPr>
      </w:pPr>
      <w:bookmarkStart w:id="11" w:name="_Toc235215125"/>
      <w:r w:rsidRPr="00EE6B78">
        <w:rPr>
          <w:sz w:val="32"/>
          <w:szCs w:val="32"/>
          <w:rtl/>
        </w:rPr>
        <w:t>1.6 فروض الدراسة</w:t>
      </w:r>
      <w:bookmarkEnd w:id="11"/>
    </w:p>
    <w:p w14:paraId="18242C10" w14:textId="77777777" w:rsidR="00B66695" w:rsidRPr="00EE6B78" w:rsidRDefault="00B66695" w:rsidP="00EE6B78">
      <w:pPr>
        <w:pStyle w:val="3"/>
        <w:spacing w:line="276" w:lineRule="auto"/>
        <w:rPr>
          <w:sz w:val="32"/>
          <w:szCs w:val="32"/>
          <w:rtl/>
        </w:rPr>
      </w:pPr>
      <w:bookmarkStart w:id="12" w:name="_Toc235215126"/>
      <w:r w:rsidRPr="00EE6B78">
        <w:rPr>
          <w:sz w:val="32"/>
          <w:szCs w:val="32"/>
          <w:rtl/>
        </w:rPr>
        <w:t>1.6.1 الفرضية الرئيسة</w:t>
      </w:r>
      <w:bookmarkEnd w:id="12"/>
    </w:p>
    <w:p w14:paraId="3EBB18BC" w14:textId="556175AC"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يوجد أثر ذو دلالة إحصائية للتحول الرقمي ومستوى تطبيق الحوكمة مجتمعين على نجاح المشاريع الحكومية في المملكة العربية السعودية عند مستوى دلالة إحصائية (</w:t>
      </w:r>
      <w:r w:rsidRPr="00EE6B78">
        <w:rPr>
          <w:rFonts w:ascii="Cambria" w:hAnsi="Cambria" w:cs="Cambria"/>
          <w:sz w:val="32"/>
          <w:szCs w:val="32"/>
        </w:rPr>
        <w:t>α</w:t>
      </w:r>
      <w:r w:rsidRPr="00EE6B78">
        <w:rPr>
          <w:rFonts w:ascii="Sakkal Majalla" w:hAnsi="Sakkal Majalla" w:cs="Sakkal Majalla"/>
          <w:sz w:val="32"/>
          <w:szCs w:val="32"/>
        </w:rPr>
        <w:t xml:space="preserve"> </w:t>
      </w:r>
      <w:r w:rsidR="00375751" w:rsidRPr="00EE6B78">
        <w:rPr>
          <w:rFonts w:ascii="Sakkal Majalla" w:hAnsi="Sakkal Majalla" w:cs="Sakkal Majalla"/>
          <w:sz w:val="32"/>
          <w:szCs w:val="32"/>
        </w:rPr>
        <w:t>=</w:t>
      </w:r>
      <w:r w:rsidRPr="00EE6B78">
        <w:rPr>
          <w:rFonts w:ascii="Sakkal Majalla" w:hAnsi="Sakkal Majalla" w:cs="Sakkal Majalla"/>
          <w:sz w:val="32"/>
          <w:szCs w:val="32"/>
        </w:rPr>
        <w:t xml:space="preserve"> 0.05</w:t>
      </w:r>
      <w:r w:rsidRPr="00EE6B78">
        <w:rPr>
          <w:rFonts w:ascii="Sakkal Majalla" w:hAnsi="Sakkal Majalla" w:cs="Sakkal Majalla"/>
          <w:sz w:val="32"/>
          <w:szCs w:val="32"/>
          <w:rtl/>
        </w:rPr>
        <w:t>).</w:t>
      </w:r>
    </w:p>
    <w:p w14:paraId="2AB0C39B" w14:textId="77777777" w:rsidR="00B66695" w:rsidRPr="00EE6B78" w:rsidRDefault="00B66695" w:rsidP="00EE6B78">
      <w:pPr>
        <w:pStyle w:val="3"/>
        <w:spacing w:line="276" w:lineRule="auto"/>
        <w:rPr>
          <w:sz w:val="32"/>
          <w:szCs w:val="32"/>
          <w:rtl/>
        </w:rPr>
      </w:pPr>
      <w:bookmarkStart w:id="13" w:name="_Toc235215127"/>
      <w:r w:rsidRPr="00EE6B78">
        <w:rPr>
          <w:sz w:val="32"/>
          <w:szCs w:val="32"/>
          <w:rtl/>
        </w:rPr>
        <w:t>1.6.2 الفرضيات الفرعية</w:t>
      </w:r>
      <w:bookmarkEnd w:id="13"/>
    </w:p>
    <w:p w14:paraId="5A4CECF2" w14:textId="77777777" w:rsidR="00B66695" w:rsidRPr="00EE6B78" w:rsidRDefault="00B66695" w:rsidP="00EE6B78">
      <w:pPr>
        <w:pStyle w:val="4"/>
        <w:spacing w:line="276" w:lineRule="auto"/>
        <w:rPr>
          <w:sz w:val="32"/>
          <w:szCs w:val="32"/>
          <w:rtl/>
        </w:rPr>
      </w:pPr>
      <w:r w:rsidRPr="00EE6B78">
        <w:rPr>
          <w:sz w:val="32"/>
          <w:szCs w:val="32"/>
          <w:rtl/>
        </w:rPr>
        <w:t>الفرضية الفرعية الأولى:</w:t>
      </w:r>
    </w:p>
    <w:p w14:paraId="542ADF5F" w14:textId="7D87B5C3"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يوجد أثر إيجابي ذو دلالة إحصائية للتحول الرقمي على نجاح المشاريع الحكومية في المملكة العربية السعودية عند مستوى دلالة (</w:t>
      </w:r>
      <w:r w:rsidRPr="00EE6B78">
        <w:rPr>
          <w:rFonts w:ascii="Cambria" w:hAnsi="Cambria" w:cs="Cambria"/>
          <w:sz w:val="32"/>
          <w:szCs w:val="32"/>
        </w:rPr>
        <w:t>α</w:t>
      </w:r>
      <w:r w:rsidRPr="00EE6B78">
        <w:rPr>
          <w:rFonts w:ascii="Sakkal Majalla" w:hAnsi="Sakkal Majalla" w:cs="Sakkal Majalla"/>
          <w:sz w:val="32"/>
          <w:szCs w:val="32"/>
        </w:rPr>
        <w:t xml:space="preserve"> </w:t>
      </w:r>
      <w:r w:rsidR="00C34833" w:rsidRPr="00EE6B78">
        <w:rPr>
          <w:rFonts w:ascii="Sakkal Majalla" w:hAnsi="Sakkal Majalla" w:cs="Sakkal Majalla"/>
          <w:sz w:val="32"/>
          <w:szCs w:val="32"/>
        </w:rPr>
        <w:t>=</w:t>
      </w:r>
      <w:r w:rsidRPr="00EE6B78">
        <w:rPr>
          <w:rFonts w:ascii="Sakkal Majalla" w:hAnsi="Sakkal Majalla" w:cs="Sakkal Majalla"/>
          <w:sz w:val="32"/>
          <w:szCs w:val="32"/>
        </w:rPr>
        <w:t xml:space="preserve"> 0.05</w:t>
      </w:r>
      <w:r w:rsidRPr="00EE6B78">
        <w:rPr>
          <w:rFonts w:ascii="Sakkal Majalla" w:hAnsi="Sakkal Majalla" w:cs="Sakkal Majalla"/>
          <w:sz w:val="32"/>
          <w:szCs w:val="32"/>
          <w:rtl/>
        </w:rPr>
        <w:t>).</w:t>
      </w:r>
    </w:p>
    <w:p w14:paraId="0BC82917" w14:textId="77777777" w:rsidR="00B66695" w:rsidRPr="00EE6B78" w:rsidRDefault="00B66695" w:rsidP="00EE6B78">
      <w:pPr>
        <w:pStyle w:val="4"/>
        <w:spacing w:line="276" w:lineRule="auto"/>
        <w:rPr>
          <w:sz w:val="32"/>
          <w:szCs w:val="32"/>
          <w:rtl/>
        </w:rPr>
      </w:pPr>
      <w:r w:rsidRPr="00EE6B78">
        <w:rPr>
          <w:sz w:val="32"/>
          <w:szCs w:val="32"/>
          <w:rtl/>
        </w:rPr>
        <w:t>الفرضية الفرعية الثانية:</w:t>
      </w:r>
    </w:p>
    <w:p w14:paraId="18DD0836" w14:textId="346D0F3B"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يوجد أثر إيجابي ذو دلالة إحصائية لمستوى تطبيق الحوكمة على نجاح المشاريع الحكومية في المملكة العربية السعودية عند مستوى دلالة (</w:t>
      </w:r>
      <w:r w:rsidRPr="00EE6B78">
        <w:rPr>
          <w:rFonts w:ascii="Cambria" w:hAnsi="Cambria" w:cs="Cambria"/>
          <w:sz w:val="32"/>
          <w:szCs w:val="32"/>
        </w:rPr>
        <w:t>α</w:t>
      </w:r>
      <w:r w:rsidRPr="00EE6B78">
        <w:rPr>
          <w:rFonts w:ascii="Sakkal Majalla" w:hAnsi="Sakkal Majalla" w:cs="Sakkal Majalla"/>
          <w:sz w:val="32"/>
          <w:szCs w:val="32"/>
        </w:rPr>
        <w:t xml:space="preserve"> </w:t>
      </w:r>
      <w:r w:rsidR="00C34833" w:rsidRPr="00EE6B78">
        <w:rPr>
          <w:rFonts w:ascii="Sakkal Majalla" w:hAnsi="Sakkal Majalla" w:cs="Sakkal Majalla"/>
          <w:sz w:val="32"/>
          <w:szCs w:val="32"/>
        </w:rPr>
        <w:t xml:space="preserve">= </w:t>
      </w:r>
      <w:r w:rsidRPr="00EE6B78">
        <w:rPr>
          <w:rFonts w:ascii="Sakkal Majalla" w:hAnsi="Sakkal Majalla" w:cs="Sakkal Majalla"/>
          <w:sz w:val="32"/>
          <w:szCs w:val="32"/>
        </w:rPr>
        <w:t>0.05</w:t>
      </w:r>
      <w:r w:rsidRPr="00EE6B78">
        <w:rPr>
          <w:rFonts w:ascii="Sakkal Majalla" w:hAnsi="Sakkal Majalla" w:cs="Sakkal Majalla"/>
          <w:sz w:val="32"/>
          <w:szCs w:val="32"/>
          <w:rtl/>
        </w:rPr>
        <w:t>).</w:t>
      </w:r>
    </w:p>
    <w:p w14:paraId="7290C393" w14:textId="77777777" w:rsidR="00B66695" w:rsidRPr="00EE6B78" w:rsidRDefault="00B66695" w:rsidP="00EE6B78">
      <w:pPr>
        <w:pStyle w:val="4"/>
        <w:spacing w:line="276" w:lineRule="auto"/>
        <w:rPr>
          <w:sz w:val="32"/>
          <w:szCs w:val="32"/>
          <w:rtl/>
        </w:rPr>
      </w:pPr>
      <w:r w:rsidRPr="00EE6B78">
        <w:rPr>
          <w:sz w:val="32"/>
          <w:szCs w:val="32"/>
          <w:rtl/>
        </w:rPr>
        <w:t>الفرضية الفرعية الثالثة:</w:t>
      </w:r>
    </w:p>
    <w:p w14:paraId="2596DF9F" w14:textId="03810505"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توجد علاقة إيجابية ذات دلالة إحصائية بين التحول الرقمي ومستوى تطبيق الحوكمة في بيئة المشاريع الحكومية عند مستوى دلالة (</w:t>
      </w:r>
      <w:r w:rsidRPr="00EE6B78">
        <w:rPr>
          <w:rFonts w:ascii="Cambria" w:hAnsi="Cambria" w:cs="Cambria"/>
          <w:sz w:val="32"/>
          <w:szCs w:val="32"/>
        </w:rPr>
        <w:t>α</w:t>
      </w:r>
      <w:r w:rsidRPr="00EE6B78">
        <w:rPr>
          <w:rFonts w:ascii="Sakkal Majalla" w:hAnsi="Sakkal Majalla" w:cs="Sakkal Majalla"/>
          <w:sz w:val="32"/>
          <w:szCs w:val="32"/>
        </w:rPr>
        <w:t xml:space="preserve"> </w:t>
      </w:r>
      <w:r w:rsidR="00C34833" w:rsidRPr="00EE6B78">
        <w:rPr>
          <w:rFonts w:ascii="Sakkal Majalla" w:hAnsi="Sakkal Majalla" w:cs="Sakkal Majalla"/>
          <w:sz w:val="32"/>
          <w:szCs w:val="32"/>
        </w:rPr>
        <w:t xml:space="preserve">= </w:t>
      </w:r>
      <w:r w:rsidRPr="00EE6B78">
        <w:rPr>
          <w:rFonts w:ascii="Sakkal Majalla" w:hAnsi="Sakkal Majalla" w:cs="Sakkal Majalla"/>
          <w:sz w:val="32"/>
          <w:szCs w:val="32"/>
        </w:rPr>
        <w:t>0.05</w:t>
      </w:r>
      <w:r w:rsidRPr="00EE6B78">
        <w:rPr>
          <w:rFonts w:ascii="Sakkal Majalla" w:hAnsi="Sakkal Majalla" w:cs="Sakkal Majalla"/>
          <w:sz w:val="32"/>
          <w:szCs w:val="32"/>
          <w:rtl/>
        </w:rPr>
        <w:t>).</w:t>
      </w:r>
    </w:p>
    <w:p w14:paraId="346A969F" w14:textId="77777777" w:rsidR="00B66695" w:rsidRPr="00EE6B78" w:rsidRDefault="00B66695" w:rsidP="00EE6B78">
      <w:pPr>
        <w:pStyle w:val="2"/>
        <w:spacing w:line="276" w:lineRule="auto"/>
        <w:rPr>
          <w:sz w:val="32"/>
          <w:szCs w:val="32"/>
          <w:rtl/>
        </w:rPr>
      </w:pPr>
      <w:bookmarkStart w:id="14" w:name="_Toc235215128"/>
      <w:r w:rsidRPr="00EE6B78">
        <w:rPr>
          <w:sz w:val="32"/>
          <w:szCs w:val="32"/>
          <w:rtl/>
        </w:rPr>
        <w:t>1.7 النظرية العلمية المتبعة لإعداد البحث</w:t>
      </w:r>
      <w:bookmarkEnd w:id="14"/>
    </w:p>
    <w:p w14:paraId="782124A1" w14:textId="77777777" w:rsidR="00B66695" w:rsidRPr="00EE6B78" w:rsidRDefault="00B66695" w:rsidP="00EE6B78">
      <w:pPr>
        <w:pStyle w:val="3"/>
        <w:spacing w:line="276" w:lineRule="auto"/>
        <w:rPr>
          <w:sz w:val="32"/>
          <w:szCs w:val="32"/>
          <w:rtl/>
        </w:rPr>
      </w:pPr>
      <w:bookmarkStart w:id="15" w:name="_Toc235215129"/>
      <w:r w:rsidRPr="00EE6B78">
        <w:rPr>
          <w:sz w:val="32"/>
          <w:szCs w:val="32"/>
          <w:rtl/>
        </w:rPr>
        <w:t>1.7.1 نظرية النظم الاجتماعية التقنية</w:t>
      </w:r>
      <w:bookmarkEnd w:id="15"/>
    </w:p>
    <w:p w14:paraId="2A8730A5"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تعتمد الدراسة على نظرية النظم الاجتماعية التقنية بوصفها الإطار النظري الأنسب لتفسير العلاقة بين متغيراتها. وترى هذه النظرية أن أداء المنظمة لا ينتج عن الجانب التقني أو الجانب الاجتماعي والتنظيمي بصورة منفصلة، بل ينتج عن التفاعل والتوافق بين النظامين. وقد ظهرت الأسس الأولى لهذه النظرية في دراسة </w:t>
      </w:r>
      <w:r w:rsidRPr="00EE6B78">
        <w:rPr>
          <w:rFonts w:ascii="Sakkal Majalla" w:hAnsi="Sakkal Majalla" w:cs="Sakkal Majalla"/>
          <w:sz w:val="32"/>
          <w:szCs w:val="32"/>
        </w:rPr>
        <w:t>Trist and Bamforth (1951</w:t>
      </w:r>
      <w:r w:rsidRPr="00EE6B78">
        <w:rPr>
          <w:rFonts w:ascii="Sakkal Majalla" w:hAnsi="Sakkal Majalla" w:cs="Sakkal Majalla"/>
          <w:sz w:val="32"/>
          <w:szCs w:val="32"/>
          <w:rtl/>
        </w:rPr>
        <w:t>)، التي أوضحت أن إدخال تغييرات تقنية دون مراعاة تنظيم العمل والعلاقات الاجتماعية قد يؤدي إلى نتائج تختلف عن النتائج المتوقعة من التقنية ذاتها.</w:t>
      </w:r>
    </w:p>
    <w:p w14:paraId="1F620309"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lastRenderedPageBreak/>
        <w:t>ويشير النظام التقني إلى الأدوات والتقنيات والعمليات وأساليب تنفيذ العمل، بينما يشمل النظام الاجتماعي والتنظيمي الأفراد، والأدوار، والهياكل، والعلاقات، والصلاحيات، وقواعد اتخاذ القرار. وتفترض النظرية أن تحسين الأداء يتطلب تصميم النظامين بصورة متكاملة، بحيث تتوافق الإمكانات التقنية مع الهياكل التنظيمية والقدرات البشرية وممارسات الإدارة.</w:t>
      </w:r>
    </w:p>
    <w:p w14:paraId="0E1B22A0" w14:textId="77777777" w:rsidR="00B66695" w:rsidRPr="00EE6B78" w:rsidRDefault="00B66695" w:rsidP="00EE6B78">
      <w:pPr>
        <w:pStyle w:val="3"/>
        <w:spacing w:line="276" w:lineRule="auto"/>
        <w:rPr>
          <w:sz w:val="32"/>
          <w:szCs w:val="32"/>
          <w:rtl/>
        </w:rPr>
      </w:pPr>
      <w:bookmarkStart w:id="16" w:name="_Toc235215130"/>
      <w:r w:rsidRPr="00EE6B78">
        <w:rPr>
          <w:sz w:val="32"/>
          <w:szCs w:val="32"/>
          <w:rtl/>
        </w:rPr>
        <w:t>1.7.2 ملاءمة النظرية للدراسة الحالية</w:t>
      </w:r>
      <w:bookmarkEnd w:id="16"/>
    </w:p>
    <w:p w14:paraId="420C0A00"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تتوافق نظرية النظم الاجتماعية التقنية مع موضوع الدراسة لأن التحول الرقمي يمثل الجانب التقني في بيئة المشاريع الحكومية، ويتضمن البنية التحتية التقنية، وتكامل الأنظمة، واستخدام البيانات، </w:t>
      </w:r>
      <w:proofErr w:type="spellStart"/>
      <w:r w:rsidRPr="00EE6B78">
        <w:rPr>
          <w:rFonts w:ascii="Sakkal Majalla" w:hAnsi="Sakkal Majalla" w:cs="Sakkal Majalla"/>
          <w:sz w:val="32"/>
          <w:szCs w:val="32"/>
          <w:rtl/>
        </w:rPr>
        <w:t>ورقمنة</w:t>
      </w:r>
      <w:proofErr w:type="spellEnd"/>
      <w:r w:rsidRPr="00EE6B78">
        <w:rPr>
          <w:rFonts w:ascii="Sakkal Majalla" w:hAnsi="Sakkal Majalla" w:cs="Sakkal Majalla"/>
          <w:sz w:val="32"/>
          <w:szCs w:val="32"/>
          <w:rtl/>
        </w:rPr>
        <w:t xml:space="preserve"> العمليات والإجراءات.</w:t>
      </w:r>
    </w:p>
    <w:p w14:paraId="62E86C7A"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وفي المقابل، تمثل الحوكمة الجانب التنظيمي والاجتماعي، من خلال تحديد المسؤوليات والصلاحيات، وتعزيز الشفافية والمساءلة، وإدارة المخاطر، وتطبيق الرقابة، ودعم اتخاذ القرار.</w:t>
      </w:r>
    </w:p>
    <w:p w14:paraId="2C60021B" w14:textId="0996734B"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أما نجاح المشاريع، فيمثل النتيجة المتوقعة من مستوى التوافق والتكامل بين الجانبين التقني والتنظيمي. فكلما ارتفع مستوى النضج الرقمي، وتوافرت في الوقت نفسه ممارسات حوكمة فعالة، يُتوقع أن تتحسن قدرة المشروع على تحقيق نطاقه، والالتزام بوقته وتكلفته، وتقديم مخرجات عالية الجودة، وتحقيق رضا أصحاب المصلحة.</w:t>
      </w:r>
    </w:p>
    <w:p w14:paraId="3E4964AD" w14:textId="77777777" w:rsidR="00B66695" w:rsidRPr="00EE6B78" w:rsidRDefault="00B66695" w:rsidP="00EE6B78">
      <w:pPr>
        <w:spacing w:line="276" w:lineRule="auto"/>
        <w:rPr>
          <w:rFonts w:ascii="Sakkal Majalla" w:hAnsi="Sakkal Majalla" w:cs="Sakkal Majalla"/>
          <w:sz w:val="32"/>
          <w:szCs w:val="32"/>
          <w:rtl/>
        </w:rPr>
      </w:pPr>
    </w:p>
    <w:p w14:paraId="710DCE92"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ولا تفترض النظرية أن التقنية وحدها كافية لتحقيق النجاح، كما لا تفترض أن القواعد والإجراءات التنظيمية يمكن أن تحقق النتائج في غياب الممكنات التقنية. وإنما تؤكد أهمية التوازن بين التكنولوجيا والأفراد والعمليات والهياكل التنظيمية، وهو ما يتوافق مع النموذج المفاهيمي للدراسة.</w:t>
      </w:r>
    </w:p>
    <w:p w14:paraId="39BA9AFE" w14:textId="77777777" w:rsidR="00B66695" w:rsidRPr="00EE6B78" w:rsidRDefault="00B66695" w:rsidP="00EE6B78">
      <w:pPr>
        <w:pStyle w:val="3"/>
        <w:spacing w:line="276" w:lineRule="auto"/>
        <w:rPr>
          <w:sz w:val="32"/>
          <w:szCs w:val="32"/>
          <w:rtl/>
        </w:rPr>
      </w:pPr>
      <w:bookmarkStart w:id="17" w:name="_Toc235215131"/>
      <w:r w:rsidRPr="00EE6B78">
        <w:rPr>
          <w:sz w:val="32"/>
          <w:szCs w:val="32"/>
          <w:rtl/>
        </w:rPr>
        <w:t>1.7.3 توظيف النظرية في نموذج الدراسة</w:t>
      </w:r>
      <w:bookmarkEnd w:id="17"/>
    </w:p>
    <w:p w14:paraId="46D8E7F3"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يتم توظيف نظرية النظم الاجتماعية التقنية في الدراسة وفق التصنيف الآتي:</w:t>
      </w:r>
    </w:p>
    <w:p w14:paraId="0A4741C7"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النظام التقني: التحول الرقمي بأبعاده الأربعة: البنية التحتية التقنية، وتكامل الأنظمة، واستخدام البيانات، </w:t>
      </w:r>
      <w:proofErr w:type="spellStart"/>
      <w:r w:rsidRPr="00EE6B78">
        <w:rPr>
          <w:rFonts w:ascii="Sakkal Majalla" w:hAnsi="Sakkal Majalla" w:cs="Sakkal Majalla"/>
          <w:sz w:val="32"/>
          <w:szCs w:val="32"/>
          <w:rtl/>
        </w:rPr>
        <w:t>ورقمنة</w:t>
      </w:r>
      <w:proofErr w:type="spellEnd"/>
      <w:r w:rsidRPr="00EE6B78">
        <w:rPr>
          <w:rFonts w:ascii="Sakkal Majalla" w:hAnsi="Sakkal Majalla" w:cs="Sakkal Majalla"/>
          <w:sz w:val="32"/>
          <w:szCs w:val="32"/>
          <w:rtl/>
        </w:rPr>
        <w:t xml:space="preserve"> العمليات.</w:t>
      </w:r>
    </w:p>
    <w:p w14:paraId="6AB3235E" w14:textId="08F528A5"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النظام الاجتماعي والتنظيمي: الحوكمة بأبعادها الخمسة: الشفافية، والمساءلة، ووضوح الأدوار والمسؤوليات، وإدارة المخاطر، و</w:t>
      </w:r>
      <w:r w:rsidR="00A2513D" w:rsidRPr="00EE6B78">
        <w:rPr>
          <w:rFonts w:ascii="Sakkal Majalla" w:hAnsi="Sakkal Majalla" w:cs="Sakkal Majalla"/>
          <w:sz w:val="32"/>
          <w:szCs w:val="32"/>
          <w:rtl/>
        </w:rPr>
        <w:t>الرقابة واتخاذ القرار</w:t>
      </w:r>
      <w:r w:rsidRPr="00EE6B78">
        <w:rPr>
          <w:rFonts w:ascii="Sakkal Majalla" w:hAnsi="Sakkal Majalla" w:cs="Sakkal Majalla"/>
          <w:sz w:val="32"/>
          <w:szCs w:val="32"/>
          <w:rtl/>
        </w:rPr>
        <w:t>.</w:t>
      </w:r>
    </w:p>
    <w:p w14:paraId="7560B033"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lastRenderedPageBreak/>
        <w:t>النتائج التنظيمية: نجاح المشاريع الحكومية بأبعاده الخمسة: الوقت، والتكلفة، وجودة المخرجات، ورضا أصحاب المصلحة، ونطاق المشروع.</w:t>
      </w:r>
    </w:p>
    <w:p w14:paraId="44A28B6B" w14:textId="4D475181"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وبناءً على ذلك، تفترض الدراسة أن ارتفاع مستوى تطبيق التحول الرقمي بالتزامن مع ارتفاع مستوى تطبيق الحوكمة يؤدي إلى تحسين نتائج المشاريع الحكومية، وأن ضعف أحد الجانبين قد يحد من فاعلية الجانب الآخر.</w:t>
      </w:r>
    </w:p>
    <w:p w14:paraId="65E9DE9A" w14:textId="77777777" w:rsidR="00B66695" w:rsidRPr="00EE6B78" w:rsidRDefault="00B66695" w:rsidP="00EE6B78">
      <w:pPr>
        <w:pStyle w:val="2"/>
        <w:spacing w:line="276" w:lineRule="auto"/>
        <w:rPr>
          <w:sz w:val="32"/>
          <w:szCs w:val="32"/>
          <w:rtl/>
        </w:rPr>
      </w:pPr>
      <w:bookmarkStart w:id="18" w:name="_Toc235215132"/>
      <w:r w:rsidRPr="00EE6B78">
        <w:rPr>
          <w:sz w:val="32"/>
          <w:szCs w:val="32"/>
          <w:rtl/>
        </w:rPr>
        <w:t>1.8 خلاصة الفصل</w:t>
      </w:r>
      <w:bookmarkEnd w:id="18"/>
    </w:p>
    <w:p w14:paraId="580DA40B"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تناول هذا الفصل الإطار العام للدراسة، من خلال توضيح خلفيتها ومشكلتها وأهميتها العلمية والتطبيقية، </w:t>
      </w:r>
      <w:proofErr w:type="gramStart"/>
      <w:r w:rsidRPr="00EE6B78">
        <w:rPr>
          <w:rFonts w:ascii="Sakkal Majalla" w:hAnsi="Sakkal Majalla" w:cs="Sakkal Majalla"/>
          <w:sz w:val="32"/>
          <w:szCs w:val="32"/>
          <w:rtl/>
        </w:rPr>
        <w:t xml:space="preserve">وتحديد أهدافها </w:t>
      </w:r>
      <w:proofErr w:type="gramEnd"/>
      <w:r w:rsidRPr="00EE6B78">
        <w:rPr>
          <w:rFonts w:ascii="Sakkal Majalla" w:hAnsi="Sakkal Majalla" w:cs="Sakkal Majalla"/>
          <w:sz w:val="32"/>
          <w:szCs w:val="32"/>
          <w:rtl/>
        </w:rPr>
        <w:t>وتساؤلاتها وفروضها. كما عرض نظرية النظم الاجتماعية التقنية بوصفها الأساس النظري الذي يفسر العلاقة بين التحول الرقمي والحوكمة ونجاح المشاريع الحكومية.</w:t>
      </w:r>
    </w:p>
    <w:p w14:paraId="55486D9E" w14:textId="1E5B1BA1"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ويهيئ هذا الفصل للانتقال إلى الفصل الثاني، الذي يتناول الدراسات السابقة والإطار النظري لمتغيرات الدراسة وأبعادها، ويحلل العلاقات المتوقعة بينها، ويحدد الفجوة البحثية التي تعالجها الدراسة الحالية.</w:t>
      </w:r>
    </w:p>
    <w:p w14:paraId="1EA79CAE" w14:textId="77777777" w:rsidR="00D74939" w:rsidRPr="00EE6B78" w:rsidRDefault="00D74939" w:rsidP="00EE6B78">
      <w:pPr>
        <w:bidi w:val="0"/>
        <w:spacing w:line="276" w:lineRule="auto"/>
        <w:rPr>
          <w:rFonts w:asciiTheme="majorHAnsi" w:eastAsiaTheme="majorEastAsia" w:hAnsiTheme="majorHAnsi" w:cstheme="majorBidi"/>
          <w:color w:val="2F5496" w:themeColor="accent1" w:themeShade="BF"/>
          <w:sz w:val="32"/>
          <w:szCs w:val="32"/>
          <w:rtl/>
        </w:rPr>
      </w:pPr>
      <w:r w:rsidRPr="00EE6B78">
        <w:rPr>
          <w:sz w:val="32"/>
          <w:szCs w:val="32"/>
          <w:rtl/>
        </w:rPr>
        <w:br w:type="page"/>
      </w:r>
    </w:p>
    <w:p w14:paraId="37B3BE08" w14:textId="43A150DA" w:rsidR="00B66695" w:rsidRPr="00531BB5" w:rsidRDefault="00D32FB9" w:rsidP="00531BB5">
      <w:pPr>
        <w:pStyle w:val="1"/>
        <w:jc w:val="center"/>
        <w:rPr>
          <w:sz w:val="36"/>
          <w:szCs w:val="36"/>
          <w:rtl/>
        </w:rPr>
      </w:pPr>
      <w:bookmarkStart w:id="19" w:name="_Toc235215133"/>
      <w:r w:rsidRPr="00531BB5">
        <w:rPr>
          <w:rFonts w:hint="cs"/>
          <w:sz w:val="36"/>
          <w:szCs w:val="36"/>
          <w:rtl/>
        </w:rPr>
        <w:lastRenderedPageBreak/>
        <w:t xml:space="preserve">الفصل </w:t>
      </w:r>
      <w:r w:rsidRPr="00531BB5">
        <w:rPr>
          <w:rFonts w:hint="cs"/>
          <w:sz w:val="36"/>
          <w:szCs w:val="36"/>
          <w:rtl/>
        </w:rPr>
        <w:t>الثاني</w:t>
      </w:r>
      <w:r w:rsidR="0033278E" w:rsidRPr="00531BB5">
        <w:rPr>
          <w:rFonts w:hint="cs"/>
          <w:sz w:val="36"/>
          <w:szCs w:val="36"/>
          <w:rtl/>
        </w:rPr>
        <w:t xml:space="preserve">: </w:t>
      </w:r>
      <w:r w:rsidR="0033278E" w:rsidRPr="00531BB5">
        <w:rPr>
          <w:sz w:val="36"/>
          <w:szCs w:val="36"/>
          <w:rtl/>
        </w:rPr>
        <w:t>الدراسات السابقة والإطار النظري</w:t>
      </w:r>
      <w:bookmarkEnd w:id="19"/>
    </w:p>
    <w:p w14:paraId="3260E055" w14:textId="77777777" w:rsidR="00B66695" w:rsidRPr="00EE6B78" w:rsidRDefault="00B66695" w:rsidP="00EE6B78">
      <w:pPr>
        <w:pStyle w:val="2"/>
        <w:spacing w:line="276" w:lineRule="auto"/>
        <w:rPr>
          <w:sz w:val="32"/>
          <w:szCs w:val="32"/>
          <w:rtl/>
        </w:rPr>
      </w:pPr>
      <w:bookmarkStart w:id="20" w:name="_Toc235215134"/>
      <w:r w:rsidRPr="00B66695">
        <w:rPr>
          <w:rtl/>
        </w:rPr>
        <w:t>2.</w:t>
      </w:r>
      <w:r w:rsidRPr="00EE6B78">
        <w:rPr>
          <w:sz w:val="32"/>
          <w:szCs w:val="32"/>
          <w:rtl/>
        </w:rPr>
        <w:t>1 مقدمة</w:t>
      </w:r>
      <w:bookmarkEnd w:id="20"/>
    </w:p>
    <w:p w14:paraId="498AEEB3" w14:textId="77777777"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يهدف هذا الفصل إلى بناء الأساس العلمي الذي تستند إليه الدراسة، من خلال استعراض الدراسات السابقة المرتبطة بالتحول الرقمي والحوكمة ونجاح المشاريع، وتحليل أهم نتائجها ومناهجها، ثم توضيح المفاهيم والأبعاد النظرية لمتغيرات الدراسة والعلاقات المتوقعة بينها.</w:t>
      </w:r>
    </w:p>
    <w:p w14:paraId="36A5B8BB" w14:textId="71F4305A" w:rsidR="00B66695" w:rsidRPr="00EE6B78" w:rsidRDefault="00B66695"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ويكتسب استعراض الدراسات السابقة أهمية في تحديد ما توصل إليه الباحثون، والكشف عن أوجه الاتفاق والاختلاف بين نتائجهم، وتحديد الجوانب التي ما تزال بحاجة إلى دراسة. كما يساعد الإطار النظري على توضيح كيفية قياس التحول الرقمي والحوكمة ونجاح المشاريع الحكومية، وتفسير العلاقة بين المتغيرات في ضوء نظرية النظم الاجتماعية التقنية التي تم تبنيها في الفصل الأول.</w:t>
      </w:r>
    </w:p>
    <w:p w14:paraId="78797C1C" w14:textId="77777777" w:rsidR="00712B0A" w:rsidRPr="00EE6B78" w:rsidRDefault="00712B0A" w:rsidP="00EE6B78">
      <w:pPr>
        <w:pStyle w:val="2"/>
        <w:spacing w:line="276" w:lineRule="auto"/>
        <w:rPr>
          <w:sz w:val="32"/>
          <w:szCs w:val="32"/>
          <w:rtl/>
        </w:rPr>
      </w:pPr>
      <w:bookmarkStart w:id="21" w:name="_Toc235215135"/>
      <w:r w:rsidRPr="00EE6B78">
        <w:rPr>
          <w:sz w:val="32"/>
          <w:szCs w:val="32"/>
          <w:rtl/>
        </w:rPr>
        <w:t>2.2 الدراسات السابقة</w:t>
      </w:r>
      <w:bookmarkEnd w:id="21"/>
    </w:p>
    <w:p w14:paraId="679B457E"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تم تقسيم الدراسات السابقة إلى ثلاثة محاور رئيسة: الدراسات المتعلقة بالتحول الرقمي، والدراسات المتعلقة بالحوكمة ونجاح المشاريع، والدراسات المتعلقة بمفهوم نجاح المشاريع ومعايير قياسه.</w:t>
      </w:r>
    </w:p>
    <w:p w14:paraId="4AC5CE43" w14:textId="77777777" w:rsidR="00712B0A" w:rsidRPr="00EE6B78" w:rsidRDefault="00712B0A" w:rsidP="00EE6B78">
      <w:pPr>
        <w:pStyle w:val="3"/>
        <w:spacing w:line="276" w:lineRule="auto"/>
        <w:rPr>
          <w:sz w:val="32"/>
          <w:szCs w:val="32"/>
          <w:rtl/>
        </w:rPr>
      </w:pPr>
      <w:bookmarkStart w:id="22" w:name="_Toc235215136"/>
      <w:r w:rsidRPr="00EE6B78">
        <w:rPr>
          <w:sz w:val="32"/>
          <w:szCs w:val="32"/>
          <w:rtl/>
        </w:rPr>
        <w:t>2.2.1 الدراسات المتعلقة بالتحول الرقمي</w:t>
      </w:r>
      <w:bookmarkEnd w:id="22"/>
    </w:p>
    <w:p w14:paraId="2186B1DD" w14:textId="554117C6" w:rsidR="00712B0A" w:rsidRPr="00EE6B78" w:rsidRDefault="00712B0A" w:rsidP="00EE6B78">
      <w:pPr>
        <w:spacing w:line="276" w:lineRule="auto"/>
        <w:rPr>
          <w:rFonts w:ascii="Sakkal Majalla" w:hAnsi="Sakkal Majalla" w:cs="Sakkal Majalla"/>
          <w:b/>
          <w:bCs/>
          <w:sz w:val="32"/>
          <w:szCs w:val="32"/>
          <w:u w:val="single"/>
          <w:rtl/>
        </w:rPr>
      </w:pPr>
      <w:r w:rsidRPr="00EE6B78">
        <w:rPr>
          <w:rFonts w:ascii="Sakkal Majalla" w:hAnsi="Sakkal Majalla" w:cs="Sakkal Majalla"/>
          <w:b/>
          <w:bCs/>
          <w:sz w:val="32"/>
          <w:szCs w:val="32"/>
          <w:u w:val="single"/>
          <w:rtl/>
        </w:rPr>
        <w:t xml:space="preserve">دراسة </w:t>
      </w:r>
      <w:r w:rsidRPr="00EE6B78">
        <w:rPr>
          <w:rFonts w:ascii="Sakkal Majalla" w:hAnsi="Sakkal Majalla" w:cs="Sakkal Majalla"/>
          <w:b/>
          <w:bCs/>
          <w:sz w:val="32"/>
          <w:szCs w:val="32"/>
          <w:u w:val="single"/>
        </w:rPr>
        <w:t>Mergel et al. 2019</w:t>
      </w:r>
    </w:p>
    <w:p w14:paraId="476236BD"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هدفت دراسة </w:t>
      </w:r>
      <w:r w:rsidRPr="00EE6B78">
        <w:rPr>
          <w:rFonts w:ascii="Sakkal Majalla" w:hAnsi="Sakkal Majalla" w:cs="Sakkal Majalla"/>
          <w:sz w:val="32"/>
          <w:szCs w:val="32"/>
        </w:rPr>
        <w:t>Mergel</w:t>
      </w:r>
      <w:r w:rsidRPr="00EE6B78">
        <w:rPr>
          <w:rFonts w:ascii="Sakkal Majalla" w:hAnsi="Sakkal Majalla" w:cs="Sakkal Majalla"/>
          <w:sz w:val="32"/>
          <w:szCs w:val="32"/>
          <w:rtl/>
        </w:rPr>
        <w:t xml:space="preserve"> و</w:t>
      </w:r>
      <w:r w:rsidRPr="00EE6B78">
        <w:rPr>
          <w:rFonts w:ascii="Sakkal Majalla" w:hAnsi="Sakkal Majalla" w:cs="Sakkal Majalla"/>
          <w:sz w:val="32"/>
          <w:szCs w:val="32"/>
        </w:rPr>
        <w:t>Edelmann</w:t>
      </w:r>
      <w:r w:rsidRPr="00EE6B78">
        <w:rPr>
          <w:rFonts w:ascii="Sakkal Majalla" w:hAnsi="Sakkal Majalla" w:cs="Sakkal Majalla"/>
          <w:sz w:val="32"/>
          <w:szCs w:val="32"/>
          <w:rtl/>
        </w:rPr>
        <w:t xml:space="preserve"> و</w:t>
      </w:r>
      <w:r w:rsidRPr="00EE6B78">
        <w:rPr>
          <w:rFonts w:ascii="Sakkal Majalla" w:hAnsi="Sakkal Majalla" w:cs="Sakkal Majalla"/>
          <w:sz w:val="32"/>
          <w:szCs w:val="32"/>
        </w:rPr>
        <w:t>Haug</w:t>
      </w:r>
      <w:r w:rsidRPr="00EE6B78">
        <w:rPr>
          <w:rFonts w:ascii="Sakkal Majalla" w:hAnsi="Sakkal Majalla" w:cs="Sakkal Majalla"/>
          <w:sz w:val="32"/>
          <w:szCs w:val="32"/>
          <w:rtl/>
        </w:rPr>
        <w:t xml:space="preserve"> إلى تطوير تعريف علمي للتحول الرقمي في القطاع الحكومي، وتحديد دوافعه وعملياته ونتائجه المتوقعة. واعتمد الباحثون على مقابلات مع خبراء لديهم معرفة وخبرة في مبادرات التحول الرقمي في الإدارات العامة.</w:t>
      </w:r>
    </w:p>
    <w:p w14:paraId="1DDAC721"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أظهرت الدراسة أن التحول الرقمي لا يقتصر على إدخال التقنيات الحديثة، بل يشمل تغيير العمليات التنظيمية والثقافة المؤسسية وأساليب تقديم الخدمات والعلاقة مع المستفيدين. كما أوضحت أن التحول الرقمي في الجهات الحكومية يستهدف تحسين تجربة المستفيد، ورفع كفاءة العمليات، وتطوير الخدمات، وتعزيز القدرة على الاستجابة للتغيرات. وقدمت الدراسة إطارًا مفاهيميًا يربط بين دوافع التحول والعمليات التنظيمية اللازمة لتنفيذه والنتائج المترتبة عليه.</w:t>
      </w:r>
    </w:p>
    <w:p w14:paraId="6D1607FD"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وتستفيد الدراسة الحالية من هذه الدراسة في التعامل مع التحول الرقمي بوصفه تحولًا مؤسسيًا شاملًا، وليس مجرد استخدام للتكنولوجيا، وفي قياسه من خلال البنية التحتية والتكامل الرقمي واستخدام البيانات </w:t>
      </w:r>
      <w:proofErr w:type="spellStart"/>
      <w:r w:rsidRPr="00EE6B78">
        <w:rPr>
          <w:rFonts w:ascii="Sakkal Majalla" w:hAnsi="Sakkal Majalla" w:cs="Sakkal Majalla"/>
          <w:sz w:val="32"/>
          <w:szCs w:val="32"/>
          <w:rtl/>
        </w:rPr>
        <w:t>ورقمنة</w:t>
      </w:r>
      <w:proofErr w:type="spellEnd"/>
      <w:r w:rsidRPr="00EE6B78">
        <w:rPr>
          <w:rFonts w:ascii="Sakkal Majalla" w:hAnsi="Sakkal Majalla" w:cs="Sakkal Majalla"/>
          <w:sz w:val="32"/>
          <w:szCs w:val="32"/>
          <w:rtl/>
        </w:rPr>
        <w:t xml:space="preserve"> العمليات.</w:t>
      </w:r>
    </w:p>
    <w:p w14:paraId="756B0404" w14:textId="12EDEF8D" w:rsidR="00712B0A" w:rsidRPr="00EE6B78" w:rsidRDefault="00712B0A" w:rsidP="00EE6B78">
      <w:pPr>
        <w:spacing w:line="276" w:lineRule="auto"/>
        <w:rPr>
          <w:rFonts w:ascii="Sakkal Majalla" w:hAnsi="Sakkal Majalla" w:cs="Sakkal Majalla"/>
          <w:b/>
          <w:bCs/>
          <w:sz w:val="32"/>
          <w:szCs w:val="32"/>
          <w:u w:val="single"/>
          <w:rtl/>
        </w:rPr>
      </w:pPr>
      <w:r w:rsidRPr="00EE6B78">
        <w:rPr>
          <w:rFonts w:ascii="Sakkal Majalla" w:hAnsi="Sakkal Majalla" w:cs="Sakkal Majalla"/>
          <w:b/>
          <w:bCs/>
          <w:sz w:val="32"/>
          <w:szCs w:val="32"/>
          <w:u w:val="single"/>
          <w:rtl/>
        </w:rPr>
        <w:lastRenderedPageBreak/>
        <w:t xml:space="preserve">دراسة </w:t>
      </w:r>
      <w:r w:rsidRPr="00EE6B78">
        <w:rPr>
          <w:rFonts w:ascii="Sakkal Majalla" w:hAnsi="Sakkal Majalla" w:cs="Sakkal Majalla"/>
          <w:b/>
          <w:bCs/>
          <w:sz w:val="32"/>
          <w:szCs w:val="32"/>
          <w:u w:val="single"/>
        </w:rPr>
        <w:t>Vial 2019</w:t>
      </w:r>
    </w:p>
    <w:p w14:paraId="25860B2F"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هدفت دراسة </w:t>
      </w:r>
      <w:r w:rsidRPr="00EE6B78">
        <w:rPr>
          <w:rFonts w:ascii="Sakkal Majalla" w:hAnsi="Sakkal Majalla" w:cs="Sakkal Majalla"/>
          <w:sz w:val="32"/>
          <w:szCs w:val="32"/>
        </w:rPr>
        <w:t>Vial</w:t>
      </w:r>
      <w:r w:rsidRPr="00EE6B78">
        <w:rPr>
          <w:rFonts w:ascii="Sakkal Majalla" w:hAnsi="Sakkal Majalla" w:cs="Sakkal Majalla"/>
          <w:sz w:val="32"/>
          <w:szCs w:val="32"/>
          <w:rtl/>
        </w:rPr>
        <w:t xml:space="preserve"> إلى تقديم مراجعة متكاملة للأدبيات المتعلقة بالتحول الرقمي وتطوير إطار نظري يوضح طبيعته وآثاره التنظيمية. واعتمدت الدراسة على مراجعة وتحليل 282 عملًا علميًا تناولت التحول الرقمي من زوايا متعددة.</w:t>
      </w:r>
    </w:p>
    <w:p w14:paraId="2267DBF9"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توصلت الدراسة إلى أن التقنيات الرقمية تؤدي إلى اضطرابات وتغيرات في البيئة التنظيمية، تدفع المؤسسات إلى تعديل عملياتها وهياكلها ونماذج أعمالها، وتطوير قدراتها للاستفادة من الفرص الرقمية. كما أكدت أن تحقيق القيمة من التقنيات الرقمية يعتمد على الاستجابة الاستراتيجية والتنظيمية، وليس على توافر التقنية وحدها.</w:t>
      </w:r>
    </w:p>
    <w:p w14:paraId="056EA764"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وتدعم هذه النتيجة توجه الدراسة الحالية في الجمع بين التحول الرقمي والحوكمة؛ لأن الاستفادة من الممكنات الرقمية تحتاج إلى هياكل تنظيمية وصلاحيات وآليات واضحة لاتخاذ القرار والرقابة.</w:t>
      </w:r>
    </w:p>
    <w:p w14:paraId="01186932" w14:textId="711A4F9B" w:rsidR="00712B0A" w:rsidRPr="00EE6B78" w:rsidRDefault="00712B0A" w:rsidP="00EE6B78">
      <w:pPr>
        <w:spacing w:line="276" w:lineRule="auto"/>
        <w:rPr>
          <w:rFonts w:ascii="Sakkal Majalla" w:hAnsi="Sakkal Majalla" w:cs="Sakkal Majalla"/>
          <w:b/>
          <w:bCs/>
          <w:sz w:val="32"/>
          <w:szCs w:val="32"/>
          <w:u w:val="single"/>
          <w:rtl/>
        </w:rPr>
      </w:pPr>
      <w:r w:rsidRPr="00EE6B78">
        <w:rPr>
          <w:rFonts w:ascii="Sakkal Majalla" w:hAnsi="Sakkal Majalla" w:cs="Sakkal Majalla"/>
          <w:b/>
          <w:bCs/>
          <w:sz w:val="32"/>
          <w:szCs w:val="32"/>
          <w:u w:val="single"/>
          <w:rtl/>
        </w:rPr>
        <w:t xml:space="preserve">دراسة </w:t>
      </w:r>
      <w:r w:rsidRPr="00EE6B78">
        <w:rPr>
          <w:rFonts w:ascii="Sakkal Majalla" w:hAnsi="Sakkal Majalla" w:cs="Sakkal Majalla"/>
          <w:b/>
          <w:bCs/>
          <w:sz w:val="32"/>
          <w:szCs w:val="32"/>
          <w:u w:val="single"/>
        </w:rPr>
        <w:t>Alajmi et al. 2023</w:t>
      </w:r>
    </w:p>
    <w:p w14:paraId="208849AE"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هدفت دراسة </w:t>
      </w:r>
      <w:r w:rsidRPr="00EE6B78">
        <w:rPr>
          <w:rFonts w:ascii="Sakkal Majalla" w:hAnsi="Sakkal Majalla" w:cs="Sakkal Majalla"/>
          <w:sz w:val="32"/>
          <w:szCs w:val="32"/>
        </w:rPr>
        <w:t>Alajmi</w:t>
      </w:r>
      <w:r w:rsidRPr="00EE6B78">
        <w:rPr>
          <w:rFonts w:ascii="Sakkal Majalla" w:hAnsi="Sakkal Majalla" w:cs="Sakkal Majalla"/>
          <w:sz w:val="32"/>
          <w:szCs w:val="32"/>
          <w:rtl/>
        </w:rPr>
        <w:t xml:space="preserve"> و</w:t>
      </w:r>
      <w:r w:rsidRPr="00EE6B78">
        <w:rPr>
          <w:rFonts w:ascii="Sakkal Majalla" w:hAnsi="Sakkal Majalla" w:cs="Sakkal Majalla"/>
          <w:sz w:val="32"/>
          <w:szCs w:val="32"/>
        </w:rPr>
        <w:t>Mohammadian</w:t>
      </w:r>
      <w:r w:rsidRPr="00EE6B78">
        <w:rPr>
          <w:rFonts w:ascii="Sakkal Majalla" w:hAnsi="Sakkal Majalla" w:cs="Sakkal Majalla"/>
          <w:sz w:val="32"/>
          <w:szCs w:val="32"/>
          <w:rtl/>
        </w:rPr>
        <w:t xml:space="preserve"> و</w:t>
      </w:r>
      <w:r w:rsidRPr="00EE6B78">
        <w:rPr>
          <w:rFonts w:ascii="Sakkal Majalla" w:hAnsi="Sakkal Majalla" w:cs="Sakkal Majalla"/>
          <w:sz w:val="32"/>
          <w:szCs w:val="32"/>
        </w:rPr>
        <w:t>Talukder</w:t>
      </w:r>
      <w:r w:rsidRPr="00EE6B78">
        <w:rPr>
          <w:rFonts w:ascii="Sakkal Majalla" w:hAnsi="Sakkal Majalla" w:cs="Sakkal Majalla"/>
          <w:sz w:val="32"/>
          <w:szCs w:val="32"/>
          <w:rtl/>
        </w:rPr>
        <w:t xml:space="preserve"> إلى تحديد العوامل المؤثرة في تبني أنظمة الحكومة الذكية في مؤسسات القطاع العام في المملكة العربية السعودية. واعتمدت الدراسة على استبانة إلكترونية وُزعت على العاملين في أربع وزارات، وبلغ عدد الاستجابات الصالحة للتحليل 419 استجابة.</w:t>
      </w:r>
    </w:p>
    <w:p w14:paraId="277F59A0"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أظهرت نتائج التحليل متعدد المتغيرات أن العوامل المستقلة فسرت نحو 51% من التباين في تصورات العاملين تجاه أنظمة الحكومة الذكية. كما تبين أن استراتيجية تقنية المعلومات، ودعم الإدارة، والحوافز، والثقة، والمخاوف الأمنية كانت من العوامل الدالة إحصائيًا في قبول الأنظمة الذكية. وأكدت النتائج أهمية الجمع بين الجوانب التقنية والتنظيمية والإدارية عند تنفيذ مبادرات الحكومة الرقمية.</w:t>
      </w:r>
    </w:p>
    <w:p w14:paraId="7997BA23" w14:textId="4A34F1B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وتتفق هذه الدراسة مع الدراسة الحالية في البيئة السعودية وفي التأكيد على أن نجاح التطبيقات الرقمية يرتبط بدعم الإدارة والاستراتيجية والثقة والبيئة التنظيمية، إلا أنها ركزت على قبول أنظمة الحكومة الذكية، بينما تركز الدراسة الحالية على أثر التحول الرقمي والحوكمة في نجاح المشاريع الحكومية.</w:t>
      </w:r>
    </w:p>
    <w:p w14:paraId="47101CB2" w14:textId="00DE036A" w:rsidR="00712B0A" w:rsidRPr="00EE6B78" w:rsidRDefault="00712B0A" w:rsidP="00EE6B78">
      <w:pPr>
        <w:spacing w:line="276" w:lineRule="auto"/>
        <w:rPr>
          <w:rFonts w:ascii="Sakkal Majalla" w:hAnsi="Sakkal Majalla" w:cs="Sakkal Majalla"/>
          <w:b/>
          <w:bCs/>
          <w:sz w:val="32"/>
          <w:szCs w:val="32"/>
          <w:u w:val="single"/>
          <w:rtl/>
        </w:rPr>
      </w:pPr>
      <w:r w:rsidRPr="00EE6B78">
        <w:rPr>
          <w:rFonts w:ascii="Sakkal Majalla" w:hAnsi="Sakkal Majalla" w:cs="Sakkal Majalla"/>
          <w:b/>
          <w:bCs/>
          <w:sz w:val="32"/>
          <w:szCs w:val="32"/>
          <w:u w:val="single"/>
          <w:rtl/>
        </w:rPr>
        <w:lastRenderedPageBreak/>
        <w:t xml:space="preserve">دراسة </w:t>
      </w:r>
      <w:proofErr w:type="spellStart"/>
      <w:r w:rsidRPr="00EE6B78">
        <w:rPr>
          <w:rFonts w:ascii="Sakkal Majalla" w:hAnsi="Sakkal Majalla" w:cs="Sakkal Majalla"/>
          <w:b/>
          <w:bCs/>
          <w:sz w:val="32"/>
          <w:szCs w:val="32"/>
          <w:u w:val="single"/>
        </w:rPr>
        <w:t>Alkorbi</w:t>
      </w:r>
      <w:proofErr w:type="spellEnd"/>
      <w:r w:rsidRPr="00EE6B78">
        <w:rPr>
          <w:rFonts w:ascii="Sakkal Majalla" w:hAnsi="Sakkal Majalla" w:cs="Sakkal Majalla"/>
          <w:b/>
          <w:bCs/>
          <w:sz w:val="32"/>
          <w:szCs w:val="32"/>
          <w:u w:val="single"/>
        </w:rPr>
        <w:t xml:space="preserve"> and </w:t>
      </w:r>
      <w:proofErr w:type="spellStart"/>
      <w:r w:rsidRPr="00EE6B78">
        <w:rPr>
          <w:rFonts w:ascii="Sakkal Majalla" w:hAnsi="Sakkal Majalla" w:cs="Sakkal Majalla"/>
          <w:b/>
          <w:bCs/>
          <w:sz w:val="32"/>
          <w:szCs w:val="32"/>
          <w:u w:val="single"/>
        </w:rPr>
        <w:t>Alrwais</w:t>
      </w:r>
      <w:proofErr w:type="spellEnd"/>
      <w:r w:rsidRPr="00EE6B78">
        <w:rPr>
          <w:rFonts w:ascii="Sakkal Majalla" w:hAnsi="Sakkal Majalla" w:cs="Sakkal Majalla"/>
          <w:b/>
          <w:bCs/>
          <w:sz w:val="32"/>
          <w:szCs w:val="32"/>
          <w:u w:val="single"/>
        </w:rPr>
        <w:t xml:space="preserve"> 2025</w:t>
      </w:r>
    </w:p>
    <w:p w14:paraId="5029A5FD"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هدفت هذه الدراسة إلى تقييم تقدم التحول الرقمي الحكومي في المملكة العربية السعودية، والتعرف على أبرز تحدياته ونتائجه خلال الفترة من عام 2017 إلى عام 2020. واستخدمت الدراسة منهج دراسة الحالة النوعية، من خلال مقابلة العاملين في الوحدات الرقمية والوزارات، وإجراء العمل الميداني، وتحليل الوثائق والمواقع الرسمية.</w:t>
      </w:r>
    </w:p>
    <w:p w14:paraId="68D1C621"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أظهرت النتائج تقدمًا ملحوظًا في رقمنة الخدمات الحكومية وتحسين وصول المستفيدين إليها، مع استمرار بعض التحديات المتعلقة بتكامل البيانات، ومواءمة السياسات، والتعاون بين الجهات. كما أكدت الدراسة أهمية التنسيق المؤسسي، ووجود أنظمة لمتابعة التقدم، والاستثمار طويل الأجل في المهارات الرقمية والبنية التحتية.</w:t>
      </w:r>
    </w:p>
    <w:p w14:paraId="501FF751" w14:textId="6C29D1F8"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وتدعم هذه النتائج اختيار أبعاد الدراسة الحالية؛ إذ ترتبط تحديات تكامل البيانات والتنسيق المؤسسي بأبعاد التحول الرقمي والحوكمة التي يتم قياسها في الدراسة.</w:t>
      </w:r>
    </w:p>
    <w:p w14:paraId="244A6267" w14:textId="77777777" w:rsidR="00712B0A" w:rsidRPr="00EE6B78" w:rsidRDefault="00712B0A" w:rsidP="00EE6B78">
      <w:pPr>
        <w:pStyle w:val="3"/>
        <w:spacing w:line="276" w:lineRule="auto"/>
        <w:rPr>
          <w:sz w:val="32"/>
          <w:szCs w:val="32"/>
          <w:rtl/>
        </w:rPr>
      </w:pPr>
      <w:bookmarkStart w:id="23" w:name="_Toc235215137"/>
      <w:r w:rsidRPr="00EE6B78">
        <w:rPr>
          <w:sz w:val="32"/>
          <w:szCs w:val="32"/>
          <w:rtl/>
        </w:rPr>
        <w:t>2.2.2 الدراسات المتعلقة بالحوكمة ونجاح المشاريع</w:t>
      </w:r>
      <w:bookmarkEnd w:id="23"/>
    </w:p>
    <w:p w14:paraId="54ADDA57" w14:textId="077922DE" w:rsidR="00712B0A" w:rsidRPr="00EE6B78" w:rsidRDefault="00712B0A" w:rsidP="00EE6B78">
      <w:pPr>
        <w:spacing w:line="276" w:lineRule="auto"/>
        <w:rPr>
          <w:rFonts w:ascii="Sakkal Majalla" w:hAnsi="Sakkal Majalla" w:cs="Sakkal Majalla"/>
          <w:b/>
          <w:bCs/>
          <w:sz w:val="32"/>
          <w:szCs w:val="32"/>
          <w:u w:val="single"/>
          <w:rtl/>
        </w:rPr>
      </w:pPr>
      <w:r w:rsidRPr="00EE6B78">
        <w:rPr>
          <w:rFonts w:ascii="Sakkal Majalla" w:hAnsi="Sakkal Majalla" w:cs="Sakkal Majalla"/>
          <w:b/>
          <w:bCs/>
          <w:sz w:val="32"/>
          <w:szCs w:val="32"/>
          <w:u w:val="single"/>
          <w:rtl/>
        </w:rPr>
        <w:t xml:space="preserve">دراسة </w:t>
      </w:r>
      <w:r w:rsidRPr="00EE6B78">
        <w:rPr>
          <w:rFonts w:ascii="Sakkal Majalla" w:hAnsi="Sakkal Majalla" w:cs="Sakkal Majalla"/>
          <w:b/>
          <w:bCs/>
          <w:sz w:val="32"/>
          <w:szCs w:val="32"/>
          <w:u w:val="single"/>
        </w:rPr>
        <w:t>Too and Weaver 2014</w:t>
      </w:r>
    </w:p>
    <w:p w14:paraId="2C9E1C0A"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هدفت دراسة </w:t>
      </w:r>
      <w:r w:rsidRPr="00EE6B78">
        <w:rPr>
          <w:rFonts w:ascii="Sakkal Majalla" w:hAnsi="Sakkal Majalla" w:cs="Sakkal Majalla"/>
          <w:sz w:val="32"/>
          <w:szCs w:val="32"/>
        </w:rPr>
        <w:t>Too</w:t>
      </w:r>
      <w:r w:rsidRPr="00EE6B78">
        <w:rPr>
          <w:rFonts w:ascii="Sakkal Majalla" w:hAnsi="Sakkal Majalla" w:cs="Sakkal Majalla"/>
          <w:sz w:val="32"/>
          <w:szCs w:val="32"/>
          <w:rtl/>
        </w:rPr>
        <w:t xml:space="preserve"> و</w:t>
      </w:r>
      <w:r w:rsidRPr="00EE6B78">
        <w:rPr>
          <w:rFonts w:ascii="Sakkal Majalla" w:hAnsi="Sakkal Majalla" w:cs="Sakkal Majalla"/>
          <w:sz w:val="32"/>
          <w:szCs w:val="32"/>
        </w:rPr>
        <w:t>Weaver</w:t>
      </w:r>
      <w:r w:rsidRPr="00EE6B78">
        <w:rPr>
          <w:rFonts w:ascii="Sakkal Majalla" w:hAnsi="Sakkal Majalla" w:cs="Sakkal Majalla"/>
          <w:sz w:val="32"/>
          <w:szCs w:val="32"/>
          <w:rtl/>
        </w:rPr>
        <w:t xml:space="preserve"> إلى تطوير إطار مفاهيمي لحوكمة المشاريع، يوضح كيفية ربط إدارة المشاريع بالحوكمة المؤسسية والاستراتيجية العامة للمنظمة.</w:t>
      </w:r>
    </w:p>
    <w:p w14:paraId="48A67CB4"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أوضحت الدراسة أن حوكمة المشاريع لا تقتصر على متابعة تنفيذ الأنشطة، بل تشمل وضع إطار لتوجيه المشاريع، وتحديد المسؤوليات والصلاحيات، ومواءمة أهداف المشاريع مع أهداف المنظمة، وضمان توفير المعلومات اللازمة للرقابة واتخاذ القرار. كما بينت أن وجود إطار متكامل للحوكمة يساعد على توجيه الاستثمارات والمشاريع نحو تحقيق القيمة المؤسسية.</w:t>
      </w:r>
    </w:p>
    <w:p w14:paraId="360AF3C3"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وتتفق هذه الدراسة مع الدراسة الحالية في النظر إلى الحوكمة بوصفها مجموعة من الهياكل والعمليات والآليات التي تضبط المشروع وتربطه بالأهداف الاستراتيجية، وليس باعتبارها إجراءات رقابية منفصلة.</w:t>
      </w:r>
    </w:p>
    <w:p w14:paraId="5D3648AB" w14:textId="79E10F3D" w:rsidR="00712B0A" w:rsidRPr="00EE6B78" w:rsidRDefault="00712B0A" w:rsidP="00EE6B78">
      <w:pPr>
        <w:spacing w:line="276" w:lineRule="auto"/>
        <w:rPr>
          <w:rFonts w:ascii="Sakkal Majalla" w:hAnsi="Sakkal Majalla" w:cs="Sakkal Majalla"/>
          <w:b/>
          <w:bCs/>
          <w:sz w:val="32"/>
          <w:szCs w:val="32"/>
          <w:u w:val="single"/>
          <w:rtl/>
        </w:rPr>
      </w:pPr>
      <w:r w:rsidRPr="00EE6B78">
        <w:rPr>
          <w:rFonts w:ascii="Sakkal Majalla" w:hAnsi="Sakkal Majalla" w:cs="Sakkal Majalla"/>
          <w:b/>
          <w:bCs/>
          <w:sz w:val="32"/>
          <w:szCs w:val="32"/>
          <w:u w:val="single"/>
          <w:rtl/>
        </w:rPr>
        <w:t xml:space="preserve">دراسة </w:t>
      </w:r>
      <w:r w:rsidRPr="00EE6B78">
        <w:rPr>
          <w:rFonts w:ascii="Sakkal Majalla" w:hAnsi="Sakkal Majalla" w:cs="Sakkal Majalla"/>
          <w:b/>
          <w:bCs/>
          <w:sz w:val="32"/>
          <w:szCs w:val="32"/>
          <w:u w:val="single"/>
        </w:rPr>
        <w:t>Joslin and Müller 2016</w:t>
      </w:r>
    </w:p>
    <w:p w14:paraId="5AED9EE2" w14:textId="1B6904CB"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lastRenderedPageBreak/>
        <w:t xml:space="preserve">هدفت دراسة </w:t>
      </w:r>
      <w:r w:rsidRPr="00EE6B78">
        <w:rPr>
          <w:rFonts w:ascii="Sakkal Majalla" w:hAnsi="Sakkal Majalla" w:cs="Sakkal Majalla"/>
          <w:sz w:val="32"/>
          <w:szCs w:val="32"/>
        </w:rPr>
        <w:t>Joslin</w:t>
      </w:r>
      <w:r w:rsidRPr="00EE6B78">
        <w:rPr>
          <w:rFonts w:ascii="Sakkal Majalla" w:hAnsi="Sakkal Majalla" w:cs="Sakkal Majalla"/>
          <w:sz w:val="32"/>
          <w:szCs w:val="32"/>
          <w:rtl/>
        </w:rPr>
        <w:t xml:space="preserve"> و</w:t>
      </w:r>
      <w:r w:rsidRPr="00EE6B78">
        <w:rPr>
          <w:rFonts w:ascii="Sakkal Majalla" w:hAnsi="Sakkal Majalla" w:cs="Sakkal Majalla"/>
          <w:sz w:val="32"/>
          <w:szCs w:val="32"/>
        </w:rPr>
        <w:t>Müller</w:t>
      </w:r>
      <w:r w:rsidRPr="00EE6B78">
        <w:rPr>
          <w:rFonts w:ascii="Sakkal Majalla" w:hAnsi="Sakkal Majalla" w:cs="Sakkal Majalla"/>
          <w:sz w:val="32"/>
          <w:szCs w:val="32"/>
          <w:rtl/>
        </w:rPr>
        <w:t xml:space="preserve"> إلى اختبار العلاقة بين حوكمة المشاريع ونجاحها، مع التركيز على توجه الحوكمة نحو المساهمين أو أصحاب المصلحة، وعلى آليات الرقابة القائمة على السلوك أو النتائج. واعتمدت الدراسة على استبانة دولية مقطعية أسفرت عن قرابة 254 استجابة صالحة للتحليل.</w:t>
      </w:r>
    </w:p>
    <w:p w14:paraId="4D0BB472"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أظهرت النتائج وجود ارتباط إيجابي ودال بين توجه الحوكمة نحو أصحاب المصلحة ونجاح المشاريع. كما تبين ارتباط توجه الحوكمة بأبعاد النجاح المستخدمة في الدراسة، بينما لم ترتبط أنواع الرقابة وحدها بصورة عامة بنجاح المشروع. وأكدت الدراسة أهمية توجيه الحوكمة نحو تحقيق مصالح أصحاب المصلحة بدلًا من الاقتصار على الرقابة الإجرائية.</w:t>
      </w:r>
    </w:p>
    <w:p w14:paraId="55165DBE"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وتستفيد الدراسة الحالية من هذه النتيجة في قياس الحوكمة من خلال الشفافية والمساءلة ووضوح المسؤوليات والرقابة ودعم القرار، وقياس نجاح المشاريع من خلال مؤشرات تشمل رضا أصحاب المصلحة.</w:t>
      </w:r>
    </w:p>
    <w:p w14:paraId="5617242E" w14:textId="0457FA4E" w:rsidR="00712B0A" w:rsidRPr="00EE6B78" w:rsidRDefault="00712B0A" w:rsidP="00EE6B78">
      <w:pPr>
        <w:spacing w:line="276" w:lineRule="auto"/>
        <w:rPr>
          <w:rFonts w:ascii="Sakkal Majalla" w:hAnsi="Sakkal Majalla" w:cs="Sakkal Majalla"/>
          <w:b/>
          <w:bCs/>
          <w:sz w:val="32"/>
          <w:szCs w:val="32"/>
          <w:u w:val="single"/>
          <w:rtl/>
        </w:rPr>
      </w:pPr>
      <w:r w:rsidRPr="00EE6B78">
        <w:rPr>
          <w:rFonts w:ascii="Sakkal Majalla" w:hAnsi="Sakkal Majalla" w:cs="Sakkal Majalla"/>
          <w:b/>
          <w:bCs/>
          <w:sz w:val="32"/>
          <w:szCs w:val="32"/>
          <w:u w:val="single"/>
          <w:rtl/>
        </w:rPr>
        <w:t xml:space="preserve">دراسة </w:t>
      </w:r>
      <w:r w:rsidRPr="00EE6B78">
        <w:rPr>
          <w:rFonts w:ascii="Sakkal Majalla" w:hAnsi="Sakkal Majalla" w:cs="Sakkal Majalla"/>
          <w:b/>
          <w:bCs/>
          <w:sz w:val="32"/>
          <w:szCs w:val="32"/>
          <w:u w:val="single"/>
        </w:rPr>
        <w:t>Musawir et al. 2017</w:t>
      </w:r>
    </w:p>
    <w:p w14:paraId="50D3D09A"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هدفت دراسة </w:t>
      </w:r>
      <w:r w:rsidRPr="00EE6B78">
        <w:rPr>
          <w:rFonts w:ascii="Sakkal Majalla" w:hAnsi="Sakkal Majalla" w:cs="Sakkal Majalla"/>
          <w:sz w:val="32"/>
          <w:szCs w:val="32"/>
        </w:rPr>
        <w:t>ul Musawir</w:t>
      </w:r>
      <w:r w:rsidRPr="00EE6B78">
        <w:rPr>
          <w:rFonts w:ascii="Sakkal Majalla" w:hAnsi="Sakkal Majalla" w:cs="Sakkal Majalla"/>
          <w:sz w:val="32"/>
          <w:szCs w:val="32"/>
          <w:rtl/>
        </w:rPr>
        <w:t xml:space="preserve"> و</w:t>
      </w:r>
      <w:r w:rsidRPr="00EE6B78">
        <w:rPr>
          <w:rFonts w:ascii="Sakkal Majalla" w:hAnsi="Sakkal Majalla" w:cs="Sakkal Majalla"/>
          <w:sz w:val="32"/>
          <w:szCs w:val="32"/>
        </w:rPr>
        <w:t>Serra</w:t>
      </w:r>
      <w:r w:rsidRPr="00EE6B78">
        <w:rPr>
          <w:rFonts w:ascii="Sakkal Majalla" w:hAnsi="Sakkal Majalla" w:cs="Sakkal Majalla"/>
          <w:sz w:val="32"/>
          <w:szCs w:val="32"/>
          <w:rtl/>
        </w:rPr>
        <w:t xml:space="preserve"> و</w:t>
      </w:r>
      <w:proofErr w:type="spellStart"/>
      <w:r w:rsidRPr="00EE6B78">
        <w:rPr>
          <w:rFonts w:ascii="Sakkal Majalla" w:hAnsi="Sakkal Majalla" w:cs="Sakkal Majalla"/>
          <w:sz w:val="32"/>
          <w:szCs w:val="32"/>
        </w:rPr>
        <w:t>Zwikael</w:t>
      </w:r>
      <w:proofErr w:type="spellEnd"/>
      <w:r w:rsidRPr="00EE6B78">
        <w:rPr>
          <w:rFonts w:ascii="Sakkal Majalla" w:hAnsi="Sakkal Majalla" w:cs="Sakkal Majalla"/>
          <w:sz w:val="32"/>
          <w:szCs w:val="32"/>
          <w:rtl/>
        </w:rPr>
        <w:t xml:space="preserve"> و</w:t>
      </w:r>
      <w:r w:rsidRPr="00EE6B78">
        <w:rPr>
          <w:rFonts w:ascii="Sakkal Majalla" w:hAnsi="Sakkal Majalla" w:cs="Sakkal Majalla"/>
          <w:sz w:val="32"/>
          <w:szCs w:val="32"/>
        </w:rPr>
        <w:t>Ali</w:t>
      </w:r>
      <w:r w:rsidRPr="00EE6B78">
        <w:rPr>
          <w:rFonts w:ascii="Sakkal Majalla" w:hAnsi="Sakkal Majalla" w:cs="Sakkal Majalla"/>
          <w:sz w:val="32"/>
          <w:szCs w:val="32"/>
          <w:rtl/>
        </w:rPr>
        <w:t xml:space="preserve"> إلى تحليل العلاقة بين حوكمة المشاريع الفعالة، وإدارة المنافع، ونجاح المشاريع، وتوضيح دور الحوكمة في دعم تنفيذ الاستراتيجية التنظيمية.</w:t>
      </w:r>
    </w:p>
    <w:p w14:paraId="68F68041"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تم تطوير مقياس لحوكمة المشاريع بمشاركة خبراء في المجال، ثم اختبار النموذج من خلال مسح دولي شمل 333 مشروعًا. وأظهرت النتائج أن حوكمة المشاريع الفعالة تحسن نجاح المشروع بصورة مباشرة، كما تحسنه بصورة غير مباشرة من خلال تعزيز إدارة المنافع. وأشارت الدراسة إلى أهمية إعداد دراسة جدوى ذات جودة ومتابعتها خلال دورة حياة المشروع.</w:t>
      </w:r>
    </w:p>
    <w:p w14:paraId="12E617E0" w14:textId="26E9903A"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وتوضح هذه الدراسة أن الحوكمة لا تسهم فقط في ضبط تنفيذ المشروع، بل تساعد أيضًا على التأكد من تحقيق القيمة والمنافع المستهدفة، وهو ما يدعم توقع وجود أثر إيجابي للحوكمة على نجاح المشاريع الحكومية.</w:t>
      </w:r>
    </w:p>
    <w:p w14:paraId="56D29717" w14:textId="77777777" w:rsidR="00712B0A" w:rsidRPr="00EE6B78" w:rsidRDefault="00712B0A" w:rsidP="00EE6B78">
      <w:pPr>
        <w:pStyle w:val="3"/>
        <w:spacing w:line="276" w:lineRule="auto"/>
        <w:rPr>
          <w:sz w:val="32"/>
          <w:szCs w:val="32"/>
          <w:rtl/>
        </w:rPr>
      </w:pPr>
      <w:bookmarkStart w:id="24" w:name="_Toc235215138"/>
      <w:r w:rsidRPr="00EE6B78">
        <w:rPr>
          <w:sz w:val="32"/>
          <w:szCs w:val="32"/>
          <w:rtl/>
        </w:rPr>
        <w:t>2.2.3 الدراسات المتعلقة بنجاح المشاريع</w:t>
      </w:r>
      <w:bookmarkEnd w:id="24"/>
    </w:p>
    <w:p w14:paraId="67FB3D25" w14:textId="76A9A3D9" w:rsidR="00712B0A" w:rsidRPr="00EE6B78" w:rsidRDefault="00712B0A" w:rsidP="00EE6B78">
      <w:pPr>
        <w:spacing w:line="276" w:lineRule="auto"/>
        <w:rPr>
          <w:rFonts w:ascii="Sakkal Majalla" w:hAnsi="Sakkal Majalla" w:cs="Sakkal Majalla"/>
          <w:b/>
          <w:bCs/>
          <w:sz w:val="32"/>
          <w:szCs w:val="32"/>
          <w:u w:val="single"/>
          <w:rtl/>
        </w:rPr>
      </w:pPr>
      <w:r w:rsidRPr="00EE6B78">
        <w:rPr>
          <w:rFonts w:ascii="Sakkal Majalla" w:hAnsi="Sakkal Majalla" w:cs="Sakkal Majalla"/>
          <w:b/>
          <w:bCs/>
          <w:sz w:val="32"/>
          <w:szCs w:val="32"/>
          <w:u w:val="single"/>
          <w:rtl/>
        </w:rPr>
        <w:t xml:space="preserve">دراسة </w:t>
      </w:r>
      <w:r w:rsidRPr="00EE6B78">
        <w:rPr>
          <w:rFonts w:ascii="Sakkal Majalla" w:hAnsi="Sakkal Majalla" w:cs="Sakkal Majalla"/>
          <w:b/>
          <w:bCs/>
          <w:sz w:val="32"/>
          <w:szCs w:val="32"/>
          <w:u w:val="single"/>
        </w:rPr>
        <w:t>Atkinson 1999</w:t>
      </w:r>
    </w:p>
    <w:p w14:paraId="2C65B4F2"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ناقشت دراسة </w:t>
      </w:r>
      <w:r w:rsidRPr="00EE6B78">
        <w:rPr>
          <w:rFonts w:ascii="Sakkal Majalla" w:hAnsi="Sakkal Majalla" w:cs="Sakkal Majalla"/>
          <w:sz w:val="32"/>
          <w:szCs w:val="32"/>
        </w:rPr>
        <w:t>Atkinson</w:t>
      </w:r>
      <w:r w:rsidRPr="00EE6B78">
        <w:rPr>
          <w:rFonts w:ascii="Sakkal Majalla" w:hAnsi="Sakkal Majalla" w:cs="Sakkal Majalla"/>
          <w:sz w:val="32"/>
          <w:szCs w:val="32"/>
          <w:rtl/>
        </w:rPr>
        <w:t xml:space="preserve"> مدى كفاية الوقت والتكلفة والجودة بوصفها المعايير الرئيسة لقياس نجاح المشروع، وهي المعايير المعروفة بالمثلث الحديدي.</w:t>
      </w:r>
    </w:p>
    <w:p w14:paraId="54DB6F18"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lastRenderedPageBreak/>
        <w:t>أوضحت الدراسة أن الوقت والتكلفة والجودة تظل معايير مهمة، إلا أنها لا تكفي وحدها للحكم على نجاح المشروع، خصوصًا أن تقديرات الوقت والتكلفة تُعد في مراحل مبكرة تكون فيها المعلومات المتاحة محدودة. ودعت الدراسة إلى تبني معايير أوسع تشمل أثر المشروع في المنظمة والمستفيدين والمنافع الناتجة عنه.</w:t>
      </w:r>
    </w:p>
    <w:p w14:paraId="0141DAFE"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وقد استفادت الدراسة الحالية من هذا التوجه من خلال عدم الاقتصار على الوقت والتكلفة، وإضافة جودة المخرجات ورضا أصحاب المصلحة وتحقيق نطاق المشروع.</w:t>
      </w:r>
    </w:p>
    <w:p w14:paraId="567AEBA2" w14:textId="424AB21A" w:rsidR="00712B0A" w:rsidRPr="00EE6B78" w:rsidRDefault="00712B0A" w:rsidP="00EE6B78">
      <w:pPr>
        <w:spacing w:line="276" w:lineRule="auto"/>
        <w:rPr>
          <w:rFonts w:ascii="Sakkal Majalla" w:hAnsi="Sakkal Majalla" w:cs="Sakkal Majalla"/>
          <w:b/>
          <w:bCs/>
          <w:sz w:val="32"/>
          <w:szCs w:val="32"/>
          <w:u w:val="single"/>
          <w:rtl/>
        </w:rPr>
      </w:pPr>
      <w:r w:rsidRPr="00EE6B78">
        <w:rPr>
          <w:rFonts w:ascii="Sakkal Majalla" w:hAnsi="Sakkal Majalla" w:cs="Sakkal Majalla"/>
          <w:b/>
          <w:bCs/>
          <w:sz w:val="32"/>
          <w:szCs w:val="32"/>
          <w:u w:val="single"/>
          <w:rtl/>
        </w:rPr>
        <w:t xml:space="preserve">دراسة </w:t>
      </w:r>
      <w:proofErr w:type="spellStart"/>
      <w:r w:rsidRPr="00EE6B78">
        <w:rPr>
          <w:rFonts w:ascii="Sakkal Majalla" w:hAnsi="Sakkal Majalla" w:cs="Sakkal Majalla"/>
          <w:b/>
          <w:bCs/>
          <w:sz w:val="32"/>
          <w:szCs w:val="32"/>
          <w:u w:val="single"/>
        </w:rPr>
        <w:t>Shenhar</w:t>
      </w:r>
      <w:proofErr w:type="spellEnd"/>
      <w:r w:rsidRPr="00EE6B78">
        <w:rPr>
          <w:rFonts w:ascii="Sakkal Majalla" w:hAnsi="Sakkal Majalla" w:cs="Sakkal Majalla"/>
          <w:b/>
          <w:bCs/>
          <w:sz w:val="32"/>
          <w:szCs w:val="32"/>
          <w:u w:val="single"/>
        </w:rPr>
        <w:t xml:space="preserve"> et al. 2001</w:t>
      </w:r>
    </w:p>
    <w:p w14:paraId="44AE89E2"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هدفت دراسة </w:t>
      </w:r>
      <w:proofErr w:type="spellStart"/>
      <w:r w:rsidRPr="00EE6B78">
        <w:rPr>
          <w:rFonts w:ascii="Sakkal Majalla" w:hAnsi="Sakkal Majalla" w:cs="Sakkal Majalla"/>
          <w:sz w:val="32"/>
          <w:szCs w:val="32"/>
        </w:rPr>
        <w:t>Shenhar</w:t>
      </w:r>
      <w:proofErr w:type="spellEnd"/>
      <w:r w:rsidRPr="00EE6B78">
        <w:rPr>
          <w:rFonts w:ascii="Sakkal Majalla" w:hAnsi="Sakkal Majalla" w:cs="Sakkal Majalla"/>
          <w:sz w:val="32"/>
          <w:szCs w:val="32"/>
          <w:rtl/>
        </w:rPr>
        <w:t xml:space="preserve"> و</w:t>
      </w:r>
      <w:r w:rsidRPr="00EE6B78">
        <w:rPr>
          <w:rFonts w:ascii="Sakkal Majalla" w:hAnsi="Sakkal Majalla" w:cs="Sakkal Majalla"/>
          <w:sz w:val="32"/>
          <w:szCs w:val="32"/>
        </w:rPr>
        <w:t>Dvir</w:t>
      </w:r>
      <w:r w:rsidRPr="00EE6B78">
        <w:rPr>
          <w:rFonts w:ascii="Sakkal Majalla" w:hAnsi="Sakkal Majalla" w:cs="Sakkal Majalla"/>
          <w:sz w:val="32"/>
          <w:szCs w:val="32"/>
          <w:rtl/>
        </w:rPr>
        <w:t xml:space="preserve"> و</w:t>
      </w:r>
      <w:r w:rsidRPr="00EE6B78">
        <w:rPr>
          <w:rFonts w:ascii="Sakkal Majalla" w:hAnsi="Sakkal Majalla" w:cs="Sakkal Majalla"/>
          <w:sz w:val="32"/>
          <w:szCs w:val="32"/>
        </w:rPr>
        <w:t>Levy</w:t>
      </w:r>
      <w:r w:rsidRPr="00EE6B78">
        <w:rPr>
          <w:rFonts w:ascii="Sakkal Majalla" w:hAnsi="Sakkal Majalla" w:cs="Sakkal Majalla"/>
          <w:sz w:val="32"/>
          <w:szCs w:val="32"/>
          <w:rtl/>
        </w:rPr>
        <w:t xml:space="preserve"> و</w:t>
      </w:r>
      <w:r w:rsidRPr="00EE6B78">
        <w:rPr>
          <w:rFonts w:ascii="Sakkal Majalla" w:hAnsi="Sakkal Majalla" w:cs="Sakkal Majalla"/>
          <w:sz w:val="32"/>
          <w:szCs w:val="32"/>
        </w:rPr>
        <w:t>Maltz</w:t>
      </w:r>
      <w:r w:rsidRPr="00EE6B78">
        <w:rPr>
          <w:rFonts w:ascii="Sakkal Majalla" w:hAnsi="Sakkal Majalla" w:cs="Sakkal Majalla"/>
          <w:sz w:val="32"/>
          <w:szCs w:val="32"/>
          <w:rtl/>
        </w:rPr>
        <w:t xml:space="preserve"> إلى تطوير مفهوم متعدد الأبعاد لنجاح المشاريع، وربط نجاح المشروع بالأهداف الاستراتيجية للمنظمة.</w:t>
      </w:r>
    </w:p>
    <w:p w14:paraId="76EC74D8"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قدمت الدراسة أربعة أبعاد رئيسة للنجاح، هي كفاءة تنفيذ المشروع، والأثر في العميل، والنجاح التنظيمي والتجاري، والاستعداد للمستقبل. وأكدت أن أهمية كل بعد تختلف بحسب طبيعة المشروع والفترة الزمنية التي يتم فيها تقييم النجاح، وأن الحكم على المشروع لا ينبغي أن يعتمد على مؤشر واحد.</w:t>
      </w:r>
    </w:p>
    <w:p w14:paraId="7CC7D87A" w14:textId="694EC88D"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وتتفق هذه الدراسة مع الدراسة الحالية في التعامل مع نجاح المشروع كمفهوم متعدد الأبعاد، مع اختيار أبعاد تتناسب مع طبيعة المشاريع الحكومية ونطاق الاستبانة.</w:t>
      </w:r>
    </w:p>
    <w:p w14:paraId="09F6F4D6" w14:textId="6D18415F" w:rsidR="00712B0A" w:rsidRPr="00EE6B78" w:rsidRDefault="00712B0A" w:rsidP="00EE6B78">
      <w:pPr>
        <w:spacing w:line="276" w:lineRule="auto"/>
        <w:rPr>
          <w:rFonts w:ascii="Sakkal Majalla" w:hAnsi="Sakkal Majalla" w:cs="Sakkal Majalla"/>
          <w:b/>
          <w:bCs/>
          <w:sz w:val="32"/>
          <w:szCs w:val="32"/>
          <w:u w:val="single"/>
          <w:rtl/>
        </w:rPr>
      </w:pPr>
      <w:r w:rsidRPr="00EE6B78">
        <w:rPr>
          <w:rFonts w:ascii="Sakkal Majalla" w:hAnsi="Sakkal Majalla" w:cs="Sakkal Majalla"/>
          <w:b/>
          <w:bCs/>
          <w:sz w:val="32"/>
          <w:szCs w:val="32"/>
          <w:u w:val="single"/>
          <w:rtl/>
        </w:rPr>
        <w:t xml:space="preserve">دراسة </w:t>
      </w:r>
      <w:proofErr w:type="spellStart"/>
      <w:r w:rsidRPr="00EE6B78">
        <w:rPr>
          <w:rFonts w:ascii="Sakkal Majalla" w:hAnsi="Sakkal Majalla" w:cs="Sakkal Majalla"/>
          <w:b/>
          <w:bCs/>
          <w:sz w:val="32"/>
          <w:szCs w:val="32"/>
          <w:u w:val="single"/>
        </w:rPr>
        <w:t>Serrador</w:t>
      </w:r>
      <w:proofErr w:type="spellEnd"/>
      <w:r w:rsidRPr="00EE6B78">
        <w:rPr>
          <w:rFonts w:ascii="Sakkal Majalla" w:hAnsi="Sakkal Majalla" w:cs="Sakkal Majalla"/>
          <w:b/>
          <w:bCs/>
          <w:sz w:val="32"/>
          <w:szCs w:val="32"/>
          <w:u w:val="single"/>
        </w:rPr>
        <w:t xml:space="preserve"> and Turner 2015</w:t>
      </w:r>
    </w:p>
    <w:p w14:paraId="621B77C1"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هدفت دراسة </w:t>
      </w:r>
      <w:proofErr w:type="spellStart"/>
      <w:r w:rsidRPr="00EE6B78">
        <w:rPr>
          <w:rFonts w:ascii="Sakkal Majalla" w:hAnsi="Sakkal Majalla" w:cs="Sakkal Majalla"/>
          <w:sz w:val="32"/>
          <w:szCs w:val="32"/>
        </w:rPr>
        <w:t>Serrador</w:t>
      </w:r>
      <w:proofErr w:type="spellEnd"/>
      <w:r w:rsidRPr="00EE6B78">
        <w:rPr>
          <w:rFonts w:ascii="Sakkal Majalla" w:hAnsi="Sakkal Majalla" w:cs="Sakkal Majalla"/>
          <w:sz w:val="32"/>
          <w:szCs w:val="32"/>
          <w:rtl/>
        </w:rPr>
        <w:t xml:space="preserve"> و</w:t>
      </w:r>
      <w:r w:rsidRPr="00EE6B78">
        <w:rPr>
          <w:rFonts w:ascii="Sakkal Majalla" w:hAnsi="Sakkal Majalla" w:cs="Sakkal Majalla"/>
          <w:sz w:val="32"/>
          <w:szCs w:val="32"/>
        </w:rPr>
        <w:t>Turner</w:t>
      </w:r>
      <w:r w:rsidRPr="00EE6B78">
        <w:rPr>
          <w:rFonts w:ascii="Sakkal Majalla" w:hAnsi="Sakkal Majalla" w:cs="Sakkal Majalla"/>
          <w:sz w:val="32"/>
          <w:szCs w:val="32"/>
          <w:rtl/>
        </w:rPr>
        <w:t xml:space="preserve"> إلى اختبار العلاقة بين كفاءة إدارة المشروع والنجاح العام للمشروع. واستندت الدراسة إلى بيانات تتعلق بـ 1,386 مشروعًا.</w:t>
      </w:r>
    </w:p>
    <w:p w14:paraId="52CE01ED"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توصلت الدراسة إلى أن كفاءة المشروع، المتمثلة في الالتزام بالوقت والتكلفة، ترتبط بدرجة متوسطة وقوية نسبيًا بالنجاح العام، حيث بلغ معامل الارتباط نحو 0.60 وبلغ معامل التحديد </w:t>
      </w:r>
      <w:r w:rsidRPr="00EE6B78">
        <w:rPr>
          <w:rFonts w:ascii="Sakkal Majalla" w:hAnsi="Sakkal Majalla" w:cs="Sakkal Majalla"/>
          <w:sz w:val="32"/>
          <w:szCs w:val="32"/>
        </w:rPr>
        <w:t>R² = 0.36</w:t>
      </w:r>
      <w:r w:rsidRPr="00EE6B78">
        <w:rPr>
          <w:rFonts w:ascii="Sakkal Majalla" w:hAnsi="Sakkal Majalla" w:cs="Sakkal Majalla"/>
          <w:sz w:val="32"/>
          <w:szCs w:val="32"/>
          <w:rtl/>
        </w:rPr>
        <w:t>. إلا أن الدراسة أكدت أن الكفاءة ليست العامل الوحيد في نجاح المشروع، ولا يمكن في الوقت نفسه تجاهل أهميتها.</w:t>
      </w:r>
    </w:p>
    <w:p w14:paraId="14F0354C" w14:textId="0E70AE01"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وتدعم هذه الدراسة استخدام الوقت والتكلفة ضمن مؤشرات النجاح، مع ضرورة إضافة مؤشرات أخرى مثل الجودة ورضا أصحاب المصلحة والنطاق.</w:t>
      </w:r>
    </w:p>
    <w:p w14:paraId="0CC4E92A" w14:textId="77777777" w:rsidR="00712B0A" w:rsidRPr="00EE6B78" w:rsidRDefault="00712B0A" w:rsidP="00EE6B78">
      <w:pPr>
        <w:pStyle w:val="3"/>
        <w:spacing w:line="276" w:lineRule="auto"/>
        <w:rPr>
          <w:sz w:val="32"/>
          <w:szCs w:val="32"/>
          <w:rtl/>
        </w:rPr>
      </w:pPr>
      <w:bookmarkStart w:id="25" w:name="_Toc235215139"/>
      <w:r w:rsidRPr="00EE6B78">
        <w:rPr>
          <w:sz w:val="32"/>
          <w:szCs w:val="32"/>
          <w:rtl/>
        </w:rPr>
        <w:lastRenderedPageBreak/>
        <w:t>2.2.4 التعقيب على الدراسات السابقة</w:t>
      </w:r>
      <w:bookmarkEnd w:id="25"/>
    </w:p>
    <w:p w14:paraId="7931A561"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 xml:space="preserve">يتضح من استعراض الدراسات السابقة وجود اتفاق على أن التحول الرقمي عملية تنظيمية واستراتيجية شاملة تتجاوز مجرد اقتناء التقنيات. فقد ركزت دراستا </w:t>
      </w:r>
      <w:r w:rsidRPr="00EE6B78">
        <w:rPr>
          <w:rFonts w:ascii="Sakkal Majalla" w:hAnsi="Sakkal Majalla" w:cs="Sakkal Majalla"/>
          <w:sz w:val="32"/>
          <w:szCs w:val="32"/>
        </w:rPr>
        <w:t>Mergel et al</w:t>
      </w:r>
      <w:r w:rsidRPr="00EE6B78">
        <w:rPr>
          <w:rFonts w:ascii="Sakkal Majalla" w:hAnsi="Sakkal Majalla" w:cs="Sakkal Majalla"/>
          <w:sz w:val="32"/>
          <w:szCs w:val="32"/>
          <w:rtl/>
        </w:rPr>
        <w:t>. و</w:t>
      </w:r>
      <w:r w:rsidRPr="00EE6B78">
        <w:rPr>
          <w:rFonts w:ascii="Sakkal Majalla" w:hAnsi="Sakkal Majalla" w:cs="Sakkal Majalla"/>
          <w:sz w:val="32"/>
          <w:szCs w:val="32"/>
        </w:rPr>
        <w:t>Vial</w:t>
      </w:r>
      <w:r w:rsidRPr="00EE6B78">
        <w:rPr>
          <w:rFonts w:ascii="Sakkal Majalla" w:hAnsi="Sakkal Majalla" w:cs="Sakkal Majalla"/>
          <w:sz w:val="32"/>
          <w:szCs w:val="32"/>
          <w:rtl/>
        </w:rPr>
        <w:t xml:space="preserve"> على التغيرات في العمليات والهياكل والثقافة والقدرات المؤسسية، بينما بينت الدراسات السعودية أهمية دعم الإدارة، واستراتيجية تقنية المعلومات، وتكامل البيانات، والتنسيق بين الجهات في إنجاح المبادرات الرقمية.</w:t>
      </w:r>
    </w:p>
    <w:p w14:paraId="00A27221"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كما أظهرت دراسات الحوكمة أن وضوح هياكل اتخاذ القرار وتوجيه الحوكمة نحو أصحاب المصلحة وإدارة المنافع تمثل عوامل مرتبطة بنجاح المشاريع. وتشير هذه النتائج إلى أن الحوكمة الفعالة لا تعني زيادة الإجراءات الرقابية فقط، بل تعني توفير بيئة واضحة للمساءلة والتنسيق واتخاذ القرار وإدارة المخاطر.</w:t>
      </w:r>
    </w:p>
    <w:p w14:paraId="73010113" w14:textId="77777777"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وتتفق دراسات نجاح المشاريع على أن النجاح مفهوم متعدد الأبعاد، وأن معايير الوقت والتكلفة والجودة تظل مهمة، لكنها ليست كافية دون النظر إلى رضا أصحاب المصلحة وتحقيق المتطلبات والقيمة التنظيمية.</w:t>
      </w:r>
    </w:p>
    <w:p w14:paraId="290EB986" w14:textId="13D01B9B" w:rsidR="00712B0A" w:rsidRPr="00EE6B78" w:rsidRDefault="00712B0A" w:rsidP="00EE6B78">
      <w:pPr>
        <w:spacing w:line="276" w:lineRule="auto"/>
        <w:rPr>
          <w:rFonts w:ascii="Sakkal Majalla" w:hAnsi="Sakkal Majalla" w:cs="Sakkal Majalla"/>
          <w:sz w:val="32"/>
          <w:szCs w:val="32"/>
          <w:rtl/>
        </w:rPr>
      </w:pPr>
      <w:r w:rsidRPr="00EE6B78">
        <w:rPr>
          <w:rFonts w:ascii="Sakkal Majalla" w:hAnsi="Sakkal Majalla" w:cs="Sakkal Majalla"/>
          <w:sz w:val="32"/>
          <w:szCs w:val="32"/>
          <w:rtl/>
        </w:rPr>
        <w:t>وتتميز الدراسة الحالية عن الدراسات السابقة بأنها تجمع بين التحول الرقمي والحوكمة في نموذج واحد، وتقيس أثرهما المتزامن في نجاح المشاريع الحكومية في المملكة العربية السعودية، مع تضمين العاملين في الجهات الحكومية وشبه الحكومية والشركات المشغلة أو المتعاقدة في المشاريع الحكومية.</w:t>
      </w:r>
    </w:p>
    <w:p w14:paraId="51CB23E8" w14:textId="77777777" w:rsidR="00712B0A" w:rsidRPr="00EE6B78" w:rsidRDefault="00712B0A" w:rsidP="00EE6B78">
      <w:pPr>
        <w:pStyle w:val="2"/>
        <w:spacing w:line="276" w:lineRule="auto"/>
        <w:rPr>
          <w:sz w:val="32"/>
          <w:szCs w:val="32"/>
          <w:rtl/>
        </w:rPr>
      </w:pPr>
      <w:bookmarkStart w:id="26" w:name="_Toc235215140"/>
      <w:r w:rsidRPr="00EE6B78">
        <w:rPr>
          <w:sz w:val="32"/>
          <w:szCs w:val="32"/>
          <w:rtl/>
        </w:rPr>
        <w:t>2.3 الإطار النظري</w:t>
      </w:r>
      <w:bookmarkEnd w:id="26"/>
    </w:p>
    <w:p w14:paraId="792D66CD" w14:textId="77777777" w:rsidR="00712B0A" w:rsidRPr="00EE6B78" w:rsidRDefault="00712B0A" w:rsidP="00EE6B78">
      <w:pPr>
        <w:pStyle w:val="3"/>
        <w:spacing w:line="276" w:lineRule="auto"/>
        <w:rPr>
          <w:sz w:val="32"/>
          <w:szCs w:val="32"/>
          <w:rtl/>
        </w:rPr>
      </w:pPr>
      <w:bookmarkStart w:id="27" w:name="_Toc235215141"/>
      <w:r w:rsidRPr="00EE6B78">
        <w:rPr>
          <w:sz w:val="32"/>
          <w:szCs w:val="32"/>
          <w:rtl/>
        </w:rPr>
        <w:t>2.3.1 التحول الرقمي</w:t>
      </w:r>
      <w:bookmarkEnd w:id="27"/>
    </w:p>
    <w:p w14:paraId="5DCDB969" w14:textId="77777777" w:rsidR="00712B0A" w:rsidRPr="00EE6B78" w:rsidRDefault="00712B0A" w:rsidP="00EE6B78">
      <w:pPr>
        <w:pStyle w:val="4"/>
        <w:spacing w:line="276" w:lineRule="auto"/>
        <w:rPr>
          <w:sz w:val="32"/>
          <w:szCs w:val="32"/>
          <w:rtl/>
        </w:rPr>
      </w:pPr>
      <w:r w:rsidRPr="00EE6B78">
        <w:rPr>
          <w:sz w:val="32"/>
          <w:szCs w:val="32"/>
          <w:rtl/>
        </w:rPr>
        <w:t>مفهوم التحول الرقمي</w:t>
      </w:r>
    </w:p>
    <w:p w14:paraId="384EE369"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 xml:space="preserve">يشير التحول الرقمي إلى عملية استخدام التقنيات الرقمية لإحداث تغييرات جوهرية في العمليات والهياكل وأساليب تقديم الخدمات، بهدف تحسين الأداء وتحقيق قيمة للمؤسسة والمستفيدين. وهو يختلف عن </w:t>
      </w:r>
      <w:proofErr w:type="spellStart"/>
      <w:r w:rsidRPr="00EE6B78">
        <w:rPr>
          <w:rFonts w:ascii="Sakkal Majalla" w:hAnsi="Sakkal Majalla" w:cs="Sakkal Majalla"/>
          <w:b/>
          <w:bCs/>
          <w:sz w:val="32"/>
          <w:szCs w:val="32"/>
          <w:rtl/>
        </w:rPr>
        <w:t>الرقمنة</w:t>
      </w:r>
      <w:proofErr w:type="spellEnd"/>
      <w:r w:rsidRPr="00EE6B78">
        <w:rPr>
          <w:rFonts w:ascii="Sakkal Majalla" w:hAnsi="Sakkal Majalla" w:cs="Sakkal Majalla"/>
          <w:b/>
          <w:bCs/>
          <w:sz w:val="32"/>
          <w:szCs w:val="32"/>
          <w:rtl/>
        </w:rPr>
        <w:t xml:space="preserve"> التي تركز على تحويل المعلومات من صورة ورقية أو تقليدية إلى صورة رقمية؛ لأن التحول الرقمي يشمل تغيير طريقة عمل المؤسسة ذاتها.</w:t>
      </w:r>
    </w:p>
    <w:p w14:paraId="45770D0F" w14:textId="3C5CA03D"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 xml:space="preserve">وفي القطاع الحكومي، يشمل التحول الرقمي إعادة تصميم الخدمات والإجراءات، وتكامل البيانات والأنظمة بين الجهات، وتعزيز استخدام البيانات في صنع القرار، ورفع كفاءة التشغيل، وتحسين تجربة المستفيد. وقد تضمنت استراتيجية الحكومة الرقمية السعودية 2023–2030 توجهات مثل </w:t>
      </w:r>
      <w:r w:rsidRPr="00EE6B78">
        <w:rPr>
          <w:rFonts w:ascii="Sakkal Majalla" w:hAnsi="Sakkal Majalla" w:cs="Sakkal Majalla"/>
          <w:b/>
          <w:bCs/>
          <w:sz w:val="32"/>
          <w:szCs w:val="32"/>
          <w:rtl/>
        </w:rPr>
        <w:lastRenderedPageBreak/>
        <w:t>التصميم الرقمي للخدمات، وحوكمة البيانات، والهوية الرقمية الوطنية، ومبدأ تقديم البيانات مرة واحدة.</w:t>
      </w:r>
      <w:r w:rsidR="00C34833" w:rsidRPr="00EE6B78">
        <w:rPr>
          <w:rFonts w:ascii="Sakkal Majalla" w:hAnsi="Sakkal Majalla" w:cs="Sakkal Majalla" w:hint="cs"/>
          <w:b/>
          <w:bCs/>
          <w:sz w:val="32"/>
          <w:szCs w:val="32"/>
          <w:rtl/>
        </w:rPr>
        <w:t xml:space="preserve"> (</w:t>
      </w:r>
      <w:r w:rsidR="00C34833" w:rsidRPr="00EE6B78">
        <w:rPr>
          <w:rFonts w:ascii="Sakkal Majalla" w:hAnsi="Sakkal Majalla" w:cs="Sakkal Majalla"/>
          <w:sz w:val="32"/>
          <w:szCs w:val="32"/>
          <w:rtl/>
        </w:rPr>
        <w:t>هيئة الحكومة الرقمية. 2025</w:t>
      </w:r>
      <w:r w:rsidR="00C34833" w:rsidRPr="00EE6B78">
        <w:rPr>
          <w:rFonts w:ascii="Sakkal Majalla" w:hAnsi="Sakkal Majalla" w:cs="Sakkal Majalla" w:hint="cs"/>
          <w:sz w:val="32"/>
          <w:szCs w:val="32"/>
          <w:rtl/>
        </w:rPr>
        <w:t>).</w:t>
      </w:r>
    </w:p>
    <w:p w14:paraId="033CD118"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أهمية التحول الرقمي في المشاريع الحكومية</w:t>
      </w:r>
    </w:p>
    <w:p w14:paraId="4F2E34A0"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يساعد التحول الرقمي في تحسين إدارة المشاريع الحكومية من خلال توفير البيانات بصورة أسرع، وتعزيز متابعة الأداء، وأتمتة الإجراءات، وتسهيل التعاون بين الفرق والجهات، وتقليل الأعمال اليدوية، وتحسين دقة المعلومات المستخدمة في اتخاذ القرارات.</w:t>
      </w:r>
    </w:p>
    <w:p w14:paraId="468142A1" w14:textId="31BFC879"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كما يمكن للتكامل الرقمي أن يقلل ازدواجية البيانات والإجراءات، ويُحسن إدارة الاعتماديات بين الأنظمة والجهات. إلا أن تحقيق هذه المنافع يتطلب جاهزية تقنية وتنظيمية، واستراتيجية واضحة، ودعمًا إداريًا، وقدرات بشرية مناسبة.</w:t>
      </w:r>
    </w:p>
    <w:p w14:paraId="1D5BBED2" w14:textId="77777777" w:rsidR="00712B0A" w:rsidRPr="00EE6B78" w:rsidRDefault="00712B0A" w:rsidP="00EE6B78">
      <w:pPr>
        <w:pStyle w:val="4"/>
        <w:spacing w:line="276" w:lineRule="auto"/>
        <w:rPr>
          <w:sz w:val="32"/>
          <w:szCs w:val="32"/>
          <w:rtl/>
        </w:rPr>
      </w:pPr>
      <w:r w:rsidRPr="00EE6B78">
        <w:rPr>
          <w:sz w:val="32"/>
          <w:szCs w:val="32"/>
          <w:rtl/>
        </w:rPr>
        <w:t>أبعاد التحول الرقمي في الدراسة</w:t>
      </w:r>
    </w:p>
    <w:p w14:paraId="63B44D43"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أولًا: البنية التحتية التقنية</w:t>
      </w:r>
    </w:p>
    <w:p w14:paraId="1704F9EB"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تشمل الأجهزة والشبكات والمنصات وقواعد البيانات والخدمات السحابية والأدوات الرقمية التي تدعم عمليات المشروع. وتمثل البنية التحتية الأساس الذي يمكّن الجهات من تشغيل الأنظمة وتبادل البيانات وتطبيق الحلول الرقمية بكفاءة.</w:t>
      </w:r>
    </w:p>
    <w:p w14:paraId="34F45DD3"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ولا يكفي توافر التقنية وحده؛ إذ ينبغي أن تتسم البنية التحتية بالاعتمادية والأمان وقابلية التوسع والتكامل، وأن تكون ملائمة لاحتياجات المستخدمين والمشاريع.</w:t>
      </w:r>
    </w:p>
    <w:p w14:paraId="1DC03D00"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ثانيًا: تكامل الأنظمة</w:t>
      </w:r>
    </w:p>
    <w:p w14:paraId="72F0D834"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يشير تكامل الأنظمة إلى قدرة الأنظمة والمنصات المختلفة على تبادل البيانات وتنفيذ العمليات بصورة مترابطة. ويسهم التكامل في تقليل تكرار إدخال البيانات، وتسريع الإجراءات، وتحسين جودة المعلومات، ورفع كفاءة التنسيق بين الجهات والأطراف المشاركة في المشروع.</w:t>
      </w:r>
    </w:p>
    <w:p w14:paraId="1CA32D5E"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ويعد ضعف تكامل البيانات والأنظمة من التحديات التي قد تحد من فاعلية التحول الرقمي الحكومي حتى مع توافر بنية تقنية متقدمة.</w:t>
      </w:r>
    </w:p>
    <w:p w14:paraId="3B1026F8"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ثالثًا: استخدام البيانات في دعم اتخاذ القرار</w:t>
      </w:r>
    </w:p>
    <w:p w14:paraId="75B3DE4B"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lastRenderedPageBreak/>
        <w:t>يعني هذا البعد قدرة الجهة على جمع البيانات وتحليلها وتحويلها إلى معلومات ومؤشرات تساعد مديري المشاريع والقيادات على متابعة الأداء والتنبؤ بالمخاطر واتخاذ القرارات.</w:t>
      </w:r>
    </w:p>
    <w:p w14:paraId="49DB2DDF" w14:textId="257AA885"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ويتيح الاستخدام الفعال للبيانات الكشف المبكر عن الانحرافات، وتحديد الأولويات، وتوجيه الموارد، وتحسين دقة القرارات بدلًا من الاعتماد على التقديرات الشخصية فقط.</w:t>
      </w:r>
    </w:p>
    <w:p w14:paraId="4A087B96"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رابعًا: رقمنة العمليات والإجراءات</w:t>
      </w:r>
    </w:p>
    <w:p w14:paraId="4279FDA3"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تشير رقمنة العمليات إلى تحويل الإجراءات التقليدية إلى مسارات عمل رقمية مترابطة، مع إعادة تصميمها لتصبح أكثر سرعة وكفاءة ووضوحًا.</w:t>
      </w:r>
    </w:p>
    <w:p w14:paraId="73D25838" w14:textId="6D9FB2A2"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 xml:space="preserve">ولا تعني </w:t>
      </w:r>
      <w:proofErr w:type="spellStart"/>
      <w:r w:rsidRPr="00EE6B78">
        <w:rPr>
          <w:rFonts w:ascii="Sakkal Majalla" w:hAnsi="Sakkal Majalla" w:cs="Sakkal Majalla"/>
          <w:b/>
          <w:bCs/>
          <w:sz w:val="32"/>
          <w:szCs w:val="32"/>
          <w:rtl/>
        </w:rPr>
        <w:t>الرقمنة</w:t>
      </w:r>
      <w:proofErr w:type="spellEnd"/>
      <w:r w:rsidRPr="00EE6B78">
        <w:rPr>
          <w:rFonts w:ascii="Sakkal Majalla" w:hAnsi="Sakkal Majalla" w:cs="Sakkal Majalla"/>
          <w:b/>
          <w:bCs/>
          <w:sz w:val="32"/>
          <w:szCs w:val="32"/>
          <w:rtl/>
        </w:rPr>
        <w:t xml:space="preserve"> نقل الإجراء الحالي إلى النظام كما هو، بل قد تتطلب إلغاء خطوات غير ضرورية، وأتمتة الموافقات، وتحديد المسؤوليات، وإتاحة متابعة الطلبات والعمليات بصورة مباشرة.</w:t>
      </w:r>
    </w:p>
    <w:p w14:paraId="20DBB48C" w14:textId="77777777" w:rsidR="00712B0A" w:rsidRPr="00EE6B78" w:rsidRDefault="00712B0A" w:rsidP="00EE6B78">
      <w:pPr>
        <w:pStyle w:val="3"/>
        <w:spacing w:line="276" w:lineRule="auto"/>
        <w:rPr>
          <w:sz w:val="32"/>
          <w:szCs w:val="32"/>
          <w:rtl/>
        </w:rPr>
      </w:pPr>
      <w:bookmarkStart w:id="28" w:name="_Toc235215142"/>
      <w:r w:rsidRPr="00EE6B78">
        <w:rPr>
          <w:sz w:val="32"/>
          <w:szCs w:val="32"/>
          <w:rtl/>
        </w:rPr>
        <w:t>2.3.2 الحوكمة</w:t>
      </w:r>
      <w:bookmarkEnd w:id="28"/>
    </w:p>
    <w:p w14:paraId="27AA12F0" w14:textId="77777777" w:rsidR="00712B0A" w:rsidRPr="00EE6B78" w:rsidRDefault="00712B0A" w:rsidP="00EE6B78">
      <w:pPr>
        <w:pStyle w:val="4"/>
        <w:spacing w:line="276" w:lineRule="auto"/>
        <w:rPr>
          <w:sz w:val="32"/>
          <w:szCs w:val="32"/>
          <w:rtl/>
        </w:rPr>
      </w:pPr>
      <w:r w:rsidRPr="00EE6B78">
        <w:rPr>
          <w:sz w:val="32"/>
          <w:szCs w:val="32"/>
          <w:rtl/>
        </w:rPr>
        <w:t>مفهوم الحوكمة</w:t>
      </w:r>
    </w:p>
    <w:p w14:paraId="42A53DE1"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تشير الحوكمة إلى مجموعة الهياكل والسياسات والعمليات التي يتم من خلالها توجيه المؤسسة أو المشروع ومراقبته، وتحديد كيفية توزيع الصلاحيات والمسؤوليات، واتخاذ القرارات، وإدارة الموارد والمخاطر، ومساءلة الأطراف عن النتائج.</w:t>
      </w:r>
    </w:p>
    <w:p w14:paraId="5843BF85"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وفي سياق المشاريع، تُعرّف حوكمة المشاريع بأنها الوظيفة الإشرافية المتوافقة مع نموذج الحوكمة المؤسسية والتي تمتد عبر دورة حياة المشروع. وتهدف إلى ضمان ارتباط المشروع بالأهداف الاستراتيجية وتوفير معلومات دقيقة وواقعية لأصحاب القرار.</w:t>
      </w:r>
    </w:p>
    <w:p w14:paraId="3A1748E7" w14:textId="77777777" w:rsidR="00712B0A" w:rsidRPr="00EE6B78" w:rsidRDefault="00712B0A" w:rsidP="00EE6B78">
      <w:pPr>
        <w:pStyle w:val="4"/>
        <w:spacing w:line="276" w:lineRule="auto"/>
        <w:rPr>
          <w:sz w:val="32"/>
          <w:szCs w:val="32"/>
          <w:rtl/>
        </w:rPr>
      </w:pPr>
      <w:r w:rsidRPr="00EE6B78">
        <w:rPr>
          <w:sz w:val="32"/>
          <w:szCs w:val="32"/>
          <w:rtl/>
        </w:rPr>
        <w:t>أهمية الحوكمة في المشاريع الحكومية</w:t>
      </w:r>
    </w:p>
    <w:p w14:paraId="2A549BDD"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تزداد أهمية الحوكمة في المشاريع الحكومية بسبب تعدد الجهات والأطراف، واختلاف الصلاحيات، ووجود متطلبات تنظيمية وأمنية ومالية، وارتباط نتائج المشاريع بالمصلحة العامة.</w:t>
      </w:r>
    </w:p>
    <w:p w14:paraId="1F77ABE5" w14:textId="2294D329"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وتسهم الحوكمة في الحد من غموض المسؤوليات وتأخر القرارات وتعارض المصالح، كما توفر آليات لتصعيد المشكلات وإدارة المخاطر ومتابعة الأداء وضمان استخدام الموارد وفق الأهداف المعتمدة.</w:t>
      </w:r>
    </w:p>
    <w:p w14:paraId="57610CF6" w14:textId="64142CCB" w:rsidR="00712B0A" w:rsidRPr="00EE6B78" w:rsidRDefault="0033278E" w:rsidP="00EE6B78">
      <w:pPr>
        <w:pStyle w:val="4"/>
        <w:spacing w:line="276" w:lineRule="auto"/>
        <w:rPr>
          <w:sz w:val="32"/>
          <w:szCs w:val="32"/>
          <w:rtl/>
        </w:rPr>
      </w:pPr>
      <w:r w:rsidRPr="00EE6B78">
        <w:rPr>
          <w:rFonts w:hint="cs"/>
          <w:sz w:val="32"/>
          <w:szCs w:val="32"/>
          <w:rtl/>
        </w:rPr>
        <w:t>أ</w:t>
      </w:r>
      <w:r w:rsidR="00712B0A" w:rsidRPr="00EE6B78">
        <w:rPr>
          <w:sz w:val="32"/>
          <w:szCs w:val="32"/>
          <w:rtl/>
        </w:rPr>
        <w:t>بعاد الحوكمة في الدراسة</w:t>
      </w:r>
    </w:p>
    <w:p w14:paraId="413B19BA"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أولًا: الشفافية</w:t>
      </w:r>
    </w:p>
    <w:p w14:paraId="1356BEAD"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lastRenderedPageBreak/>
        <w:t>تعني الشفافية وضوح المعلومات والقرارات والمعايير المتعلقة بالمشروع، وإتاحتها للأطراف ذات العلاقة في الوقت المناسب.</w:t>
      </w:r>
    </w:p>
    <w:p w14:paraId="01DDBEFB"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وتساعد الشفافية على بناء الثقة، وتقليل الغموض، وتمكين أصحاب المصلحة من فهم حالة المشروع وأسباب القرارات والتحديات التي تواجه التنفيذ.</w:t>
      </w:r>
    </w:p>
    <w:p w14:paraId="32F44547"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ثانيًا: المساءلة</w:t>
      </w:r>
    </w:p>
    <w:p w14:paraId="60128112"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تشير المساءلة إلى تحمل الأفراد والجهات مسؤولية القرارات والإجراءات والنتائج الواقعة ضمن صلاحياتهم.</w:t>
      </w:r>
    </w:p>
    <w:p w14:paraId="40EE7CEF"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وتتطلب المساءلة وجود أهداف ومؤشرات واضحة، وتحديد من يملك القرار ومن ينفذه ومن يتابع نتائجه، بما يمنع تداخل المسؤوليات أو انتقالها بين الأطراف دون معالجة.</w:t>
      </w:r>
    </w:p>
    <w:p w14:paraId="183BBE29"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ثالثًا: وضوح الأدوار والمسؤوليات</w:t>
      </w:r>
    </w:p>
    <w:p w14:paraId="46FADC7F"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يعني هذا البعد تحديد مسؤوليات الأطراف المشاركة في المشروع وصلاحياتها وعلاقاتها، بما يشمل مالك المشروع ومدير المشروع واللجان والفرق الفنية والموردين والجهات الداعمة.</w:t>
      </w:r>
    </w:p>
    <w:p w14:paraId="20E9D76B"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ويسهم وضوح الأدوار في تقليل ازدواجية العمل وتسريع القرارات ومنع حدوث فجوات في المسؤولية، خصوصًا في المشاريع التي تضم عددًا كبيرًا من أصحاب المصلحة.</w:t>
      </w:r>
    </w:p>
    <w:p w14:paraId="45F9F132"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رابعًا: إدارة المخاطر</w:t>
      </w:r>
    </w:p>
    <w:p w14:paraId="20A6F664"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تشمل إدارة المخاطر تحديد الأحداث المحتملة التي قد تؤثر في المشروع، وتحليل احتماليتها وتأثيرها، ووضع خطط للاستجابة لها ومتابعتها.</w:t>
      </w:r>
    </w:p>
    <w:p w14:paraId="573979DD" w14:textId="42758B5C"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وترتبط إدارة المخاطر بالحوكمة لأنها تحتاج إلى تحديد واضح لمن يملك الخطر، ومن يعتمد الاستجابة، وكيف يتم التصعيد عند تجاوز حدود الصلاحيات.</w:t>
      </w:r>
    </w:p>
    <w:p w14:paraId="5B08FFA0" w14:textId="63DF6770"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hint="cs"/>
          <w:b/>
          <w:bCs/>
          <w:sz w:val="32"/>
          <w:szCs w:val="32"/>
          <w:rtl/>
        </w:rPr>
        <w:t>خ</w:t>
      </w:r>
      <w:r w:rsidRPr="00EE6B78">
        <w:rPr>
          <w:rFonts w:ascii="Sakkal Majalla" w:hAnsi="Sakkal Majalla" w:cs="Sakkal Majalla"/>
          <w:b/>
          <w:bCs/>
          <w:sz w:val="32"/>
          <w:szCs w:val="32"/>
          <w:rtl/>
        </w:rPr>
        <w:t xml:space="preserve">امسًا: </w:t>
      </w:r>
      <w:r w:rsidR="00A2513D" w:rsidRPr="00EE6B78">
        <w:rPr>
          <w:rFonts w:ascii="Sakkal Majalla" w:hAnsi="Sakkal Majalla" w:cs="Sakkal Majalla"/>
          <w:b/>
          <w:bCs/>
          <w:sz w:val="32"/>
          <w:szCs w:val="32"/>
          <w:rtl/>
        </w:rPr>
        <w:t>الرقابة واتخاذ القرار</w:t>
      </w:r>
    </w:p>
    <w:p w14:paraId="0343776B"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تشير الرقابة إلى متابعة التقدم والالتزام بالنطاق والميزانية والجدول والجودة، ومقارنة الأداء الفعلي بما تم التخطيط له.</w:t>
      </w:r>
    </w:p>
    <w:p w14:paraId="01039F8A" w14:textId="708E146C"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lastRenderedPageBreak/>
        <w:t>أما اتخاذ القرار فيشمل توفير معلومات موثوقة ومحدثة للقيادات واللجان، ووجود آليات واضحة للاعتماد والتصعيد ومعالجة الانحرافات. وتكون الرقابة أكثر فاعلية عندما تستخدم لتحسين القرار وتصحيح المسار، وليس لمجرد توثيق المخالفات.</w:t>
      </w:r>
    </w:p>
    <w:p w14:paraId="48F6E5E3" w14:textId="77777777" w:rsidR="00712B0A" w:rsidRPr="00EE6B78" w:rsidRDefault="00712B0A" w:rsidP="00EE6B78">
      <w:pPr>
        <w:spacing w:line="276" w:lineRule="auto"/>
        <w:rPr>
          <w:rFonts w:ascii="Sakkal Majalla" w:hAnsi="Sakkal Majalla" w:cs="Sakkal Majalla"/>
          <w:b/>
          <w:bCs/>
          <w:sz w:val="32"/>
          <w:szCs w:val="32"/>
          <w:rtl/>
        </w:rPr>
      </w:pPr>
    </w:p>
    <w:p w14:paraId="507C8B3E" w14:textId="77777777" w:rsidR="00712B0A" w:rsidRPr="00EE6B78" w:rsidRDefault="00712B0A" w:rsidP="00EE6B78">
      <w:pPr>
        <w:pStyle w:val="3"/>
        <w:spacing w:line="276" w:lineRule="auto"/>
        <w:rPr>
          <w:sz w:val="32"/>
          <w:szCs w:val="32"/>
          <w:rtl/>
        </w:rPr>
      </w:pPr>
      <w:bookmarkStart w:id="29" w:name="_Toc235215143"/>
      <w:r w:rsidRPr="00EE6B78">
        <w:rPr>
          <w:sz w:val="32"/>
          <w:szCs w:val="32"/>
          <w:rtl/>
        </w:rPr>
        <w:t>2.3.3 نجاح المشاريع الحكومية</w:t>
      </w:r>
      <w:bookmarkEnd w:id="29"/>
    </w:p>
    <w:p w14:paraId="54F6B7E4" w14:textId="77777777" w:rsidR="00712B0A" w:rsidRPr="00EE6B78" w:rsidRDefault="00712B0A" w:rsidP="00EE6B78">
      <w:pPr>
        <w:pStyle w:val="4"/>
        <w:spacing w:line="276" w:lineRule="auto"/>
        <w:rPr>
          <w:sz w:val="32"/>
          <w:szCs w:val="32"/>
          <w:rtl/>
        </w:rPr>
      </w:pPr>
      <w:r w:rsidRPr="00EE6B78">
        <w:rPr>
          <w:sz w:val="32"/>
          <w:szCs w:val="32"/>
          <w:rtl/>
        </w:rPr>
        <w:t>مفهوم نجاح المشروع</w:t>
      </w:r>
    </w:p>
    <w:p w14:paraId="17F99506"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يشير نجاح المشروع إلى مدى تحقيق المشروع للنتائج والأهداف التي أُنشئ من أجلها، مع مراعاة كفاءة التنفيذ وجودة المخرجات ورضا أصحاب المصلحة.</w:t>
      </w:r>
    </w:p>
    <w:p w14:paraId="5CD6CFEF"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وقد تطور مفهوم النجاح من الاعتماد على الوقت والتكلفة والجودة إلى مفهوم أوسع يتضمن تحقيق المتطلبات والمنافع والقيمة التنظيمية ورضا الأطراف ذات العلاقة. لذلك يمكن أن يحقق المشروع جدوله وميزانيته، لكنه لا يُعد ناجحًا بصورة كاملة عندما لا تلبي مخرجاته احتياجات المستفيدين أو لا تحقق الأهداف المؤسسية.</w:t>
      </w:r>
    </w:p>
    <w:p w14:paraId="37F3EBFA" w14:textId="77777777" w:rsidR="00712B0A" w:rsidRPr="00EE6B78" w:rsidRDefault="00712B0A" w:rsidP="00EE6B78">
      <w:pPr>
        <w:pStyle w:val="4"/>
        <w:spacing w:line="276" w:lineRule="auto"/>
        <w:rPr>
          <w:sz w:val="32"/>
          <w:szCs w:val="32"/>
          <w:rtl/>
        </w:rPr>
      </w:pPr>
      <w:r w:rsidRPr="00EE6B78">
        <w:rPr>
          <w:sz w:val="32"/>
          <w:szCs w:val="32"/>
          <w:rtl/>
        </w:rPr>
        <w:t>أبعاد نجاح المشاريع في الدراسة</w:t>
      </w:r>
    </w:p>
    <w:p w14:paraId="23B09BBB"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أولًا: الالتزام بالوقت</w:t>
      </w:r>
    </w:p>
    <w:p w14:paraId="49531A78"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يعني إنجاز أنشطة المشروع ومراحله وتسليمه في المواعيد المعتمدة أو ضمن حدود الانحراف المقبولة.</w:t>
      </w:r>
    </w:p>
    <w:p w14:paraId="142B36A7"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ويعد الوقت مؤشرًا أساسيًا للكفاءة، خصوصًا في المشاريع الحكومية التي قد ترتبط بالتزامات تنظيمية أو إطلاق خدمات أو برامج وطنية.</w:t>
      </w:r>
    </w:p>
    <w:p w14:paraId="58DC5BF7"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ثانيًا: الالتزام بالتكلفة</w:t>
      </w:r>
    </w:p>
    <w:p w14:paraId="18C0EE85"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يعني تنفيذ المشروع ضمن الميزانية المعتمدة، مع الاستخدام الكفء للموارد ومراقبة الانحرافات المالية.</w:t>
      </w:r>
    </w:p>
    <w:p w14:paraId="355C3362" w14:textId="7507462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ولا يقتصر الالتزام بالتكلفة على عدم تجاوز الميزانية، بل يشمل أيضًا تحقيق قيمة مناسبة مقابل الموارد المستخدمة.</w:t>
      </w:r>
    </w:p>
    <w:p w14:paraId="657FB20F" w14:textId="674C24CC"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hint="cs"/>
          <w:b/>
          <w:bCs/>
          <w:sz w:val="32"/>
          <w:szCs w:val="32"/>
          <w:rtl/>
        </w:rPr>
        <w:t>ث</w:t>
      </w:r>
      <w:r w:rsidRPr="00EE6B78">
        <w:rPr>
          <w:rFonts w:ascii="Sakkal Majalla" w:hAnsi="Sakkal Majalla" w:cs="Sakkal Majalla"/>
          <w:b/>
          <w:bCs/>
          <w:sz w:val="32"/>
          <w:szCs w:val="32"/>
          <w:rtl/>
        </w:rPr>
        <w:t>الثًا: جودة المخرجات</w:t>
      </w:r>
    </w:p>
    <w:p w14:paraId="6EDED412"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lastRenderedPageBreak/>
        <w:t>تشير الجودة إلى مدى مطابقة مخرجات المشروع للمتطلبات والمواصفات والمعايير المعتمدة، وقدرتها على أداء الوظائف المطلوبة بصورة موثوقة.</w:t>
      </w:r>
    </w:p>
    <w:p w14:paraId="757AA295"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وتمثل الجودة عنصرًا حاسمًا؛ لأن إنجاز المشروع في الوقت والميزانية لا يحقق القيمة المطلوبة عندما تكون المخرجات غير مستقرة أو غير ملائمة للاستخدام.</w:t>
      </w:r>
    </w:p>
    <w:p w14:paraId="7CBC2B7B"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رابعًا: رضا أصحاب المصلحة</w:t>
      </w:r>
    </w:p>
    <w:p w14:paraId="59DD098A"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يعني مدى رضا الأطراف المعنية، مثل الجهة المالكة والمستفيدين والقيادات وفرق التشغيل والتنفيذ، عن مخرجات المشروع وطريقة إدارته.</w:t>
      </w:r>
    </w:p>
    <w:p w14:paraId="0FC3D6B7"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ويعكس هذا البعد الطبيعة المتعددة للنجاح؛ فقد تختلف نظرة كل طرف إلى المشروع بحسب اهتماماته وتوقعاته ودوره.</w:t>
      </w:r>
    </w:p>
    <w:p w14:paraId="6710ED50"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خامسًا: تحقيق نطاق المشروع</w:t>
      </w:r>
    </w:p>
    <w:p w14:paraId="0F6D172B"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يشير نطاق المشروع إلى الأعمال والمخرجات والمتطلبات التي تم اعتمادها للمشروع.</w:t>
      </w:r>
    </w:p>
    <w:p w14:paraId="1F11DB72" w14:textId="32701C7E"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ويعني نجاح النطاق إنجاز المتطلبات المتفق عليها دون حذف عناصر أساسية أو إضافة تغييرات غير مضبوطة تؤثر في الوقت والتكلفة والجودة.</w:t>
      </w:r>
    </w:p>
    <w:p w14:paraId="0C3452A6" w14:textId="77777777" w:rsidR="00712B0A" w:rsidRPr="00EE6B78" w:rsidRDefault="00712B0A" w:rsidP="00EE6B78">
      <w:pPr>
        <w:pStyle w:val="2"/>
        <w:spacing w:line="276" w:lineRule="auto"/>
        <w:rPr>
          <w:sz w:val="32"/>
          <w:szCs w:val="32"/>
          <w:rtl/>
        </w:rPr>
      </w:pPr>
      <w:bookmarkStart w:id="30" w:name="_Toc235215144"/>
      <w:r w:rsidRPr="00EE6B78">
        <w:rPr>
          <w:sz w:val="32"/>
          <w:szCs w:val="32"/>
          <w:rtl/>
        </w:rPr>
        <w:t>2.4 العلاقة بين متغيرات الدراسة</w:t>
      </w:r>
      <w:bookmarkEnd w:id="30"/>
    </w:p>
    <w:p w14:paraId="4E535803" w14:textId="77777777" w:rsidR="00712B0A" w:rsidRPr="00EE6B78" w:rsidRDefault="00712B0A" w:rsidP="00EE6B78">
      <w:pPr>
        <w:pStyle w:val="3"/>
        <w:spacing w:line="276" w:lineRule="auto"/>
        <w:rPr>
          <w:sz w:val="32"/>
          <w:szCs w:val="32"/>
          <w:rtl/>
        </w:rPr>
      </w:pPr>
      <w:bookmarkStart w:id="31" w:name="_Toc235215145"/>
      <w:r w:rsidRPr="00EE6B78">
        <w:rPr>
          <w:sz w:val="32"/>
          <w:szCs w:val="32"/>
          <w:rtl/>
        </w:rPr>
        <w:t>2.4.1 العلاقة بين التحول الرقمي ونجاح المشاريع</w:t>
      </w:r>
      <w:bookmarkEnd w:id="31"/>
    </w:p>
    <w:p w14:paraId="6E643D49"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يمكن للتحول الرقمي أن يسهم في نجاح المشاريع من خلال تحسين تدفق المعلومات، وأتمتة العمليات، وتعزيز تكامل الأنظمة، وتوفير مؤشرات لحظية عن الأداء، ودعم التعاون بين فرق المشروع.</w:t>
      </w:r>
    </w:p>
    <w:p w14:paraId="168FFD54"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كما يمكن لاستخدام البيانات أن يساعد في التنبؤ بالمخاطر واكتشاف الانحرافات واتخاذ القرارات بصورة أسرع. إلا أن أثر التحول الرقمي يعتمد على مدى ملاءمة التقنية للعمليات وقدرة المؤسسة على استخدامها وإدارة التغيير المصاحب لها.</w:t>
      </w:r>
    </w:p>
    <w:p w14:paraId="2CF630E5"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وبناء على ذلك، تتوقع الدراسة وجود أثر إيجابي للتحول الرقمي على نجاح المشاريع الحكومية.</w:t>
      </w:r>
    </w:p>
    <w:p w14:paraId="7BBE8F90" w14:textId="77777777" w:rsidR="00712B0A" w:rsidRPr="00EE6B78" w:rsidRDefault="00712B0A" w:rsidP="00EE6B78">
      <w:pPr>
        <w:pStyle w:val="3"/>
        <w:spacing w:line="276" w:lineRule="auto"/>
        <w:rPr>
          <w:sz w:val="32"/>
          <w:szCs w:val="32"/>
          <w:rtl/>
        </w:rPr>
      </w:pPr>
      <w:bookmarkStart w:id="32" w:name="_Toc235215146"/>
      <w:r w:rsidRPr="00EE6B78">
        <w:rPr>
          <w:sz w:val="32"/>
          <w:szCs w:val="32"/>
          <w:rtl/>
        </w:rPr>
        <w:lastRenderedPageBreak/>
        <w:t>2.4.2 العلاقة بين الحوكمة ونجاح المشاريع</w:t>
      </w:r>
      <w:bookmarkEnd w:id="32"/>
    </w:p>
    <w:p w14:paraId="5896875D"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توفر الحوكمة إطارًا يحدد صلاحيات اتخاذ القرار، ومسؤوليات أصحاب المصلحة، وآليات الرقابة والتصعيد، ومعايير متابعة الأداء وإدارة المخاطر.</w:t>
      </w:r>
    </w:p>
    <w:p w14:paraId="21D3E4F6"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وقد أظهرت الدراسات وجود علاقة إيجابية بين بعض توجهات حوكمة المشاريع والنجاح، كما تبين أن الحوكمة الفعالة يمكن أن تحسن النجاح بصورة مباشرة ومن خلال إدارة المنافع.</w:t>
      </w:r>
    </w:p>
    <w:p w14:paraId="5A4756C2" w14:textId="67080474"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وعليه، تتوقع الدراسة وجود أثر إيجابي لمستوى تطبيق الحوكمة على نجاح المشاريع الحكومية.</w:t>
      </w:r>
    </w:p>
    <w:p w14:paraId="17176CA3" w14:textId="77777777" w:rsidR="00712B0A" w:rsidRPr="00EE6B78" w:rsidRDefault="00712B0A" w:rsidP="00EE6B78">
      <w:pPr>
        <w:pStyle w:val="3"/>
        <w:spacing w:line="276" w:lineRule="auto"/>
        <w:rPr>
          <w:sz w:val="32"/>
          <w:szCs w:val="32"/>
          <w:rtl/>
        </w:rPr>
      </w:pPr>
      <w:bookmarkStart w:id="33" w:name="_Toc235215147"/>
      <w:r w:rsidRPr="00EE6B78">
        <w:rPr>
          <w:sz w:val="32"/>
          <w:szCs w:val="32"/>
          <w:rtl/>
        </w:rPr>
        <w:t>2.4.3 العلاقة بين التحول الرقمي والحوكمة</w:t>
      </w:r>
      <w:bookmarkEnd w:id="33"/>
    </w:p>
    <w:p w14:paraId="78AF7351"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يرتبط التحول الرقمي والحوكمة بعلاقة تكاملية؛ فالتحول الرقمي يوفر الأدوات والبيانات والمنصات التي تدعم الرقابة واتخاذ القرار، بينما تضمن الحوكمة توجيه هذه الأدوات واستخدامها بما يتوافق مع الأهداف والسياسات والصلاحيات.</w:t>
      </w:r>
    </w:p>
    <w:p w14:paraId="7DE7DCEA"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وقد يؤدي ضعف الحوكمة إلى تنفيذ أنظمة رقمية غير متكاملة أو غير مرتبطة بالأولويات، بينما قد يؤدي ضعف الممكنات الرقمية إلى الحد من قدرة الحوكمة على الحصول على معلومات دقيقة وفي الوقت المناسب.</w:t>
      </w:r>
    </w:p>
    <w:p w14:paraId="790FC197" w14:textId="0FD12F15"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ويتفق ذلك مع نظرية النظم الاجتماعية التقنية التي تؤكد أن الأداء ينتج من التوافق بين النظام التقني والنظام الاجتماعي والتنظيمي، وليس من كل نظام بصورة منفصلة.</w:t>
      </w:r>
    </w:p>
    <w:p w14:paraId="05264EA9" w14:textId="77777777" w:rsidR="00712B0A" w:rsidRPr="00EE6B78" w:rsidRDefault="00712B0A" w:rsidP="00EE6B78">
      <w:pPr>
        <w:pStyle w:val="2"/>
        <w:spacing w:line="276" w:lineRule="auto"/>
        <w:rPr>
          <w:sz w:val="32"/>
          <w:szCs w:val="32"/>
          <w:rtl/>
        </w:rPr>
      </w:pPr>
      <w:bookmarkStart w:id="34" w:name="_Toc235215148"/>
      <w:r w:rsidRPr="00EE6B78">
        <w:rPr>
          <w:sz w:val="32"/>
          <w:szCs w:val="32"/>
          <w:rtl/>
        </w:rPr>
        <w:t>2.5 الفجوة البحثية</w:t>
      </w:r>
      <w:bookmarkEnd w:id="34"/>
    </w:p>
    <w:p w14:paraId="29A46DCE"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على الرغم من تعدد الدراسات المتعلقة بالتحول الرقمي، فإن جانبًا كبيرًا منها ركز على تعريف التحول الرقمي، أو تبني الأنظمة، أو تطوير الخدمات الحكومية، أو تحديد عوامل القبول والتحديات التنظيمية.</w:t>
      </w:r>
    </w:p>
    <w:p w14:paraId="24154B75"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كما ركزت دراسات الحوكمة على الأطر التنظيمية أو العلاقة بين توجهات حوكمة المشاريع والنجاح أو إدارة المنافع، في حين اهتمت دراسات نجاح المشاريع بتطوير معايير قياس النجاح وتوسيعها لتتجاوز الوقت والتكلفة والجودة.</w:t>
      </w:r>
    </w:p>
    <w:p w14:paraId="17ECC208" w14:textId="77777777" w:rsidR="001564D3"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ومن خلال مراجعة الأدبيات، يمكن تحديد الفجوة التي تعالجها الدراسة الحالية في الجوانب الآتية:</w:t>
      </w:r>
    </w:p>
    <w:p w14:paraId="781D11C7" w14:textId="42E64B8A"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lastRenderedPageBreak/>
        <w:t>محدودية الدراسات التي تجمع التحول الرقمي والحوكمة بوصفهما متغيرين مستقلين ضمن نموذج واحد لتفسير نجاح المشاريع.</w:t>
      </w:r>
    </w:p>
    <w:p w14:paraId="0E3FFB27"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محدودية الدراسات الميدانية التي تختبر هذه العلاقة في بيئة المشاريع الحكومية السعودية.</w:t>
      </w:r>
    </w:p>
    <w:p w14:paraId="4792C462"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تركيز كثير من الدراسات الرقمية السعودية على تبني الأنظمة والخدمات الحكومية، وليس على نجاح المشاريع التي يتم من خلالها تطوير هذه الأنظمة والخدمات.</w:t>
      </w:r>
    </w:p>
    <w:p w14:paraId="6484CCCD"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الحاجة إلى قياس التحول الرقمي والحوكمة ونجاح المشاريع من خلال أبعاد متعددة بدلًا من الاعتماد على مؤشر عام واحد.</w:t>
      </w:r>
    </w:p>
    <w:p w14:paraId="55B1AF36" w14:textId="77777777"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الحاجة إلى تحديد الإسهام النسبي لكل من التحول الرقمي والحوكمة عند إدخالهما معًا في نموذج إحصائي واحد.</w:t>
      </w:r>
    </w:p>
    <w:p w14:paraId="330A450C" w14:textId="2821685F" w:rsidR="00712B0A" w:rsidRPr="00EE6B78" w:rsidRDefault="00712B0A"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وعليه، تسعى الدراسة الحالية إلى سد هذه الفجوة من خلال تحليل أثر التحول الرقمي والحوكمة على نجاح المشاريع الحكومية، اعتمادًا على بيانات ميدانية من العاملين المرتبطين بهذه المشاريع في المملكة العربية السعودية.</w:t>
      </w:r>
    </w:p>
    <w:p w14:paraId="1B6F6052" w14:textId="77777777" w:rsidR="00195184" w:rsidRPr="00EE6B78" w:rsidRDefault="00195184" w:rsidP="00EE6B78">
      <w:pPr>
        <w:pStyle w:val="2"/>
        <w:spacing w:line="276" w:lineRule="auto"/>
        <w:rPr>
          <w:sz w:val="32"/>
          <w:szCs w:val="32"/>
          <w:rtl/>
        </w:rPr>
      </w:pPr>
      <w:bookmarkStart w:id="35" w:name="_Toc235215149"/>
      <w:r w:rsidRPr="00EE6B78">
        <w:rPr>
          <w:sz w:val="32"/>
          <w:szCs w:val="32"/>
          <w:rtl/>
        </w:rPr>
        <w:t>2.6 نموذج الدراسة</w:t>
      </w:r>
      <w:bookmarkEnd w:id="35"/>
    </w:p>
    <w:p w14:paraId="1B0AA531" w14:textId="28149BFF" w:rsidR="001564D3" w:rsidRPr="00EE6B78" w:rsidRDefault="00195184"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تعتمد الدراسة على نموذج مفاهيمي يتكون من متغيرين مستقلين ومتغير تابع:</w:t>
      </w:r>
    </w:p>
    <w:tbl>
      <w:tblPr>
        <w:tblStyle w:val="4-1"/>
        <w:bidiVisual/>
        <w:tblW w:w="0" w:type="auto"/>
        <w:tblLook w:val="04A0" w:firstRow="1" w:lastRow="0" w:firstColumn="1" w:lastColumn="0" w:noHBand="0" w:noVBand="1"/>
      </w:tblPr>
      <w:tblGrid>
        <w:gridCol w:w="3727"/>
        <w:gridCol w:w="1417"/>
        <w:gridCol w:w="3678"/>
      </w:tblGrid>
      <w:tr w:rsidR="00A2513D" w:rsidRPr="00EE6B78" w14:paraId="27E87D55" w14:textId="77777777" w:rsidTr="006556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27" w:type="dxa"/>
            <w:vAlign w:val="center"/>
          </w:tcPr>
          <w:p w14:paraId="495EC24B" w14:textId="7614025B" w:rsidR="00A2513D" w:rsidRPr="00EE6B78" w:rsidRDefault="00A2513D" w:rsidP="0065568C">
            <w:pPr>
              <w:jc w:val="center"/>
              <w:rPr>
                <w:sz w:val="28"/>
                <w:szCs w:val="28"/>
                <w:rtl/>
              </w:rPr>
            </w:pPr>
            <w:r w:rsidRPr="00EE6B78">
              <w:rPr>
                <w:rFonts w:hint="cs"/>
                <w:sz w:val="28"/>
                <w:szCs w:val="28"/>
                <w:rtl/>
              </w:rPr>
              <w:t>المتغيرات المستقلة</w:t>
            </w:r>
          </w:p>
        </w:tc>
        <w:tc>
          <w:tcPr>
            <w:tcW w:w="1417" w:type="dxa"/>
            <w:vAlign w:val="center"/>
          </w:tcPr>
          <w:p w14:paraId="535085FF" w14:textId="0A0B8F14" w:rsidR="00A2513D" w:rsidRPr="00EE6B78" w:rsidRDefault="00A2513D" w:rsidP="0065568C">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EE6B78">
              <w:rPr>
                <w:rFonts w:hint="cs"/>
                <w:sz w:val="28"/>
                <w:szCs w:val="28"/>
                <w:rtl/>
              </w:rPr>
              <w:t>العلاقة</w:t>
            </w:r>
          </w:p>
        </w:tc>
        <w:tc>
          <w:tcPr>
            <w:tcW w:w="3678" w:type="dxa"/>
            <w:vAlign w:val="center"/>
          </w:tcPr>
          <w:p w14:paraId="53315DCE" w14:textId="2B1D7C6C" w:rsidR="00A2513D" w:rsidRPr="00EE6B78" w:rsidRDefault="00A2513D" w:rsidP="0065568C">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EE6B78">
              <w:rPr>
                <w:rFonts w:hint="cs"/>
                <w:sz w:val="28"/>
                <w:szCs w:val="28"/>
                <w:rtl/>
              </w:rPr>
              <w:t>المتغير التابع</w:t>
            </w:r>
          </w:p>
        </w:tc>
      </w:tr>
      <w:tr w:rsidR="00A2513D" w:rsidRPr="00EE6B78" w14:paraId="0501FC8A" w14:textId="77777777" w:rsidTr="006556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27" w:type="dxa"/>
            <w:shd w:val="clear" w:color="auto" w:fill="auto"/>
            <w:vAlign w:val="center"/>
          </w:tcPr>
          <w:p w14:paraId="1A355536" w14:textId="77777777" w:rsidR="00A2513D" w:rsidRPr="00EE6B78" w:rsidRDefault="00A2513D" w:rsidP="0065568C">
            <w:pPr>
              <w:jc w:val="center"/>
              <w:rPr>
                <w:b w:val="0"/>
                <w:bCs w:val="0"/>
                <w:sz w:val="28"/>
                <w:szCs w:val="28"/>
                <w:rtl/>
              </w:rPr>
            </w:pPr>
            <w:r w:rsidRPr="00EE6B78">
              <w:rPr>
                <w:rFonts w:hint="cs"/>
                <w:b w:val="0"/>
                <w:bCs w:val="0"/>
                <w:sz w:val="28"/>
                <w:szCs w:val="28"/>
                <w:rtl/>
              </w:rPr>
              <w:t>التحول الرقمي</w:t>
            </w:r>
          </w:p>
          <w:p w14:paraId="00F29B0C" w14:textId="77777777" w:rsidR="00A2513D" w:rsidRPr="00EE6B78" w:rsidRDefault="00A2513D" w:rsidP="0065568C">
            <w:pPr>
              <w:pStyle w:val="ab"/>
              <w:numPr>
                <w:ilvl w:val="0"/>
                <w:numId w:val="2"/>
              </w:numPr>
              <w:jc w:val="center"/>
              <w:rPr>
                <w:rFonts w:ascii="Sakkal Majalla" w:hAnsi="Sakkal Majalla" w:cs="Sakkal Majalla"/>
                <w:sz w:val="28"/>
                <w:szCs w:val="28"/>
              </w:rPr>
            </w:pPr>
            <w:r w:rsidRPr="00EE6B78">
              <w:rPr>
                <w:rFonts w:ascii="Sakkal Majalla" w:hAnsi="Sakkal Majalla" w:cs="Sakkal Majalla"/>
                <w:sz w:val="28"/>
                <w:szCs w:val="28"/>
                <w:rtl/>
              </w:rPr>
              <w:t>البنية التحتية التقنية.</w:t>
            </w:r>
          </w:p>
          <w:p w14:paraId="7632D966" w14:textId="77777777" w:rsidR="00A2513D" w:rsidRPr="00EE6B78" w:rsidRDefault="00A2513D" w:rsidP="0065568C">
            <w:pPr>
              <w:pStyle w:val="ab"/>
              <w:numPr>
                <w:ilvl w:val="0"/>
                <w:numId w:val="2"/>
              </w:numPr>
              <w:jc w:val="center"/>
              <w:rPr>
                <w:rFonts w:ascii="Sakkal Majalla" w:hAnsi="Sakkal Majalla" w:cs="Sakkal Majalla"/>
                <w:sz w:val="28"/>
                <w:szCs w:val="28"/>
                <w:rtl/>
              </w:rPr>
            </w:pPr>
            <w:r w:rsidRPr="00EE6B78">
              <w:rPr>
                <w:rFonts w:ascii="Sakkal Majalla" w:hAnsi="Sakkal Majalla" w:cs="Sakkal Majalla"/>
                <w:sz w:val="28"/>
                <w:szCs w:val="28"/>
                <w:rtl/>
              </w:rPr>
              <w:t>تكامل الأنظمة.</w:t>
            </w:r>
          </w:p>
          <w:p w14:paraId="17CB072F" w14:textId="77777777" w:rsidR="00A2513D" w:rsidRPr="00EE6B78" w:rsidRDefault="00A2513D" w:rsidP="0065568C">
            <w:pPr>
              <w:pStyle w:val="ab"/>
              <w:numPr>
                <w:ilvl w:val="0"/>
                <w:numId w:val="2"/>
              </w:numPr>
              <w:jc w:val="center"/>
              <w:rPr>
                <w:rFonts w:ascii="Sakkal Majalla" w:hAnsi="Sakkal Majalla" w:cs="Sakkal Majalla"/>
                <w:sz w:val="28"/>
                <w:szCs w:val="28"/>
                <w:rtl/>
              </w:rPr>
            </w:pPr>
            <w:r w:rsidRPr="00EE6B78">
              <w:rPr>
                <w:rFonts w:ascii="Sakkal Majalla" w:hAnsi="Sakkal Majalla" w:cs="Sakkal Majalla"/>
                <w:sz w:val="28"/>
                <w:szCs w:val="28"/>
                <w:rtl/>
              </w:rPr>
              <w:t>استخدام البيانات في دعم اتخاذ القرار.</w:t>
            </w:r>
          </w:p>
          <w:p w14:paraId="1D1CE306" w14:textId="59B8E8EA" w:rsidR="00A2513D" w:rsidRPr="00EE6B78" w:rsidRDefault="00A2513D" w:rsidP="0065568C">
            <w:pPr>
              <w:pStyle w:val="ab"/>
              <w:numPr>
                <w:ilvl w:val="0"/>
                <w:numId w:val="2"/>
              </w:numPr>
              <w:jc w:val="center"/>
              <w:rPr>
                <w:rFonts w:ascii="Sakkal Majalla" w:hAnsi="Sakkal Majalla" w:cs="Sakkal Majalla"/>
                <w:sz w:val="28"/>
                <w:szCs w:val="28"/>
                <w:rtl/>
              </w:rPr>
            </w:pPr>
            <w:r w:rsidRPr="00EE6B78">
              <w:rPr>
                <w:rFonts w:ascii="Sakkal Majalla" w:hAnsi="Sakkal Majalla" w:cs="Sakkal Majalla"/>
                <w:sz w:val="28"/>
                <w:szCs w:val="28"/>
                <w:rtl/>
              </w:rPr>
              <w:t>رقمنة العمليات والإجراءات.</w:t>
            </w:r>
          </w:p>
        </w:tc>
        <w:tc>
          <w:tcPr>
            <w:tcW w:w="1417" w:type="dxa"/>
            <w:shd w:val="clear" w:color="auto" w:fill="auto"/>
            <w:vAlign w:val="center"/>
          </w:tcPr>
          <w:p w14:paraId="783E190B" w14:textId="5E4F3A21" w:rsidR="00A2513D" w:rsidRPr="00EE6B78" w:rsidRDefault="00A2513D" w:rsidP="0065568C">
            <w:pPr>
              <w:jc w:val="center"/>
              <w:cnfStyle w:val="000000100000" w:firstRow="0" w:lastRow="0" w:firstColumn="0" w:lastColumn="0" w:oddVBand="0" w:evenVBand="0" w:oddHBand="1" w:evenHBand="0" w:firstRowFirstColumn="0" w:firstRowLastColumn="0" w:lastRowFirstColumn="0" w:lastRowLastColumn="0"/>
              <w:rPr>
                <w:b/>
                <w:bCs/>
                <w:sz w:val="28"/>
                <w:szCs w:val="28"/>
                <w:rtl/>
              </w:rPr>
            </w:pPr>
            <w:r w:rsidRPr="00EE6B78">
              <w:rPr>
                <w:rFonts w:ascii="Sakkal Majalla" w:hAnsi="Sakkal Majalla" w:cs="Sakkal Majalla"/>
                <w:b/>
                <w:bCs/>
                <w:noProof/>
                <w:sz w:val="28"/>
                <w:szCs w:val="28"/>
              </w:rPr>
              <mc:AlternateContent>
                <mc:Choice Requires="wps">
                  <w:drawing>
                    <wp:anchor distT="0" distB="0" distL="114300" distR="114300" simplePos="0" relativeHeight="251671552" behindDoc="0" locked="0" layoutInCell="1" allowOverlap="1" wp14:anchorId="2075F150" wp14:editId="0FE452A1">
                      <wp:simplePos x="0" y="0"/>
                      <wp:positionH relativeFrom="column">
                        <wp:posOffset>172085</wp:posOffset>
                      </wp:positionH>
                      <wp:positionV relativeFrom="paragraph">
                        <wp:posOffset>104140</wp:posOffset>
                      </wp:positionV>
                      <wp:extent cx="419100" cy="139700"/>
                      <wp:effectExtent l="12700" t="12700" r="12700" b="25400"/>
                      <wp:wrapNone/>
                      <wp:docPr id="778020649" name="سهم لليسار 2"/>
                      <wp:cNvGraphicFramePr/>
                      <a:graphic xmlns:a="http://schemas.openxmlformats.org/drawingml/2006/main">
                        <a:graphicData uri="http://schemas.microsoft.com/office/word/2010/wordprocessingShape">
                          <wps:wsp>
                            <wps:cNvSpPr/>
                            <wps:spPr>
                              <a:xfrm>
                                <a:off x="0" y="0"/>
                                <a:ext cx="419100" cy="13970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9429C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6" type="#_x0000_t66" style="position:absolute;left:0;text-align:left;margin-left:13.55pt;margin-top:8.2pt;width:33pt;height:1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" adj="3600" fillcolor="#4472c4 [3204]" strokecolor="#09101d [484]" strokeweight="1pt"/>
                  </w:pict>
                </mc:Fallback>
              </mc:AlternateContent>
            </w:r>
          </w:p>
        </w:tc>
        <w:tc>
          <w:tcPr>
            <w:tcW w:w="3678" w:type="dxa"/>
            <w:vMerge w:val="restart"/>
            <w:shd w:val="clear" w:color="auto" w:fill="auto"/>
            <w:vAlign w:val="center"/>
          </w:tcPr>
          <w:p w14:paraId="70B3CDEA" w14:textId="77777777" w:rsidR="00A2513D" w:rsidRPr="00EE6B78" w:rsidRDefault="00A2513D" w:rsidP="0065568C">
            <w:pPr>
              <w:jc w:val="center"/>
              <w:cnfStyle w:val="000000100000" w:firstRow="0" w:lastRow="0" w:firstColumn="0" w:lastColumn="0" w:oddVBand="0" w:evenVBand="0" w:oddHBand="1" w:evenHBand="0" w:firstRowFirstColumn="0" w:firstRowLastColumn="0" w:lastRowFirstColumn="0" w:lastRowLastColumn="0"/>
              <w:rPr>
                <w:b/>
                <w:bCs/>
                <w:sz w:val="28"/>
                <w:szCs w:val="28"/>
                <w:rtl/>
              </w:rPr>
            </w:pPr>
            <w:r w:rsidRPr="00EE6B78">
              <w:rPr>
                <w:rFonts w:hint="cs"/>
                <w:b/>
                <w:bCs/>
                <w:sz w:val="28"/>
                <w:szCs w:val="28"/>
                <w:rtl/>
              </w:rPr>
              <w:t>نجاح المشاريع الحكومية</w:t>
            </w:r>
          </w:p>
          <w:p w14:paraId="1CAEEEF9" w14:textId="77777777" w:rsidR="001564D3" w:rsidRPr="00EE6B78" w:rsidRDefault="001564D3" w:rsidP="0065568C">
            <w:pPr>
              <w:pStyle w:val="ab"/>
              <w:numPr>
                <w:ilvl w:val="0"/>
                <w:numId w:val="4"/>
              </w:num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EE6B78">
              <w:rPr>
                <w:rFonts w:ascii="Sakkal Majalla" w:hAnsi="Sakkal Majalla" w:cs="Sakkal Majalla"/>
                <w:b/>
                <w:bCs/>
                <w:sz w:val="28"/>
                <w:szCs w:val="28"/>
                <w:rtl/>
              </w:rPr>
              <w:t>الالتزام بالوقت.</w:t>
            </w:r>
          </w:p>
          <w:p w14:paraId="7E12864B" w14:textId="77777777" w:rsidR="001564D3" w:rsidRPr="00EE6B78" w:rsidRDefault="001564D3" w:rsidP="0065568C">
            <w:pPr>
              <w:pStyle w:val="ab"/>
              <w:numPr>
                <w:ilvl w:val="0"/>
                <w:numId w:val="4"/>
              </w:num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EE6B78">
              <w:rPr>
                <w:rFonts w:ascii="Sakkal Majalla" w:hAnsi="Sakkal Majalla" w:cs="Sakkal Majalla"/>
                <w:b/>
                <w:bCs/>
                <w:sz w:val="28"/>
                <w:szCs w:val="28"/>
                <w:rtl/>
              </w:rPr>
              <w:t>الالتزام بالتكلفة.</w:t>
            </w:r>
          </w:p>
          <w:p w14:paraId="27B6E229" w14:textId="77777777" w:rsidR="001564D3" w:rsidRPr="00EE6B78" w:rsidRDefault="001564D3" w:rsidP="0065568C">
            <w:pPr>
              <w:pStyle w:val="ab"/>
              <w:numPr>
                <w:ilvl w:val="0"/>
                <w:numId w:val="4"/>
              </w:num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EE6B78">
              <w:rPr>
                <w:rFonts w:ascii="Sakkal Majalla" w:hAnsi="Sakkal Majalla" w:cs="Sakkal Majalla"/>
                <w:b/>
                <w:bCs/>
                <w:sz w:val="28"/>
                <w:szCs w:val="28"/>
                <w:rtl/>
              </w:rPr>
              <w:t>جودة المخرجات.</w:t>
            </w:r>
          </w:p>
          <w:p w14:paraId="2E0EFC90" w14:textId="77777777" w:rsidR="001564D3" w:rsidRPr="00EE6B78" w:rsidRDefault="001564D3" w:rsidP="0065568C">
            <w:pPr>
              <w:pStyle w:val="ab"/>
              <w:numPr>
                <w:ilvl w:val="0"/>
                <w:numId w:val="4"/>
              </w:num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EE6B78">
              <w:rPr>
                <w:rFonts w:ascii="Sakkal Majalla" w:hAnsi="Sakkal Majalla" w:cs="Sakkal Majalla"/>
                <w:b/>
                <w:bCs/>
                <w:sz w:val="28"/>
                <w:szCs w:val="28"/>
                <w:rtl/>
              </w:rPr>
              <w:t>رضا أصحاب المصلحة.</w:t>
            </w:r>
          </w:p>
          <w:p w14:paraId="0FFBE699" w14:textId="77777777" w:rsidR="001564D3" w:rsidRPr="00EE6B78" w:rsidRDefault="001564D3" w:rsidP="0065568C">
            <w:pPr>
              <w:pStyle w:val="ab"/>
              <w:numPr>
                <w:ilvl w:val="0"/>
                <w:numId w:val="4"/>
              </w:num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EE6B78">
              <w:rPr>
                <w:rFonts w:ascii="Sakkal Majalla" w:hAnsi="Sakkal Majalla" w:cs="Sakkal Majalla"/>
                <w:b/>
                <w:bCs/>
                <w:sz w:val="28"/>
                <w:szCs w:val="28"/>
                <w:rtl/>
              </w:rPr>
              <w:t>تحقيق نطاق المشروع.</w:t>
            </w:r>
          </w:p>
          <w:p w14:paraId="0153C039" w14:textId="774CE2CE" w:rsidR="001564D3" w:rsidRPr="00EE6B78" w:rsidRDefault="001564D3" w:rsidP="0065568C">
            <w:pPr>
              <w:jc w:val="center"/>
              <w:cnfStyle w:val="000000100000" w:firstRow="0" w:lastRow="0" w:firstColumn="0" w:lastColumn="0" w:oddVBand="0" w:evenVBand="0" w:oddHBand="1" w:evenHBand="0" w:firstRowFirstColumn="0" w:firstRowLastColumn="0" w:lastRowFirstColumn="0" w:lastRowLastColumn="0"/>
              <w:rPr>
                <w:sz w:val="28"/>
                <w:szCs w:val="28"/>
                <w:rtl/>
              </w:rPr>
            </w:pPr>
          </w:p>
        </w:tc>
      </w:tr>
      <w:tr w:rsidR="00A2513D" w:rsidRPr="00EE6B78" w14:paraId="5701281A" w14:textId="77777777" w:rsidTr="0065568C">
        <w:tc>
          <w:tcPr>
            <w:cnfStyle w:val="001000000000" w:firstRow="0" w:lastRow="0" w:firstColumn="1" w:lastColumn="0" w:oddVBand="0" w:evenVBand="0" w:oddHBand="0" w:evenHBand="0" w:firstRowFirstColumn="0" w:firstRowLastColumn="0" w:lastRowFirstColumn="0" w:lastRowLastColumn="0"/>
            <w:tcW w:w="3727" w:type="dxa"/>
            <w:vAlign w:val="center"/>
          </w:tcPr>
          <w:p w14:paraId="7D948A02" w14:textId="77777777" w:rsidR="00A2513D" w:rsidRPr="00EE6B78" w:rsidRDefault="00A2513D" w:rsidP="0065568C">
            <w:pPr>
              <w:jc w:val="center"/>
              <w:rPr>
                <w:b w:val="0"/>
                <w:bCs w:val="0"/>
                <w:sz w:val="28"/>
                <w:szCs w:val="28"/>
                <w:rtl/>
              </w:rPr>
            </w:pPr>
            <w:r w:rsidRPr="00EE6B78">
              <w:rPr>
                <w:rFonts w:hint="cs"/>
                <w:b w:val="0"/>
                <w:bCs w:val="0"/>
                <w:sz w:val="28"/>
                <w:szCs w:val="28"/>
                <w:rtl/>
              </w:rPr>
              <w:t>الحوكمة</w:t>
            </w:r>
          </w:p>
          <w:p w14:paraId="467F5BF9" w14:textId="77777777" w:rsidR="00A2513D" w:rsidRPr="00EE6B78" w:rsidRDefault="00A2513D" w:rsidP="0065568C">
            <w:pPr>
              <w:pStyle w:val="ab"/>
              <w:numPr>
                <w:ilvl w:val="0"/>
                <w:numId w:val="5"/>
              </w:numPr>
              <w:jc w:val="center"/>
              <w:rPr>
                <w:rFonts w:ascii="Sakkal Majalla" w:hAnsi="Sakkal Majalla" w:cs="Sakkal Majalla"/>
                <w:sz w:val="28"/>
                <w:szCs w:val="28"/>
                <w:rtl/>
              </w:rPr>
            </w:pPr>
            <w:r w:rsidRPr="00EE6B78">
              <w:rPr>
                <w:rFonts w:ascii="Sakkal Majalla" w:hAnsi="Sakkal Majalla" w:cs="Sakkal Majalla"/>
                <w:sz w:val="28"/>
                <w:szCs w:val="28"/>
                <w:rtl/>
              </w:rPr>
              <w:t>الشفافية.</w:t>
            </w:r>
          </w:p>
          <w:p w14:paraId="1EF832DB" w14:textId="158BCF2D" w:rsidR="00A2513D" w:rsidRPr="00EE6B78" w:rsidRDefault="00A2513D" w:rsidP="0065568C">
            <w:pPr>
              <w:pStyle w:val="ab"/>
              <w:numPr>
                <w:ilvl w:val="0"/>
                <w:numId w:val="5"/>
              </w:numPr>
              <w:jc w:val="center"/>
              <w:rPr>
                <w:rFonts w:ascii="Sakkal Majalla" w:hAnsi="Sakkal Majalla" w:cs="Sakkal Majalla"/>
                <w:sz w:val="28"/>
                <w:szCs w:val="28"/>
                <w:rtl/>
              </w:rPr>
            </w:pPr>
            <w:r w:rsidRPr="00EE6B78">
              <w:rPr>
                <w:rFonts w:ascii="Sakkal Majalla" w:hAnsi="Sakkal Majalla" w:cs="Sakkal Majalla"/>
                <w:sz w:val="28"/>
                <w:szCs w:val="28"/>
                <w:rtl/>
              </w:rPr>
              <w:t>المساءلة.</w:t>
            </w:r>
          </w:p>
          <w:p w14:paraId="32C3B568" w14:textId="77777777" w:rsidR="00A2513D" w:rsidRPr="00EE6B78" w:rsidRDefault="00A2513D" w:rsidP="0065568C">
            <w:pPr>
              <w:pStyle w:val="ab"/>
              <w:numPr>
                <w:ilvl w:val="0"/>
                <w:numId w:val="5"/>
              </w:numPr>
              <w:jc w:val="center"/>
              <w:rPr>
                <w:rFonts w:ascii="Sakkal Majalla" w:hAnsi="Sakkal Majalla" w:cs="Sakkal Majalla"/>
                <w:sz w:val="28"/>
                <w:szCs w:val="28"/>
                <w:rtl/>
              </w:rPr>
            </w:pPr>
            <w:r w:rsidRPr="00EE6B78">
              <w:rPr>
                <w:rFonts w:ascii="Sakkal Majalla" w:hAnsi="Sakkal Majalla" w:cs="Sakkal Majalla"/>
                <w:sz w:val="28"/>
                <w:szCs w:val="28"/>
                <w:rtl/>
              </w:rPr>
              <w:t>وضوح الأدوار والمسؤوليات.</w:t>
            </w:r>
          </w:p>
          <w:p w14:paraId="191312F4" w14:textId="77777777" w:rsidR="00A2513D" w:rsidRPr="00EE6B78" w:rsidRDefault="00A2513D" w:rsidP="0065568C">
            <w:pPr>
              <w:pStyle w:val="ab"/>
              <w:numPr>
                <w:ilvl w:val="0"/>
                <w:numId w:val="5"/>
              </w:numPr>
              <w:jc w:val="center"/>
              <w:rPr>
                <w:rFonts w:ascii="Sakkal Majalla" w:hAnsi="Sakkal Majalla" w:cs="Sakkal Majalla"/>
                <w:sz w:val="28"/>
                <w:szCs w:val="28"/>
                <w:rtl/>
              </w:rPr>
            </w:pPr>
            <w:r w:rsidRPr="00EE6B78">
              <w:rPr>
                <w:rFonts w:ascii="Sakkal Majalla" w:hAnsi="Sakkal Majalla" w:cs="Sakkal Majalla"/>
                <w:sz w:val="28"/>
                <w:szCs w:val="28"/>
                <w:rtl/>
              </w:rPr>
              <w:t>إدارة المخاطر.</w:t>
            </w:r>
          </w:p>
          <w:p w14:paraId="0BCAC8A6" w14:textId="77777777" w:rsidR="00A2513D" w:rsidRPr="00EE6B78" w:rsidRDefault="00A2513D" w:rsidP="0065568C">
            <w:pPr>
              <w:pStyle w:val="ab"/>
              <w:numPr>
                <w:ilvl w:val="0"/>
                <w:numId w:val="5"/>
              </w:numPr>
              <w:jc w:val="center"/>
              <w:rPr>
                <w:rFonts w:ascii="Sakkal Majalla" w:hAnsi="Sakkal Majalla" w:cs="Sakkal Majalla"/>
                <w:b w:val="0"/>
                <w:bCs w:val="0"/>
                <w:sz w:val="28"/>
                <w:szCs w:val="28"/>
              </w:rPr>
            </w:pPr>
            <w:r w:rsidRPr="00EE6B78">
              <w:rPr>
                <w:rFonts w:ascii="Sakkal Majalla" w:hAnsi="Sakkal Majalla" w:cs="Sakkal Majalla"/>
                <w:sz w:val="28"/>
                <w:szCs w:val="28"/>
                <w:rtl/>
              </w:rPr>
              <w:t>الرقابة واتخاذ القرار.</w:t>
            </w:r>
          </w:p>
          <w:p w14:paraId="3841E598" w14:textId="5B8CC247" w:rsidR="00A2513D" w:rsidRPr="00EE6B78" w:rsidRDefault="00A2513D" w:rsidP="0065568C">
            <w:pPr>
              <w:jc w:val="center"/>
              <w:rPr>
                <w:sz w:val="28"/>
                <w:szCs w:val="28"/>
                <w:rtl/>
              </w:rPr>
            </w:pPr>
          </w:p>
        </w:tc>
        <w:tc>
          <w:tcPr>
            <w:tcW w:w="1417" w:type="dxa"/>
            <w:vAlign w:val="center"/>
          </w:tcPr>
          <w:p w14:paraId="5311C4AF" w14:textId="2F97BA7B" w:rsidR="00A2513D" w:rsidRPr="00EE6B78" w:rsidRDefault="001564D3" w:rsidP="0065568C">
            <w:pPr>
              <w:jc w:val="center"/>
              <w:cnfStyle w:val="000000000000" w:firstRow="0" w:lastRow="0" w:firstColumn="0" w:lastColumn="0" w:oddVBand="0" w:evenVBand="0" w:oddHBand="0" w:evenHBand="0" w:firstRowFirstColumn="0" w:firstRowLastColumn="0" w:lastRowFirstColumn="0" w:lastRowLastColumn="0"/>
              <w:rPr>
                <w:sz w:val="28"/>
                <w:szCs w:val="28"/>
                <w:rtl/>
              </w:rPr>
            </w:pPr>
            <w:r w:rsidRPr="00EE6B78">
              <w:rPr>
                <w:rFonts w:ascii="Sakkal Majalla" w:hAnsi="Sakkal Majalla" w:cs="Sakkal Majalla"/>
                <w:b/>
                <w:bCs/>
                <w:noProof/>
                <w:sz w:val="28"/>
                <w:szCs w:val="28"/>
              </w:rPr>
              <mc:AlternateContent>
                <mc:Choice Requires="wps">
                  <w:drawing>
                    <wp:anchor distT="0" distB="0" distL="114300" distR="114300" simplePos="0" relativeHeight="251672576" behindDoc="0" locked="0" layoutInCell="1" allowOverlap="1" wp14:anchorId="15485A26" wp14:editId="38CA2B93">
                      <wp:simplePos x="0" y="0"/>
                      <wp:positionH relativeFrom="column">
                        <wp:posOffset>167005</wp:posOffset>
                      </wp:positionH>
                      <wp:positionV relativeFrom="paragraph">
                        <wp:posOffset>28575</wp:posOffset>
                      </wp:positionV>
                      <wp:extent cx="419100" cy="139700"/>
                      <wp:effectExtent l="12700" t="12700" r="12700" b="25400"/>
                      <wp:wrapNone/>
                      <wp:docPr id="1401070923" name="سهم لليسار 2"/>
                      <wp:cNvGraphicFramePr/>
                      <a:graphic xmlns:a="http://schemas.openxmlformats.org/drawingml/2006/main">
                        <a:graphicData uri="http://schemas.microsoft.com/office/word/2010/wordprocessingShape">
                          <wps:wsp>
                            <wps:cNvSpPr/>
                            <wps:spPr>
                              <a:xfrm>
                                <a:off x="0" y="0"/>
                                <a:ext cx="419100" cy="13970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8AA17" id="سهم لليسار 2" o:spid="_x0000_s1026" type="#_x0000_t66" style="position:absolute;left:0;text-align:left;margin-left:13.15pt;margin-top:2.25pt;width:33pt;height:1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" adj="3600" fillcolor="#4472c4 [3204]" strokecolor="#09101d [484]" strokeweight="1pt"/>
                  </w:pict>
                </mc:Fallback>
              </mc:AlternateContent>
            </w:r>
          </w:p>
        </w:tc>
        <w:tc>
          <w:tcPr>
            <w:tcW w:w="3678" w:type="dxa"/>
            <w:vMerge/>
            <w:vAlign w:val="center"/>
          </w:tcPr>
          <w:p w14:paraId="6BB3423E" w14:textId="77777777" w:rsidR="00A2513D" w:rsidRPr="00EE6B78" w:rsidRDefault="00A2513D" w:rsidP="0065568C">
            <w:pPr>
              <w:keepNext/>
              <w:jc w:val="center"/>
              <w:cnfStyle w:val="000000000000" w:firstRow="0" w:lastRow="0" w:firstColumn="0" w:lastColumn="0" w:oddVBand="0" w:evenVBand="0" w:oddHBand="0" w:evenHBand="0" w:firstRowFirstColumn="0" w:firstRowLastColumn="0" w:lastRowFirstColumn="0" w:lastRowLastColumn="0"/>
              <w:rPr>
                <w:sz w:val="28"/>
                <w:szCs w:val="28"/>
                <w:rtl/>
              </w:rPr>
            </w:pPr>
          </w:p>
        </w:tc>
      </w:tr>
    </w:tbl>
    <w:p w14:paraId="781ED77E" w14:textId="43CF9E6C" w:rsidR="00037FE3" w:rsidRPr="00037FE3" w:rsidRDefault="00037FE3" w:rsidP="00037FE3">
      <w:pPr>
        <w:rPr>
          <w:rFonts w:ascii="Sakkal Majalla" w:hAnsi="Sakkal Majalla" w:cs="Sakkal Majalla" w:hint="cs"/>
          <w:b/>
          <w:bCs/>
          <w:rtl/>
        </w:rPr>
      </w:pPr>
      <w:r w:rsidRPr="00037FE3">
        <w:rPr>
          <w:rFonts w:ascii="Sakkal Majalla" w:hAnsi="Sakkal Majalla" w:cs="Sakkal Majalla" w:hint="cs"/>
          <w:b/>
          <w:bCs/>
          <w:rtl/>
        </w:rPr>
        <w:t>شكل</w:t>
      </w:r>
      <w:r w:rsidRPr="00037FE3">
        <w:rPr>
          <w:rFonts w:ascii="Sakkal Majalla" w:hAnsi="Sakkal Majalla" w:cs="Sakkal Majalla"/>
          <w:b/>
          <w:bCs/>
          <w:rtl/>
        </w:rPr>
        <w:t xml:space="preserve"> (</w:t>
      </w:r>
      <w:r w:rsidRPr="00037FE3">
        <w:rPr>
          <w:rFonts w:ascii="Sakkal Majalla" w:hAnsi="Sakkal Majalla" w:cs="Sakkal Majalla"/>
          <w:b/>
          <w:bCs/>
        </w:rPr>
        <w:t>1</w:t>
      </w:r>
      <w:r w:rsidRPr="00037FE3">
        <w:rPr>
          <w:rFonts w:ascii="Sakkal Majalla" w:hAnsi="Sakkal Majalla" w:cs="Sakkal Majalla"/>
          <w:b/>
          <w:bCs/>
          <w:rtl/>
        </w:rPr>
        <w:t>-</w:t>
      </w:r>
      <w:r w:rsidRPr="00037FE3">
        <w:rPr>
          <w:rFonts w:ascii="Sakkal Majalla" w:hAnsi="Sakkal Majalla" w:cs="Sakkal Majalla"/>
          <w:b/>
          <w:bCs/>
        </w:rPr>
        <w:t>2</w:t>
      </w:r>
      <w:r w:rsidRPr="00037FE3">
        <w:rPr>
          <w:rFonts w:ascii="Sakkal Majalla" w:hAnsi="Sakkal Majalla" w:cs="Sakkal Majalla"/>
          <w:b/>
          <w:bCs/>
          <w:rtl/>
        </w:rPr>
        <w:t xml:space="preserve">): </w:t>
      </w:r>
      <w:r w:rsidRPr="00037FE3">
        <w:rPr>
          <w:rFonts w:ascii="Sakkal Majalla" w:hAnsi="Sakkal Majalla" w:cs="Sakkal Majalla" w:hint="cs"/>
          <w:b/>
          <w:bCs/>
          <w:rtl/>
        </w:rPr>
        <w:t>النموذج المفاهيمي للدراسة</w:t>
      </w:r>
    </w:p>
    <w:p w14:paraId="6742FD59" w14:textId="2F5175F0" w:rsidR="00195184" w:rsidRPr="00EE6B78" w:rsidRDefault="00195184"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lastRenderedPageBreak/>
        <w:t>ويفترض النموذج وجود أثر مباشر وإيجابي لكل من التحول الرقمي والحوكمة في نجاح المشاريع الحكومية، إلى جانب وجود علاقة إيجابية بين مستوى التحول الرقمي ومستوى تطبيق الحوكمة.</w:t>
      </w:r>
    </w:p>
    <w:p w14:paraId="0FFE2C81" w14:textId="77777777" w:rsidR="00195184" w:rsidRPr="00EE6B78" w:rsidRDefault="00195184" w:rsidP="00EE6B78">
      <w:pPr>
        <w:pStyle w:val="2"/>
        <w:spacing w:line="276" w:lineRule="auto"/>
        <w:rPr>
          <w:sz w:val="32"/>
          <w:szCs w:val="32"/>
          <w:rtl/>
        </w:rPr>
      </w:pPr>
      <w:bookmarkStart w:id="36" w:name="_Toc235215150"/>
      <w:r w:rsidRPr="00EE6B78">
        <w:rPr>
          <w:sz w:val="32"/>
          <w:szCs w:val="32"/>
          <w:rtl/>
        </w:rPr>
        <w:t>2.7 خلاصة الفصل</w:t>
      </w:r>
      <w:bookmarkEnd w:id="36"/>
    </w:p>
    <w:p w14:paraId="24FE1D4B" w14:textId="77777777" w:rsidR="00195184" w:rsidRPr="00EE6B78" w:rsidRDefault="00195184"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استعرض هذا الفصل الدراسات السابقة المتعلقة بالتحول الرقمي والحوكمة ونجاح المشاريع، وأظهرت مراجعتها أن التحول الرقمي يمثل تغييرًا مؤسسيًا وتقنيًا متكاملًا، وأن الحوكمة توفر الإطار التنظيمي الذي يوجه القرارات والموارد والمخاطر، بينما يُعد نجاح المشروع مفهومًا متعدد الأبعاد يتجاوز الوقت والتكلفة.</w:t>
      </w:r>
    </w:p>
    <w:p w14:paraId="5C8D5FDF" w14:textId="5D7811A3" w:rsidR="00345CFE" w:rsidRPr="00EE6B78" w:rsidRDefault="00195184" w:rsidP="00EE6B78">
      <w:pPr>
        <w:spacing w:line="276" w:lineRule="auto"/>
        <w:rPr>
          <w:rFonts w:ascii="Sakkal Majalla" w:hAnsi="Sakkal Majalla" w:cs="Sakkal Majalla"/>
          <w:b/>
          <w:bCs/>
          <w:sz w:val="32"/>
          <w:szCs w:val="32"/>
          <w:rtl/>
        </w:rPr>
      </w:pPr>
      <w:r w:rsidRPr="00EE6B78">
        <w:rPr>
          <w:rFonts w:ascii="Sakkal Majalla" w:hAnsi="Sakkal Majalla" w:cs="Sakkal Majalla"/>
          <w:b/>
          <w:bCs/>
          <w:sz w:val="32"/>
          <w:szCs w:val="32"/>
          <w:rtl/>
        </w:rPr>
        <w:t>كما تناول الفصل المفاهيم والأبعاد النظرية لمتغيرات الدراسة، ووضح العلاقات المتوقعة بينها والفجوة البحثية التي تسعى الدراسة إلى معالجتها. ويشكل هذا الفصل الأساس للانتقال إلى الفصل الثالث الذي يعرض منهجية الدراسة وإجراءاتها الميدانية والإحصائية.</w:t>
      </w:r>
    </w:p>
    <w:p w14:paraId="22D5C5AA" w14:textId="7A13A1AF" w:rsidR="00037FE3" w:rsidRDefault="00037FE3" w:rsidP="00AA0AD4">
      <w:pPr>
        <w:bidi w:val="0"/>
        <w:rPr>
          <w:rFonts w:asciiTheme="majorHAnsi" w:eastAsiaTheme="majorEastAsia" w:hAnsiTheme="majorHAnsi" w:cstheme="majorBidi"/>
          <w:color w:val="2F5496" w:themeColor="accent1" w:themeShade="BF"/>
          <w:sz w:val="32"/>
          <w:szCs w:val="32"/>
          <w:rtl/>
        </w:rPr>
      </w:pPr>
    </w:p>
    <w:sectPr w:rsidR="00037FE3" w:rsidSect="00543293">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3789" w14:textId="77777777" w:rsidR="001D17A4" w:rsidRDefault="001D17A4" w:rsidP="009125CE">
      <w:pPr>
        <w:spacing w:after="0" w:line="240" w:lineRule="auto"/>
      </w:pPr>
      <w:r>
        <w:separator/>
      </w:r>
    </w:p>
  </w:endnote>
  <w:endnote w:type="continuationSeparator" w:id="0">
    <w:p w14:paraId="378BD450" w14:textId="77777777" w:rsidR="001D17A4" w:rsidRDefault="001D17A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e"/>
        <w:rtl/>
      </w:rPr>
      <w:id w:val="2008468143"/>
      <w:docPartObj>
        <w:docPartGallery w:val="Page Numbers (Bottom of Page)"/>
        <w:docPartUnique/>
      </w:docPartObj>
    </w:sdtPr>
    <w:sdtContent>
      <w:p w14:paraId="54184BDA" w14:textId="2A0924F3" w:rsidR="0065568C" w:rsidRDefault="0065568C" w:rsidP="00EE6B78">
        <w:pPr>
          <w:pStyle w:val="a4"/>
          <w:framePr w:wrap="none" w:vAnchor="text" w:hAnchor="text" w:y="1"/>
          <w:rPr>
            <w:rStyle w:val="ae"/>
          </w:rPr>
        </w:pPr>
        <w:r>
          <w:rPr>
            <w:rStyle w:val="ae"/>
            <w:rtl/>
          </w:rPr>
          <w:fldChar w:fldCharType="begin"/>
        </w:r>
        <w:r>
          <w:rPr>
            <w:rStyle w:val="ae"/>
          </w:rPr>
          <w:instrText xml:space="preserve"> PAGE </w:instrText>
        </w:r>
        <w:r>
          <w:rPr>
            <w:rStyle w:val="ae"/>
            <w:rtl/>
          </w:rPr>
          <w:fldChar w:fldCharType="separate"/>
        </w:r>
        <w:r>
          <w:rPr>
            <w:rStyle w:val="ae"/>
            <w:rtl/>
          </w:rPr>
          <w:fldChar w:fldCharType="end"/>
        </w:r>
      </w:p>
    </w:sdtContent>
  </w:sdt>
  <w:p w14:paraId="3BCD7542" w14:textId="77777777" w:rsidR="0065568C" w:rsidRDefault="0065568C" w:rsidP="0065568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BA790" w14:textId="77777777" w:rsidR="00EE6B78" w:rsidRDefault="00EE6B78" w:rsidP="005D4D65">
    <w:pPr>
      <w:tabs>
        <w:tab w:val="center" w:pos="4550"/>
        <w:tab w:val="left" w:pos="5818"/>
      </w:tabs>
      <w:ind w:right="260"/>
      <w:jc w:val="center"/>
      <w:rPr>
        <w:color w:val="222A35" w:themeColor="text2" w:themeShade="80"/>
        <w:sz w:val="24"/>
        <w:szCs w:val="24"/>
      </w:rPr>
    </w:pPr>
    <w:r>
      <w:rPr>
        <w:color w:val="8496B0" w:themeColor="text2" w:themeTint="99"/>
        <w:spacing w:val="60"/>
        <w:sz w:val="24"/>
        <w:szCs w:val="24"/>
        <w:rtl/>
        <w:lang w:val="ar-SA"/>
      </w:rPr>
      <w:t>الصفحة</w:t>
    </w:r>
    <w:r>
      <w:rPr>
        <w:color w:val="8496B0" w:themeColor="text2" w:themeTint="99"/>
        <w:sz w:val="24"/>
        <w:szCs w:val="24"/>
        <w:rtl/>
        <w:lang w:val="ar-SA"/>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color w:val="323E4F" w:themeColor="text2" w:themeShade="BF"/>
        <w:sz w:val="24"/>
        <w:szCs w:val="24"/>
        <w:rtl/>
        <w:lang w:val="ar-SA"/>
      </w:rPr>
      <w:t>1</w:t>
    </w:r>
    <w:r>
      <w:rPr>
        <w:color w:val="323E4F" w:themeColor="text2" w:themeShade="BF"/>
        <w:sz w:val="24"/>
        <w:szCs w:val="24"/>
      </w:rPr>
      <w:fldChar w:fldCharType="end"/>
    </w:r>
    <w:r>
      <w:rPr>
        <w:color w:val="323E4F" w:themeColor="text2" w:themeShade="BF"/>
        <w:sz w:val="24"/>
        <w:szCs w:val="24"/>
        <w:rtl/>
        <w:lang w:val="ar-SA"/>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color w:val="323E4F" w:themeColor="text2" w:themeShade="BF"/>
        <w:sz w:val="24"/>
        <w:szCs w:val="24"/>
        <w:rtl/>
        <w:lang w:val="ar-SA"/>
      </w:rPr>
      <w:t>1</w:t>
    </w:r>
    <w:r>
      <w:rPr>
        <w:color w:val="323E4F" w:themeColor="text2" w:themeShade="BF"/>
        <w:sz w:val="24"/>
        <w:szCs w:val="24"/>
      </w:rPr>
      <w:fldChar w:fldCharType="end"/>
    </w:r>
  </w:p>
  <w:p w14:paraId="6BEA9587" w14:textId="77777777" w:rsidR="0065568C" w:rsidRDefault="0065568C" w:rsidP="0065568C">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494D6" w14:textId="77777777" w:rsidR="001D17A4" w:rsidRDefault="001D17A4" w:rsidP="009125CE">
      <w:pPr>
        <w:spacing w:after="0" w:line="240" w:lineRule="auto"/>
      </w:pPr>
      <w:r>
        <w:separator/>
      </w:r>
    </w:p>
  </w:footnote>
  <w:footnote w:type="continuationSeparator" w:id="0">
    <w:p w14:paraId="212FB393" w14:textId="77777777" w:rsidR="001D17A4" w:rsidRDefault="001D17A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718E"/>
    <w:multiLevelType w:val="hybridMultilevel"/>
    <w:tmpl w:val="24C4E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C2521"/>
    <w:multiLevelType w:val="hybridMultilevel"/>
    <w:tmpl w:val="2658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A1E93"/>
    <w:multiLevelType w:val="hybridMultilevel"/>
    <w:tmpl w:val="289E9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6811C4"/>
    <w:multiLevelType w:val="hybridMultilevel"/>
    <w:tmpl w:val="8B7A6B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133EE5"/>
    <w:multiLevelType w:val="hybridMultilevel"/>
    <w:tmpl w:val="0C1E34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83C89"/>
    <w:multiLevelType w:val="hybridMultilevel"/>
    <w:tmpl w:val="2B9A1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B1363"/>
    <w:multiLevelType w:val="hybridMultilevel"/>
    <w:tmpl w:val="FF783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6B60EA"/>
    <w:multiLevelType w:val="hybridMultilevel"/>
    <w:tmpl w:val="9D6600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AD44E2"/>
    <w:multiLevelType w:val="hybridMultilevel"/>
    <w:tmpl w:val="9C225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364627"/>
    <w:multiLevelType w:val="hybridMultilevel"/>
    <w:tmpl w:val="1890C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C17CB1"/>
    <w:multiLevelType w:val="hybridMultilevel"/>
    <w:tmpl w:val="D608AF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8C78A7"/>
    <w:multiLevelType w:val="hybridMultilevel"/>
    <w:tmpl w:val="D65E6D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757A1F"/>
    <w:multiLevelType w:val="hybridMultilevel"/>
    <w:tmpl w:val="A0020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D3486B"/>
    <w:multiLevelType w:val="hybridMultilevel"/>
    <w:tmpl w:val="0450C9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2C2F14"/>
    <w:multiLevelType w:val="hybridMultilevel"/>
    <w:tmpl w:val="139498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22E7E11"/>
    <w:multiLevelType w:val="hybridMultilevel"/>
    <w:tmpl w:val="531CC4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CF720B"/>
    <w:multiLevelType w:val="hybridMultilevel"/>
    <w:tmpl w:val="B20AA6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D6456B"/>
    <w:multiLevelType w:val="hybridMultilevel"/>
    <w:tmpl w:val="A6B27A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9513CA"/>
    <w:multiLevelType w:val="hybridMultilevel"/>
    <w:tmpl w:val="BCDA83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777DE2"/>
    <w:multiLevelType w:val="hybridMultilevel"/>
    <w:tmpl w:val="AEE038C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4C73F6D"/>
    <w:multiLevelType w:val="hybridMultilevel"/>
    <w:tmpl w:val="E0F6F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222CED"/>
    <w:multiLevelType w:val="hybridMultilevel"/>
    <w:tmpl w:val="81144D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985C9F"/>
    <w:multiLevelType w:val="hybridMultilevel"/>
    <w:tmpl w:val="14241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BA6E1D"/>
    <w:multiLevelType w:val="hybridMultilevel"/>
    <w:tmpl w:val="6FBAC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066F27"/>
    <w:multiLevelType w:val="hybridMultilevel"/>
    <w:tmpl w:val="0A0497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5667803">
    <w:abstractNumId w:val="12"/>
  </w:num>
  <w:num w:numId="2" w16cid:durableId="201677792">
    <w:abstractNumId w:val="19"/>
  </w:num>
  <w:num w:numId="3" w16cid:durableId="2025863393">
    <w:abstractNumId w:val="15"/>
  </w:num>
  <w:num w:numId="4" w16cid:durableId="617756520">
    <w:abstractNumId w:val="10"/>
  </w:num>
  <w:num w:numId="5" w16cid:durableId="1378241662">
    <w:abstractNumId w:val="11"/>
  </w:num>
  <w:num w:numId="6" w16cid:durableId="150559012">
    <w:abstractNumId w:val="4"/>
  </w:num>
  <w:num w:numId="7" w16cid:durableId="1885021262">
    <w:abstractNumId w:val="3"/>
  </w:num>
  <w:num w:numId="8" w16cid:durableId="2016413885">
    <w:abstractNumId w:val="21"/>
  </w:num>
  <w:num w:numId="9" w16cid:durableId="108134555">
    <w:abstractNumId w:val="16"/>
  </w:num>
  <w:num w:numId="10" w16cid:durableId="1393118786">
    <w:abstractNumId w:val="1"/>
  </w:num>
  <w:num w:numId="11" w16cid:durableId="145780571">
    <w:abstractNumId w:val="7"/>
  </w:num>
  <w:num w:numId="12" w16cid:durableId="1989895954">
    <w:abstractNumId w:val="18"/>
  </w:num>
  <w:num w:numId="13" w16cid:durableId="585381200">
    <w:abstractNumId w:val="24"/>
  </w:num>
  <w:num w:numId="14" w16cid:durableId="2135588684">
    <w:abstractNumId w:val="17"/>
  </w:num>
  <w:num w:numId="15" w16cid:durableId="930049590">
    <w:abstractNumId w:val="13"/>
  </w:num>
  <w:num w:numId="16" w16cid:durableId="1216428789">
    <w:abstractNumId w:val="14"/>
  </w:num>
  <w:num w:numId="17" w16cid:durableId="136846527">
    <w:abstractNumId w:val="22"/>
  </w:num>
  <w:num w:numId="18" w16cid:durableId="1053622584">
    <w:abstractNumId w:val="20"/>
  </w:num>
  <w:num w:numId="19" w16cid:durableId="1813596439">
    <w:abstractNumId w:val="6"/>
  </w:num>
  <w:num w:numId="20" w16cid:durableId="666596169">
    <w:abstractNumId w:val="5"/>
  </w:num>
  <w:num w:numId="21" w16cid:durableId="969017595">
    <w:abstractNumId w:val="9"/>
  </w:num>
  <w:num w:numId="22" w16cid:durableId="1121458737">
    <w:abstractNumId w:val="2"/>
  </w:num>
  <w:num w:numId="23" w16cid:durableId="1177889297">
    <w:abstractNumId w:val="23"/>
  </w:num>
  <w:num w:numId="24" w16cid:durableId="400955920">
    <w:abstractNumId w:val="0"/>
  </w:num>
  <w:num w:numId="25" w16cid:durableId="18603113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3325"/>
    <w:rsid w:val="00037FE3"/>
    <w:rsid w:val="00090F21"/>
    <w:rsid w:val="000F44B4"/>
    <w:rsid w:val="001564D3"/>
    <w:rsid w:val="001902DB"/>
    <w:rsid w:val="00195184"/>
    <w:rsid w:val="00195563"/>
    <w:rsid w:val="001C2162"/>
    <w:rsid w:val="001D17A4"/>
    <w:rsid w:val="00271610"/>
    <w:rsid w:val="002A294A"/>
    <w:rsid w:val="003045FF"/>
    <w:rsid w:val="0033278E"/>
    <w:rsid w:val="00345CFE"/>
    <w:rsid w:val="003677E2"/>
    <w:rsid w:val="00375751"/>
    <w:rsid w:val="0037612C"/>
    <w:rsid w:val="003958CF"/>
    <w:rsid w:val="003C6C97"/>
    <w:rsid w:val="003E70FB"/>
    <w:rsid w:val="004163C7"/>
    <w:rsid w:val="00433603"/>
    <w:rsid w:val="0043393C"/>
    <w:rsid w:val="0046363B"/>
    <w:rsid w:val="005242CE"/>
    <w:rsid w:val="00531BB5"/>
    <w:rsid w:val="00543293"/>
    <w:rsid w:val="00547C56"/>
    <w:rsid w:val="005C3CE0"/>
    <w:rsid w:val="005D4D65"/>
    <w:rsid w:val="005E6817"/>
    <w:rsid w:val="0065568C"/>
    <w:rsid w:val="006878B6"/>
    <w:rsid w:val="006948DE"/>
    <w:rsid w:val="006A4505"/>
    <w:rsid w:val="00712B0A"/>
    <w:rsid w:val="00741A94"/>
    <w:rsid w:val="007B0E54"/>
    <w:rsid w:val="007E3A20"/>
    <w:rsid w:val="007F1585"/>
    <w:rsid w:val="00877AAC"/>
    <w:rsid w:val="00884AD1"/>
    <w:rsid w:val="00896FE4"/>
    <w:rsid w:val="008F0640"/>
    <w:rsid w:val="008F1EAE"/>
    <w:rsid w:val="009125CE"/>
    <w:rsid w:val="00930C7D"/>
    <w:rsid w:val="00946F5F"/>
    <w:rsid w:val="009B6888"/>
    <w:rsid w:val="009C0161"/>
    <w:rsid w:val="009C6020"/>
    <w:rsid w:val="009D108D"/>
    <w:rsid w:val="009E1436"/>
    <w:rsid w:val="009E5668"/>
    <w:rsid w:val="00A2513D"/>
    <w:rsid w:val="00A40D8E"/>
    <w:rsid w:val="00A74EE8"/>
    <w:rsid w:val="00A97B97"/>
    <w:rsid w:val="00AA0AD4"/>
    <w:rsid w:val="00AA79E9"/>
    <w:rsid w:val="00AB0A70"/>
    <w:rsid w:val="00B63B0F"/>
    <w:rsid w:val="00B66695"/>
    <w:rsid w:val="00B7678A"/>
    <w:rsid w:val="00BC094B"/>
    <w:rsid w:val="00BC0E91"/>
    <w:rsid w:val="00BF7EED"/>
    <w:rsid w:val="00C3023B"/>
    <w:rsid w:val="00C34833"/>
    <w:rsid w:val="00C72744"/>
    <w:rsid w:val="00CB2A44"/>
    <w:rsid w:val="00CB5E51"/>
    <w:rsid w:val="00CE799F"/>
    <w:rsid w:val="00D04F62"/>
    <w:rsid w:val="00D22171"/>
    <w:rsid w:val="00D32FB9"/>
    <w:rsid w:val="00D52480"/>
    <w:rsid w:val="00D74939"/>
    <w:rsid w:val="00DB2ECC"/>
    <w:rsid w:val="00E44CC7"/>
    <w:rsid w:val="00E5611B"/>
    <w:rsid w:val="00E80FD9"/>
    <w:rsid w:val="00E83EEB"/>
    <w:rsid w:val="00EE6B78"/>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327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3327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3327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33278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3C6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33278E"/>
    <w:rPr>
      <w:rFonts w:asciiTheme="majorHAnsi" w:eastAsiaTheme="majorEastAsia" w:hAnsiTheme="majorHAnsi" w:cstheme="majorBidi"/>
      <w:color w:val="2F5496" w:themeColor="accent1" w:themeShade="BF"/>
      <w:sz w:val="32"/>
      <w:szCs w:val="32"/>
    </w:rPr>
  </w:style>
  <w:style w:type="paragraph" w:styleId="a6">
    <w:name w:val="TOC Heading"/>
    <w:basedOn w:val="a"/>
    <w:next w:val="a"/>
    <w:uiPriority w:val="39"/>
    <w:unhideWhenUsed/>
    <w:qFormat/>
    <w:rsid w:val="0033278E"/>
    <w:pPr>
      <w:keepNext/>
      <w:keepLines/>
      <w:spacing w:before="480" w:after="0" w:line="276" w:lineRule="auto"/>
    </w:pPr>
    <w:rPr>
      <w:rFonts w:asciiTheme="majorHAnsi" w:eastAsiaTheme="majorEastAsia" w:hAnsiTheme="majorHAnsi" w:cstheme="majorBidi"/>
      <w:b/>
      <w:bCs/>
      <w:color w:val="2F5496" w:themeColor="accent1" w:themeShade="BF"/>
      <w:kern w:val="0"/>
      <w:sz w:val="28"/>
      <w:szCs w:val="28"/>
      <w:rtl/>
      <w14:ligatures w14:val="none"/>
    </w:rPr>
  </w:style>
  <w:style w:type="paragraph" w:styleId="10">
    <w:name w:val="toc 1"/>
    <w:basedOn w:val="a"/>
    <w:next w:val="a"/>
    <w:autoRedefine/>
    <w:uiPriority w:val="39"/>
    <w:unhideWhenUsed/>
    <w:rsid w:val="0033278E"/>
    <w:pPr>
      <w:spacing w:before="240" w:after="120"/>
    </w:pPr>
    <w:rPr>
      <w:rFonts w:cstheme="minorHAnsi"/>
      <w:b/>
      <w:bCs/>
      <w:sz w:val="20"/>
      <w:szCs w:val="24"/>
    </w:rPr>
  </w:style>
  <w:style w:type="paragraph" w:styleId="20">
    <w:name w:val="toc 2"/>
    <w:basedOn w:val="a"/>
    <w:next w:val="a"/>
    <w:autoRedefine/>
    <w:uiPriority w:val="39"/>
    <w:unhideWhenUsed/>
    <w:rsid w:val="0033278E"/>
    <w:pPr>
      <w:spacing w:before="120" w:after="0"/>
      <w:ind w:left="220"/>
    </w:pPr>
    <w:rPr>
      <w:rFonts w:cstheme="minorHAnsi"/>
      <w:i/>
      <w:iCs/>
      <w:sz w:val="20"/>
      <w:szCs w:val="24"/>
    </w:rPr>
  </w:style>
  <w:style w:type="paragraph" w:styleId="30">
    <w:name w:val="toc 3"/>
    <w:basedOn w:val="a"/>
    <w:next w:val="a"/>
    <w:autoRedefine/>
    <w:uiPriority w:val="39"/>
    <w:unhideWhenUsed/>
    <w:rsid w:val="0033278E"/>
    <w:pPr>
      <w:spacing w:after="0"/>
      <w:ind w:left="440"/>
    </w:pPr>
    <w:rPr>
      <w:rFonts w:cstheme="minorHAnsi"/>
      <w:sz w:val="20"/>
      <w:szCs w:val="24"/>
    </w:rPr>
  </w:style>
  <w:style w:type="paragraph" w:styleId="40">
    <w:name w:val="toc 4"/>
    <w:basedOn w:val="a"/>
    <w:next w:val="a"/>
    <w:autoRedefine/>
    <w:uiPriority w:val="39"/>
    <w:unhideWhenUsed/>
    <w:rsid w:val="0033278E"/>
    <w:pPr>
      <w:spacing w:after="0"/>
      <w:ind w:left="660"/>
    </w:pPr>
    <w:rPr>
      <w:rFonts w:cstheme="minorHAnsi"/>
      <w:sz w:val="20"/>
      <w:szCs w:val="24"/>
    </w:rPr>
  </w:style>
  <w:style w:type="paragraph" w:styleId="5">
    <w:name w:val="toc 5"/>
    <w:basedOn w:val="a"/>
    <w:next w:val="a"/>
    <w:autoRedefine/>
    <w:uiPriority w:val="39"/>
    <w:unhideWhenUsed/>
    <w:rsid w:val="0033278E"/>
    <w:pPr>
      <w:spacing w:after="0"/>
      <w:ind w:left="880"/>
    </w:pPr>
    <w:rPr>
      <w:rFonts w:cstheme="minorHAnsi"/>
      <w:sz w:val="20"/>
      <w:szCs w:val="24"/>
    </w:rPr>
  </w:style>
  <w:style w:type="paragraph" w:styleId="6">
    <w:name w:val="toc 6"/>
    <w:basedOn w:val="a"/>
    <w:next w:val="a"/>
    <w:autoRedefine/>
    <w:uiPriority w:val="39"/>
    <w:unhideWhenUsed/>
    <w:rsid w:val="0033278E"/>
    <w:pPr>
      <w:spacing w:after="0"/>
      <w:ind w:left="1100"/>
    </w:pPr>
    <w:rPr>
      <w:rFonts w:cstheme="minorHAnsi"/>
      <w:sz w:val="20"/>
      <w:szCs w:val="24"/>
    </w:rPr>
  </w:style>
  <w:style w:type="paragraph" w:styleId="7">
    <w:name w:val="toc 7"/>
    <w:basedOn w:val="a"/>
    <w:next w:val="a"/>
    <w:autoRedefine/>
    <w:uiPriority w:val="39"/>
    <w:unhideWhenUsed/>
    <w:rsid w:val="0033278E"/>
    <w:pPr>
      <w:spacing w:after="0"/>
      <w:ind w:left="1320"/>
    </w:pPr>
    <w:rPr>
      <w:rFonts w:cstheme="minorHAnsi"/>
      <w:sz w:val="20"/>
      <w:szCs w:val="24"/>
    </w:rPr>
  </w:style>
  <w:style w:type="paragraph" w:styleId="8">
    <w:name w:val="toc 8"/>
    <w:basedOn w:val="a"/>
    <w:next w:val="a"/>
    <w:autoRedefine/>
    <w:uiPriority w:val="39"/>
    <w:unhideWhenUsed/>
    <w:rsid w:val="0033278E"/>
    <w:pPr>
      <w:spacing w:after="0"/>
      <w:ind w:left="1540"/>
    </w:pPr>
    <w:rPr>
      <w:rFonts w:cstheme="minorHAnsi"/>
      <w:sz w:val="20"/>
      <w:szCs w:val="24"/>
    </w:rPr>
  </w:style>
  <w:style w:type="paragraph" w:styleId="9">
    <w:name w:val="toc 9"/>
    <w:basedOn w:val="a"/>
    <w:next w:val="a"/>
    <w:autoRedefine/>
    <w:uiPriority w:val="39"/>
    <w:unhideWhenUsed/>
    <w:rsid w:val="0033278E"/>
    <w:pPr>
      <w:spacing w:after="0"/>
      <w:ind w:left="1760"/>
    </w:pPr>
    <w:rPr>
      <w:rFonts w:cstheme="minorHAnsi"/>
      <w:sz w:val="20"/>
      <w:szCs w:val="24"/>
    </w:rPr>
  </w:style>
  <w:style w:type="character" w:customStyle="1" w:styleId="2Char">
    <w:name w:val="عنوان 2 Char"/>
    <w:basedOn w:val="a0"/>
    <w:link w:val="2"/>
    <w:uiPriority w:val="9"/>
    <w:rsid w:val="0033278E"/>
    <w:rPr>
      <w:rFonts w:asciiTheme="majorHAnsi" w:eastAsiaTheme="majorEastAsia" w:hAnsiTheme="majorHAnsi" w:cstheme="majorBidi"/>
      <w:color w:val="2F5496" w:themeColor="accent1" w:themeShade="BF"/>
      <w:sz w:val="26"/>
      <w:szCs w:val="26"/>
    </w:rPr>
  </w:style>
  <w:style w:type="character" w:styleId="Hyperlink">
    <w:name w:val="Hyperlink"/>
    <w:basedOn w:val="a0"/>
    <w:uiPriority w:val="99"/>
    <w:unhideWhenUsed/>
    <w:rsid w:val="0033278E"/>
    <w:rPr>
      <w:color w:val="0563C1" w:themeColor="hyperlink"/>
      <w:u w:val="single"/>
    </w:rPr>
  </w:style>
  <w:style w:type="character" w:customStyle="1" w:styleId="3Char">
    <w:name w:val="عنوان 3 Char"/>
    <w:basedOn w:val="a0"/>
    <w:link w:val="3"/>
    <w:uiPriority w:val="9"/>
    <w:rsid w:val="0033278E"/>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rsid w:val="0033278E"/>
    <w:rPr>
      <w:rFonts w:asciiTheme="majorHAnsi" w:eastAsiaTheme="majorEastAsia" w:hAnsiTheme="majorHAnsi" w:cstheme="majorBidi"/>
      <w:i/>
      <w:iCs/>
      <w:color w:val="2F5496" w:themeColor="accent1" w:themeShade="BF"/>
    </w:rPr>
  </w:style>
  <w:style w:type="character" w:styleId="a7">
    <w:name w:val="Unresolved Mention"/>
    <w:basedOn w:val="a0"/>
    <w:uiPriority w:val="99"/>
    <w:semiHidden/>
    <w:unhideWhenUsed/>
    <w:rsid w:val="00433603"/>
    <w:rPr>
      <w:color w:val="605E5C"/>
      <w:shd w:val="clear" w:color="auto" w:fill="E1DFDD"/>
    </w:rPr>
  </w:style>
  <w:style w:type="paragraph" w:customStyle="1" w:styleId="pdq2pgselectionanchorcontainer">
    <w:name w:val="pdq2pg_selectionanchorcontainer"/>
    <w:basedOn w:val="a"/>
    <w:rsid w:val="00741A9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8">
    <w:name w:val="Normal (Web)"/>
    <w:basedOn w:val="a"/>
    <w:uiPriority w:val="99"/>
    <w:semiHidden/>
    <w:unhideWhenUsed/>
    <w:rsid w:val="00741A9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741A94"/>
    <w:rPr>
      <w:b/>
      <w:bCs/>
    </w:rPr>
  </w:style>
  <w:style w:type="character" w:customStyle="1" w:styleId="apple-converted-space">
    <w:name w:val="apple-converted-space"/>
    <w:basedOn w:val="a0"/>
    <w:rsid w:val="00741A94"/>
  </w:style>
  <w:style w:type="paragraph" w:styleId="aa">
    <w:name w:val="Revision"/>
    <w:hidden/>
    <w:uiPriority w:val="99"/>
    <w:semiHidden/>
    <w:rsid w:val="00BF7EED"/>
    <w:pPr>
      <w:spacing w:after="0" w:line="240" w:lineRule="auto"/>
    </w:pPr>
  </w:style>
  <w:style w:type="paragraph" w:styleId="ab">
    <w:name w:val="List Paragraph"/>
    <w:basedOn w:val="a"/>
    <w:uiPriority w:val="34"/>
    <w:qFormat/>
    <w:rsid w:val="00A2513D"/>
    <w:pPr>
      <w:ind w:left="720"/>
      <w:contextualSpacing/>
    </w:pPr>
  </w:style>
  <w:style w:type="paragraph" w:styleId="ac">
    <w:name w:val="caption"/>
    <w:basedOn w:val="a"/>
    <w:next w:val="a"/>
    <w:uiPriority w:val="35"/>
    <w:unhideWhenUsed/>
    <w:qFormat/>
    <w:rsid w:val="001564D3"/>
    <w:pPr>
      <w:spacing w:after="200" w:line="240" w:lineRule="auto"/>
    </w:pPr>
    <w:rPr>
      <w:i/>
      <w:iCs/>
      <w:color w:val="44546A" w:themeColor="text2"/>
      <w:sz w:val="18"/>
      <w:szCs w:val="18"/>
    </w:rPr>
  </w:style>
  <w:style w:type="paragraph" w:styleId="ad">
    <w:name w:val="table of figures"/>
    <w:basedOn w:val="a"/>
    <w:next w:val="a"/>
    <w:uiPriority w:val="99"/>
    <w:unhideWhenUsed/>
    <w:rsid w:val="002A294A"/>
    <w:pPr>
      <w:spacing w:after="0"/>
    </w:pPr>
  </w:style>
  <w:style w:type="character" w:styleId="ae">
    <w:name w:val="page number"/>
    <w:basedOn w:val="a0"/>
    <w:uiPriority w:val="99"/>
    <w:semiHidden/>
    <w:unhideWhenUsed/>
    <w:rsid w:val="0065568C"/>
  </w:style>
  <w:style w:type="table" w:styleId="4-1">
    <w:name w:val="Grid Table 4 Accent 1"/>
    <w:basedOn w:val="a1"/>
    <w:uiPriority w:val="49"/>
    <w:rsid w:val="0065568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af">
    <w:name w:val="Emphasis"/>
    <w:basedOn w:val="a0"/>
    <w:uiPriority w:val="20"/>
    <w:qFormat/>
    <w:rsid w:val="00BC0E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BB208-E80A-6141-B358-36B3A98BF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5251</Words>
  <Characters>29934</Characters>
  <Application>Microsoft Office Word</Application>
  <DocSecurity>0</DocSecurity>
  <Lines>249</Lines>
  <Paragraphs>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Eidhah</cp:lastModifiedBy>
  <cp:revision>2</cp:revision>
  <cp:lastPrinted>2026-07-17T18:12:00Z</cp:lastPrinted>
  <dcterms:created xsi:type="dcterms:W3CDTF">2026-07-17T18:18:00Z</dcterms:created>
  <dcterms:modified xsi:type="dcterms:W3CDTF">2026-07-17T18:18:00Z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