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4B6AF8" w:rsidRDefault="009125CE" w:rsidP="00EA4A46">
      <w:pPr>
        <w:spacing w:line="360" w:lineRule="auto"/>
        <w:ind w:left="360"/>
        <w:jc w:val="both"/>
        <w:rPr>
          <w:rFonts w:asciiTheme="majorBidi" w:hAnsiTheme="majorBidi" w:cstheme="majorBidi"/>
          <w:color w:val="000000" w:themeColor="text1"/>
          <w:sz w:val="24"/>
          <w:szCs w:val="24"/>
          <w:rtl/>
          <w:lang w:bidi="ar-EG"/>
        </w:rPr>
      </w:pPr>
      <w:r w:rsidRPr="004B6AF8">
        <w:rPr>
          <w:rFonts w:asciiTheme="majorBidi" w:hAnsiTheme="majorBidi" w:cstheme="majorBidi"/>
          <w:color w:val="000000" w:themeColor="text1"/>
          <w:sz w:val="24"/>
          <w:szCs w:val="24"/>
          <w:rtl/>
          <w:lang w:bidi="ar-EG"/>
        </w:rPr>
        <w:t xml:space="preserve">جامعة </w:t>
      </w:r>
      <w:proofErr w:type="spellStart"/>
      <w:r w:rsidRPr="004B6AF8">
        <w:rPr>
          <w:rFonts w:asciiTheme="majorBidi" w:hAnsiTheme="majorBidi" w:cstheme="majorBidi"/>
          <w:color w:val="000000" w:themeColor="text1"/>
          <w:sz w:val="24"/>
          <w:szCs w:val="24"/>
          <w:rtl/>
          <w:lang w:bidi="ar-EG"/>
        </w:rPr>
        <w:t>ميدأوشن</w:t>
      </w:r>
      <w:proofErr w:type="spellEnd"/>
      <w:r w:rsidRPr="004B6AF8">
        <w:rPr>
          <w:rFonts w:asciiTheme="majorBidi" w:hAnsiTheme="majorBidi" w:cstheme="majorBidi"/>
          <w:color w:val="000000" w:themeColor="text1"/>
          <w:sz w:val="24"/>
          <w:szCs w:val="24"/>
          <w:rtl/>
          <w:lang w:bidi="ar-EG"/>
        </w:rPr>
        <w:t xml:space="preserve"> </w:t>
      </w:r>
    </w:p>
    <w:p w14:paraId="1E957002" w14:textId="04B27A9D" w:rsidR="00F546CE" w:rsidRPr="004B6AF8" w:rsidRDefault="009125CE" w:rsidP="00EA4A46">
      <w:pPr>
        <w:spacing w:line="360" w:lineRule="auto"/>
        <w:ind w:left="360"/>
        <w:jc w:val="both"/>
        <w:rPr>
          <w:rFonts w:asciiTheme="majorBidi" w:hAnsiTheme="majorBidi" w:cstheme="majorBidi"/>
          <w:color w:val="000000" w:themeColor="text1"/>
          <w:sz w:val="24"/>
          <w:szCs w:val="24"/>
          <w:rtl/>
          <w:lang w:bidi="ar-EG"/>
        </w:rPr>
      </w:pPr>
      <w:r w:rsidRPr="004B6AF8">
        <w:rPr>
          <w:rFonts w:asciiTheme="majorBidi" w:hAnsiTheme="majorBidi" w:cstheme="majorBidi"/>
          <w:noProof/>
          <w:sz w:val="24"/>
          <w:szCs w:val="24"/>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4B6AF8">
        <w:rPr>
          <w:rFonts w:asciiTheme="majorBidi" w:hAnsiTheme="majorBidi" w:cstheme="majorBidi"/>
          <w:color w:val="000000" w:themeColor="text1"/>
          <w:sz w:val="24"/>
          <w:szCs w:val="24"/>
          <w:lang w:bidi="ar-EG"/>
        </w:rPr>
        <w:t xml:space="preserve">    </w:t>
      </w:r>
      <w:r w:rsidRPr="004B6AF8">
        <w:rPr>
          <w:rFonts w:asciiTheme="majorBidi" w:hAnsiTheme="majorBidi" w:cstheme="majorBidi"/>
          <w:color w:val="000000" w:themeColor="text1"/>
          <w:sz w:val="24"/>
          <w:szCs w:val="24"/>
          <w:rtl/>
          <w:lang w:bidi="ar-EG"/>
        </w:rPr>
        <w:t xml:space="preserve">كلية الإدارة </w:t>
      </w:r>
    </w:p>
    <w:p w14:paraId="2EAE6DBB" w14:textId="77777777" w:rsidR="00CF7571" w:rsidRPr="00CF7571" w:rsidRDefault="00CF7571" w:rsidP="00CF7571">
      <w:pPr>
        <w:spacing w:line="360" w:lineRule="auto"/>
        <w:jc w:val="both"/>
        <w:rPr>
          <w:rFonts w:asciiTheme="majorBidi" w:eastAsia="Calibri" w:hAnsiTheme="majorBidi" w:cstheme="majorBidi"/>
          <w:b/>
          <w:bCs/>
          <w:sz w:val="24"/>
          <w:szCs w:val="24"/>
        </w:rPr>
      </w:pPr>
      <w:r w:rsidRPr="00CF7571">
        <w:rPr>
          <w:rFonts w:asciiTheme="majorBidi" w:eastAsia="Calibri" w:hAnsiTheme="majorBidi" w:cstheme="majorBidi"/>
          <w:b/>
          <w:bCs/>
          <w:sz w:val="24"/>
          <w:szCs w:val="24"/>
          <w:rtl/>
          <w:lang w:bidi="ar-EG"/>
        </w:rPr>
        <w:t xml:space="preserve">ماجستير </w:t>
      </w:r>
      <w:proofErr w:type="spellStart"/>
      <w:r w:rsidRPr="00CF7571">
        <w:rPr>
          <w:rFonts w:asciiTheme="majorBidi" w:eastAsia="Calibri" w:hAnsiTheme="majorBidi" w:cstheme="majorBidi"/>
          <w:b/>
          <w:bCs/>
          <w:sz w:val="24"/>
          <w:szCs w:val="24"/>
          <w:rtl/>
          <w:lang w:bidi="ar-EG"/>
        </w:rPr>
        <w:t>ادارة</w:t>
      </w:r>
      <w:proofErr w:type="spellEnd"/>
      <w:r w:rsidRPr="00CF7571">
        <w:rPr>
          <w:rFonts w:asciiTheme="majorBidi" w:eastAsia="Calibri" w:hAnsiTheme="majorBidi" w:cstheme="majorBidi"/>
          <w:b/>
          <w:bCs/>
          <w:sz w:val="24"/>
          <w:szCs w:val="24"/>
          <w:rtl/>
          <w:lang w:bidi="ar-EG"/>
        </w:rPr>
        <w:t xml:space="preserve"> العقارية</w:t>
      </w:r>
    </w:p>
    <w:p w14:paraId="65758DA0" w14:textId="77777777" w:rsidR="007066DD" w:rsidRPr="004B6AF8" w:rsidRDefault="007066DD" w:rsidP="00EA4A46">
      <w:pPr>
        <w:spacing w:line="360" w:lineRule="auto"/>
        <w:jc w:val="both"/>
        <w:rPr>
          <w:rFonts w:asciiTheme="majorBidi" w:hAnsiTheme="majorBidi" w:cstheme="majorBidi"/>
          <w:color w:val="000000" w:themeColor="text1"/>
          <w:sz w:val="24"/>
          <w:szCs w:val="24"/>
          <w:rtl/>
        </w:rPr>
      </w:pPr>
    </w:p>
    <w:p w14:paraId="6B722817" w14:textId="77777777" w:rsidR="00B1496E" w:rsidRPr="004B6AF8" w:rsidRDefault="00B1496E" w:rsidP="00EA4A46">
      <w:pPr>
        <w:spacing w:line="360" w:lineRule="auto"/>
        <w:ind w:left="360"/>
        <w:jc w:val="both"/>
        <w:rPr>
          <w:rFonts w:asciiTheme="majorBidi" w:hAnsiTheme="majorBidi" w:cstheme="majorBidi"/>
          <w:color w:val="000000" w:themeColor="text1"/>
          <w:sz w:val="24"/>
          <w:szCs w:val="24"/>
          <w:rtl/>
          <w:lang w:bidi="ar-EG"/>
        </w:rPr>
      </w:pPr>
    </w:p>
    <w:p w14:paraId="26BCD122" w14:textId="62C4F950" w:rsidR="00EA4A46" w:rsidRDefault="00CF7571" w:rsidP="00CF7571">
      <w:pPr>
        <w:spacing w:before="80" w:after="80" w:line="360" w:lineRule="auto"/>
        <w:jc w:val="center"/>
        <w:rPr>
          <w:rFonts w:asciiTheme="majorBidi" w:eastAsia="Times New Roman" w:hAnsiTheme="majorBidi" w:cstheme="majorBidi"/>
          <w:kern w:val="0"/>
          <w:sz w:val="24"/>
          <w:szCs w:val="24"/>
          <w:rtl/>
          <w14:ligatures w14:val="none"/>
        </w:rPr>
      </w:pPr>
      <w:r w:rsidRPr="00CF7571">
        <w:rPr>
          <w:rFonts w:asciiTheme="majorBidi" w:eastAsia="Times New Roman" w:hAnsiTheme="majorBidi" w:cstheme="majorBidi"/>
          <w:b/>
          <w:bCs/>
          <w:kern w:val="0"/>
          <w:sz w:val="32"/>
          <w:szCs w:val="32"/>
          <w:rtl/>
          <w14:ligatures w14:val="none"/>
        </w:rPr>
        <w:t>دور التطوير العقاري اللوجستي في دعم مستهدفات رؤية السعودية 2030: دراسة تطبيقية على مدينة الرياض</w:t>
      </w:r>
    </w:p>
    <w:p w14:paraId="79DA4E42" w14:textId="15102088" w:rsidR="007066DD" w:rsidRPr="004B6AF8" w:rsidRDefault="007066DD" w:rsidP="00EA4A46">
      <w:pPr>
        <w:spacing w:before="80" w:after="80" w:line="360" w:lineRule="auto"/>
        <w:jc w:val="center"/>
        <w:rPr>
          <w:rFonts w:asciiTheme="majorBidi" w:eastAsia="Times New Roman" w:hAnsiTheme="majorBidi" w:cstheme="majorBidi"/>
          <w:kern w:val="0"/>
          <w:sz w:val="24"/>
          <w:szCs w:val="24"/>
          <w:rtl/>
          <w14:ligatures w14:val="none"/>
        </w:rPr>
      </w:pPr>
      <w:r w:rsidRPr="004B6AF8">
        <w:rPr>
          <w:rFonts w:asciiTheme="majorBidi" w:eastAsia="Times New Roman" w:hAnsiTheme="majorBidi" w:cstheme="majorBidi"/>
          <w:kern w:val="0"/>
          <w:sz w:val="24"/>
          <w:szCs w:val="24"/>
          <w:rtl/>
          <w14:ligatures w14:val="none"/>
        </w:rPr>
        <w:t>إعداد الطالب:</w:t>
      </w:r>
    </w:p>
    <w:p w14:paraId="33A0D4EB" w14:textId="77777777" w:rsidR="00F55162" w:rsidRDefault="00F55162" w:rsidP="00EA4A46">
      <w:pPr>
        <w:spacing w:line="360" w:lineRule="auto"/>
        <w:ind w:left="360"/>
        <w:jc w:val="center"/>
        <w:rPr>
          <w:rFonts w:asciiTheme="majorBidi" w:hAnsiTheme="majorBidi" w:cs="Times New Roman"/>
          <w:b/>
          <w:bCs/>
          <w:color w:val="000000" w:themeColor="text1"/>
          <w:sz w:val="24"/>
          <w:szCs w:val="24"/>
          <w:rtl/>
        </w:rPr>
      </w:pPr>
    </w:p>
    <w:p w14:paraId="0E9998C7" w14:textId="77777777" w:rsidR="00F55162" w:rsidRDefault="00F55162" w:rsidP="00EA4A46">
      <w:pPr>
        <w:spacing w:line="360" w:lineRule="auto"/>
        <w:ind w:left="360"/>
        <w:jc w:val="center"/>
        <w:rPr>
          <w:rFonts w:asciiTheme="majorBidi" w:hAnsiTheme="majorBidi" w:cs="Times New Roman"/>
          <w:b/>
          <w:bCs/>
          <w:color w:val="000000" w:themeColor="text1"/>
          <w:sz w:val="24"/>
          <w:szCs w:val="24"/>
          <w:rtl/>
        </w:rPr>
      </w:pPr>
    </w:p>
    <w:p w14:paraId="5F4EE2DE" w14:textId="3C150CD2" w:rsidR="009125CE" w:rsidRPr="004B6AF8" w:rsidRDefault="009125CE" w:rsidP="00EA4A46">
      <w:pPr>
        <w:spacing w:line="360" w:lineRule="auto"/>
        <w:ind w:left="360"/>
        <w:jc w:val="center"/>
        <w:rPr>
          <w:rFonts w:asciiTheme="majorBidi" w:hAnsiTheme="majorBidi" w:cstheme="majorBidi"/>
          <w:color w:val="000000" w:themeColor="text1"/>
          <w:sz w:val="24"/>
          <w:szCs w:val="24"/>
          <w:rtl/>
          <w:lang w:bidi="ar-EG"/>
        </w:rPr>
      </w:pPr>
      <w:r w:rsidRPr="004B6AF8">
        <w:rPr>
          <w:rFonts w:asciiTheme="majorBidi" w:hAnsiTheme="majorBidi" w:cstheme="majorBidi"/>
          <w:color w:val="000000" w:themeColor="text1"/>
          <w:sz w:val="24"/>
          <w:szCs w:val="24"/>
          <w:rtl/>
          <w:lang w:bidi="ar-EG"/>
        </w:rPr>
        <w:t>إشراف/</w:t>
      </w:r>
    </w:p>
    <w:p w14:paraId="2EFA31CD" w14:textId="63FDA1D0" w:rsidR="009125CE" w:rsidRPr="004B6AF8" w:rsidRDefault="00D04F62" w:rsidP="00EA4A46">
      <w:pPr>
        <w:spacing w:line="360" w:lineRule="auto"/>
        <w:ind w:left="360"/>
        <w:jc w:val="center"/>
        <w:rPr>
          <w:rFonts w:asciiTheme="majorBidi" w:hAnsiTheme="majorBidi" w:cstheme="majorBidi"/>
          <w:color w:val="000000" w:themeColor="text1"/>
          <w:sz w:val="24"/>
          <w:szCs w:val="24"/>
          <w:rtl/>
          <w:lang w:bidi="ar-EG"/>
        </w:rPr>
      </w:pPr>
      <w:proofErr w:type="spellStart"/>
      <w:proofErr w:type="gramStart"/>
      <w:r w:rsidRPr="004B6AF8">
        <w:rPr>
          <w:rFonts w:asciiTheme="majorBidi" w:hAnsiTheme="majorBidi" w:cstheme="majorBidi"/>
          <w:color w:val="000000" w:themeColor="text1"/>
          <w:sz w:val="24"/>
          <w:szCs w:val="24"/>
          <w:rtl/>
          <w:lang w:bidi="ar-EG"/>
        </w:rPr>
        <w:t>د.الفيصل</w:t>
      </w:r>
      <w:proofErr w:type="spellEnd"/>
      <w:proofErr w:type="gramEnd"/>
      <w:r w:rsidRPr="004B6AF8">
        <w:rPr>
          <w:rFonts w:asciiTheme="majorBidi" w:hAnsiTheme="majorBidi" w:cstheme="majorBidi"/>
          <w:color w:val="000000" w:themeColor="text1"/>
          <w:sz w:val="24"/>
          <w:szCs w:val="24"/>
          <w:rtl/>
          <w:lang w:bidi="ar-EG"/>
        </w:rPr>
        <w:t xml:space="preserve"> عبد الحميد</w:t>
      </w:r>
      <w:r w:rsidRPr="004B6AF8">
        <w:rPr>
          <w:rFonts w:asciiTheme="majorBidi" w:hAnsiTheme="majorBidi" w:cstheme="majorBidi"/>
          <w:color w:val="000000" w:themeColor="text1"/>
          <w:sz w:val="24"/>
          <w:szCs w:val="24"/>
          <w:rtl/>
          <w:lang w:bidi="ar-EG"/>
        </w:rPr>
        <w:br/>
      </w:r>
      <w:proofErr w:type="spellStart"/>
      <w:proofErr w:type="gramStart"/>
      <w:r w:rsidRPr="004B6AF8">
        <w:rPr>
          <w:rFonts w:asciiTheme="majorBidi" w:hAnsiTheme="majorBidi" w:cstheme="majorBidi"/>
          <w:color w:val="000000" w:themeColor="text1"/>
          <w:sz w:val="24"/>
          <w:szCs w:val="24"/>
          <w:rtl/>
          <w:lang w:bidi="ar-EG"/>
        </w:rPr>
        <w:t>د.فايز</w:t>
      </w:r>
      <w:proofErr w:type="spellEnd"/>
      <w:proofErr w:type="gramEnd"/>
      <w:r w:rsidRPr="004B6AF8">
        <w:rPr>
          <w:rFonts w:asciiTheme="majorBidi" w:hAnsiTheme="majorBidi" w:cstheme="majorBidi"/>
          <w:color w:val="000000" w:themeColor="text1"/>
          <w:sz w:val="24"/>
          <w:szCs w:val="24"/>
          <w:rtl/>
          <w:lang w:bidi="ar-EG"/>
        </w:rPr>
        <w:t xml:space="preserve"> جراد</w:t>
      </w:r>
    </w:p>
    <w:p w14:paraId="22738CC6" w14:textId="77777777" w:rsidR="009125CE" w:rsidRPr="004B6AF8" w:rsidRDefault="009125CE" w:rsidP="00EA4A46">
      <w:pPr>
        <w:spacing w:line="360" w:lineRule="auto"/>
        <w:jc w:val="center"/>
        <w:rPr>
          <w:rFonts w:asciiTheme="majorBidi" w:hAnsiTheme="majorBidi" w:cstheme="majorBidi"/>
          <w:color w:val="000000" w:themeColor="text1"/>
          <w:sz w:val="24"/>
          <w:szCs w:val="24"/>
          <w:rtl/>
          <w:lang w:bidi="ar-EG"/>
        </w:rPr>
      </w:pPr>
    </w:p>
    <w:p w14:paraId="14480418" w14:textId="78A6C3AC" w:rsidR="009125CE" w:rsidRPr="004B6AF8" w:rsidRDefault="009125CE" w:rsidP="00EA4A46">
      <w:pPr>
        <w:spacing w:line="360" w:lineRule="auto"/>
        <w:ind w:left="360"/>
        <w:jc w:val="center"/>
        <w:rPr>
          <w:rFonts w:asciiTheme="majorBidi" w:hAnsiTheme="majorBidi" w:cstheme="majorBidi"/>
          <w:color w:val="000000" w:themeColor="text1"/>
          <w:sz w:val="24"/>
          <w:szCs w:val="24"/>
          <w:rtl/>
          <w:lang w:bidi="ar-EG"/>
        </w:rPr>
      </w:pPr>
      <w:r w:rsidRPr="004B6AF8">
        <w:rPr>
          <w:rFonts w:asciiTheme="majorBidi" w:hAnsiTheme="majorBidi" w:cstheme="majorBidi"/>
          <w:color w:val="000000" w:themeColor="text1"/>
          <w:sz w:val="24"/>
          <w:szCs w:val="24"/>
          <w:rtl/>
          <w:lang w:bidi="ar-EG"/>
        </w:rPr>
        <w:t>العام الدراسي:</w:t>
      </w:r>
    </w:p>
    <w:p w14:paraId="0ECF42F7" w14:textId="6CDEC5BF" w:rsidR="009125CE" w:rsidRPr="004B6AF8" w:rsidRDefault="002D35A2" w:rsidP="00EA4A46">
      <w:pPr>
        <w:spacing w:line="360" w:lineRule="auto"/>
        <w:ind w:left="360"/>
        <w:jc w:val="center"/>
        <w:rPr>
          <w:rFonts w:asciiTheme="majorBidi" w:hAnsiTheme="majorBidi" w:cstheme="majorBidi"/>
          <w:color w:val="000000" w:themeColor="text1"/>
          <w:sz w:val="24"/>
          <w:szCs w:val="24"/>
          <w:rtl/>
          <w:lang w:bidi="ar-EG"/>
        </w:rPr>
      </w:pPr>
      <w:r w:rsidRPr="004B6AF8">
        <w:rPr>
          <w:rFonts w:asciiTheme="majorBidi" w:hAnsiTheme="majorBidi" w:cstheme="majorBidi"/>
          <w:color w:val="000000" w:themeColor="text1"/>
          <w:sz w:val="24"/>
          <w:szCs w:val="24"/>
          <w:rtl/>
          <w:lang w:bidi="ar-EG"/>
        </w:rPr>
        <w:t>2026</w:t>
      </w:r>
    </w:p>
    <w:p w14:paraId="6DA6E2FA" w14:textId="77777777" w:rsidR="00C11F7C" w:rsidRDefault="00C11F7C" w:rsidP="00EA4A46">
      <w:pPr>
        <w:spacing w:before="100" w:beforeAutospacing="1" w:after="100" w:afterAutospacing="1" w:line="360" w:lineRule="auto"/>
        <w:ind w:left="360"/>
        <w:jc w:val="both"/>
        <w:rPr>
          <w:rFonts w:asciiTheme="majorBidi" w:eastAsia="Times New Roman" w:hAnsiTheme="majorBidi" w:cstheme="majorBidi"/>
          <w:kern w:val="0"/>
          <w:sz w:val="24"/>
          <w:szCs w:val="24"/>
          <w:rtl/>
          <w14:ligatures w14:val="none"/>
        </w:rPr>
      </w:pPr>
    </w:p>
    <w:p w14:paraId="56F4C1D5" w14:textId="77777777" w:rsidR="0085613D" w:rsidRDefault="0085613D" w:rsidP="00EA4A46">
      <w:pPr>
        <w:spacing w:before="100" w:beforeAutospacing="1" w:after="100" w:afterAutospacing="1" w:line="360" w:lineRule="auto"/>
        <w:ind w:left="360"/>
        <w:jc w:val="both"/>
        <w:rPr>
          <w:rFonts w:asciiTheme="majorBidi" w:eastAsia="Times New Roman" w:hAnsiTheme="majorBidi" w:cstheme="majorBidi"/>
          <w:kern w:val="0"/>
          <w:sz w:val="24"/>
          <w:szCs w:val="24"/>
          <w:rtl/>
          <w14:ligatures w14:val="none"/>
        </w:rPr>
      </w:pPr>
    </w:p>
    <w:p w14:paraId="16A9D6BE" w14:textId="77777777" w:rsidR="0085613D" w:rsidRPr="004B6AF8" w:rsidRDefault="0085613D" w:rsidP="00EA4A46">
      <w:pPr>
        <w:spacing w:before="100" w:beforeAutospacing="1" w:after="100" w:afterAutospacing="1" w:line="360" w:lineRule="auto"/>
        <w:ind w:left="360"/>
        <w:jc w:val="both"/>
        <w:rPr>
          <w:rFonts w:asciiTheme="majorBidi" w:eastAsia="Times New Roman" w:hAnsiTheme="majorBidi" w:cstheme="majorBidi"/>
          <w:kern w:val="0"/>
          <w:sz w:val="24"/>
          <w:szCs w:val="24"/>
          <w:rtl/>
          <w14:ligatures w14:val="none"/>
        </w:rPr>
      </w:pPr>
    </w:p>
    <w:p w14:paraId="228AF8BD" w14:textId="77777777" w:rsidR="007066DD" w:rsidRDefault="007066DD" w:rsidP="00EA4A46">
      <w:pPr>
        <w:spacing w:before="100" w:beforeAutospacing="1" w:after="100" w:afterAutospacing="1" w:line="360" w:lineRule="auto"/>
        <w:ind w:left="360"/>
        <w:jc w:val="both"/>
        <w:rPr>
          <w:rFonts w:asciiTheme="majorBidi" w:eastAsia="Times New Roman" w:hAnsiTheme="majorBidi" w:cstheme="majorBidi"/>
          <w:kern w:val="0"/>
          <w:sz w:val="24"/>
          <w:szCs w:val="24"/>
          <w:rtl/>
          <w14:ligatures w14:val="none"/>
        </w:rPr>
      </w:pPr>
    </w:p>
    <w:p w14:paraId="535D8988" w14:textId="77777777" w:rsidR="00CF035A" w:rsidRDefault="00CF035A" w:rsidP="00EA4A46">
      <w:pPr>
        <w:spacing w:before="100" w:beforeAutospacing="1" w:after="100" w:afterAutospacing="1" w:line="360" w:lineRule="auto"/>
        <w:ind w:left="360"/>
        <w:jc w:val="both"/>
        <w:rPr>
          <w:rFonts w:asciiTheme="majorBidi" w:eastAsia="Times New Roman" w:hAnsiTheme="majorBidi" w:cstheme="majorBidi"/>
          <w:kern w:val="0"/>
          <w:sz w:val="24"/>
          <w:szCs w:val="24"/>
          <w:rtl/>
          <w14:ligatures w14:val="none"/>
        </w:rPr>
      </w:pPr>
    </w:p>
    <w:p w14:paraId="2248F6FA" w14:textId="77777777" w:rsidR="00CF035A" w:rsidRDefault="00CF035A" w:rsidP="00EA4A46">
      <w:pPr>
        <w:spacing w:before="100" w:beforeAutospacing="1" w:after="100" w:afterAutospacing="1" w:line="360" w:lineRule="auto"/>
        <w:ind w:left="360"/>
        <w:jc w:val="both"/>
        <w:rPr>
          <w:rFonts w:asciiTheme="majorBidi" w:eastAsia="Times New Roman" w:hAnsiTheme="majorBidi" w:cstheme="majorBidi"/>
          <w:kern w:val="0"/>
          <w:sz w:val="24"/>
          <w:szCs w:val="24"/>
          <w:rtl/>
          <w14:ligatures w14:val="none"/>
        </w:rPr>
      </w:pPr>
    </w:p>
    <w:p w14:paraId="275AEE67" w14:textId="77777777" w:rsidR="00CF7571" w:rsidRDefault="00CF7571" w:rsidP="00CF7571">
      <w:pPr>
        <w:spacing w:line="360" w:lineRule="auto"/>
        <w:jc w:val="both"/>
        <w:rPr>
          <w:rFonts w:asciiTheme="majorBidi" w:eastAsia="Times New Roman" w:hAnsiTheme="majorBidi" w:cstheme="majorBidi"/>
          <w:b/>
          <w:bCs/>
          <w:sz w:val="28"/>
          <w:szCs w:val="28"/>
          <w:rtl/>
        </w:rPr>
      </w:pPr>
    </w:p>
    <w:p w14:paraId="21B1780F" w14:textId="74060E2E" w:rsidR="00CF7571" w:rsidRPr="00CF7571" w:rsidRDefault="00CF7571" w:rsidP="00CF7571">
      <w:pPr>
        <w:spacing w:line="360" w:lineRule="auto"/>
        <w:jc w:val="both"/>
        <w:rPr>
          <w:rFonts w:asciiTheme="majorBidi" w:eastAsia="Times New Roman" w:hAnsiTheme="majorBidi" w:cstheme="majorBidi"/>
          <w:b/>
          <w:bCs/>
          <w:i/>
          <w:iCs/>
          <w:sz w:val="28"/>
          <w:szCs w:val="28"/>
        </w:rPr>
      </w:pPr>
      <w:r w:rsidRPr="00CF7571">
        <w:rPr>
          <w:rFonts w:asciiTheme="majorBidi" w:eastAsia="Times New Roman" w:hAnsiTheme="majorBidi" w:cstheme="majorBidi"/>
          <w:b/>
          <w:bCs/>
          <w:i/>
          <w:iCs/>
          <w:sz w:val="28"/>
          <w:szCs w:val="28"/>
          <w:rtl/>
        </w:rPr>
        <w:lastRenderedPageBreak/>
        <w:t>المقدمة</w:t>
      </w:r>
      <w:r w:rsidRPr="00CF7571">
        <w:rPr>
          <w:rFonts w:asciiTheme="majorBidi" w:eastAsia="Times New Roman" w:hAnsiTheme="majorBidi" w:cstheme="majorBidi"/>
          <w:b/>
          <w:bCs/>
          <w:i/>
          <w:iCs/>
          <w:sz w:val="28"/>
          <w:szCs w:val="28"/>
        </w:rPr>
        <w:t>:</w:t>
      </w:r>
    </w:p>
    <w:p w14:paraId="30579EDB" w14:textId="77777777" w:rsidR="00CF7571" w:rsidRPr="00CF7571" w:rsidRDefault="00CF7571" w:rsidP="00CF7571">
      <w:pPr>
        <w:spacing w:line="360" w:lineRule="auto"/>
        <w:jc w:val="both"/>
        <w:rPr>
          <w:rFonts w:asciiTheme="majorBidi" w:eastAsia="Times New Roman" w:hAnsiTheme="majorBidi" w:cstheme="majorBidi"/>
          <w:sz w:val="24"/>
          <w:szCs w:val="24"/>
        </w:rPr>
      </w:pPr>
      <w:r w:rsidRPr="00CF7571">
        <w:rPr>
          <w:rFonts w:asciiTheme="majorBidi" w:eastAsia="Times New Roman" w:hAnsiTheme="majorBidi" w:cstheme="majorBidi"/>
          <w:sz w:val="24"/>
          <w:szCs w:val="24"/>
          <w:rtl/>
        </w:rPr>
        <w:t>يُمثّل البحث العلمي الركيزة الأساسية التي تقوم عليها عملية إنتاج المعرفة الإنسانية وتطويرها في مختلف الميادين والتخصصات، وقد أسهم في تقدّم الحضارة الإنسانية ورفع مستوى الوعي العلمي والثقافي عبر العصور. غير أن هذا البحث لا يكتسب قيمته الحقيقية إلا حين يلتزم بمنظومة متكاملة من القيم والمبادئ الأخلاقية التي تضمن سلامة مساره وموثوقية نتائجه وشرعية توظيفه. وقد باتت أخلاقيات البحث العلمي تُشكّل قضية محورية في الأوساط الأكاديمية المعاصرة، لا سيما في ظل التوسع الهائل في حجم الإنتاج المعرفي وتشابك مصالح الباحثين والممولين والمؤسسات البحثية</w:t>
      </w:r>
      <w:r w:rsidRPr="00CF7571">
        <w:rPr>
          <w:rFonts w:asciiTheme="majorBidi" w:eastAsia="Times New Roman" w:hAnsiTheme="majorBidi" w:cstheme="majorBidi"/>
          <w:sz w:val="24"/>
          <w:szCs w:val="24"/>
        </w:rPr>
        <w:t>.</w:t>
      </w:r>
    </w:p>
    <w:p w14:paraId="2C76155F" w14:textId="77777777" w:rsidR="00CF7571" w:rsidRPr="00CF7571" w:rsidRDefault="00CF7571" w:rsidP="00CF7571">
      <w:pPr>
        <w:spacing w:line="360" w:lineRule="auto"/>
        <w:jc w:val="both"/>
        <w:rPr>
          <w:rFonts w:asciiTheme="majorBidi" w:eastAsia="Times New Roman" w:hAnsiTheme="majorBidi" w:cstheme="majorBidi"/>
          <w:sz w:val="24"/>
          <w:szCs w:val="24"/>
        </w:rPr>
      </w:pPr>
      <w:r w:rsidRPr="00CF7571">
        <w:rPr>
          <w:rFonts w:asciiTheme="majorBidi" w:eastAsia="Times New Roman" w:hAnsiTheme="majorBidi" w:cstheme="majorBidi"/>
          <w:sz w:val="24"/>
          <w:szCs w:val="24"/>
          <w:rtl/>
        </w:rPr>
        <w:t>تُعرَّف أخلاقيات البحث العلمي بأنها "مجموعة المبادئ والقيم والمعايير السلوكية التي ينبغي للباحث العلمي الالتزام بها أثناء تخطيط بحثه وتنفيذه وعرض نتائجه ونشرها، بما يكفل النزاهة الفكرية وحماية المشاركين وصون المصلحة العامة</w:t>
      </w:r>
      <w:r w:rsidRPr="00CF7571">
        <w:rPr>
          <w:rFonts w:asciiTheme="majorBidi" w:eastAsia="Times New Roman" w:hAnsiTheme="majorBidi" w:cstheme="majorBidi"/>
          <w:sz w:val="24"/>
          <w:szCs w:val="24"/>
        </w:rPr>
        <w:t xml:space="preserve">" (Israel &amp; Hay, 2006). </w:t>
      </w:r>
      <w:r w:rsidRPr="00CF7571">
        <w:rPr>
          <w:rFonts w:asciiTheme="majorBidi" w:eastAsia="Times New Roman" w:hAnsiTheme="majorBidi" w:cstheme="majorBidi"/>
          <w:sz w:val="24"/>
          <w:szCs w:val="24"/>
          <w:rtl/>
        </w:rPr>
        <w:t xml:space="preserve">ويُضيف </w:t>
      </w:r>
      <w:r w:rsidRPr="00CF7571">
        <w:rPr>
          <w:rFonts w:asciiTheme="majorBidi" w:eastAsia="Times New Roman" w:hAnsiTheme="majorBidi" w:cstheme="majorBidi"/>
          <w:sz w:val="24"/>
          <w:szCs w:val="24"/>
        </w:rPr>
        <w:t xml:space="preserve">Resnik (2015) </w:t>
      </w:r>
      <w:r w:rsidRPr="00CF7571">
        <w:rPr>
          <w:rFonts w:asciiTheme="majorBidi" w:eastAsia="Times New Roman" w:hAnsiTheme="majorBidi" w:cstheme="majorBidi"/>
          <w:sz w:val="24"/>
          <w:szCs w:val="24"/>
          <w:rtl/>
        </w:rPr>
        <w:t>أن هذه الأخلاقيات تعكس جملة من الأعراف المهنية التي تنظّم العلاقة بين الباحث ومعرفته ومجتمعه والمشاركين في بحثه، وتمنع أي شكل من أشكال الخداع أو الإضرار أو الانتهاك للحقوق. وفي السياق العربي، يُعرّفها الصبحي (2019) بأنها "المنظومة الأخلاقية الضامنة لسير عملية البحث العلمي وفق معايير الصدق والأمانة والاحترام، بعيدًا عن التحيز والتزوير وانتهاك حقوق الإنسان</w:t>
      </w:r>
      <w:r w:rsidRPr="00CF7571">
        <w:rPr>
          <w:rFonts w:asciiTheme="majorBidi" w:eastAsia="Times New Roman" w:hAnsiTheme="majorBidi" w:cstheme="majorBidi"/>
          <w:sz w:val="24"/>
          <w:szCs w:val="24"/>
        </w:rPr>
        <w:t>".</w:t>
      </w:r>
    </w:p>
    <w:p w14:paraId="491EA0DF" w14:textId="77777777" w:rsidR="00CF7571" w:rsidRPr="00CF7571" w:rsidRDefault="00CF7571" w:rsidP="00CF7571">
      <w:pPr>
        <w:spacing w:line="360" w:lineRule="auto"/>
        <w:jc w:val="both"/>
        <w:rPr>
          <w:rFonts w:asciiTheme="majorBidi" w:eastAsia="Times New Roman" w:hAnsiTheme="majorBidi" w:cstheme="majorBidi"/>
          <w:sz w:val="24"/>
          <w:szCs w:val="24"/>
        </w:rPr>
      </w:pPr>
      <w:r w:rsidRPr="00CF7571">
        <w:rPr>
          <w:rFonts w:asciiTheme="majorBidi" w:eastAsia="Times New Roman" w:hAnsiTheme="majorBidi" w:cstheme="majorBidi"/>
          <w:sz w:val="24"/>
          <w:szCs w:val="24"/>
          <w:rtl/>
        </w:rPr>
        <w:t>يهدف هذا التقرير إلى استعراض المبادئ الأساسية لأخلاقيات البحث العلمي وتحليل القضايا الأخلاقية الرئيسية المرتبطة بالعمل البحثي الأكاديمي، مع تطبيق هذه المبادئ بصورة عملية ومنهجية على موضوع الدراسة الرئيسية المتعلقة بدور التطوير العقاري اللوجستي في دعم مستهدفات رؤية السعودية 2030 في مدينة الرياض. ويسعى التقرير من خلال هذا التطبيق إلى تقديم نموذج عملي يُبيّن كيفية توظيف المبادئ الأخلاقية في البحوث الميدانية الكمية ذات الطابع الاقتصادي والإداري</w:t>
      </w:r>
      <w:r w:rsidRPr="00CF7571">
        <w:rPr>
          <w:rFonts w:asciiTheme="majorBidi" w:eastAsia="Times New Roman" w:hAnsiTheme="majorBidi" w:cstheme="majorBidi"/>
          <w:sz w:val="24"/>
          <w:szCs w:val="24"/>
        </w:rPr>
        <w:t>.</w:t>
      </w:r>
    </w:p>
    <w:p w14:paraId="3FF1DD57" w14:textId="77777777" w:rsidR="00CF7571" w:rsidRPr="00CF7571" w:rsidRDefault="00CF7571" w:rsidP="00CF7571">
      <w:pPr>
        <w:spacing w:line="360" w:lineRule="auto"/>
        <w:jc w:val="both"/>
        <w:rPr>
          <w:rFonts w:asciiTheme="majorBidi" w:eastAsia="Times New Roman" w:hAnsiTheme="majorBidi" w:cstheme="majorBidi"/>
          <w:b/>
          <w:bCs/>
          <w:i/>
          <w:iCs/>
          <w:sz w:val="28"/>
          <w:szCs w:val="28"/>
        </w:rPr>
      </w:pPr>
      <w:r w:rsidRPr="00CF7571">
        <w:rPr>
          <w:rFonts w:asciiTheme="majorBidi" w:eastAsia="Times New Roman" w:hAnsiTheme="majorBidi" w:cstheme="majorBidi"/>
          <w:b/>
          <w:bCs/>
          <w:i/>
          <w:iCs/>
          <w:sz w:val="28"/>
          <w:szCs w:val="28"/>
          <w:rtl/>
        </w:rPr>
        <w:t>أهمية أخلاقيات البحث العلمي</w:t>
      </w:r>
      <w:r w:rsidRPr="00CF7571">
        <w:rPr>
          <w:rFonts w:asciiTheme="majorBidi" w:eastAsia="Times New Roman" w:hAnsiTheme="majorBidi" w:cstheme="majorBidi"/>
          <w:b/>
          <w:bCs/>
          <w:i/>
          <w:iCs/>
          <w:sz w:val="28"/>
          <w:szCs w:val="28"/>
        </w:rPr>
        <w:t>:</w:t>
      </w:r>
    </w:p>
    <w:p w14:paraId="3CC52387" w14:textId="77777777" w:rsidR="00CF7571" w:rsidRPr="00CF7571" w:rsidRDefault="00CF7571" w:rsidP="00CF7571">
      <w:pPr>
        <w:spacing w:line="360" w:lineRule="auto"/>
        <w:jc w:val="both"/>
        <w:rPr>
          <w:rFonts w:asciiTheme="majorBidi" w:eastAsia="Times New Roman" w:hAnsiTheme="majorBidi" w:cstheme="majorBidi"/>
          <w:sz w:val="24"/>
          <w:szCs w:val="24"/>
        </w:rPr>
      </w:pPr>
      <w:r w:rsidRPr="00CF7571">
        <w:rPr>
          <w:rFonts w:asciiTheme="majorBidi" w:eastAsia="Times New Roman" w:hAnsiTheme="majorBidi" w:cstheme="majorBidi"/>
          <w:sz w:val="24"/>
          <w:szCs w:val="24"/>
          <w:rtl/>
        </w:rPr>
        <w:t>تتجلى أهمية أخلاقيات البحث العلمي من زوايا متعددة ومتشعبة، تمس في جوهرها صميم العملية البحثية ومدى مصداقيتها وتأثيرها في المجتمع. فمن الناحية المعرفية، تُعدّ الأخلاقيات الضامن الحقيقي لموثوقية المعرفة العلمية المنتجة؛ إذ إن البحث الذي يُبنى على بيانات مزوّرة أو نتائج منتقاة لا يُضيف إلى الرصيد المعرفي الإنساني شيئًا ذا قيمة، بل قد يُشكّل عبئًا عليه ويُضلّل الباحثين اللاحقين ويُفضي إلى قرارات خاطئة على مستوى السياسات العامة. وفي هذا الإطار، تُؤكّد الأدبيات أن الالتزام الأخلاقي في البحث العلمي يرتبط ارتباطًا وثيقًا بجودة النتائج وقابليتها للتكرار والتحقق، وهو ما يُعزّز ثقة المجتمع العلمي والمجتمع العام في مؤسسات البحث ومخرجاتها</w:t>
      </w:r>
      <w:r w:rsidRPr="00CF7571">
        <w:rPr>
          <w:rFonts w:asciiTheme="majorBidi" w:eastAsia="Times New Roman" w:hAnsiTheme="majorBidi" w:cstheme="majorBidi"/>
          <w:sz w:val="24"/>
          <w:szCs w:val="24"/>
        </w:rPr>
        <w:t xml:space="preserve"> (Steneck, 2007).</w:t>
      </w:r>
    </w:p>
    <w:p w14:paraId="71F0D279" w14:textId="222EC24F" w:rsidR="00CF7571" w:rsidRPr="00CF7571" w:rsidRDefault="00CF7571" w:rsidP="00CF7571">
      <w:pPr>
        <w:spacing w:line="360" w:lineRule="auto"/>
        <w:jc w:val="both"/>
        <w:rPr>
          <w:rFonts w:asciiTheme="majorBidi" w:eastAsia="Times New Roman" w:hAnsiTheme="majorBidi" w:cstheme="majorBidi"/>
          <w:sz w:val="24"/>
          <w:szCs w:val="24"/>
        </w:rPr>
      </w:pPr>
      <w:r w:rsidRPr="00CF7571">
        <w:rPr>
          <w:rFonts w:asciiTheme="majorBidi" w:eastAsia="Times New Roman" w:hAnsiTheme="majorBidi" w:cstheme="majorBidi"/>
          <w:sz w:val="24"/>
          <w:szCs w:val="24"/>
          <w:rtl/>
        </w:rPr>
        <w:t xml:space="preserve">ومن الناحية الاجتماعية، تؤدي أخلاقيات البحث دورًا محوريًا في حماية حقوق المشاركين في الدراسات الميدانية والتجريبية، لا سيما حين يتعلق الأمر بالفئات الأكثر هشاشة وضعفًا. فالمبادئ الأخلاقية التي طوّرتها المجتمعات العلمية عبر </w:t>
      </w:r>
      <w:proofErr w:type="gramStart"/>
      <w:r w:rsidRPr="00CF7571">
        <w:rPr>
          <w:rFonts w:asciiTheme="majorBidi" w:eastAsia="Times New Roman" w:hAnsiTheme="majorBidi" w:cstheme="majorBidi"/>
          <w:sz w:val="24"/>
          <w:szCs w:val="24"/>
          <w:rtl/>
        </w:rPr>
        <w:t>الزمن  كمبادئ</w:t>
      </w:r>
      <w:proofErr w:type="gramEnd"/>
      <w:r w:rsidRPr="00CF7571">
        <w:rPr>
          <w:rFonts w:asciiTheme="majorBidi" w:eastAsia="Times New Roman" w:hAnsiTheme="majorBidi" w:cstheme="majorBidi"/>
          <w:sz w:val="24"/>
          <w:szCs w:val="24"/>
          <w:rtl/>
        </w:rPr>
        <w:t xml:space="preserve"> </w:t>
      </w:r>
      <w:proofErr w:type="spellStart"/>
      <w:r w:rsidRPr="00CF7571">
        <w:rPr>
          <w:rFonts w:asciiTheme="majorBidi" w:eastAsia="Times New Roman" w:hAnsiTheme="majorBidi" w:cstheme="majorBidi"/>
          <w:sz w:val="24"/>
          <w:szCs w:val="24"/>
          <w:rtl/>
        </w:rPr>
        <w:t>بيلمونت</w:t>
      </w:r>
      <w:proofErr w:type="spellEnd"/>
      <w:r w:rsidRPr="00CF7571">
        <w:rPr>
          <w:rFonts w:asciiTheme="majorBidi" w:eastAsia="Times New Roman" w:hAnsiTheme="majorBidi" w:cstheme="majorBidi"/>
          <w:sz w:val="24"/>
          <w:szCs w:val="24"/>
          <w:rtl/>
        </w:rPr>
        <w:t xml:space="preserve"> في الولايات المتحدة عام </w:t>
      </w:r>
      <w:proofErr w:type="gramStart"/>
      <w:r w:rsidRPr="00CF7571">
        <w:rPr>
          <w:rFonts w:asciiTheme="majorBidi" w:eastAsia="Times New Roman" w:hAnsiTheme="majorBidi" w:cstheme="majorBidi"/>
          <w:sz w:val="24"/>
          <w:szCs w:val="24"/>
          <w:rtl/>
        </w:rPr>
        <w:t>1979  جاءت</w:t>
      </w:r>
      <w:proofErr w:type="gramEnd"/>
      <w:r w:rsidRPr="00CF7571">
        <w:rPr>
          <w:rFonts w:asciiTheme="majorBidi" w:eastAsia="Times New Roman" w:hAnsiTheme="majorBidi" w:cstheme="majorBidi"/>
          <w:sz w:val="24"/>
          <w:szCs w:val="24"/>
          <w:rtl/>
        </w:rPr>
        <w:t xml:space="preserve"> في معظمها استجابةً لانتهاكات بحثية </w:t>
      </w:r>
      <w:r w:rsidRPr="00CF7571">
        <w:rPr>
          <w:rFonts w:asciiTheme="majorBidi" w:eastAsia="Times New Roman" w:hAnsiTheme="majorBidi" w:cstheme="majorBidi"/>
          <w:sz w:val="24"/>
          <w:szCs w:val="24"/>
          <w:rtl/>
        </w:rPr>
        <w:lastRenderedPageBreak/>
        <w:t>فادحة طالت كرامة الإنسان وحقوقه، مما أكد ضرورة وجود أطر أخلاقية ملزمة تحكم العلاقة بين الباحث والمبحوث</w:t>
      </w:r>
      <w:r w:rsidRPr="00CF7571">
        <w:rPr>
          <w:rFonts w:asciiTheme="majorBidi" w:eastAsia="Times New Roman" w:hAnsiTheme="majorBidi" w:cstheme="majorBidi"/>
          <w:sz w:val="24"/>
          <w:szCs w:val="24"/>
        </w:rPr>
        <w:t xml:space="preserve"> (Beauchamp &amp; Childress, 2019).</w:t>
      </w:r>
    </w:p>
    <w:p w14:paraId="3EC76365" w14:textId="77777777" w:rsidR="00CF7571" w:rsidRPr="00CF7571" w:rsidRDefault="00CF7571" w:rsidP="00CF7571">
      <w:pPr>
        <w:spacing w:line="360" w:lineRule="auto"/>
        <w:jc w:val="both"/>
        <w:rPr>
          <w:rFonts w:asciiTheme="majorBidi" w:eastAsia="Times New Roman" w:hAnsiTheme="majorBidi" w:cstheme="majorBidi"/>
          <w:sz w:val="24"/>
          <w:szCs w:val="24"/>
        </w:rPr>
      </w:pPr>
      <w:r w:rsidRPr="00CF7571">
        <w:rPr>
          <w:rFonts w:asciiTheme="majorBidi" w:eastAsia="Times New Roman" w:hAnsiTheme="majorBidi" w:cstheme="majorBidi"/>
          <w:sz w:val="24"/>
          <w:szCs w:val="24"/>
          <w:rtl/>
        </w:rPr>
        <w:t>أما من الناحية المؤسسية والمهنية، فإن الالتزام بأخلاقيات البحث يحمي المؤسسة البحثية من الاتهامات والقضايا القانونية التي قد تنجم عن انتهاك الخصوصية أو التزوير أو الانتحال، ويصون سمعتها وتنافسيتها في الفضاء الأكاديمي الدولي. وفي السياق السعودي تحديدًا، تتصاعد أهمية هذا الالتزام في إطار التوجهات الوطنية لرفع جودة البحث العلمي وتعزيز مكانة المملكة في المؤشرات الدولية للبحث والابتكار ضمن مستهدفات رؤية 2030، التي تُعوّل على الاقتصاد المعرفي ركيزةً للتنويع الاقتصادي (الصبحي، 2019)</w:t>
      </w:r>
      <w:r w:rsidRPr="00CF7571">
        <w:rPr>
          <w:rFonts w:asciiTheme="majorBidi" w:eastAsia="Times New Roman" w:hAnsiTheme="majorBidi" w:cstheme="majorBidi"/>
          <w:sz w:val="24"/>
          <w:szCs w:val="24"/>
        </w:rPr>
        <w:t>.</w:t>
      </w:r>
    </w:p>
    <w:p w14:paraId="74B11899" w14:textId="77777777" w:rsidR="00CF7571" w:rsidRPr="00CF7571" w:rsidRDefault="00CF7571" w:rsidP="00CF7571">
      <w:pPr>
        <w:spacing w:line="360" w:lineRule="auto"/>
        <w:jc w:val="both"/>
        <w:rPr>
          <w:rFonts w:asciiTheme="majorBidi" w:eastAsia="Times New Roman" w:hAnsiTheme="majorBidi" w:cstheme="majorBidi"/>
          <w:b/>
          <w:bCs/>
          <w:i/>
          <w:iCs/>
          <w:sz w:val="24"/>
          <w:szCs w:val="24"/>
        </w:rPr>
      </w:pPr>
      <w:r w:rsidRPr="00CF7571">
        <w:rPr>
          <w:rFonts w:asciiTheme="majorBidi" w:eastAsia="Times New Roman" w:hAnsiTheme="majorBidi" w:cstheme="majorBidi"/>
          <w:b/>
          <w:bCs/>
          <w:i/>
          <w:iCs/>
          <w:sz w:val="24"/>
          <w:szCs w:val="24"/>
          <w:rtl/>
        </w:rPr>
        <w:t>المبادئ الأساسية لأخلاقيات البحث العلمي</w:t>
      </w:r>
      <w:r w:rsidRPr="00CF7571">
        <w:rPr>
          <w:rFonts w:asciiTheme="majorBidi" w:eastAsia="Times New Roman" w:hAnsiTheme="majorBidi" w:cstheme="majorBidi"/>
          <w:b/>
          <w:bCs/>
          <w:i/>
          <w:iCs/>
          <w:sz w:val="24"/>
          <w:szCs w:val="24"/>
        </w:rPr>
        <w:t>:</w:t>
      </w:r>
    </w:p>
    <w:p w14:paraId="49098C76" w14:textId="77777777" w:rsidR="00CF7571" w:rsidRPr="00CF7571" w:rsidRDefault="00CF7571" w:rsidP="00CF7571">
      <w:pPr>
        <w:spacing w:line="360" w:lineRule="auto"/>
        <w:jc w:val="both"/>
        <w:rPr>
          <w:rFonts w:asciiTheme="majorBidi" w:eastAsia="Times New Roman" w:hAnsiTheme="majorBidi" w:cstheme="majorBidi"/>
          <w:sz w:val="24"/>
          <w:szCs w:val="24"/>
        </w:rPr>
      </w:pPr>
      <w:r w:rsidRPr="00CF7571">
        <w:rPr>
          <w:rFonts w:asciiTheme="majorBidi" w:eastAsia="Times New Roman" w:hAnsiTheme="majorBidi" w:cstheme="majorBidi"/>
          <w:b/>
          <w:bCs/>
          <w:sz w:val="24"/>
          <w:szCs w:val="24"/>
          <w:rtl/>
        </w:rPr>
        <w:t>أولاً - الأمانة العلمية</w:t>
      </w:r>
      <w:r w:rsidRPr="00CF7571">
        <w:rPr>
          <w:rFonts w:asciiTheme="majorBidi" w:eastAsia="Times New Roman" w:hAnsiTheme="majorBidi" w:cstheme="majorBidi"/>
          <w:b/>
          <w:bCs/>
          <w:sz w:val="24"/>
          <w:szCs w:val="24"/>
        </w:rPr>
        <w:t>:</w:t>
      </w:r>
    </w:p>
    <w:p w14:paraId="0E5E6469" w14:textId="77777777" w:rsidR="00CF7571" w:rsidRPr="00CF7571" w:rsidRDefault="00CF7571" w:rsidP="00CF7571">
      <w:pPr>
        <w:spacing w:line="360" w:lineRule="auto"/>
        <w:jc w:val="both"/>
        <w:rPr>
          <w:rFonts w:asciiTheme="majorBidi" w:eastAsia="Times New Roman" w:hAnsiTheme="majorBidi" w:cstheme="majorBidi"/>
          <w:sz w:val="24"/>
          <w:szCs w:val="24"/>
        </w:rPr>
      </w:pPr>
      <w:r w:rsidRPr="00CF7571">
        <w:rPr>
          <w:rFonts w:asciiTheme="majorBidi" w:eastAsia="Times New Roman" w:hAnsiTheme="majorBidi" w:cstheme="majorBidi"/>
          <w:sz w:val="24"/>
          <w:szCs w:val="24"/>
          <w:rtl/>
        </w:rPr>
        <w:t xml:space="preserve">تُعدّ الأمانة العلمية حجر الزاوية في منظومة أخلاقيات البحث، وتعني التزام الباحث بالصدق التام في جميع مراحل العمل البحثي، بدءًا من صياغة المشكلة البحثية، ومرورًا بجمع البيانات وتحليلها، وانتهاءً بعرض النتائج ونشرها دون تحريف أو إخفاء أو مبالغة. ويُعبّر عن الأمانة العلمية كذلك في الاعتراف الصريح بجهود الآخرين من باحثين ومفكرين، وعزو كل فكرة أو نص إلى صاحبه الأصلي وفق أساليب التوثيق المعتمدة </w:t>
      </w:r>
      <w:r w:rsidRPr="00CF7571">
        <w:rPr>
          <w:rFonts w:asciiTheme="majorBidi" w:eastAsia="Times New Roman" w:hAnsiTheme="majorBidi" w:cstheme="majorBidi"/>
          <w:sz w:val="24"/>
          <w:szCs w:val="24"/>
        </w:rPr>
        <w:t xml:space="preserve">(American Psychological Association [APA], 2020). </w:t>
      </w:r>
      <w:r w:rsidRPr="00CF7571">
        <w:rPr>
          <w:rFonts w:asciiTheme="majorBidi" w:eastAsia="Times New Roman" w:hAnsiTheme="majorBidi" w:cstheme="majorBidi"/>
          <w:sz w:val="24"/>
          <w:szCs w:val="24"/>
          <w:rtl/>
        </w:rPr>
        <w:t>ومن أبرز الأمثلة التطبيقية على هذا المبدأ أن يُصرّح الباحث بصراحة عند حدوث قيود ميدانية أثّرت على حجم العينة أو أسلوب جمع البيانات، بدلًا من إخفاء ذلك والتظاهر بأن البيانات مكتملة ومثالية</w:t>
      </w:r>
      <w:r w:rsidRPr="00CF7571">
        <w:rPr>
          <w:rFonts w:asciiTheme="majorBidi" w:eastAsia="Times New Roman" w:hAnsiTheme="majorBidi" w:cstheme="majorBidi"/>
          <w:sz w:val="24"/>
          <w:szCs w:val="24"/>
        </w:rPr>
        <w:t>.</w:t>
      </w:r>
    </w:p>
    <w:p w14:paraId="563EC5F1" w14:textId="77777777" w:rsidR="00CF7571" w:rsidRPr="00CF7571" w:rsidRDefault="00CF7571" w:rsidP="00CF7571">
      <w:pPr>
        <w:spacing w:line="360" w:lineRule="auto"/>
        <w:jc w:val="both"/>
        <w:rPr>
          <w:rFonts w:asciiTheme="majorBidi" w:eastAsia="Times New Roman" w:hAnsiTheme="majorBidi" w:cstheme="majorBidi"/>
          <w:sz w:val="24"/>
          <w:szCs w:val="24"/>
        </w:rPr>
      </w:pPr>
      <w:r w:rsidRPr="00CF7571">
        <w:rPr>
          <w:rFonts w:asciiTheme="majorBidi" w:eastAsia="Times New Roman" w:hAnsiTheme="majorBidi" w:cstheme="majorBidi"/>
          <w:b/>
          <w:bCs/>
          <w:sz w:val="24"/>
          <w:szCs w:val="24"/>
          <w:rtl/>
        </w:rPr>
        <w:t>ثانيًا - النزاهة</w:t>
      </w:r>
      <w:r w:rsidRPr="00CF7571">
        <w:rPr>
          <w:rFonts w:asciiTheme="majorBidi" w:eastAsia="Times New Roman" w:hAnsiTheme="majorBidi" w:cstheme="majorBidi"/>
          <w:b/>
          <w:bCs/>
          <w:sz w:val="24"/>
          <w:szCs w:val="24"/>
        </w:rPr>
        <w:t>:</w:t>
      </w:r>
    </w:p>
    <w:p w14:paraId="413C986D" w14:textId="77777777" w:rsidR="00CF7571" w:rsidRPr="00CF7571" w:rsidRDefault="00CF7571" w:rsidP="00CF7571">
      <w:pPr>
        <w:spacing w:line="360" w:lineRule="auto"/>
        <w:jc w:val="both"/>
        <w:rPr>
          <w:rFonts w:asciiTheme="majorBidi" w:eastAsia="Times New Roman" w:hAnsiTheme="majorBidi" w:cstheme="majorBidi"/>
          <w:sz w:val="24"/>
          <w:szCs w:val="24"/>
        </w:rPr>
      </w:pPr>
      <w:r w:rsidRPr="00CF7571">
        <w:rPr>
          <w:rFonts w:asciiTheme="majorBidi" w:eastAsia="Times New Roman" w:hAnsiTheme="majorBidi" w:cstheme="majorBidi"/>
          <w:sz w:val="24"/>
          <w:szCs w:val="24"/>
          <w:rtl/>
        </w:rPr>
        <w:t xml:space="preserve">تتجاوز النزاهة البحثية مفهوم الأمانة لتشمل استقلالية الباحث وحياده إزاء المصالح المتعارضة والضغوط المؤسسية والشخصية. فالباحث النزيه هو من يُقدّم نتائجه كما هي دون أن يُطوّعها لخدمة </w:t>
      </w:r>
      <w:proofErr w:type="gramStart"/>
      <w:r w:rsidRPr="00CF7571">
        <w:rPr>
          <w:rFonts w:asciiTheme="majorBidi" w:eastAsia="Times New Roman" w:hAnsiTheme="majorBidi" w:cstheme="majorBidi"/>
          <w:sz w:val="24"/>
          <w:szCs w:val="24"/>
          <w:rtl/>
        </w:rPr>
        <w:t>أجندات</w:t>
      </w:r>
      <w:proofErr w:type="gramEnd"/>
      <w:r w:rsidRPr="00CF7571">
        <w:rPr>
          <w:rFonts w:asciiTheme="majorBidi" w:eastAsia="Times New Roman" w:hAnsiTheme="majorBidi" w:cstheme="majorBidi"/>
          <w:sz w:val="24"/>
          <w:szCs w:val="24"/>
          <w:rtl/>
        </w:rPr>
        <w:t xml:space="preserve"> مسبقة أو إرضاء جهات تمويلية أو </w:t>
      </w:r>
      <w:proofErr w:type="spellStart"/>
      <w:r w:rsidRPr="00CF7571">
        <w:rPr>
          <w:rFonts w:asciiTheme="majorBidi" w:eastAsia="Times New Roman" w:hAnsiTheme="majorBidi" w:cstheme="majorBidi"/>
          <w:sz w:val="24"/>
          <w:szCs w:val="24"/>
          <w:rtl/>
        </w:rPr>
        <w:t>ممنحة</w:t>
      </w:r>
      <w:proofErr w:type="spellEnd"/>
      <w:r w:rsidRPr="00CF7571">
        <w:rPr>
          <w:rFonts w:asciiTheme="majorBidi" w:eastAsia="Times New Roman" w:hAnsiTheme="majorBidi" w:cstheme="majorBidi"/>
          <w:sz w:val="24"/>
          <w:szCs w:val="24"/>
          <w:rtl/>
        </w:rPr>
        <w:t>، ومن يُقرّ بحدود بحثه وقيوده المنهجية بدلًا من المبالغة في تعميم نتائجه</w:t>
      </w:r>
      <w:r w:rsidRPr="00CF7571">
        <w:rPr>
          <w:rFonts w:asciiTheme="majorBidi" w:eastAsia="Times New Roman" w:hAnsiTheme="majorBidi" w:cstheme="majorBidi"/>
          <w:sz w:val="24"/>
          <w:szCs w:val="24"/>
        </w:rPr>
        <w:t xml:space="preserve"> (Resnik, 2015). </w:t>
      </w:r>
      <w:r w:rsidRPr="00CF7571">
        <w:rPr>
          <w:rFonts w:asciiTheme="majorBidi" w:eastAsia="Times New Roman" w:hAnsiTheme="majorBidi" w:cstheme="majorBidi"/>
          <w:sz w:val="24"/>
          <w:szCs w:val="24"/>
          <w:rtl/>
        </w:rPr>
        <w:t xml:space="preserve">ومثال ذلك في البحوث الاقتصادية </w:t>
      </w:r>
      <w:proofErr w:type="gramStart"/>
      <w:r w:rsidRPr="00CF7571">
        <w:rPr>
          <w:rFonts w:asciiTheme="majorBidi" w:eastAsia="Times New Roman" w:hAnsiTheme="majorBidi" w:cstheme="majorBidi"/>
          <w:sz w:val="24"/>
          <w:szCs w:val="24"/>
          <w:rtl/>
        </w:rPr>
        <w:t>أن لا</w:t>
      </w:r>
      <w:proofErr w:type="gramEnd"/>
      <w:r w:rsidRPr="00CF7571">
        <w:rPr>
          <w:rFonts w:asciiTheme="majorBidi" w:eastAsia="Times New Roman" w:hAnsiTheme="majorBidi" w:cstheme="majorBidi"/>
          <w:sz w:val="24"/>
          <w:szCs w:val="24"/>
          <w:rtl/>
        </w:rPr>
        <w:t xml:space="preserve"> يُنحّي الباحث النتائج غير المدعومة إحصائيًا جانبًا ويُبرز فقط النتائج الموافقة لفروضه المسبقة</w:t>
      </w:r>
      <w:r w:rsidRPr="00CF7571">
        <w:rPr>
          <w:rFonts w:asciiTheme="majorBidi" w:eastAsia="Times New Roman" w:hAnsiTheme="majorBidi" w:cstheme="majorBidi"/>
          <w:sz w:val="24"/>
          <w:szCs w:val="24"/>
        </w:rPr>
        <w:t>.</w:t>
      </w:r>
    </w:p>
    <w:p w14:paraId="4CB05A53" w14:textId="77777777" w:rsidR="00CF7571" w:rsidRPr="00CF7571" w:rsidRDefault="00CF7571" w:rsidP="00CF7571">
      <w:pPr>
        <w:spacing w:line="360" w:lineRule="auto"/>
        <w:jc w:val="both"/>
        <w:rPr>
          <w:rFonts w:asciiTheme="majorBidi" w:eastAsia="Times New Roman" w:hAnsiTheme="majorBidi" w:cstheme="majorBidi"/>
          <w:sz w:val="24"/>
          <w:szCs w:val="24"/>
        </w:rPr>
      </w:pPr>
      <w:r w:rsidRPr="00CF7571">
        <w:rPr>
          <w:rFonts w:asciiTheme="majorBidi" w:eastAsia="Times New Roman" w:hAnsiTheme="majorBidi" w:cstheme="majorBidi"/>
          <w:b/>
          <w:bCs/>
          <w:sz w:val="24"/>
          <w:szCs w:val="24"/>
          <w:rtl/>
        </w:rPr>
        <w:t>ثالثًا - الموضوعية</w:t>
      </w:r>
      <w:r w:rsidRPr="00CF7571">
        <w:rPr>
          <w:rFonts w:asciiTheme="majorBidi" w:eastAsia="Times New Roman" w:hAnsiTheme="majorBidi" w:cstheme="majorBidi"/>
          <w:b/>
          <w:bCs/>
          <w:sz w:val="24"/>
          <w:szCs w:val="24"/>
        </w:rPr>
        <w:t>:</w:t>
      </w:r>
    </w:p>
    <w:p w14:paraId="2485FBFE" w14:textId="77777777" w:rsidR="00CF7571" w:rsidRPr="00CF7571" w:rsidRDefault="00CF7571" w:rsidP="00CF7571">
      <w:pPr>
        <w:spacing w:line="360" w:lineRule="auto"/>
        <w:jc w:val="both"/>
        <w:rPr>
          <w:rFonts w:asciiTheme="majorBidi" w:eastAsia="Times New Roman" w:hAnsiTheme="majorBidi" w:cstheme="majorBidi"/>
          <w:sz w:val="24"/>
          <w:szCs w:val="24"/>
        </w:rPr>
      </w:pPr>
      <w:r w:rsidRPr="00CF7571">
        <w:rPr>
          <w:rFonts w:asciiTheme="majorBidi" w:eastAsia="Times New Roman" w:hAnsiTheme="majorBidi" w:cstheme="majorBidi"/>
          <w:sz w:val="24"/>
          <w:szCs w:val="24"/>
          <w:rtl/>
        </w:rPr>
        <w:t xml:space="preserve">يقتضي هذا المبدأ أن يتعامل الباحث مع البيانات والظواهر التي يدرسها بعقل منفتح وخالٍ من الأحكام المسبقة، مستعينًا بأساليب إحصائية وتحليلية موضوعية لا تتأثر بميوله أو توقعاته أو انتماءاته. ويرتبط هذا المبدأ بمفهوم الحياد الذي تُولي له مدارس فلسفة العلوم أهمية كبرى في تمييز البحث العلمي عن غيره من أشكال الخطاب الإنساني </w:t>
      </w:r>
      <w:r w:rsidRPr="00CF7571">
        <w:rPr>
          <w:rFonts w:asciiTheme="majorBidi" w:eastAsia="Times New Roman" w:hAnsiTheme="majorBidi" w:cstheme="majorBidi"/>
          <w:sz w:val="24"/>
          <w:szCs w:val="24"/>
        </w:rPr>
        <w:t xml:space="preserve">(Israel &amp; Hay, 2006). </w:t>
      </w:r>
      <w:r w:rsidRPr="00CF7571">
        <w:rPr>
          <w:rFonts w:asciiTheme="majorBidi" w:eastAsia="Times New Roman" w:hAnsiTheme="majorBidi" w:cstheme="majorBidi"/>
          <w:sz w:val="24"/>
          <w:szCs w:val="24"/>
          <w:rtl/>
        </w:rPr>
        <w:t>ومثال ذلك في دراستنا الحالية أن يُحلّل الباحث نتائج الاستبانة وفق الأرقام الفعلية بغض النظر عمّا إذا كانت تدعم فروضه أم تخالفها</w:t>
      </w:r>
      <w:r w:rsidRPr="00CF7571">
        <w:rPr>
          <w:rFonts w:asciiTheme="majorBidi" w:eastAsia="Times New Roman" w:hAnsiTheme="majorBidi" w:cstheme="majorBidi"/>
          <w:sz w:val="24"/>
          <w:szCs w:val="24"/>
        </w:rPr>
        <w:t>.</w:t>
      </w:r>
    </w:p>
    <w:p w14:paraId="432110F2" w14:textId="77777777" w:rsidR="00CF7571" w:rsidRPr="00CF7571" w:rsidRDefault="00CF7571" w:rsidP="00CF7571">
      <w:pPr>
        <w:spacing w:line="360" w:lineRule="auto"/>
        <w:jc w:val="both"/>
        <w:rPr>
          <w:rFonts w:asciiTheme="majorBidi" w:eastAsia="Times New Roman" w:hAnsiTheme="majorBidi" w:cstheme="majorBidi"/>
          <w:sz w:val="24"/>
          <w:szCs w:val="24"/>
        </w:rPr>
      </w:pPr>
      <w:r w:rsidRPr="00CF7571">
        <w:rPr>
          <w:rFonts w:asciiTheme="majorBidi" w:eastAsia="Times New Roman" w:hAnsiTheme="majorBidi" w:cstheme="majorBidi"/>
          <w:b/>
          <w:bCs/>
          <w:sz w:val="24"/>
          <w:szCs w:val="24"/>
          <w:rtl/>
        </w:rPr>
        <w:t>رابعًا - السرية وحفظ الخصوصية</w:t>
      </w:r>
      <w:r w:rsidRPr="00CF7571">
        <w:rPr>
          <w:rFonts w:asciiTheme="majorBidi" w:eastAsia="Times New Roman" w:hAnsiTheme="majorBidi" w:cstheme="majorBidi"/>
          <w:b/>
          <w:bCs/>
          <w:sz w:val="24"/>
          <w:szCs w:val="24"/>
        </w:rPr>
        <w:t>:</w:t>
      </w:r>
    </w:p>
    <w:p w14:paraId="6693ED4D" w14:textId="77777777" w:rsidR="00CF7571" w:rsidRPr="00CF7571" w:rsidRDefault="00CF7571" w:rsidP="00CF7571">
      <w:pPr>
        <w:spacing w:line="360" w:lineRule="auto"/>
        <w:jc w:val="both"/>
        <w:rPr>
          <w:rFonts w:asciiTheme="majorBidi" w:eastAsia="Times New Roman" w:hAnsiTheme="majorBidi" w:cstheme="majorBidi"/>
          <w:sz w:val="24"/>
          <w:szCs w:val="24"/>
        </w:rPr>
      </w:pPr>
      <w:r w:rsidRPr="00CF7571">
        <w:rPr>
          <w:rFonts w:asciiTheme="majorBidi" w:eastAsia="Times New Roman" w:hAnsiTheme="majorBidi" w:cstheme="majorBidi"/>
          <w:sz w:val="24"/>
          <w:szCs w:val="24"/>
          <w:rtl/>
        </w:rPr>
        <w:lastRenderedPageBreak/>
        <w:t>يُلزم هذا المبدأ الباحث بصون المعلومات التي يُدلي بها المشاركون في الدراسة وعدم الإفصاح عنها لأطراف غير مخوّلة، وحماية هوياتهم الشخصية من أي انكشاف قد يُسبب لهم ضررًا أو إحراجًا. وقد اكتسبت الخصوصية البحثية أبعادًا تقنية جديدة في عصر البيانات الرقمية، حيث باتت أنظمة التخزين والمعالجة الإلكترونية مدخلًا محتملًا لاختراق بيانات المشاركين ما لم تُتخذ إجراءات حماية كافية</w:t>
      </w:r>
      <w:r w:rsidRPr="00CF7571">
        <w:rPr>
          <w:rFonts w:asciiTheme="majorBidi" w:eastAsia="Times New Roman" w:hAnsiTheme="majorBidi" w:cstheme="majorBidi"/>
          <w:sz w:val="24"/>
          <w:szCs w:val="24"/>
        </w:rPr>
        <w:t xml:space="preserve"> (APA, 2020). </w:t>
      </w:r>
      <w:r w:rsidRPr="00CF7571">
        <w:rPr>
          <w:rFonts w:asciiTheme="majorBidi" w:eastAsia="Times New Roman" w:hAnsiTheme="majorBidi" w:cstheme="majorBidi"/>
          <w:sz w:val="24"/>
          <w:szCs w:val="24"/>
          <w:rtl/>
        </w:rPr>
        <w:t xml:space="preserve">ومثال ذلك </w:t>
      </w:r>
      <w:proofErr w:type="gramStart"/>
      <w:r w:rsidRPr="00CF7571">
        <w:rPr>
          <w:rFonts w:asciiTheme="majorBidi" w:eastAsia="Times New Roman" w:hAnsiTheme="majorBidi" w:cstheme="majorBidi"/>
          <w:sz w:val="24"/>
          <w:szCs w:val="24"/>
          <w:rtl/>
        </w:rPr>
        <w:t>أن لا</w:t>
      </w:r>
      <w:proofErr w:type="gramEnd"/>
      <w:r w:rsidRPr="00CF7571">
        <w:rPr>
          <w:rFonts w:asciiTheme="majorBidi" w:eastAsia="Times New Roman" w:hAnsiTheme="majorBidi" w:cstheme="majorBidi"/>
          <w:sz w:val="24"/>
          <w:szCs w:val="24"/>
          <w:rtl/>
        </w:rPr>
        <w:t xml:space="preserve"> تُذكر أسماء الشركات أو الأفراد في نتائج الدراسة المنشورة بما قد يُشير إلى هوية المستجيب</w:t>
      </w:r>
      <w:r w:rsidRPr="00CF7571">
        <w:rPr>
          <w:rFonts w:asciiTheme="majorBidi" w:eastAsia="Times New Roman" w:hAnsiTheme="majorBidi" w:cstheme="majorBidi"/>
          <w:sz w:val="24"/>
          <w:szCs w:val="24"/>
        </w:rPr>
        <w:t>.</w:t>
      </w:r>
    </w:p>
    <w:p w14:paraId="5403978F" w14:textId="77777777" w:rsidR="00CF7571" w:rsidRPr="00CF7571" w:rsidRDefault="00CF7571" w:rsidP="00CF7571">
      <w:pPr>
        <w:spacing w:line="360" w:lineRule="auto"/>
        <w:jc w:val="both"/>
        <w:rPr>
          <w:rFonts w:asciiTheme="majorBidi" w:eastAsia="Times New Roman" w:hAnsiTheme="majorBidi" w:cstheme="majorBidi"/>
          <w:sz w:val="24"/>
          <w:szCs w:val="24"/>
        </w:rPr>
      </w:pPr>
      <w:r w:rsidRPr="00CF7571">
        <w:rPr>
          <w:rFonts w:asciiTheme="majorBidi" w:eastAsia="Times New Roman" w:hAnsiTheme="majorBidi" w:cstheme="majorBidi"/>
          <w:b/>
          <w:bCs/>
          <w:sz w:val="24"/>
          <w:szCs w:val="24"/>
          <w:rtl/>
        </w:rPr>
        <w:t>خامسًا - الموافقة المستنيرة</w:t>
      </w:r>
      <w:r w:rsidRPr="00CF7571">
        <w:rPr>
          <w:rFonts w:asciiTheme="majorBidi" w:eastAsia="Times New Roman" w:hAnsiTheme="majorBidi" w:cstheme="majorBidi"/>
          <w:b/>
          <w:bCs/>
          <w:sz w:val="24"/>
          <w:szCs w:val="24"/>
        </w:rPr>
        <w:t>:</w:t>
      </w:r>
    </w:p>
    <w:p w14:paraId="28DA3B11" w14:textId="77777777" w:rsidR="00CF7571" w:rsidRPr="00CF7571" w:rsidRDefault="00CF7571" w:rsidP="00CF7571">
      <w:pPr>
        <w:spacing w:line="360" w:lineRule="auto"/>
        <w:jc w:val="both"/>
        <w:rPr>
          <w:rFonts w:asciiTheme="majorBidi" w:eastAsia="Times New Roman" w:hAnsiTheme="majorBidi" w:cstheme="majorBidi"/>
          <w:sz w:val="24"/>
          <w:szCs w:val="24"/>
        </w:rPr>
      </w:pPr>
      <w:r w:rsidRPr="00CF7571">
        <w:rPr>
          <w:rFonts w:asciiTheme="majorBidi" w:eastAsia="Times New Roman" w:hAnsiTheme="majorBidi" w:cstheme="majorBidi"/>
          <w:sz w:val="24"/>
          <w:szCs w:val="24"/>
          <w:rtl/>
        </w:rPr>
        <w:t>تُعدّ الموافقة المستنيرة من أبرز ركائز الأخلاقيات البحثية في الدراسات الاجتماعية والإنسانية، وتعني أن يكون المشارك في الدراسة على وعي كامل بطبيعة البحث وأهدافه وأساليبه وما قد ينجم عن مشاركته من تبعات، وأن يُبدي موافقته الحرة غير المكرهة على المشاركة وفق هذا الفهم</w:t>
      </w:r>
      <w:r w:rsidRPr="00CF7571">
        <w:rPr>
          <w:rFonts w:asciiTheme="majorBidi" w:eastAsia="Times New Roman" w:hAnsiTheme="majorBidi" w:cstheme="majorBidi"/>
          <w:sz w:val="24"/>
          <w:szCs w:val="24"/>
        </w:rPr>
        <w:t xml:space="preserve"> (Beauchamp &amp; Childress, 2019). </w:t>
      </w:r>
      <w:r w:rsidRPr="00CF7571">
        <w:rPr>
          <w:rFonts w:asciiTheme="majorBidi" w:eastAsia="Times New Roman" w:hAnsiTheme="majorBidi" w:cstheme="majorBidi"/>
          <w:sz w:val="24"/>
          <w:szCs w:val="24"/>
          <w:rtl/>
        </w:rPr>
        <w:t xml:space="preserve">ويشترط هذا المبدأ كذلك أن يُتاح للمشارك حق الانسحاب من الدراسة في أي وقت دون أن يترتب على ذلك أي تبعات سلبية. ومثال تطبيقي في الدراسات </w:t>
      </w:r>
      <w:proofErr w:type="spellStart"/>
      <w:r w:rsidRPr="00CF7571">
        <w:rPr>
          <w:rFonts w:asciiTheme="majorBidi" w:eastAsia="Times New Roman" w:hAnsiTheme="majorBidi" w:cstheme="majorBidi"/>
          <w:sz w:val="24"/>
          <w:szCs w:val="24"/>
          <w:rtl/>
        </w:rPr>
        <w:t>الاستبيانية</w:t>
      </w:r>
      <w:proofErr w:type="spellEnd"/>
      <w:r w:rsidRPr="00CF7571">
        <w:rPr>
          <w:rFonts w:asciiTheme="majorBidi" w:eastAsia="Times New Roman" w:hAnsiTheme="majorBidi" w:cstheme="majorBidi"/>
          <w:sz w:val="24"/>
          <w:szCs w:val="24"/>
          <w:rtl/>
        </w:rPr>
        <w:t xml:space="preserve"> أن يتضمن المقدمة المنهجية للاستبيان فقرة واضحة تُفصح للمستجيب عن الغرض من الدراسة وطريقة استخدام بياناته وحقه في التراجع عن المشاركة</w:t>
      </w:r>
      <w:r w:rsidRPr="00CF7571">
        <w:rPr>
          <w:rFonts w:asciiTheme="majorBidi" w:eastAsia="Times New Roman" w:hAnsiTheme="majorBidi" w:cstheme="majorBidi"/>
          <w:sz w:val="24"/>
          <w:szCs w:val="24"/>
        </w:rPr>
        <w:t>.</w:t>
      </w:r>
    </w:p>
    <w:p w14:paraId="6C9D040C" w14:textId="77777777" w:rsidR="00CF7571" w:rsidRPr="00CF7571" w:rsidRDefault="00CF7571" w:rsidP="00CF7571">
      <w:pPr>
        <w:spacing w:line="360" w:lineRule="auto"/>
        <w:jc w:val="both"/>
        <w:rPr>
          <w:rFonts w:asciiTheme="majorBidi" w:eastAsia="Times New Roman" w:hAnsiTheme="majorBidi" w:cstheme="majorBidi"/>
          <w:b/>
          <w:bCs/>
          <w:i/>
          <w:iCs/>
          <w:sz w:val="28"/>
          <w:szCs w:val="28"/>
        </w:rPr>
      </w:pPr>
      <w:r w:rsidRPr="00CF7571">
        <w:rPr>
          <w:rFonts w:asciiTheme="majorBidi" w:eastAsia="Times New Roman" w:hAnsiTheme="majorBidi" w:cstheme="majorBidi"/>
          <w:b/>
          <w:bCs/>
          <w:i/>
          <w:iCs/>
          <w:sz w:val="28"/>
          <w:szCs w:val="28"/>
          <w:rtl/>
        </w:rPr>
        <w:t>القضايا الأخلاقية في البحث العلمي</w:t>
      </w:r>
      <w:r w:rsidRPr="00CF7571">
        <w:rPr>
          <w:rFonts w:asciiTheme="majorBidi" w:eastAsia="Times New Roman" w:hAnsiTheme="majorBidi" w:cstheme="majorBidi"/>
          <w:b/>
          <w:bCs/>
          <w:i/>
          <w:iCs/>
          <w:sz w:val="28"/>
          <w:szCs w:val="28"/>
        </w:rPr>
        <w:t>:</w:t>
      </w:r>
    </w:p>
    <w:p w14:paraId="5EB13B3D" w14:textId="77777777" w:rsidR="00CF7571" w:rsidRPr="00CF7571" w:rsidRDefault="00CF7571" w:rsidP="00CF7571">
      <w:pPr>
        <w:spacing w:line="360" w:lineRule="auto"/>
        <w:jc w:val="both"/>
        <w:rPr>
          <w:rFonts w:asciiTheme="majorBidi" w:eastAsia="Times New Roman" w:hAnsiTheme="majorBidi" w:cstheme="majorBidi"/>
          <w:sz w:val="24"/>
          <w:szCs w:val="24"/>
        </w:rPr>
      </w:pPr>
      <w:r w:rsidRPr="00CF7571">
        <w:rPr>
          <w:rFonts w:asciiTheme="majorBidi" w:eastAsia="Times New Roman" w:hAnsiTheme="majorBidi" w:cstheme="majorBidi"/>
          <w:b/>
          <w:bCs/>
          <w:sz w:val="24"/>
          <w:szCs w:val="24"/>
          <w:rtl/>
        </w:rPr>
        <w:t>أولاً - الانتحال العلمي</w:t>
      </w:r>
      <w:r w:rsidRPr="00CF7571">
        <w:rPr>
          <w:rFonts w:asciiTheme="majorBidi" w:eastAsia="Times New Roman" w:hAnsiTheme="majorBidi" w:cstheme="majorBidi"/>
          <w:b/>
          <w:bCs/>
          <w:sz w:val="24"/>
          <w:szCs w:val="24"/>
        </w:rPr>
        <w:t xml:space="preserve"> (Plagiarism):</w:t>
      </w:r>
    </w:p>
    <w:p w14:paraId="503A8F2A" w14:textId="77777777" w:rsidR="00CF7571" w:rsidRPr="00CF7571" w:rsidRDefault="00CF7571" w:rsidP="00CF7571">
      <w:pPr>
        <w:spacing w:line="360" w:lineRule="auto"/>
        <w:jc w:val="both"/>
        <w:rPr>
          <w:rFonts w:asciiTheme="majorBidi" w:eastAsia="Times New Roman" w:hAnsiTheme="majorBidi" w:cstheme="majorBidi"/>
          <w:sz w:val="24"/>
          <w:szCs w:val="24"/>
        </w:rPr>
      </w:pPr>
      <w:r w:rsidRPr="00CF7571">
        <w:rPr>
          <w:rFonts w:asciiTheme="majorBidi" w:eastAsia="Times New Roman" w:hAnsiTheme="majorBidi" w:cstheme="majorBidi"/>
          <w:sz w:val="24"/>
          <w:szCs w:val="24"/>
          <w:rtl/>
        </w:rPr>
        <w:t xml:space="preserve">يُعرَّف الانتحال العلمي بأنه نسب </w:t>
      </w:r>
      <w:proofErr w:type="gramStart"/>
      <w:r w:rsidRPr="00CF7571">
        <w:rPr>
          <w:rFonts w:asciiTheme="majorBidi" w:eastAsia="Times New Roman" w:hAnsiTheme="majorBidi" w:cstheme="majorBidi"/>
          <w:sz w:val="24"/>
          <w:szCs w:val="24"/>
          <w:rtl/>
        </w:rPr>
        <w:t>أعمال</w:t>
      </w:r>
      <w:proofErr w:type="gramEnd"/>
      <w:r w:rsidRPr="00CF7571">
        <w:rPr>
          <w:rFonts w:asciiTheme="majorBidi" w:eastAsia="Times New Roman" w:hAnsiTheme="majorBidi" w:cstheme="majorBidi"/>
          <w:sz w:val="24"/>
          <w:szCs w:val="24"/>
          <w:rtl/>
        </w:rPr>
        <w:t xml:space="preserve"> أو أفكار أو نصوص أو بيانات تعود لباحثين آخرين إلى النفس دون الاعتراف بمصادرها الأصلية أو توثيقها بصورة صحيحة، سواء أكان ذلك انتحالًا حرفيًا كنسخ نصوص بالكامل، أم انتحالًا مفاهيميًا كإعادة صياغة الأفكار دون إشارة لأصحابها. وقد أصبحت هذه القضية من أكثر المخالفات الأخلاقية شيوعًا في الوسط الأكاديمي مع انتشار الوصول الرقمي للمحتوى العلمي، مما استدعى تطوير برامج متخصصة للكشف عنه كـ</w:t>
      </w:r>
      <w:r w:rsidRPr="00CF7571">
        <w:rPr>
          <w:rFonts w:asciiTheme="majorBidi" w:eastAsia="Times New Roman" w:hAnsiTheme="majorBidi" w:cstheme="majorBidi"/>
          <w:sz w:val="24"/>
          <w:szCs w:val="24"/>
        </w:rPr>
        <w:t xml:space="preserve"> </w:t>
      </w:r>
      <w:proofErr w:type="spellStart"/>
      <w:r w:rsidRPr="00CF7571">
        <w:rPr>
          <w:rFonts w:asciiTheme="majorBidi" w:eastAsia="Times New Roman" w:hAnsiTheme="majorBidi" w:cstheme="majorBidi"/>
          <w:sz w:val="24"/>
          <w:szCs w:val="24"/>
        </w:rPr>
        <w:t>iThenticate</w:t>
      </w:r>
      <w:proofErr w:type="spellEnd"/>
      <w:r w:rsidRPr="00CF7571">
        <w:rPr>
          <w:rFonts w:asciiTheme="majorBidi" w:eastAsia="Times New Roman" w:hAnsiTheme="majorBidi" w:cstheme="majorBidi"/>
          <w:sz w:val="24"/>
          <w:szCs w:val="24"/>
        </w:rPr>
        <w:t xml:space="preserve"> </w:t>
      </w:r>
      <w:r w:rsidRPr="00CF7571">
        <w:rPr>
          <w:rFonts w:asciiTheme="majorBidi" w:eastAsia="Times New Roman" w:hAnsiTheme="majorBidi" w:cstheme="majorBidi"/>
          <w:sz w:val="24"/>
          <w:szCs w:val="24"/>
          <w:rtl/>
        </w:rPr>
        <w:t>و</w:t>
      </w:r>
      <w:r w:rsidRPr="00CF7571">
        <w:rPr>
          <w:rFonts w:asciiTheme="majorBidi" w:eastAsia="Times New Roman" w:hAnsiTheme="majorBidi" w:cstheme="majorBidi"/>
          <w:sz w:val="24"/>
          <w:szCs w:val="24"/>
        </w:rPr>
        <w:t xml:space="preserve">Turnitin (Resnik, 2015). </w:t>
      </w:r>
      <w:r w:rsidRPr="00CF7571">
        <w:rPr>
          <w:rFonts w:asciiTheme="majorBidi" w:eastAsia="Times New Roman" w:hAnsiTheme="majorBidi" w:cstheme="majorBidi"/>
          <w:sz w:val="24"/>
          <w:szCs w:val="24"/>
          <w:rtl/>
        </w:rPr>
        <w:t>ومثال افتراضي على ذلك في مجال دراستنا أن يأخذ الباحث الإطار النظري لتطوير العقارات اللوجستية بالكامل من دراسة</w:t>
      </w:r>
      <w:r w:rsidRPr="00CF7571">
        <w:rPr>
          <w:rFonts w:asciiTheme="majorBidi" w:eastAsia="Times New Roman" w:hAnsiTheme="majorBidi" w:cstheme="majorBidi"/>
          <w:sz w:val="24"/>
          <w:szCs w:val="24"/>
        </w:rPr>
        <w:t xml:space="preserve"> Baglio et al. (2022) </w:t>
      </w:r>
      <w:r w:rsidRPr="00CF7571">
        <w:rPr>
          <w:rFonts w:asciiTheme="majorBidi" w:eastAsia="Times New Roman" w:hAnsiTheme="majorBidi" w:cstheme="majorBidi"/>
          <w:sz w:val="24"/>
          <w:szCs w:val="24"/>
          <w:rtl/>
        </w:rPr>
        <w:t>دون أن يُحيل إليها أو ينسب أفكارها لأصحابها</w:t>
      </w:r>
      <w:r w:rsidRPr="00CF7571">
        <w:rPr>
          <w:rFonts w:asciiTheme="majorBidi" w:eastAsia="Times New Roman" w:hAnsiTheme="majorBidi" w:cstheme="majorBidi"/>
          <w:sz w:val="24"/>
          <w:szCs w:val="24"/>
        </w:rPr>
        <w:t>.</w:t>
      </w:r>
    </w:p>
    <w:p w14:paraId="71932FB2" w14:textId="77777777" w:rsidR="00CF7571" w:rsidRPr="00CF7571" w:rsidRDefault="00CF7571" w:rsidP="00CF7571">
      <w:pPr>
        <w:spacing w:line="360" w:lineRule="auto"/>
        <w:jc w:val="both"/>
        <w:rPr>
          <w:rFonts w:asciiTheme="majorBidi" w:eastAsia="Times New Roman" w:hAnsiTheme="majorBidi" w:cstheme="majorBidi"/>
          <w:sz w:val="24"/>
          <w:szCs w:val="24"/>
        </w:rPr>
      </w:pPr>
      <w:r w:rsidRPr="00CF7571">
        <w:rPr>
          <w:rFonts w:asciiTheme="majorBidi" w:eastAsia="Times New Roman" w:hAnsiTheme="majorBidi" w:cstheme="majorBidi"/>
          <w:b/>
          <w:bCs/>
          <w:sz w:val="24"/>
          <w:szCs w:val="24"/>
          <w:rtl/>
        </w:rPr>
        <w:t>ثانيًا - تزوير البيانات وتلفيقها</w:t>
      </w:r>
      <w:r w:rsidRPr="00CF7571">
        <w:rPr>
          <w:rFonts w:asciiTheme="majorBidi" w:eastAsia="Times New Roman" w:hAnsiTheme="majorBidi" w:cstheme="majorBidi"/>
          <w:b/>
          <w:bCs/>
          <w:sz w:val="24"/>
          <w:szCs w:val="24"/>
        </w:rPr>
        <w:t>:</w:t>
      </w:r>
    </w:p>
    <w:p w14:paraId="3699C004" w14:textId="77777777" w:rsidR="00CF7571" w:rsidRPr="00CF7571" w:rsidRDefault="00CF7571" w:rsidP="00CF7571">
      <w:pPr>
        <w:spacing w:line="360" w:lineRule="auto"/>
        <w:jc w:val="both"/>
        <w:rPr>
          <w:rFonts w:asciiTheme="majorBidi" w:eastAsia="Times New Roman" w:hAnsiTheme="majorBidi" w:cstheme="majorBidi"/>
          <w:sz w:val="24"/>
          <w:szCs w:val="24"/>
        </w:rPr>
      </w:pPr>
      <w:r w:rsidRPr="00CF7571">
        <w:rPr>
          <w:rFonts w:asciiTheme="majorBidi" w:eastAsia="Times New Roman" w:hAnsiTheme="majorBidi" w:cstheme="majorBidi"/>
          <w:sz w:val="24"/>
          <w:szCs w:val="24"/>
          <w:rtl/>
        </w:rPr>
        <w:t>يشمل تزوير البيانات تعديل أو اختلاق نتائج أو قياسات بحثية لا أساس لها في الواقع الفعلي بغية الحصول على نتائج تبدو ذات دلالة إحصائية أو تدعم الفروض المسبقة للباحث. ويُعدّ هذا النوع من الانتهاك الأخلاقي من أخطر الجرائم في عالم البحث العلمي، إذ ينسف الثقة بالمعرفة المنشورة ويُفضي إلى تضليل السياسات العامة والقرارات الاستثمارية المبنية على تلك المعرفة</w:t>
      </w:r>
      <w:r w:rsidRPr="00CF7571">
        <w:rPr>
          <w:rFonts w:asciiTheme="majorBidi" w:eastAsia="Times New Roman" w:hAnsiTheme="majorBidi" w:cstheme="majorBidi"/>
          <w:sz w:val="24"/>
          <w:szCs w:val="24"/>
        </w:rPr>
        <w:t xml:space="preserve"> (Steneck, 2007). </w:t>
      </w:r>
      <w:r w:rsidRPr="00CF7571">
        <w:rPr>
          <w:rFonts w:asciiTheme="majorBidi" w:eastAsia="Times New Roman" w:hAnsiTheme="majorBidi" w:cstheme="majorBidi"/>
          <w:sz w:val="24"/>
          <w:szCs w:val="24"/>
          <w:rtl/>
        </w:rPr>
        <w:t>ومثال واقعي على ذلك ما تعرّض له بعض الباحثين في مجال علم النفس الاجتماعي الأوروبي خلال العقد الثاني من الألفية الثالثة من كشف عمليات تلفيق واسعة للبيانات أدت إلى سحب عشرات الأوراق البحثية من مجلات علمية رصينة</w:t>
      </w:r>
      <w:r w:rsidRPr="00CF7571">
        <w:rPr>
          <w:rFonts w:asciiTheme="majorBidi" w:eastAsia="Times New Roman" w:hAnsiTheme="majorBidi" w:cstheme="majorBidi"/>
          <w:sz w:val="24"/>
          <w:szCs w:val="24"/>
        </w:rPr>
        <w:t>.</w:t>
      </w:r>
    </w:p>
    <w:p w14:paraId="43683923" w14:textId="77777777" w:rsidR="00CF7571" w:rsidRPr="00CF7571" w:rsidRDefault="00CF7571" w:rsidP="00CF7571">
      <w:pPr>
        <w:spacing w:line="360" w:lineRule="auto"/>
        <w:jc w:val="both"/>
        <w:rPr>
          <w:rFonts w:asciiTheme="majorBidi" w:eastAsia="Times New Roman" w:hAnsiTheme="majorBidi" w:cstheme="majorBidi"/>
          <w:sz w:val="24"/>
          <w:szCs w:val="24"/>
        </w:rPr>
      </w:pPr>
      <w:r w:rsidRPr="00CF7571">
        <w:rPr>
          <w:rFonts w:asciiTheme="majorBidi" w:eastAsia="Times New Roman" w:hAnsiTheme="majorBidi" w:cstheme="majorBidi"/>
          <w:b/>
          <w:bCs/>
          <w:sz w:val="24"/>
          <w:szCs w:val="24"/>
          <w:rtl/>
        </w:rPr>
        <w:t>ثالثًا - التحيز البحثي</w:t>
      </w:r>
      <w:r w:rsidRPr="00CF7571">
        <w:rPr>
          <w:rFonts w:asciiTheme="majorBidi" w:eastAsia="Times New Roman" w:hAnsiTheme="majorBidi" w:cstheme="majorBidi"/>
          <w:b/>
          <w:bCs/>
          <w:sz w:val="24"/>
          <w:szCs w:val="24"/>
        </w:rPr>
        <w:t>:</w:t>
      </w:r>
    </w:p>
    <w:p w14:paraId="1064CBD5" w14:textId="77777777" w:rsidR="00CF7571" w:rsidRPr="00CF7571" w:rsidRDefault="00CF7571" w:rsidP="00CF7571">
      <w:pPr>
        <w:spacing w:line="360" w:lineRule="auto"/>
        <w:jc w:val="both"/>
        <w:rPr>
          <w:rFonts w:asciiTheme="majorBidi" w:eastAsia="Times New Roman" w:hAnsiTheme="majorBidi" w:cstheme="majorBidi"/>
          <w:sz w:val="24"/>
          <w:szCs w:val="24"/>
        </w:rPr>
      </w:pPr>
      <w:r w:rsidRPr="00CF7571">
        <w:rPr>
          <w:rFonts w:asciiTheme="majorBidi" w:eastAsia="Times New Roman" w:hAnsiTheme="majorBidi" w:cstheme="majorBidi"/>
          <w:sz w:val="24"/>
          <w:szCs w:val="24"/>
          <w:rtl/>
        </w:rPr>
        <w:lastRenderedPageBreak/>
        <w:t xml:space="preserve">يُقصد بالتحيز البحثي ذلك الانحياز المقصود أو غير المقصود الذي يتسلل إلى مراحل مختلفة من العملية البحثية، بدءًا من صياغة الفروض وانتهاءً بتفسير النتائج، ويؤدي إلى تشويه الصورة الحقيقية للواقع الذي يسعى البحث إلى دراسته. ويتجلى التحيز في الدراسات الميدانية في عدة أشكال، منها التحيز في اختيار العينة حين لا تُمثّل المجتمع الأصلي تمثيلًا حقيقيًا، أو التحيز في أسلوب صياغة أسئلة </w:t>
      </w:r>
      <w:proofErr w:type="gramStart"/>
      <w:r w:rsidRPr="00CF7571">
        <w:rPr>
          <w:rFonts w:asciiTheme="majorBidi" w:eastAsia="Times New Roman" w:hAnsiTheme="majorBidi" w:cstheme="majorBidi"/>
          <w:sz w:val="24"/>
          <w:szCs w:val="24"/>
          <w:rtl/>
        </w:rPr>
        <w:t>الاستبيان</w:t>
      </w:r>
      <w:proofErr w:type="gramEnd"/>
      <w:r w:rsidRPr="00CF7571">
        <w:rPr>
          <w:rFonts w:asciiTheme="majorBidi" w:eastAsia="Times New Roman" w:hAnsiTheme="majorBidi" w:cstheme="majorBidi"/>
          <w:sz w:val="24"/>
          <w:szCs w:val="24"/>
          <w:rtl/>
        </w:rPr>
        <w:t xml:space="preserve"> بطريقة تُوجّه المستجيب نحو إجابات بعينها</w:t>
      </w:r>
      <w:r w:rsidRPr="00CF7571">
        <w:rPr>
          <w:rFonts w:asciiTheme="majorBidi" w:eastAsia="Times New Roman" w:hAnsiTheme="majorBidi" w:cstheme="majorBidi"/>
          <w:sz w:val="24"/>
          <w:szCs w:val="24"/>
        </w:rPr>
        <w:t xml:space="preserve"> (Israel &amp; Hay, 2006). </w:t>
      </w:r>
      <w:r w:rsidRPr="00CF7571">
        <w:rPr>
          <w:rFonts w:asciiTheme="majorBidi" w:eastAsia="Times New Roman" w:hAnsiTheme="majorBidi" w:cstheme="majorBidi"/>
          <w:sz w:val="24"/>
          <w:szCs w:val="24"/>
          <w:rtl/>
        </w:rPr>
        <w:t xml:space="preserve">ومثال افتراضي ذلك أن يقتصر توزيع </w:t>
      </w:r>
      <w:proofErr w:type="gramStart"/>
      <w:r w:rsidRPr="00CF7571">
        <w:rPr>
          <w:rFonts w:asciiTheme="majorBidi" w:eastAsia="Times New Roman" w:hAnsiTheme="majorBidi" w:cstheme="majorBidi"/>
          <w:sz w:val="24"/>
          <w:szCs w:val="24"/>
          <w:rtl/>
        </w:rPr>
        <w:t>استبيان</w:t>
      </w:r>
      <w:proofErr w:type="gramEnd"/>
      <w:r w:rsidRPr="00CF7571">
        <w:rPr>
          <w:rFonts w:asciiTheme="majorBidi" w:eastAsia="Times New Roman" w:hAnsiTheme="majorBidi" w:cstheme="majorBidi"/>
          <w:sz w:val="24"/>
          <w:szCs w:val="24"/>
          <w:rtl/>
        </w:rPr>
        <w:t xml:space="preserve"> دراستنا الحالية على شركات التطوير العقاري الكبرى في الرياض دون إدراج الجهات الحكومية أو الشركات الصغيرة ضمن العينة، مما يُفضي إلى نتائج منحازة لا تعكس الواقع كاملاً</w:t>
      </w:r>
      <w:r w:rsidRPr="00CF7571">
        <w:rPr>
          <w:rFonts w:asciiTheme="majorBidi" w:eastAsia="Times New Roman" w:hAnsiTheme="majorBidi" w:cstheme="majorBidi"/>
          <w:sz w:val="24"/>
          <w:szCs w:val="24"/>
        </w:rPr>
        <w:t>.</w:t>
      </w:r>
    </w:p>
    <w:p w14:paraId="05EC753C" w14:textId="77777777" w:rsidR="00CF7571" w:rsidRPr="00CF7571" w:rsidRDefault="00CF7571" w:rsidP="00CF7571">
      <w:pPr>
        <w:spacing w:line="360" w:lineRule="auto"/>
        <w:jc w:val="both"/>
        <w:rPr>
          <w:rFonts w:asciiTheme="majorBidi" w:eastAsia="Times New Roman" w:hAnsiTheme="majorBidi" w:cstheme="majorBidi"/>
          <w:sz w:val="24"/>
          <w:szCs w:val="24"/>
        </w:rPr>
      </w:pPr>
      <w:r w:rsidRPr="00CF7571">
        <w:rPr>
          <w:rFonts w:asciiTheme="majorBidi" w:eastAsia="Times New Roman" w:hAnsiTheme="majorBidi" w:cstheme="majorBidi"/>
          <w:b/>
          <w:bCs/>
          <w:sz w:val="24"/>
          <w:szCs w:val="24"/>
          <w:rtl/>
        </w:rPr>
        <w:t>رابعًا - انتهاك الخصوصية</w:t>
      </w:r>
      <w:r w:rsidRPr="00CF7571">
        <w:rPr>
          <w:rFonts w:asciiTheme="majorBidi" w:eastAsia="Times New Roman" w:hAnsiTheme="majorBidi" w:cstheme="majorBidi"/>
          <w:b/>
          <w:bCs/>
          <w:sz w:val="24"/>
          <w:szCs w:val="24"/>
        </w:rPr>
        <w:t>:</w:t>
      </w:r>
    </w:p>
    <w:p w14:paraId="5B5A43E1" w14:textId="77777777" w:rsidR="00CF7571" w:rsidRPr="00CF7571" w:rsidRDefault="00CF7571" w:rsidP="00CF7571">
      <w:pPr>
        <w:spacing w:line="360" w:lineRule="auto"/>
        <w:jc w:val="both"/>
        <w:rPr>
          <w:rFonts w:asciiTheme="majorBidi" w:eastAsia="Times New Roman" w:hAnsiTheme="majorBidi" w:cstheme="majorBidi"/>
          <w:sz w:val="24"/>
          <w:szCs w:val="24"/>
        </w:rPr>
      </w:pPr>
      <w:r w:rsidRPr="00CF7571">
        <w:rPr>
          <w:rFonts w:asciiTheme="majorBidi" w:eastAsia="Times New Roman" w:hAnsiTheme="majorBidi" w:cstheme="majorBidi"/>
          <w:sz w:val="24"/>
          <w:szCs w:val="24"/>
          <w:rtl/>
        </w:rPr>
        <w:t>يحدث انتهاك خصوصية المشاركين حين يُفصح الباحث عن هويات أفراد الدراسة أو معلوماتهم الشخصية دون إذن مسبق منهم، أو حين يستخدم بياناتهم في أغراض تختلف عما وافقوا عليه في البداية، أو حين يتعامل مع معلومات حساسة بصورة قد تُعرّض أصحابها لمخاطر وظيفية أو اجتماعية. وقد باتت حماية الخصوصية تحتل مكانة قانونية إلزامية في كثير من الدول إلى جانب كونها التزامًا أخلاقيًا، كما في اللائحة الأوروبية العامة لحماية البيانات</w:t>
      </w:r>
      <w:r w:rsidRPr="00CF7571">
        <w:rPr>
          <w:rFonts w:asciiTheme="majorBidi" w:eastAsia="Times New Roman" w:hAnsiTheme="majorBidi" w:cstheme="majorBidi"/>
          <w:sz w:val="24"/>
          <w:szCs w:val="24"/>
        </w:rPr>
        <w:t xml:space="preserve"> (GDPR) </w:t>
      </w:r>
      <w:r w:rsidRPr="00CF7571">
        <w:rPr>
          <w:rFonts w:asciiTheme="majorBidi" w:eastAsia="Times New Roman" w:hAnsiTheme="majorBidi" w:cstheme="majorBidi"/>
          <w:sz w:val="24"/>
          <w:szCs w:val="24"/>
          <w:rtl/>
        </w:rPr>
        <w:t>الصادرة عام 2018</w:t>
      </w:r>
      <w:r w:rsidRPr="00CF7571">
        <w:rPr>
          <w:rFonts w:asciiTheme="majorBidi" w:eastAsia="Times New Roman" w:hAnsiTheme="majorBidi" w:cstheme="majorBidi"/>
          <w:sz w:val="24"/>
          <w:szCs w:val="24"/>
        </w:rPr>
        <w:t xml:space="preserve"> (Beauchamp &amp; Childress, 2019). </w:t>
      </w:r>
      <w:r w:rsidRPr="00CF7571">
        <w:rPr>
          <w:rFonts w:asciiTheme="majorBidi" w:eastAsia="Times New Roman" w:hAnsiTheme="majorBidi" w:cstheme="majorBidi"/>
          <w:sz w:val="24"/>
          <w:szCs w:val="24"/>
          <w:rtl/>
        </w:rPr>
        <w:t xml:space="preserve">ومثال افتراضي على ذلك في دراستنا أن يُشير الباحث في نشرته إلى مؤشرات تُمكّن من التعرف على هوية موظف بعينه في إحدى الشركات اللوجستية الصغيرة التي شاركت في </w:t>
      </w:r>
      <w:proofErr w:type="gramStart"/>
      <w:r w:rsidRPr="00CF7571">
        <w:rPr>
          <w:rFonts w:asciiTheme="majorBidi" w:eastAsia="Times New Roman" w:hAnsiTheme="majorBidi" w:cstheme="majorBidi"/>
          <w:sz w:val="24"/>
          <w:szCs w:val="24"/>
          <w:rtl/>
        </w:rPr>
        <w:t>الاستبيان</w:t>
      </w:r>
      <w:proofErr w:type="gramEnd"/>
      <w:r w:rsidRPr="00CF7571">
        <w:rPr>
          <w:rFonts w:asciiTheme="majorBidi" w:eastAsia="Times New Roman" w:hAnsiTheme="majorBidi" w:cstheme="majorBidi"/>
          <w:sz w:val="24"/>
          <w:szCs w:val="24"/>
        </w:rPr>
        <w:t>.</w:t>
      </w:r>
    </w:p>
    <w:p w14:paraId="30EAFAB6" w14:textId="77777777" w:rsidR="00CF7571" w:rsidRPr="00CF7571" w:rsidRDefault="00CF7571" w:rsidP="00CF7571">
      <w:pPr>
        <w:spacing w:line="360" w:lineRule="auto"/>
        <w:jc w:val="both"/>
        <w:rPr>
          <w:rFonts w:asciiTheme="majorBidi" w:eastAsia="Times New Roman" w:hAnsiTheme="majorBidi" w:cstheme="majorBidi"/>
          <w:sz w:val="24"/>
          <w:szCs w:val="24"/>
        </w:rPr>
      </w:pPr>
      <w:r w:rsidRPr="00CF7571">
        <w:rPr>
          <w:rFonts w:asciiTheme="majorBidi" w:eastAsia="Times New Roman" w:hAnsiTheme="majorBidi" w:cstheme="majorBidi"/>
          <w:b/>
          <w:bCs/>
          <w:sz w:val="24"/>
          <w:szCs w:val="24"/>
          <w:rtl/>
        </w:rPr>
        <w:t>خامسًا - تضارب المصالح</w:t>
      </w:r>
      <w:r w:rsidRPr="00CF7571">
        <w:rPr>
          <w:rFonts w:asciiTheme="majorBidi" w:eastAsia="Times New Roman" w:hAnsiTheme="majorBidi" w:cstheme="majorBidi"/>
          <w:b/>
          <w:bCs/>
          <w:sz w:val="24"/>
          <w:szCs w:val="24"/>
        </w:rPr>
        <w:t>:</w:t>
      </w:r>
    </w:p>
    <w:p w14:paraId="41A0E824" w14:textId="77777777" w:rsidR="00CF7571" w:rsidRPr="00CF7571" w:rsidRDefault="00CF7571" w:rsidP="00CF7571">
      <w:pPr>
        <w:spacing w:line="360" w:lineRule="auto"/>
        <w:jc w:val="both"/>
        <w:rPr>
          <w:rFonts w:asciiTheme="majorBidi" w:eastAsia="Times New Roman" w:hAnsiTheme="majorBidi" w:cstheme="majorBidi"/>
          <w:sz w:val="24"/>
          <w:szCs w:val="24"/>
        </w:rPr>
      </w:pPr>
      <w:r w:rsidRPr="00CF7571">
        <w:rPr>
          <w:rFonts w:asciiTheme="majorBidi" w:eastAsia="Times New Roman" w:hAnsiTheme="majorBidi" w:cstheme="majorBidi"/>
          <w:sz w:val="24"/>
          <w:szCs w:val="24"/>
          <w:rtl/>
        </w:rPr>
        <w:t>يُشير تضارب المصالح إلى الوضع الذي تتداخل فيه المصالح الشخصية أو المالية أو المؤسسية للباحث مع متطلبات البحث النزيه والموضوعي، مما قد يدفعه — وإن بصورة غير واعية أحيانًا — نحو توجيه عمله البحثي بما يخدم تلك المصالح على حساب الحياد العلمي. ومن أبرز صور هذا التضارب تلقّي الباحث تمويلًا من جهات ذات مصلحة مباشرة في نتائج الدراسة دون الإفصاح عن ذلك</w:t>
      </w:r>
      <w:r w:rsidRPr="00CF7571">
        <w:rPr>
          <w:rFonts w:asciiTheme="majorBidi" w:eastAsia="Times New Roman" w:hAnsiTheme="majorBidi" w:cstheme="majorBidi"/>
          <w:sz w:val="24"/>
          <w:szCs w:val="24"/>
        </w:rPr>
        <w:t xml:space="preserve"> (Resnik, 2015). </w:t>
      </w:r>
      <w:r w:rsidRPr="00CF7571">
        <w:rPr>
          <w:rFonts w:asciiTheme="majorBidi" w:eastAsia="Times New Roman" w:hAnsiTheme="majorBidi" w:cstheme="majorBidi"/>
          <w:sz w:val="24"/>
          <w:szCs w:val="24"/>
          <w:rtl/>
        </w:rPr>
        <w:t>ومثال واقعي على ذلك أن يقوم باحث ممول من شركة تطوير عقاري لوجستي بإجراء دراسة تُثبت أثرًا إيجابيًا كبيرًا لاستثمارات هذه الشركة في تحقيق مستهدفات رؤية 2030، دون الإفصاح عن هذه العلاقة التمويلية للقرّاء والمحكّمين</w:t>
      </w:r>
      <w:r w:rsidRPr="00CF7571">
        <w:rPr>
          <w:rFonts w:asciiTheme="majorBidi" w:eastAsia="Times New Roman" w:hAnsiTheme="majorBidi" w:cstheme="majorBidi"/>
          <w:sz w:val="24"/>
          <w:szCs w:val="24"/>
        </w:rPr>
        <w:t>.</w:t>
      </w:r>
    </w:p>
    <w:p w14:paraId="10973790" w14:textId="77777777" w:rsidR="00CF7571" w:rsidRPr="00CF7571" w:rsidRDefault="00CF7571" w:rsidP="00CF7571">
      <w:pPr>
        <w:spacing w:line="360" w:lineRule="auto"/>
        <w:jc w:val="both"/>
        <w:rPr>
          <w:rFonts w:asciiTheme="majorBidi" w:eastAsia="Times New Roman" w:hAnsiTheme="majorBidi" w:cstheme="majorBidi"/>
          <w:b/>
          <w:bCs/>
          <w:i/>
          <w:iCs/>
          <w:sz w:val="28"/>
          <w:szCs w:val="28"/>
        </w:rPr>
      </w:pPr>
      <w:r w:rsidRPr="00CF7571">
        <w:rPr>
          <w:rFonts w:asciiTheme="majorBidi" w:eastAsia="Times New Roman" w:hAnsiTheme="majorBidi" w:cstheme="majorBidi"/>
          <w:b/>
          <w:bCs/>
          <w:i/>
          <w:iCs/>
          <w:sz w:val="28"/>
          <w:szCs w:val="28"/>
          <w:rtl/>
        </w:rPr>
        <w:t>القواعد واللوائح المنظِّمة لأخلاقيات البحث</w:t>
      </w:r>
      <w:r w:rsidRPr="00CF7571">
        <w:rPr>
          <w:rFonts w:asciiTheme="majorBidi" w:eastAsia="Times New Roman" w:hAnsiTheme="majorBidi" w:cstheme="majorBidi"/>
          <w:b/>
          <w:bCs/>
          <w:i/>
          <w:iCs/>
          <w:sz w:val="28"/>
          <w:szCs w:val="28"/>
        </w:rPr>
        <w:t>:</w:t>
      </w:r>
    </w:p>
    <w:p w14:paraId="143B52D3" w14:textId="77777777" w:rsidR="00CF7571" w:rsidRPr="00CF7571" w:rsidRDefault="00CF7571" w:rsidP="00CF7571">
      <w:pPr>
        <w:spacing w:line="360" w:lineRule="auto"/>
        <w:jc w:val="both"/>
        <w:rPr>
          <w:rFonts w:asciiTheme="majorBidi" w:eastAsia="Times New Roman" w:hAnsiTheme="majorBidi" w:cstheme="majorBidi"/>
          <w:sz w:val="24"/>
          <w:szCs w:val="24"/>
        </w:rPr>
      </w:pPr>
      <w:r w:rsidRPr="00CF7571">
        <w:rPr>
          <w:rFonts w:asciiTheme="majorBidi" w:eastAsia="Times New Roman" w:hAnsiTheme="majorBidi" w:cstheme="majorBidi"/>
          <w:sz w:val="24"/>
          <w:szCs w:val="24"/>
          <w:rtl/>
        </w:rPr>
        <w:t>أفرزت الانتهاكات البحثية التاريخية الصارخة حاجة ماسّة إلى وضع أطر قانونية ومؤسسية منظّمة لأخلاقيات البحث، فتشكّلت على مدار القرن الماضي منظومة متكاملة من الآليات التنظيمية على مستويين</w:t>
      </w:r>
      <w:r w:rsidRPr="00CF7571">
        <w:rPr>
          <w:rFonts w:asciiTheme="majorBidi" w:eastAsia="Times New Roman" w:hAnsiTheme="majorBidi" w:cstheme="majorBidi"/>
          <w:sz w:val="24"/>
          <w:szCs w:val="24"/>
        </w:rPr>
        <w:t xml:space="preserve">: </w:t>
      </w:r>
      <w:r w:rsidRPr="00CF7571">
        <w:rPr>
          <w:rFonts w:asciiTheme="majorBidi" w:eastAsia="Times New Roman" w:hAnsiTheme="majorBidi" w:cstheme="majorBidi"/>
          <w:sz w:val="24"/>
          <w:szCs w:val="24"/>
          <w:rtl/>
        </w:rPr>
        <w:t>المستوى المؤسسي المحلي، والمستوى الدولي</w:t>
      </w:r>
      <w:r w:rsidRPr="00CF7571">
        <w:rPr>
          <w:rFonts w:asciiTheme="majorBidi" w:eastAsia="Times New Roman" w:hAnsiTheme="majorBidi" w:cstheme="majorBidi"/>
          <w:sz w:val="24"/>
          <w:szCs w:val="24"/>
        </w:rPr>
        <w:t>.</w:t>
      </w:r>
    </w:p>
    <w:p w14:paraId="42E53561" w14:textId="77777777" w:rsidR="00CF7571" w:rsidRPr="00CF7571" w:rsidRDefault="00CF7571" w:rsidP="00CF7571">
      <w:pPr>
        <w:spacing w:line="360" w:lineRule="auto"/>
        <w:jc w:val="both"/>
        <w:rPr>
          <w:rFonts w:asciiTheme="majorBidi" w:eastAsia="Times New Roman" w:hAnsiTheme="majorBidi" w:cstheme="majorBidi"/>
          <w:sz w:val="24"/>
          <w:szCs w:val="24"/>
        </w:rPr>
      </w:pPr>
      <w:r w:rsidRPr="00CF7571">
        <w:rPr>
          <w:rFonts w:asciiTheme="majorBidi" w:eastAsia="Times New Roman" w:hAnsiTheme="majorBidi" w:cstheme="majorBidi"/>
          <w:sz w:val="24"/>
          <w:szCs w:val="24"/>
          <w:rtl/>
        </w:rPr>
        <w:t>على صعيد المستوى المؤسسي، تُمثّل لجان مراجعة أخلاقيات البحث المؤسسي</w:t>
      </w:r>
      <w:r w:rsidRPr="00CF7571">
        <w:rPr>
          <w:rFonts w:asciiTheme="majorBidi" w:eastAsia="Times New Roman" w:hAnsiTheme="majorBidi" w:cstheme="majorBidi"/>
          <w:sz w:val="24"/>
          <w:szCs w:val="24"/>
        </w:rPr>
        <w:t xml:space="preserve"> (Institutional Review Boards – IRB) </w:t>
      </w:r>
      <w:r w:rsidRPr="00CF7571">
        <w:rPr>
          <w:rFonts w:asciiTheme="majorBidi" w:eastAsia="Times New Roman" w:hAnsiTheme="majorBidi" w:cstheme="majorBidi"/>
          <w:sz w:val="24"/>
          <w:szCs w:val="24"/>
          <w:rtl/>
        </w:rPr>
        <w:t xml:space="preserve">الجهاز الرقابي الأساسي الذي يتولّى تقييم المقترحات البحثية قبل تنفيذها للتأكد من مراعاتها للحقوق والحريات الأساسية للمشاركين وسلامة الإجراءات المنهجية. وتُشترط موافقة هذه اللجان على نطاق واسع في الجامعات والمراكز البحثية الدولية قبل الشروع في أي دراسة تُشمل أفرادًا أو مجموعات بشرية </w:t>
      </w:r>
      <w:r w:rsidRPr="00CF7571">
        <w:rPr>
          <w:rFonts w:asciiTheme="majorBidi" w:eastAsia="Times New Roman" w:hAnsiTheme="majorBidi" w:cstheme="majorBidi"/>
          <w:sz w:val="24"/>
          <w:szCs w:val="24"/>
        </w:rPr>
        <w:t xml:space="preserve">(Steneck, </w:t>
      </w:r>
      <w:r w:rsidRPr="00CF7571">
        <w:rPr>
          <w:rFonts w:asciiTheme="majorBidi" w:eastAsia="Times New Roman" w:hAnsiTheme="majorBidi" w:cstheme="majorBidi"/>
          <w:sz w:val="24"/>
          <w:szCs w:val="24"/>
        </w:rPr>
        <w:lastRenderedPageBreak/>
        <w:t xml:space="preserve">2007). </w:t>
      </w:r>
      <w:r w:rsidRPr="00CF7571">
        <w:rPr>
          <w:rFonts w:asciiTheme="majorBidi" w:eastAsia="Times New Roman" w:hAnsiTheme="majorBidi" w:cstheme="majorBidi"/>
          <w:sz w:val="24"/>
          <w:szCs w:val="24"/>
          <w:rtl/>
        </w:rPr>
        <w:t>وعلى مستوى الجامعات السعودية، باتت لجان أخلاقيات البحث جزءًا من المتطلبات المؤسسية في الجامعات الكبرى تماشيًا مع التوجهات الدولية وتعزيزًا لجودة البحث العلمي الوطني</w:t>
      </w:r>
      <w:r w:rsidRPr="00CF7571">
        <w:rPr>
          <w:rFonts w:asciiTheme="majorBidi" w:eastAsia="Times New Roman" w:hAnsiTheme="majorBidi" w:cstheme="majorBidi"/>
          <w:sz w:val="24"/>
          <w:szCs w:val="24"/>
        </w:rPr>
        <w:t>.</w:t>
      </w:r>
    </w:p>
    <w:p w14:paraId="6E3DA413" w14:textId="77777777" w:rsidR="00CF7571" w:rsidRPr="00CF7571" w:rsidRDefault="00CF7571" w:rsidP="00CF7571">
      <w:pPr>
        <w:spacing w:line="360" w:lineRule="auto"/>
        <w:jc w:val="both"/>
        <w:rPr>
          <w:rFonts w:asciiTheme="majorBidi" w:eastAsia="Times New Roman" w:hAnsiTheme="majorBidi" w:cstheme="majorBidi"/>
          <w:sz w:val="24"/>
          <w:szCs w:val="24"/>
        </w:rPr>
      </w:pPr>
      <w:r w:rsidRPr="00CF7571">
        <w:rPr>
          <w:rFonts w:asciiTheme="majorBidi" w:eastAsia="Times New Roman" w:hAnsiTheme="majorBidi" w:cstheme="majorBidi"/>
          <w:sz w:val="24"/>
          <w:szCs w:val="24"/>
          <w:rtl/>
        </w:rPr>
        <w:t>أما على الصعيد الدولي، فتُمثّل مبادئ إعلان هلسنكي الصادر عن الجمعية الطبية العالمية عام 1964 والمُنقَّح مرات عدة الإطار الأخلاقي الأشمل للبحوث التي تنطوي على مشاركة بشرية، وتُركّز في جوهرها على احترام الكرامة الإنسانية وحماية الفئات الهشّة وضمان الموافقة المستنيرة. كذلك يُقدّم دليل الجمعية الأمريكية لعلم النفس</w:t>
      </w:r>
      <w:r w:rsidRPr="00CF7571">
        <w:rPr>
          <w:rFonts w:asciiTheme="majorBidi" w:eastAsia="Times New Roman" w:hAnsiTheme="majorBidi" w:cstheme="majorBidi"/>
          <w:sz w:val="24"/>
          <w:szCs w:val="24"/>
        </w:rPr>
        <w:t xml:space="preserve"> (APA Publication Manual, 7th Edition, 2020) </w:t>
      </w:r>
      <w:r w:rsidRPr="00CF7571">
        <w:rPr>
          <w:rFonts w:asciiTheme="majorBidi" w:eastAsia="Times New Roman" w:hAnsiTheme="majorBidi" w:cstheme="majorBidi"/>
          <w:sz w:val="24"/>
          <w:szCs w:val="24"/>
          <w:rtl/>
        </w:rPr>
        <w:t>معايير شاملة لأخلاقيات البحث العلمي في العلوم الاجتماعية والسلوكية، تغطي مسائل التأليف والتوثيق وعدم الإفصاح المزدوج وحماية المشاركين وحقوق الملكية الفكرية. ويُعدّ الالتزام بهذه المعايير مدخلًا ضروريًا للنشر في المجلات العلمية المحكّمة المصنّفة في قواعد البيانات العالمية كـ</w:t>
      </w:r>
      <w:r w:rsidRPr="00CF7571">
        <w:rPr>
          <w:rFonts w:asciiTheme="majorBidi" w:eastAsia="Times New Roman" w:hAnsiTheme="majorBidi" w:cstheme="majorBidi"/>
          <w:sz w:val="24"/>
          <w:szCs w:val="24"/>
        </w:rPr>
        <w:t xml:space="preserve"> Scopus </w:t>
      </w:r>
      <w:r w:rsidRPr="00CF7571">
        <w:rPr>
          <w:rFonts w:asciiTheme="majorBidi" w:eastAsia="Times New Roman" w:hAnsiTheme="majorBidi" w:cstheme="majorBidi"/>
          <w:sz w:val="24"/>
          <w:szCs w:val="24"/>
          <w:rtl/>
        </w:rPr>
        <w:t>و</w:t>
      </w:r>
      <w:r w:rsidRPr="00CF7571">
        <w:rPr>
          <w:rFonts w:asciiTheme="majorBidi" w:eastAsia="Times New Roman" w:hAnsiTheme="majorBidi" w:cstheme="majorBidi"/>
          <w:sz w:val="24"/>
          <w:szCs w:val="24"/>
        </w:rPr>
        <w:t>Web of Science</w:t>
      </w:r>
      <w:r w:rsidRPr="00CF7571">
        <w:rPr>
          <w:rFonts w:asciiTheme="majorBidi" w:eastAsia="Times New Roman" w:hAnsiTheme="majorBidi" w:cstheme="majorBidi"/>
          <w:sz w:val="24"/>
          <w:szCs w:val="24"/>
          <w:rtl/>
        </w:rPr>
        <w:t>، مما يربط أخلاقيات البحث ربطًا وثيقًا بتنافسية الباحث ومؤسسته البحثية في الفضاء الأكاديمي العالمي</w:t>
      </w:r>
      <w:r w:rsidRPr="00CF7571">
        <w:rPr>
          <w:rFonts w:asciiTheme="majorBidi" w:eastAsia="Times New Roman" w:hAnsiTheme="majorBidi" w:cstheme="majorBidi"/>
          <w:sz w:val="24"/>
          <w:szCs w:val="24"/>
        </w:rPr>
        <w:t xml:space="preserve"> (APA, 2020).</w:t>
      </w:r>
    </w:p>
    <w:p w14:paraId="354924BA" w14:textId="77777777" w:rsidR="00CF7571" w:rsidRPr="00CF7571" w:rsidRDefault="00CF7571" w:rsidP="00CF7571">
      <w:pPr>
        <w:spacing w:line="360" w:lineRule="auto"/>
        <w:jc w:val="both"/>
        <w:rPr>
          <w:rFonts w:asciiTheme="majorBidi" w:eastAsia="Times New Roman" w:hAnsiTheme="majorBidi" w:cstheme="majorBidi"/>
          <w:b/>
          <w:bCs/>
          <w:i/>
          <w:iCs/>
          <w:sz w:val="28"/>
          <w:szCs w:val="28"/>
        </w:rPr>
      </w:pPr>
      <w:r w:rsidRPr="00CF7571">
        <w:rPr>
          <w:rFonts w:asciiTheme="majorBidi" w:eastAsia="Times New Roman" w:hAnsiTheme="majorBidi" w:cstheme="majorBidi"/>
          <w:b/>
          <w:bCs/>
          <w:i/>
          <w:iCs/>
          <w:sz w:val="28"/>
          <w:szCs w:val="28"/>
          <w:rtl/>
        </w:rPr>
        <w:t>التطبيق العملي على موضوع البحث</w:t>
      </w:r>
      <w:r w:rsidRPr="00CF7571">
        <w:rPr>
          <w:rFonts w:asciiTheme="majorBidi" w:eastAsia="Times New Roman" w:hAnsiTheme="majorBidi" w:cstheme="majorBidi"/>
          <w:b/>
          <w:bCs/>
          <w:i/>
          <w:iCs/>
          <w:sz w:val="28"/>
          <w:szCs w:val="28"/>
        </w:rPr>
        <w:t>:</w:t>
      </w:r>
    </w:p>
    <w:p w14:paraId="5212CFBB" w14:textId="77777777" w:rsidR="00CF7571" w:rsidRPr="00CF7571" w:rsidRDefault="00CF7571" w:rsidP="00CF7571">
      <w:pPr>
        <w:spacing w:line="360" w:lineRule="auto"/>
        <w:jc w:val="both"/>
        <w:rPr>
          <w:rFonts w:asciiTheme="majorBidi" w:eastAsia="Times New Roman" w:hAnsiTheme="majorBidi" w:cstheme="majorBidi"/>
          <w:sz w:val="24"/>
          <w:szCs w:val="24"/>
        </w:rPr>
      </w:pPr>
      <w:r w:rsidRPr="00CF7571">
        <w:rPr>
          <w:rFonts w:asciiTheme="majorBidi" w:eastAsia="Times New Roman" w:hAnsiTheme="majorBidi" w:cstheme="majorBidi"/>
          <w:sz w:val="24"/>
          <w:szCs w:val="24"/>
          <w:rtl/>
        </w:rPr>
        <w:t>يُعدّ هذا الجزء الأكثر أهمية وعمقًا في هذا التقرير، إذ يُترجم المبادئ الأخلاقية المُستعرضة نظريًا إلى ممارسات إجرائية ملموسة تنبثق من طبيعة دراسة "دور التطوير العقاري اللوجستي في دعم مستهدفات رؤية السعودية 2030: دراسة تطبيقية على مدينة الرياض</w:t>
      </w:r>
      <w:r w:rsidRPr="00CF7571">
        <w:rPr>
          <w:rFonts w:asciiTheme="majorBidi" w:eastAsia="Times New Roman" w:hAnsiTheme="majorBidi" w:cstheme="majorBidi"/>
          <w:sz w:val="24"/>
          <w:szCs w:val="24"/>
        </w:rPr>
        <w:t>".</w:t>
      </w:r>
    </w:p>
    <w:p w14:paraId="36B822CF" w14:textId="0C9A28A1" w:rsidR="00CF7571" w:rsidRPr="00CF7571" w:rsidRDefault="00CF7571" w:rsidP="00CF7571">
      <w:pPr>
        <w:spacing w:line="360" w:lineRule="auto"/>
        <w:jc w:val="both"/>
        <w:rPr>
          <w:rFonts w:asciiTheme="majorBidi" w:eastAsia="Times New Roman" w:hAnsiTheme="majorBidi" w:cstheme="majorBidi"/>
          <w:sz w:val="24"/>
          <w:szCs w:val="24"/>
        </w:rPr>
      </w:pPr>
      <w:r w:rsidRPr="00CF7571">
        <w:rPr>
          <w:rFonts w:asciiTheme="majorBidi" w:eastAsia="Times New Roman" w:hAnsiTheme="majorBidi" w:cstheme="majorBidi"/>
          <w:b/>
          <w:bCs/>
          <w:sz w:val="24"/>
          <w:szCs w:val="24"/>
          <w:rtl/>
        </w:rPr>
        <w:t>الشفافية في تصميم البحث وصياغة الفروض</w:t>
      </w:r>
      <w:r w:rsidRPr="00CF7571">
        <w:rPr>
          <w:rFonts w:asciiTheme="majorBidi" w:eastAsia="Times New Roman" w:hAnsiTheme="majorBidi" w:cstheme="majorBidi"/>
          <w:b/>
          <w:bCs/>
          <w:sz w:val="24"/>
          <w:szCs w:val="24"/>
        </w:rPr>
        <w:t>:</w:t>
      </w:r>
    </w:p>
    <w:p w14:paraId="511C2BED" w14:textId="77777777" w:rsidR="00CF7571" w:rsidRPr="00CF7571" w:rsidRDefault="00CF7571" w:rsidP="00CF7571">
      <w:pPr>
        <w:spacing w:line="360" w:lineRule="auto"/>
        <w:jc w:val="both"/>
        <w:rPr>
          <w:rFonts w:asciiTheme="majorBidi" w:eastAsia="Times New Roman" w:hAnsiTheme="majorBidi" w:cstheme="majorBidi"/>
          <w:sz w:val="24"/>
          <w:szCs w:val="24"/>
        </w:rPr>
      </w:pPr>
      <w:r w:rsidRPr="00CF7571">
        <w:rPr>
          <w:rFonts w:asciiTheme="majorBidi" w:eastAsia="Times New Roman" w:hAnsiTheme="majorBidi" w:cstheme="majorBidi"/>
          <w:sz w:val="24"/>
          <w:szCs w:val="24"/>
          <w:rtl/>
        </w:rPr>
        <w:t>يتجلى الالتزام الأخلاقي في مرحلة تصميم البحث من خلال صياغة فروض الدراسة بصورة مستقلة عن أي توقعات مسبقة أو تفضيلات ذاتية. فعلى الرغم من أن المنطق النظري يرجّح وجود أثر إيجابي لأبعاد تطوير العقارات اللوجستية على تحقيق مستهدفات رؤية 2030، فإن الفروض الصفرية التي تنفي وجود أثر ذي دلالة إحصائية صِيغت بوضوح ضمن المنهجية المعتمدة في الدراسة، تأكيدًا لمبدأ الحياد والموضوعية وإتاحة الإمكانية الفعلية للإثبات والنفي على حد سواء. كذلك تُسهم عملية اختيار المنهج الوصفي التحليلي والمنهجية العشوائية الطبقية لاختيار العينة — بدلًا من الاقتصار على من تيسّر الوصول إليهم — في تعزيز نزاهة التصميم البحثي وتقليص احتمالات التحيز في مرحلة جمع البيانات</w:t>
      </w:r>
      <w:r w:rsidRPr="00CF7571">
        <w:rPr>
          <w:rFonts w:asciiTheme="majorBidi" w:eastAsia="Times New Roman" w:hAnsiTheme="majorBidi" w:cstheme="majorBidi"/>
          <w:sz w:val="24"/>
          <w:szCs w:val="24"/>
        </w:rPr>
        <w:t>.</w:t>
      </w:r>
    </w:p>
    <w:p w14:paraId="40CDFCF0" w14:textId="11156C14" w:rsidR="00CF7571" w:rsidRPr="00CF7571" w:rsidRDefault="00CF7571" w:rsidP="00CF7571">
      <w:pPr>
        <w:spacing w:line="360" w:lineRule="auto"/>
        <w:jc w:val="both"/>
        <w:rPr>
          <w:rFonts w:asciiTheme="majorBidi" w:eastAsia="Times New Roman" w:hAnsiTheme="majorBidi" w:cstheme="majorBidi"/>
          <w:sz w:val="24"/>
          <w:szCs w:val="24"/>
        </w:rPr>
      </w:pPr>
      <w:r w:rsidRPr="00CF7571">
        <w:rPr>
          <w:rFonts w:asciiTheme="majorBidi" w:eastAsia="Times New Roman" w:hAnsiTheme="majorBidi" w:cstheme="majorBidi"/>
          <w:b/>
          <w:bCs/>
          <w:sz w:val="24"/>
          <w:szCs w:val="24"/>
          <w:rtl/>
        </w:rPr>
        <w:t>الموافقة المستنيرة في الدراسة الميدانية</w:t>
      </w:r>
      <w:r w:rsidRPr="00CF7571">
        <w:rPr>
          <w:rFonts w:asciiTheme="majorBidi" w:eastAsia="Times New Roman" w:hAnsiTheme="majorBidi" w:cstheme="majorBidi"/>
          <w:b/>
          <w:bCs/>
          <w:sz w:val="24"/>
          <w:szCs w:val="24"/>
        </w:rPr>
        <w:t>:</w:t>
      </w:r>
    </w:p>
    <w:p w14:paraId="396D54DC" w14:textId="77777777" w:rsidR="00CF7571" w:rsidRPr="00CF7571" w:rsidRDefault="00CF7571" w:rsidP="00CF7571">
      <w:pPr>
        <w:spacing w:line="360" w:lineRule="auto"/>
        <w:jc w:val="both"/>
        <w:rPr>
          <w:rFonts w:asciiTheme="majorBidi" w:eastAsia="Times New Roman" w:hAnsiTheme="majorBidi" w:cstheme="majorBidi"/>
          <w:sz w:val="24"/>
          <w:szCs w:val="24"/>
        </w:rPr>
      </w:pPr>
      <w:r w:rsidRPr="00CF7571">
        <w:rPr>
          <w:rFonts w:asciiTheme="majorBidi" w:eastAsia="Times New Roman" w:hAnsiTheme="majorBidi" w:cstheme="majorBidi"/>
          <w:sz w:val="24"/>
          <w:szCs w:val="24"/>
          <w:rtl/>
        </w:rPr>
        <w:t xml:space="preserve">نظرًا لأن الدراسة تعتمد على </w:t>
      </w:r>
      <w:proofErr w:type="gramStart"/>
      <w:r w:rsidRPr="00CF7571">
        <w:rPr>
          <w:rFonts w:asciiTheme="majorBidi" w:eastAsia="Times New Roman" w:hAnsiTheme="majorBidi" w:cstheme="majorBidi"/>
          <w:sz w:val="24"/>
          <w:szCs w:val="24"/>
          <w:rtl/>
        </w:rPr>
        <w:t>استبيان</w:t>
      </w:r>
      <w:proofErr w:type="gramEnd"/>
      <w:r w:rsidRPr="00CF7571">
        <w:rPr>
          <w:rFonts w:asciiTheme="majorBidi" w:eastAsia="Times New Roman" w:hAnsiTheme="majorBidi" w:cstheme="majorBidi"/>
          <w:sz w:val="24"/>
          <w:szCs w:val="24"/>
          <w:rtl/>
        </w:rPr>
        <w:t xml:space="preserve"> يُوزَّع إلكترونيًا على عينة من العاملين والمختصين في قطاع التطوير العقاري واللوجستي بمدينة الرياض، فإن تطبيق مبدأ الموافقة المستنيرة يستدعي تصميم مقدّمة واضحة للاستبيان تتضمن العناصر الآتية: أولًا، تعريف موجز وصريح </w:t>
      </w:r>
      <w:proofErr w:type="gramStart"/>
      <w:r w:rsidRPr="00CF7571">
        <w:rPr>
          <w:rFonts w:asciiTheme="majorBidi" w:eastAsia="Times New Roman" w:hAnsiTheme="majorBidi" w:cstheme="majorBidi"/>
          <w:sz w:val="24"/>
          <w:szCs w:val="24"/>
          <w:rtl/>
        </w:rPr>
        <w:t>بالباحث</w:t>
      </w:r>
      <w:proofErr w:type="gramEnd"/>
      <w:r w:rsidRPr="00CF7571">
        <w:rPr>
          <w:rFonts w:asciiTheme="majorBidi" w:eastAsia="Times New Roman" w:hAnsiTheme="majorBidi" w:cstheme="majorBidi"/>
          <w:sz w:val="24"/>
          <w:szCs w:val="24"/>
          <w:rtl/>
        </w:rPr>
        <w:t xml:space="preserve"> وانتمائه الأكاديمي وعنوان الدراسة وأهدافها. ثانيًا، بيانًا بالغرض الذي ستُوظَّف فيه البيانات المجمّعة وأنها لن تُستخدم إلا لأغراض البحث العلمي. ثالثًا، تأكيد على أن المشاركة طوعية ويحق للمستجيب الانسحاب منها في أي وقت. رابعًا، إيضاح أن البيانات الشخصية والمهنية للمستجيبين ستُعامَل بسرية تامة وستُدمج مع بيانات العينة الكلية دون إفراد أو تمييز. خامسًا، بيان الجهة المشرفة على البحث وإمكانية التواصل مع الباحث للاستفسار أو الاعتراض. إن استيفاء هذه العناصر يُحقق شرط الموافقة المستنيرة الأخلاقية ويُرسّخ علاقة ثقة بين الباحث والمستجيبين تنعكس إيجابًا على جودة البيانات المجمّعة وصدقها</w:t>
      </w:r>
      <w:r w:rsidRPr="00CF7571">
        <w:rPr>
          <w:rFonts w:asciiTheme="majorBidi" w:eastAsia="Times New Roman" w:hAnsiTheme="majorBidi" w:cstheme="majorBidi"/>
          <w:sz w:val="24"/>
          <w:szCs w:val="24"/>
        </w:rPr>
        <w:t>.</w:t>
      </w:r>
    </w:p>
    <w:p w14:paraId="325D5550" w14:textId="7DDFE898" w:rsidR="00CF7571" w:rsidRPr="00CF7571" w:rsidRDefault="00CF7571" w:rsidP="00CF7571">
      <w:pPr>
        <w:spacing w:line="360" w:lineRule="auto"/>
        <w:jc w:val="both"/>
        <w:rPr>
          <w:rFonts w:asciiTheme="majorBidi" w:eastAsia="Times New Roman" w:hAnsiTheme="majorBidi" w:cstheme="majorBidi"/>
          <w:sz w:val="24"/>
          <w:szCs w:val="24"/>
        </w:rPr>
      </w:pPr>
      <w:r w:rsidRPr="00CF7571">
        <w:rPr>
          <w:rFonts w:asciiTheme="majorBidi" w:eastAsia="Times New Roman" w:hAnsiTheme="majorBidi" w:cstheme="majorBidi"/>
          <w:b/>
          <w:bCs/>
          <w:sz w:val="24"/>
          <w:szCs w:val="24"/>
          <w:rtl/>
        </w:rPr>
        <w:lastRenderedPageBreak/>
        <w:t>الحفاظ على السرية وحماية بيانات المشاركين</w:t>
      </w:r>
      <w:r w:rsidRPr="00CF7571">
        <w:rPr>
          <w:rFonts w:asciiTheme="majorBidi" w:eastAsia="Times New Roman" w:hAnsiTheme="majorBidi" w:cstheme="majorBidi"/>
          <w:b/>
          <w:bCs/>
          <w:sz w:val="24"/>
          <w:szCs w:val="24"/>
        </w:rPr>
        <w:t>:</w:t>
      </w:r>
    </w:p>
    <w:p w14:paraId="419EAC4A" w14:textId="77777777" w:rsidR="00CF7571" w:rsidRPr="00CF7571" w:rsidRDefault="00CF7571" w:rsidP="00CF7571">
      <w:pPr>
        <w:spacing w:line="360" w:lineRule="auto"/>
        <w:jc w:val="both"/>
        <w:rPr>
          <w:rFonts w:asciiTheme="majorBidi" w:eastAsia="Times New Roman" w:hAnsiTheme="majorBidi" w:cstheme="majorBidi"/>
          <w:sz w:val="24"/>
          <w:szCs w:val="24"/>
        </w:rPr>
      </w:pPr>
      <w:r w:rsidRPr="00CF7571">
        <w:rPr>
          <w:rFonts w:asciiTheme="majorBidi" w:eastAsia="Times New Roman" w:hAnsiTheme="majorBidi" w:cstheme="majorBidi"/>
          <w:sz w:val="24"/>
          <w:szCs w:val="24"/>
          <w:rtl/>
        </w:rPr>
        <w:t>لمّا كانت عينة الدراسة تشمل عاملين في شركات خاصة وجهات حكومية يتعاملون مع معلومات تنظيمية وتشغيلية قد تكون ذات طابع حساس، فإن حماية بيانات المشاركين تستوجب اتخاذ جملة من الإجراءات العملية. فمن حيث التصميم التقني للاستبيان الإلكتروني، ينبغي استخدام منصة آمنة لا تحتاج إلى إدخال بيانات تعريفية كالاسم أو عنوان البريد الإلكتروني ما لم يكن المشارك راغبًا في ذلك طوعًا. ومن حيث تخزين البيانات، يجب أن تُحفظ البيانات الخام على جهاز مشفّر لا يُتاح إلا للباحث والمشرف المباشر، وأن تُتلف أو تُحذف بعد اكتمال الدراسة والنشر وفق الإجراءات المؤسسية المعتمدة. كما أن إعداد تقارير النتائج ينبغي أن يقتصر على المؤشرات الإجمالية والإحصاءات الوصفية والاستدلالية الكلية، متجنبًا أي معلومات قد تُمكّن من التعرف على مستجيب بعينه، حتى وإن كانت البيانات الفردية تتضمن تفاصيل نوعية مثيرة للاهتمام</w:t>
      </w:r>
      <w:r w:rsidRPr="00CF7571">
        <w:rPr>
          <w:rFonts w:asciiTheme="majorBidi" w:eastAsia="Times New Roman" w:hAnsiTheme="majorBidi" w:cstheme="majorBidi"/>
          <w:sz w:val="24"/>
          <w:szCs w:val="24"/>
        </w:rPr>
        <w:t>.</w:t>
      </w:r>
    </w:p>
    <w:p w14:paraId="7F445EA2" w14:textId="11EB0B4E" w:rsidR="00CF7571" w:rsidRPr="00CF7571" w:rsidRDefault="00CF7571" w:rsidP="00CF7571">
      <w:pPr>
        <w:spacing w:line="360" w:lineRule="auto"/>
        <w:jc w:val="both"/>
        <w:rPr>
          <w:rFonts w:asciiTheme="majorBidi" w:eastAsia="Times New Roman" w:hAnsiTheme="majorBidi" w:cstheme="majorBidi"/>
          <w:sz w:val="24"/>
          <w:szCs w:val="24"/>
        </w:rPr>
      </w:pPr>
      <w:r w:rsidRPr="00CF7571">
        <w:rPr>
          <w:rFonts w:asciiTheme="majorBidi" w:eastAsia="Times New Roman" w:hAnsiTheme="majorBidi" w:cstheme="majorBidi"/>
          <w:b/>
          <w:bCs/>
          <w:sz w:val="24"/>
          <w:szCs w:val="24"/>
          <w:rtl/>
        </w:rPr>
        <w:t>الأمانة العلمية في توثيق المراجع والأدبيات</w:t>
      </w:r>
      <w:r w:rsidRPr="00CF7571">
        <w:rPr>
          <w:rFonts w:asciiTheme="majorBidi" w:eastAsia="Times New Roman" w:hAnsiTheme="majorBidi" w:cstheme="majorBidi"/>
          <w:b/>
          <w:bCs/>
          <w:sz w:val="24"/>
          <w:szCs w:val="24"/>
        </w:rPr>
        <w:t>:</w:t>
      </w:r>
    </w:p>
    <w:p w14:paraId="7CEF5F30" w14:textId="77777777" w:rsidR="00CF7571" w:rsidRPr="00CF7571" w:rsidRDefault="00CF7571" w:rsidP="00CF7571">
      <w:pPr>
        <w:spacing w:line="360" w:lineRule="auto"/>
        <w:jc w:val="both"/>
        <w:rPr>
          <w:rFonts w:asciiTheme="majorBidi" w:eastAsia="Times New Roman" w:hAnsiTheme="majorBidi" w:cstheme="majorBidi"/>
          <w:sz w:val="24"/>
          <w:szCs w:val="24"/>
        </w:rPr>
      </w:pPr>
      <w:r w:rsidRPr="00CF7571">
        <w:rPr>
          <w:rFonts w:asciiTheme="majorBidi" w:eastAsia="Times New Roman" w:hAnsiTheme="majorBidi" w:cstheme="majorBidi"/>
          <w:sz w:val="24"/>
          <w:szCs w:val="24"/>
          <w:rtl/>
        </w:rPr>
        <w:t xml:space="preserve">تُعدّ الدراسة الحالية من الدراسات ذات الإطار النظري الواسع، إذ تستند إلى مراجعة أدبية شاملة تضم عشرات الدراسات العربية والأجنبية. ويستلزم ذلك التزام الباحث بأمانة التوثيق وفق نظام </w:t>
      </w:r>
      <w:r w:rsidRPr="00CF7571">
        <w:rPr>
          <w:rFonts w:asciiTheme="majorBidi" w:eastAsia="Times New Roman" w:hAnsiTheme="majorBidi" w:cstheme="majorBidi"/>
          <w:sz w:val="24"/>
          <w:szCs w:val="24"/>
        </w:rPr>
        <w:t xml:space="preserve">APA </w:t>
      </w:r>
      <w:r w:rsidRPr="00CF7571">
        <w:rPr>
          <w:rFonts w:asciiTheme="majorBidi" w:eastAsia="Times New Roman" w:hAnsiTheme="majorBidi" w:cstheme="majorBidi"/>
          <w:sz w:val="24"/>
          <w:szCs w:val="24"/>
          <w:rtl/>
        </w:rPr>
        <w:t>في صيغته السابعة، ويشمل ذلك عدة جوانب: الاقتباس الحرفي المحاط بعلامتي تنصيص مع ذكر رقم الصفحة، والاقتباس غير المباشر (الإحالة) مع ذكر الاسم والسنة دون نقل للنص، والتمييز الواضح بين الأفكار الأصيلة للباحث وتلك المستقاة من مصادر أخرى. وفي هذا السياق، يجب الحرص على عدم نسب أي نتيجة إحصائية أو استنتاج إلى دراسة لم تتضمنها صراحةً، وعدم المبالغة في تأويل مجال الدراسة لتوسيع نطاق الاستشهاد بها. فمثلًا، لا يجوز الاستشهاد بدراسة الحلوان وغوش وشمسي (2023) على أنها أثبتت التأثير الإيجابي للتقنيات في المستودعات عمومًا، في حين أن الدراسة قاصرة على المطارات تحديدًا</w:t>
      </w:r>
      <w:r w:rsidRPr="00CF7571">
        <w:rPr>
          <w:rFonts w:asciiTheme="majorBidi" w:eastAsia="Times New Roman" w:hAnsiTheme="majorBidi" w:cstheme="majorBidi"/>
          <w:sz w:val="24"/>
          <w:szCs w:val="24"/>
        </w:rPr>
        <w:t>.</w:t>
      </w:r>
    </w:p>
    <w:p w14:paraId="0623BBD6" w14:textId="011D5B06" w:rsidR="00CF7571" w:rsidRPr="00CF7571" w:rsidRDefault="00CF7571" w:rsidP="00CF7571">
      <w:pPr>
        <w:spacing w:line="360" w:lineRule="auto"/>
        <w:jc w:val="both"/>
        <w:rPr>
          <w:rFonts w:asciiTheme="majorBidi" w:eastAsia="Times New Roman" w:hAnsiTheme="majorBidi" w:cstheme="majorBidi"/>
          <w:sz w:val="24"/>
          <w:szCs w:val="24"/>
        </w:rPr>
      </w:pPr>
      <w:r w:rsidRPr="00CF7571">
        <w:rPr>
          <w:rFonts w:asciiTheme="majorBidi" w:eastAsia="Times New Roman" w:hAnsiTheme="majorBidi" w:cstheme="majorBidi"/>
          <w:b/>
          <w:bCs/>
          <w:sz w:val="24"/>
          <w:szCs w:val="24"/>
          <w:rtl/>
        </w:rPr>
        <w:t>الموضوعية في تحليل البيانات وعرض النتائج</w:t>
      </w:r>
      <w:r w:rsidRPr="00CF7571">
        <w:rPr>
          <w:rFonts w:asciiTheme="majorBidi" w:eastAsia="Times New Roman" w:hAnsiTheme="majorBidi" w:cstheme="majorBidi"/>
          <w:b/>
          <w:bCs/>
          <w:sz w:val="24"/>
          <w:szCs w:val="24"/>
        </w:rPr>
        <w:t>:</w:t>
      </w:r>
    </w:p>
    <w:p w14:paraId="23E9BCE9" w14:textId="77777777" w:rsidR="00CF7571" w:rsidRPr="00CF7571" w:rsidRDefault="00CF7571" w:rsidP="00CF7571">
      <w:pPr>
        <w:spacing w:line="360" w:lineRule="auto"/>
        <w:jc w:val="both"/>
        <w:rPr>
          <w:rFonts w:asciiTheme="majorBidi" w:eastAsia="Times New Roman" w:hAnsiTheme="majorBidi" w:cstheme="majorBidi"/>
          <w:sz w:val="24"/>
          <w:szCs w:val="24"/>
        </w:rPr>
      </w:pPr>
      <w:r w:rsidRPr="00CF7571">
        <w:rPr>
          <w:rFonts w:asciiTheme="majorBidi" w:eastAsia="Times New Roman" w:hAnsiTheme="majorBidi" w:cstheme="majorBidi"/>
          <w:sz w:val="24"/>
          <w:szCs w:val="24"/>
          <w:rtl/>
        </w:rPr>
        <w:t>يستلزم مبدأ الموضوعية أن يُجري الباحث التحليل الإحصائي بصورة شاملة وكاملة، مُبلّغًا عن جميع نتائج الانحدار الخطي المتعدد وتحليل الارتباط بما فيها الأبعاد التي لم تثبت دلالتها الإحصائية، أو تلك التي أسفرت عن نتائج تخالف الفروض المُقترحة. فمن غير المقبول أخلاقيًا أن يُبلّغ الباحث عن دلالة بُعد التقنيات الذكية مثلًا دون الإشارة إلى أن بُعد الاستدامة البيئية لم يصل إلى مستوى الدلالة المطلوب إن كانت البيانات تؤكد ذلك. كذلك ينبغي أن تُعرض قيم معاملات الارتباط وقيم</w:t>
      </w:r>
      <w:r w:rsidRPr="00CF7571">
        <w:rPr>
          <w:rFonts w:asciiTheme="majorBidi" w:eastAsia="Times New Roman" w:hAnsiTheme="majorBidi" w:cstheme="majorBidi"/>
          <w:sz w:val="24"/>
          <w:szCs w:val="24"/>
        </w:rPr>
        <w:t xml:space="preserve"> F </w:t>
      </w:r>
      <w:r w:rsidRPr="00CF7571">
        <w:rPr>
          <w:rFonts w:asciiTheme="majorBidi" w:eastAsia="Times New Roman" w:hAnsiTheme="majorBidi" w:cstheme="majorBidi"/>
          <w:sz w:val="24"/>
          <w:szCs w:val="24"/>
          <w:rtl/>
        </w:rPr>
        <w:t>ومستويات الدلالة الفعلية كما هي في الجداول الإحصائية دون تقريب مُفرط أو تلاعب، وأن تُفسَّر النتائج في ضوء القيود المنهجية للدراسة كطبيعة العينة ومحدودية التعميم الجغرافي على مدينة الرياض</w:t>
      </w:r>
      <w:r w:rsidRPr="00CF7571">
        <w:rPr>
          <w:rFonts w:asciiTheme="majorBidi" w:eastAsia="Times New Roman" w:hAnsiTheme="majorBidi" w:cstheme="majorBidi"/>
          <w:sz w:val="24"/>
          <w:szCs w:val="24"/>
        </w:rPr>
        <w:t>.</w:t>
      </w:r>
    </w:p>
    <w:p w14:paraId="59010B03" w14:textId="5E39A4AF" w:rsidR="00CF7571" w:rsidRPr="00CF7571" w:rsidRDefault="00CF7571" w:rsidP="00CF7571">
      <w:pPr>
        <w:spacing w:line="360" w:lineRule="auto"/>
        <w:jc w:val="both"/>
        <w:rPr>
          <w:rFonts w:asciiTheme="majorBidi" w:eastAsia="Times New Roman" w:hAnsiTheme="majorBidi" w:cstheme="majorBidi"/>
          <w:sz w:val="24"/>
          <w:szCs w:val="24"/>
        </w:rPr>
      </w:pPr>
      <w:r w:rsidRPr="00CF7571">
        <w:rPr>
          <w:rFonts w:asciiTheme="majorBidi" w:eastAsia="Times New Roman" w:hAnsiTheme="majorBidi" w:cstheme="majorBidi"/>
          <w:b/>
          <w:bCs/>
          <w:sz w:val="24"/>
          <w:szCs w:val="24"/>
          <w:rtl/>
        </w:rPr>
        <w:t>النزاهة في الإفصاح عن تضارب المصالح</w:t>
      </w:r>
      <w:r w:rsidRPr="00CF7571">
        <w:rPr>
          <w:rFonts w:asciiTheme="majorBidi" w:eastAsia="Times New Roman" w:hAnsiTheme="majorBidi" w:cstheme="majorBidi"/>
          <w:b/>
          <w:bCs/>
          <w:sz w:val="24"/>
          <w:szCs w:val="24"/>
        </w:rPr>
        <w:t>:</w:t>
      </w:r>
    </w:p>
    <w:p w14:paraId="1810602A" w14:textId="77777777" w:rsidR="00CF7571" w:rsidRPr="00CF7571" w:rsidRDefault="00CF7571" w:rsidP="00CF7571">
      <w:pPr>
        <w:spacing w:line="360" w:lineRule="auto"/>
        <w:jc w:val="both"/>
        <w:rPr>
          <w:rFonts w:asciiTheme="majorBidi" w:eastAsia="Times New Roman" w:hAnsiTheme="majorBidi" w:cstheme="majorBidi"/>
          <w:sz w:val="24"/>
          <w:szCs w:val="24"/>
        </w:rPr>
      </w:pPr>
      <w:r w:rsidRPr="00CF7571">
        <w:rPr>
          <w:rFonts w:asciiTheme="majorBidi" w:eastAsia="Times New Roman" w:hAnsiTheme="majorBidi" w:cstheme="majorBidi"/>
          <w:sz w:val="24"/>
          <w:szCs w:val="24"/>
          <w:rtl/>
        </w:rPr>
        <w:t xml:space="preserve">على الباحث الإفصاح بوضوح إذا كان تنفيذ هذه الدراسة قد حظي بأي دعم مؤسسي أو مالي من جهات ذات مصلحة مباشرة في قطاع التطوير العقاري اللوجستي، كشركات التطوير أو مشغّلي المستودعات أو الجهات الحكومية التنظيمية. وإن كانت الدراسة أكاديمية بحتة كما هو ظاهر من سياقها المنهجي، فإن الإفصاح الصريح </w:t>
      </w:r>
      <w:r w:rsidRPr="00CF7571">
        <w:rPr>
          <w:rFonts w:asciiTheme="majorBidi" w:eastAsia="Times New Roman" w:hAnsiTheme="majorBidi" w:cstheme="majorBidi"/>
          <w:sz w:val="24"/>
          <w:szCs w:val="24"/>
          <w:rtl/>
        </w:rPr>
        <w:lastRenderedPageBreak/>
        <w:t>عن ذلك أمر ضروري أيضًا لأنه يُثبت للقارئ والمحكّم والمؤسسة الأكاديمية خلوّ البحث من التوجيه الخارجي غير المُعلن</w:t>
      </w:r>
      <w:r w:rsidRPr="00CF7571">
        <w:rPr>
          <w:rFonts w:asciiTheme="majorBidi" w:eastAsia="Times New Roman" w:hAnsiTheme="majorBidi" w:cstheme="majorBidi"/>
          <w:sz w:val="24"/>
          <w:szCs w:val="24"/>
        </w:rPr>
        <w:t>.</w:t>
      </w:r>
    </w:p>
    <w:p w14:paraId="4745D837" w14:textId="646FAD8E" w:rsidR="00CF7571" w:rsidRPr="00CF7571" w:rsidRDefault="00CF7571" w:rsidP="00CF7571">
      <w:pPr>
        <w:spacing w:line="360" w:lineRule="auto"/>
        <w:jc w:val="both"/>
        <w:rPr>
          <w:rFonts w:asciiTheme="majorBidi" w:eastAsia="Times New Roman" w:hAnsiTheme="majorBidi" w:cstheme="majorBidi"/>
          <w:sz w:val="24"/>
          <w:szCs w:val="24"/>
        </w:rPr>
      </w:pPr>
      <w:r w:rsidRPr="00CF7571">
        <w:rPr>
          <w:rFonts w:asciiTheme="majorBidi" w:eastAsia="Times New Roman" w:hAnsiTheme="majorBidi" w:cstheme="majorBidi"/>
          <w:b/>
          <w:bCs/>
          <w:sz w:val="24"/>
          <w:szCs w:val="24"/>
          <w:rtl/>
        </w:rPr>
        <w:t>احترام حقوق الملكية الفكرية في الأداة البحثية</w:t>
      </w:r>
      <w:r w:rsidRPr="00CF7571">
        <w:rPr>
          <w:rFonts w:asciiTheme="majorBidi" w:eastAsia="Times New Roman" w:hAnsiTheme="majorBidi" w:cstheme="majorBidi"/>
          <w:b/>
          <w:bCs/>
          <w:sz w:val="24"/>
          <w:szCs w:val="24"/>
        </w:rPr>
        <w:t>:</w:t>
      </w:r>
    </w:p>
    <w:p w14:paraId="5D848F38" w14:textId="77777777" w:rsidR="00CF7571" w:rsidRPr="00CF7571" w:rsidRDefault="00CF7571" w:rsidP="00CF7571">
      <w:pPr>
        <w:spacing w:line="360" w:lineRule="auto"/>
        <w:jc w:val="both"/>
        <w:rPr>
          <w:rFonts w:asciiTheme="majorBidi" w:eastAsia="Times New Roman" w:hAnsiTheme="majorBidi" w:cstheme="majorBidi"/>
          <w:sz w:val="24"/>
          <w:szCs w:val="24"/>
        </w:rPr>
      </w:pPr>
      <w:r w:rsidRPr="00CF7571">
        <w:rPr>
          <w:rFonts w:asciiTheme="majorBidi" w:eastAsia="Times New Roman" w:hAnsiTheme="majorBidi" w:cstheme="majorBidi"/>
          <w:sz w:val="24"/>
          <w:szCs w:val="24"/>
          <w:rtl/>
        </w:rPr>
        <w:t xml:space="preserve">عند تطوير أداة </w:t>
      </w:r>
      <w:proofErr w:type="gramStart"/>
      <w:r w:rsidRPr="00CF7571">
        <w:rPr>
          <w:rFonts w:asciiTheme="majorBidi" w:eastAsia="Times New Roman" w:hAnsiTheme="majorBidi" w:cstheme="majorBidi"/>
          <w:sz w:val="24"/>
          <w:szCs w:val="24"/>
          <w:rtl/>
        </w:rPr>
        <w:t>الاستبيان</w:t>
      </w:r>
      <w:proofErr w:type="gramEnd"/>
      <w:r w:rsidRPr="00CF7571">
        <w:rPr>
          <w:rFonts w:asciiTheme="majorBidi" w:eastAsia="Times New Roman" w:hAnsiTheme="majorBidi" w:cstheme="majorBidi"/>
          <w:sz w:val="24"/>
          <w:szCs w:val="24"/>
          <w:rtl/>
        </w:rPr>
        <w:t xml:space="preserve">، يتعين على الباحث إذا استعار أو اقتبس فقرات قياس مستخدمة في دراسات سابقة أن يُشير صراحةً إلى مصادر تلك الفقرات سواء في متن الدراسة أو في ملحق </w:t>
      </w:r>
      <w:proofErr w:type="gramStart"/>
      <w:r w:rsidRPr="00CF7571">
        <w:rPr>
          <w:rFonts w:asciiTheme="majorBidi" w:eastAsia="Times New Roman" w:hAnsiTheme="majorBidi" w:cstheme="majorBidi"/>
          <w:sz w:val="24"/>
          <w:szCs w:val="24"/>
          <w:rtl/>
        </w:rPr>
        <w:t>الاستبيان</w:t>
      </w:r>
      <w:proofErr w:type="gramEnd"/>
      <w:r w:rsidRPr="00CF7571">
        <w:rPr>
          <w:rFonts w:asciiTheme="majorBidi" w:eastAsia="Times New Roman" w:hAnsiTheme="majorBidi" w:cstheme="majorBidi"/>
          <w:sz w:val="24"/>
          <w:szCs w:val="24"/>
          <w:rtl/>
        </w:rPr>
        <w:t>، والحصول على إذن أصحابها إن اشترطت المجلة الناشرة للدراسة الأصلية ذلك. وفي المقابل، إذا طوّر الباحث أداته القياسية اعتمادًا على بناء نظري أصيل مستخلص من مراجعة الأدبيات، فإن توثيق هذا المسار بدقة يُكسب الأداة مصداقية أكاديمية أعلى ويُعزز قابليتها للاستخدام في بحوث مستقبلية</w:t>
      </w:r>
      <w:r w:rsidRPr="00CF7571">
        <w:rPr>
          <w:rFonts w:asciiTheme="majorBidi" w:eastAsia="Times New Roman" w:hAnsiTheme="majorBidi" w:cstheme="majorBidi"/>
          <w:sz w:val="24"/>
          <w:szCs w:val="24"/>
        </w:rPr>
        <w:t>.</w:t>
      </w:r>
    </w:p>
    <w:p w14:paraId="41773DFF" w14:textId="2B62200A" w:rsidR="00CF7571" w:rsidRPr="00CF7571" w:rsidRDefault="00CF7571" w:rsidP="00CF7571">
      <w:pPr>
        <w:spacing w:line="360" w:lineRule="auto"/>
        <w:jc w:val="both"/>
        <w:rPr>
          <w:rFonts w:asciiTheme="majorBidi" w:eastAsia="Times New Roman" w:hAnsiTheme="majorBidi" w:cstheme="majorBidi"/>
          <w:sz w:val="24"/>
          <w:szCs w:val="24"/>
        </w:rPr>
      </w:pPr>
      <w:r w:rsidRPr="00CF7571">
        <w:rPr>
          <w:rFonts w:asciiTheme="majorBidi" w:eastAsia="Times New Roman" w:hAnsiTheme="majorBidi" w:cstheme="majorBidi"/>
          <w:b/>
          <w:bCs/>
          <w:sz w:val="24"/>
          <w:szCs w:val="24"/>
          <w:rtl/>
        </w:rPr>
        <w:t>المخاطر الأخلاقية المحتملة في الدراسة والتدابير التخفيفية</w:t>
      </w:r>
      <w:r w:rsidRPr="00CF7571">
        <w:rPr>
          <w:rFonts w:asciiTheme="majorBidi" w:eastAsia="Times New Roman" w:hAnsiTheme="majorBidi" w:cstheme="majorBidi"/>
          <w:b/>
          <w:bCs/>
          <w:sz w:val="24"/>
          <w:szCs w:val="24"/>
        </w:rPr>
        <w:t>:</w:t>
      </w:r>
    </w:p>
    <w:p w14:paraId="169233A2" w14:textId="77777777" w:rsidR="00CF7571" w:rsidRPr="00CF7571" w:rsidRDefault="00CF7571" w:rsidP="00CF7571">
      <w:pPr>
        <w:spacing w:line="360" w:lineRule="auto"/>
        <w:jc w:val="both"/>
        <w:rPr>
          <w:rFonts w:asciiTheme="majorBidi" w:eastAsia="Times New Roman" w:hAnsiTheme="majorBidi" w:cstheme="majorBidi"/>
          <w:sz w:val="24"/>
          <w:szCs w:val="24"/>
        </w:rPr>
      </w:pPr>
      <w:r w:rsidRPr="00CF7571">
        <w:rPr>
          <w:rFonts w:asciiTheme="majorBidi" w:eastAsia="Times New Roman" w:hAnsiTheme="majorBidi" w:cstheme="majorBidi"/>
          <w:sz w:val="24"/>
          <w:szCs w:val="24"/>
          <w:rtl/>
        </w:rPr>
        <w:t xml:space="preserve">ثمة جملة من المخاطر الأخلاقية المحتملة في هذه الدراسة تستوجب التدبير المسبق؛ فمن أبرزها أن بعض المستجيبين من الجهات الحكومية قد يشعرون بضغط ضمني للإجابة بما يتوافق مع التوجهات الرسمية لرؤية 2030 لا بما يعكس تقديرهم الموضوعي الحقيقي. وللحدّ من هذا الخطر، يمكن التأكيد في مقدّمة </w:t>
      </w:r>
      <w:proofErr w:type="gramStart"/>
      <w:r w:rsidRPr="00CF7571">
        <w:rPr>
          <w:rFonts w:asciiTheme="majorBidi" w:eastAsia="Times New Roman" w:hAnsiTheme="majorBidi" w:cstheme="majorBidi"/>
          <w:sz w:val="24"/>
          <w:szCs w:val="24"/>
          <w:rtl/>
        </w:rPr>
        <w:t>الاستبيان</w:t>
      </w:r>
      <w:proofErr w:type="gramEnd"/>
      <w:r w:rsidRPr="00CF7571">
        <w:rPr>
          <w:rFonts w:asciiTheme="majorBidi" w:eastAsia="Times New Roman" w:hAnsiTheme="majorBidi" w:cstheme="majorBidi"/>
          <w:sz w:val="24"/>
          <w:szCs w:val="24"/>
          <w:rtl/>
        </w:rPr>
        <w:t xml:space="preserve"> على أن الإجابات لن تُعرض على جهات العمل وأن الغرض بحثي أكاديمي صرف. ومن المخاطر أيضًا أن محدودية العينة في مدينة الرياض قد تُفضي إلى تعميم غير مقصود للنتائج على مستوى المملكة كلها، وهو ما يستلزم التصريح الواضح في حدود الدراسة وقيود التعميم. كذلك ينبغي أن تُراعي صياغة فقرات </w:t>
      </w:r>
      <w:proofErr w:type="gramStart"/>
      <w:r w:rsidRPr="00CF7571">
        <w:rPr>
          <w:rFonts w:asciiTheme="majorBidi" w:eastAsia="Times New Roman" w:hAnsiTheme="majorBidi" w:cstheme="majorBidi"/>
          <w:sz w:val="24"/>
          <w:szCs w:val="24"/>
          <w:rtl/>
        </w:rPr>
        <w:t>الاستبيان</w:t>
      </w:r>
      <w:proofErr w:type="gramEnd"/>
      <w:r w:rsidRPr="00CF7571">
        <w:rPr>
          <w:rFonts w:asciiTheme="majorBidi" w:eastAsia="Times New Roman" w:hAnsiTheme="majorBidi" w:cstheme="majorBidi"/>
          <w:sz w:val="24"/>
          <w:szCs w:val="24"/>
          <w:rtl/>
        </w:rPr>
        <w:t xml:space="preserve"> الحياد التام بحيث لا تتضمن توجيهًا ضمنيًا للمستجيب نحو إجابات إيجابية عن العقارات اللوجستية أو مستهدفات الرؤية</w:t>
      </w:r>
      <w:r w:rsidRPr="00CF7571">
        <w:rPr>
          <w:rFonts w:asciiTheme="majorBidi" w:eastAsia="Times New Roman" w:hAnsiTheme="majorBidi" w:cstheme="majorBidi"/>
          <w:sz w:val="24"/>
          <w:szCs w:val="24"/>
        </w:rPr>
        <w:t>.</w:t>
      </w:r>
    </w:p>
    <w:p w14:paraId="2DA47C31" w14:textId="77777777" w:rsidR="00CF7571" w:rsidRPr="00CF7571" w:rsidRDefault="00CF7571" w:rsidP="00CF7571">
      <w:pPr>
        <w:spacing w:line="360" w:lineRule="auto"/>
        <w:jc w:val="both"/>
        <w:rPr>
          <w:rFonts w:asciiTheme="majorBidi" w:eastAsia="Times New Roman" w:hAnsiTheme="majorBidi" w:cstheme="majorBidi"/>
          <w:b/>
          <w:bCs/>
          <w:i/>
          <w:iCs/>
          <w:sz w:val="28"/>
          <w:szCs w:val="28"/>
        </w:rPr>
      </w:pPr>
      <w:r w:rsidRPr="00CF7571">
        <w:rPr>
          <w:rFonts w:asciiTheme="majorBidi" w:eastAsia="Times New Roman" w:hAnsiTheme="majorBidi" w:cstheme="majorBidi"/>
          <w:b/>
          <w:bCs/>
          <w:i/>
          <w:iCs/>
          <w:sz w:val="28"/>
          <w:szCs w:val="28"/>
          <w:rtl/>
        </w:rPr>
        <w:t>الخاتمة</w:t>
      </w:r>
      <w:r w:rsidRPr="00CF7571">
        <w:rPr>
          <w:rFonts w:asciiTheme="majorBidi" w:eastAsia="Times New Roman" w:hAnsiTheme="majorBidi" w:cstheme="majorBidi"/>
          <w:b/>
          <w:bCs/>
          <w:i/>
          <w:iCs/>
          <w:sz w:val="28"/>
          <w:szCs w:val="28"/>
        </w:rPr>
        <w:t>:</w:t>
      </w:r>
    </w:p>
    <w:p w14:paraId="1A3D3B2C" w14:textId="77777777" w:rsidR="00CF7571" w:rsidRPr="00CF7571" w:rsidRDefault="00CF7571" w:rsidP="00CF7571">
      <w:pPr>
        <w:spacing w:line="360" w:lineRule="auto"/>
        <w:jc w:val="both"/>
        <w:rPr>
          <w:rFonts w:asciiTheme="majorBidi" w:eastAsia="Times New Roman" w:hAnsiTheme="majorBidi" w:cstheme="majorBidi"/>
          <w:sz w:val="24"/>
          <w:szCs w:val="24"/>
        </w:rPr>
      </w:pPr>
      <w:r w:rsidRPr="00CF7571">
        <w:rPr>
          <w:rFonts w:asciiTheme="majorBidi" w:eastAsia="Times New Roman" w:hAnsiTheme="majorBidi" w:cstheme="majorBidi"/>
          <w:sz w:val="24"/>
          <w:szCs w:val="24"/>
          <w:rtl/>
        </w:rPr>
        <w:t>استعرض هذا التقرير أخلاقيات البحث العلمي بمنظور تحليلي نقدي وتطبيقي يصبّ في خدمة بحث أكاديمي رصين حول دور التطوير العقاري اللوجستي في دعم مستهدفات رؤية السعودية 2030 في مدينة الرياض</w:t>
      </w:r>
      <w:r w:rsidRPr="00CF7571">
        <w:rPr>
          <w:rFonts w:asciiTheme="majorBidi" w:eastAsia="Times New Roman" w:hAnsiTheme="majorBidi" w:cstheme="majorBidi"/>
          <w:sz w:val="24"/>
          <w:szCs w:val="24"/>
        </w:rPr>
        <w:t xml:space="preserve">. </w:t>
      </w:r>
      <w:r w:rsidRPr="00CF7571">
        <w:rPr>
          <w:rFonts w:asciiTheme="majorBidi" w:eastAsia="Times New Roman" w:hAnsiTheme="majorBidi" w:cstheme="majorBidi"/>
          <w:sz w:val="24"/>
          <w:szCs w:val="24"/>
          <w:rtl/>
        </w:rPr>
        <w:t>وقد تبيّن من خلال هذا الاستعراض أن الأخلاقيات البحثية ليست مجرد متطلبات شكلية تُؤدَّى في مقدّمة البحث، بل هي منظومة قيمية متكاملة تسري في كل مرحلة من مراحل العمل العلمي بدءًا من تصميم الفكرة البحثية وانتهاءً بنشر النتائج وتوظيفها</w:t>
      </w:r>
      <w:r w:rsidRPr="00CF7571">
        <w:rPr>
          <w:rFonts w:asciiTheme="majorBidi" w:eastAsia="Times New Roman" w:hAnsiTheme="majorBidi" w:cstheme="majorBidi"/>
          <w:sz w:val="24"/>
          <w:szCs w:val="24"/>
        </w:rPr>
        <w:t>.</w:t>
      </w:r>
    </w:p>
    <w:p w14:paraId="3A13C985" w14:textId="36388D98" w:rsidR="00CF7571" w:rsidRPr="00CF7571" w:rsidRDefault="00CF7571" w:rsidP="00CF7571">
      <w:pPr>
        <w:spacing w:line="360" w:lineRule="auto"/>
        <w:jc w:val="both"/>
        <w:rPr>
          <w:rFonts w:asciiTheme="majorBidi" w:eastAsia="Times New Roman" w:hAnsiTheme="majorBidi" w:cstheme="majorBidi"/>
          <w:sz w:val="24"/>
          <w:szCs w:val="24"/>
        </w:rPr>
      </w:pPr>
      <w:r w:rsidRPr="00CF7571">
        <w:rPr>
          <w:rFonts w:asciiTheme="majorBidi" w:eastAsia="Times New Roman" w:hAnsiTheme="majorBidi" w:cstheme="majorBidi"/>
          <w:sz w:val="24"/>
          <w:szCs w:val="24"/>
          <w:rtl/>
        </w:rPr>
        <w:t xml:space="preserve">إن المبادئ الخمسة التي تناولها </w:t>
      </w:r>
      <w:proofErr w:type="gramStart"/>
      <w:r w:rsidRPr="00CF7571">
        <w:rPr>
          <w:rFonts w:asciiTheme="majorBidi" w:eastAsia="Times New Roman" w:hAnsiTheme="majorBidi" w:cstheme="majorBidi"/>
          <w:sz w:val="24"/>
          <w:szCs w:val="24"/>
          <w:rtl/>
        </w:rPr>
        <w:t>التقرير</w:t>
      </w:r>
      <w:r w:rsidRPr="00CF7571">
        <w:rPr>
          <w:rFonts w:asciiTheme="majorBidi" w:eastAsia="Times New Roman" w:hAnsiTheme="majorBidi" w:cstheme="majorBidi"/>
          <w:sz w:val="24"/>
          <w:szCs w:val="24"/>
        </w:rPr>
        <w:t xml:space="preserve">  </w:t>
      </w:r>
      <w:r w:rsidRPr="00CF7571">
        <w:rPr>
          <w:rFonts w:asciiTheme="majorBidi" w:eastAsia="Times New Roman" w:hAnsiTheme="majorBidi" w:cstheme="majorBidi"/>
          <w:sz w:val="24"/>
          <w:szCs w:val="24"/>
          <w:rtl/>
        </w:rPr>
        <w:t>الأمانة</w:t>
      </w:r>
      <w:proofErr w:type="gramEnd"/>
      <w:r w:rsidRPr="00CF7571">
        <w:rPr>
          <w:rFonts w:asciiTheme="majorBidi" w:eastAsia="Times New Roman" w:hAnsiTheme="majorBidi" w:cstheme="majorBidi"/>
          <w:sz w:val="24"/>
          <w:szCs w:val="24"/>
          <w:rtl/>
        </w:rPr>
        <w:t xml:space="preserve"> والنزاهة والموضوعية والسرية والموافقة المستنيرة تمثّل في مجملها الإطار الناظم الذي يُضفي على البحث العلمي </w:t>
      </w:r>
      <w:proofErr w:type="gramStart"/>
      <w:r w:rsidRPr="00CF7571">
        <w:rPr>
          <w:rFonts w:asciiTheme="majorBidi" w:eastAsia="Times New Roman" w:hAnsiTheme="majorBidi" w:cstheme="majorBidi"/>
          <w:sz w:val="24"/>
          <w:szCs w:val="24"/>
          <w:rtl/>
        </w:rPr>
        <w:t>شرعيته</w:t>
      </w:r>
      <w:proofErr w:type="gramEnd"/>
      <w:r w:rsidRPr="00CF7571">
        <w:rPr>
          <w:rFonts w:asciiTheme="majorBidi" w:eastAsia="Times New Roman" w:hAnsiTheme="majorBidi" w:cstheme="majorBidi"/>
          <w:sz w:val="24"/>
          <w:szCs w:val="24"/>
          <w:rtl/>
        </w:rPr>
        <w:t xml:space="preserve"> ومصداقيته وقيمته الأكاديمية والعملية. وقد أظهر التطبيق الإجرائي في القسم السابق أن الالتزام بهذه المبادئ في بحوث الاقتصاد العقاري واللوجستي ذات البعد </w:t>
      </w:r>
      <w:proofErr w:type="spellStart"/>
      <w:r w:rsidRPr="00CF7571">
        <w:rPr>
          <w:rFonts w:asciiTheme="majorBidi" w:eastAsia="Times New Roman" w:hAnsiTheme="majorBidi" w:cstheme="majorBidi"/>
          <w:sz w:val="24"/>
          <w:szCs w:val="24"/>
          <w:rtl/>
        </w:rPr>
        <w:t>السياساتي</w:t>
      </w:r>
      <w:proofErr w:type="spellEnd"/>
      <w:r w:rsidRPr="00CF7571">
        <w:rPr>
          <w:rFonts w:asciiTheme="majorBidi" w:eastAsia="Times New Roman" w:hAnsiTheme="majorBidi" w:cstheme="majorBidi"/>
          <w:sz w:val="24"/>
          <w:szCs w:val="24"/>
          <w:rtl/>
        </w:rPr>
        <w:t xml:space="preserve"> ليس فقط مطلبًا أخلاقيًا، بل هو شرط منهجي لضمان أن تُسهم نتائج الدراسة فعليًا في صناعة قرار مستنير ومسؤول</w:t>
      </w:r>
      <w:r w:rsidRPr="00CF7571">
        <w:rPr>
          <w:rFonts w:asciiTheme="majorBidi" w:eastAsia="Times New Roman" w:hAnsiTheme="majorBidi" w:cstheme="majorBidi"/>
          <w:sz w:val="24"/>
          <w:szCs w:val="24"/>
        </w:rPr>
        <w:t>.</w:t>
      </w:r>
    </w:p>
    <w:p w14:paraId="2426D88C" w14:textId="77777777" w:rsidR="00CF7571" w:rsidRPr="00CF7571" w:rsidRDefault="00CF7571" w:rsidP="00CF7571">
      <w:pPr>
        <w:spacing w:line="360" w:lineRule="auto"/>
        <w:jc w:val="both"/>
        <w:rPr>
          <w:rFonts w:asciiTheme="majorBidi" w:eastAsia="Times New Roman" w:hAnsiTheme="majorBidi" w:cstheme="majorBidi"/>
          <w:sz w:val="24"/>
          <w:szCs w:val="24"/>
        </w:rPr>
      </w:pPr>
      <w:r w:rsidRPr="00CF7571">
        <w:rPr>
          <w:rFonts w:asciiTheme="majorBidi" w:eastAsia="Times New Roman" w:hAnsiTheme="majorBidi" w:cstheme="majorBidi"/>
          <w:sz w:val="24"/>
          <w:szCs w:val="24"/>
          <w:rtl/>
        </w:rPr>
        <w:t>ويُؤكّد الباحث في ختام هذا التقرير التزامه الراسخ بجميع المبادئ الأخلاقية المُستعرضة في تنفيذ دراسته الميدانية، وأن تعاملاته مع البيانات والمشاركين والمصادر العلمية ستنبني على قيم النزاهة والمسؤولية الأكاديمية التي تُمثّل الأساس الذي لا غنى عنه لأي إسهام بحثي حقيقي يخدم مسيرة المعرفة الإنسانية ويدعم مستهدفات التنمية الوطنية</w:t>
      </w:r>
      <w:r w:rsidRPr="00CF7571">
        <w:rPr>
          <w:rFonts w:asciiTheme="majorBidi" w:eastAsia="Times New Roman" w:hAnsiTheme="majorBidi" w:cstheme="majorBidi"/>
          <w:sz w:val="24"/>
          <w:szCs w:val="24"/>
        </w:rPr>
        <w:t>.</w:t>
      </w:r>
    </w:p>
    <w:p w14:paraId="306908AA" w14:textId="77777777" w:rsidR="00CF7571" w:rsidRPr="00CF7571" w:rsidRDefault="00CF7571" w:rsidP="00CF7571">
      <w:pPr>
        <w:spacing w:line="360" w:lineRule="auto"/>
        <w:jc w:val="both"/>
        <w:rPr>
          <w:rFonts w:asciiTheme="majorBidi" w:eastAsia="Times New Roman" w:hAnsiTheme="majorBidi" w:cstheme="majorBidi"/>
          <w:b/>
          <w:bCs/>
          <w:sz w:val="28"/>
          <w:szCs w:val="28"/>
        </w:rPr>
      </w:pPr>
      <w:r w:rsidRPr="00CF7571">
        <w:rPr>
          <w:rFonts w:asciiTheme="majorBidi" w:eastAsia="Times New Roman" w:hAnsiTheme="majorBidi" w:cstheme="majorBidi"/>
          <w:b/>
          <w:bCs/>
          <w:sz w:val="28"/>
          <w:szCs w:val="28"/>
          <w:rtl/>
        </w:rPr>
        <w:lastRenderedPageBreak/>
        <w:t>المراجع</w:t>
      </w:r>
      <w:r w:rsidRPr="00CF7571">
        <w:rPr>
          <w:rFonts w:asciiTheme="majorBidi" w:eastAsia="Times New Roman" w:hAnsiTheme="majorBidi" w:cstheme="majorBidi"/>
          <w:b/>
          <w:bCs/>
          <w:sz w:val="28"/>
          <w:szCs w:val="28"/>
        </w:rPr>
        <w:t>:</w:t>
      </w:r>
    </w:p>
    <w:p w14:paraId="487E1C34" w14:textId="77777777" w:rsidR="00CF7571" w:rsidRPr="00CF7571" w:rsidRDefault="00CF7571" w:rsidP="00CF7571">
      <w:pPr>
        <w:spacing w:line="360" w:lineRule="auto"/>
        <w:jc w:val="both"/>
        <w:rPr>
          <w:rFonts w:asciiTheme="majorBidi" w:eastAsia="Times New Roman" w:hAnsiTheme="majorBidi" w:cstheme="majorBidi"/>
          <w:sz w:val="24"/>
          <w:szCs w:val="24"/>
        </w:rPr>
      </w:pPr>
      <w:r w:rsidRPr="00CF7571">
        <w:rPr>
          <w:rFonts w:asciiTheme="majorBidi" w:eastAsia="Times New Roman" w:hAnsiTheme="majorBidi" w:cstheme="majorBidi"/>
          <w:b/>
          <w:bCs/>
          <w:sz w:val="24"/>
          <w:szCs w:val="24"/>
          <w:rtl/>
        </w:rPr>
        <w:t>أولاً: المراجع العربية</w:t>
      </w:r>
      <w:r w:rsidRPr="00CF7571">
        <w:rPr>
          <w:rFonts w:asciiTheme="majorBidi" w:eastAsia="Times New Roman" w:hAnsiTheme="majorBidi" w:cstheme="majorBidi"/>
          <w:b/>
          <w:bCs/>
          <w:sz w:val="24"/>
          <w:szCs w:val="24"/>
        </w:rPr>
        <w:t>:</w:t>
      </w:r>
    </w:p>
    <w:p w14:paraId="290CCFF2" w14:textId="77777777" w:rsidR="00CF7571" w:rsidRPr="00CF7571" w:rsidRDefault="00CF7571">
      <w:pPr>
        <w:numPr>
          <w:ilvl w:val="0"/>
          <w:numId w:val="1"/>
        </w:numPr>
        <w:spacing w:line="360" w:lineRule="auto"/>
        <w:jc w:val="both"/>
        <w:rPr>
          <w:rFonts w:asciiTheme="majorBidi" w:eastAsia="Times New Roman" w:hAnsiTheme="majorBidi" w:cstheme="majorBidi"/>
          <w:sz w:val="24"/>
          <w:szCs w:val="24"/>
        </w:rPr>
      </w:pPr>
      <w:r w:rsidRPr="00CF7571">
        <w:rPr>
          <w:rFonts w:asciiTheme="majorBidi" w:eastAsia="Times New Roman" w:hAnsiTheme="majorBidi" w:cstheme="majorBidi"/>
          <w:sz w:val="24"/>
          <w:szCs w:val="24"/>
          <w:rtl/>
        </w:rPr>
        <w:t>الصبحي، م</w:t>
      </w:r>
      <w:r w:rsidRPr="00CF7571">
        <w:rPr>
          <w:rFonts w:asciiTheme="majorBidi" w:eastAsia="Times New Roman" w:hAnsiTheme="majorBidi" w:cstheme="majorBidi"/>
          <w:sz w:val="24"/>
          <w:szCs w:val="24"/>
        </w:rPr>
        <w:t xml:space="preserve">. (2019). </w:t>
      </w:r>
      <w:r w:rsidRPr="00CF7571">
        <w:rPr>
          <w:rFonts w:asciiTheme="majorBidi" w:eastAsia="Times New Roman" w:hAnsiTheme="majorBidi" w:cstheme="majorBidi"/>
          <w:i/>
          <w:iCs/>
          <w:sz w:val="24"/>
          <w:szCs w:val="24"/>
          <w:rtl/>
        </w:rPr>
        <w:t>أخلاقيات البحث العلمي في العلوم الاجتماعية: الأسس والتطبيقات</w:t>
      </w:r>
      <w:r w:rsidRPr="00CF7571">
        <w:rPr>
          <w:rFonts w:asciiTheme="majorBidi" w:eastAsia="Times New Roman" w:hAnsiTheme="majorBidi" w:cstheme="majorBidi"/>
          <w:sz w:val="24"/>
          <w:szCs w:val="24"/>
        </w:rPr>
        <w:t xml:space="preserve">. </w:t>
      </w:r>
      <w:r w:rsidRPr="00CF7571">
        <w:rPr>
          <w:rFonts w:asciiTheme="majorBidi" w:eastAsia="Times New Roman" w:hAnsiTheme="majorBidi" w:cstheme="majorBidi"/>
          <w:sz w:val="24"/>
          <w:szCs w:val="24"/>
          <w:rtl/>
        </w:rPr>
        <w:t>دار الفكر العربي</w:t>
      </w:r>
      <w:r w:rsidRPr="00CF7571">
        <w:rPr>
          <w:rFonts w:asciiTheme="majorBidi" w:eastAsia="Times New Roman" w:hAnsiTheme="majorBidi" w:cstheme="majorBidi"/>
          <w:sz w:val="24"/>
          <w:szCs w:val="24"/>
        </w:rPr>
        <w:t>.</w:t>
      </w:r>
    </w:p>
    <w:p w14:paraId="6B923900" w14:textId="77777777" w:rsidR="00CF7571" w:rsidRPr="00CF7571" w:rsidRDefault="00CF7571">
      <w:pPr>
        <w:numPr>
          <w:ilvl w:val="0"/>
          <w:numId w:val="1"/>
        </w:numPr>
        <w:spacing w:line="360" w:lineRule="auto"/>
        <w:jc w:val="both"/>
        <w:rPr>
          <w:rFonts w:asciiTheme="majorBidi" w:eastAsia="Times New Roman" w:hAnsiTheme="majorBidi" w:cstheme="majorBidi"/>
          <w:sz w:val="24"/>
          <w:szCs w:val="24"/>
        </w:rPr>
      </w:pPr>
      <w:r w:rsidRPr="00CF7571">
        <w:rPr>
          <w:rFonts w:asciiTheme="majorBidi" w:eastAsia="Times New Roman" w:hAnsiTheme="majorBidi" w:cstheme="majorBidi"/>
          <w:sz w:val="24"/>
          <w:szCs w:val="24"/>
          <w:rtl/>
        </w:rPr>
        <w:t>الحكمي، و.، والحبيب، ر. (2022). أثر التطوير في الصناعات المحلية غير النفطية والخدمات اللوجستية في تحقيق مستهدفات برنامج تطوير الصناعة الوطنية والخدمات اللوجستية ضمن برامج رؤية السعودية 2030</w:t>
      </w:r>
      <w:r w:rsidRPr="00CF7571">
        <w:rPr>
          <w:rFonts w:asciiTheme="majorBidi" w:eastAsia="Times New Roman" w:hAnsiTheme="majorBidi" w:cstheme="majorBidi"/>
          <w:sz w:val="24"/>
          <w:szCs w:val="24"/>
        </w:rPr>
        <w:t xml:space="preserve">. </w:t>
      </w:r>
      <w:r w:rsidRPr="00CF7571">
        <w:rPr>
          <w:rFonts w:asciiTheme="majorBidi" w:eastAsia="Times New Roman" w:hAnsiTheme="majorBidi" w:cstheme="majorBidi"/>
          <w:i/>
          <w:iCs/>
          <w:sz w:val="24"/>
          <w:szCs w:val="24"/>
          <w:rtl/>
        </w:rPr>
        <w:t>المجلة الدولية للعلوم الاقتصادية والإدارية، 3</w:t>
      </w:r>
      <w:r w:rsidRPr="00CF7571">
        <w:rPr>
          <w:rFonts w:asciiTheme="majorBidi" w:eastAsia="Times New Roman" w:hAnsiTheme="majorBidi" w:cstheme="majorBidi"/>
          <w:sz w:val="24"/>
          <w:szCs w:val="24"/>
        </w:rPr>
        <w:t>(4)</w:t>
      </w:r>
      <w:r w:rsidRPr="00CF7571">
        <w:rPr>
          <w:rFonts w:asciiTheme="majorBidi" w:eastAsia="Times New Roman" w:hAnsiTheme="majorBidi" w:cstheme="majorBidi"/>
          <w:sz w:val="24"/>
          <w:szCs w:val="24"/>
          <w:rtl/>
        </w:rPr>
        <w:t>، 1</w:t>
      </w:r>
      <w:r w:rsidRPr="00CF7571">
        <w:rPr>
          <w:rFonts w:asciiTheme="majorBidi" w:eastAsia="Times New Roman" w:hAnsiTheme="majorBidi" w:cstheme="majorBidi"/>
          <w:sz w:val="24"/>
          <w:szCs w:val="24"/>
        </w:rPr>
        <w:t xml:space="preserve">–28. </w:t>
      </w:r>
      <w:hyperlink r:id="rId9" w:tgtFrame="_blank" w:history="1">
        <w:r w:rsidRPr="00CF7571">
          <w:rPr>
            <w:rStyle w:val="Hyperlink"/>
            <w:rFonts w:asciiTheme="majorBidi" w:eastAsia="Times New Roman" w:hAnsiTheme="majorBidi" w:cstheme="majorBidi"/>
            <w:sz w:val="24"/>
            <w:szCs w:val="24"/>
          </w:rPr>
          <w:t>https://www.iajour.com/index.php/eas/article/view/285</w:t>
        </w:r>
      </w:hyperlink>
    </w:p>
    <w:p w14:paraId="63A196C8" w14:textId="77777777" w:rsidR="00CF7571" w:rsidRPr="00CF7571" w:rsidRDefault="00CF7571">
      <w:pPr>
        <w:numPr>
          <w:ilvl w:val="0"/>
          <w:numId w:val="1"/>
        </w:numPr>
        <w:spacing w:line="360" w:lineRule="auto"/>
        <w:jc w:val="both"/>
        <w:rPr>
          <w:rFonts w:asciiTheme="majorBidi" w:eastAsia="Times New Roman" w:hAnsiTheme="majorBidi" w:cstheme="majorBidi"/>
          <w:sz w:val="24"/>
          <w:szCs w:val="24"/>
        </w:rPr>
      </w:pPr>
      <w:r w:rsidRPr="00CF7571">
        <w:rPr>
          <w:rFonts w:asciiTheme="majorBidi" w:eastAsia="Times New Roman" w:hAnsiTheme="majorBidi" w:cstheme="majorBidi"/>
          <w:sz w:val="24"/>
          <w:szCs w:val="24"/>
          <w:rtl/>
        </w:rPr>
        <w:t>العمري، س.، والشهراني، م. (2023). دور البحث العلمي في تحقيق التنمية المستدامة في ضوء رؤية المملكة 2030</w:t>
      </w:r>
      <w:r w:rsidRPr="00CF7571">
        <w:rPr>
          <w:rFonts w:asciiTheme="majorBidi" w:eastAsia="Times New Roman" w:hAnsiTheme="majorBidi" w:cstheme="majorBidi"/>
          <w:sz w:val="24"/>
          <w:szCs w:val="24"/>
        </w:rPr>
        <w:t xml:space="preserve">. </w:t>
      </w:r>
      <w:r w:rsidRPr="00CF7571">
        <w:rPr>
          <w:rFonts w:asciiTheme="majorBidi" w:eastAsia="Times New Roman" w:hAnsiTheme="majorBidi" w:cstheme="majorBidi"/>
          <w:i/>
          <w:iCs/>
          <w:sz w:val="24"/>
          <w:szCs w:val="24"/>
          <w:rtl/>
        </w:rPr>
        <w:t>مجلة العلوم التربوية – جامعة الجوف، 9</w:t>
      </w:r>
      <w:r w:rsidRPr="00CF7571">
        <w:rPr>
          <w:rFonts w:asciiTheme="majorBidi" w:eastAsia="Times New Roman" w:hAnsiTheme="majorBidi" w:cstheme="majorBidi"/>
          <w:sz w:val="24"/>
          <w:szCs w:val="24"/>
        </w:rPr>
        <w:t>(2)</w:t>
      </w:r>
      <w:r w:rsidRPr="00CF7571">
        <w:rPr>
          <w:rFonts w:asciiTheme="majorBidi" w:eastAsia="Times New Roman" w:hAnsiTheme="majorBidi" w:cstheme="majorBidi"/>
          <w:sz w:val="24"/>
          <w:szCs w:val="24"/>
          <w:rtl/>
        </w:rPr>
        <w:t>، 1</w:t>
      </w:r>
      <w:r w:rsidRPr="00CF7571">
        <w:rPr>
          <w:rFonts w:asciiTheme="majorBidi" w:eastAsia="Times New Roman" w:hAnsiTheme="majorBidi" w:cstheme="majorBidi"/>
          <w:sz w:val="24"/>
          <w:szCs w:val="24"/>
        </w:rPr>
        <w:t xml:space="preserve">–32. </w:t>
      </w:r>
      <w:hyperlink r:id="rId10" w:tgtFrame="_blank" w:history="1">
        <w:r w:rsidRPr="00CF7571">
          <w:rPr>
            <w:rStyle w:val="Hyperlink"/>
            <w:rFonts w:asciiTheme="majorBidi" w:eastAsia="Times New Roman" w:hAnsiTheme="majorBidi" w:cstheme="majorBidi"/>
            <w:sz w:val="24"/>
            <w:szCs w:val="24"/>
          </w:rPr>
          <w:t>https://www.jsju.org/index.php/journal/article/view/1862</w:t>
        </w:r>
      </w:hyperlink>
    </w:p>
    <w:p w14:paraId="49225225" w14:textId="77777777" w:rsidR="00CF7571" w:rsidRPr="00CF7571" w:rsidRDefault="00CF7571">
      <w:pPr>
        <w:numPr>
          <w:ilvl w:val="0"/>
          <w:numId w:val="1"/>
        </w:numPr>
        <w:spacing w:line="360" w:lineRule="auto"/>
        <w:jc w:val="both"/>
        <w:rPr>
          <w:rFonts w:asciiTheme="majorBidi" w:eastAsia="Times New Roman" w:hAnsiTheme="majorBidi" w:cstheme="majorBidi"/>
          <w:sz w:val="24"/>
          <w:szCs w:val="24"/>
        </w:rPr>
      </w:pPr>
      <w:r w:rsidRPr="00CF7571">
        <w:rPr>
          <w:rFonts w:asciiTheme="majorBidi" w:eastAsia="Times New Roman" w:hAnsiTheme="majorBidi" w:cstheme="majorBidi"/>
          <w:sz w:val="24"/>
          <w:szCs w:val="24"/>
          <w:rtl/>
        </w:rPr>
        <w:t>الناصر، ع. (2024). العلاقة بين الابتكار والتنمية المستدامة: دراسة مفاهيمية في سياق رؤية السعودية 2030</w:t>
      </w:r>
      <w:r w:rsidRPr="00CF7571">
        <w:rPr>
          <w:rFonts w:asciiTheme="majorBidi" w:eastAsia="Times New Roman" w:hAnsiTheme="majorBidi" w:cstheme="majorBidi"/>
          <w:sz w:val="24"/>
          <w:szCs w:val="24"/>
        </w:rPr>
        <w:t xml:space="preserve">. </w:t>
      </w:r>
      <w:r w:rsidRPr="00CF7571">
        <w:rPr>
          <w:rFonts w:asciiTheme="majorBidi" w:eastAsia="Times New Roman" w:hAnsiTheme="majorBidi" w:cstheme="majorBidi"/>
          <w:i/>
          <w:iCs/>
          <w:sz w:val="24"/>
          <w:szCs w:val="24"/>
          <w:rtl/>
        </w:rPr>
        <w:t>المجلة الدولية لنشر البحوث والدراسات، 5</w:t>
      </w:r>
      <w:r w:rsidRPr="00CF7571">
        <w:rPr>
          <w:rFonts w:asciiTheme="majorBidi" w:eastAsia="Times New Roman" w:hAnsiTheme="majorBidi" w:cstheme="majorBidi"/>
          <w:sz w:val="24"/>
          <w:szCs w:val="24"/>
        </w:rPr>
        <w:t>(67)</w:t>
      </w:r>
      <w:r w:rsidRPr="00CF7571">
        <w:rPr>
          <w:rFonts w:asciiTheme="majorBidi" w:eastAsia="Times New Roman" w:hAnsiTheme="majorBidi" w:cstheme="majorBidi"/>
          <w:sz w:val="24"/>
          <w:szCs w:val="24"/>
          <w:rtl/>
        </w:rPr>
        <w:t>، 1</w:t>
      </w:r>
      <w:r w:rsidRPr="00CF7571">
        <w:rPr>
          <w:rFonts w:asciiTheme="majorBidi" w:eastAsia="Times New Roman" w:hAnsiTheme="majorBidi" w:cstheme="majorBidi"/>
          <w:sz w:val="24"/>
          <w:szCs w:val="24"/>
        </w:rPr>
        <w:t xml:space="preserve">–22. </w:t>
      </w:r>
      <w:hyperlink r:id="rId11" w:tgtFrame="_blank" w:history="1">
        <w:r w:rsidRPr="00CF7571">
          <w:rPr>
            <w:rStyle w:val="Hyperlink"/>
            <w:rFonts w:asciiTheme="majorBidi" w:eastAsia="Times New Roman" w:hAnsiTheme="majorBidi" w:cstheme="majorBidi"/>
            <w:sz w:val="24"/>
            <w:szCs w:val="24"/>
          </w:rPr>
          <w:t>https://www.ijrsp.com/volume/issue-67/10/</w:t>
        </w:r>
      </w:hyperlink>
    </w:p>
    <w:p w14:paraId="44B626F7" w14:textId="77777777" w:rsidR="00CF7571" w:rsidRPr="00CF7571" w:rsidRDefault="00CF7571" w:rsidP="00CF7571">
      <w:pPr>
        <w:spacing w:line="360" w:lineRule="auto"/>
        <w:jc w:val="both"/>
        <w:rPr>
          <w:rFonts w:asciiTheme="majorBidi" w:eastAsia="Times New Roman" w:hAnsiTheme="majorBidi" w:cstheme="majorBidi"/>
          <w:sz w:val="24"/>
          <w:szCs w:val="24"/>
        </w:rPr>
      </w:pPr>
      <w:r w:rsidRPr="00CF7571">
        <w:rPr>
          <w:rFonts w:asciiTheme="majorBidi" w:eastAsia="Times New Roman" w:hAnsiTheme="majorBidi" w:cstheme="majorBidi"/>
          <w:b/>
          <w:bCs/>
          <w:sz w:val="24"/>
          <w:szCs w:val="24"/>
          <w:rtl/>
        </w:rPr>
        <w:t>ثانياً: المراجع الأجنبية</w:t>
      </w:r>
      <w:r w:rsidRPr="00CF7571">
        <w:rPr>
          <w:rFonts w:asciiTheme="majorBidi" w:eastAsia="Times New Roman" w:hAnsiTheme="majorBidi" w:cstheme="majorBidi"/>
          <w:b/>
          <w:bCs/>
          <w:sz w:val="24"/>
          <w:szCs w:val="24"/>
        </w:rPr>
        <w:t>:</w:t>
      </w:r>
    </w:p>
    <w:p w14:paraId="1B019D30" w14:textId="77777777" w:rsidR="00CF7571" w:rsidRPr="00CF7571" w:rsidRDefault="00CF7571">
      <w:pPr>
        <w:numPr>
          <w:ilvl w:val="0"/>
          <w:numId w:val="2"/>
        </w:numPr>
        <w:bidi w:val="0"/>
        <w:spacing w:line="360" w:lineRule="auto"/>
        <w:jc w:val="both"/>
        <w:rPr>
          <w:rFonts w:asciiTheme="majorBidi" w:eastAsia="Times New Roman" w:hAnsiTheme="majorBidi" w:cstheme="majorBidi"/>
          <w:sz w:val="24"/>
          <w:szCs w:val="24"/>
        </w:rPr>
      </w:pPr>
      <w:r w:rsidRPr="00CF7571">
        <w:rPr>
          <w:rFonts w:asciiTheme="majorBidi" w:eastAsia="Times New Roman" w:hAnsiTheme="majorBidi" w:cstheme="majorBidi"/>
          <w:sz w:val="24"/>
          <w:szCs w:val="24"/>
        </w:rPr>
        <w:t xml:space="preserve">American Psychological Association. (2020). </w:t>
      </w:r>
      <w:r w:rsidRPr="00CF7571">
        <w:rPr>
          <w:rFonts w:asciiTheme="majorBidi" w:eastAsia="Times New Roman" w:hAnsiTheme="majorBidi" w:cstheme="majorBidi"/>
          <w:i/>
          <w:iCs/>
          <w:sz w:val="24"/>
          <w:szCs w:val="24"/>
        </w:rPr>
        <w:t>Publication manual of the American Psychological Association</w:t>
      </w:r>
      <w:r w:rsidRPr="00CF7571">
        <w:rPr>
          <w:rFonts w:asciiTheme="majorBidi" w:eastAsia="Times New Roman" w:hAnsiTheme="majorBidi" w:cstheme="majorBidi"/>
          <w:sz w:val="24"/>
          <w:szCs w:val="24"/>
        </w:rPr>
        <w:t xml:space="preserve"> (7th ed.). APA. </w:t>
      </w:r>
      <w:hyperlink r:id="rId12" w:tgtFrame="_blank" w:history="1">
        <w:r w:rsidRPr="00CF7571">
          <w:rPr>
            <w:rStyle w:val="Hyperlink"/>
            <w:rFonts w:asciiTheme="majorBidi" w:eastAsia="Times New Roman" w:hAnsiTheme="majorBidi" w:cstheme="majorBidi"/>
            <w:sz w:val="24"/>
            <w:szCs w:val="24"/>
          </w:rPr>
          <w:t>https://doi.org/10.1037/0000165-000</w:t>
        </w:r>
      </w:hyperlink>
    </w:p>
    <w:p w14:paraId="27F7EA8B" w14:textId="77777777" w:rsidR="00CF7571" w:rsidRPr="00CF7571" w:rsidRDefault="00CF7571">
      <w:pPr>
        <w:numPr>
          <w:ilvl w:val="0"/>
          <w:numId w:val="2"/>
        </w:numPr>
        <w:bidi w:val="0"/>
        <w:spacing w:line="360" w:lineRule="auto"/>
        <w:jc w:val="both"/>
        <w:rPr>
          <w:rFonts w:asciiTheme="majorBidi" w:eastAsia="Times New Roman" w:hAnsiTheme="majorBidi" w:cstheme="majorBidi"/>
          <w:sz w:val="24"/>
          <w:szCs w:val="24"/>
        </w:rPr>
      </w:pPr>
      <w:r w:rsidRPr="00CF7571">
        <w:rPr>
          <w:rFonts w:asciiTheme="majorBidi" w:eastAsia="Times New Roman" w:hAnsiTheme="majorBidi" w:cstheme="majorBidi"/>
          <w:sz w:val="24"/>
          <w:szCs w:val="24"/>
        </w:rPr>
        <w:t xml:space="preserve">Beauchamp, T. L., &amp; Childress, J. F. (2019). </w:t>
      </w:r>
      <w:r w:rsidRPr="00CF7571">
        <w:rPr>
          <w:rFonts w:asciiTheme="majorBidi" w:eastAsia="Times New Roman" w:hAnsiTheme="majorBidi" w:cstheme="majorBidi"/>
          <w:i/>
          <w:iCs/>
          <w:sz w:val="24"/>
          <w:szCs w:val="24"/>
        </w:rPr>
        <w:t>Principles of biomedical ethics</w:t>
      </w:r>
      <w:r w:rsidRPr="00CF7571">
        <w:rPr>
          <w:rFonts w:asciiTheme="majorBidi" w:eastAsia="Times New Roman" w:hAnsiTheme="majorBidi" w:cstheme="majorBidi"/>
          <w:sz w:val="24"/>
          <w:szCs w:val="24"/>
        </w:rPr>
        <w:t xml:space="preserve"> (8th ed.). Oxford University Press.</w:t>
      </w:r>
    </w:p>
    <w:p w14:paraId="6CEDA17F" w14:textId="77777777" w:rsidR="00CF7571" w:rsidRPr="00CF7571" w:rsidRDefault="00CF7571">
      <w:pPr>
        <w:numPr>
          <w:ilvl w:val="0"/>
          <w:numId w:val="2"/>
        </w:numPr>
        <w:bidi w:val="0"/>
        <w:spacing w:line="360" w:lineRule="auto"/>
        <w:jc w:val="both"/>
        <w:rPr>
          <w:rFonts w:asciiTheme="majorBidi" w:eastAsia="Times New Roman" w:hAnsiTheme="majorBidi" w:cstheme="majorBidi"/>
          <w:sz w:val="24"/>
          <w:szCs w:val="24"/>
        </w:rPr>
      </w:pPr>
      <w:r w:rsidRPr="00CF7571">
        <w:rPr>
          <w:rFonts w:asciiTheme="majorBidi" w:eastAsia="Times New Roman" w:hAnsiTheme="majorBidi" w:cstheme="majorBidi"/>
          <w:sz w:val="24"/>
          <w:szCs w:val="24"/>
        </w:rPr>
        <w:t xml:space="preserve">Israel, M., &amp; Hay, I. (2006). </w:t>
      </w:r>
      <w:r w:rsidRPr="00CF7571">
        <w:rPr>
          <w:rFonts w:asciiTheme="majorBidi" w:eastAsia="Times New Roman" w:hAnsiTheme="majorBidi" w:cstheme="majorBidi"/>
          <w:i/>
          <w:iCs/>
          <w:sz w:val="24"/>
          <w:szCs w:val="24"/>
        </w:rPr>
        <w:t>Research ethics for social scientists</w:t>
      </w:r>
      <w:r w:rsidRPr="00CF7571">
        <w:rPr>
          <w:rFonts w:asciiTheme="majorBidi" w:eastAsia="Times New Roman" w:hAnsiTheme="majorBidi" w:cstheme="majorBidi"/>
          <w:sz w:val="24"/>
          <w:szCs w:val="24"/>
        </w:rPr>
        <w:t xml:space="preserve">. SAGE Publications. </w:t>
      </w:r>
      <w:hyperlink r:id="rId13" w:tgtFrame="_blank" w:history="1">
        <w:r w:rsidRPr="00CF7571">
          <w:rPr>
            <w:rStyle w:val="Hyperlink"/>
            <w:rFonts w:asciiTheme="majorBidi" w:eastAsia="Times New Roman" w:hAnsiTheme="majorBidi" w:cstheme="majorBidi"/>
            <w:sz w:val="24"/>
            <w:szCs w:val="24"/>
          </w:rPr>
          <w:t>https://doi.org/10.4135/9781849209779</w:t>
        </w:r>
      </w:hyperlink>
    </w:p>
    <w:p w14:paraId="73597E85" w14:textId="77777777" w:rsidR="00CF7571" w:rsidRPr="00CF7571" w:rsidRDefault="00CF7571">
      <w:pPr>
        <w:numPr>
          <w:ilvl w:val="0"/>
          <w:numId w:val="2"/>
        </w:numPr>
        <w:bidi w:val="0"/>
        <w:spacing w:line="360" w:lineRule="auto"/>
        <w:jc w:val="both"/>
        <w:rPr>
          <w:rFonts w:asciiTheme="majorBidi" w:eastAsia="Times New Roman" w:hAnsiTheme="majorBidi" w:cstheme="majorBidi"/>
          <w:sz w:val="24"/>
          <w:szCs w:val="24"/>
        </w:rPr>
      </w:pPr>
      <w:r w:rsidRPr="00CF7571">
        <w:rPr>
          <w:rFonts w:asciiTheme="majorBidi" w:eastAsia="Times New Roman" w:hAnsiTheme="majorBidi" w:cstheme="majorBidi"/>
          <w:sz w:val="24"/>
          <w:szCs w:val="24"/>
        </w:rPr>
        <w:t xml:space="preserve">Resnik, D. B. (2015). </w:t>
      </w:r>
      <w:r w:rsidRPr="00CF7571">
        <w:rPr>
          <w:rFonts w:asciiTheme="majorBidi" w:eastAsia="Times New Roman" w:hAnsiTheme="majorBidi" w:cstheme="majorBidi"/>
          <w:i/>
          <w:iCs/>
          <w:sz w:val="24"/>
          <w:szCs w:val="24"/>
        </w:rPr>
        <w:t>What is ethics in research &amp; why is it important?</w:t>
      </w:r>
      <w:r w:rsidRPr="00CF7571">
        <w:rPr>
          <w:rFonts w:asciiTheme="majorBidi" w:eastAsia="Times New Roman" w:hAnsiTheme="majorBidi" w:cstheme="majorBidi"/>
          <w:sz w:val="24"/>
          <w:szCs w:val="24"/>
        </w:rPr>
        <w:t xml:space="preserve"> National Institute of Environmental Health Sciences. </w:t>
      </w:r>
      <w:hyperlink r:id="rId14" w:tgtFrame="_blank" w:history="1">
        <w:r w:rsidRPr="00CF7571">
          <w:rPr>
            <w:rStyle w:val="Hyperlink"/>
            <w:rFonts w:asciiTheme="majorBidi" w:eastAsia="Times New Roman" w:hAnsiTheme="majorBidi" w:cstheme="majorBidi"/>
            <w:sz w:val="24"/>
            <w:szCs w:val="24"/>
          </w:rPr>
          <w:t>https://www.niehs.nih.gov/research/resources/bioethics/whatis</w:t>
        </w:r>
      </w:hyperlink>
    </w:p>
    <w:p w14:paraId="4B57980C" w14:textId="77777777" w:rsidR="00CF7571" w:rsidRPr="00CF7571" w:rsidRDefault="00CF7571">
      <w:pPr>
        <w:numPr>
          <w:ilvl w:val="0"/>
          <w:numId w:val="2"/>
        </w:numPr>
        <w:bidi w:val="0"/>
        <w:spacing w:line="360" w:lineRule="auto"/>
        <w:jc w:val="both"/>
        <w:rPr>
          <w:rFonts w:asciiTheme="majorBidi" w:eastAsia="Times New Roman" w:hAnsiTheme="majorBidi" w:cstheme="majorBidi"/>
          <w:sz w:val="24"/>
          <w:szCs w:val="24"/>
        </w:rPr>
      </w:pPr>
      <w:r w:rsidRPr="00CF7571">
        <w:rPr>
          <w:rFonts w:asciiTheme="majorBidi" w:eastAsia="Times New Roman" w:hAnsiTheme="majorBidi" w:cstheme="majorBidi"/>
          <w:sz w:val="24"/>
          <w:szCs w:val="24"/>
        </w:rPr>
        <w:t xml:space="preserve">Steneck, N. H. (2007). </w:t>
      </w:r>
      <w:r w:rsidRPr="00CF7571">
        <w:rPr>
          <w:rFonts w:asciiTheme="majorBidi" w:eastAsia="Times New Roman" w:hAnsiTheme="majorBidi" w:cstheme="majorBidi"/>
          <w:i/>
          <w:iCs/>
          <w:sz w:val="24"/>
          <w:szCs w:val="24"/>
        </w:rPr>
        <w:t>ORI introduction to the responsible conduct of research</w:t>
      </w:r>
      <w:r w:rsidRPr="00CF7571">
        <w:rPr>
          <w:rFonts w:asciiTheme="majorBidi" w:eastAsia="Times New Roman" w:hAnsiTheme="majorBidi" w:cstheme="majorBidi"/>
          <w:sz w:val="24"/>
          <w:szCs w:val="24"/>
        </w:rPr>
        <w:t>. Office of Research Integrity, U.S. Department of Health and Human Services.</w:t>
      </w:r>
    </w:p>
    <w:p w14:paraId="53380236" w14:textId="15E97C14" w:rsidR="002B6DFB" w:rsidRPr="00CF7571" w:rsidRDefault="002B6DFB" w:rsidP="00CF7571">
      <w:pPr>
        <w:bidi w:val="0"/>
        <w:spacing w:line="360" w:lineRule="auto"/>
        <w:jc w:val="both"/>
        <w:rPr>
          <w:rFonts w:asciiTheme="majorBidi" w:eastAsia="Times New Roman" w:hAnsiTheme="majorBidi" w:cstheme="majorBidi" w:hint="cs"/>
          <w:kern w:val="0"/>
          <w:sz w:val="24"/>
          <w:szCs w:val="24"/>
          <w:lang w:bidi="ar-EG"/>
          <w14:ligatures w14:val="none"/>
        </w:rPr>
      </w:pPr>
    </w:p>
    <w:sectPr w:rsidR="002B6DFB" w:rsidRPr="00CF7571" w:rsidSect="00376B50">
      <w:footerReference w:type="default" r:id="rId15"/>
      <w:pgSz w:w="11906" w:h="16838"/>
      <w:pgMar w:top="1440" w:right="1797" w:bottom="1440" w:left="1797"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59041D" w14:textId="77777777" w:rsidR="000C3948" w:rsidRDefault="000C3948" w:rsidP="009125CE">
      <w:pPr>
        <w:spacing w:after="0" w:line="240" w:lineRule="auto"/>
      </w:pPr>
      <w:r>
        <w:separator/>
      </w:r>
    </w:p>
  </w:endnote>
  <w:endnote w:type="continuationSeparator" w:id="0">
    <w:p w14:paraId="13B835E0" w14:textId="77777777" w:rsidR="000C3948" w:rsidRDefault="000C394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092076502"/>
      <w:docPartObj>
        <w:docPartGallery w:val="Page Numbers (Bottom of Page)"/>
        <w:docPartUnique/>
      </w:docPartObj>
    </w:sdtPr>
    <w:sdtContent>
      <w:p w14:paraId="49E1BF1B" w14:textId="0750CBCB" w:rsidR="00376B50" w:rsidRDefault="00376B50">
        <w:pPr>
          <w:pStyle w:val="a4"/>
          <w:jc w:val="center"/>
        </w:pPr>
        <w:r>
          <w:fldChar w:fldCharType="begin"/>
        </w:r>
        <w:r>
          <w:instrText>PAGE   \* MERGEFORMAT</w:instrText>
        </w:r>
        <w:r>
          <w:fldChar w:fldCharType="separate"/>
        </w:r>
        <w:r>
          <w:rPr>
            <w:rtl/>
            <w:lang w:val="ar-SA"/>
          </w:rPr>
          <w:t>2</w:t>
        </w:r>
        <w:r>
          <w:fldChar w:fldCharType="end"/>
        </w:r>
      </w:p>
    </w:sdtContent>
  </w:sdt>
  <w:p w14:paraId="191254A4" w14:textId="77777777" w:rsidR="00376B50" w:rsidRDefault="00376B5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1A1702" w14:textId="77777777" w:rsidR="000C3948" w:rsidRDefault="000C3948" w:rsidP="009125CE">
      <w:pPr>
        <w:spacing w:after="0" w:line="240" w:lineRule="auto"/>
      </w:pPr>
      <w:r>
        <w:separator/>
      </w:r>
    </w:p>
  </w:footnote>
  <w:footnote w:type="continuationSeparator" w:id="0">
    <w:p w14:paraId="6AB9D838" w14:textId="77777777" w:rsidR="000C3948" w:rsidRDefault="000C3948"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F11CFA"/>
    <w:multiLevelType w:val="multilevel"/>
    <w:tmpl w:val="F438B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4E256DD"/>
    <w:multiLevelType w:val="multilevel"/>
    <w:tmpl w:val="F438B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90435346">
    <w:abstractNumId w:val="0"/>
  </w:num>
  <w:num w:numId="2" w16cid:durableId="412244001">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2B22"/>
    <w:rsid w:val="00023D49"/>
    <w:rsid w:val="0004198D"/>
    <w:rsid w:val="000607C3"/>
    <w:rsid w:val="0006709C"/>
    <w:rsid w:val="00067FF4"/>
    <w:rsid w:val="00090F21"/>
    <w:rsid w:val="000B7BDE"/>
    <w:rsid w:val="000C3948"/>
    <w:rsid w:val="000C6813"/>
    <w:rsid w:val="000C6EC5"/>
    <w:rsid w:val="000D31BE"/>
    <w:rsid w:val="000D5702"/>
    <w:rsid w:val="000F44B4"/>
    <w:rsid w:val="00111653"/>
    <w:rsid w:val="001129E5"/>
    <w:rsid w:val="00113DBE"/>
    <w:rsid w:val="00121A58"/>
    <w:rsid w:val="00137F3D"/>
    <w:rsid w:val="00156466"/>
    <w:rsid w:val="00170DB3"/>
    <w:rsid w:val="0018724C"/>
    <w:rsid w:val="001902DB"/>
    <w:rsid w:val="001A2A53"/>
    <w:rsid w:val="001A4A25"/>
    <w:rsid w:val="001C2162"/>
    <w:rsid w:val="001C2A7E"/>
    <w:rsid w:val="001C5D4A"/>
    <w:rsid w:val="001F616E"/>
    <w:rsid w:val="00200E4E"/>
    <w:rsid w:val="002059DD"/>
    <w:rsid w:val="00210177"/>
    <w:rsid w:val="00212556"/>
    <w:rsid w:val="00213BE4"/>
    <w:rsid w:val="00215B37"/>
    <w:rsid w:val="00222F6F"/>
    <w:rsid w:val="00267699"/>
    <w:rsid w:val="00270C69"/>
    <w:rsid w:val="00271CD4"/>
    <w:rsid w:val="002739D2"/>
    <w:rsid w:val="00274C6D"/>
    <w:rsid w:val="00287E3A"/>
    <w:rsid w:val="0029432D"/>
    <w:rsid w:val="00296679"/>
    <w:rsid w:val="002A2260"/>
    <w:rsid w:val="002A3770"/>
    <w:rsid w:val="002B6DFB"/>
    <w:rsid w:val="002D35A2"/>
    <w:rsid w:val="002E1C43"/>
    <w:rsid w:val="00302FDB"/>
    <w:rsid w:val="00316620"/>
    <w:rsid w:val="00317645"/>
    <w:rsid w:val="00324963"/>
    <w:rsid w:val="00343929"/>
    <w:rsid w:val="00356263"/>
    <w:rsid w:val="0036416B"/>
    <w:rsid w:val="00376B50"/>
    <w:rsid w:val="003B22D9"/>
    <w:rsid w:val="003D3600"/>
    <w:rsid w:val="003D3B7C"/>
    <w:rsid w:val="003E518B"/>
    <w:rsid w:val="00407607"/>
    <w:rsid w:val="004163C7"/>
    <w:rsid w:val="004229E0"/>
    <w:rsid w:val="00441182"/>
    <w:rsid w:val="00457C9C"/>
    <w:rsid w:val="0048111F"/>
    <w:rsid w:val="00483840"/>
    <w:rsid w:val="0048689A"/>
    <w:rsid w:val="0049709F"/>
    <w:rsid w:val="004B121B"/>
    <w:rsid w:val="004B278D"/>
    <w:rsid w:val="004B6AF8"/>
    <w:rsid w:val="004D675B"/>
    <w:rsid w:val="0050229D"/>
    <w:rsid w:val="00516AE6"/>
    <w:rsid w:val="00534B2F"/>
    <w:rsid w:val="00537842"/>
    <w:rsid w:val="0055693B"/>
    <w:rsid w:val="00576FF7"/>
    <w:rsid w:val="005905D2"/>
    <w:rsid w:val="005A5E69"/>
    <w:rsid w:val="005A7EF6"/>
    <w:rsid w:val="005B1711"/>
    <w:rsid w:val="005C34B8"/>
    <w:rsid w:val="005E5E98"/>
    <w:rsid w:val="00612218"/>
    <w:rsid w:val="00634E76"/>
    <w:rsid w:val="00651277"/>
    <w:rsid w:val="006562EB"/>
    <w:rsid w:val="00665D60"/>
    <w:rsid w:val="00686F57"/>
    <w:rsid w:val="006878B6"/>
    <w:rsid w:val="006948DE"/>
    <w:rsid w:val="007066DD"/>
    <w:rsid w:val="00723ABA"/>
    <w:rsid w:val="007359B5"/>
    <w:rsid w:val="00740ED7"/>
    <w:rsid w:val="00750036"/>
    <w:rsid w:val="0077268D"/>
    <w:rsid w:val="00795C67"/>
    <w:rsid w:val="007B0E54"/>
    <w:rsid w:val="007C1089"/>
    <w:rsid w:val="007C4A0C"/>
    <w:rsid w:val="007C6EE1"/>
    <w:rsid w:val="007D1470"/>
    <w:rsid w:val="007E2EF6"/>
    <w:rsid w:val="007E37F4"/>
    <w:rsid w:val="007E3A20"/>
    <w:rsid w:val="007E5404"/>
    <w:rsid w:val="00804B6C"/>
    <w:rsid w:val="008206ED"/>
    <w:rsid w:val="008212A6"/>
    <w:rsid w:val="0082585C"/>
    <w:rsid w:val="0085613D"/>
    <w:rsid w:val="008719CB"/>
    <w:rsid w:val="00876CEA"/>
    <w:rsid w:val="00877AAC"/>
    <w:rsid w:val="00880B14"/>
    <w:rsid w:val="008963D4"/>
    <w:rsid w:val="00896FE4"/>
    <w:rsid w:val="008A7E34"/>
    <w:rsid w:val="008D2C72"/>
    <w:rsid w:val="008D49D9"/>
    <w:rsid w:val="008F1EAE"/>
    <w:rsid w:val="009125CE"/>
    <w:rsid w:val="009129E5"/>
    <w:rsid w:val="00946F5F"/>
    <w:rsid w:val="00956AE0"/>
    <w:rsid w:val="009637D7"/>
    <w:rsid w:val="009672FC"/>
    <w:rsid w:val="00985D34"/>
    <w:rsid w:val="009914C4"/>
    <w:rsid w:val="00994F47"/>
    <w:rsid w:val="009A1AB0"/>
    <w:rsid w:val="009B0CE6"/>
    <w:rsid w:val="009B27DA"/>
    <w:rsid w:val="009B6888"/>
    <w:rsid w:val="009C0161"/>
    <w:rsid w:val="009C527C"/>
    <w:rsid w:val="009C6635"/>
    <w:rsid w:val="009D108D"/>
    <w:rsid w:val="009D7E30"/>
    <w:rsid w:val="009E1436"/>
    <w:rsid w:val="009E1467"/>
    <w:rsid w:val="009E5468"/>
    <w:rsid w:val="009E5668"/>
    <w:rsid w:val="00A12BDB"/>
    <w:rsid w:val="00A77982"/>
    <w:rsid w:val="00A8468B"/>
    <w:rsid w:val="00AA79E9"/>
    <w:rsid w:val="00AB0A70"/>
    <w:rsid w:val="00AC4CD1"/>
    <w:rsid w:val="00B10163"/>
    <w:rsid w:val="00B148FA"/>
    <w:rsid w:val="00B1496E"/>
    <w:rsid w:val="00B14B06"/>
    <w:rsid w:val="00B20ECC"/>
    <w:rsid w:val="00B23351"/>
    <w:rsid w:val="00B25BA2"/>
    <w:rsid w:val="00B27039"/>
    <w:rsid w:val="00B30165"/>
    <w:rsid w:val="00B44450"/>
    <w:rsid w:val="00B44E3A"/>
    <w:rsid w:val="00B55084"/>
    <w:rsid w:val="00B638DD"/>
    <w:rsid w:val="00B63B0F"/>
    <w:rsid w:val="00B73FF1"/>
    <w:rsid w:val="00B759E2"/>
    <w:rsid w:val="00B7678A"/>
    <w:rsid w:val="00B76D41"/>
    <w:rsid w:val="00B92099"/>
    <w:rsid w:val="00B9620E"/>
    <w:rsid w:val="00BA5B0E"/>
    <w:rsid w:val="00BB4B0F"/>
    <w:rsid w:val="00BB7576"/>
    <w:rsid w:val="00BC094B"/>
    <w:rsid w:val="00BC0CAA"/>
    <w:rsid w:val="00BC1099"/>
    <w:rsid w:val="00BC5333"/>
    <w:rsid w:val="00BC62F4"/>
    <w:rsid w:val="00BE046F"/>
    <w:rsid w:val="00C0243A"/>
    <w:rsid w:val="00C04895"/>
    <w:rsid w:val="00C11F7C"/>
    <w:rsid w:val="00C172B4"/>
    <w:rsid w:val="00C216DA"/>
    <w:rsid w:val="00C24534"/>
    <w:rsid w:val="00C41763"/>
    <w:rsid w:val="00C56D2A"/>
    <w:rsid w:val="00C72744"/>
    <w:rsid w:val="00C73DF1"/>
    <w:rsid w:val="00C85D92"/>
    <w:rsid w:val="00C86F49"/>
    <w:rsid w:val="00CB2633"/>
    <w:rsid w:val="00CB2A44"/>
    <w:rsid w:val="00CE7D23"/>
    <w:rsid w:val="00CF035A"/>
    <w:rsid w:val="00CF7571"/>
    <w:rsid w:val="00D04F62"/>
    <w:rsid w:val="00D22171"/>
    <w:rsid w:val="00D43FCE"/>
    <w:rsid w:val="00D52480"/>
    <w:rsid w:val="00D527F5"/>
    <w:rsid w:val="00D60C60"/>
    <w:rsid w:val="00D628E2"/>
    <w:rsid w:val="00D84C82"/>
    <w:rsid w:val="00D906DE"/>
    <w:rsid w:val="00DB1479"/>
    <w:rsid w:val="00DC366B"/>
    <w:rsid w:val="00DE7FAE"/>
    <w:rsid w:val="00E04097"/>
    <w:rsid w:val="00E07909"/>
    <w:rsid w:val="00E76CFC"/>
    <w:rsid w:val="00E80DF8"/>
    <w:rsid w:val="00E80FD9"/>
    <w:rsid w:val="00EA0B82"/>
    <w:rsid w:val="00EA1CAC"/>
    <w:rsid w:val="00EA4A46"/>
    <w:rsid w:val="00EA5285"/>
    <w:rsid w:val="00EC33D7"/>
    <w:rsid w:val="00F12EE4"/>
    <w:rsid w:val="00F22316"/>
    <w:rsid w:val="00F30C4A"/>
    <w:rsid w:val="00F337B9"/>
    <w:rsid w:val="00F52BB7"/>
    <w:rsid w:val="00F545AE"/>
    <w:rsid w:val="00F546CE"/>
    <w:rsid w:val="00F55162"/>
    <w:rsid w:val="00F74BC1"/>
    <w:rsid w:val="00F82B3E"/>
    <w:rsid w:val="00F84D9B"/>
    <w:rsid w:val="00F925D0"/>
    <w:rsid w:val="00FA6F47"/>
    <w:rsid w:val="00FC7D6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0C681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516AE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9C527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213BE4"/>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B44450"/>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376B50"/>
    <w:pPr>
      <w:ind w:left="720"/>
      <w:contextualSpacing/>
    </w:pPr>
  </w:style>
  <w:style w:type="character" w:styleId="Hyperlink">
    <w:name w:val="Hyperlink"/>
    <w:basedOn w:val="a0"/>
    <w:uiPriority w:val="99"/>
    <w:unhideWhenUsed/>
    <w:rsid w:val="009672FC"/>
    <w:rPr>
      <w:color w:val="0563C1" w:themeColor="hyperlink"/>
      <w:u w:val="single"/>
    </w:rPr>
  </w:style>
  <w:style w:type="character" w:styleId="a6">
    <w:name w:val="Unresolved Mention"/>
    <w:basedOn w:val="a0"/>
    <w:uiPriority w:val="99"/>
    <w:semiHidden/>
    <w:unhideWhenUsed/>
    <w:rsid w:val="009672FC"/>
    <w:rPr>
      <w:color w:val="605E5C"/>
      <w:shd w:val="clear" w:color="auto" w:fill="E1DFDD"/>
    </w:rPr>
  </w:style>
  <w:style w:type="table" w:styleId="10">
    <w:name w:val="Plain Table 1"/>
    <w:basedOn w:val="a1"/>
    <w:uiPriority w:val="41"/>
    <w:rsid w:val="00C216D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a7">
    <w:name w:val="Table Grid"/>
    <w:basedOn w:val="a1"/>
    <w:uiPriority w:val="39"/>
    <w:rsid w:val="009D7E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3">
    <w:name w:val="Grid Table 4 Accent 3"/>
    <w:basedOn w:val="a1"/>
    <w:uiPriority w:val="49"/>
    <w:rsid w:val="00B10163"/>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3Char">
    <w:name w:val="عنوان 3 Char"/>
    <w:basedOn w:val="a0"/>
    <w:link w:val="3"/>
    <w:uiPriority w:val="9"/>
    <w:rsid w:val="009C527C"/>
    <w:rPr>
      <w:rFonts w:asciiTheme="majorHAnsi" w:eastAsiaTheme="majorEastAsia" w:hAnsiTheme="majorHAnsi" w:cstheme="majorBidi"/>
      <w:color w:val="1F3763" w:themeColor="accent1" w:themeShade="7F"/>
      <w:sz w:val="24"/>
      <w:szCs w:val="24"/>
    </w:rPr>
  </w:style>
  <w:style w:type="character" w:customStyle="1" w:styleId="2Char">
    <w:name w:val="عنوان 2 Char"/>
    <w:basedOn w:val="a0"/>
    <w:link w:val="2"/>
    <w:uiPriority w:val="9"/>
    <w:rsid w:val="00516AE6"/>
    <w:rPr>
      <w:rFonts w:asciiTheme="majorHAnsi" w:eastAsiaTheme="majorEastAsia" w:hAnsiTheme="majorHAnsi" w:cstheme="majorBidi"/>
      <w:color w:val="2F5496" w:themeColor="accent1" w:themeShade="BF"/>
      <w:sz w:val="26"/>
      <w:szCs w:val="26"/>
    </w:rPr>
  </w:style>
  <w:style w:type="character" w:customStyle="1" w:styleId="4Char">
    <w:name w:val="عنوان 4 Char"/>
    <w:basedOn w:val="a0"/>
    <w:link w:val="4"/>
    <w:uiPriority w:val="9"/>
    <w:semiHidden/>
    <w:rsid w:val="00213BE4"/>
    <w:rPr>
      <w:rFonts w:asciiTheme="majorHAnsi" w:eastAsiaTheme="majorEastAsia" w:hAnsiTheme="majorHAnsi" w:cstheme="majorBidi"/>
      <w:i/>
      <w:iCs/>
      <w:color w:val="2F5496" w:themeColor="accent1" w:themeShade="BF"/>
    </w:rPr>
  </w:style>
  <w:style w:type="table" w:styleId="4-5">
    <w:name w:val="Grid Table 4 Accent 5"/>
    <w:basedOn w:val="a1"/>
    <w:uiPriority w:val="49"/>
    <w:rsid w:val="00F74BC1"/>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customStyle="1" w:styleId="5Char">
    <w:name w:val="عنوان 5 Char"/>
    <w:basedOn w:val="a0"/>
    <w:link w:val="5"/>
    <w:uiPriority w:val="9"/>
    <w:semiHidden/>
    <w:rsid w:val="00B44450"/>
    <w:rPr>
      <w:rFonts w:asciiTheme="majorHAnsi" w:eastAsiaTheme="majorEastAsia" w:hAnsiTheme="majorHAnsi" w:cstheme="majorBidi"/>
      <w:color w:val="2F5496" w:themeColor="accent1" w:themeShade="BF"/>
    </w:rPr>
  </w:style>
  <w:style w:type="table" w:styleId="4-6">
    <w:name w:val="Grid Table 4 Accent 6"/>
    <w:basedOn w:val="a1"/>
    <w:uiPriority w:val="49"/>
    <w:rsid w:val="00B92099"/>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customStyle="1" w:styleId="font-claude-response-body">
    <w:name w:val="font-claude-response-body"/>
    <w:basedOn w:val="a"/>
    <w:rsid w:val="00956AE0"/>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8">
    <w:name w:val="Strong"/>
    <w:basedOn w:val="a0"/>
    <w:uiPriority w:val="22"/>
    <w:qFormat/>
    <w:rsid w:val="00956AE0"/>
    <w:rPr>
      <w:b/>
      <w:bCs/>
    </w:rPr>
  </w:style>
  <w:style w:type="character" w:styleId="a9">
    <w:name w:val="Emphasis"/>
    <w:basedOn w:val="a0"/>
    <w:uiPriority w:val="20"/>
    <w:qFormat/>
    <w:rsid w:val="00956AE0"/>
    <w:rPr>
      <w:i/>
      <w:iCs/>
    </w:rPr>
  </w:style>
  <w:style w:type="table" w:styleId="4-4">
    <w:name w:val="Grid Table 4 Accent 4"/>
    <w:basedOn w:val="a1"/>
    <w:uiPriority w:val="49"/>
    <w:rsid w:val="00002B22"/>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aa">
    <w:name w:val="Normal (Web)"/>
    <w:basedOn w:val="a"/>
    <w:uiPriority w:val="99"/>
    <w:unhideWhenUsed/>
    <w:rsid w:val="00880B14"/>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5-6">
    <w:name w:val="Grid Table 5 Dark Accent 6"/>
    <w:basedOn w:val="a1"/>
    <w:uiPriority w:val="50"/>
    <w:rsid w:val="00EA1CA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paragraph" w:customStyle="1" w:styleId="msonormal0">
    <w:name w:val="msonormal"/>
    <w:basedOn w:val="a"/>
    <w:rsid w:val="005B1711"/>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b">
    <w:name w:val="FollowedHyperlink"/>
    <w:basedOn w:val="a0"/>
    <w:uiPriority w:val="99"/>
    <w:semiHidden/>
    <w:unhideWhenUsed/>
    <w:rsid w:val="005B1711"/>
    <w:rPr>
      <w:color w:val="800080"/>
      <w:u w:val="single"/>
    </w:rPr>
  </w:style>
  <w:style w:type="table" w:styleId="3-6">
    <w:name w:val="Grid Table 3 Accent 6"/>
    <w:basedOn w:val="a1"/>
    <w:uiPriority w:val="48"/>
    <w:rsid w:val="005B1711"/>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character" w:customStyle="1" w:styleId="1Char">
    <w:name w:val="العنوان 1 Char"/>
    <w:basedOn w:val="a0"/>
    <w:link w:val="1"/>
    <w:uiPriority w:val="9"/>
    <w:rsid w:val="000C6813"/>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4135/978184920977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37/0000165-000"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jrsp.com/volume/issue-67/10/"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jsju.org/index.php/journal/article/view/1862" TargetMode="External"/><Relationship Id="rId4" Type="http://schemas.openxmlformats.org/officeDocument/2006/relationships/settings" Target="settings.xml"/><Relationship Id="rId9" Type="http://schemas.openxmlformats.org/officeDocument/2006/relationships/hyperlink" Target="https://www.iajour.com/index.php/eas/article/view/285" TargetMode="External"/><Relationship Id="rId14" Type="http://schemas.openxmlformats.org/officeDocument/2006/relationships/hyperlink" Target="https://www.niehs.nih.gov/research/resources/bioethics/what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D7711D-A847-4088-B05F-4C1CA8C39E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9</Pages>
  <Words>3005</Words>
  <Characters>17135</Characters>
  <Application>Microsoft Office Word</Application>
  <DocSecurity>0</DocSecurity>
  <Lines>142</Lines>
  <Paragraphs>40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wessam ayman</cp:lastModifiedBy>
  <cp:revision>3</cp:revision>
  <cp:lastPrinted>2026-06-12T02:04:00Z</cp:lastPrinted>
  <dcterms:created xsi:type="dcterms:W3CDTF">2026-06-12T02:06:00Z</dcterms:created>
  <dcterms:modified xsi:type="dcterms:W3CDTF">2026-06-12T02:11:00Z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