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F92BB8A" w:rsidR="009125CE" w:rsidRPr="00EC10D6" w:rsidRDefault="009B342E" w:rsidP="009B342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C10D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F8953D3">
            <wp:simplePos x="0" y="0"/>
            <wp:positionH relativeFrom="margin">
              <wp:align>left</wp:align>
            </wp:positionH>
            <wp:positionV relativeFrom="margin">
              <wp:align>top</wp:align>
            </wp:positionV>
            <wp:extent cx="1937725" cy="1798320"/>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7725" cy="1798320"/>
                    </a:xfrm>
                    <a:prstGeom prst="rect">
                      <a:avLst/>
                    </a:prstGeom>
                  </pic:spPr>
                </pic:pic>
              </a:graphicData>
            </a:graphic>
            <wp14:sizeRelH relativeFrom="margin">
              <wp14:pctWidth>0</wp14:pctWidth>
            </wp14:sizeRelH>
            <wp14:sizeRelV relativeFrom="margin">
              <wp14:pctHeight>0</wp14:pctHeight>
            </wp14:sizeRelV>
          </wp:anchor>
        </w:drawing>
      </w:r>
      <w:r w:rsidR="009125CE" w:rsidRPr="00EC10D6">
        <w:rPr>
          <w:rFonts w:ascii="Sakkal Majalla" w:hAnsi="Sakkal Majalla" w:cs="Sakkal Majalla"/>
          <w:b/>
          <w:bCs/>
          <w:color w:val="000000" w:themeColor="text1"/>
          <w:sz w:val="32"/>
          <w:szCs w:val="32"/>
          <w:rtl/>
          <w:lang w:bidi="ar-EG"/>
        </w:rPr>
        <w:t xml:space="preserve">جامعة ميدأوشن </w:t>
      </w:r>
    </w:p>
    <w:p w14:paraId="1E957002" w14:textId="5F57C5F9" w:rsidR="00F546CE" w:rsidRPr="00EC10D6" w:rsidRDefault="009125CE" w:rsidP="009B342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C10D6">
        <w:rPr>
          <w:rFonts w:ascii="Sakkal Majalla" w:hAnsi="Sakkal Majalla" w:cs="Sakkal Majalla"/>
          <w:b/>
          <w:bCs/>
          <w:color w:val="000000" w:themeColor="text1"/>
          <w:sz w:val="32"/>
          <w:szCs w:val="32"/>
          <w:rtl/>
          <w:lang w:bidi="ar-EG"/>
        </w:rPr>
        <w:t xml:space="preserve">كلية </w:t>
      </w:r>
      <w:r w:rsidR="008C42C1" w:rsidRPr="00EC10D6">
        <w:rPr>
          <w:rFonts w:ascii="Sakkal Majalla" w:hAnsi="Sakkal Majalla" w:cs="Sakkal Majalla"/>
          <w:b/>
          <w:bCs/>
          <w:color w:val="000000" w:themeColor="text1"/>
          <w:sz w:val="32"/>
          <w:szCs w:val="32"/>
          <w:rtl/>
          <w:lang w:bidi="ar-EG"/>
        </w:rPr>
        <w:t>الإدارة</w:t>
      </w:r>
      <w:r w:rsidRPr="00EC10D6">
        <w:rPr>
          <w:rFonts w:ascii="Sakkal Majalla" w:hAnsi="Sakkal Majalla" w:cs="Sakkal Majalla"/>
          <w:b/>
          <w:bCs/>
          <w:color w:val="000000" w:themeColor="text1"/>
          <w:sz w:val="32"/>
          <w:szCs w:val="32"/>
          <w:rtl/>
          <w:lang w:bidi="ar-EG"/>
        </w:rPr>
        <w:t xml:space="preserve"> </w:t>
      </w:r>
    </w:p>
    <w:p w14:paraId="5F6542BF" w14:textId="70025359" w:rsidR="009125CE" w:rsidRPr="00EC10D6" w:rsidRDefault="009125CE" w:rsidP="009B342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C10D6">
        <w:rPr>
          <w:rFonts w:ascii="Sakkal Majalla" w:hAnsi="Sakkal Majalla" w:cs="Sakkal Majalla"/>
          <w:b/>
          <w:bCs/>
          <w:color w:val="000000" w:themeColor="text1"/>
          <w:sz w:val="32"/>
          <w:szCs w:val="32"/>
          <w:rtl/>
          <w:lang w:bidi="ar-EG"/>
        </w:rPr>
        <w:t>تخصص</w:t>
      </w:r>
      <w:r w:rsidR="00B15A9E" w:rsidRPr="00EC10D6">
        <w:rPr>
          <w:rFonts w:ascii="Sakkal Majalla" w:hAnsi="Sakkal Majalla" w:cs="Sakkal Majalla"/>
          <w:b/>
          <w:bCs/>
          <w:color w:val="000000" w:themeColor="text1"/>
          <w:sz w:val="32"/>
          <w:szCs w:val="32"/>
          <w:rtl/>
          <w:lang w:bidi="ar-EG"/>
        </w:rPr>
        <w:t xml:space="preserve"> </w:t>
      </w:r>
      <w:r w:rsidR="007739B3" w:rsidRPr="00EC10D6">
        <w:rPr>
          <w:rFonts w:ascii="Sakkal Majalla" w:hAnsi="Sakkal Majalla" w:cs="Sakkal Majalla"/>
          <w:b/>
          <w:bCs/>
          <w:color w:val="000000" w:themeColor="text1"/>
          <w:sz w:val="32"/>
          <w:szCs w:val="32"/>
          <w:rtl/>
          <w:lang w:bidi="ar-EG"/>
        </w:rPr>
        <w:t xml:space="preserve">إدارة </w:t>
      </w:r>
      <w:r w:rsidR="00301731" w:rsidRPr="00EC10D6">
        <w:rPr>
          <w:rFonts w:ascii="Sakkal Majalla" w:hAnsi="Sakkal Majalla" w:cs="Sakkal Majalla"/>
          <w:b/>
          <w:bCs/>
          <w:color w:val="000000" w:themeColor="text1"/>
          <w:sz w:val="32"/>
          <w:szCs w:val="32"/>
          <w:rtl/>
          <w:lang w:bidi="ar-EG"/>
        </w:rPr>
        <w:t>أعمال</w:t>
      </w:r>
      <w:r w:rsidR="00A86E11" w:rsidRPr="00EC10D6">
        <w:rPr>
          <w:rFonts w:ascii="Sakkal Majalla" w:hAnsi="Sakkal Majalla" w:cs="Sakkal Majalla"/>
          <w:b/>
          <w:bCs/>
          <w:color w:val="000000" w:themeColor="text1"/>
          <w:sz w:val="32"/>
          <w:szCs w:val="32"/>
          <w:rtl/>
          <w:lang w:bidi="ar-EG"/>
        </w:rPr>
        <w:t xml:space="preserve"> </w:t>
      </w:r>
      <w:r w:rsidR="001A41B9" w:rsidRPr="00EC10D6">
        <w:rPr>
          <w:rFonts w:ascii="Sakkal Majalla" w:hAnsi="Sakkal Majalla" w:cs="Sakkal Majalla"/>
          <w:b/>
          <w:bCs/>
          <w:color w:val="000000" w:themeColor="text1"/>
          <w:sz w:val="32"/>
          <w:szCs w:val="32"/>
          <w:rtl/>
          <w:lang w:bidi="ar-EG"/>
        </w:rPr>
        <w:t xml:space="preserve"> </w:t>
      </w:r>
    </w:p>
    <w:p w14:paraId="4C32958C" w14:textId="24448242" w:rsidR="00AD722B" w:rsidRPr="00EC10D6" w:rsidRDefault="00103D0F" w:rsidP="009B342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C10D6">
        <w:rPr>
          <w:rFonts w:ascii="Sakkal Majalla" w:hAnsi="Sakkal Majalla" w:cs="Sakkal Majalla"/>
          <w:b/>
          <w:bCs/>
          <w:color w:val="000000" w:themeColor="text1"/>
          <w:sz w:val="40"/>
          <w:szCs w:val="40"/>
          <w:rtl/>
          <w:lang w:bidi="ar-EG"/>
        </w:rPr>
        <w:t>دور تمكين المرأة القيادية</w:t>
      </w:r>
      <w:r w:rsidR="00301731" w:rsidRPr="00EC10D6">
        <w:rPr>
          <w:rFonts w:ascii="Sakkal Majalla" w:hAnsi="Sakkal Majalla" w:cs="Sakkal Majalla"/>
          <w:b/>
          <w:bCs/>
          <w:color w:val="000000" w:themeColor="text1"/>
          <w:sz w:val="40"/>
          <w:szCs w:val="40"/>
          <w:rtl/>
          <w:lang w:bidi="ar-EG"/>
        </w:rPr>
        <w:t xml:space="preserve"> </w:t>
      </w:r>
      <w:r w:rsidRPr="00EC10D6">
        <w:rPr>
          <w:rFonts w:ascii="Sakkal Majalla" w:hAnsi="Sakkal Majalla" w:cs="Sakkal Majalla"/>
          <w:b/>
          <w:bCs/>
          <w:color w:val="000000" w:themeColor="text1"/>
          <w:sz w:val="40"/>
          <w:szCs w:val="40"/>
          <w:rtl/>
          <w:lang w:bidi="ar-EG"/>
        </w:rPr>
        <w:t>في تعزيز الابتكار الإداري في منظمات الأعمال السعودية</w:t>
      </w:r>
      <w:r w:rsidR="00301731" w:rsidRPr="00EC10D6">
        <w:rPr>
          <w:rFonts w:ascii="Sakkal Majalla" w:hAnsi="Sakkal Majalla" w:cs="Sakkal Majalla"/>
          <w:b/>
          <w:bCs/>
          <w:color w:val="000000" w:themeColor="text1"/>
          <w:sz w:val="40"/>
          <w:szCs w:val="40"/>
          <w:rtl/>
          <w:lang w:bidi="ar-EG"/>
        </w:rPr>
        <w:t xml:space="preserve">: </w:t>
      </w:r>
      <w:r w:rsidRPr="00EC10D6">
        <w:rPr>
          <w:rFonts w:ascii="Sakkal Majalla" w:hAnsi="Sakkal Majalla" w:cs="Sakkal Majalla"/>
          <w:b/>
          <w:bCs/>
          <w:color w:val="000000" w:themeColor="text1"/>
          <w:sz w:val="40"/>
          <w:szCs w:val="40"/>
          <w:rtl/>
          <w:lang w:bidi="ar-EG"/>
        </w:rPr>
        <w:t>دراسة تطبيقية على المؤسسات المتوسطة والكبيرة</w:t>
      </w:r>
    </w:p>
    <w:p w14:paraId="751A7E65" w14:textId="5DFEFDA5" w:rsidR="009125CE" w:rsidRDefault="009125CE"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C10D6">
        <w:rPr>
          <w:rFonts w:ascii="Sakkal Majalla" w:hAnsi="Sakkal Majalla" w:cs="Sakkal Majalla"/>
          <w:b/>
          <w:bCs/>
          <w:color w:val="000000" w:themeColor="text1"/>
          <w:sz w:val="36"/>
          <w:szCs w:val="36"/>
          <w:rtl/>
          <w:lang w:bidi="ar-EG"/>
        </w:rPr>
        <w:t>إعداد الطالب/</w:t>
      </w:r>
    </w:p>
    <w:p w14:paraId="22C80A7A" w14:textId="5A76B10A" w:rsidR="00085D1B" w:rsidRPr="00EC10D6" w:rsidRDefault="00085D1B"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مساعد سالم القحطاني </w:t>
      </w:r>
    </w:p>
    <w:p w14:paraId="7E6A012C" w14:textId="77777777" w:rsidR="00301731" w:rsidRPr="00EC10D6" w:rsidRDefault="00301731"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1A2AA1AC" w14:textId="77777777" w:rsidR="00301731" w:rsidRPr="00EC10D6" w:rsidRDefault="00301731"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43BBE41A" w:rsidR="009125CE" w:rsidRPr="00EC10D6" w:rsidRDefault="009125CE"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C10D6">
        <w:rPr>
          <w:rFonts w:ascii="Sakkal Majalla" w:hAnsi="Sakkal Majalla" w:cs="Sakkal Majalla"/>
          <w:b/>
          <w:bCs/>
          <w:color w:val="000000" w:themeColor="text1"/>
          <w:sz w:val="36"/>
          <w:szCs w:val="36"/>
          <w:rtl/>
          <w:lang w:bidi="ar-EG"/>
        </w:rPr>
        <w:t>إشراف/</w:t>
      </w:r>
    </w:p>
    <w:p w14:paraId="39900BA8" w14:textId="7345DA71" w:rsidR="00D32470" w:rsidRPr="00EC10D6" w:rsidRDefault="00BA5817" w:rsidP="009B342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C10D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9DA114B" w14:textId="4A8C7107" w:rsidR="009B342E" w:rsidRPr="00EC10D6" w:rsidRDefault="009B342E" w:rsidP="009B342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C10D6">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EC10D6" w:rsidRDefault="009125CE"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C10D6">
        <w:rPr>
          <w:rFonts w:ascii="Sakkal Majalla" w:hAnsi="Sakkal Majalla" w:cs="Sakkal Majalla"/>
          <w:b/>
          <w:bCs/>
          <w:color w:val="000000" w:themeColor="text1"/>
          <w:sz w:val="36"/>
          <w:szCs w:val="36"/>
          <w:rtl/>
          <w:lang w:bidi="ar-EG"/>
        </w:rPr>
        <w:t>العام الدراسي:</w:t>
      </w:r>
    </w:p>
    <w:p w14:paraId="3ACB2E64" w14:textId="77777777" w:rsidR="009B342E" w:rsidRPr="00EC10D6" w:rsidRDefault="009B342E" w:rsidP="009B342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B342E" w:rsidRPr="00EC10D6" w:rsidSect="009B342E">
          <w:type w:val="continuous"/>
          <w:pgSz w:w="11906" w:h="16838" w:code="9"/>
          <w:pgMar w:top="1440" w:right="1985" w:bottom="1440" w:left="1418" w:header="720" w:footer="720" w:gutter="567"/>
          <w:pgNumType w:fmt="arabicAbjad" w:start="1"/>
          <w:cols w:space="708"/>
          <w:bidi/>
          <w:rtlGutter/>
          <w:docGrid w:linePitch="360"/>
        </w:sectPr>
      </w:pPr>
      <w:r w:rsidRPr="00EC10D6">
        <w:rPr>
          <w:rFonts w:ascii="Sakkal Majalla" w:hAnsi="Sakkal Majalla" w:cs="Sakkal Majalla"/>
          <w:b/>
          <w:bCs/>
          <w:color w:val="000000" w:themeColor="text1"/>
          <w:sz w:val="36"/>
          <w:szCs w:val="36"/>
          <w:lang w:bidi="ar-EG"/>
        </w:rPr>
        <w:t>1447 - 2025</w:t>
      </w:r>
    </w:p>
    <w:p w14:paraId="3D60BBD5" w14:textId="7C638F15" w:rsidR="009B342E" w:rsidRPr="00EC10D6" w:rsidRDefault="009B342E" w:rsidP="009B342E">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586319"/>
      <w:bookmarkStart w:id="1" w:name="_Hlk172151144"/>
      <w:bookmarkStart w:id="2" w:name="_Toc169790489"/>
      <w:r w:rsidRPr="00EC10D6">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65EBC86E" w14:textId="3AB98436" w:rsidR="009B342E" w:rsidRPr="00EC10D6" w:rsidRDefault="009B342E" w:rsidP="009B342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4586320"/>
      <w:r w:rsidRPr="00EC10D6">
        <w:rPr>
          <w:rFonts w:ascii="Sakkal Majalla" w:eastAsia="Calibri" w:hAnsi="Sakkal Majalla" w:cs="Sakkal Majalla" w:hint="cs"/>
          <w:b/>
          <w:bCs/>
          <w:color w:val="000000" w:themeColor="text1"/>
          <w:kern w:val="0"/>
          <w:sz w:val="36"/>
          <w:szCs w:val="36"/>
          <w:rtl/>
          <w14:ligatures w14:val="none"/>
        </w:rPr>
        <w:t>1.1 المقدمة</w:t>
      </w:r>
      <w:bookmarkEnd w:id="3"/>
      <w:r w:rsidRPr="00EC10D6">
        <w:rPr>
          <w:rFonts w:ascii="Sakkal Majalla" w:eastAsia="Calibri" w:hAnsi="Sakkal Majalla" w:cs="Sakkal Majalla" w:hint="cs"/>
          <w:b/>
          <w:bCs/>
          <w:color w:val="000000" w:themeColor="text1"/>
          <w:kern w:val="0"/>
          <w:sz w:val="36"/>
          <w:szCs w:val="36"/>
          <w:rtl/>
          <w14:ligatures w14:val="none"/>
        </w:rPr>
        <w:t xml:space="preserve"> </w:t>
      </w:r>
    </w:p>
    <w:p w14:paraId="3140F190" w14:textId="3D1B779D" w:rsidR="008011CD" w:rsidRPr="00EC10D6" w:rsidRDefault="008011CD" w:rsidP="009B342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شهد العالم خلال العقود الأخيرة تحوّلات اجتماعية واقتصادية واسعة دفعت إلى إعادة النظر في دور المرأة داخل المنظمات، وبرزت في هذا السياق قضايا تمكين المرأة بوصفها أحد مرتكزات التنمية المستدامة ومؤشرات التقدم المؤسسي والمجتمعي،  ويُعد تمكين المرأة في مواقع القيادة توجهًا عالميًا يستند إلى مبادئ العدالة، وتكافؤ الفرص، والاستفادة من جميع الطاقات البشرية داخل المجتمع. (خالد، 2023)</w:t>
      </w:r>
      <w:r w:rsidRPr="00EC10D6">
        <w:rPr>
          <w:rFonts w:ascii="Sakkal Majalla" w:eastAsia="Calibri" w:hAnsi="Sakkal Majalla" w:cs="Sakkal Majalla"/>
          <w:color w:val="000000" w:themeColor="text1"/>
          <w:kern w:val="0"/>
          <w:sz w:val="28"/>
          <w:szCs w:val="28"/>
          <w:lang w:bidi="ar-EG"/>
          <w14:ligatures w14:val="none"/>
        </w:rPr>
        <w:t>.</w:t>
      </w:r>
    </w:p>
    <w:p w14:paraId="237FE640" w14:textId="1C93E90B" w:rsidR="008011CD" w:rsidRPr="00EC10D6" w:rsidRDefault="008011CD" w:rsidP="009B342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و ازدادت الدعوات إلى تعزيز دور المرأة في مواقع اتخاذ القرار، بوصفه مسارًا ضروريًا لتحقيق التنمية الشاملة. وقد أوضحت الأدبيات أن التمكين يسهم في رفع مستوى المشاركة السياسية والتنظيمية والاجتماعية للمرأة، وهو ما تناولته عدة دراسات عربية ركزت على أهمية بناء قدراتها وتزويدها بالمهارات والمعرفة التي تؤهلها للقيام بدور فعال في قيادة المؤسسات، كما أكدت دراسات أخرى أن تمكين المرأة لا يقتصر على الجوانب القانونية أو الاجتماعية فحسب، بل يشمل بيئة العمل التنظيمية التي تمنح المرأة الفرص والمسؤوليات والصلاحيات التي تعكس موقعها القيادي (إيراين، 2024)</w:t>
      </w:r>
      <w:r w:rsidRPr="00EC10D6">
        <w:rPr>
          <w:rFonts w:ascii="Sakkal Majalla" w:eastAsia="Calibri" w:hAnsi="Sakkal Majalla" w:cs="Sakkal Majalla"/>
          <w:color w:val="000000" w:themeColor="text1"/>
          <w:kern w:val="0"/>
          <w:sz w:val="28"/>
          <w:szCs w:val="28"/>
          <w:lang w:bidi="ar-EG"/>
          <w14:ligatures w14:val="none"/>
        </w:rPr>
        <w:t>.</w:t>
      </w:r>
    </w:p>
    <w:p w14:paraId="7CB0DCEB" w14:textId="25D97E3F" w:rsidR="008011CD" w:rsidRPr="00EC10D6" w:rsidRDefault="008011CD" w:rsidP="009B342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و يبرز حضور المرأة بشكل متزايد في المناصب القيادية، مدفوعًا بالتغيرات الاستراتيجية التي تنفذها دول المنطقة في إطار تعزيز مشاركة المرأة في التنمية، وتشير الأدبيات إلى أن المرأة الخليجية على الرغم من التطور المتسارع لا تزال تواجه بعض القيود التنظيمية والإدارية التي تحدّ من ممارستها الكاملة لدورها القيادي، مما يستدعي دراسات معمقة حول واقع التمكين المؤسسي في هذا السياق. وقد أوضحت أحد الدراسات أن مشاركة المرأة في المواقع العليا تتطلب بيئة تنظيمية قادرة على تجاوز السقف الزجاجي والعقبات غير المرئية التي تحول دون وصول المرأة إلى مستوى صنع القرار (العنزي والعسكر، 2025)</w:t>
      </w:r>
      <w:r w:rsidRPr="00EC10D6">
        <w:rPr>
          <w:rFonts w:ascii="Sakkal Majalla" w:eastAsia="Calibri" w:hAnsi="Sakkal Majalla" w:cs="Sakkal Majalla"/>
          <w:color w:val="000000" w:themeColor="text1"/>
          <w:kern w:val="0"/>
          <w:sz w:val="28"/>
          <w:szCs w:val="28"/>
          <w:lang w:bidi="ar-EG"/>
          <w14:ligatures w14:val="none"/>
        </w:rPr>
        <w:t>.</w:t>
      </w:r>
    </w:p>
    <w:p w14:paraId="28182200" w14:textId="33C846E7" w:rsidR="008011CD" w:rsidRPr="00EC10D6" w:rsidRDefault="008011CD" w:rsidP="009B342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 xml:space="preserve">وتُعد المملكة العربية السعودية نموذجًا بارزًا في التحولات المتعلقة بتمكين المرأة، خصوصًا مع إطلاق رؤية المملكة 2030 التي جعلت مشاركة المرأة الاقتصادية والقيادية هدفًا استراتيجيًا. وقد أظهرت الأدبيات أن حجم مشاركة المرأة السعودية في المناصب القيادية ازداد بشكل ملحوظ خلال السنوات </w:t>
      </w:r>
      <w:r w:rsidRPr="00EC10D6">
        <w:rPr>
          <w:rFonts w:ascii="Sakkal Majalla" w:eastAsia="Calibri" w:hAnsi="Sakkal Majalla" w:cs="Sakkal Majalla"/>
          <w:color w:val="000000" w:themeColor="text1"/>
          <w:kern w:val="0"/>
          <w:sz w:val="28"/>
          <w:szCs w:val="28"/>
          <w:rtl/>
          <w14:ligatures w14:val="none"/>
        </w:rPr>
        <w:lastRenderedPageBreak/>
        <w:t>الأخيرة، وأن المؤسسات السعودية سواء الحكومية أو الخاصة بدأت تتجه نحو استثمار القدرات النسائية في القيادة والإدارة. ومع ذلك، تشير بعض الدراسات إلى أن التمكين ما زال متفاوتًا بين المؤسسات، وأن تفعيل دور المرأة يحتاج إلى مراجعة مستمرة واستراتيجيات دعم أكثر وضوحًا وفاعلية (لفايز، 2024)</w:t>
      </w:r>
      <w:r w:rsidRPr="00EC10D6">
        <w:rPr>
          <w:rFonts w:ascii="Sakkal Majalla" w:eastAsia="Calibri" w:hAnsi="Sakkal Majalla" w:cs="Sakkal Majalla"/>
          <w:color w:val="000000" w:themeColor="text1"/>
          <w:kern w:val="0"/>
          <w:sz w:val="28"/>
          <w:szCs w:val="28"/>
          <w:lang w:bidi="ar-EG"/>
          <w14:ligatures w14:val="none"/>
        </w:rPr>
        <w:t>.</w:t>
      </w:r>
    </w:p>
    <w:p w14:paraId="40DD32F1" w14:textId="42F9AC6D" w:rsidR="008011CD" w:rsidRPr="00EC10D6" w:rsidRDefault="008011CD" w:rsidP="009B342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و برز مفهوم التمكين القيادي بوصفه أحد متغيرات البحث الأساسية التي تستحق الدراسة. فالتمكين الإداري يمنح المرأة القدرة على اتخاذ القرارات اليومية، بينما يعزز التمكين المهني فرص تطوير مهاراتها وإكسابها الخبرات التي تحتاجها في مواقع القيادة. كما يتيح التمكين المعرفي للمرأة الحصول على المعلومات التنظيمية اللازمة لاتخاذ القرار، ويضمن تمكين صنع القرار مشاركتها في اللجان العليا والسياسات العامة. وقد أكدت إحدى الدراسات الميدانية أن تعزيز التمكين بمختلف أبعاده يسهم في رفع مستوى السلوك الاستباقي والقيادة الفاعلة للمرأة (الشماسي وآخرون، 2024)</w:t>
      </w:r>
      <w:r w:rsidRPr="00EC10D6">
        <w:rPr>
          <w:rFonts w:ascii="Sakkal Majalla" w:eastAsia="Calibri" w:hAnsi="Sakkal Majalla" w:cs="Sakkal Majalla"/>
          <w:color w:val="000000" w:themeColor="text1"/>
          <w:kern w:val="0"/>
          <w:sz w:val="28"/>
          <w:szCs w:val="28"/>
          <w:lang w:bidi="ar-EG"/>
          <w14:ligatures w14:val="none"/>
        </w:rPr>
        <w:t>.</w:t>
      </w:r>
    </w:p>
    <w:p w14:paraId="00F81255" w14:textId="0992E3E5" w:rsidR="008011CD" w:rsidRPr="00EC10D6" w:rsidRDefault="008011CD" w:rsidP="009B342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EC10D6">
        <w:rPr>
          <w:rFonts w:ascii="Sakkal Majalla" w:eastAsia="Calibri" w:hAnsi="Sakkal Majalla" w:cs="Sakkal Majalla"/>
          <w:color w:val="000000" w:themeColor="text1"/>
          <w:kern w:val="0"/>
          <w:sz w:val="28"/>
          <w:szCs w:val="28"/>
          <w:rtl/>
          <w14:ligatures w14:val="none"/>
        </w:rPr>
        <w:t>و يُعد الابتكار الإداري عنصرًا محوريًا في بقاء المؤسسات وتطورها في ظل بيئات الأعمال المتغيرة. ويشير مفهوم الابتكار الإداري إلى تطوير الأساليب التنظيمية، وتحسين العمليات، واعتماد تقنيات جديدة تسهم في رفع كفاءة الأداء. وقد أبرزت الدراسات أن الابتكار الإداري ليس مجرد عملية تقنية بل هو نتاج بيئة تنظيمية تشجع المبادرة، وتدعم المرونة، وتوفر للقيادات المعلومات اللازمة لاتخاذ قرارات فعالة. كما أوضحت الأدبيات أن المنظمات التي تتبنى الابتكار الإداري تكون أكثر قدرة على مواجهة التحديات المستقبلية، والمحافظة على ميزتها التنافسية (الهرمودي، 2024)</w:t>
      </w:r>
      <w:r w:rsidRPr="00EC10D6">
        <w:rPr>
          <w:rFonts w:ascii="Sakkal Majalla" w:eastAsia="Calibri" w:hAnsi="Sakkal Majalla" w:cs="Sakkal Majalla"/>
          <w:color w:val="000000" w:themeColor="text1"/>
          <w:kern w:val="0"/>
          <w:sz w:val="28"/>
          <w:szCs w:val="28"/>
          <w:lang w:bidi="ar-EG"/>
          <w14:ligatures w14:val="none"/>
        </w:rPr>
        <w:t>.</w:t>
      </w:r>
    </w:p>
    <w:p w14:paraId="287BEB69" w14:textId="7D47EED3" w:rsidR="00EE0BB8" w:rsidRPr="00EC10D6" w:rsidRDefault="008011CD" w:rsidP="009B342E">
      <w:pPr>
        <w:pStyle w:val="1"/>
        <w:spacing w:before="100" w:beforeAutospacing="1" w:after="100" w:afterAutospacing="1" w:line="360" w:lineRule="auto"/>
        <w:jc w:val="both"/>
        <w:rPr>
          <w:b w:val="0"/>
          <w:bCs w:val="0"/>
          <w:color w:val="000000" w:themeColor="text1"/>
          <w:sz w:val="28"/>
          <w:szCs w:val="28"/>
          <w:u w:val="none"/>
          <w:rtl/>
        </w:rPr>
      </w:pPr>
      <w:bookmarkStart w:id="4" w:name="_Toc203340321"/>
      <w:bookmarkStart w:id="5" w:name="_Toc214586321"/>
      <w:r w:rsidRPr="00EC10D6">
        <w:rPr>
          <w:rFonts w:eastAsiaTheme="minorHAnsi"/>
          <w:b w:val="0"/>
          <w:bCs w:val="0"/>
          <w:color w:val="000000" w:themeColor="text1"/>
          <w:sz w:val="28"/>
          <w:szCs w:val="28"/>
          <w:u w:val="none"/>
          <w:rtl/>
        </w:rPr>
        <w:t>ومع التسارع الكبير في التحول الرقمي داخل المملكة، برزت الحاجة إلى فهم المزيد حول كيفية تأثير التمكين القيادي للمرأة على الابتكار الإداري في المؤسسات السعودية، وخاصة في المؤسسات المتوسطة والكبيرة التي تعتمد على أنظمة عمل أكثر تعقيدًا وهياكل تنظيمية متعددة المستويات. و</w:t>
      </w:r>
      <w:r w:rsidR="00EE0BB8" w:rsidRPr="00EC10D6">
        <w:rPr>
          <w:b w:val="0"/>
          <w:bCs w:val="0"/>
          <w:color w:val="000000" w:themeColor="text1"/>
          <w:sz w:val="28"/>
          <w:szCs w:val="28"/>
          <w:u w:val="none"/>
          <w:rtl/>
        </w:rPr>
        <w:t>مشكلة الدراسة</w:t>
      </w:r>
      <w:bookmarkEnd w:id="4"/>
      <w:bookmarkEnd w:id="5"/>
    </w:p>
    <w:p w14:paraId="1929613E" w14:textId="517ECA16" w:rsidR="008011CD" w:rsidRPr="00EC10D6" w:rsidRDefault="008011CD" w:rsidP="009B34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 xml:space="preserve">على الرغم من التقدم الملحوظ الذي شهده تمكين المرأة القيادية في المملكة العربية السعودية خلال السنوات الأخيرة، وما أظهرته الأدبيات من توسع المؤسسات في دعم مشاركة المرأة في المواقع الإدارية، إلا أن العديد من الدراسات أشارت إلى استمرار وجود فجوة بين الأطر التنظيمية المعلنة وممارسات التمكين الفعلية داخل مؤسسات الأعمال،  فقد بينت دراسة الشماسي وآخرين (2024) أن مستويات التمكين </w:t>
      </w:r>
      <w:r w:rsidRPr="00EC10D6">
        <w:rPr>
          <w:rFonts w:ascii="Sakkal Majalla" w:hAnsi="Sakkal Majalla" w:cs="Sakkal Majalla"/>
          <w:color w:val="000000" w:themeColor="text1"/>
          <w:sz w:val="28"/>
          <w:szCs w:val="28"/>
          <w:rtl/>
        </w:rPr>
        <w:lastRenderedPageBreak/>
        <w:t>النفسي والإداري لا تزال متفاوتة بين المؤسسات الحكومية والخاصة، وأن عدداً من النساء القياديات يواجهن صعوبات في ممارسة الأدوار القيادية بصورة كاملة. كما أوضحت دراسة لفايز (2024) أن التحول الرقمي والدعم المؤسسي لم يصل بعد إلى المستوى الذي يضمن مشاركة فاعلة للقيادات النسائية في رسم السياسات واتخاذ القرارات،  وتشير دراسة بوبريمة وحجام (2023) إلى وجود معوّقات سوسيو–تنظيمية تحدّ من ممارسة التمكين الإداري بصورة متوازنة داخل المؤسسات العربية، مما يعكس الحاجة إلى بحوث إضافية تكشف العوامل المؤثرة في قدرة المرأة على توظيف صلاحياتها القيادية</w:t>
      </w:r>
      <w:r w:rsidRPr="00EC10D6">
        <w:rPr>
          <w:rFonts w:ascii="Sakkal Majalla" w:hAnsi="Sakkal Majalla" w:cs="Sakkal Majalla"/>
          <w:color w:val="000000" w:themeColor="text1"/>
          <w:sz w:val="28"/>
          <w:szCs w:val="28"/>
          <w:lang w:bidi="ar-EG"/>
        </w:rPr>
        <w:t>.</w:t>
      </w:r>
    </w:p>
    <w:p w14:paraId="6384579F" w14:textId="46B00377" w:rsidR="008011CD" w:rsidRPr="00EC10D6" w:rsidRDefault="008011CD" w:rsidP="009B34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و تؤكد الأدبيات أن الابتكار الإداري يمثل أحد المداخل الأساسية لرفع كفاءة المؤسسات وتحسين قدرتها على المنافسة، إلا أن مستوى توظيف الابتكار يرتبط بدرجة كبيرة بقدرات القيادات الإدارية ومدى تمكينهم داخل البيئة التنظيمية، فقد كشفت دراسة شاهين وآخرين (2024) أن مستوى الابتكار الإداري في العديد من المنظمات العربية ما زال متوسطًا، ويرتبط محدوديته بضعف المشاركة الفعلية للقيادات في عمليات اتخاذ القرار،  كما أظهرت دراسة الهرمودي (2024) أن الابتكار يحتاج إلى بيئة قيادية داعمة تتيح حرية المبادرة وتوفر المعلومات التنظيمية وتسمح بتجريب أساليب جديدة في العمل. وفي ضوء ما سبق، تبرز الحاجة إلى دراسة العلاقة بين تمكين المرأة القيادية بوصفه أحد المتغيرات القيادية الصاعدة في السعودية—وبين الابتكار الإداري داخل المؤسسات المتوسطة والكبيرة، للوقوف على مدى تأثير التمكين في تعزيز الابتكار داخل بيئات العمل السعودية</w:t>
      </w:r>
      <w:r w:rsidRPr="00EC10D6">
        <w:rPr>
          <w:rFonts w:ascii="Sakkal Majalla" w:hAnsi="Sakkal Majalla" w:cs="Sakkal Majalla"/>
          <w:color w:val="000000" w:themeColor="text1"/>
          <w:sz w:val="28"/>
          <w:szCs w:val="28"/>
          <w:lang w:bidi="ar-EG"/>
        </w:rPr>
        <w:t>.</w:t>
      </w:r>
    </w:p>
    <w:p w14:paraId="67224F44" w14:textId="2B9EFAE7" w:rsidR="008011CD" w:rsidRPr="00EC10D6" w:rsidRDefault="008011CD" w:rsidP="009B34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وانطلاقًا من ذلك، تتمحور مشكلة الدراسة حول السؤال الرئيس التالي</w:t>
      </w:r>
      <w:r w:rsidRPr="00EC10D6">
        <w:rPr>
          <w:rFonts w:ascii="Sakkal Majalla" w:hAnsi="Sakkal Majalla" w:cs="Sakkal Majalla"/>
          <w:color w:val="000000" w:themeColor="text1"/>
          <w:sz w:val="28"/>
          <w:szCs w:val="28"/>
          <w:lang w:bidi="ar-EG"/>
        </w:rPr>
        <w:t>:</w:t>
      </w:r>
      <w:r w:rsidR="009B342E"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color w:val="000000" w:themeColor="text1"/>
          <w:sz w:val="28"/>
          <w:szCs w:val="28"/>
          <w:rtl/>
        </w:rPr>
        <w:t>ما أثر تمكين المرأة القيادية بأبعاده المختلفة على الابتكار الإداري في منظمات الأعمال السعودية (المؤسسات المتوسطة والكبيرة)؟</w:t>
      </w:r>
    </w:p>
    <w:p w14:paraId="49E7D4E3" w14:textId="70652EF0" w:rsidR="00EE0BB8"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4586322"/>
      <w:r w:rsidRPr="00EC10D6">
        <w:rPr>
          <w:rFonts w:ascii="Sakkal Majalla" w:hAnsi="Sakkal Majalla" w:cs="Sakkal Majalla"/>
          <w:b/>
          <w:bCs/>
          <w:color w:val="000000" w:themeColor="text1"/>
          <w:sz w:val="36"/>
          <w:szCs w:val="36"/>
          <w:rtl/>
          <w:lang w:bidi="ar-EG"/>
        </w:rPr>
        <w:t>2.1 أهمية الدراسة:</w:t>
      </w:r>
      <w:bookmarkEnd w:id="6"/>
    </w:p>
    <w:p w14:paraId="1EE72FAC" w14:textId="40083867" w:rsidR="00AF46DF" w:rsidRPr="00EC10D6" w:rsidRDefault="00AF46DF" w:rsidP="009B342E">
      <w:pPr>
        <w:pStyle w:val="a8"/>
        <w:bidi/>
        <w:spacing w:line="360" w:lineRule="auto"/>
        <w:ind w:firstLine="706"/>
        <w:jc w:val="both"/>
        <w:rPr>
          <w:rFonts w:ascii="Sakkal Majalla" w:hAnsi="Sakkal Majalla" w:cs="Sakkal Majalla"/>
          <w:color w:val="000000" w:themeColor="text1"/>
          <w:sz w:val="28"/>
          <w:szCs w:val="28"/>
        </w:rPr>
      </w:pPr>
      <w:bookmarkStart w:id="7" w:name="_Toc169790490"/>
      <w:bookmarkEnd w:id="1"/>
      <w:bookmarkEnd w:id="2"/>
      <w:r w:rsidRPr="00EC10D6">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EC10D6">
        <w:rPr>
          <w:rFonts w:ascii="Sakkal Majalla" w:hAnsi="Sakkal Majalla" w:cs="Sakkal Majalla"/>
          <w:color w:val="000000" w:themeColor="text1"/>
          <w:sz w:val="28"/>
          <w:szCs w:val="28"/>
          <w:rtl/>
        </w:rPr>
        <w:t>فيما يل</w:t>
      </w:r>
      <w:r w:rsidR="00DD6BEA" w:rsidRPr="00EC10D6">
        <w:rPr>
          <w:rFonts w:ascii="Sakkal Majalla" w:hAnsi="Sakkal Majalla" w:cs="Sakkal Majalla"/>
          <w:color w:val="000000" w:themeColor="text1"/>
          <w:sz w:val="28"/>
          <w:szCs w:val="28"/>
          <w:rtl/>
        </w:rPr>
        <w:t>ي</w:t>
      </w:r>
      <w:r w:rsidR="000125CD" w:rsidRPr="00EC10D6">
        <w:rPr>
          <w:rFonts w:ascii="Sakkal Majalla" w:hAnsi="Sakkal Majalla" w:cs="Sakkal Majalla"/>
          <w:color w:val="000000" w:themeColor="text1"/>
          <w:sz w:val="28"/>
          <w:szCs w:val="28"/>
          <w:rtl/>
        </w:rPr>
        <w:t>:</w:t>
      </w:r>
    </w:p>
    <w:p w14:paraId="261CADEE" w14:textId="77777777" w:rsidR="00AF46DF" w:rsidRPr="00EC10D6" w:rsidRDefault="00AF46DF" w:rsidP="009B342E">
      <w:pPr>
        <w:pStyle w:val="a8"/>
        <w:bidi/>
        <w:spacing w:line="360" w:lineRule="auto"/>
        <w:jc w:val="both"/>
        <w:rPr>
          <w:rFonts w:ascii="Sakkal Majalla" w:hAnsi="Sakkal Majalla" w:cs="Sakkal Majalla"/>
          <w:color w:val="000000" w:themeColor="text1"/>
          <w:sz w:val="32"/>
          <w:szCs w:val="32"/>
        </w:rPr>
      </w:pPr>
      <w:r w:rsidRPr="00EC10D6">
        <w:rPr>
          <w:rStyle w:val="a9"/>
          <w:rFonts w:ascii="Sakkal Majalla" w:hAnsi="Sakkal Majalla" w:cs="Sakkal Majalla"/>
          <w:color w:val="000000" w:themeColor="text1"/>
          <w:sz w:val="32"/>
          <w:szCs w:val="32"/>
          <w:rtl/>
        </w:rPr>
        <w:t>الأهمية النظرية</w:t>
      </w:r>
      <w:r w:rsidRPr="00EC10D6">
        <w:rPr>
          <w:rStyle w:val="a9"/>
          <w:rFonts w:ascii="Sakkal Majalla" w:hAnsi="Sakkal Majalla" w:cs="Sakkal Majalla"/>
          <w:color w:val="000000" w:themeColor="text1"/>
          <w:sz w:val="32"/>
          <w:szCs w:val="32"/>
        </w:rPr>
        <w:t>:</w:t>
      </w:r>
    </w:p>
    <w:p w14:paraId="1DC0244E" w14:textId="77777777" w:rsidR="005552F0" w:rsidRPr="00EC10D6" w:rsidRDefault="005552F0"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lastRenderedPageBreak/>
        <w:t>تساهم الدراسة في إثراء الأدبيات الحديثة المتعلقة بتمكين المرأة القيادية وربطه بمفهوم الابتكار الإداري في سياق منظمات الأعمال السعودية، وهو مجال ما يزال بحاجة إلى مزيد من البحث</w:t>
      </w:r>
      <w:r w:rsidRPr="00EC10D6">
        <w:rPr>
          <w:rFonts w:ascii="Sakkal Majalla" w:hAnsi="Sakkal Majalla" w:cs="Sakkal Majalla"/>
          <w:color w:val="000000" w:themeColor="text1"/>
          <w:sz w:val="28"/>
          <w:szCs w:val="28"/>
        </w:rPr>
        <w:t>.</w:t>
      </w:r>
    </w:p>
    <w:p w14:paraId="2820EA96" w14:textId="77777777" w:rsidR="005552F0" w:rsidRPr="00EC10D6" w:rsidRDefault="005552F0"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تقدم الدراسة إطاراً نظرياً متكاملاً يدمج بين أبعاد التمكين القيادي الأربعة (الإداري، المهني، المعرفي، وصنع القرار) وبين مخرجات الابتكار الإداري، مما يعزز الفهم العلمي للعلاقات التفاعلية بين المتغيرين</w:t>
      </w:r>
      <w:r w:rsidRPr="00EC10D6">
        <w:rPr>
          <w:rFonts w:ascii="Sakkal Majalla" w:hAnsi="Sakkal Majalla" w:cs="Sakkal Majalla"/>
          <w:color w:val="000000" w:themeColor="text1"/>
          <w:sz w:val="28"/>
          <w:szCs w:val="28"/>
        </w:rPr>
        <w:t>.</w:t>
      </w:r>
    </w:p>
    <w:p w14:paraId="14A88A1D" w14:textId="77777777" w:rsidR="005552F0" w:rsidRPr="00EC10D6" w:rsidRDefault="005552F0"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تكشف الدراسة عن الفجوات المعرفية في الأبحاث السابقة وتوضح كيفية تأثير تمكين المرأة القيادية على الابتكار الإداري في المؤسسات المتوسطة والكبيرة، مما يفتح المجال لدراسات مستقبلية أكثر عمقاً</w:t>
      </w:r>
      <w:r w:rsidRPr="00EC10D6">
        <w:rPr>
          <w:rFonts w:ascii="Sakkal Majalla" w:hAnsi="Sakkal Majalla" w:cs="Sakkal Majalla"/>
          <w:color w:val="000000" w:themeColor="text1"/>
          <w:sz w:val="28"/>
          <w:szCs w:val="28"/>
        </w:rPr>
        <w:t>.</w:t>
      </w:r>
    </w:p>
    <w:p w14:paraId="14EF32BF" w14:textId="77777777" w:rsidR="005552F0" w:rsidRPr="00EC10D6" w:rsidRDefault="005552F0"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تساعد الدراسة الباحثين في تبني نماذج تحليلية جديدة لدراسة دور القيادات النسائية في تحسين الأداء التنظيمي وتعزيز قدرات الابتكار داخل المؤسسات العربية</w:t>
      </w:r>
      <w:r w:rsidRPr="00EC10D6">
        <w:rPr>
          <w:rFonts w:ascii="Sakkal Majalla" w:hAnsi="Sakkal Majalla" w:cs="Sakkal Majalla"/>
          <w:color w:val="000000" w:themeColor="text1"/>
          <w:sz w:val="28"/>
          <w:szCs w:val="28"/>
        </w:rPr>
        <w:t>.</w:t>
      </w:r>
    </w:p>
    <w:p w14:paraId="33A5C6AD" w14:textId="77777777" w:rsidR="005552F0" w:rsidRPr="00EC10D6" w:rsidRDefault="005552F0"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تضيف الدراسة بعداً نوعياً للبحوث الإدارية من خلال تركيزها على قطاع الأعمال السعودي وسياقه الثقافي والتنظيمي الخاص، الأمر الذي يزيد من القيمة العلمية لنتائج الدراسة.</w:t>
      </w:r>
    </w:p>
    <w:p w14:paraId="52461B94" w14:textId="3DB06880" w:rsidR="00AF46DF" w:rsidRPr="00EC10D6" w:rsidRDefault="00AF46DF" w:rsidP="009B342E">
      <w:pPr>
        <w:pStyle w:val="a8"/>
        <w:bidi/>
        <w:spacing w:line="360" w:lineRule="auto"/>
        <w:jc w:val="both"/>
        <w:rPr>
          <w:rFonts w:ascii="Sakkal Majalla" w:hAnsi="Sakkal Majalla" w:cs="Sakkal Majalla"/>
          <w:color w:val="000000" w:themeColor="text1"/>
          <w:sz w:val="32"/>
          <w:szCs w:val="32"/>
        </w:rPr>
      </w:pPr>
      <w:r w:rsidRPr="00EC10D6">
        <w:rPr>
          <w:rStyle w:val="a9"/>
          <w:rFonts w:ascii="Sakkal Majalla" w:hAnsi="Sakkal Majalla" w:cs="Sakkal Majalla"/>
          <w:color w:val="000000" w:themeColor="text1"/>
          <w:sz w:val="32"/>
          <w:szCs w:val="32"/>
          <w:rtl/>
        </w:rPr>
        <w:t>الأهمية التطبيقية</w:t>
      </w:r>
      <w:r w:rsidRPr="00EC10D6">
        <w:rPr>
          <w:rStyle w:val="a9"/>
          <w:rFonts w:ascii="Sakkal Majalla" w:hAnsi="Sakkal Majalla" w:cs="Sakkal Majalla"/>
          <w:color w:val="000000" w:themeColor="text1"/>
          <w:sz w:val="32"/>
          <w:szCs w:val="32"/>
        </w:rPr>
        <w:t>:</w:t>
      </w:r>
    </w:p>
    <w:p w14:paraId="3DAC34B5" w14:textId="77777777" w:rsidR="002448BF" w:rsidRPr="00EC10D6" w:rsidRDefault="002448B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bookmarkStart w:id="8" w:name="_Toc203340323"/>
      <w:r w:rsidRPr="00EC10D6">
        <w:rPr>
          <w:rFonts w:ascii="Sakkal Majalla" w:hAnsi="Sakkal Majalla" w:cs="Sakkal Majalla"/>
          <w:color w:val="000000" w:themeColor="text1"/>
          <w:sz w:val="28"/>
          <w:szCs w:val="28"/>
          <w:rtl/>
        </w:rPr>
        <w:t>تزوّد صناع القرار في المؤسسات السعودية بمؤشرات واضحة حول كيفية توظيف تمكين المرأة القيادية كأداة فعّالة لتعزيز الابتكار الإداري ورفع جودة الأداء التنظيمي.</w:t>
      </w:r>
    </w:p>
    <w:p w14:paraId="438552E4" w14:textId="77777777" w:rsidR="002448BF" w:rsidRPr="00EC10D6" w:rsidRDefault="002448B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تساعد نتائج الدراسة في تصميم سياسات وإجراءات داخل المؤسسات المتوسطة والكبيرة تدعم التمكين الحقيقي للقيادات النسائية بما ينعكس على تطوير بيئة عمل مبتكرة.</w:t>
      </w:r>
    </w:p>
    <w:p w14:paraId="1252A718" w14:textId="77777777" w:rsidR="002448BF" w:rsidRPr="00EC10D6" w:rsidRDefault="002448B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تقدم الدراسة دلائل عملية للمؤسسات حول أثر الاستثمار في التمكين المهني والمعرفي للنساء على تحسين عمليات اتخاذ القرار وزيادة المبادرات الابتكارية.</w:t>
      </w:r>
    </w:p>
    <w:p w14:paraId="5C610BDE" w14:textId="77777777" w:rsidR="002448BF" w:rsidRPr="00EC10D6" w:rsidRDefault="002448B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توجه مديري الموارد البشرية نحو تبني برامج تدريب وتمكين قيادية تستهدف تطوير مهارات النساء في المناصب الإدارية بما يدعم تحسين القدرة التنافسية للمؤسسة.</w:t>
      </w:r>
    </w:p>
    <w:p w14:paraId="2184544A" w14:textId="77777777" w:rsidR="002448BF" w:rsidRPr="00EC10D6" w:rsidRDefault="002448B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lastRenderedPageBreak/>
        <w:t>تساعد النتائج المؤسسات السعودية على تحديد نقاط القوة والضعف في ممارسات تمكين المرأة الحالية، مما يمكّنها من تطوير خطط استراتيجية تدعم الابتكار الإداري بشكل مستدام.</w:t>
      </w:r>
    </w:p>
    <w:p w14:paraId="089A2530" w14:textId="6E7EE2AD"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586323"/>
      <w:bookmarkEnd w:id="7"/>
      <w:bookmarkEnd w:id="8"/>
      <w:r w:rsidRPr="00EC10D6">
        <w:rPr>
          <w:rFonts w:ascii="Sakkal Majalla" w:hAnsi="Sakkal Majalla" w:cs="Sakkal Majalla"/>
          <w:b/>
          <w:bCs/>
          <w:color w:val="000000" w:themeColor="text1"/>
          <w:sz w:val="36"/>
          <w:szCs w:val="36"/>
          <w:rtl/>
        </w:rPr>
        <w:t>3.1 أهداف الدراسة:</w:t>
      </w:r>
      <w:bookmarkEnd w:id="9"/>
    </w:p>
    <w:p w14:paraId="68771929" w14:textId="592AF4E7" w:rsidR="00F30BD7" w:rsidRPr="00EC10D6" w:rsidRDefault="00FF5F9C"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تهدف هذه الدراسة إلى تحليل أثر تمكين المرأة القيادية بأبعاده (التمكين الإداري، التمكين المهني، التمكين المعرفي، وتمكين صنع القرار) على الابتكار الإداري في منظمات الأعمال السعودية (المؤسسات المتوسطة والكبيرة)، وذلك بهدف فهم مدى مساهمة القيادات النسائية في تعزيز القدرات الإبداعية والتنظيمية داخل هذه المنظمات ، </w:t>
      </w:r>
      <w:r w:rsidR="00F30BD7" w:rsidRPr="00EC10D6">
        <w:rPr>
          <w:rFonts w:ascii="Sakkal Majalla" w:hAnsi="Sakkal Majalla" w:cs="Sakkal Majalla"/>
          <w:color w:val="000000" w:themeColor="text1"/>
          <w:sz w:val="28"/>
          <w:szCs w:val="28"/>
          <w:rtl/>
          <w:lang w:bidi="ar-EG"/>
        </w:rPr>
        <w:t>ويتفرع</w:t>
      </w:r>
      <w:r w:rsidR="00F30BD7" w:rsidRPr="00EC10D6">
        <w:rPr>
          <w:rFonts w:ascii="Sakkal Majalla" w:hAnsi="Sakkal Majalla" w:cs="Sakkal Majalla"/>
          <w:color w:val="000000" w:themeColor="text1"/>
          <w:sz w:val="28"/>
          <w:szCs w:val="28"/>
          <w:rtl/>
        </w:rPr>
        <w:t xml:space="preserve"> منه مجموعة من الأهداف الفرعية:</w:t>
      </w:r>
    </w:p>
    <w:p w14:paraId="4DFC38F0"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bookmarkStart w:id="10" w:name="_Toc169790491"/>
      <w:bookmarkStart w:id="11" w:name="_Toc203340324"/>
      <w:r w:rsidRPr="00EC10D6">
        <w:rPr>
          <w:rFonts w:ascii="Sakkal Majalla" w:hAnsi="Sakkal Majalla" w:cs="Sakkal Majalla"/>
          <w:color w:val="000000" w:themeColor="text1"/>
          <w:sz w:val="28"/>
          <w:szCs w:val="28"/>
          <w:rtl/>
        </w:rPr>
        <w:t>قياس أثر التمكين الإداري للمرأة القيادية في تعزيز ممارسات الابتكار الإداري داخل منظمات الأعمال السعودية.</w:t>
      </w:r>
    </w:p>
    <w:p w14:paraId="7371E03D"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تحليل دور التمكين المهني للقيادات النسائية في تطوير المبادرات الابتكارية والقدرة على توليد حلول تنظيمية جديدة.</w:t>
      </w:r>
    </w:p>
    <w:p w14:paraId="0F80B567"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دراسة تأثير التمكين المعرفي للمرأة القيادية على تحسين جودة اتخاذ القرارات الابتكارية داخل المؤسسات المتوسطة والكبيرة.</w:t>
      </w:r>
    </w:p>
    <w:p w14:paraId="6124F734"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تحديد مدى إسهام تمكين المرأة في عمليات صنع القرار في دعم ثقافة الابتكار الإداري ورفع كفاءة العمليات التنظيمية.</w:t>
      </w:r>
    </w:p>
    <w:p w14:paraId="5C868D6A"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الكشف عن الفروق في مستوى الابتكار الإداري تبعاً لاختلاف درجة تمكين المرأة القيادية عبر المؤسسات المتوسطة والكبيرة في السعودية.</w:t>
      </w:r>
    </w:p>
    <w:p w14:paraId="675E26EF" w14:textId="77777777" w:rsidR="003960DF" w:rsidRPr="00EC10D6" w:rsidRDefault="003960DF" w:rsidP="009B342E">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تحديد العوامل التنظيمية الداعمة أو المعوقة للعلاقة بين تمكين المرأة القيادية والابتكار الإداري في قطاع الأعمال السعودي.</w:t>
      </w:r>
    </w:p>
    <w:p w14:paraId="259CA25D" w14:textId="3864EA3A" w:rsidR="009B342E" w:rsidRPr="00EC10D6" w:rsidRDefault="009B342E" w:rsidP="009B342E">
      <w:pPr>
        <w:pStyle w:val="a8"/>
        <w:bidi/>
        <w:spacing w:line="360" w:lineRule="auto"/>
        <w:jc w:val="both"/>
        <w:outlineLvl w:val="1"/>
        <w:rPr>
          <w:rFonts w:ascii="Sakkal Majalla" w:hAnsi="Sakkal Majalla" w:cs="Sakkal Majalla"/>
          <w:b/>
          <w:bCs/>
          <w:color w:val="000000" w:themeColor="text1"/>
          <w:sz w:val="36"/>
          <w:szCs w:val="36"/>
          <w:rtl/>
        </w:rPr>
      </w:pPr>
      <w:bookmarkStart w:id="12" w:name="_Toc214586324"/>
      <w:r w:rsidRPr="00EC10D6">
        <w:rPr>
          <w:rFonts w:ascii="Sakkal Majalla" w:hAnsi="Sakkal Majalla" w:cs="Sakkal Majalla"/>
          <w:b/>
          <w:bCs/>
          <w:color w:val="000000" w:themeColor="text1"/>
          <w:sz w:val="36"/>
          <w:szCs w:val="36"/>
          <w:rtl/>
        </w:rPr>
        <w:t>4.1 تساؤلات الدراسة</w:t>
      </w:r>
      <w:bookmarkEnd w:id="12"/>
    </w:p>
    <w:p w14:paraId="13A034EB" w14:textId="785F192F" w:rsidR="009B37BE" w:rsidRPr="00EC10D6" w:rsidRDefault="00064FF1"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3" w:name="_Toc169790492"/>
      <w:bookmarkEnd w:id="10"/>
      <w:bookmarkEnd w:id="11"/>
      <w:r w:rsidRPr="00EC10D6">
        <w:rPr>
          <w:rFonts w:ascii="Sakkal Majalla" w:hAnsi="Sakkal Majalla" w:cs="Sakkal Majalla"/>
          <w:color w:val="000000" w:themeColor="text1"/>
          <w:sz w:val="28"/>
          <w:szCs w:val="28"/>
          <w:rtl/>
        </w:rPr>
        <w:lastRenderedPageBreak/>
        <w:t>السؤال الرئيس</w:t>
      </w:r>
      <w:r w:rsidR="00C9690C" w:rsidRPr="00EC10D6">
        <w:rPr>
          <w:rFonts w:ascii="Sakkal Majalla" w:hAnsi="Sakkal Majalla" w:cs="Sakkal Majalla"/>
          <w:color w:val="000000" w:themeColor="text1"/>
          <w:sz w:val="28"/>
          <w:szCs w:val="28"/>
          <w:rtl/>
        </w:rPr>
        <w:t>ي</w:t>
      </w:r>
      <w:r w:rsidRPr="00EC10D6">
        <w:rPr>
          <w:rFonts w:ascii="Sakkal Majalla" w:hAnsi="Sakkal Majalla" w:cs="Sakkal Majalla"/>
          <w:color w:val="000000" w:themeColor="text1"/>
          <w:sz w:val="28"/>
          <w:szCs w:val="28"/>
          <w:rtl/>
        </w:rPr>
        <w:t xml:space="preserve"> الأول: </w:t>
      </w:r>
      <w:r w:rsidR="000D65EA" w:rsidRPr="00EC10D6">
        <w:rPr>
          <w:rFonts w:ascii="Sakkal Majalla" w:hAnsi="Sakkal Majalla" w:cs="Sakkal Majalla"/>
          <w:color w:val="000000" w:themeColor="text1"/>
          <w:sz w:val="28"/>
          <w:szCs w:val="28"/>
          <w:rtl/>
        </w:rPr>
        <w:t>إلى أي مدى يؤثر تمكين المرأة القيادية بأبعاده (التمكين الإداري، التمكين المهني، التمكين المعرفي، وتمكين صنع القرار) على الابتكار الإداري في منظمات الأعمال السعودية (المؤسسات المتوسطة والكبيرة)؟</w:t>
      </w:r>
      <w:r w:rsidR="000125CD" w:rsidRPr="00EC10D6">
        <w:rPr>
          <w:rFonts w:ascii="Sakkal Majalla" w:hAnsi="Sakkal Majalla" w:cs="Sakkal Majalla"/>
          <w:color w:val="000000" w:themeColor="text1"/>
          <w:sz w:val="28"/>
          <w:szCs w:val="28"/>
          <w:rtl/>
        </w:rPr>
        <w:t>،</w:t>
      </w:r>
      <w:r w:rsidR="00C9690C" w:rsidRPr="00EC10D6">
        <w:rPr>
          <w:rFonts w:ascii="Sakkal Majalla" w:hAnsi="Sakkal Majalla" w:cs="Sakkal Majalla"/>
          <w:color w:val="000000" w:themeColor="text1"/>
          <w:sz w:val="28"/>
          <w:szCs w:val="28"/>
          <w:rtl/>
        </w:rPr>
        <w:t xml:space="preserve"> </w:t>
      </w:r>
      <w:r w:rsidR="009B37BE" w:rsidRPr="00EC10D6">
        <w:rPr>
          <w:rFonts w:ascii="Sakkal Majalla" w:hAnsi="Sakkal Majalla" w:cs="Sakkal Majalla"/>
          <w:color w:val="000000" w:themeColor="text1"/>
          <w:sz w:val="28"/>
          <w:szCs w:val="28"/>
          <w:rtl/>
        </w:rPr>
        <w:t xml:space="preserve">وتتفرع منه عدة أسئلة فرعية </w:t>
      </w:r>
      <w:r w:rsidR="00C9690C" w:rsidRPr="00EC10D6">
        <w:rPr>
          <w:rFonts w:ascii="Sakkal Majalla" w:hAnsi="Sakkal Majalla" w:cs="Sakkal Majalla"/>
          <w:color w:val="000000" w:themeColor="text1"/>
          <w:sz w:val="28"/>
          <w:szCs w:val="28"/>
          <w:rtl/>
        </w:rPr>
        <w:t>كالتالي</w:t>
      </w:r>
      <w:r w:rsidR="009B37BE" w:rsidRPr="00EC10D6">
        <w:rPr>
          <w:rFonts w:ascii="Sakkal Majalla" w:hAnsi="Sakkal Majalla" w:cs="Sakkal Majalla"/>
          <w:color w:val="000000" w:themeColor="text1"/>
          <w:sz w:val="28"/>
          <w:szCs w:val="28"/>
          <w:rtl/>
        </w:rPr>
        <w:t>:</w:t>
      </w:r>
      <w:bookmarkEnd w:id="13"/>
      <w:r w:rsidR="009B37BE" w:rsidRPr="00EC10D6">
        <w:rPr>
          <w:rFonts w:ascii="Sakkal Majalla" w:hAnsi="Sakkal Majalla" w:cs="Sakkal Majalla"/>
          <w:color w:val="000000" w:themeColor="text1"/>
          <w:sz w:val="28"/>
          <w:szCs w:val="28"/>
          <w:rtl/>
        </w:rPr>
        <w:t xml:space="preserve"> </w:t>
      </w:r>
    </w:p>
    <w:p w14:paraId="14B43FD3" w14:textId="77777777" w:rsidR="000D65EA" w:rsidRPr="00EC10D6" w:rsidRDefault="000D65EA"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ما أثر التمكين الإداري للمرأة القيادية على مستوى الابتكار الإداري في منظمات الأعمال السعودية؟</w:t>
      </w:r>
    </w:p>
    <w:p w14:paraId="6739F84D" w14:textId="77777777" w:rsidR="000D65EA" w:rsidRPr="00EC10D6" w:rsidRDefault="000D65EA"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ما دور التمكين المهني للقيادات النسائية في تطوير ممارسات الابتكار الإداري داخل المؤسسات المتوسطة والكبيرة؟</w:t>
      </w:r>
    </w:p>
    <w:p w14:paraId="732782CA" w14:textId="77777777" w:rsidR="000D65EA" w:rsidRPr="00EC10D6" w:rsidRDefault="000D65EA"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كيف يؤثر التمكين المعرفي للمرأة القيادية في جودة القرارات الابتكارية داخل منظمات الأعمال؟</w:t>
      </w:r>
    </w:p>
    <w:p w14:paraId="79F0059C" w14:textId="77777777" w:rsidR="000D65EA" w:rsidRPr="00EC10D6" w:rsidRDefault="000D65EA"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ما أثر تمكين المرأة في عمليات صنع القرار على تعزيز ثقافة الابتكار الإداري في المؤسسات السعودية؟</w:t>
      </w:r>
    </w:p>
    <w:p w14:paraId="497452F9" w14:textId="77777777" w:rsidR="000D65EA" w:rsidRPr="00EC10D6" w:rsidRDefault="000D65EA"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هل توجد فروق ذات دلالة في مستوى الابتكار الإداري تُعزى إلى اختلاف درجة تمكين المرأة القيادية في المؤسسات المتوسطة والكبيرة؟</w:t>
      </w:r>
    </w:p>
    <w:p w14:paraId="3CDE7E1E" w14:textId="64718A37" w:rsidR="009B342E" w:rsidRPr="00EC10D6" w:rsidRDefault="009B342E" w:rsidP="009B342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169790499"/>
      <w:r w:rsidRPr="00EC10D6">
        <w:rPr>
          <w:rFonts w:ascii="Sakkal Majalla" w:eastAsia="Times New Roman" w:hAnsi="Sakkal Majalla" w:cs="Sakkal Majalla"/>
          <w:b/>
          <w:bCs/>
          <w:color w:val="000000" w:themeColor="text1"/>
          <w:kern w:val="0"/>
          <w:sz w:val="36"/>
          <w:szCs w:val="36"/>
          <w:rtl/>
          <w14:ligatures w14:val="none"/>
        </w:rPr>
        <w:t xml:space="preserve">  </w:t>
      </w:r>
      <w:bookmarkStart w:id="15" w:name="_Toc214586325"/>
      <w:r w:rsidRPr="00EC10D6">
        <w:rPr>
          <w:rFonts w:ascii="Sakkal Majalla" w:eastAsia="Times New Roman" w:hAnsi="Sakkal Majalla" w:cs="Sakkal Majalla"/>
          <w:b/>
          <w:bCs/>
          <w:color w:val="000000" w:themeColor="text1"/>
          <w:kern w:val="0"/>
          <w:sz w:val="36"/>
          <w:szCs w:val="36"/>
          <w:rtl/>
          <w14:ligatures w14:val="none"/>
        </w:rPr>
        <w:t>5.1  فروض الدراسة:</w:t>
      </w:r>
      <w:bookmarkEnd w:id="15"/>
    </w:p>
    <w:p w14:paraId="4FD8ACC2" w14:textId="77777777" w:rsidR="00681671" w:rsidRPr="00EC10D6" w:rsidRDefault="00681671" w:rsidP="009B342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EC10D6">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EC10D6">
        <w:rPr>
          <w:rFonts w:ascii="Sakkal Majalla" w:eastAsia="Times New Roman" w:hAnsi="Sakkal Majalla" w:cs="Sakkal Majalla"/>
          <w:color w:val="000000" w:themeColor="text1"/>
          <w:kern w:val="0"/>
          <w:sz w:val="28"/>
          <w:szCs w:val="28"/>
          <w:rtl/>
          <w:lang w:bidi="ar-JO"/>
          <w14:ligatures w14:val="none"/>
        </w:rPr>
        <w:t xml:space="preserve"> </w:t>
      </w:r>
      <w:r w:rsidRPr="00EC10D6">
        <w:rPr>
          <w:rFonts w:ascii="Sakkal Majalla" w:eastAsia="Times New Roman" w:hAnsi="Sakkal Majalla" w:cs="Sakkal Majalla"/>
          <w:color w:val="000000" w:themeColor="text1"/>
          <w:kern w:val="0"/>
          <w:sz w:val="28"/>
          <w:szCs w:val="28"/>
          <w:rtl/>
          <w14:ligatures w14:val="none"/>
        </w:rPr>
        <w:t>الفرضيات التالية:</w:t>
      </w:r>
    </w:p>
    <w:p w14:paraId="06A5EE5D" w14:textId="77777777" w:rsidR="00AB1A84" w:rsidRPr="00EC10D6" w:rsidRDefault="00681671" w:rsidP="009B342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EC10D6">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EC10D6">
        <w:rPr>
          <w:rFonts w:ascii="Sakkal Majalla" w:eastAsia="Times New Roman" w:hAnsi="Sakkal Majalla" w:cs="Sakkal Majalla"/>
          <w:b/>
          <w:bCs/>
          <w:color w:val="000000" w:themeColor="text1"/>
          <w:kern w:val="0"/>
          <w:sz w:val="28"/>
          <w:szCs w:val="28"/>
          <w:rtl/>
          <w:lang w:bidi="ar-JO"/>
          <w14:ligatures w14:val="none"/>
        </w:rPr>
        <w:t>الأول</w:t>
      </w:r>
      <w:r w:rsidR="00AB1A84" w:rsidRPr="00EC10D6">
        <w:rPr>
          <w:rFonts w:ascii="Sakkal Majalla" w:hAnsi="Sakkal Majalla" w:cs="Sakkal Majalla"/>
          <w:color w:val="000000" w:themeColor="text1"/>
          <w:sz w:val="28"/>
          <w:szCs w:val="28"/>
          <w:rtl/>
        </w:rPr>
        <w:t xml:space="preserve"> </w:t>
      </w:r>
      <w:r w:rsidR="00AB1A84" w:rsidRPr="00EC10D6">
        <w:rPr>
          <w:rFonts w:ascii="Sakkal Majalla" w:eastAsia="Times New Roman" w:hAnsi="Sakkal Majalla" w:cs="Sakkal Majalla"/>
          <w:color w:val="000000" w:themeColor="text1"/>
          <w:kern w:val="0"/>
          <w:sz w:val="28"/>
          <w:szCs w:val="28"/>
          <w:rtl/>
          <w:lang w:bidi="ar-JO"/>
          <w14:ligatures w14:val="none"/>
        </w:rPr>
        <w:t>لا يوجد أثر ذو دلالة إحصائية عند مستوى دلالة (</w:t>
      </w:r>
      <w:r w:rsidR="00AB1A84" w:rsidRPr="00EC10D6">
        <w:rPr>
          <w:rFonts w:ascii="Cambria" w:eastAsia="Times New Roman" w:hAnsi="Cambria" w:cs="Cambria"/>
          <w:color w:val="000000" w:themeColor="text1"/>
          <w:kern w:val="0"/>
          <w:sz w:val="28"/>
          <w:szCs w:val="28"/>
          <w:lang w:bidi="ar-JO"/>
          <w14:ligatures w14:val="none"/>
        </w:rPr>
        <w:t>α</w:t>
      </w:r>
      <w:r w:rsidR="00AB1A84" w:rsidRPr="00EC10D6">
        <w:rPr>
          <w:rFonts w:ascii="Sakkal Majalla" w:eastAsia="Times New Roman" w:hAnsi="Sakkal Majalla" w:cs="Sakkal Majalla"/>
          <w:color w:val="000000" w:themeColor="text1"/>
          <w:kern w:val="0"/>
          <w:sz w:val="28"/>
          <w:szCs w:val="28"/>
          <w:lang w:bidi="ar-JO"/>
          <w14:ligatures w14:val="none"/>
        </w:rPr>
        <w:t xml:space="preserve"> ≤ 0.05</w:t>
      </w:r>
      <w:r w:rsidR="00AB1A84" w:rsidRPr="00EC10D6">
        <w:rPr>
          <w:rFonts w:ascii="Sakkal Majalla" w:eastAsia="Times New Roman" w:hAnsi="Sakkal Majalla" w:cs="Sakkal Majalla"/>
          <w:color w:val="000000" w:themeColor="text1"/>
          <w:kern w:val="0"/>
          <w:sz w:val="28"/>
          <w:szCs w:val="28"/>
          <w:rtl/>
          <w:lang w:bidi="ar-JO"/>
          <w14:ligatures w14:val="none"/>
        </w:rPr>
        <w:t>) لتمكين المرأة القيادية بأبعاده (التمكين الإداري، التمكين المهني، التمكين المعرفي، وتمكين صنع القرار) على الابتكار الإداري في منظمات الأعمال السعودية (المؤسسات المتوسطة والكبيرة).</w:t>
      </w:r>
    </w:p>
    <w:p w14:paraId="2FC70DF8" w14:textId="63F344DE" w:rsidR="00681671" w:rsidRPr="00EC10D6" w:rsidRDefault="00681671" w:rsidP="009B342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EC10D6">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EC10D6">
        <w:rPr>
          <w:rFonts w:ascii="Sakkal Majalla" w:eastAsia="Times New Roman" w:hAnsi="Sakkal Majalla" w:cs="Sakkal Majalla"/>
          <w:b/>
          <w:bCs/>
          <w:color w:val="000000" w:themeColor="text1"/>
          <w:kern w:val="0"/>
          <w:sz w:val="28"/>
          <w:szCs w:val="28"/>
          <w:rtl/>
          <w14:ligatures w14:val="none"/>
        </w:rPr>
        <w:t>أربع</w:t>
      </w:r>
      <w:r w:rsidRPr="00EC10D6">
        <w:rPr>
          <w:rFonts w:ascii="Sakkal Majalla" w:eastAsia="Times New Roman" w:hAnsi="Sakkal Majalla" w:cs="Sakkal Majalla"/>
          <w:b/>
          <w:bCs/>
          <w:color w:val="000000" w:themeColor="text1"/>
          <w:kern w:val="0"/>
          <w:sz w:val="28"/>
          <w:szCs w:val="28"/>
          <w:rtl/>
          <w14:ligatures w14:val="none"/>
        </w:rPr>
        <w:t xml:space="preserve"> التالية:</w:t>
      </w:r>
    </w:p>
    <w:p w14:paraId="1031F6EF" w14:textId="77777777" w:rsidR="009B0213" w:rsidRPr="00EC10D6" w:rsidRDefault="009B0213"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لا يوجد أثر ذو دلالة إحصائية عند مستوى دلالة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للتمكين الإداري للمرأة القيادية على الابتكار الإداري في منظمات الأعمال السعودية.</w:t>
      </w:r>
    </w:p>
    <w:p w14:paraId="568F6E75" w14:textId="77777777" w:rsidR="009B0213" w:rsidRPr="00EC10D6" w:rsidRDefault="009B0213"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لا يوجد أثر ذو دلالة إحصائية عند مستوى دلالة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للتمكين المهني للقيادات النسائية على الابتكار الإداري داخل المؤسسات المتوسطة والكبيرة.</w:t>
      </w:r>
    </w:p>
    <w:p w14:paraId="6709BC8A" w14:textId="77777777" w:rsidR="009B0213" w:rsidRPr="00EC10D6" w:rsidRDefault="009B0213"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لا يوجد أثر ذو دلالة إحصائية عند مستوى دلالة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للتمكين المعرفي للمرأة القيادية على مستوى الابتكار الإداري في المؤسسات السعودية.</w:t>
      </w:r>
    </w:p>
    <w:p w14:paraId="4F8F32F1" w14:textId="77777777" w:rsidR="009B0213" w:rsidRPr="00EC10D6" w:rsidRDefault="009B0213"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لا يوجد أثر ذو دلالة إحصائية عند مستوى دلالة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لتمكين المرأة في عمليات صنع القرار على الابتكار الإداري داخل منظمات الأعمال السعودية.</w:t>
      </w:r>
    </w:p>
    <w:p w14:paraId="5E7A4755" w14:textId="3DCB0C4B" w:rsidR="00DE50C4" w:rsidRPr="00EC10D6" w:rsidRDefault="009B0213" w:rsidP="009B342E">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لا توجد فروق ذات دلالة إحصائية عند مستوى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في الابتكار الإداري تُعزى لاختلاف درجة تمكين المرأة القيادية في المؤسسات المتوسطة والكبيرة.</w:t>
      </w:r>
    </w:p>
    <w:p w14:paraId="4150F21A" w14:textId="4E4EBC68"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586326"/>
      <w:bookmarkStart w:id="17" w:name="_Toc170243312"/>
      <w:bookmarkEnd w:id="14"/>
      <w:r w:rsidRPr="00EC10D6">
        <w:rPr>
          <w:rFonts w:ascii="Sakkal Majalla" w:hAnsi="Sakkal Majalla" w:cs="Sakkal Majalla"/>
          <w:b/>
          <w:bCs/>
          <w:color w:val="000000" w:themeColor="text1"/>
          <w:sz w:val="36"/>
          <w:szCs w:val="36"/>
          <w:rtl/>
        </w:rPr>
        <w:t>6.1 الدراسات السابقة:</w:t>
      </w:r>
      <w:bookmarkEnd w:id="16"/>
    </w:p>
    <w:p w14:paraId="5765F09A" w14:textId="4E40019E" w:rsidR="00882D53" w:rsidRPr="00EC10D6" w:rsidRDefault="007121B5"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دراسة  ( خالد ، 2023 )</w:t>
      </w:r>
    </w:p>
    <w:p w14:paraId="1436324F" w14:textId="6B863629" w:rsidR="0053210F" w:rsidRPr="00EC10D6" w:rsidRDefault="0053210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الدراسة إلى التعرّف على أثر تمكين المرأة ذات الإعاقة بأبعاده (التمكين الإداري، التمكين المهني، التمكين الاجتماعي، وتمكين صنع القرار) على الوصول إلى المناصب القيادية في مؤسسات القطاعين العام والخاص، مع الوقوف على أبرز التحديات والعوامل المؤثرة التي قد تعيق تحقيق هذا التمكين في بيئة العمل</w:t>
      </w:r>
      <w:r w:rsidR="00294670"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tl/>
        </w:rPr>
        <w:t xml:space="preserve"> واعتمدت الدراسة على المنهج الوصفي التحليلي لقدرته على وصف الواقع وتحليل العلاقات بين المتغيرات، كما استخدمت أداة المقابلة المقننة لجمع البيانات من عينة عمدية بلغت 20 مشاركة من النساء العاملات ذوات الإعاقة في عدد من المؤسسات السعودية.</w:t>
      </w:r>
    </w:p>
    <w:p w14:paraId="478C2D09" w14:textId="370D987B" w:rsidR="0053210F" w:rsidRPr="00EC10D6" w:rsidRDefault="0053210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وقد أظهرت نتائج الدراسة وجود أثر ذو دلالة إحصائية سلبية لبعض معوّقات التمكين مثل: عرقلة الإجراءات، وقلة فرص المشاركة الفعلية في اتخاذ القرار، وعدم إدراجهن في الخطط والاستراتيجيات، مما يحدّ من قدرة المرأة ذات الإعاقة على الوصول للمناصب القيادية</w:t>
      </w:r>
      <w:r w:rsidR="00294670" w:rsidRPr="00EC10D6">
        <w:rPr>
          <w:rFonts w:ascii="Sakkal Majalla" w:hAnsi="Sakkal Majalla" w:cs="Sakkal Majalla"/>
          <w:color w:val="000000" w:themeColor="text1"/>
          <w:sz w:val="28"/>
          <w:szCs w:val="28"/>
          <w:rtl/>
        </w:rPr>
        <w:t>، و</w:t>
      </w:r>
      <w:r w:rsidRPr="00EC10D6">
        <w:rPr>
          <w:rFonts w:ascii="Sakkal Majalla" w:hAnsi="Sakkal Majalla" w:cs="Sakkal Majalla"/>
          <w:color w:val="000000" w:themeColor="text1"/>
          <w:sz w:val="28"/>
          <w:szCs w:val="28"/>
          <w:rtl/>
        </w:rPr>
        <w:t>بينت النتائج وجود أثر ذو دلالة إحصائية إيجابية لأبعاد التمكين الإداري والمهني على تحسين فرص الوصول للمناصب الإشرافية، وذلك عند تهيئة بيئة عمل داعمة وإتاحة الفرص التدريبية المناسبة. وتشير النتائج كذلك إلى أن نسبة توظيف النساء ذوات الإعاقة في القطاع الحكومي أعلى منها في القطاع الخاص، وأن مجالات العمل المتاحة لهن تتركز غالباً في الوظائف الإدارية.</w:t>
      </w:r>
    </w:p>
    <w:p w14:paraId="119FEB9E" w14:textId="77777777" w:rsidR="0053210F" w:rsidRPr="00EC10D6" w:rsidRDefault="0053210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أوصت الدراسة بضرورة تعزيز سياسات التمكين المؤسسي للمرأة ذات الإعاقة، وإعادة النظر في الإجراءات التي تحد من مشاركتها القيادية، إضافة إلى تصميم برامج تدريبية وتطويرية متخصصة تلائم احتياجاتهن المهنية، والعمل على تهيئة بيئة عمل شاملة تعزّز دمج المرأة ذات الإعاقة وتمكنها من شغل المناصب القيادية في مختلف القطاعات.</w:t>
      </w:r>
    </w:p>
    <w:p w14:paraId="05181839" w14:textId="061ED7B5" w:rsidR="001E7B16" w:rsidRPr="00EC10D6" w:rsidRDefault="001E7B16"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00430178" w:rsidRPr="00EC10D6">
        <w:rPr>
          <w:rFonts w:ascii="Sakkal Majalla" w:hAnsi="Sakkal Majalla" w:cs="Sakkal Majalla"/>
          <w:b/>
          <w:bCs/>
          <w:color w:val="000000" w:themeColor="text1"/>
          <w:sz w:val="28"/>
          <w:szCs w:val="28"/>
          <w:rtl/>
        </w:rPr>
        <w:t>الفايز،2024 )</w:t>
      </w:r>
    </w:p>
    <w:p w14:paraId="1DCC9EB2" w14:textId="77777777" w:rsidR="008B31FA" w:rsidRPr="00EC10D6" w:rsidRDefault="008B31FA"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الدراسة إلى التعرّف على أثر التحول الرقمي بأبعاده (التمكين التكنولوجي، المهارات الرقمية، البنية الرقمية الداعمة، وتطبيقات الأعمال الإلكترونية) على دعم وتمكين المرأة القيادية في المجتمع السعودي، وذلك في ضوء التحولات السريعة التي يشهدها العصر الرقمي. واعتمدت الدراسة على المنهج الوصفي التحليلي لقدرته على تحليل الظاهرة وتفسير العلاقات المرتبطة بها، كما ركّز البحث على ثلاثة محاور رئيسة شملت: أهمية التمكين التكنولوجي للمرأة، والتحديات والمعوقات التي يفرضها التحول الرقمي على أدوارها القيادية، ثم الفرص والحلول المقترحة لدعم مشاركتها في مجالات التجارة الإلكترونية، والخدمات الرقمية، والتسويق الإلكتروني.</w:t>
      </w:r>
    </w:p>
    <w:p w14:paraId="28642AF6" w14:textId="317AFD51" w:rsidR="008B31FA" w:rsidRPr="00EC10D6" w:rsidRDefault="008B31FA"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وقد تم تطبيق الدراسة على عينة عمدية مكوّنة من (30) مشاركة من القيادات النسائية والعاملات في مجالات رقمية داخل عدد من المؤسسات السعودية، بهدف قياس مدى استفادتهن من أدوات التحول الرقمي في تعزيز دورهن القيادي. وأظهرت النتائج وجود أثر ذو دلالة إحصائية إيجابية لأبعاد التحول الرقمي على دعم المرأة القيادية، حيث بيّنت أن التحول الرقمي ساهم في زيادة تمثيل المرأة في قطاعات العمل والمالية وريادة الأعمال، كما أظهرت النتائج أن النساء أقل عرضة للاستبدال بالروبوتات مقارنة بالرجال، مما يشير إلى أن مفاهيم التحول الرقمي تدعم القيادات النسائية في العديد من الوظائف الحديثة</w:t>
      </w:r>
      <w:r w:rsidR="00430178"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tl/>
        </w:rPr>
        <w:t>كما كشفت النتائج عن وجود بعض المعوّقات، مثل محدودية المهارات الرقمية لدى بعض النساء، والقصور في البرامج التدريبية المتخصصة، إلا أن أثرها الإحصائي جاء سلبياً ضعيفاً مقارنة بالأثر الإيجابي العام لأبعاد التحول الرقمي.</w:t>
      </w:r>
    </w:p>
    <w:p w14:paraId="141148D4" w14:textId="7AEB8FB5" w:rsidR="008B31FA" w:rsidRPr="00EC10D6" w:rsidRDefault="008B31FA"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أوصت الدراسة بضرورة تعزيز الكفاءة الرقمية للنساء من خلال برامج تعليمية متقدمة وتدريب متخصص، والاهتمام بدمج المرأة في التعليم العالي والبحث والتطوير، إضافة إلى تشجيع المواهب النسائية في ريادة الأعمال الرقمية عبر منصات إلكترونية متقدمة تتيح التدريب والتوجيه وتبادل الخبرات مع رائدات الأعمال المتمرسات</w:t>
      </w:r>
      <w:r w:rsidR="00552B0E"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tl/>
        </w:rPr>
        <w:t>كما أوصت بضرورة توفير بيئة رقمية داعمة ترفع من قدرة المرأة على ممارسة دورها القيادي في مختلف القطاعات.</w:t>
      </w:r>
    </w:p>
    <w:p w14:paraId="4D42DC7C" w14:textId="51143AA1" w:rsidR="001E7B16" w:rsidRPr="00EC10D6" w:rsidRDefault="001E7B16"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 xml:space="preserve">دراسة </w:t>
      </w:r>
      <w:r w:rsidR="00402123" w:rsidRPr="00EC10D6">
        <w:rPr>
          <w:rFonts w:ascii="Sakkal Majalla" w:hAnsi="Sakkal Majalla" w:cs="Sakkal Majalla"/>
          <w:b/>
          <w:bCs/>
          <w:color w:val="000000" w:themeColor="text1"/>
          <w:sz w:val="28"/>
          <w:szCs w:val="28"/>
          <w:rtl/>
        </w:rPr>
        <w:t>(</w:t>
      </w:r>
      <w:r w:rsidR="00C05F98" w:rsidRPr="00EC10D6">
        <w:rPr>
          <w:rFonts w:ascii="Sakkal Majalla" w:hAnsi="Sakkal Majalla" w:cs="Sakkal Majalla"/>
          <w:b/>
          <w:bCs/>
          <w:color w:val="000000" w:themeColor="text1"/>
          <w:sz w:val="28"/>
          <w:szCs w:val="28"/>
          <w:rtl/>
        </w:rPr>
        <w:t xml:space="preserve">الشماسى واخرون </w:t>
      </w:r>
      <w:r w:rsidR="000C46EE" w:rsidRPr="00EC10D6">
        <w:rPr>
          <w:rFonts w:ascii="Sakkal Majalla" w:hAnsi="Sakkal Majalla" w:cs="Sakkal Majalla"/>
          <w:b/>
          <w:bCs/>
          <w:color w:val="000000" w:themeColor="text1"/>
          <w:sz w:val="28"/>
          <w:szCs w:val="28"/>
          <w:rtl/>
        </w:rPr>
        <w:t>،</w:t>
      </w:r>
      <w:r w:rsidR="00402123" w:rsidRPr="00EC10D6">
        <w:rPr>
          <w:rFonts w:ascii="Sakkal Majalla" w:hAnsi="Sakkal Majalla" w:cs="Sakkal Majalla"/>
          <w:b/>
          <w:bCs/>
          <w:color w:val="000000" w:themeColor="text1"/>
          <w:sz w:val="28"/>
          <w:szCs w:val="28"/>
          <w:rtl/>
        </w:rPr>
        <w:t xml:space="preserve"> </w:t>
      </w:r>
      <w:r w:rsidR="00C05F98" w:rsidRPr="00EC10D6">
        <w:rPr>
          <w:rFonts w:ascii="Sakkal Majalla" w:hAnsi="Sakkal Majalla" w:cs="Sakkal Majalla"/>
          <w:b/>
          <w:bCs/>
          <w:color w:val="000000" w:themeColor="text1"/>
          <w:sz w:val="28"/>
          <w:szCs w:val="28"/>
          <w:rtl/>
        </w:rPr>
        <w:t>2024</w:t>
      </w:r>
      <w:r w:rsidR="00402123" w:rsidRPr="00EC10D6">
        <w:rPr>
          <w:rFonts w:ascii="Sakkal Majalla" w:hAnsi="Sakkal Majalla" w:cs="Sakkal Majalla"/>
          <w:b/>
          <w:bCs/>
          <w:color w:val="000000" w:themeColor="text1"/>
          <w:sz w:val="28"/>
          <w:szCs w:val="28"/>
          <w:rtl/>
        </w:rPr>
        <w:t>)</w:t>
      </w:r>
    </w:p>
    <w:p w14:paraId="745FD1BD" w14:textId="77777777" w:rsidR="00C05F98" w:rsidRPr="00EC10D6" w:rsidRDefault="00C05F9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الدراسة إلى التعرّف على أثر محددات الاعتقاد بالتمكين النفسي بأبعادها (المعنى، التأثير، الاستقلالية، الكفاءة الذاتية، ثقافة إدارة الخطأ) على السلوك الاستباقي للمرأة القيادية في الأجهزة الحكومية بمختلف القطاعات في مدينة الرياض، وذلك في إطار فهم أهمية الجاهزية النفسية ودورها في تعزيز الفاعلية القيادية لدى النساء في المستويات الإدارية العليا والوسطى. واعتمدت الدراسة على المنهج الوصفي التحليلي في توصيف الظاهرة وتحليل العلاقات بين المتغيرات، كما استخدمت أداة الاستبانة لجمع البيانات من مجتمع الدراسة المكوّن من القيادات النسائية في المواقع القيادية الحكومية.</w:t>
      </w:r>
    </w:p>
    <w:p w14:paraId="243B91C2" w14:textId="77777777" w:rsidR="00C05F98" w:rsidRPr="00EC10D6" w:rsidRDefault="00C05F9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وقد تكونت العينة من 108 استبانات صالحة للتحليل تمثل القيادات النسائية في قطاعات حكومية متعددة، وذلك بهدف قياس أثر محددات الاعتقاد بالتمكين النفسي على السلوك الاستباقي، إضافة إلى الوقوف على دور المتغيرات الديموغرافية (المؤهل العلمي، سنوات الخبرة، العمر، الحالة الاجتماعية) في تفسير تباين استجابات أفراد العينة.</w:t>
      </w:r>
    </w:p>
    <w:p w14:paraId="4D16B6A4" w14:textId="77777777" w:rsidR="00C05F98" w:rsidRPr="00EC10D6" w:rsidRDefault="00C05F9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قوية لمحددات الاعتقاد بالتمكين النفسي على السلوك الاستباقي، حيث بيّنت النتائج أن الكفاءة الذاتية كانت البعد الأكثر تأثيراً على السلوك الاستباقي، تلتها ثقافة إدارة الخطأ، مما يعكس أهمية هذين البعدين في تعزيز المبادرة والابتكار لدى القيادات النسائية. كما كشفت النتائج عن تأثيرات متفاوتة للمتغيرات الديموغرافية في تشكيل مستويات الإدراك النفسي للتمكين والسلوك الاستباقي، إلا أن أثرها الإحصائي جاء محدوداً مقارنة بالأثر الرئيس للتمكين النفسي.</w:t>
      </w:r>
    </w:p>
    <w:p w14:paraId="52A9E6F0" w14:textId="77777777" w:rsidR="00C05F98" w:rsidRPr="00EC10D6" w:rsidRDefault="00C05F9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هذه النتائج، أوصت الدراسة بضرورة تمكين القيادات النسائية تنظيمياً ونفسياً من خلال تذليل الصعوبات التي تواجههن، وبناء برامج تدريبية متخصصة لتعزيز الكفاءة الذاتية، وتفعيل أساليب فعّالة لمشاركة المعرفة، بما يسهم في رفع جاهزية القيادات النسائية نفسياً ومهارياً، ويعزز قدرتها على إحداث أثر إيجابي في مواقع القيادة داخل الأجهزة الحكومية.</w:t>
      </w:r>
    </w:p>
    <w:p w14:paraId="48FE11F7" w14:textId="685DFDE7" w:rsidR="001E7B16" w:rsidRPr="00EC10D6" w:rsidRDefault="001E7B16"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 xml:space="preserve">دراسة </w:t>
      </w:r>
      <w:r w:rsidR="00402123" w:rsidRPr="00EC10D6">
        <w:rPr>
          <w:rFonts w:ascii="Sakkal Majalla" w:hAnsi="Sakkal Majalla" w:cs="Sakkal Majalla"/>
          <w:b/>
          <w:bCs/>
          <w:color w:val="000000" w:themeColor="text1"/>
          <w:sz w:val="28"/>
          <w:szCs w:val="28"/>
          <w:rtl/>
        </w:rPr>
        <w:t>(</w:t>
      </w:r>
      <w:r w:rsidR="000C46EE" w:rsidRPr="00EC10D6">
        <w:rPr>
          <w:rFonts w:ascii="Sakkal Majalla" w:hAnsi="Sakkal Majalla" w:cs="Sakkal Majalla"/>
          <w:b/>
          <w:bCs/>
          <w:color w:val="000000" w:themeColor="text1"/>
          <w:sz w:val="28"/>
          <w:szCs w:val="28"/>
          <w:rtl/>
        </w:rPr>
        <w:t>ا</w:t>
      </w:r>
      <w:r w:rsidR="00A61A6B" w:rsidRPr="00EC10D6">
        <w:rPr>
          <w:rFonts w:ascii="Sakkal Majalla" w:hAnsi="Sakkal Majalla" w:cs="Sakkal Majalla"/>
          <w:b/>
          <w:bCs/>
          <w:color w:val="000000" w:themeColor="text1"/>
          <w:sz w:val="28"/>
          <w:szCs w:val="28"/>
          <w:rtl/>
        </w:rPr>
        <w:t>لعنزى والعسكر</w:t>
      </w:r>
      <w:r w:rsidR="00402123" w:rsidRPr="00EC10D6">
        <w:rPr>
          <w:rFonts w:ascii="Sakkal Majalla" w:hAnsi="Sakkal Majalla" w:cs="Sakkal Majalla"/>
          <w:b/>
          <w:bCs/>
          <w:color w:val="000000" w:themeColor="text1"/>
          <w:sz w:val="28"/>
          <w:szCs w:val="28"/>
          <w:rtl/>
        </w:rPr>
        <w:t xml:space="preserve">، </w:t>
      </w:r>
      <w:r w:rsidR="00A61A6B" w:rsidRPr="00EC10D6">
        <w:rPr>
          <w:rFonts w:ascii="Sakkal Majalla" w:hAnsi="Sakkal Majalla" w:cs="Sakkal Majalla"/>
          <w:b/>
          <w:bCs/>
          <w:color w:val="000000" w:themeColor="text1"/>
          <w:sz w:val="28"/>
          <w:szCs w:val="28"/>
          <w:rtl/>
        </w:rPr>
        <w:t>2025 )</w:t>
      </w:r>
    </w:p>
    <w:p w14:paraId="1F36E29E" w14:textId="51A0DAE4" w:rsidR="00A61A6B" w:rsidRPr="00EC10D6" w:rsidRDefault="00A61A6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الدراسة إلى التعرّف على أثر نظرية السقف الزجاجي بأبعادها (التحديات المؤسسية، التحديات الاجتماعية، محدودية الدعم التشريعي والتنظيمي، ممارسات التمييز غير المعلَن، وضعف تمثيل المرأة في مراكز صنع القرار) على تمكين المرأة السعودية من الوصول إلى المناصب القيادية العليا في إدارات التعليم بمختلف مناطق المملكة. كما سعت الدراسة إلى تحديد الأسباب الكامنة وراء استمرار تأثير السقف الزجاجي في السياق السعودي، والكشف عن مظاهر هذا التأثير، إضافة إلى استعراض السياسات الممكنة لتجاوز الحواجز التي تعيق تمكين المرأة السعودية من المناصب القيادية العليا.</w:t>
      </w:r>
    </w:p>
    <w:p w14:paraId="17A092EE" w14:textId="77777777" w:rsidR="00A61A6B" w:rsidRPr="00EC10D6" w:rsidRDefault="00A61A6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واعتمدت على أدوات المقابلة الفردية ومقابلات مجموعات التركيز، كما تم اختيار العينة باستخدام عينة كرة الثلج المتدحرجة (</w:t>
      </w:r>
      <w:r w:rsidRPr="00EC10D6">
        <w:rPr>
          <w:rFonts w:ascii="Sakkal Majalla" w:hAnsi="Sakkal Majalla" w:cs="Sakkal Majalla"/>
          <w:color w:val="000000" w:themeColor="text1"/>
          <w:sz w:val="28"/>
          <w:szCs w:val="28"/>
        </w:rPr>
        <w:t>Snowball Sample</w:t>
      </w:r>
      <w:r w:rsidRPr="00EC10D6">
        <w:rPr>
          <w:rFonts w:ascii="Sakkal Majalla" w:hAnsi="Sakkal Majalla" w:cs="Sakkal Majalla"/>
          <w:color w:val="000000" w:themeColor="text1"/>
          <w:sz w:val="28"/>
          <w:szCs w:val="28"/>
          <w:rtl/>
        </w:rPr>
        <w:t>) من القيادات النسائية في إدارات التعليم. وتكوَّنت العينة من (33) مشاركة من القيادات النسائية في الإدارات التعليمية بمناطق المملكة المختلفة.</w:t>
      </w:r>
    </w:p>
    <w:p w14:paraId="30F72DA7" w14:textId="77777777" w:rsidR="00A61A6B" w:rsidRPr="00EC10D6" w:rsidRDefault="00A61A6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سلبية لأبعاد نظرية السقف الزجاجي على تمكين المرأة السعودية من المناصب القيادية العليا، حيث جاءت التحديات المؤسسية والاجتماعية في المرتبة الأولى من بين العوائق التي تواجه المرأة. كما أكدت النتائج أن ضعف الدعم التشريعي والتنظيمي الذي يُلزم صناع القرار بتمكين المرأة من المناصب العليا يمثّل أحد أبرز أسباب استمرار تأثير السقف الزجاجي. وكشفت النتائج أن مظاهر السقف الزجاجي تعكس حالة من عدم تكافؤ الفرص في توظيف القدرات البشرية داخل المؤسسات التعليمية، الأمر الذي يحدّ من قدرة النساء على الوصول إلى المستويات القيادية العليا. كما أظهرت النتائج أن الواقع لا يزال يشهد ضعفا شديداً في تمثيل المرأة؛ حيث يوجد امرأة واحدة فقط تشغل منصب مدير عام التعليم من بين 14 منطقة و33 إدارة تعليمية.</w:t>
      </w:r>
    </w:p>
    <w:p w14:paraId="09B9F9B4" w14:textId="77777777" w:rsidR="00A61A6B" w:rsidRPr="00EC10D6" w:rsidRDefault="00A61A6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أوصت الدراسة بضرورة تعزيز الإطار التشريعي والتنظيمي الداعم للمرأة، وفرض آليات واضحة لضمان تمكين القيادات النسائية، إلى جانب تطوير برامج تدريب قيادية تستهدف بناء القدرات، وتعزيز المهارات الإدارية والاستراتيجية للمرأة. كما أوصت بتهيئة بيئة عمل عادلة تقوم على تكافؤ الفرص، ومواجهة ممارسات التمييز الضمني، وتفعيل سياسات الشفافية في التعيين والترقيات، بما يسهم في تقليص تأثير السقف الزجاجي ورفع مشاركة المرأة السعودية في المناصب القيادية العليا.</w:t>
      </w:r>
    </w:p>
    <w:p w14:paraId="74F68A9F" w14:textId="084D5E1B" w:rsidR="001E7B16" w:rsidRPr="00EC10D6" w:rsidRDefault="001E7B16"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 xml:space="preserve">دراسة </w:t>
      </w:r>
      <w:r w:rsidR="00402123" w:rsidRPr="00EC10D6">
        <w:rPr>
          <w:rFonts w:ascii="Sakkal Majalla" w:hAnsi="Sakkal Majalla" w:cs="Sakkal Majalla"/>
          <w:b/>
          <w:bCs/>
          <w:color w:val="000000" w:themeColor="text1"/>
          <w:sz w:val="28"/>
          <w:szCs w:val="28"/>
          <w:rtl/>
        </w:rPr>
        <w:t>(</w:t>
      </w:r>
      <w:r w:rsidR="0073699F" w:rsidRPr="00EC10D6">
        <w:rPr>
          <w:rFonts w:ascii="Sakkal Majalla" w:hAnsi="Sakkal Majalla" w:cs="Sakkal Majalla"/>
          <w:b/>
          <w:bCs/>
          <w:color w:val="000000" w:themeColor="text1"/>
          <w:sz w:val="28"/>
          <w:szCs w:val="28"/>
          <w:rtl/>
        </w:rPr>
        <w:t xml:space="preserve">عبد على والبدرى </w:t>
      </w:r>
      <w:r w:rsidR="00402123" w:rsidRPr="00EC10D6">
        <w:rPr>
          <w:rFonts w:ascii="Sakkal Majalla" w:hAnsi="Sakkal Majalla" w:cs="Sakkal Majalla"/>
          <w:b/>
          <w:bCs/>
          <w:color w:val="000000" w:themeColor="text1"/>
          <w:sz w:val="28"/>
          <w:szCs w:val="28"/>
          <w:rtl/>
        </w:rPr>
        <w:t xml:space="preserve">، </w:t>
      </w:r>
      <w:r w:rsidR="0073699F" w:rsidRPr="00EC10D6">
        <w:rPr>
          <w:rFonts w:ascii="Sakkal Majalla" w:hAnsi="Sakkal Majalla" w:cs="Sakkal Majalla"/>
          <w:b/>
          <w:bCs/>
          <w:color w:val="000000" w:themeColor="text1"/>
          <w:sz w:val="28"/>
          <w:szCs w:val="28"/>
          <w:rtl/>
        </w:rPr>
        <w:t>2023</w:t>
      </w:r>
      <w:r w:rsidR="00402123" w:rsidRPr="00EC10D6">
        <w:rPr>
          <w:rFonts w:ascii="Sakkal Majalla" w:hAnsi="Sakkal Majalla" w:cs="Sakkal Majalla"/>
          <w:b/>
          <w:bCs/>
          <w:color w:val="000000" w:themeColor="text1"/>
          <w:sz w:val="28"/>
          <w:szCs w:val="28"/>
          <w:rtl/>
        </w:rPr>
        <w:t>)</w:t>
      </w:r>
      <w:r w:rsidRPr="00EC10D6">
        <w:rPr>
          <w:rFonts w:ascii="Sakkal Majalla" w:hAnsi="Sakkal Majalla" w:cs="Sakkal Majalla"/>
          <w:b/>
          <w:bCs/>
          <w:color w:val="000000" w:themeColor="text1"/>
          <w:sz w:val="28"/>
          <w:szCs w:val="28"/>
          <w:rtl/>
        </w:rPr>
        <w:t xml:space="preserve"> </w:t>
      </w:r>
    </w:p>
    <w:p w14:paraId="5507AE93" w14:textId="77777777" w:rsidR="0073699F" w:rsidRPr="00EC10D6" w:rsidRDefault="0073699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الدراسة إلى التعرّف على أثر أنماط القيادة النسوية بأبعادها (القيادة التحويلية، القيادة التشاركية، القيادة الداعمة، والقيادة التوجيهية) على الرضا الوظيفي لدى العاملات والعاملين في المؤسسات الحكومية في الجمهورية العراقية، وذلك في إطار فهم طبيعة الأساليب القيادية التي تمارسها المرأة القيادية ومدى تأثيرها في تحقيق أهداف المؤسسة وزيادة رضا الموظفين. كما هدفت الدراسة إلى الكشف عن الفروق القيادية بين المرأة والرجل، وأهم الصفات القيادية التي ينبغي أن تتمتع بها المرأة في مواقع القيادة، إضافة إلى تحديد أثر التمكين الإداري والعادات الاجتماعية على مستوى رضا المرأة الوظيفي.</w:t>
      </w:r>
    </w:p>
    <w:p w14:paraId="674BD8AC" w14:textId="77777777" w:rsidR="0073699F" w:rsidRPr="00EC10D6" w:rsidRDefault="0073699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في توصيف الظاهرة وتحليل العلاقات بين المتغيرات، كما اعتمدت على أداة الاستبانة لجمع البيانات من عينة الدراسة. وتكوَّنت العينة من (120) مشاركاً ومشاركة من الموظفات والموظفين والعاملات في مستويات إدارية مختلفة داخل المؤسسات الحكومية في العراق.</w:t>
      </w:r>
    </w:p>
    <w:p w14:paraId="788F0FA9" w14:textId="77777777" w:rsidR="0073699F" w:rsidRPr="00EC10D6" w:rsidRDefault="0073699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لأنماط القيادة النسوية—وخاصة القيادة التحويلية والتشاركية—على مستوى الرضا الوظيفي للعاملين، إذ تبين أن اعتماد المرأة القيادية على الأساليب التحفيزية والتشاركية يرفع من معنويات الموظفين ويعزز التزامهم الوظيفي. كما كشفت النتائج عن وجود أثر ذو دلالة إحصائية سلبية لبعض العوامل الاجتماعية والثقافية مثل ضعف التمكين الإداري وهيمنة العادات والتقاليد، حيث انعكس ذلك على محدودية وصول المرأة للمراكز القيادية العليا وعلى مستوى رضاها الوظيفي. وأكدت النتائج أن الصفات الأكثر تأثيراً في تعزيز القيادة النسوية هي: القدرة على التواصل، اتخاذ القرار، المرونة القيادية، والعدالة في توزيع المهام.</w:t>
      </w:r>
    </w:p>
    <w:p w14:paraId="77AD0B3B" w14:textId="77777777" w:rsidR="0073699F" w:rsidRPr="00EC10D6" w:rsidRDefault="0073699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أوصت الدراسة بضرورة تعزيز التمكين الإداري للقيادات النسائية، وتطوير برامج تدريبية تستهدف تنمية المهارات القيادية التحويلية والتشاركية لدى النساء، إضافة إلى مراجعة السياسات الإدارية داخل المؤسسات الحكومية لضمان تكافؤ الفرص بين الرجل والمرأة. كما أوصت بتهيئة بيئة تنظيمية داعمة تقلل من تأثير العادات والتقاليد السلبية، وتعمل على رفع مستوى الرضا الوظيفي من خلال تعزيز العدالة التنظيمية والشفافية في الترقيات والمناصب العليا.</w:t>
      </w:r>
    </w:p>
    <w:p w14:paraId="396D6F03" w14:textId="49F43944" w:rsidR="00402123" w:rsidRPr="00EC10D6" w:rsidRDefault="00402123" w:rsidP="009B342E">
      <w:pPr>
        <w:pStyle w:val="a6"/>
        <w:numPr>
          <w:ilvl w:val="0"/>
          <w:numId w:val="26"/>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0071431A" w:rsidRPr="00EC10D6">
        <w:rPr>
          <w:rFonts w:ascii="Sakkal Majalla" w:hAnsi="Sakkal Majalla" w:cs="Sakkal Majalla"/>
          <w:b/>
          <w:bCs/>
          <w:color w:val="000000" w:themeColor="text1"/>
          <w:sz w:val="28"/>
          <w:szCs w:val="28"/>
          <w:rtl/>
        </w:rPr>
        <w:t xml:space="preserve">الطلحى </w:t>
      </w:r>
      <w:r w:rsidRPr="00EC10D6">
        <w:rPr>
          <w:rFonts w:ascii="Sakkal Majalla" w:hAnsi="Sakkal Majalla" w:cs="Sakkal Majalla"/>
          <w:b/>
          <w:bCs/>
          <w:color w:val="000000" w:themeColor="text1"/>
          <w:sz w:val="28"/>
          <w:szCs w:val="28"/>
          <w:rtl/>
        </w:rPr>
        <w:t>، 202</w:t>
      </w:r>
      <w:r w:rsidR="0071431A" w:rsidRPr="00EC10D6">
        <w:rPr>
          <w:rFonts w:ascii="Sakkal Majalla" w:hAnsi="Sakkal Majalla" w:cs="Sakkal Majalla"/>
          <w:b/>
          <w:bCs/>
          <w:color w:val="000000" w:themeColor="text1"/>
          <w:sz w:val="28"/>
          <w:szCs w:val="28"/>
          <w:rtl/>
        </w:rPr>
        <w:t>3</w:t>
      </w:r>
      <w:r w:rsidRPr="00EC10D6">
        <w:rPr>
          <w:rFonts w:ascii="Sakkal Majalla" w:hAnsi="Sakkal Majalla" w:cs="Sakkal Majalla"/>
          <w:b/>
          <w:bCs/>
          <w:color w:val="000000" w:themeColor="text1"/>
          <w:sz w:val="28"/>
          <w:szCs w:val="28"/>
          <w:rtl/>
        </w:rPr>
        <w:t>)</w:t>
      </w:r>
    </w:p>
    <w:p w14:paraId="0430986A" w14:textId="77777777" w:rsidR="00164155" w:rsidRPr="00EC10D6" w:rsidRDefault="0016415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القيادة النسائية بأبعادها (التمكين القيادي، الكفاءة الإدارية، الدعم المؤسسي، المهارات التنظيمية، والقدرات الاستراتيجية) على فاعلية القيادة في مؤسسات التعليم العالي في المملكة العربية السعودية، وذلك في ضوء التحولات الكبرى التي أحدثتها رؤية المملكة 2030 في تمكين المرأة وتوسيع مشاركتها القيادية في القطاعين العام والخاص. وركّزت الدراسة على فهم تصورات المشاركين حول دور المرأة السعودية في مواقع القيادة الجامعية، وأثر العوامل القيادية على تحسين الأداء وتحقيق الأهداف المؤسسية.</w:t>
      </w:r>
    </w:p>
    <w:p w14:paraId="4D7530E1" w14:textId="73A83625" w:rsidR="00164155" w:rsidRPr="00EC10D6" w:rsidRDefault="0016415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الكمي بالاعتماد على المسح الإلكتروني عبر الإنترنت كأداة رئيسة لجمع البيانات، كما استهدفت الدراسة المشاركين في مؤسسات التعليم العالي كوحدة للتحليل بناءً على آرائهم وتصوراتهم حول القيادة النسائية. وتكونت عينة الدراسة من (150) مشاركاً من أعضاء هيئة التدريس والموظفين الإداريين في عدد من الجامعات السعودية.</w:t>
      </w:r>
    </w:p>
    <w:p w14:paraId="23E112E3" w14:textId="77777777" w:rsidR="00164155" w:rsidRPr="00EC10D6" w:rsidRDefault="0016415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النتائج وجود أثر ذو دلالة إحصائية إيجابية لأبعاد القيادة النسائية على فاعلية القيادة في التعليم العالي، حيث كشفت نماذج التحليل الإحصائي أن خمسة عوامل رئيسة مرتبطة بأداء المرأة القيادية، وقد فسرت هذه العوامل أكثر من نصف التباين في نتائج القيادة النسائية. كما أكدت النتائج ترابط العلاقات بين المتغيرات المدروسة، وثباتها من خلال الاختبارات الإحصائية المستخدمة.</w:t>
      </w:r>
    </w:p>
    <w:p w14:paraId="4A4B7AC3" w14:textId="77777777" w:rsidR="00164155" w:rsidRPr="00EC10D6" w:rsidRDefault="0016415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تعزيز برامج التمكين القيادي للمرأة في التعليم العالي، وتطوير مهاراتها الإدارية والاستراتيجية عبر برامج تدريبية مستمرة، إضافة إلى تعزيز ثقافة الدعم المؤسسي التي ترفع من كفاءة القيادات النسائية. كما توصي بإزالة المعوقات التنظيمية التي تحد من تولي المرأة للمناصب العليا، وتفعيل سياسات المساواة وتكافؤ الفرص بما يتوافق مع رؤية المملكة 2030.</w:t>
      </w:r>
    </w:p>
    <w:p w14:paraId="40D5D664" w14:textId="4C7FD686" w:rsidR="00402123" w:rsidRPr="00EC10D6" w:rsidRDefault="00402123"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00CD77F0" w:rsidRPr="00EC10D6">
        <w:rPr>
          <w:rFonts w:ascii="Sakkal Majalla" w:hAnsi="Sakkal Majalla" w:cs="Sakkal Majalla"/>
          <w:b/>
          <w:bCs/>
          <w:color w:val="000000" w:themeColor="text1"/>
          <w:sz w:val="28"/>
          <w:szCs w:val="28"/>
          <w:rtl/>
        </w:rPr>
        <w:t>الفواز</w:t>
      </w:r>
      <w:r w:rsidRPr="00EC10D6">
        <w:rPr>
          <w:rFonts w:ascii="Sakkal Majalla" w:hAnsi="Sakkal Majalla" w:cs="Sakkal Majalla"/>
          <w:b/>
          <w:bCs/>
          <w:color w:val="000000" w:themeColor="text1"/>
          <w:sz w:val="28"/>
          <w:szCs w:val="28"/>
          <w:rtl/>
        </w:rPr>
        <w:t xml:space="preserve">، </w:t>
      </w:r>
      <w:r w:rsidR="00CD77F0" w:rsidRPr="00EC10D6">
        <w:rPr>
          <w:rFonts w:ascii="Sakkal Majalla" w:hAnsi="Sakkal Majalla" w:cs="Sakkal Majalla"/>
          <w:b/>
          <w:bCs/>
          <w:color w:val="000000" w:themeColor="text1"/>
          <w:sz w:val="28"/>
          <w:szCs w:val="28"/>
          <w:rtl/>
        </w:rPr>
        <w:t>2024</w:t>
      </w:r>
      <w:r w:rsidRPr="00EC10D6">
        <w:rPr>
          <w:rFonts w:ascii="Sakkal Majalla" w:hAnsi="Sakkal Majalla" w:cs="Sakkal Majalla"/>
          <w:b/>
          <w:bCs/>
          <w:color w:val="000000" w:themeColor="text1"/>
          <w:sz w:val="28"/>
          <w:szCs w:val="28"/>
          <w:rtl/>
        </w:rPr>
        <w:t>)</w:t>
      </w:r>
      <w:r w:rsidR="00CD77F0" w:rsidRPr="00EC10D6">
        <w:rPr>
          <w:rFonts w:ascii="Sakkal Majalla" w:hAnsi="Sakkal Majalla" w:cs="Sakkal Majalla"/>
          <w:b/>
          <w:bCs/>
          <w:color w:val="000000" w:themeColor="text1"/>
          <w:sz w:val="28"/>
          <w:szCs w:val="28"/>
          <w:rtl/>
        </w:rPr>
        <w:t xml:space="preserve"> </w:t>
      </w:r>
    </w:p>
    <w:p w14:paraId="44156995" w14:textId="77777777" w:rsidR="00CD77F0" w:rsidRPr="00EC10D6" w:rsidRDefault="00CD77F0"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هدفت هذه الدراسة إلى التعرّف على دور تنمية القيادات النسائية بأبعادها (تفويض السلطة في المهام الإدارية، تفويض السلطة في المهام التعليمية، وتفويض السلطة في مهام صنع القرار) على تعزيز فعالية القيادات النسائية في الجامعات السعودية في ضوء المواثيق الدولية، وذلك بالاعتماد على مقياس </w:t>
      </w:r>
      <w:r w:rsidRPr="00EC10D6">
        <w:rPr>
          <w:rFonts w:ascii="Sakkal Majalla" w:hAnsi="Sakkal Majalla" w:cs="Sakkal Majalla"/>
          <w:color w:val="000000" w:themeColor="text1"/>
          <w:sz w:val="28"/>
          <w:szCs w:val="28"/>
        </w:rPr>
        <w:t>GEM</w:t>
      </w:r>
      <w:r w:rsidRPr="00EC10D6">
        <w:rPr>
          <w:rFonts w:ascii="Sakkal Majalla" w:hAnsi="Sakkal Majalla" w:cs="Sakkal Majalla"/>
          <w:color w:val="000000" w:themeColor="text1"/>
          <w:sz w:val="28"/>
          <w:szCs w:val="28"/>
          <w:rtl/>
        </w:rPr>
        <w:t xml:space="preserve"> كإطار تحليلي لتقييم مستوى التمكين والتفويض داخل مؤسسات التعليم العالي.</w:t>
      </w:r>
    </w:p>
    <w:p w14:paraId="6A73416C" w14:textId="5B01C170" w:rsidR="00CD77F0" w:rsidRPr="00EC10D6" w:rsidRDefault="00CD77F0"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كما اعتمدت على الاستبانة كأداة رئيسة لجمع البيانات، وقد شملت (26) عبارة موزعة على ثلاثة محاور رئيسة ترتبط بتفويض السلطة في المهام الإدارية والتعليمية ومهام صنع القرار. وتكوّنت عينة الدراسة من (70) مشاركة من القيادات النسائية في الجامعات السعودية، وهنّ: وكيلات الكليات، وكيلة الجامعة لشؤون الطالبات، وعميدات الكليات في جامعات تبوك، نجران، أم القرى، والإمام محمد بن سعود.</w:t>
      </w:r>
    </w:p>
    <w:p w14:paraId="62A1BD4D" w14:textId="77777777" w:rsidR="00CD77F0" w:rsidRPr="00EC10D6" w:rsidRDefault="00CD77F0"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لتنمية دور القيادات النسائية في تفويض السلطة على أدائهن القيادي، حيث حقق بُعد تفويض السلطة المرتبط بالمهام التعليمية أعلى متوسط حسابي بلغ (4.28)، تلاه بُعد تفويض السلطة في المهام الإدارية بمتوسط قدره (3.65)، بينما جاء بُعد مهام صنع القرار في المرتبة الأخيرة بمتوسط (3.30). كما كشفت الدراسة عن وجود فروق ذات دلالة إحصائية تعزى لمتغيري العمر والدرجة الوظيفية، بما يشير إلى اختلاف مستوى تنمية الدور القيادي وفق خصائص المستجيبات.</w:t>
      </w:r>
    </w:p>
    <w:p w14:paraId="3DC30991" w14:textId="512670E7" w:rsidR="00E43E62" w:rsidRPr="00EC10D6" w:rsidRDefault="00CD77F0"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تعزيز دعم القيادات النسائية داخل الجامعات السعودية من خلال تبني استراتيجيات فاعلة تُسهم في رفع مستوى مشاركتهن في مراكز صنع القرار، وتحسين فرص التفويض والتمكين في المهام الإدارية والتعليمية، بما يواكب المواثيق الدولية ويعزز جودة الأداء المؤسسي.</w:t>
      </w:r>
    </w:p>
    <w:p w14:paraId="3AEFFA18" w14:textId="3BD44E9F" w:rsidR="00DB1F25" w:rsidRPr="00EC10D6" w:rsidRDefault="00DB1F25"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004824BF" w:rsidRPr="00EC10D6">
        <w:rPr>
          <w:rFonts w:ascii="Sakkal Majalla" w:hAnsi="Sakkal Majalla" w:cs="Sakkal Majalla"/>
          <w:b/>
          <w:bCs/>
          <w:color w:val="000000" w:themeColor="text1"/>
          <w:sz w:val="28"/>
          <w:szCs w:val="28"/>
          <w:rtl/>
        </w:rPr>
        <w:t>الهرمودى ،2024</w:t>
      </w:r>
      <w:r w:rsidRPr="00EC10D6">
        <w:rPr>
          <w:rFonts w:ascii="Sakkal Majalla" w:hAnsi="Sakkal Majalla" w:cs="Sakkal Majalla"/>
          <w:b/>
          <w:bCs/>
          <w:color w:val="000000" w:themeColor="text1"/>
          <w:sz w:val="28"/>
          <w:szCs w:val="28"/>
          <w:rtl/>
        </w:rPr>
        <w:t xml:space="preserve">)، </w:t>
      </w:r>
    </w:p>
    <w:p w14:paraId="7A4EBE97" w14:textId="77777777" w:rsidR="004824BF" w:rsidRPr="00EC10D6" w:rsidRDefault="004824B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هدفت هذه الدراسة إلى التعرّف على أثر الابتكار الإداري بأبعاده (تحسين العمليات الإدارية، تبسيط الإجراءات، توظيف التكنولوجيا الحديثة، وتعزيز مشاركة الموظفين في التفكير الابتكاري) على تطوير العمل الإداري المؤسسي في القطاع الإداري داخل المؤسسات الحكومية، وذلك انطلاقاً من الدور المحوري الذي يلعبه الابتكار في رفع كفاءة الإدارة وتحسين فعالية الأداء التنظيمي. وقد ركزت الدراسة على إبراز أهمية الابتكار في تعزيز روح الفريق، وتحسين استخدام الموارد البشرية، ودعم المهارات الإبداعية لدى العاملين بما يسهم في تطوير الأداء المؤسسي</w:t>
      </w:r>
      <w:r w:rsidRPr="00EC10D6">
        <w:rPr>
          <w:rFonts w:ascii="Sakkal Majalla" w:hAnsi="Sakkal Majalla" w:cs="Sakkal Majalla"/>
          <w:color w:val="000000" w:themeColor="text1"/>
          <w:sz w:val="28"/>
          <w:szCs w:val="28"/>
        </w:rPr>
        <w:t>.</w:t>
      </w:r>
    </w:p>
    <w:p w14:paraId="39F28DCF" w14:textId="77777777" w:rsidR="004824BF" w:rsidRPr="00EC10D6" w:rsidRDefault="004824B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استخدمت الدراسة المنهج الوصفي التحليلي لملاءمته في وصف الظاهرة وتحليل تأثير الابتكار الإداري على تطوير العمل المؤسسي. كما تم استخدام الاستبانة كأداة رئيسة لجمع البيانات، وجرى توزيعها على عينة عشوائية مكوّنة من </w:t>
      </w:r>
      <w:r w:rsidRPr="00EC10D6">
        <w:rPr>
          <w:rFonts w:ascii="Sakkal Majalla" w:hAnsi="Sakkal Majalla" w:cs="Sakkal Majalla"/>
          <w:color w:val="000000" w:themeColor="text1"/>
          <w:sz w:val="28"/>
          <w:szCs w:val="28"/>
        </w:rPr>
        <w:t xml:space="preserve">(120) </w:t>
      </w:r>
      <w:r w:rsidRPr="00EC10D6">
        <w:rPr>
          <w:rFonts w:ascii="Sakkal Majalla" w:hAnsi="Sakkal Majalla" w:cs="Sakkal Majalla"/>
          <w:color w:val="000000" w:themeColor="text1"/>
          <w:sz w:val="28"/>
          <w:szCs w:val="28"/>
          <w:rtl/>
        </w:rPr>
        <w:t>موظفاً وموظفة من العاملين في الإدارات الحكومية بهدف قياس إدراكهم لأبعاد الابتكار الإداري وأثره في تطوير الأداء</w:t>
      </w:r>
      <w:r w:rsidRPr="00EC10D6">
        <w:rPr>
          <w:rFonts w:ascii="Sakkal Majalla" w:hAnsi="Sakkal Majalla" w:cs="Sakkal Majalla"/>
          <w:color w:val="000000" w:themeColor="text1"/>
          <w:sz w:val="28"/>
          <w:szCs w:val="28"/>
        </w:rPr>
        <w:t>.</w:t>
      </w:r>
    </w:p>
    <w:p w14:paraId="293707DB" w14:textId="77777777" w:rsidR="004824BF" w:rsidRPr="00EC10D6" w:rsidRDefault="004824B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وأظهرت نتائج الدراسة وجود أثر ذو دلالة إحصائية إيجابية لجميع أبعاد الابتكار الإداري على تطوير العمل الإداري، حيث بيّنت النتائج أن بعد توظيف التكنولوجيا الحديثة كان الأكثر تأثيراً في تحسين الكفاءة والفعالية، يليه تحسين العمليات الإدارية وتبسيط الإجراءات</w:t>
      </w:r>
      <w:r w:rsidRPr="00EC10D6">
        <w:rPr>
          <w:rFonts w:ascii="Sakkal Majalla" w:hAnsi="Sakkal Majalla" w:cs="Sakkal Majalla"/>
          <w:color w:val="000000" w:themeColor="text1"/>
          <w:sz w:val="28"/>
          <w:szCs w:val="28"/>
        </w:rPr>
        <w:t xml:space="preserve">. </w:t>
      </w:r>
      <w:r w:rsidRPr="00EC10D6">
        <w:rPr>
          <w:rFonts w:ascii="Sakkal Majalla" w:hAnsi="Sakkal Majalla" w:cs="Sakkal Majalla"/>
          <w:color w:val="000000" w:themeColor="text1"/>
          <w:sz w:val="28"/>
          <w:szCs w:val="28"/>
          <w:rtl/>
        </w:rPr>
        <w:t>كما أظهرت النتائج أن تشجيع الموظفين على المشاركة الابتكارية يسهم في رفع مستوى التعاون وروح الفريق داخل المؤسسة. ولم تُظهر النتائج أي أثر ذي دلالة سلبية، مما يعكس العلاقة الإيجابية بين الابتكار وتطوير الأداء الإداري</w:t>
      </w:r>
      <w:r w:rsidRPr="00EC10D6">
        <w:rPr>
          <w:rFonts w:ascii="Sakkal Majalla" w:hAnsi="Sakkal Majalla" w:cs="Sakkal Majalla"/>
          <w:color w:val="000000" w:themeColor="text1"/>
          <w:sz w:val="28"/>
          <w:szCs w:val="28"/>
        </w:rPr>
        <w:t>.</w:t>
      </w:r>
    </w:p>
    <w:p w14:paraId="3F35253D" w14:textId="77777777" w:rsidR="004824BF" w:rsidRPr="00EC10D6" w:rsidRDefault="004824BF"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وفي ضوء النتائج، توصي الدراسة بضرورة تعزيز ثقافة الابتكار الإداري داخل المؤسسات الحكومية، وتطوير خطط تدريبية مستمرة لتنمية مهارات الموظفين الإبداعية، وتوسيع استخدام الأنظمة الرقمية في تبسيط الإجراءات، إضافة إلى تعزيز مشاركة الموظفين في المبادرات الابتكارية لضمان الاستفادة من قدراتهم وتحقيق أعلى مستويات الفاعلية الإدارية</w:t>
      </w:r>
      <w:r w:rsidRPr="00EC10D6">
        <w:rPr>
          <w:rFonts w:ascii="Sakkal Majalla" w:hAnsi="Sakkal Majalla" w:cs="Sakkal Majalla"/>
          <w:color w:val="000000" w:themeColor="text1"/>
          <w:sz w:val="28"/>
          <w:szCs w:val="28"/>
        </w:rPr>
        <w:t>.</w:t>
      </w:r>
    </w:p>
    <w:p w14:paraId="424B24A3" w14:textId="6A0A64A8" w:rsidR="00DB1F25" w:rsidRPr="00EC10D6" w:rsidRDefault="00DB1F25"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002E13BB" w:rsidRPr="00EC10D6">
        <w:rPr>
          <w:rFonts w:ascii="Sakkal Majalla" w:hAnsi="Sakkal Majalla" w:cs="Sakkal Majalla"/>
          <w:b/>
          <w:bCs/>
          <w:color w:val="000000" w:themeColor="text1"/>
          <w:sz w:val="28"/>
          <w:szCs w:val="28"/>
          <w:rtl/>
          <w:lang w:bidi="ar-EG"/>
        </w:rPr>
        <w:t>الناصر ، 2024</w:t>
      </w:r>
      <w:r w:rsidRPr="00EC10D6">
        <w:rPr>
          <w:rFonts w:ascii="Sakkal Majalla" w:hAnsi="Sakkal Majalla" w:cs="Sakkal Majalla"/>
          <w:b/>
          <w:bCs/>
          <w:color w:val="000000" w:themeColor="text1"/>
          <w:sz w:val="28"/>
          <w:szCs w:val="28"/>
          <w:rtl/>
        </w:rPr>
        <w:t xml:space="preserve">)، </w:t>
      </w:r>
    </w:p>
    <w:p w14:paraId="4CA9AB82" w14:textId="77777777" w:rsidR="002E13BB" w:rsidRPr="00EC10D6" w:rsidRDefault="002E13B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الابتكار الإداري بأبعاده (تطوير أساليب العمل، ترشيد استخدام الموارد، تحسين جودة الخدمات، ورفع رضا المستفيدين) على تحسين الأداء الإداري في المؤسسات الحديثة في بيئة العمل المعاصرة التي تتسم بالتغير السريع والتنافسية المتزايدة. وقد انطلق البحث من افتراض أن الابتكار يمثل أداة استراتيجية محورية لتحقيق التميز المؤسسي والاستدامة التنظيمية.</w:t>
      </w:r>
    </w:p>
    <w:p w14:paraId="4AA92FF2" w14:textId="77777777" w:rsidR="002E13BB" w:rsidRPr="00EC10D6" w:rsidRDefault="002E13B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من خلال مراجعة الأدبيات العلمية والنماذج التطبيقية المتعلقة بمفهوم الابتكار الإداري وتطبيقاته في المؤسسات الحديثة. واعتمدت الدراسة على عينة مكوّنة من (100) دراسة، تقرير، ونموذج تطبيقي تم تحليلها بهدف استنتاج أثر الابتكار على الأداء الإداري في ضوء التجارب المحلية والدولية.</w:t>
      </w:r>
    </w:p>
    <w:p w14:paraId="5C1AA1D4" w14:textId="77777777" w:rsidR="002E13BB" w:rsidRPr="00EC10D6" w:rsidRDefault="002E13B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لأبعاد الابتكار الإداري على تحسين الأداء، حيث تبين أن المؤسسات التي تتبنى استراتيجيات ابتكارية تحقق مستويات أعلى من الكفاءة التشغيلية، وترشيد الموارد، وتحسين جودة الخدمات المقدمة، إضافة إلى ارتفاع رضا المستفيدين مقارنة بالمؤسسات التي تعتمد على أساليب تقليدية. كما أكدت النتائج أن تعزيز ثقافة الابتكار داخل المؤسسات يتطلب دعماً إدارياً مباشراً، وتشجيع المبادرات الإبداعية للموظفين، والاستثمار في التدريب والتقنيات الحديثة.</w:t>
      </w:r>
    </w:p>
    <w:p w14:paraId="2BA7512F" w14:textId="77777777" w:rsidR="002E13BB" w:rsidRPr="00EC10D6" w:rsidRDefault="002E13BB"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دمج الابتكار الإداري ضمن السياسات والاستراتيجيات المؤسسية، وتبني برامج تنظيمية تهدف إلى تطوير مهارات العاملين الابتكارية، وتوفير بيئة داعمة تتيح تقديم الأفكار الجديدة، بما يعزز القدرة التنافسية للمؤسسات الحديثة في ظل متغيرات السوق المحلي والعالمي.</w:t>
      </w:r>
    </w:p>
    <w:p w14:paraId="7643A69C" w14:textId="29BA2BE0" w:rsidR="00DB1F25" w:rsidRPr="00EC10D6" w:rsidRDefault="00DB1F25"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 xml:space="preserve">دراسة </w:t>
      </w:r>
      <w:r w:rsidR="003D6A80" w:rsidRPr="00EC10D6">
        <w:rPr>
          <w:rFonts w:ascii="Sakkal Majalla" w:hAnsi="Sakkal Majalla" w:cs="Sakkal Majalla"/>
          <w:b/>
          <w:bCs/>
          <w:color w:val="000000" w:themeColor="text1"/>
          <w:sz w:val="28"/>
          <w:szCs w:val="28"/>
          <w:lang w:bidi="ar-EG"/>
        </w:rPr>
        <w:t xml:space="preserve">) </w:t>
      </w:r>
      <w:r w:rsidR="003D6A80" w:rsidRPr="00EC10D6">
        <w:rPr>
          <w:rFonts w:ascii="Sakkal Majalla" w:hAnsi="Sakkal Majalla" w:cs="Sakkal Majalla"/>
          <w:b/>
          <w:bCs/>
          <w:color w:val="000000" w:themeColor="text1"/>
          <w:sz w:val="28"/>
          <w:szCs w:val="28"/>
          <w:rtl/>
          <w:lang w:bidi="ar-EG"/>
        </w:rPr>
        <w:t xml:space="preserve">شاهين واخرون ، 2024 </w:t>
      </w:r>
      <w:r w:rsidR="003D6A80" w:rsidRPr="00EC10D6">
        <w:rPr>
          <w:rFonts w:ascii="Sakkal Majalla" w:hAnsi="Sakkal Majalla" w:cs="Sakkal Majalla"/>
          <w:b/>
          <w:bCs/>
          <w:color w:val="000000" w:themeColor="text1"/>
          <w:sz w:val="28"/>
          <w:szCs w:val="28"/>
          <w:rtl/>
        </w:rPr>
        <w:t>)</w:t>
      </w:r>
      <w:r w:rsidRPr="00EC10D6">
        <w:rPr>
          <w:rFonts w:ascii="Sakkal Majalla" w:hAnsi="Sakkal Majalla" w:cs="Sakkal Majalla"/>
          <w:b/>
          <w:bCs/>
          <w:color w:val="000000" w:themeColor="text1"/>
          <w:sz w:val="28"/>
          <w:szCs w:val="28"/>
          <w:rtl/>
        </w:rPr>
        <w:t xml:space="preserve"> </w:t>
      </w:r>
    </w:p>
    <w:p w14:paraId="2FDE7309"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8" w:name="_Toc169790501"/>
      <w:bookmarkEnd w:id="17"/>
      <w:r w:rsidRPr="00EC10D6">
        <w:rPr>
          <w:rFonts w:ascii="Sakkal Majalla" w:hAnsi="Sakkal Majalla" w:cs="Sakkal Majalla"/>
          <w:color w:val="000000" w:themeColor="text1"/>
          <w:sz w:val="28"/>
          <w:szCs w:val="28"/>
          <w:rtl/>
        </w:rPr>
        <w:t>هدفت هذه الدراسة إلى التعرّف على أثر الابتكار الإداري بأبعاده (الابتكار المؤسسي الداخلي، خلق القيمة، وابتكار الإدارة) على تطوير الأداء الإداري في مؤسسة الكهرباء في مدينة حلب، وذلك بهدف الوقوف على واقع الممارسات الابتكارية داخل المؤسسة ومدى تبنيها لأساليب الإدارة الحديثة. واعتمدت الدراسة على المنهج الوصفي التحليلي لقدرته على وصف الظاهرة كما هي على أرض الواقع وتفسير مستويات تطبيق الابتكار الإداري في المؤسسات الحكومية.</w:t>
      </w:r>
    </w:p>
    <w:p w14:paraId="03EFE1D6"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الاستبانة كأداة رئيسة لجمع البيانات، وقد تكونت من (14) عبارة تغطي أبعاد الابتكار الإداري الثلاثة. وتكوّنت عينة الدراسة من (93) موظفاً من العاملين الإداريين في مؤسسة الكهرباء بمدينة حلب، وتم تحليل استجاباتهم بهدف تحديد مستوى تطبيق الابتكار الإداري وأثره في تطوير الأداء.</w:t>
      </w:r>
    </w:p>
    <w:p w14:paraId="24B77FBF"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عدم وجود أثر ذو دلالة إحصائية إيجابية يشير إلى تطبيق فعلي لأبعاد الابتكار الإداري في المؤسسة محل الدراسة، حيث بينت النتائج أن الابتكار المؤسسي الداخلي مطبق بدرجة متوسطة، في حين كان بُعدا خلق القيمة وابتكار الإدارة غير مطبقين بشكل فعّال داخل المؤسسة العامة للكهرباء في محافظة حلب. مما يشير إلى ضعف تبني الطرائق الابتكارية في العمليات الإدارية، وغياب الممارسات التي تسهم في تطوير الأداء المؤسسي وتحسين جودة الخدمات.</w:t>
      </w:r>
    </w:p>
    <w:p w14:paraId="2EAC9449"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هذه النتائج، توصي الدراسة بضرورة تعزيز ثقافة الابتكار الإداري داخل المؤسسة من خلال تطوير آليات العمل، وتبسيط الإجراءات، وتشجيع الموظفين على تقديم المبادرات الابتكارية. كما توصي بضرورة إعادة تصميم العمليات بما يحقق خلق قيمة مضافة للمؤسسة والمستفيدين، وتبني أساليب إدارة حديثة قائمة على التحسين المستمر وتوظيف التكنولوجيا، بما يرفع من كفاءة الأداء ويحقق جودة أعلى في الخدمات المقدمة.</w:t>
      </w:r>
    </w:p>
    <w:p w14:paraId="2DC17C74" w14:textId="77777777" w:rsidR="009B342E" w:rsidRPr="00EC10D6" w:rsidRDefault="009B342E"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proofErr w:type="spellStart"/>
      <w:r w:rsidRPr="00EC10D6">
        <w:rPr>
          <w:rFonts w:ascii="Sakkal Majalla" w:hAnsi="Sakkal Majalla" w:cs="Sakkal Majalla"/>
          <w:b/>
          <w:bCs/>
          <w:color w:val="000000" w:themeColor="text1"/>
          <w:sz w:val="28"/>
          <w:szCs w:val="28"/>
        </w:rPr>
        <w:t>Albuainain</w:t>
      </w:r>
      <w:proofErr w:type="spellEnd"/>
      <w:r w:rsidRPr="00EC10D6">
        <w:rPr>
          <w:rFonts w:ascii="Sakkal Majalla" w:hAnsi="Sakkal Majalla" w:cs="Sakkal Majalla"/>
          <w:b/>
          <w:bCs/>
          <w:color w:val="000000" w:themeColor="text1"/>
          <w:sz w:val="28"/>
          <w:szCs w:val="28"/>
        </w:rPr>
        <w:t>, 2024</w:t>
      </w:r>
      <w:r w:rsidRPr="00EC10D6">
        <w:rPr>
          <w:rFonts w:ascii="Sakkal Majalla" w:hAnsi="Sakkal Majalla" w:cs="Sakkal Majalla"/>
          <w:b/>
          <w:bCs/>
          <w:color w:val="000000" w:themeColor="text1"/>
          <w:sz w:val="28"/>
          <w:szCs w:val="28"/>
          <w:rtl/>
        </w:rPr>
        <w:t>)</w:t>
      </w:r>
    </w:p>
    <w:p w14:paraId="72D03000"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تمكين المرأة السعودية بأبعاده (التمكين الإداري، التمكين الاقتصادي، التمكين الاجتماعي، والتمكين المعرفي) على فاعلية القيادة التنظيمية والأداء المؤسسي والمجتمعي في المؤسسات السعودية، وذلك في ضوء التحولات الاستراتيجية التي قادتها رؤية المملكة 2030 لتعزيز مشاركة المرأة في المناصب القيادية. كما هدفت الدراسة إلى الكشف عن التحديات التي تواجه المرأة عند تولّي المناصب القيادية، واقتراح حلول تساعد في تجاوز هذه التحديات بما يعزز استدامة التمكين.</w:t>
      </w:r>
    </w:p>
    <w:p w14:paraId="37CE633E"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لملاءمته في وصف ظاهرة تمكين المرأة وتحليل تأثيراته على المؤسسات والمجتمع. واعتمدت الدراسة على عينة قصدية مكوّنة من (120) مشاركة من القيادات النسائية والعاملين في مواقع إدارية داخل المؤسسات السعودية، وتم جمع البيانات باستخدام استبانة إلكترونية صُممت لقياس أبعاد التمكين والتحديات المرتبطة به.</w:t>
      </w:r>
    </w:p>
    <w:p w14:paraId="03C20317"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لأبعاد تمكين المرأة السعودية على الأداء التنظيمي والمجتمعي، حيث تبين أن التمكين الإداري والاقتصادي هما الأكثر تأثيراً في رفع كفاءة القيادة النسائية، بينما أظهرت النتائج وجود أثر ذو دلالة سلبية للعوامل المقيدة، مثل التحديات الاجتماعية والمعوقات الثقافية، في الحد من مشاركة المرأة في المناصب القيادية. كما أكدت النتائج الدور المحوري لرؤية المملكة 2030 في توسيع فرص المرأة عبر مبادرات نوعية تستهدف الارتقاء بمشاركتها القيادية.</w:t>
      </w:r>
    </w:p>
    <w:p w14:paraId="44FD3A5C"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تعزيز السياسات الداعمة لتمكين المرأة، وتطوير برامج تدريب قيادي موجهة للنساء، إلى جانب معالجة التحديات الثقافية والاجتماعية التي تحد من وصول المرأة إلى المناصب العليا. كما توصي بتكثيف الجهود المؤسسية لرفع وعي القيادات التنفيذية بأهمية إشراك المرأة في عملية صنع القرار بما يتوافق مع مستهدفات رؤية المملكة 2030.</w:t>
      </w:r>
    </w:p>
    <w:p w14:paraId="41B4AD52" w14:textId="77777777" w:rsidR="009B342E" w:rsidRPr="00EC10D6" w:rsidRDefault="009B342E"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Pr="00EC10D6">
        <w:rPr>
          <w:rFonts w:ascii="Sakkal Majalla" w:hAnsi="Sakkal Majalla" w:cs="Sakkal Majalla"/>
          <w:b/>
          <w:bCs/>
          <w:color w:val="000000" w:themeColor="text1"/>
          <w:sz w:val="28"/>
          <w:szCs w:val="28"/>
        </w:rPr>
        <w:t>Iqbal &amp; Ahmad, 2024</w:t>
      </w:r>
      <w:r w:rsidRPr="00EC10D6">
        <w:rPr>
          <w:rFonts w:ascii="Sakkal Majalla" w:hAnsi="Sakkal Majalla" w:cs="Sakkal Majalla"/>
          <w:b/>
          <w:bCs/>
          <w:color w:val="000000" w:themeColor="text1"/>
          <w:sz w:val="28"/>
          <w:szCs w:val="28"/>
          <w:rtl/>
        </w:rPr>
        <w:t>)</w:t>
      </w:r>
    </w:p>
    <w:p w14:paraId="4B69EAB8"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التحديات والمكاسب والفرص المستقبلية بأبعادها (التحديات القيادية، الإنجازات المهنية، الآفاق والفرص المستقبلية) على نجاح المرأة السعودية في الوصول إلى المناصب القيادية في قطاع التعليم في مناطق المملكة العربية السعودية. كما هدفت الدراسة إلى تحليل الدور التعديلي لرؤية المملكة 2030 في تعزيز هذا النجاح من خلال تخفيف التحديات، وتوسيع الفرص، ودعم إنجازات المرأة القيادية.</w:t>
      </w:r>
    </w:p>
    <w:p w14:paraId="395E7D12"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استخدمت الدراسة المنهج الكمي، واعتمدت على الاستبانة الإلكترونية كأداة رئيسة لجمع البيانات من عينة كبيرة بلغت (484) مشاركة من النساء العاملات في قطاع التعليم. وتم تحليل البيانات باستخدام برنامجي </w:t>
      </w:r>
      <w:r w:rsidRPr="00EC10D6">
        <w:rPr>
          <w:rFonts w:ascii="Sakkal Majalla" w:hAnsi="Sakkal Majalla" w:cs="Sakkal Majalla"/>
          <w:color w:val="000000" w:themeColor="text1"/>
          <w:sz w:val="28"/>
          <w:szCs w:val="28"/>
        </w:rPr>
        <w:t>SPSS</w:t>
      </w:r>
      <w:r w:rsidRPr="00EC10D6">
        <w:rPr>
          <w:rFonts w:ascii="Sakkal Majalla" w:hAnsi="Sakkal Majalla" w:cs="Sakkal Majalla"/>
          <w:color w:val="000000" w:themeColor="text1"/>
          <w:sz w:val="28"/>
          <w:szCs w:val="28"/>
          <w:rtl/>
        </w:rPr>
        <w:t xml:space="preserve"> و </w:t>
      </w:r>
      <w:r w:rsidRPr="00EC10D6">
        <w:rPr>
          <w:rFonts w:ascii="Sakkal Majalla" w:hAnsi="Sakkal Majalla" w:cs="Sakkal Majalla"/>
          <w:color w:val="000000" w:themeColor="text1"/>
          <w:sz w:val="28"/>
          <w:szCs w:val="28"/>
        </w:rPr>
        <w:t>SmartPLS</w:t>
      </w:r>
      <w:r w:rsidRPr="00EC10D6">
        <w:rPr>
          <w:rFonts w:ascii="Sakkal Majalla" w:hAnsi="Sakkal Majalla" w:cs="Sakkal Majalla"/>
          <w:color w:val="000000" w:themeColor="text1"/>
          <w:sz w:val="28"/>
          <w:szCs w:val="28"/>
          <w:rtl/>
        </w:rPr>
        <w:t xml:space="preserve"> لاختبار العلاقات السببية والتأثيرات التعديلية.</w:t>
      </w:r>
    </w:p>
    <w:p w14:paraId="78F0E86A"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نتائج الدراسة وجود أثر ذو دلالة إحصائية إيجابية لأبعاد التحديات والإنجازات والفرص المستقبلية على نجاح المرأة السعودية في الوصول إلى المناصب القيادية، حيث تبين أن الإنجازات المهنية والفرص المستقبلية كانتا الأكثر تأثيراً في تعزيز النجاح القيادي. كما كشفت النتائج أن رؤية المملكة 2030 تؤدي دوراً تعديلياً إيجابياً، إذ تخفف من تأثير التحديات، وتعزز من الفرص المستقبلية، وتقوي من أثر الإنجازات المهنية، مما يسهم في رفع احتمالات وصول المرأة للمناصب القيادية بشكل أكبر.</w:t>
      </w:r>
    </w:p>
    <w:p w14:paraId="4D111248"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هذه النتائج، توصي الدراسة بضرورة تعزيز البرامج الوطنية الداعمة لتمكين المرأة، وتطوير مسارات تدريب قيادي متخصصة تستهدف تنمية مهارات النساء في قطاع التعليم، إلى جانب العمل على توسيع المبادرات الرامية إلى تقليل التحديات المؤسسية والاجتماعية. كما توصي بتفعيل دور رؤية 2030 في صياغة سياسات واضحة لرفع تمثيل المرأة في مواقع القيادة، وتوفير بيئة مهنية محفزة تدعم طموح المرأة السعودية وتحقق استدامة النجاح القيادي.</w:t>
      </w:r>
    </w:p>
    <w:p w14:paraId="22F74407" w14:textId="77777777" w:rsidR="009B342E" w:rsidRPr="00EC10D6" w:rsidRDefault="009B342E"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Pr="00EC10D6">
        <w:rPr>
          <w:rFonts w:ascii="Sakkal Majalla" w:hAnsi="Sakkal Majalla" w:cs="Sakkal Majalla"/>
          <w:b/>
          <w:bCs/>
          <w:color w:val="000000" w:themeColor="text1"/>
          <w:sz w:val="28"/>
          <w:szCs w:val="28"/>
        </w:rPr>
        <w:t>The Role of Women’s Administrative Capabilities to Keep Pace with Strategic Transformation 2030</w:t>
      </w:r>
      <w:r w:rsidRPr="00EC10D6">
        <w:rPr>
          <w:rFonts w:ascii="Sakkal Majalla" w:hAnsi="Sakkal Majalla" w:cs="Sakkal Majalla"/>
          <w:b/>
          <w:bCs/>
          <w:color w:val="000000" w:themeColor="text1"/>
          <w:sz w:val="28"/>
          <w:szCs w:val="28"/>
          <w:rtl/>
        </w:rPr>
        <w:t>: دور القدرات الإدارية النسائية لمواكبة التحول الاستراتيجي 2030, 2022)</w:t>
      </w:r>
    </w:p>
    <w:p w14:paraId="02F97B4A"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القدرات الإدارية للقيادات النسائية بأبعادها (القدرات التخطيطية، القدرات التنظيمية، القدرات الإشرافية، والقدرات التقييمية) على قدرة المرأة السعودية على مواكبة متطلبات التحول الاستراتيجي لرؤية المملكة 2030 في قطاع التعليم بمحافظة صبيا – مكتب تعليم الدرب. وجاءت هذه الدراسة استجابة للحاجة الملحّة لرفع مستوى مشاركة المرأة السعودية في القيادة التعليمية تحقيقاً لأهداف رؤية 2030.</w:t>
      </w:r>
    </w:p>
    <w:p w14:paraId="37FB88F2"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استخدمت الدراسة المنهج الوصفي التحليلي لملاءمته في توصيف الظاهرة وتحليل تأثير القدرات الإدارية على مواكبة التحول الاستراتيجي. كما استخدمت الاستبانة كأداة رئيسة لجمع البيانات من مجتمع الدراسة. وتكوّنت العينة من (44) قائدة من القيادات النسائية العاملات في مكتب تعليم الدرب خلال الفصل الدراسي الأول من العام 1441/1442هـ.</w:t>
      </w:r>
    </w:p>
    <w:p w14:paraId="47C17532"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النتائج عدم وجود أثر ذو دلالة إحصائية عند مستوى (</w:t>
      </w:r>
      <w:r w:rsidRPr="00EC10D6">
        <w:rPr>
          <w:rFonts w:ascii="Cambria" w:hAnsi="Cambria" w:cs="Cambria"/>
          <w:color w:val="000000" w:themeColor="text1"/>
          <w:sz w:val="28"/>
          <w:szCs w:val="28"/>
        </w:rPr>
        <w:t>α</w:t>
      </w:r>
      <w:r w:rsidRPr="00EC10D6">
        <w:rPr>
          <w:rFonts w:ascii="Sakkal Majalla" w:hAnsi="Sakkal Majalla" w:cs="Sakkal Majalla"/>
          <w:color w:val="000000" w:themeColor="text1"/>
          <w:sz w:val="28"/>
          <w:szCs w:val="28"/>
        </w:rPr>
        <w:t xml:space="preserve"> ≤ 0.05</w:t>
      </w:r>
      <w:r w:rsidRPr="00EC10D6">
        <w:rPr>
          <w:rFonts w:ascii="Sakkal Majalla" w:hAnsi="Sakkal Majalla" w:cs="Sakkal Majalla"/>
          <w:color w:val="000000" w:themeColor="text1"/>
          <w:sz w:val="28"/>
          <w:szCs w:val="28"/>
          <w:rtl/>
        </w:rPr>
        <w:t>) للقدرات الإدارية للقيادات النسائية في مواكبة التحول الاستراتيجي 2030 يُعزى إلى المتغيرات الديموغرافية (العمر، المؤهل العلمي، سنوات الخبرة). مما يشير إلى أن هذه المتغيرات لا تؤثر على مستوى جاهزية القدرات الإدارية لدى القيادات النسائية لمواكبة التحول.</w:t>
      </w:r>
    </w:p>
    <w:p w14:paraId="63B9E25E"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تعزيز جاهزية القدرات الإدارية للقيادات النسائية لتولي المناصب القيادية بما يتوافق مع مستهدفات رؤية 2030، إضافة إلى مواءمة البرامج التدريبية المقدمة للقيادات النسائية مع طبيعة أدوارهن ومسؤولياتهن في مكتب تعليم الدرب، بما يسهم في رفع مستوى فاعلية مشاركتهن في تحقيق التحول الاستراتيجي المنشود.</w:t>
      </w:r>
    </w:p>
    <w:p w14:paraId="6D2E1CDE" w14:textId="77777777" w:rsidR="009B342E" w:rsidRPr="00EC10D6" w:rsidRDefault="009B342E" w:rsidP="009B342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C10D6">
        <w:rPr>
          <w:rFonts w:ascii="Sakkal Majalla" w:hAnsi="Sakkal Majalla" w:cs="Sakkal Majalla"/>
          <w:b/>
          <w:bCs/>
          <w:color w:val="000000" w:themeColor="text1"/>
          <w:sz w:val="28"/>
          <w:szCs w:val="28"/>
          <w:rtl/>
        </w:rPr>
        <w:t>دراسة (</w:t>
      </w:r>
      <w:r w:rsidRPr="00EC10D6">
        <w:rPr>
          <w:rFonts w:ascii="Sakkal Majalla" w:hAnsi="Sakkal Majalla" w:cs="Sakkal Majalla"/>
          <w:b/>
          <w:bCs/>
          <w:color w:val="000000" w:themeColor="text1"/>
          <w:sz w:val="28"/>
          <w:szCs w:val="28"/>
        </w:rPr>
        <w:t>From Women Empowerment to Practicing Gender Diversity: Empirical Evidence From Non-Western Contexts, 2022</w:t>
      </w:r>
      <w:r w:rsidRPr="00EC10D6">
        <w:rPr>
          <w:rFonts w:ascii="Sakkal Majalla" w:hAnsi="Sakkal Majalla" w:cs="Sakkal Majalla"/>
          <w:b/>
          <w:bCs/>
          <w:color w:val="000000" w:themeColor="text1"/>
          <w:sz w:val="28"/>
          <w:szCs w:val="28"/>
          <w:rtl/>
        </w:rPr>
        <w:t>)</w:t>
      </w:r>
    </w:p>
    <w:p w14:paraId="1D165FFF"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هدفت هذه الدراسة إلى التعرّف على أثر عوامل تمكين المواهب النسائية بأبعادها (التمكين الفردي، التمكين المهني، التمكين المؤسسي، والدعم البنيوي والاجتماعي) على قدرة المرأة على الوصول إلى المناصب الإدارية وقيادة الأعمال في قطاع الرعاية الصحية في كلٍّ من المملكة العربية السعودية وكازاخستان، وذلك في سياقات اجتماعية وثقافية يغلب عليها الطابع الأبوي. وانطلقت الدراسة من أهمية تمكين المرأة باعتباره عاملاً محورياً لتحقيق التنوع القيادي والنمو الاقتصادي المستدام.</w:t>
      </w:r>
    </w:p>
    <w:p w14:paraId="7E6D6A1D"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اعتمدت الدراسة على المنهج النوعي، واستخدمت المقابلات شبه المنظمة كأداة رئيسة لجمع البيانات من عينة قصدية مكوّنة من (15) مشاركة من القيادات النسائية ورائدات الأعمال العاملات في قطاع الرعاية الصحية في الدولتين. وهدفت المقابلات إلى الكشف عن العوامل الفردية والهيكلية التي تساعد المرأة على بدء أعمالها أو الترقّي إلى المناصب الإدارية العليا.</w:t>
      </w:r>
    </w:p>
    <w:p w14:paraId="468CC861"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وأظهرت النتائج وجود أثر ذو دلالة نوعية إيجابية لأبعاد التمكين الفردي والمؤسسي والاجتماعي على قدرة المرأة على الوصول إلى المناصب القيادية، حيث كشفت الدراسة أن تفاعل العوامل الفردية (مثل الثقة بالنفس والمهارات القيادية) مع العوامل البنيوية (مثل دعم المؤسسات والسياسات الرسمية) يشكّل ديناميكيات أساسية في تعزيز وصول المرأة إلى المناصب العليا. كما بيّنت النتائج أهمية تمكين المواهب النسائية في تحقيق التنوع القيادي داخل منظمات الرعاية الصحية، وأن ارتفاع مشاركة المرأة في المستويات العليا يسهم في تعزيز النمو الاقتصادي الشامل في الدول ذات الثقافة الاجتماعية الذكورية. كما تدعم النتائج إسهام التمكين النسائي في تحقيق أهداف التنمية المستدامة للأمم المتحدة (</w:t>
      </w:r>
      <w:r w:rsidRPr="00EC10D6">
        <w:rPr>
          <w:rFonts w:ascii="Sakkal Majalla" w:hAnsi="Sakkal Majalla" w:cs="Sakkal Majalla"/>
          <w:color w:val="000000" w:themeColor="text1"/>
          <w:sz w:val="28"/>
          <w:szCs w:val="28"/>
        </w:rPr>
        <w:t>SDG 5.5</w:t>
      </w:r>
      <w:r w:rsidRPr="00EC10D6">
        <w:rPr>
          <w:rFonts w:ascii="Sakkal Majalla" w:hAnsi="Sakkal Majalla" w:cs="Sakkal Majalla"/>
          <w:color w:val="000000" w:themeColor="text1"/>
          <w:sz w:val="28"/>
          <w:szCs w:val="28"/>
          <w:rtl/>
        </w:rPr>
        <w:t xml:space="preserve">، </w:t>
      </w:r>
      <w:r w:rsidRPr="00EC10D6">
        <w:rPr>
          <w:rFonts w:ascii="Sakkal Majalla" w:hAnsi="Sakkal Majalla" w:cs="Sakkal Majalla"/>
          <w:color w:val="000000" w:themeColor="text1"/>
          <w:sz w:val="28"/>
          <w:szCs w:val="28"/>
        </w:rPr>
        <w:t>SDG 8.5</w:t>
      </w:r>
      <w:r w:rsidRPr="00EC10D6">
        <w:rPr>
          <w:rFonts w:ascii="Sakkal Majalla" w:hAnsi="Sakkal Majalla" w:cs="Sakkal Majalla"/>
          <w:color w:val="000000" w:themeColor="text1"/>
          <w:sz w:val="28"/>
          <w:szCs w:val="28"/>
          <w:rtl/>
        </w:rPr>
        <w:t xml:space="preserve">، </w:t>
      </w:r>
      <w:r w:rsidRPr="00EC10D6">
        <w:rPr>
          <w:rFonts w:ascii="Sakkal Majalla" w:hAnsi="Sakkal Majalla" w:cs="Sakkal Majalla"/>
          <w:color w:val="000000" w:themeColor="text1"/>
          <w:sz w:val="28"/>
          <w:szCs w:val="28"/>
        </w:rPr>
        <w:t>SDG 10.2</w:t>
      </w:r>
      <w:r w:rsidRPr="00EC10D6">
        <w:rPr>
          <w:rFonts w:ascii="Sakkal Majalla" w:hAnsi="Sakkal Majalla" w:cs="Sakkal Majalla"/>
          <w:color w:val="000000" w:themeColor="text1"/>
          <w:sz w:val="28"/>
          <w:szCs w:val="28"/>
          <w:rtl/>
        </w:rPr>
        <w:t>).</w:t>
      </w:r>
    </w:p>
    <w:p w14:paraId="21F0162B" w14:textId="77777777" w:rsidR="009B342E" w:rsidRPr="00EC10D6" w:rsidRDefault="009B342E"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ضوء النتائج، توصي الدراسة بضرورة تعزيز السياسات الداعمة لتمكين المواهب النسائية، وتطوير برامج تدريبية موجهة لبناء القدرات القيادية للنساء، وتوفير بيئات تنظيمية محفزة لرواد الأعمال من النساء. كما توصي بالعمل على تحسين الهياكل المؤسسية ورفع الوعي الثقافي في المجتمعات ذات الهيمنة الذكورية، بما يسهم في دعم مشاركة المرأة في المناصب الإدارية العليا وتحقيق نمو اقتصادي أكثر شمولاً واستدامة.</w:t>
      </w:r>
    </w:p>
    <w:p w14:paraId="0E8BEBEB" w14:textId="128F3CCD"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586327"/>
      <w:r w:rsidRPr="00EC10D6">
        <w:rPr>
          <w:rFonts w:ascii="Sakkal Majalla" w:hAnsi="Sakkal Majalla" w:cs="Sakkal Majalla"/>
          <w:b/>
          <w:bCs/>
          <w:color w:val="000000" w:themeColor="text1"/>
          <w:sz w:val="36"/>
          <w:szCs w:val="36"/>
          <w:rtl/>
        </w:rPr>
        <w:t>7.1 الفجوة البحثية:</w:t>
      </w:r>
      <w:bookmarkEnd w:id="19"/>
    </w:p>
    <w:p w14:paraId="647DD10E" w14:textId="3BE38FA5"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تكشف مراجعة الدراسات السابقة المرتبطة بموضوع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والإبداع المؤسسي عن ثراء نظري وتنوع منهجي في تناول العلاقة بين المتغيرين، إلا أن هذا التنوع في الطرح قد أدى أيضًا إلى ظهور فجوة بحثية واضحة على المستويين النظري والتطبيقي، وهو ما تسعى إليه الدراسة الحالية لمعالجته في سياق القطاع الخدمي في المملكة العربية السعودية. وتُبنى هذه الفجوة على ملاحظات مقارنة دقيقة بين الدراسة الحالية ومجموعة من الدراسات السابقة سواء التي تناولت التمكين أو الإبداع بشكل منفصل أو تلك التي حاولت الربط بينهما في سياقات مؤسسية مختلفة.</w:t>
      </w:r>
    </w:p>
    <w:p w14:paraId="62D3BF6B" w14:textId="4400EB65"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من خلال تحليل الدراسات التي تناولت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مثل دراسة (مشري، 2022) التي ركزت على فعالية التمكين كاستراتيجية لمواجهة جائحة كورونا، نجد أن اهتمامها انصب على البُعد الإداري للأزمات، من خلال إبقاء الكوادر المُمكّنة باعتبارهم صمام الأمان لاستمرارية المؤسسات. ورغم أهمية الطرح، فإنها لم تربط ذلك مباشرة بمخرجات إبداعية يمكن قياسها، بل اكتفت بتحليل القدرة على البقاء والتكيف. على النقيض، تسعى الدراسة الحالية إلى قياس العلاقة المباشرة بين التمكين ومؤشر تنظيمي واضح وهو الإبداع المؤسسي، وفي بيئة غير طارئة، مما يضيف بعدًا تحليليًا أعمق للعلاقة.</w:t>
      </w:r>
    </w:p>
    <w:p w14:paraId="30D42AF9" w14:textId="21F7BECF"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أما دراسة (سعيود، 2021) فقد ربطت بين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والاستغراق الوظيفي، وبيّنت ارتباطًا وظيفيًا عبر أبعاد المشاركة والحوافز وفريق العمل. إلا أنها لم تتناول الأثر التنظيمي الأوسع، مثل الإبداع، ولم تخرج عن الإطار النفسي والسلوكي الداخلي للفرد، ما يُبرز غياب الربط بين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ونتائج مؤسسية ملموسة كالإبداع أو الابتكار داخل المؤسسة. وبالتالي، فإن الدراسة الحالية تتجاوز هذا القصور من خلال التركيز على أثر التمكين على مستوى الأداء الإبداعي الجماعي والمؤسسي، وليس فقط الفردي.</w:t>
      </w:r>
    </w:p>
    <w:p w14:paraId="3C138914" w14:textId="34DE709C"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في حين تميزت دراسة (بوزنيط، 2021) بالربط بين التمكين والولاء التنظيمي، وهي خطوة مهمة في فهم نتائج التمكين السلوكية. إلا أن تركيزها ظل منحصرًا في التأثير على الانتماء التنظيمي، دون استكشاف النتائج التطويرية والمخرجات الإبداعية التي تمثل القيمة المضافة الحقيقية للتمكين، وهو ما تحاول الدراسة الحالية توضيحه عبر اختبار العلاقة مع الإبداع المؤسسي كمؤشر نوعي للفعالية التنظيمية.</w:t>
      </w:r>
    </w:p>
    <w:p w14:paraId="171A13C7" w14:textId="4C84801F"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أما دراسة (البحري، 2024)، فقد تناولت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في السياق الفندقي وربطه بالميزة التنافسية، وهو توجه قريب في الطرح من الدراسة الحالية، لكن اختلاف القطاع (السياحي مقابل الخدمي العام)، بالإضافة إلى اختلاف المتغير التابع (الميزة التنافسية مقابل الإبداع المؤسسي) يجعل من الدراسة الحالية محاولة لملء فراغ بحثي في قطاع واسع ومتنوع مثل القطاع الخدمي، الذي يشمل التعليم، الصحة، البنوك، والخدمات العامة.</w:t>
      </w:r>
    </w:p>
    <w:p w14:paraId="5CDCF094" w14:textId="23F08D1E"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وبالمثل، ركزت دراسة (العنزي، 2024) على العلاقة بين التمكين والأداء الوظيفي في بيئة حكومية، لكنها ركزت على الجانب الكمي للأداء من حيث الكفاءة والإنجاز، بينما تركز الدراسة الحالية على البعد الإبداعي للأداء، وهو بعد نوعي يُعد أكثر صعوبة في القياس وأكثر أهمية في ظل بيئات العمل الحديثة التي تعتمد على التجديد والمرونة والابتكار.</w:t>
      </w:r>
    </w:p>
    <w:p w14:paraId="41B539CA" w14:textId="71BCC3DF"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من جهة أخرى، أشارت دراسة (فراحتية، 2021) إلى دور الإدارة الإلكترونية في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دون أن تربط ذلك بالإبداع، بل ركزت على المنظومة التكنولوجية الداعمة، وهو مسار مكمل، لكنه لا يُعالج العلاقة الجوهرية بين التمكين كممارسة إدارية والإبداع كمخرج تنظيمي. في المقابل، تسعى الدراسة الحالية إلى استكشاف العلاقة بشكل مباشر، عبر تحليل تفاعل ممارسات التمكين مع البيئة التنظيمية وسلوك العاملين الإبداعي.</w:t>
      </w:r>
    </w:p>
    <w:p w14:paraId="49E65E4F" w14:textId="0202E4F0"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أما على صعيد الدراسات التي تناولت الإبداع المؤسسي، فقد ركزت دراسة (</w:t>
      </w:r>
      <w:proofErr w:type="spellStart"/>
      <w:r w:rsidRPr="00EC10D6">
        <w:rPr>
          <w:rFonts w:ascii="Sakkal Majalla" w:hAnsi="Sakkal Majalla" w:cs="Sakkal Majalla"/>
          <w:color w:val="000000" w:themeColor="text1"/>
          <w:sz w:val="28"/>
          <w:szCs w:val="28"/>
        </w:rPr>
        <w:t>Al-Kasr</w:t>
      </w:r>
      <w:proofErr w:type="spellEnd"/>
      <w:r w:rsidRPr="00EC10D6">
        <w:rPr>
          <w:rFonts w:ascii="Sakkal Majalla" w:hAnsi="Sakkal Majalla" w:cs="Sakkal Majalla"/>
          <w:color w:val="000000" w:themeColor="text1"/>
          <w:sz w:val="28"/>
          <w:szCs w:val="28"/>
        </w:rPr>
        <w:t>, 2024</w:t>
      </w:r>
      <w:r w:rsidRPr="00EC10D6">
        <w:rPr>
          <w:rFonts w:ascii="Sakkal Majalla" w:hAnsi="Sakkal Majalla" w:cs="Sakkal Majalla"/>
          <w:color w:val="000000" w:themeColor="text1"/>
          <w:sz w:val="28"/>
          <w:szCs w:val="28"/>
          <w:rtl/>
        </w:rPr>
        <w:t>) على توظيف نموذج ماكينزي لتحقيق الإبداع داخل الجامعات، وهو سياق أكاديمي مختلف عن القطاع الخدمي، كما أن المنهجية كانت وصفية تحليلية لتطبيق نموذج تنظيمي، دون التطرق إلى ممارسات إدارية مثل التمكين. وتُظهر هذه المقارنة أن هناك نقصًا في الدراسات التي تختبر بُعدًا إداريًا مثل التمكين كأداة لتفعيل الإبداع المؤسسي في القطاعات التشغيلية والخدمية.</w:t>
      </w:r>
    </w:p>
    <w:p w14:paraId="5A0BEBF5" w14:textId="441578E5"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في المقابل، تناولت دراسة (</w:t>
      </w:r>
      <w:proofErr w:type="spellStart"/>
      <w:r w:rsidRPr="00EC10D6">
        <w:rPr>
          <w:rFonts w:ascii="Sakkal Majalla" w:hAnsi="Sakkal Majalla" w:cs="Sakkal Majalla"/>
          <w:color w:val="000000" w:themeColor="text1"/>
          <w:sz w:val="28"/>
          <w:szCs w:val="28"/>
        </w:rPr>
        <w:t>Ghanem</w:t>
      </w:r>
      <w:proofErr w:type="spellEnd"/>
      <w:r w:rsidRPr="00EC10D6">
        <w:rPr>
          <w:rFonts w:ascii="Sakkal Majalla" w:hAnsi="Sakkal Majalla" w:cs="Sakkal Majalla"/>
          <w:color w:val="000000" w:themeColor="text1"/>
          <w:sz w:val="28"/>
          <w:szCs w:val="28"/>
        </w:rPr>
        <w:t>, 2021</w:t>
      </w:r>
      <w:r w:rsidRPr="00EC10D6">
        <w:rPr>
          <w:rFonts w:ascii="Sakkal Majalla" w:hAnsi="Sakkal Majalla" w:cs="Sakkal Majalla"/>
          <w:color w:val="000000" w:themeColor="text1"/>
          <w:sz w:val="28"/>
          <w:szCs w:val="28"/>
          <w:rtl/>
        </w:rPr>
        <w:t>) الإبداع من منظور تربوي وتقني باستخدام الدراما، وهي دراسة أقرب إلى المجال التربوي والتعليمي منه إلى الإداري والتنظيمي. في حين جاءت دراسة (</w:t>
      </w:r>
      <w:proofErr w:type="spellStart"/>
      <w:r w:rsidRPr="00EC10D6">
        <w:rPr>
          <w:rFonts w:ascii="Sakkal Majalla" w:hAnsi="Sakkal Majalla" w:cs="Sakkal Majalla"/>
          <w:color w:val="000000" w:themeColor="text1"/>
          <w:sz w:val="28"/>
          <w:szCs w:val="28"/>
        </w:rPr>
        <w:t>Al-Qawasmeh</w:t>
      </w:r>
      <w:proofErr w:type="spellEnd"/>
      <w:r w:rsidRPr="00EC10D6">
        <w:rPr>
          <w:rFonts w:ascii="Sakkal Majalla" w:hAnsi="Sakkal Majalla" w:cs="Sakkal Majalla"/>
          <w:color w:val="000000" w:themeColor="text1"/>
          <w:sz w:val="28"/>
          <w:szCs w:val="28"/>
        </w:rPr>
        <w:t>, 2024</w:t>
      </w:r>
      <w:r w:rsidRPr="00EC10D6">
        <w:rPr>
          <w:rFonts w:ascii="Sakkal Majalla" w:hAnsi="Sakkal Majalla" w:cs="Sakkal Majalla"/>
          <w:color w:val="000000" w:themeColor="text1"/>
          <w:sz w:val="28"/>
          <w:szCs w:val="28"/>
          <w:rtl/>
        </w:rPr>
        <w:t>) لتبحث في دور المدرسة في تعزيز الإبداع كمهارة حياتية، وهو طرح تربوي شامل يبتعد عن السياق المؤسسي والإداري الذي ترتكز عليه هذه الدراسة.</w:t>
      </w:r>
    </w:p>
    <w:p w14:paraId="5AED4203" w14:textId="02316A10" w:rsidR="002D5C0C"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من خلال ما سبق، تتضح ملامح الفجوة البحثية التي تسعى الدراسة الحالية إلى معالجتها، وهي قلة الدراسات التي تناولت العلاقة التفاعلية بين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والإبداع المؤسسي في بيئات خدمية عربية، مع غياب التحليل الكمي لهذه العلاقة داخل المؤسسات السعودية بشكل خاص. كما أن معظم الدراسات السابقة انفصلت في تناولها للمتغيرين إما بالنظر إلى التمكين كعامل معنوي، أو إلى الإبداع كنتاج فردي أو أكاديمي، بينما تأتي الدراسة الحالية لتقدم إطارًا ميدانيًا تطبيقيًا يربط بين الممارسات الإدارية وأثرها المباشر في توليد بيئة عمل مبدعة على المستوى المؤسسي، وبما يدعم تحقيق أهداف التميز والجودة والاستدامة في القطاع الخدمي الوطني.</w:t>
      </w:r>
    </w:p>
    <w:p w14:paraId="5603B34E" w14:textId="53B17A53"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586328"/>
      <w:bookmarkStart w:id="21" w:name="_Toc169790502"/>
      <w:bookmarkEnd w:id="18"/>
      <w:r w:rsidRPr="00EC10D6">
        <w:rPr>
          <w:rFonts w:ascii="Sakkal Majalla" w:hAnsi="Sakkal Majalla" w:cs="Sakkal Majalla"/>
          <w:b/>
          <w:bCs/>
          <w:color w:val="000000" w:themeColor="text1"/>
          <w:sz w:val="36"/>
          <w:szCs w:val="36"/>
          <w:rtl/>
        </w:rPr>
        <w:t>8.1 المنطلقات النظرية للدراسة:</w:t>
      </w:r>
      <w:bookmarkEnd w:id="20"/>
    </w:p>
    <w:p w14:paraId="0021093E" w14:textId="3502344E"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تستند الدراسة الحالية إلى مجموعة من المنطلقات النظرية التي تشكل الإطار المرجعي لفهم العلاقة بين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والإبداع المؤسسي، لا سيما في بيئة مؤسسية خدمية تشهد تحولات متسارعة بفعل التطورات الإدارية والتكنولوجية. وتكمن أهمية هذه المنطلقات في أنها تُمكّن الباحث من تحليل الظاهرة محل الدراسة انطلاقًا من مفاهيم ونماذج علمية راسخة، تفسر كيف ولماذا يسهم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في تعزيز القدرات الإبداعية للمؤسسات، وتقديم حلول غير تقليدية للتحديات التي تواجهها في سياقات عمل متغيرة ومعقدة.</w:t>
      </w:r>
    </w:p>
    <w:p w14:paraId="682B4180" w14:textId="4C580CDB"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يرتكز المفهوم الأساسي ل</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على نظرية التحفيز الذاتي وتمكين الذات (</w:t>
      </w:r>
      <w:r w:rsidRPr="00EC10D6">
        <w:rPr>
          <w:rFonts w:ascii="Sakkal Majalla" w:hAnsi="Sakkal Majalla" w:cs="Sakkal Majalla"/>
          <w:color w:val="000000" w:themeColor="text1"/>
          <w:sz w:val="28"/>
          <w:szCs w:val="28"/>
        </w:rPr>
        <w:t>Self-Empowerment</w:t>
      </w:r>
      <w:r w:rsidRPr="00EC10D6">
        <w:rPr>
          <w:rFonts w:ascii="Sakkal Majalla" w:hAnsi="Sakkal Majalla" w:cs="Sakkal Majalla"/>
          <w:color w:val="000000" w:themeColor="text1"/>
          <w:sz w:val="28"/>
          <w:szCs w:val="28"/>
          <w:rtl/>
        </w:rPr>
        <w:t xml:space="preserve">)، التي تفترض أن الفرد يصبح أكثر إنتاجية وابتكارًا عندما يشعر بأن لديه السيطرة على عمله، وأنه يحظى بثقة المنظمة وقدرتها على الاستثمار فيه. وهذا المفهوم يُبنى على افتراض أن تفويض الصلاحيات، وتوفير بيئة داعمة، وتحفيز الشعور بالمسؤولية والاستقلالية في اتخاذ القرار، كلها تؤدي إلى تحفيز السلوك الإبداعي، لأن العامل يشعر بأنه ليس مجرد منفذ بل مساهم فعلي في صنع التغيير داخل المنظمة. كما تستند الدراسة إلى المنظور السلوكي في الإدارة، الذي يؤكد على أن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xml:space="preserve"> يسهم في تغيير أنماط السلوك المهني، ويزيد من الانخراط الوظيفي، ما يدفعهم إلى ممارسة التفكير النقدي والابتكاري عند مواجهتهم للمشكلات والفرص داخل بيئة العمل.</w:t>
      </w:r>
    </w:p>
    <w:p w14:paraId="748D92E3" w14:textId="254708A3"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وتأخذ الدراسة أيضًا في اعتبارها الأطر النظرية المرتبطة بمفهوم الإبداع المؤسسي، والذي يُنظر إليه بوصفه عملية ديناميكية تتولد من تفاعل مجموعة من العوامل التنظيمية، أهمها المناخ المؤسسي، والدعم الإداري، والهيكل التنظيمي، والموارد المعرفية والبشرية المتاحة. وضمن هذا السياق، يستند التحليل إلى مفاهيم مثل نظرية النظم المفتوحة التي ترى أن المؤسسة الناجحة هي التي تستثمر في مواردها الداخلية البشرية (مثل العاملين) لتحقيق أقصى قدر من القدرة التكيفية والتجديدية في مواجهة المتغيرات البيئية. فكلما ارتفع مستوى التمكين، زادت قدرة العاملين على تقديم حلول غير نمطية، واقتراح أدوات تطويرية تعزز من كفاءة الأداء العام.</w:t>
      </w:r>
    </w:p>
    <w:p w14:paraId="6A127B52" w14:textId="31230E89"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كما تُستحضر في هذه الدراسة نظرية رأس المال البشري، والتي تؤكد على أن الاستثمار في العاملين من خلال التدريب والتفويض والثقة يخلق بيئة تسمح بإطلاق الطاقات الإبداعية. ويُنظر إلى التمكين هنا كأداة استراتيجية لإعادة تعريف علاقة الفرد بالمنظمة، من علاقة تقليدية قائمة على الأوامر والتنفيذ إلى علاقة تفاعلية تقوم على المشاركة في الرؤية وصنع القرار والابتكار. وهذا يتقاطع مع نموذج "التعلم التنظيمي"، حيث تتيح بيئة التمكين للأفراد التعلم المستمر من تجاربهم وأخطائهم، وهي إحدى الركائز الأساسية لتوليد المعرفة الإبداعية.</w:t>
      </w:r>
    </w:p>
    <w:p w14:paraId="6200AE31" w14:textId="28F175E3" w:rsidR="00280068"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ويقوم الإطار النظري أيضًا على الربط بين التمكين كمدخل إداري والإبداع كمخرج تنظيمي، بحيث يُفهم التمكين ليس فقط كممارسة داخلية تؤثر في الرضا أو الدافعية، بل كمحرك مباشر لإنتاج معرفة جديدة، وتحسين العمليات، وتوليد الأفكار، وهو ما يُترجم إلى أداء إبداعي جماعي ينعكس على نتائج المؤسسة وجودة خدماتها. وتستفيد الدراسة من هذا المنظور التكاملي لفهم كيف تُنتج المؤسسات ذات الثقافة التمكينية مناخًا يشجع على التفكير المستقل، والمبادرة، وتقبل المخاطرة، والابتكار التنظيمي.</w:t>
      </w:r>
    </w:p>
    <w:p w14:paraId="0D3D7731" w14:textId="29B932B8" w:rsidR="002D5C0C" w:rsidRPr="00EC10D6" w:rsidRDefault="00280068"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من هذا المنطلق، فإن الدراسة لا تكتفي بتناول المفهومين (التمكين والإبداع) كل على حدة، بل تسعى إلى بناء نموذج تفسيري متكامل يُظهر كيف يؤدي </w:t>
      </w:r>
      <w:r w:rsidR="00103D0F" w:rsidRPr="00EC10D6">
        <w:rPr>
          <w:rFonts w:ascii="Sakkal Majalla" w:hAnsi="Sakkal Majalla" w:cs="Sakkal Majalla"/>
          <w:color w:val="000000" w:themeColor="text1"/>
          <w:sz w:val="28"/>
          <w:szCs w:val="28"/>
          <w:rtl/>
        </w:rPr>
        <w:t>تمكين المرأة القيادية</w:t>
      </w:r>
      <w:r w:rsidRPr="00EC10D6">
        <w:rPr>
          <w:rFonts w:ascii="Sakkal Majalla" w:hAnsi="Sakkal Majalla" w:cs="Sakkal Majalla"/>
          <w:color w:val="000000" w:themeColor="text1"/>
          <w:sz w:val="28"/>
          <w:szCs w:val="28"/>
          <w:rtl/>
        </w:rPr>
        <w:t>، من خلال أبعاده المتعددة، إلى إطلاق قدرات الإبداع المؤسسي بشكل ممنهج وهادف، يسهم في تعزيز الفعالية الكلية للمؤسسات الخدمية، ودعم تحولها نحو بيئات أكثر استجابة وتجدّدًا واستدامة.</w:t>
      </w:r>
    </w:p>
    <w:p w14:paraId="500AEEC5" w14:textId="5D59A145"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586329"/>
      <w:bookmarkStart w:id="23" w:name="_Toc169790503"/>
      <w:bookmarkStart w:id="24" w:name="_Toc203340331"/>
      <w:bookmarkEnd w:id="21"/>
      <w:r w:rsidRPr="00EC10D6">
        <w:rPr>
          <w:rFonts w:ascii="Sakkal Majalla" w:hAnsi="Sakkal Majalla" w:cs="Sakkal Majalla"/>
          <w:b/>
          <w:bCs/>
          <w:color w:val="000000" w:themeColor="text1"/>
          <w:sz w:val="36"/>
          <w:szCs w:val="36"/>
          <w:rtl/>
        </w:rPr>
        <w:t>9.1 المنهجية وطرق البحث:</w:t>
      </w:r>
      <w:bookmarkEnd w:id="22"/>
    </w:p>
    <w:p w14:paraId="0A8EDD97" w14:textId="282A510C" w:rsidR="00173ABC" w:rsidRPr="00EC10D6" w:rsidRDefault="00173ABC"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ستعتمد الدراسة على المنهج الوصفي التحليلي، حيث سيتم في المرحلة الأولى تحديد المفاهيم الأساسية المرتبطة بتمكين المرأة القيادية وأبعادها، إضافة إلى تحليل الأدبيات والدراسات السابقة ذات العلاقة بالابتكار الإداري في منظمات الأعمال السعودية، وسيتم بناء إطار نظري متكامل يوضح العلاقات المتوقعة بين المتغير المستقل (تمكين المرأة القيادية بأبعاده الأربعة) والمتغير التابع (الابتكار الإداري). كما سيتم تطوير نموذج بحثي يربط بين الأبعاد النظرية وبين الفرضيات التي سيتم اختبارها إحصائياً.</w:t>
      </w:r>
    </w:p>
    <w:p w14:paraId="67AD3725" w14:textId="0884BE8F" w:rsidR="00173ABC" w:rsidRPr="00EC10D6" w:rsidRDefault="00173ABC" w:rsidP="009B34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وفي المرحلة التطبيقية، سيتم استخدام أداة الاستبانة لجمع البيانات من القيادات النسائية والعاملين في المؤسسات السعودية المتوسطة والكبيرة، وسيتم تحديد مجتمع الدراسة واختيار عينة ممثلة باستخدام أسلوب العينة الطبقية أو العشوائية حسب طبيعة المؤسسات المشاركة، ثم سيتم تحليل البيانات باستخدام الأساليب الإحصائية المناسبة مثل الإحصاء الوصفي، ومعامل الارتباط، وتحليل الانحدار المتعدد أو نمذجة المعادلات الهيكلية (</w:t>
      </w:r>
      <w:r w:rsidRPr="00EC10D6">
        <w:rPr>
          <w:rFonts w:ascii="Sakkal Majalla" w:hAnsi="Sakkal Majalla" w:cs="Sakkal Majalla"/>
          <w:color w:val="000000" w:themeColor="text1"/>
          <w:sz w:val="28"/>
          <w:szCs w:val="28"/>
        </w:rPr>
        <w:t>SEM</w:t>
      </w:r>
      <w:r w:rsidRPr="00EC10D6">
        <w:rPr>
          <w:rFonts w:ascii="Sakkal Majalla" w:hAnsi="Sakkal Majalla" w:cs="Sakkal Majalla"/>
          <w:color w:val="000000" w:themeColor="text1"/>
          <w:sz w:val="28"/>
          <w:szCs w:val="28"/>
          <w:rtl/>
        </w:rPr>
        <w:t xml:space="preserve">) لاختبار الفروض ، وستتم معالجة البيانات باستخدام برامج إحصائية مثل </w:t>
      </w:r>
      <w:r w:rsidRPr="00EC10D6">
        <w:rPr>
          <w:rFonts w:ascii="Sakkal Majalla" w:hAnsi="Sakkal Majalla" w:cs="Sakkal Majalla"/>
          <w:color w:val="000000" w:themeColor="text1"/>
          <w:sz w:val="28"/>
          <w:szCs w:val="28"/>
        </w:rPr>
        <w:t>SPSS</w:t>
      </w:r>
      <w:r w:rsidRPr="00EC10D6">
        <w:rPr>
          <w:rFonts w:ascii="Sakkal Majalla" w:hAnsi="Sakkal Majalla" w:cs="Sakkal Majalla"/>
          <w:color w:val="000000" w:themeColor="text1"/>
          <w:sz w:val="28"/>
          <w:szCs w:val="28"/>
          <w:rtl/>
        </w:rPr>
        <w:t xml:space="preserve"> أو </w:t>
      </w:r>
      <w:r w:rsidRPr="00EC10D6">
        <w:rPr>
          <w:rFonts w:ascii="Sakkal Majalla" w:hAnsi="Sakkal Majalla" w:cs="Sakkal Majalla"/>
          <w:color w:val="000000" w:themeColor="text1"/>
          <w:sz w:val="28"/>
          <w:szCs w:val="28"/>
        </w:rPr>
        <w:t>SmartPLS</w:t>
      </w:r>
      <w:r w:rsidRPr="00EC10D6">
        <w:rPr>
          <w:rFonts w:ascii="Sakkal Majalla" w:hAnsi="Sakkal Majalla" w:cs="Sakkal Majalla"/>
          <w:color w:val="000000" w:themeColor="text1"/>
          <w:sz w:val="28"/>
          <w:szCs w:val="28"/>
          <w:rtl/>
        </w:rPr>
        <w:t xml:space="preserve"> للوصول إلى نتائج دقيقة تمكّن من تفسير أثر تمكين المرأة القيادية على الابتكار الإداري.</w:t>
      </w:r>
    </w:p>
    <w:p w14:paraId="54DC4630" w14:textId="389157BC"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4586330"/>
      <w:bookmarkEnd w:id="23"/>
      <w:bookmarkEnd w:id="24"/>
      <w:r w:rsidRPr="00EC10D6">
        <w:rPr>
          <w:rFonts w:ascii="Sakkal Majalla" w:hAnsi="Sakkal Majalla" w:cs="Sakkal Majalla"/>
          <w:b/>
          <w:bCs/>
          <w:color w:val="000000" w:themeColor="text1"/>
          <w:sz w:val="36"/>
          <w:szCs w:val="36"/>
          <w:rtl/>
        </w:rPr>
        <w:t>10.1 مصادر جمع البيانات</w:t>
      </w:r>
      <w:bookmarkEnd w:id="25"/>
    </w:p>
    <w:p w14:paraId="19DB6E94" w14:textId="66DB1103" w:rsidR="00053122" w:rsidRPr="00EC10D6" w:rsidRDefault="00053122" w:rsidP="009B342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المصادر الثانوية: </w:t>
      </w:r>
      <w:r w:rsidR="004D6B08" w:rsidRPr="00EC10D6">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EC10D6">
        <w:rPr>
          <w:rFonts w:ascii="Sakkal Majalla" w:hAnsi="Sakkal Majalla" w:cs="Sakkal Majalla"/>
          <w:color w:val="000000" w:themeColor="text1"/>
          <w:sz w:val="28"/>
          <w:szCs w:val="28"/>
          <w:rtl/>
        </w:rPr>
        <w:t xml:space="preserve"> </w:t>
      </w:r>
      <w:r w:rsidR="004D6B08" w:rsidRPr="00EC10D6">
        <w:rPr>
          <w:rFonts w:ascii="Sakkal Majalla" w:hAnsi="Sakkal Majalla" w:cs="Sakkal Majalla"/>
          <w:color w:val="000000" w:themeColor="text1"/>
          <w:sz w:val="28"/>
          <w:szCs w:val="28"/>
          <w:rtl/>
        </w:rPr>
        <w:t xml:space="preserve"> </w:t>
      </w:r>
    </w:p>
    <w:p w14:paraId="122DD140" w14:textId="6FBC4A9B" w:rsidR="00053122" w:rsidRPr="00EC10D6" w:rsidRDefault="00053122" w:rsidP="009B342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EC10D6">
        <w:rPr>
          <w:rFonts w:ascii="Sakkal Majalla" w:hAnsi="Sakkal Majalla" w:cs="Sakkal Majalla"/>
          <w:color w:val="000000" w:themeColor="text1"/>
          <w:sz w:val="28"/>
          <w:szCs w:val="28"/>
        </w:rPr>
        <w:t>Google Forms</w:t>
      </w:r>
      <w:r w:rsidRPr="00EC10D6">
        <w:rPr>
          <w:rFonts w:ascii="Sakkal Majalla" w:hAnsi="Sakkal Majalla" w:cs="Sakkal Majalla"/>
          <w:color w:val="000000" w:themeColor="text1"/>
          <w:sz w:val="28"/>
          <w:szCs w:val="28"/>
          <w:rtl/>
        </w:rPr>
        <w:t xml:space="preserve"> وإرسال رابطها إلى مجتمع البحث.</w:t>
      </w:r>
    </w:p>
    <w:p w14:paraId="633697CB" w14:textId="746DCB55"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586331"/>
      <w:r w:rsidRPr="00EC10D6">
        <w:rPr>
          <w:rFonts w:ascii="Sakkal Majalla" w:hAnsi="Sakkal Majalla" w:cs="Sakkal Majalla"/>
          <w:b/>
          <w:bCs/>
          <w:color w:val="000000" w:themeColor="text1"/>
          <w:sz w:val="36"/>
          <w:szCs w:val="36"/>
          <w:rtl/>
        </w:rPr>
        <w:t>11.1 مجتمع الدراسة</w:t>
      </w:r>
      <w:bookmarkEnd w:id="26"/>
    </w:p>
    <w:p w14:paraId="76BF2091" w14:textId="265506C5" w:rsidR="00173ABC" w:rsidRPr="00EC10D6" w:rsidRDefault="00173ABC" w:rsidP="009B342E">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سيتمثل مجتمع الدراسة في جميع المؤسسات المتوسطة والكبيرة العاملة في قطاع الأعمال السعودي، وذلك ضمن القطاعات الأكثر اعتماداً على القيادات النسائية في الوظائف الإدارية، مثل قطاع الخدمات، وقطاع الاتصالات وتقنية المعلومات، والقطاع الصناعي، وقطاع التجزئة الكبرى</w:t>
      </w:r>
      <w:r w:rsidR="001C631E"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tl/>
        </w:rPr>
        <w:t xml:space="preserve"> ويُقدّر عدد المؤسسات المتوسطة والكبيرة في المملكة بما يقارب (18,500) مؤسسة وفق بيانات الهيئة العامة للمنشآت الصغيرة والمتوسطة “منشآت”</w:t>
      </w:r>
      <w:r w:rsidR="001C631E" w:rsidRPr="00EC10D6">
        <w:rPr>
          <w:rFonts w:ascii="Sakkal Majalla" w:hAnsi="Sakkal Majalla" w:cs="Sakkal Majalla"/>
          <w:color w:val="000000" w:themeColor="text1"/>
          <w:sz w:val="28"/>
          <w:szCs w:val="28"/>
          <w:rtl/>
        </w:rPr>
        <w:t>، و</w:t>
      </w:r>
      <w:r w:rsidRPr="00EC10D6">
        <w:rPr>
          <w:rFonts w:ascii="Sakkal Majalla" w:hAnsi="Sakkal Majalla" w:cs="Sakkal Majalla"/>
          <w:color w:val="000000" w:themeColor="text1"/>
          <w:sz w:val="28"/>
          <w:szCs w:val="28"/>
          <w:rtl/>
        </w:rPr>
        <w:t>يشمل مجتمع الدراسة القيادات النسائية والإداريين العاملين داخل هذه المؤسسات، ممّن يمكنهم تقييم مستوى التمكين القيادي وممارسات الابتكار الإداري، ويُقدّر عددهم بما يزيد عن (45,000) موظف وموظفة على مستوى المملكة.</w:t>
      </w:r>
    </w:p>
    <w:p w14:paraId="70BFD4F4" w14:textId="576F61C1"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4586332"/>
      <w:r w:rsidRPr="00EC10D6">
        <w:rPr>
          <w:rFonts w:ascii="Sakkal Majalla" w:hAnsi="Sakkal Majalla" w:cs="Sakkal Majalla"/>
          <w:b/>
          <w:bCs/>
          <w:color w:val="000000" w:themeColor="text1"/>
          <w:sz w:val="36"/>
          <w:szCs w:val="36"/>
          <w:rtl/>
        </w:rPr>
        <w:t>12.1 عينة الدراسة</w:t>
      </w:r>
      <w:bookmarkEnd w:id="27"/>
    </w:p>
    <w:p w14:paraId="26F183D1" w14:textId="3EEA4E2E" w:rsidR="001C631E" w:rsidRPr="00EC10D6" w:rsidRDefault="001C631E" w:rsidP="009B342E">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سيتم اختيار عينة الدراسة باستخدام العينة الطبقية العشوائية لضمان تمثيل مناسب لقطاعات الأعمال المختلفة</w:t>
      </w:r>
      <w:r w:rsidR="00D0629C"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tl/>
        </w:rPr>
        <w:t xml:space="preserve"> وبناءً على معادلات حجم العينة للدراسات المسحية، سيتم تحديد عينة مقدارها (380) إلى (420) مشاركاً باعتبارها عينة كافية لتمثيل مجتمع يفوق حجمه 40 ألف موظف. وسيتم توزيع الاستبانة إلكترونياً وورقياً على القيادات النسائية (مديرات، رئيسات أقسام، مشرفات) وعلى الإداريين في المستويات الإدارية العليا والمتوسطة. ويُتوقَّع أن يتم استرجاع ما لا يقل عن (350) استبانة صالحة للتحليل، وهو عدد يلائم تطبيق الاختبارات الإحصائية المتقدمة مثل تحليل الانحدار المتعدد أو نمذجة المعادلات الهيكلية (</w:t>
      </w:r>
      <w:r w:rsidRPr="00EC10D6">
        <w:rPr>
          <w:rFonts w:ascii="Sakkal Majalla" w:hAnsi="Sakkal Majalla" w:cs="Sakkal Majalla"/>
          <w:color w:val="000000" w:themeColor="text1"/>
          <w:sz w:val="28"/>
          <w:szCs w:val="28"/>
        </w:rPr>
        <w:t>SEM</w:t>
      </w:r>
      <w:r w:rsidRPr="00EC10D6">
        <w:rPr>
          <w:rFonts w:ascii="Sakkal Majalla" w:hAnsi="Sakkal Majalla" w:cs="Sakkal Majalla"/>
          <w:color w:val="000000" w:themeColor="text1"/>
          <w:sz w:val="28"/>
          <w:szCs w:val="28"/>
          <w:rtl/>
        </w:rPr>
        <w:t>) لضمان جودة النتائج ودقتها.</w:t>
      </w:r>
    </w:p>
    <w:p w14:paraId="6B80FDCB" w14:textId="63A00568"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4586333"/>
      <w:r w:rsidRPr="00EC10D6">
        <w:rPr>
          <w:rFonts w:ascii="Sakkal Majalla" w:hAnsi="Sakkal Majalla" w:cs="Sakkal Majalla"/>
          <w:b/>
          <w:bCs/>
          <w:color w:val="000000" w:themeColor="text1"/>
          <w:sz w:val="36"/>
          <w:szCs w:val="36"/>
          <w:rtl/>
        </w:rPr>
        <w:t>13.1 أدوات الدراسة:</w:t>
      </w:r>
      <w:bookmarkEnd w:id="28"/>
    </w:p>
    <w:p w14:paraId="58F87982" w14:textId="77777777" w:rsidR="00C07B95" w:rsidRPr="00EC10D6" w:rsidRDefault="00C07B95" w:rsidP="009B342E">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ستعتمد الدراسة على أداة الاستبانة (</w:t>
      </w:r>
      <w:r w:rsidRPr="00EC10D6">
        <w:rPr>
          <w:rFonts w:ascii="Sakkal Majalla" w:hAnsi="Sakkal Majalla" w:cs="Sakkal Majalla"/>
          <w:color w:val="000000" w:themeColor="text1"/>
          <w:sz w:val="28"/>
          <w:szCs w:val="28"/>
        </w:rPr>
        <w:t>Questionnaire</w:t>
      </w:r>
      <w:r w:rsidRPr="00EC10D6">
        <w:rPr>
          <w:rFonts w:ascii="Sakkal Majalla" w:hAnsi="Sakkal Majalla" w:cs="Sakkal Majalla"/>
          <w:color w:val="000000" w:themeColor="text1"/>
          <w:sz w:val="28"/>
          <w:szCs w:val="28"/>
          <w:rtl/>
        </w:rPr>
        <w:t>) كالأداة الرئيسة لجمع البيانات الميدانية من عينة القيادات النسائية والإداريين في المؤسسات المتوسطة والكبيرة داخل المملكة العربية السعودية. وسيتم تصميم الاستبانة وفق منهجية علمية تعتمد على مؤشرات مقننة من الأدبيات والدراسات السابقة، بحيث تتضمن ثلاثة أجزاء رئيسية:</w:t>
      </w:r>
    </w:p>
    <w:p w14:paraId="4F5A583A" w14:textId="77777777" w:rsidR="00C07B95" w:rsidRPr="00EC10D6" w:rsidRDefault="00C07B95" w:rsidP="009B342E">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الجزء الأول للبيانات الديموغرافية، والجزء الثاني لقياس أبعاد تمكين المرأة القيادية (التمكين الإداري، والمهني، والمعرفي، وتمكين صنع القرار)، والجزء الثالث لقياس مستوى الابتكار الإداري بأبعاده المختلفة. وسيتم استخدام مقياس ليكرت الخماسي لقياس استجابات المبحوثين بما يتيح إمكانية التحليل الإحصائي بدقة.</w:t>
      </w:r>
    </w:p>
    <w:p w14:paraId="21CA1EE0" w14:textId="06EF8CD5" w:rsidR="00280068" w:rsidRPr="00EC10D6" w:rsidRDefault="00C07B95" w:rsidP="009B342E">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كما ستستعين الدراسة بـالتحقق من الصدق والثبات لضمان جودة الأداة؛ حيث سيتم عرض الاستبانة على مجموعة من المحكمين المتخصصين للتأكد من صدق المحتوى، ثم سيتم إجراء اختبار أولي (</w:t>
      </w:r>
      <w:r w:rsidRPr="00EC10D6">
        <w:rPr>
          <w:rFonts w:ascii="Sakkal Majalla" w:hAnsi="Sakkal Majalla" w:cs="Sakkal Majalla"/>
          <w:color w:val="000000" w:themeColor="text1"/>
          <w:sz w:val="28"/>
          <w:szCs w:val="28"/>
        </w:rPr>
        <w:t>Pilot Study</w:t>
      </w:r>
      <w:r w:rsidRPr="00EC10D6">
        <w:rPr>
          <w:rFonts w:ascii="Sakkal Majalla" w:hAnsi="Sakkal Majalla" w:cs="Sakkal Majalla"/>
          <w:color w:val="000000" w:themeColor="text1"/>
          <w:sz w:val="28"/>
          <w:szCs w:val="28"/>
          <w:rtl/>
        </w:rPr>
        <w:t>) لعينة محدودة تتراوح بين 25–30 مفردة لحساب معامل الثبات (</w:t>
      </w:r>
      <w:proofErr w:type="spellStart"/>
      <w:r w:rsidRPr="00EC10D6">
        <w:rPr>
          <w:rFonts w:ascii="Sakkal Majalla" w:hAnsi="Sakkal Majalla" w:cs="Sakkal Majalla"/>
          <w:color w:val="000000" w:themeColor="text1"/>
          <w:sz w:val="28"/>
          <w:szCs w:val="28"/>
        </w:rPr>
        <w:t>Cronbach’s</w:t>
      </w:r>
      <w:proofErr w:type="spellEnd"/>
      <w:r w:rsidRPr="00EC10D6">
        <w:rPr>
          <w:rFonts w:ascii="Sakkal Majalla" w:hAnsi="Sakkal Majalla" w:cs="Sakkal Majalla"/>
          <w:color w:val="000000" w:themeColor="text1"/>
          <w:sz w:val="28"/>
          <w:szCs w:val="28"/>
        </w:rPr>
        <w:t xml:space="preserve"> Alpha</w:t>
      </w:r>
      <w:r w:rsidRPr="00EC10D6">
        <w:rPr>
          <w:rFonts w:ascii="Sakkal Majalla" w:hAnsi="Sakkal Majalla" w:cs="Sakkal Majalla"/>
          <w:color w:val="000000" w:themeColor="text1"/>
          <w:sz w:val="28"/>
          <w:szCs w:val="28"/>
          <w:rtl/>
        </w:rPr>
        <w:t xml:space="preserve">) والتأكد من اتساق فقرات المقياس، وسيتم لاحقاً استخدام الأساليب الإحصائية المناسبة لتحليل البيانات باستخدام برامج مثل </w:t>
      </w:r>
      <w:r w:rsidRPr="00EC10D6">
        <w:rPr>
          <w:rFonts w:ascii="Sakkal Majalla" w:hAnsi="Sakkal Majalla" w:cs="Sakkal Majalla"/>
          <w:color w:val="000000" w:themeColor="text1"/>
          <w:sz w:val="28"/>
          <w:szCs w:val="28"/>
        </w:rPr>
        <w:t>SPSS</w:t>
      </w:r>
      <w:r w:rsidRPr="00EC10D6">
        <w:rPr>
          <w:rFonts w:ascii="Sakkal Majalla" w:hAnsi="Sakkal Majalla" w:cs="Sakkal Majalla"/>
          <w:color w:val="000000" w:themeColor="text1"/>
          <w:sz w:val="28"/>
          <w:szCs w:val="28"/>
          <w:rtl/>
        </w:rPr>
        <w:t xml:space="preserve"> أو </w:t>
      </w:r>
      <w:r w:rsidRPr="00EC10D6">
        <w:rPr>
          <w:rFonts w:ascii="Sakkal Majalla" w:hAnsi="Sakkal Majalla" w:cs="Sakkal Majalla"/>
          <w:color w:val="000000" w:themeColor="text1"/>
          <w:sz w:val="28"/>
          <w:szCs w:val="28"/>
        </w:rPr>
        <w:t>SmartPLS</w:t>
      </w:r>
      <w:r w:rsidRPr="00EC10D6">
        <w:rPr>
          <w:rFonts w:ascii="Sakkal Majalla" w:hAnsi="Sakkal Majalla" w:cs="Sakkal Majalla"/>
          <w:color w:val="000000" w:themeColor="text1"/>
          <w:sz w:val="28"/>
          <w:szCs w:val="28"/>
          <w:rtl/>
        </w:rPr>
        <w:t xml:space="preserve"> لدراسة العلاقات بين المتغيرات واختبار الفروض.</w:t>
      </w:r>
    </w:p>
    <w:p w14:paraId="04369E52" w14:textId="77777777" w:rsidR="00C07B95" w:rsidRPr="00EC10D6" w:rsidRDefault="00C07B95" w:rsidP="009B342E">
      <w:pPr>
        <w:pStyle w:val="a6"/>
        <w:spacing w:before="100" w:beforeAutospacing="1" w:after="100" w:afterAutospacing="1" w:line="360" w:lineRule="auto"/>
        <w:contextualSpacing w:val="0"/>
        <w:jc w:val="both"/>
        <w:rPr>
          <w:rFonts w:ascii="Sakkal Majalla" w:hAnsi="Sakkal Majalla" w:cs="Sakkal Majalla"/>
          <w:color w:val="000000" w:themeColor="text1"/>
          <w:sz w:val="28"/>
          <w:szCs w:val="28"/>
        </w:rPr>
      </w:pPr>
    </w:p>
    <w:p w14:paraId="53B8B323" w14:textId="43E3401E" w:rsidR="00882D53"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59"/>
      <w:bookmarkStart w:id="30" w:name="_Toc214586334"/>
      <w:r w:rsidRPr="00EC10D6">
        <w:rPr>
          <w:rFonts w:ascii="Sakkal Majalla" w:hAnsi="Sakkal Majalla" w:cs="Sakkal Majalla" w:hint="cs"/>
          <w:b/>
          <w:bCs/>
          <w:color w:val="000000" w:themeColor="text1"/>
          <w:sz w:val="36"/>
          <w:szCs w:val="36"/>
          <w:rtl/>
          <w:lang w:bidi="ar-EG"/>
        </w:rPr>
        <w:t xml:space="preserve">14.1 </w:t>
      </w:r>
      <w:r w:rsidR="00882D53" w:rsidRPr="00EC10D6">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479B6434" w14:textId="77777777" w:rsidR="00C07B95" w:rsidRPr="00EC10D6" w:rsidRDefault="00C07B9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1" w:name="_Toc193461960"/>
      <w:r w:rsidRPr="00EC10D6">
        <w:rPr>
          <w:rFonts w:ascii="Sakkal Majalla" w:hAnsi="Sakkal Majalla" w:cs="Sakkal Majalla"/>
          <w:color w:val="000000" w:themeColor="text1"/>
          <w:sz w:val="28"/>
          <w:szCs w:val="28"/>
          <w:rtl/>
        </w:rPr>
        <w:t>ستعتمد الدراسة على مجموعة من الأساليب الإحصائية الوصفية والاستدلالية بهدف تحليل البيانات واختبار الفروض. ففي الجانب الوصفي، سيتم استخدام الإحصاءات الوصفية مثل المتوسطات الحسابية، والانحرافات المعيارية، والتكرارات، والنسب المئوية، وذلك لوصف خصائص العينة وتحديد مستوى كل بُعد من أبعاد تمكين المرأة القيادية ومستوى الابتكار الإداري في المؤسسات محل الدراسة</w:t>
      </w:r>
      <w:r w:rsidRPr="00EC10D6">
        <w:rPr>
          <w:rFonts w:ascii="Sakkal Majalla" w:hAnsi="Sakkal Majalla" w:cs="Sakkal Majalla"/>
          <w:color w:val="000000" w:themeColor="text1"/>
          <w:sz w:val="28"/>
          <w:szCs w:val="28"/>
        </w:rPr>
        <w:t>.</w:t>
      </w:r>
    </w:p>
    <w:p w14:paraId="2F600758" w14:textId="24E22A7E" w:rsidR="00C07B95" w:rsidRPr="00EC10D6" w:rsidRDefault="00C07B95" w:rsidP="009B3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أما في الجانب الاستدلالي، فسيتم توظيف مجموعة من الاختبارات الإحصائية المتقدمة، وعلى رأسها معامل الارتباط بيرسون</w:t>
      </w:r>
      <w:r w:rsidRPr="00EC10D6">
        <w:rPr>
          <w:rFonts w:ascii="Sakkal Majalla" w:hAnsi="Sakkal Majalla" w:cs="Sakkal Majalla"/>
          <w:color w:val="000000" w:themeColor="text1"/>
          <w:sz w:val="28"/>
          <w:szCs w:val="28"/>
        </w:rPr>
        <w:t xml:space="preserve"> (Pearson Correlation) </w:t>
      </w:r>
      <w:r w:rsidRPr="00EC10D6">
        <w:rPr>
          <w:rFonts w:ascii="Sakkal Majalla" w:hAnsi="Sakkal Majalla" w:cs="Sakkal Majalla"/>
          <w:color w:val="000000" w:themeColor="text1"/>
          <w:sz w:val="28"/>
          <w:szCs w:val="28"/>
          <w:rtl/>
        </w:rPr>
        <w:t>لتحليل الاتجاهات الأولية للعلاقات بين المتغيرات، بالإضافة إلى تحليل الانحدار الخطي المتعدد</w:t>
      </w:r>
      <w:r w:rsidRPr="00EC10D6">
        <w:rPr>
          <w:rFonts w:ascii="Sakkal Majalla" w:hAnsi="Sakkal Majalla" w:cs="Sakkal Majalla"/>
          <w:color w:val="000000" w:themeColor="text1"/>
          <w:sz w:val="28"/>
          <w:szCs w:val="28"/>
        </w:rPr>
        <w:t xml:space="preserve"> (Multiple Regression Analysis) </w:t>
      </w:r>
      <w:r w:rsidRPr="00EC10D6">
        <w:rPr>
          <w:rFonts w:ascii="Sakkal Majalla" w:hAnsi="Sakkal Majalla" w:cs="Sakkal Majalla"/>
          <w:color w:val="000000" w:themeColor="text1"/>
          <w:sz w:val="28"/>
          <w:szCs w:val="28"/>
          <w:rtl/>
        </w:rPr>
        <w:t>لقياس أثر كل بُعد من أبعاد التمكين القيادي على الابتكار الإداري. كما سيتم استخدام اختبار</w:t>
      </w:r>
      <w:r w:rsidRPr="00EC10D6">
        <w:rPr>
          <w:rFonts w:ascii="Sakkal Majalla" w:hAnsi="Sakkal Majalla" w:cs="Sakkal Majalla"/>
          <w:color w:val="000000" w:themeColor="text1"/>
          <w:sz w:val="28"/>
          <w:szCs w:val="28"/>
        </w:rPr>
        <w:t xml:space="preserve"> (ANOVA) </w:t>
      </w:r>
      <w:r w:rsidRPr="00EC10D6">
        <w:rPr>
          <w:rFonts w:ascii="Sakkal Majalla" w:hAnsi="Sakkal Majalla" w:cs="Sakkal Majalla"/>
          <w:color w:val="000000" w:themeColor="text1"/>
          <w:sz w:val="28"/>
          <w:szCs w:val="28"/>
          <w:rtl/>
        </w:rPr>
        <w:t>لتحليل الفروق بين المجموعات، إلى جانب اختبار</w:t>
      </w:r>
      <w:r w:rsidRPr="00EC10D6">
        <w:rPr>
          <w:rFonts w:ascii="Sakkal Majalla" w:hAnsi="Sakkal Majalla" w:cs="Sakkal Majalla"/>
          <w:color w:val="000000" w:themeColor="text1"/>
          <w:sz w:val="28"/>
          <w:szCs w:val="28"/>
        </w:rPr>
        <w:t xml:space="preserve"> T-Test </w:t>
      </w:r>
      <w:r w:rsidRPr="00EC10D6">
        <w:rPr>
          <w:rFonts w:ascii="Sakkal Majalla" w:hAnsi="Sakkal Majalla" w:cs="Sakkal Majalla"/>
          <w:color w:val="000000" w:themeColor="text1"/>
          <w:sz w:val="28"/>
          <w:szCs w:val="28"/>
          <w:rtl/>
        </w:rPr>
        <w:t>عند الحاجة، وإذا استدعت طبيعة البيانات ذلك، سيتم الاستعانة بـنمذجة المعادلات الهيكلية</w:t>
      </w:r>
      <w:r w:rsidRPr="00EC10D6">
        <w:rPr>
          <w:rFonts w:ascii="Sakkal Majalla" w:hAnsi="Sakkal Majalla" w:cs="Sakkal Majalla"/>
          <w:color w:val="000000" w:themeColor="text1"/>
          <w:sz w:val="28"/>
          <w:szCs w:val="28"/>
        </w:rPr>
        <w:t xml:space="preserve"> (SEM) </w:t>
      </w:r>
      <w:r w:rsidRPr="00EC10D6">
        <w:rPr>
          <w:rFonts w:ascii="Sakkal Majalla" w:hAnsi="Sakkal Majalla" w:cs="Sakkal Majalla"/>
          <w:color w:val="000000" w:themeColor="text1"/>
          <w:sz w:val="28"/>
          <w:szCs w:val="28"/>
          <w:rtl/>
        </w:rPr>
        <w:t>باستخدام برنامج</w:t>
      </w:r>
      <w:r w:rsidRPr="00EC10D6">
        <w:rPr>
          <w:rFonts w:ascii="Sakkal Majalla" w:hAnsi="Sakkal Majalla" w:cs="Sakkal Majalla"/>
          <w:color w:val="000000" w:themeColor="text1"/>
          <w:sz w:val="28"/>
          <w:szCs w:val="28"/>
        </w:rPr>
        <w:t xml:space="preserve"> SmartPLS </w:t>
      </w:r>
      <w:r w:rsidRPr="00EC10D6">
        <w:rPr>
          <w:rFonts w:ascii="Sakkal Majalla" w:hAnsi="Sakkal Majalla" w:cs="Sakkal Majalla"/>
          <w:color w:val="000000" w:themeColor="text1"/>
          <w:sz w:val="28"/>
          <w:szCs w:val="28"/>
          <w:rtl/>
        </w:rPr>
        <w:t>لتوضيح العلاقات الهيكلية بدقة واختبار النموذج المفاهيمي للدراسة</w:t>
      </w:r>
      <w:r w:rsidRPr="00EC10D6">
        <w:rPr>
          <w:rFonts w:ascii="Sakkal Majalla" w:hAnsi="Sakkal Majalla" w:cs="Sakkal Majalla"/>
          <w:color w:val="000000" w:themeColor="text1"/>
          <w:sz w:val="28"/>
          <w:szCs w:val="28"/>
        </w:rPr>
        <w:t>.</w:t>
      </w:r>
    </w:p>
    <w:p w14:paraId="7C752B2F" w14:textId="7995A0D5" w:rsidR="009B342E" w:rsidRPr="00EC10D6" w:rsidRDefault="009B342E" w:rsidP="009B342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4586335"/>
      <w:bookmarkEnd w:id="31"/>
      <w:r w:rsidRPr="00EC10D6">
        <w:rPr>
          <w:rFonts w:ascii="Sakkal Majalla" w:hAnsi="Sakkal Majalla" w:cs="Sakkal Majalla"/>
          <w:b/>
          <w:bCs/>
          <w:color w:val="000000" w:themeColor="text1"/>
          <w:sz w:val="36"/>
          <w:szCs w:val="36"/>
          <w:rtl/>
        </w:rPr>
        <w:t>15.1 حدود الدراسة:</w:t>
      </w:r>
      <w:bookmarkEnd w:id="32"/>
    </w:p>
    <w:p w14:paraId="25A330B3" w14:textId="52AB906A" w:rsidR="00CA49E9" w:rsidRPr="00EC10D6" w:rsidRDefault="00053122" w:rsidP="009B342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b/>
          <w:bCs/>
          <w:color w:val="000000" w:themeColor="text1"/>
          <w:sz w:val="28"/>
          <w:szCs w:val="28"/>
          <w:rtl/>
        </w:rPr>
        <w:t>حدود موضوعية</w:t>
      </w:r>
      <w:r w:rsidRPr="00EC10D6">
        <w:rPr>
          <w:rFonts w:ascii="Sakkal Majalla" w:hAnsi="Sakkal Majalla" w:cs="Sakkal Majalla"/>
          <w:color w:val="000000" w:themeColor="text1"/>
          <w:sz w:val="28"/>
          <w:szCs w:val="28"/>
          <w:rtl/>
        </w:rPr>
        <w:t xml:space="preserve">: </w:t>
      </w:r>
      <w:r w:rsidR="00FA2CF5" w:rsidRPr="00EC10D6">
        <w:rPr>
          <w:rFonts w:ascii="Sakkal Majalla" w:hAnsi="Sakkal Majalla" w:cs="Sakkal Majalla"/>
          <w:color w:val="000000" w:themeColor="text1"/>
          <w:sz w:val="28"/>
          <w:szCs w:val="28"/>
          <w:rtl/>
        </w:rPr>
        <w:t>ستقتصر الدراسة على تحليل أثر تمكين المرأة القيادية بأبعاده الأربعة (التمكين الإداري، التمكين المهني، التمكين المعرفي، وتمكين صنع القرار) على الابتكار الإداري في منظمات الأعمال السعودية</w:t>
      </w:r>
      <w:r w:rsidR="006904F6" w:rsidRPr="00EC10D6">
        <w:rPr>
          <w:rFonts w:ascii="Sakkal Majalla" w:hAnsi="Sakkal Majalla" w:cs="Sakkal Majalla"/>
          <w:color w:val="000000" w:themeColor="text1"/>
          <w:sz w:val="28"/>
          <w:szCs w:val="28"/>
          <w:rtl/>
        </w:rPr>
        <w:t>.</w:t>
      </w:r>
      <w:r w:rsidR="00CA49E9" w:rsidRPr="00EC10D6">
        <w:rPr>
          <w:rFonts w:ascii="Sakkal Majalla" w:hAnsi="Sakkal Majalla" w:cs="Sakkal Majalla"/>
          <w:color w:val="000000" w:themeColor="text1"/>
          <w:sz w:val="28"/>
          <w:szCs w:val="28"/>
          <w:rtl/>
        </w:rPr>
        <w:t xml:space="preserve"> </w:t>
      </w:r>
    </w:p>
    <w:p w14:paraId="15F8F91A" w14:textId="224B2FEF" w:rsidR="0036476A" w:rsidRPr="00EC10D6" w:rsidRDefault="00053122" w:rsidP="009B342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b/>
          <w:bCs/>
          <w:color w:val="000000" w:themeColor="text1"/>
          <w:sz w:val="28"/>
          <w:szCs w:val="28"/>
          <w:rtl/>
        </w:rPr>
        <w:t>حدود مكانية</w:t>
      </w:r>
      <w:r w:rsidRPr="00EC10D6">
        <w:rPr>
          <w:rFonts w:ascii="Sakkal Majalla" w:hAnsi="Sakkal Majalla" w:cs="Sakkal Majalla"/>
          <w:color w:val="000000" w:themeColor="text1"/>
          <w:sz w:val="28"/>
          <w:szCs w:val="28"/>
          <w:rtl/>
        </w:rPr>
        <w:t xml:space="preserve">: </w:t>
      </w:r>
      <w:r w:rsidR="00FA2CF5" w:rsidRPr="00EC10D6">
        <w:rPr>
          <w:rFonts w:ascii="Sakkal Majalla" w:hAnsi="Sakkal Majalla" w:cs="Sakkal Majalla"/>
          <w:color w:val="000000" w:themeColor="text1"/>
          <w:sz w:val="28"/>
          <w:szCs w:val="28"/>
          <w:rtl/>
        </w:rPr>
        <w:t>ستُجرى الدراسة في المؤسسات المتوسطة والكبيرة داخل المملكة العربية السعودية، وعلى وجه الخصوص في المدن الرئيسية التي تشهد تركيزاً عالياً للقيادات النسائية مثل</w:t>
      </w:r>
      <w:r w:rsidR="00FA2CF5" w:rsidRPr="00EC10D6">
        <w:rPr>
          <w:rFonts w:ascii="Sakkal Majalla" w:hAnsi="Sakkal Majalla" w:cs="Sakkal Majalla"/>
          <w:color w:val="000000" w:themeColor="text1"/>
          <w:sz w:val="28"/>
          <w:szCs w:val="28"/>
        </w:rPr>
        <w:t xml:space="preserve">: </w:t>
      </w:r>
      <w:r w:rsidR="00FA2CF5" w:rsidRPr="00EC10D6">
        <w:rPr>
          <w:rFonts w:ascii="Sakkal Majalla" w:hAnsi="Sakkal Majalla" w:cs="Sakkal Majalla"/>
          <w:color w:val="000000" w:themeColor="text1"/>
          <w:sz w:val="28"/>
          <w:szCs w:val="28"/>
          <w:rtl/>
        </w:rPr>
        <w:t>الرياض، جدة، الدمام، الخبر، والمدينة المنورة</w:t>
      </w:r>
      <w:r w:rsidR="00FA24AF" w:rsidRPr="00EC10D6">
        <w:rPr>
          <w:rFonts w:ascii="Sakkal Majalla" w:hAnsi="Sakkal Majalla" w:cs="Sakkal Majalla"/>
          <w:color w:val="000000" w:themeColor="text1"/>
          <w:sz w:val="28"/>
          <w:szCs w:val="28"/>
          <w:rtl/>
        </w:rPr>
        <w:t>.</w:t>
      </w:r>
    </w:p>
    <w:p w14:paraId="1ABED148" w14:textId="1369AB37" w:rsidR="00053122" w:rsidRPr="00EC10D6" w:rsidRDefault="00053122" w:rsidP="009B342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b/>
          <w:bCs/>
          <w:color w:val="000000" w:themeColor="text1"/>
          <w:sz w:val="28"/>
          <w:szCs w:val="28"/>
          <w:rtl/>
        </w:rPr>
        <w:t>حدود زمانية</w:t>
      </w:r>
      <w:r w:rsidRPr="00EC10D6">
        <w:rPr>
          <w:rFonts w:ascii="Sakkal Majalla" w:hAnsi="Sakkal Majalla" w:cs="Sakkal Majalla"/>
          <w:color w:val="000000" w:themeColor="text1"/>
          <w:sz w:val="28"/>
          <w:szCs w:val="28"/>
          <w:rtl/>
        </w:rPr>
        <w:t>: تم إعداد الدراسة في عام 202</w:t>
      </w:r>
      <w:r w:rsidR="000125CD" w:rsidRPr="00EC10D6">
        <w:rPr>
          <w:rFonts w:ascii="Sakkal Majalla" w:hAnsi="Sakkal Majalla" w:cs="Sakkal Majalla"/>
          <w:color w:val="000000" w:themeColor="text1"/>
          <w:sz w:val="28"/>
          <w:szCs w:val="28"/>
          <w:rtl/>
        </w:rPr>
        <w:t>5</w:t>
      </w:r>
      <w:r w:rsidR="00B346DF" w:rsidRPr="00EC10D6">
        <w:rPr>
          <w:rFonts w:ascii="Sakkal Majalla" w:hAnsi="Sakkal Majalla" w:cs="Sakkal Majalla"/>
          <w:color w:val="000000" w:themeColor="text1"/>
          <w:sz w:val="28"/>
          <w:szCs w:val="28"/>
          <w:rtl/>
        </w:rPr>
        <w:t>.</w:t>
      </w:r>
    </w:p>
    <w:p w14:paraId="3813A3F1" w14:textId="3EB5535B" w:rsidR="00B1237B" w:rsidRPr="00EC10D6" w:rsidRDefault="00B346DF" w:rsidP="009B342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b/>
          <w:bCs/>
          <w:color w:val="000000" w:themeColor="text1"/>
          <w:sz w:val="28"/>
          <w:szCs w:val="28"/>
          <w:rtl/>
        </w:rPr>
        <w:t>حدود بشرية</w:t>
      </w:r>
      <w:r w:rsidRPr="00EC10D6">
        <w:rPr>
          <w:rFonts w:ascii="Sakkal Majalla" w:hAnsi="Sakkal Majalla" w:cs="Sakkal Majalla"/>
          <w:color w:val="000000" w:themeColor="text1"/>
          <w:sz w:val="28"/>
          <w:szCs w:val="28"/>
          <w:rtl/>
        </w:rPr>
        <w:t xml:space="preserve">: </w:t>
      </w:r>
      <w:bookmarkStart w:id="33" w:name="_Toc169790506"/>
      <w:r w:rsidR="00FA2CF5" w:rsidRPr="00EC10D6">
        <w:rPr>
          <w:rFonts w:ascii="Sakkal Majalla" w:hAnsi="Sakkal Majalla" w:cs="Sakkal Majalla"/>
          <w:color w:val="000000" w:themeColor="text1"/>
          <w:sz w:val="28"/>
          <w:szCs w:val="28"/>
          <w:rtl/>
        </w:rPr>
        <w:t>ستقتصر الدراسة على القيادات النسائية والإداريين في المؤسسات المتوسطة والكبيرة، وتشمل:</w:t>
      </w:r>
      <w:r w:rsidR="009B342E" w:rsidRPr="00EC10D6">
        <w:rPr>
          <w:rFonts w:ascii="Sakkal Majalla" w:hAnsi="Sakkal Majalla" w:cs="Sakkal Majalla" w:hint="cs"/>
          <w:color w:val="000000" w:themeColor="text1"/>
          <w:sz w:val="28"/>
          <w:szCs w:val="28"/>
          <w:rtl/>
        </w:rPr>
        <w:t xml:space="preserve"> </w:t>
      </w:r>
      <w:r w:rsidR="00FA2CF5" w:rsidRPr="00EC10D6">
        <w:rPr>
          <w:rFonts w:ascii="Sakkal Majalla" w:hAnsi="Sakkal Majalla" w:cs="Sakkal Majalla"/>
          <w:color w:val="000000" w:themeColor="text1"/>
          <w:sz w:val="28"/>
          <w:szCs w:val="28"/>
          <w:rtl/>
        </w:rPr>
        <w:t>مديرات الإدارات – رئيسات الأقسام – المشرفات – العاملين في المستويات الإدارية العليا والمتوسطة ممّن لهم علاقة بعمليات اتخاذ القرار والابتكار الإداري.</w:t>
      </w:r>
      <w:r w:rsidR="00357BB1" w:rsidRPr="00EC10D6">
        <w:rPr>
          <w:rFonts w:ascii="Sakkal Majalla" w:hAnsi="Sakkal Majalla" w:cs="Sakkal Majalla"/>
          <w:color w:val="000000" w:themeColor="text1"/>
          <w:sz w:val="28"/>
          <w:szCs w:val="28"/>
          <w:rtl/>
        </w:rPr>
        <w:t>.</w:t>
      </w:r>
    </w:p>
    <w:p w14:paraId="63742DF5" w14:textId="77777777" w:rsidR="00B1237B" w:rsidRPr="00EC10D6" w:rsidRDefault="00B1237B" w:rsidP="009B342E">
      <w:pPr>
        <w:pStyle w:val="a6"/>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14:paraId="6B6B0E3F" w14:textId="77777777" w:rsidR="009B342E" w:rsidRPr="00EC10D6" w:rsidRDefault="009B342E">
      <w:pPr>
        <w:bidi w:val="0"/>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br w:type="page"/>
      </w:r>
    </w:p>
    <w:p w14:paraId="6DDA96DB" w14:textId="407AE9FE" w:rsidR="00C445F4" w:rsidRPr="00EC10D6" w:rsidRDefault="00C445F4" w:rsidP="00C445F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14586336"/>
      <w:r w:rsidRPr="00EC10D6">
        <w:rPr>
          <w:rFonts w:ascii="Sakkal Majalla" w:hAnsi="Sakkal Majalla" w:cs="Sakkal Majalla" w:hint="cs"/>
          <w:b/>
          <w:bCs/>
          <w:color w:val="000000" w:themeColor="text1"/>
          <w:sz w:val="40"/>
          <w:szCs w:val="40"/>
          <w:rtl/>
        </w:rPr>
        <w:t>الفصل الثاني: الإطار النظري</w:t>
      </w:r>
      <w:bookmarkEnd w:id="34"/>
    </w:p>
    <w:p w14:paraId="466F82D3" w14:textId="3AFD0225" w:rsidR="00C445F4" w:rsidRPr="00EC10D6" w:rsidRDefault="00C445F4" w:rsidP="00C445F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5" w:name="_Toc214586337"/>
      <w:r w:rsidRPr="00EC10D6">
        <w:rPr>
          <w:rFonts w:ascii="Sakkal Majalla" w:hAnsi="Sakkal Majalla" w:cs="Sakkal Majalla" w:hint="cs"/>
          <w:b/>
          <w:bCs/>
          <w:color w:val="000000" w:themeColor="text1"/>
          <w:sz w:val="36"/>
          <w:szCs w:val="36"/>
          <w:rtl/>
        </w:rPr>
        <w:t>المبحث الأول: تمكين المرأة القيادية</w:t>
      </w:r>
      <w:bookmarkEnd w:id="35"/>
    </w:p>
    <w:p w14:paraId="473093A8" w14:textId="705210E1" w:rsidR="00B1237B" w:rsidRPr="00EC10D6" w:rsidRDefault="00C445F4" w:rsidP="00C445F4">
      <w:pPr>
        <w:pStyle w:val="a6"/>
        <w:spacing w:before="100" w:beforeAutospacing="1" w:after="100" w:afterAutospacing="1" w:line="360" w:lineRule="auto"/>
        <w:contextualSpacing w:val="0"/>
        <w:jc w:val="both"/>
        <w:outlineLvl w:val="2"/>
        <w:rPr>
          <w:rFonts w:ascii="Sakkal Majalla" w:hAnsi="Sakkal Majalla" w:cs="Sakkal Majalla"/>
          <w:b/>
          <w:bCs/>
          <w:color w:val="000000" w:themeColor="text1"/>
          <w:sz w:val="32"/>
          <w:szCs w:val="32"/>
        </w:rPr>
      </w:pPr>
      <w:bookmarkStart w:id="36" w:name="_Toc214586338"/>
      <w:r w:rsidRPr="00EC10D6">
        <w:rPr>
          <w:rFonts w:ascii="Sakkal Majalla" w:hAnsi="Sakkal Majalla" w:cs="Sakkal Majalla" w:hint="cs"/>
          <w:b/>
          <w:bCs/>
          <w:color w:val="000000" w:themeColor="text1"/>
          <w:sz w:val="32"/>
          <w:szCs w:val="32"/>
          <w:rtl/>
        </w:rPr>
        <w:t xml:space="preserve">1.1.2 </w:t>
      </w:r>
      <w:r w:rsidR="00B1237B" w:rsidRPr="00EC10D6">
        <w:rPr>
          <w:rFonts w:ascii="Sakkal Majalla" w:hAnsi="Sakkal Majalla" w:cs="Sakkal Majalla"/>
          <w:b/>
          <w:bCs/>
          <w:color w:val="000000" w:themeColor="text1"/>
          <w:sz w:val="32"/>
          <w:szCs w:val="32"/>
          <w:rtl/>
        </w:rPr>
        <w:t>التمهيد</w:t>
      </w:r>
      <w:bookmarkEnd w:id="36"/>
    </w:p>
    <w:p w14:paraId="2D9D7165"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شهدت منظمات الأعمال، ولا سيما في المملكة العربية السعودية، تحولات جوهرية خلال العقد الأخير بفعل التغيرات الاقتصادية والاجتماعية والتقنية المت</w:t>
      </w:r>
      <w:r w:rsidRPr="00EC10D6">
        <w:rPr>
          <w:rFonts w:ascii="Sakkal Majalla" w:eastAsia="MS Gothic" w:hAnsi="Sakkal Majalla" w:cs="Sakkal Majalla"/>
          <w:color w:val="000000" w:themeColor="text1"/>
          <w:sz w:val="28"/>
          <w:szCs w:val="28"/>
        </w:rPr>
        <w:t>加</w:t>
      </w:r>
      <w:r w:rsidRPr="00EC10D6">
        <w:rPr>
          <w:rFonts w:ascii="Sakkal Majalla" w:hAnsi="Sakkal Majalla" w:cs="Sakkal Majalla"/>
          <w:color w:val="000000" w:themeColor="text1"/>
          <w:sz w:val="28"/>
          <w:szCs w:val="28"/>
          <w:rtl/>
        </w:rPr>
        <w:t>ربة مع مستهدفات رؤية السعودية 2030</w:t>
      </w:r>
      <w:r w:rsidRPr="00EC10D6">
        <w:rPr>
          <w:rFonts w:ascii="Sakkal Majalla" w:hAnsi="Sakkal Majalla" w:cs="Sakkal Majalla"/>
          <w:color w:val="000000" w:themeColor="text1"/>
          <w:sz w:val="28"/>
          <w:szCs w:val="28"/>
        </w:rPr>
        <w:t xml:space="preserve">. </w:t>
      </w:r>
      <w:r w:rsidRPr="00EC10D6">
        <w:rPr>
          <w:rFonts w:ascii="Sakkal Majalla" w:hAnsi="Sakkal Majalla" w:cs="Sakkal Majalla"/>
          <w:color w:val="000000" w:themeColor="text1"/>
          <w:sz w:val="28"/>
          <w:szCs w:val="28"/>
          <w:rtl/>
        </w:rPr>
        <w:t>وقد انعكس هذا التحول في زيادة الاهتمام بدور المرأة القيادية باعتبارها رافدًا أساسيًا في تعزيز القدرة التنافسية للمنظمات، ودعم الابتكار، وتحقيق الاستدامة الإدارية والتنظيمية. فتمكين المرأة لم يعد مجرد توجه اجتماعي أو مطلب تنموي، بل أصبح خيارًا استراتيجيًا يستند إلى أدلة عملية تظهر أثر القيادات النسائية في تحسين الأداء التنظيمي، وتطوير بيئات العمل، ودفع عجلة الإبداع والابتكار</w:t>
      </w:r>
      <w:r w:rsidRPr="00EC10D6">
        <w:rPr>
          <w:rFonts w:ascii="Sakkal Majalla" w:hAnsi="Sakkal Majalla" w:cs="Sakkal Majalla"/>
          <w:color w:val="000000" w:themeColor="text1"/>
          <w:sz w:val="28"/>
          <w:szCs w:val="28"/>
        </w:rPr>
        <w:t>.</w:t>
      </w:r>
    </w:p>
    <w:p w14:paraId="0C13EF9C" w14:textId="39EDA4C2"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وتشير الأدبيات الحديثة إلى أن تمكين المرأة القيادية لم يعد يقتصر على إتاحة الفرص، بل يتضمن ممارسات مؤسسية تراكمية تشمل التمكين الإداري الذي يوفّر صلاحيات ومسؤوليات واضحة، والتمكين المهني الذي يعزّز القدرات التخصصية والتطوير الوظيفي، والتمكين المعرفي الذي يتيح الوصول إلى المعرفة والمعلومات الاستراتيجية، إلى جانب تمكين صنع القرار الذي يعزز مشاركة المرأة في رسم السياسات وتوجيه المسارات المؤسسية</w:t>
      </w:r>
      <w:r w:rsidR="00C445F4" w:rsidRPr="00EC10D6">
        <w:rPr>
          <w:rFonts w:ascii="Sakkal Majalla" w:hAnsi="Sakkal Majalla" w:cs="Sakkal Majalla"/>
          <w:color w:val="000000" w:themeColor="text1"/>
          <w:sz w:val="28"/>
          <w:szCs w:val="28"/>
        </w:rPr>
        <w:t xml:space="preserve">. </w:t>
      </w:r>
      <w:r w:rsidRPr="00EC10D6">
        <w:rPr>
          <w:rFonts w:ascii="Sakkal Majalla" w:hAnsi="Sakkal Majalla" w:cs="Sakkal Majalla"/>
          <w:color w:val="000000" w:themeColor="text1"/>
          <w:sz w:val="28"/>
          <w:szCs w:val="28"/>
          <w:rtl/>
        </w:rPr>
        <w:t>إن هذه الأبعاد مجتمعة تخلق بيئة تمكينية قادرة على رفع مستوى فعالية القيادات النسائية، وبالتالي دعم الابتكار الإداري الذي أصبح أحد أهم مقاييس نجاح منظمات الأعمال في بيئات تتسم بالتنافسية العالية والتغير السريع</w:t>
      </w:r>
      <w:r w:rsidRPr="00EC10D6">
        <w:rPr>
          <w:rFonts w:ascii="Sakkal Majalla" w:hAnsi="Sakkal Majalla" w:cs="Sakkal Majalla"/>
          <w:color w:val="000000" w:themeColor="text1"/>
          <w:sz w:val="28"/>
          <w:szCs w:val="28"/>
        </w:rPr>
        <w:t>.</w:t>
      </w:r>
    </w:p>
    <w:p w14:paraId="73DBE4D2"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وفي السياق السعودي تحديدًا، كشفت الدراسات عن تحسن ملحوظ في مشاركة المرأة في المناصب القيادية، إلا أن هذا التطور لا يزال بحاجة إلى فهم علمي معمّق للعوامل المؤثرة في نجاح هذه القيادات، لاسيما فيما يتعلق بمدى انعكاس مستويات التمكين على قدرة المنظمات على تبنّي ممارسات الابتكار الإداري. ومن هنا تنبع أهمية هذه الدراسة التي تسعى إلى تحليل أثر تمكين المرأة القيادية بأبعاده المتعددة على الابتكار الإداري في المؤسسات السعودية المتوسطة والكبيرة، بما يسهم في توفير إطار معرفي يدعم صانعي السياسات، والباحثين، وقادة المنظمات</w:t>
      </w:r>
      <w:r w:rsidRPr="00EC10D6">
        <w:rPr>
          <w:rFonts w:ascii="Sakkal Majalla" w:hAnsi="Sakkal Majalla" w:cs="Sakkal Majalla"/>
          <w:color w:val="000000" w:themeColor="text1"/>
          <w:sz w:val="28"/>
          <w:szCs w:val="28"/>
        </w:rPr>
        <w:t>.</w:t>
      </w:r>
    </w:p>
    <w:p w14:paraId="28AD0271" w14:textId="1C32619E" w:rsidR="00B1237B" w:rsidRPr="00EC10D6" w:rsidRDefault="00C445F4" w:rsidP="00C445F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586339"/>
      <w:r w:rsidRPr="00EC10D6">
        <w:rPr>
          <w:rFonts w:ascii="Sakkal Majalla" w:hAnsi="Sakkal Majalla" w:cs="Sakkal Majalla" w:hint="cs"/>
          <w:b/>
          <w:bCs/>
          <w:color w:val="000000" w:themeColor="text1"/>
          <w:sz w:val="32"/>
          <w:szCs w:val="32"/>
          <w:rtl/>
        </w:rPr>
        <w:t xml:space="preserve">2.1.2 </w:t>
      </w:r>
      <w:r w:rsidR="00B1237B" w:rsidRPr="00EC10D6">
        <w:rPr>
          <w:rFonts w:ascii="Sakkal Majalla" w:hAnsi="Sakkal Majalla" w:cs="Sakkal Majalla"/>
          <w:b/>
          <w:bCs/>
          <w:color w:val="000000" w:themeColor="text1"/>
          <w:sz w:val="32"/>
          <w:szCs w:val="32"/>
          <w:rtl/>
        </w:rPr>
        <w:t>مفهوم تمكين المرأة القيادية</w:t>
      </w:r>
      <w:bookmarkEnd w:id="37"/>
    </w:p>
    <w:p w14:paraId="10436107"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اكتسب مفهوم تمكين المرأة القيادية اهتمامًا واسعًا في الأدبيات المعاصرة، حيث تراوحت تعريفاته بين التركيز على توسيع صلاحيات المرأة، وتطوير قدراتها، وتعزيز مشاركتها في صنع القرار، وإزالة المعوقات البنيوية التي تحد من وصولها إلى المناصب القيادية. وقد تعددت مقاربات الباحثين في تفسير هذا المفهوم، إلا أنها تلتقي جميعًا في أنه عملية ديناميكية تهدف إلى تعزيز قدرة المرأة على ممارسة القيادة بفاعلية</w:t>
      </w:r>
      <w:r w:rsidRPr="00EC10D6">
        <w:rPr>
          <w:rFonts w:ascii="Sakkal Majalla" w:hAnsi="Sakkal Majalla" w:cs="Sakkal Majalla"/>
          <w:color w:val="000000" w:themeColor="text1"/>
          <w:sz w:val="28"/>
          <w:szCs w:val="28"/>
        </w:rPr>
        <w:t>.</w:t>
      </w:r>
    </w:p>
    <w:p w14:paraId="03EDF0F6"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hint="cs"/>
          <w:color w:val="000000" w:themeColor="text1"/>
          <w:sz w:val="28"/>
          <w:szCs w:val="28"/>
          <w:rtl/>
          <w:lang w:bidi="ar-EG"/>
        </w:rPr>
        <w:t>فقد أشارت خالد</w:t>
      </w:r>
      <w:r w:rsidRPr="00EC10D6">
        <w:rPr>
          <w:rFonts w:ascii="Sakkal Majalla" w:hAnsi="Sakkal Majalla" w:cs="Sakkal Majalla" w:hint="cs"/>
          <w:color w:val="000000" w:themeColor="text1"/>
          <w:sz w:val="28"/>
          <w:szCs w:val="28"/>
          <w:lang w:bidi="ar-EG"/>
        </w:rPr>
        <w:t xml:space="preserve"> (2023) </w:t>
      </w:r>
      <w:r w:rsidRPr="00EC10D6">
        <w:rPr>
          <w:rFonts w:ascii="Sakkal Majalla" w:hAnsi="Sakkal Majalla" w:cs="Sakkal Majalla" w:hint="cs"/>
          <w:color w:val="000000" w:themeColor="text1"/>
          <w:sz w:val="28"/>
          <w:szCs w:val="28"/>
          <w:rtl/>
          <w:lang w:bidi="ar-EG"/>
        </w:rPr>
        <w:t>إلى أن تمكين المرأة هو عملية تنظيمية تهدف إلى "رفع قدرة المرأة على الوصول إلى الأدوار القيادية من خلال توفير الدعم المؤسسي، وتعديل الممارسات الإدارية التي تعيق مشاركتها، ومنحها الثقة والصلاحيات اللازمة لأداء مهامها". وفي السياق ذاته، ترى لفايز</w:t>
      </w:r>
      <w:r w:rsidRPr="00EC10D6">
        <w:rPr>
          <w:rFonts w:ascii="Sakkal Majalla" w:hAnsi="Sakkal Majalla" w:cs="Sakkal Majalla" w:hint="cs"/>
          <w:color w:val="000000" w:themeColor="text1"/>
          <w:sz w:val="28"/>
          <w:szCs w:val="28"/>
          <w:lang w:bidi="ar-EG"/>
        </w:rPr>
        <w:t xml:space="preserve"> (2024) </w:t>
      </w:r>
      <w:r w:rsidRPr="00EC10D6">
        <w:rPr>
          <w:rFonts w:ascii="Sakkal Majalla" w:hAnsi="Sakkal Majalla" w:cs="Sakkal Majalla" w:hint="cs"/>
          <w:color w:val="000000" w:themeColor="text1"/>
          <w:sz w:val="28"/>
          <w:szCs w:val="28"/>
          <w:rtl/>
          <w:lang w:bidi="ar-EG"/>
        </w:rPr>
        <w:t>أن تمكين المرأة يمثل "مجموعة من الممارسات الاستراتيجية المتكاملة التي تهدف إلى تعزيز حضور المرأة القيادية في بيئات العمل، من خلال توفير التدريب، وإتاحة الموارد، ودعم استقلاليتها في اتخاذ القرار</w:t>
      </w:r>
      <w:r w:rsidRPr="00EC10D6">
        <w:rPr>
          <w:rFonts w:ascii="Sakkal Majalla" w:hAnsi="Sakkal Majalla" w:cs="Sakkal Majalla" w:hint="cs"/>
          <w:color w:val="000000" w:themeColor="text1"/>
          <w:sz w:val="28"/>
          <w:szCs w:val="28"/>
          <w:lang w:bidi="ar-EG"/>
        </w:rPr>
        <w:t>".</w:t>
      </w:r>
    </w:p>
    <w:p w14:paraId="5A41AF4F"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hint="cs"/>
          <w:color w:val="000000" w:themeColor="text1"/>
          <w:sz w:val="28"/>
          <w:szCs w:val="28"/>
          <w:rtl/>
          <w:lang w:bidi="ar-EG"/>
        </w:rPr>
        <w:t>كما عرّفت العنزي والعسكر</w:t>
      </w:r>
      <w:r w:rsidRPr="00EC10D6">
        <w:rPr>
          <w:rFonts w:ascii="Sakkal Majalla" w:hAnsi="Sakkal Majalla" w:cs="Sakkal Majalla" w:hint="cs"/>
          <w:color w:val="000000" w:themeColor="text1"/>
          <w:sz w:val="28"/>
          <w:szCs w:val="28"/>
          <w:lang w:bidi="ar-EG"/>
        </w:rPr>
        <w:t xml:space="preserve"> (2025) </w:t>
      </w:r>
      <w:r w:rsidRPr="00EC10D6">
        <w:rPr>
          <w:rFonts w:ascii="Sakkal Majalla" w:hAnsi="Sakkal Majalla" w:cs="Sakkal Majalla" w:hint="cs"/>
          <w:color w:val="000000" w:themeColor="text1"/>
          <w:sz w:val="28"/>
          <w:szCs w:val="28"/>
          <w:rtl/>
          <w:lang w:bidi="ar-EG"/>
        </w:rPr>
        <w:t>التمكين بأنه "آلية تنظيمية تتضمن إزالة العوائق المرتبطة بالسقف الزجاجي، وتفعيل دور المرأة في المناصب العليا عبر سياسات مؤسسية تشجع مشاركتها وتمنحها الثقة والاعتماد المهني". بينما ترى الشماسي وآخرون</w:t>
      </w:r>
      <w:r w:rsidRPr="00EC10D6">
        <w:rPr>
          <w:rFonts w:ascii="Sakkal Majalla" w:hAnsi="Sakkal Majalla" w:cs="Sakkal Majalla" w:hint="cs"/>
          <w:color w:val="000000" w:themeColor="text1"/>
          <w:sz w:val="28"/>
          <w:szCs w:val="28"/>
          <w:lang w:bidi="ar-EG"/>
        </w:rPr>
        <w:t xml:space="preserve"> (2024) </w:t>
      </w:r>
      <w:r w:rsidRPr="00EC10D6">
        <w:rPr>
          <w:rFonts w:ascii="Sakkal Majalla" w:hAnsi="Sakkal Majalla" w:cs="Sakkal Majalla" w:hint="cs"/>
          <w:color w:val="000000" w:themeColor="text1"/>
          <w:sz w:val="28"/>
          <w:szCs w:val="28"/>
          <w:rtl/>
          <w:lang w:bidi="ar-EG"/>
        </w:rPr>
        <w:t>أن التمكين القيادي يقوم على "تعزيز القوة النفسية والمعرفية للمرأة، وتطوير مهاراتها القيادية، وتحسين قدرتها على إحداث التأثير، بما يدعم سلوكها الاستباقي داخل المؤسسات الحكومية</w:t>
      </w:r>
      <w:r w:rsidRPr="00EC10D6">
        <w:rPr>
          <w:rFonts w:ascii="Sakkal Majalla" w:hAnsi="Sakkal Majalla" w:cs="Sakkal Majalla" w:hint="cs"/>
          <w:color w:val="000000" w:themeColor="text1"/>
          <w:sz w:val="28"/>
          <w:szCs w:val="28"/>
          <w:lang w:bidi="ar-EG"/>
        </w:rPr>
        <w:t>".</w:t>
      </w:r>
    </w:p>
    <w:p w14:paraId="24EF4E68"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hint="cs"/>
          <w:color w:val="000000" w:themeColor="text1"/>
          <w:sz w:val="28"/>
          <w:szCs w:val="28"/>
          <w:rtl/>
          <w:lang w:bidi="ar-EG"/>
        </w:rPr>
        <w:t xml:space="preserve">من ناحية أخرى، عرّفت الدراسات الدولية المفهوم من منظور إداري أوسع. فقد أوضحت </w:t>
      </w:r>
      <w:proofErr w:type="spellStart"/>
      <w:r w:rsidRPr="00EC10D6">
        <w:rPr>
          <w:rFonts w:ascii="Sakkal Majalla" w:hAnsi="Sakkal Majalla" w:cs="Sakkal Majalla" w:hint="cs"/>
          <w:color w:val="000000" w:themeColor="text1"/>
          <w:sz w:val="28"/>
          <w:szCs w:val="28"/>
          <w:lang w:bidi="ar-EG"/>
        </w:rPr>
        <w:t>Albuainain</w:t>
      </w:r>
      <w:proofErr w:type="spellEnd"/>
      <w:r w:rsidRPr="00EC10D6">
        <w:rPr>
          <w:rFonts w:ascii="Sakkal Majalla" w:hAnsi="Sakkal Majalla" w:cs="Sakkal Majalla" w:hint="cs"/>
          <w:color w:val="000000" w:themeColor="text1"/>
          <w:sz w:val="28"/>
          <w:szCs w:val="28"/>
          <w:lang w:bidi="ar-EG"/>
        </w:rPr>
        <w:t xml:space="preserve"> (2024) </w:t>
      </w:r>
      <w:r w:rsidRPr="00EC10D6">
        <w:rPr>
          <w:rFonts w:ascii="Sakkal Majalla" w:hAnsi="Sakkal Majalla" w:cs="Sakkal Majalla" w:hint="cs"/>
          <w:color w:val="000000" w:themeColor="text1"/>
          <w:sz w:val="28"/>
          <w:szCs w:val="28"/>
          <w:rtl/>
          <w:lang w:bidi="ar-EG"/>
        </w:rPr>
        <w:t xml:space="preserve">أن تمكين المرأة القيادية هو "تزويد المرأة بالسلطة والموارد التنظيمية التي تمكّنها من المشاركة في صنع القرار الاستراتيجي بفاعلية، ضمن بيئات تشجع المساواة وتعزز الثقة بقدرات القيادات النسائية". وذهبت دراسة </w:t>
      </w:r>
      <w:r w:rsidRPr="00EC10D6">
        <w:rPr>
          <w:rFonts w:ascii="Sakkal Majalla" w:hAnsi="Sakkal Majalla" w:cs="Sakkal Majalla" w:hint="cs"/>
          <w:color w:val="000000" w:themeColor="text1"/>
          <w:sz w:val="28"/>
          <w:szCs w:val="28"/>
          <w:lang w:bidi="ar-EG"/>
        </w:rPr>
        <w:t xml:space="preserve">Iqbal &amp; Ahmad (2024) </w:t>
      </w:r>
      <w:r w:rsidRPr="00EC10D6">
        <w:rPr>
          <w:rFonts w:ascii="Sakkal Majalla" w:hAnsi="Sakkal Majalla" w:cs="Sakkal Majalla" w:hint="cs"/>
          <w:color w:val="000000" w:themeColor="text1"/>
          <w:sz w:val="28"/>
          <w:szCs w:val="28"/>
          <w:rtl/>
          <w:lang w:bidi="ar-EG"/>
        </w:rPr>
        <w:t>إلى أنه "عملية تحويلية تشمل تطوير القدرات القيادية للمرأة، وتمكينها من الوصول إلى المناصب العليا، وتحسين مشاركتها في تطوير السياسات التنظيمية</w:t>
      </w:r>
      <w:r w:rsidRPr="00EC10D6">
        <w:rPr>
          <w:rFonts w:ascii="Sakkal Majalla" w:hAnsi="Sakkal Majalla" w:cs="Sakkal Majalla" w:hint="cs"/>
          <w:color w:val="000000" w:themeColor="text1"/>
          <w:sz w:val="28"/>
          <w:szCs w:val="28"/>
          <w:lang w:bidi="ar-EG"/>
        </w:rPr>
        <w:t>".</w:t>
      </w:r>
    </w:p>
    <w:p w14:paraId="0B9FA40E"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hint="cs"/>
          <w:color w:val="000000" w:themeColor="text1"/>
          <w:sz w:val="28"/>
          <w:szCs w:val="28"/>
          <w:rtl/>
          <w:lang w:bidi="ar-EG"/>
        </w:rPr>
        <w:t xml:space="preserve">كما يقدّم </w:t>
      </w:r>
      <w:proofErr w:type="spellStart"/>
      <w:r w:rsidRPr="00EC10D6">
        <w:rPr>
          <w:rFonts w:ascii="Sakkal Majalla" w:hAnsi="Sakkal Majalla" w:cs="Sakkal Majalla" w:hint="cs"/>
          <w:color w:val="000000" w:themeColor="text1"/>
          <w:sz w:val="28"/>
          <w:szCs w:val="28"/>
          <w:lang w:bidi="ar-EG"/>
        </w:rPr>
        <w:t>Khushk</w:t>
      </w:r>
      <w:proofErr w:type="spellEnd"/>
      <w:r w:rsidRPr="00EC10D6">
        <w:rPr>
          <w:rFonts w:ascii="Sakkal Majalla" w:hAnsi="Sakkal Majalla" w:cs="Sakkal Majalla" w:hint="cs"/>
          <w:color w:val="000000" w:themeColor="text1"/>
          <w:sz w:val="28"/>
          <w:szCs w:val="28"/>
          <w:lang w:bidi="ar-EG"/>
        </w:rPr>
        <w:t xml:space="preserve"> et al. (2022) </w:t>
      </w:r>
      <w:r w:rsidRPr="00EC10D6">
        <w:rPr>
          <w:rFonts w:ascii="Sakkal Majalla" w:hAnsi="Sakkal Majalla" w:cs="Sakkal Majalla" w:hint="cs"/>
          <w:color w:val="000000" w:themeColor="text1"/>
          <w:sz w:val="28"/>
          <w:szCs w:val="28"/>
          <w:rtl/>
          <w:lang w:bidi="ar-EG"/>
        </w:rPr>
        <w:t>تفسيرًا وظيفيًا للمفهوم، معتبرين أن تمكين المرأة القيادية يتجاوز حدود منح السلطة إلى "مرحلة تطوير القدرات الابتكارية، واستثمار خصائص القيادة النسائية في تحسين الأداء ورفع القدرة التنافسية للمنظمات</w:t>
      </w:r>
      <w:r w:rsidRPr="00EC10D6">
        <w:rPr>
          <w:rFonts w:ascii="Sakkal Majalla" w:hAnsi="Sakkal Majalla" w:cs="Sakkal Majalla" w:hint="cs"/>
          <w:color w:val="000000" w:themeColor="text1"/>
          <w:sz w:val="28"/>
          <w:szCs w:val="28"/>
          <w:lang w:bidi="ar-EG"/>
        </w:rPr>
        <w:t>".</w:t>
      </w:r>
    </w:p>
    <w:p w14:paraId="06657060"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وتميل الأدبيات الحديثة إلى النظر إلى التمكين باعتباره عملية متعددة الأبعاد، تشمل الجوانب الإدارية والمهنية والمعرفية والنفسية، إضافة إلى البعد المتعلق بصنع القرار، وكلها تسهم في بناء قيادة نسائية مؤثرة وفعّالة</w:t>
      </w:r>
      <w:r w:rsidRPr="00EC10D6">
        <w:rPr>
          <w:rFonts w:ascii="Sakkal Majalla" w:hAnsi="Sakkal Majalla" w:cs="Sakkal Majalla"/>
          <w:color w:val="000000" w:themeColor="text1"/>
          <w:sz w:val="28"/>
          <w:szCs w:val="28"/>
        </w:rPr>
        <w:t>.</w:t>
      </w:r>
    </w:p>
    <w:p w14:paraId="3745778A" w14:textId="2012EF21" w:rsidR="00B1237B" w:rsidRPr="00EC10D6" w:rsidRDefault="00C445F4" w:rsidP="00C445F4">
      <w:pPr>
        <w:pStyle w:val="a6"/>
        <w:spacing w:before="100" w:beforeAutospacing="1" w:after="100" w:afterAutospacing="1" w:line="360" w:lineRule="auto"/>
        <w:contextualSpacing w:val="0"/>
        <w:jc w:val="both"/>
        <w:outlineLvl w:val="2"/>
        <w:rPr>
          <w:rFonts w:ascii="Sakkal Majalla" w:hAnsi="Sakkal Majalla" w:cs="Sakkal Majalla"/>
          <w:b/>
          <w:bCs/>
          <w:color w:val="000000" w:themeColor="text1"/>
          <w:sz w:val="32"/>
          <w:szCs w:val="32"/>
        </w:rPr>
      </w:pPr>
      <w:bookmarkStart w:id="38" w:name="_Toc214586340"/>
      <w:r w:rsidRPr="00EC10D6">
        <w:rPr>
          <w:rFonts w:ascii="Sakkal Majalla" w:hAnsi="Sakkal Majalla" w:cs="Sakkal Majalla" w:hint="cs"/>
          <w:b/>
          <w:bCs/>
          <w:color w:val="000000" w:themeColor="text1"/>
          <w:sz w:val="32"/>
          <w:szCs w:val="32"/>
          <w:rtl/>
        </w:rPr>
        <w:t xml:space="preserve">3.1.2 </w:t>
      </w:r>
      <w:r w:rsidR="00B1237B" w:rsidRPr="00EC10D6">
        <w:rPr>
          <w:rFonts w:ascii="Sakkal Majalla" w:hAnsi="Sakkal Majalla" w:cs="Sakkal Majalla"/>
          <w:b/>
          <w:bCs/>
          <w:color w:val="000000" w:themeColor="text1"/>
          <w:sz w:val="32"/>
          <w:szCs w:val="32"/>
          <w:rtl/>
        </w:rPr>
        <w:t>أهمية تمكين المرأة القيادية</w:t>
      </w:r>
      <w:bookmarkEnd w:id="38"/>
    </w:p>
    <w:p w14:paraId="7F07C0F2"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تتزايد أهمية تمكين المرأة القيادية في الوقت الراهن بوصفه أحد المحركات الأساسية للتطوير التنظيمي، والإبداع الإداري، وتحقيق الجودة والاستدامة داخل منظمات الأعمال. ومع التحولات الاقتصادية والاجتماعية التي تشهدها المملكة العربية السعودية، أصبح تمكين المرأة في المواقع القيادية خيارًا استراتيجيًا لا يقل أهمية عن أي عنصر من عناصر التنافسية المؤسسية، إذ أثبتت الدراسات أن مشاركة المرأة في القيادة تسهم في تحسين الأداء، وتعزيز التنوع، وتطوير قدرات المنظمة على الابتكار وحل المشكلات. كما أن تمكين القيادات النسائية يعكس مدى نضج المنظمة وانفتاحها على ممارسات الإدارة الحديثة المرتبطة برؤية 2030، والتي تؤكد على ضرورة استثمار رأس المال البشري في كل مكوناته</w:t>
      </w:r>
      <w:r w:rsidRPr="00EC10D6">
        <w:rPr>
          <w:rFonts w:ascii="Sakkal Majalla" w:hAnsi="Sakkal Majalla" w:cs="Sakkal Majalla"/>
          <w:color w:val="000000" w:themeColor="text1"/>
          <w:sz w:val="28"/>
          <w:szCs w:val="28"/>
        </w:rPr>
        <w:t>.</w:t>
      </w:r>
    </w:p>
    <w:p w14:paraId="640C5DE9"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ويشير (خالد، 2023) إلى أن أهمية تمكين المرأة القيادية تتمثل في</w:t>
      </w:r>
      <w:r w:rsidRPr="00EC10D6">
        <w:rPr>
          <w:rFonts w:ascii="Sakkal Majalla" w:hAnsi="Sakkal Majalla" w:cs="Sakkal Majalla"/>
          <w:color w:val="000000" w:themeColor="text1"/>
          <w:sz w:val="28"/>
          <w:szCs w:val="28"/>
        </w:rPr>
        <w:t>:</w:t>
      </w:r>
    </w:p>
    <w:p w14:paraId="497B9EB8" w14:textId="77777777" w:rsidR="00B1237B" w:rsidRPr="00EC10D6" w:rsidRDefault="00B1237B" w:rsidP="00C445F4">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تعزيز مشاركة المرأة في الأدوار التنظيمية العليا من خلال إزالة القيود الإدارية والثقافية التي تحد من وصولها إلى مواقع صنع القرار</w:t>
      </w:r>
      <w:r w:rsidRPr="00EC10D6">
        <w:rPr>
          <w:rFonts w:ascii="Sakkal Majalla" w:hAnsi="Sakkal Majalla" w:cs="Sakkal Majalla"/>
          <w:color w:val="000000" w:themeColor="text1"/>
          <w:sz w:val="28"/>
          <w:szCs w:val="28"/>
        </w:rPr>
        <w:t>.</w:t>
      </w:r>
    </w:p>
    <w:p w14:paraId="2684C1FA" w14:textId="77777777" w:rsidR="00B1237B" w:rsidRPr="00EC10D6" w:rsidRDefault="00B1237B" w:rsidP="00C445F4">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رفع كفاءة المنظمات عبر الاستفادة من تنوع الأساليب القيادية لدى المرأة، مما يسهم في تحسين عمليات اتخاذ القرار وزيادة المرونة المؤسسية</w:t>
      </w:r>
      <w:r w:rsidRPr="00EC10D6">
        <w:rPr>
          <w:rFonts w:ascii="Sakkal Majalla" w:hAnsi="Sakkal Majalla" w:cs="Sakkal Majalla"/>
          <w:color w:val="000000" w:themeColor="text1"/>
          <w:sz w:val="28"/>
          <w:szCs w:val="28"/>
        </w:rPr>
        <w:t>.</w:t>
      </w:r>
    </w:p>
    <w:p w14:paraId="4E125216" w14:textId="77777777" w:rsidR="00B1237B" w:rsidRPr="00EC10D6" w:rsidRDefault="00B1237B" w:rsidP="00C445F4">
      <w:pPr>
        <w:pStyle w:val="a6"/>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تحقيق العدالة التنظيمية وتكافؤ الفرص من خلال بناء بيئة عمل داعمة تستند إلى مبادئ الإنصاف والشفافية وتقدير الكفاءات</w:t>
      </w:r>
      <w:r w:rsidRPr="00EC10D6">
        <w:rPr>
          <w:rFonts w:ascii="Sakkal Majalla" w:hAnsi="Sakkal Majalla" w:cs="Sakkal Majalla"/>
          <w:color w:val="000000" w:themeColor="text1"/>
          <w:sz w:val="28"/>
          <w:szCs w:val="28"/>
        </w:rPr>
        <w:t>.</w:t>
      </w:r>
    </w:p>
    <w:p w14:paraId="2FE3EDA9"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ويشير (الشماسي وآخرون، 2024) إلى أن أهمية التمكين القيادي للمرأة تتجلى في</w:t>
      </w:r>
      <w:r w:rsidRPr="00EC10D6">
        <w:rPr>
          <w:rFonts w:ascii="Sakkal Majalla" w:hAnsi="Sakkal Majalla" w:cs="Sakkal Majalla"/>
          <w:color w:val="000000" w:themeColor="text1"/>
          <w:sz w:val="28"/>
          <w:szCs w:val="28"/>
        </w:rPr>
        <w:t>:</w:t>
      </w:r>
    </w:p>
    <w:p w14:paraId="562133CD" w14:textId="77777777" w:rsidR="00B1237B" w:rsidRPr="00EC10D6" w:rsidRDefault="00B1237B" w:rsidP="00C445F4">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تعزيز السلوك الاستباقي لدى القيادات النسائية، مما ينعكس على تحسين فاعلية البرامج التطويرية ومبادرات التغيير داخل المؤسسة</w:t>
      </w:r>
      <w:r w:rsidRPr="00EC10D6">
        <w:rPr>
          <w:rFonts w:ascii="Sakkal Majalla" w:hAnsi="Sakkal Majalla" w:cs="Sakkal Majalla"/>
          <w:color w:val="000000" w:themeColor="text1"/>
          <w:sz w:val="28"/>
          <w:szCs w:val="28"/>
        </w:rPr>
        <w:t>.</w:t>
      </w:r>
    </w:p>
    <w:p w14:paraId="52CD1D48" w14:textId="77777777" w:rsidR="00B1237B" w:rsidRPr="00EC10D6" w:rsidRDefault="00B1237B" w:rsidP="00C445F4">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تنمية القدرات النفسية والمعرفية للمرأة، مما يزيد قدرتها على التأثير في فرق العمل وصياغة القرارات الاستراتيجية</w:t>
      </w:r>
      <w:r w:rsidRPr="00EC10D6">
        <w:rPr>
          <w:rFonts w:ascii="Sakkal Majalla" w:hAnsi="Sakkal Majalla" w:cs="Sakkal Majalla"/>
          <w:color w:val="000000" w:themeColor="text1"/>
          <w:sz w:val="28"/>
          <w:szCs w:val="28"/>
        </w:rPr>
        <w:t>.</w:t>
      </w:r>
    </w:p>
    <w:p w14:paraId="21E93CE2" w14:textId="77777777" w:rsidR="00B1237B" w:rsidRPr="00EC10D6" w:rsidRDefault="00B1237B" w:rsidP="00C445F4">
      <w:pPr>
        <w:pStyle w:val="a6"/>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رفع جودة الأداء الحكومي والمؤسسي نتيجة تعزيز القدرة القيادية للمرأة وتمكينها من أدوات التخطيط والتنفيذ والتقييم</w:t>
      </w:r>
      <w:r w:rsidRPr="00EC10D6">
        <w:rPr>
          <w:rFonts w:ascii="Sakkal Majalla" w:hAnsi="Sakkal Majalla" w:cs="Sakkal Majalla"/>
          <w:color w:val="000000" w:themeColor="text1"/>
          <w:sz w:val="28"/>
          <w:szCs w:val="28"/>
        </w:rPr>
        <w:t>.</w:t>
      </w:r>
    </w:p>
    <w:p w14:paraId="0BD168E5"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ويشير</w:t>
      </w:r>
      <w:r w:rsidRPr="00EC10D6">
        <w:rPr>
          <w:rFonts w:ascii="Sakkal Majalla" w:hAnsi="Sakkal Majalla" w:cs="Sakkal Majalla"/>
          <w:color w:val="000000" w:themeColor="text1"/>
          <w:sz w:val="28"/>
          <w:szCs w:val="28"/>
        </w:rPr>
        <w:t xml:space="preserve"> (</w:t>
      </w:r>
      <w:proofErr w:type="spellStart"/>
      <w:r w:rsidRPr="00EC10D6">
        <w:rPr>
          <w:rFonts w:ascii="Sakkal Majalla" w:hAnsi="Sakkal Majalla" w:cs="Sakkal Majalla"/>
          <w:color w:val="000000" w:themeColor="text1"/>
          <w:sz w:val="28"/>
          <w:szCs w:val="28"/>
        </w:rPr>
        <w:t>Albuainain</w:t>
      </w:r>
      <w:proofErr w:type="spellEnd"/>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إلى أن أهمية التمكين تتمثل في</w:t>
      </w:r>
      <w:r w:rsidRPr="00EC10D6">
        <w:rPr>
          <w:rFonts w:ascii="Sakkal Majalla" w:hAnsi="Sakkal Majalla" w:cs="Sakkal Majalla"/>
          <w:color w:val="000000" w:themeColor="text1"/>
          <w:sz w:val="28"/>
          <w:szCs w:val="28"/>
        </w:rPr>
        <w:t>:</w:t>
      </w:r>
    </w:p>
    <w:p w14:paraId="7BB1D4E8" w14:textId="77777777" w:rsidR="00B1237B" w:rsidRPr="00EC10D6" w:rsidRDefault="00B1237B" w:rsidP="00C445F4">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دعم المشاركة الإستراتيجية للمرأة في عمليات التخطيط وصنع القرار على أعلى المستويات</w:t>
      </w:r>
      <w:r w:rsidRPr="00EC10D6">
        <w:rPr>
          <w:rFonts w:ascii="Sakkal Majalla" w:hAnsi="Sakkal Majalla" w:cs="Sakkal Majalla"/>
          <w:color w:val="000000" w:themeColor="text1"/>
          <w:sz w:val="28"/>
          <w:szCs w:val="28"/>
        </w:rPr>
        <w:t>.</w:t>
      </w:r>
    </w:p>
    <w:p w14:paraId="7041BF91" w14:textId="77777777" w:rsidR="00B1237B" w:rsidRPr="00EC10D6" w:rsidRDefault="00B1237B" w:rsidP="00C445F4">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تحسين القدرة التنافسية للمنظمات من خلال الاستفادة من سمات القيادة النسائية المرتبطة بالدقة والابتكار والتفكير التحليلي</w:t>
      </w:r>
      <w:r w:rsidRPr="00EC10D6">
        <w:rPr>
          <w:rFonts w:ascii="Sakkal Majalla" w:hAnsi="Sakkal Majalla" w:cs="Sakkal Majalla"/>
          <w:color w:val="000000" w:themeColor="text1"/>
          <w:sz w:val="28"/>
          <w:szCs w:val="28"/>
        </w:rPr>
        <w:t>.</w:t>
      </w:r>
    </w:p>
    <w:p w14:paraId="255EFE1C" w14:textId="77777777" w:rsidR="00B1237B" w:rsidRPr="00EC10D6" w:rsidRDefault="00B1237B" w:rsidP="00C445F4">
      <w:pPr>
        <w:pStyle w:val="a6"/>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إحداث تحول مؤسسي طويل المدى قائم على ممارسات القيادة الشاملة التي تمثل عنصرًا رئيسًا في بناء ثقافة تنظيمية متجددة</w:t>
      </w:r>
      <w:r w:rsidRPr="00EC10D6">
        <w:rPr>
          <w:rFonts w:ascii="Sakkal Majalla" w:hAnsi="Sakkal Majalla" w:cs="Sakkal Majalla"/>
          <w:color w:val="000000" w:themeColor="text1"/>
          <w:sz w:val="28"/>
          <w:szCs w:val="28"/>
        </w:rPr>
        <w:t>.</w:t>
      </w:r>
    </w:p>
    <w:p w14:paraId="04B52CEB"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ويرى (العنزي والعسكر، 2025) أن أهمية تمكين المرأة القيادية تكمن في</w:t>
      </w:r>
      <w:r w:rsidRPr="00EC10D6">
        <w:rPr>
          <w:rFonts w:ascii="Sakkal Majalla" w:hAnsi="Sakkal Majalla" w:cs="Sakkal Majalla"/>
          <w:color w:val="000000" w:themeColor="text1"/>
          <w:sz w:val="28"/>
          <w:szCs w:val="28"/>
        </w:rPr>
        <w:t>:</w:t>
      </w:r>
    </w:p>
    <w:p w14:paraId="3588D637" w14:textId="77777777" w:rsidR="00B1237B" w:rsidRPr="00EC10D6" w:rsidRDefault="00B1237B" w:rsidP="00C445F4">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التغلب على ظاهرة السقف الزجاجي التي شكلت عقبة تاريخية أمام وصول المرأة للمناصب العليا</w:t>
      </w:r>
      <w:r w:rsidRPr="00EC10D6">
        <w:rPr>
          <w:rFonts w:ascii="Sakkal Majalla" w:hAnsi="Sakkal Majalla" w:cs="Sakkal Majalla"/>
          <w:color w:val="000000" w:themeColor="text1"/>
          <w:sz w:val="28"/>
          <w:szCs w:val="28"/>
        </w:rPr>
        <w:t>.</w:t>
      </w:r>
    </w:p>
    <w:p w14:paraId="5D8EC136" w14:textId="77777777" w:rsidR="00B1237B" w:rsidRPr="00EC10D6" w:rsidRDefault="00B1237B" w:rsidP="00C445F4">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تفعيل دورها في القيادة العليا بما يعزز العدالة المهنية ويرفع مستوى التنوع الإداري داخل المؤسسات</w:t>
      </w:r>
      <w:r w:rsidRPr="00EC10D6">
        <w:rPr>
          <w:rFonts w:ascii="Sakkal Majalla" w:hAnsi="Sakkal Majalla" w:cs="Sakkal Majalla"/>
          <w:color w:val="000000" w:themeColor="text1"/>
          <w:sz w:val="28"/>
          <w:szCs w:val="28"/>
        </w:rPr>
        <w:t>.</w:t>
      </w:r>
    </w:p>
    <w:p w14:paraId="48972E86" w14:textId="77777777" w:rsidR="00B1237B" w:rsidRPr="00EC10D6" w:rsidRDefault="00B1237B" w:rsidP="00C445F4">
      <w:pPr>
        <w:pStyle w:val="a6"/>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تحقيق التحول المؤسسي المتوافق مع المتغيرات العالمية من خلال دمج القيادات النسائية في مراكز صنع القرار</w:t>
      </w:r>
      <w:r w:rsidRPr="00EC10D6">
        <w:rPr>
          <w:rFonts w:ascii="Sakkal Majalla" w:hAnsi="Sakkal Majalla" w:cs="Sakkal Majalla"/>
          <w:color w:val="000000" w:themeColor="text1"/>
          <w:sz w:val="28"/>
          <w:szCs w:val="28"/>
        </w:rPr>
        <w:t>.</w:t>
      </w:r>
    </w:p>
    <w:p w14:paraId="6D990D58" w14:textId="2B3E5164" w:rsidR="00B1237B" w:rsidRPr="00EC10D6" w:rsidRDefault="00C445F4" w:rsidP="00C445F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586341"/>
      <w:r w:rsidRPr="00EC10D6">
        <w:rPr>
          <w:rFonts w:ascii="Sakkal Majalla" w:hAnsi="Sakkal Majalla" w:cs="Sakkal Majalla" w:hint="cs"/>
          <w:b/>
          <w:bCs/>
          <w:color w:val="000000" w:themeColor="text1"/>
          <w:sz w:val="32"/>
          <w:szCs w:val="32"/>
          <w:rtl/>
        </w:rPr>
        <w:t xml:space="preserve">4.1.2 </w:t>
      </w:r>
      <w:r w:rsidR="00B1237B" w:rsidRPr="00EC10D6">
        <w:rPr>
          <w:rFonts w:ascii="Sakkal Majalla" w:hAnsi="Sakkal Majalla" w:cs="Sakkal Majalla"/>
          <w:b/>
          <w:bCs/>
          <w:color w:val="000000" w:themeColor="text1"/>
          <w:sz w:val="32"/>
          <w:szCs w:val="32"/>
          <w:rtl/>
        </w:rPr>
        <w:t>أبعاد تمكين المرأة القيادية</w:t>
      </w:r>
      <w:bookmarkEnd w:id="39"/>
    </w:p>
    <w:p w14:paraId="14B1D7C9" w14:textId="28C86EB3"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تم تحديد أبعاد تمكين المرأة القيادية في هذه الدراسة بالاستناد إلى مجموعة من الأدبيات الحديثة التي تناولت مفهوم التمكين من منظور إداري ومهني ومعرفي واستراتيجي. وقد اعتمدت الدراسة في بنائها المفاهيمي على ما عرضته الشماسي وآخرون</w:t>
      </w:r>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حول محددات التمكين النفسي والمعرفي للمرأة القيادية، وما قدمته دراسة خالد</w:t>
      </w:r>
      <w:r w:rsidRPr="00EC10D6">
        <w:rPr>
          <w:rFonts w:ascii="Sakkal Majalla" w:hAnsi="Sakkal Majalla" w:cs="Sakkal Majalla"/>
          <w:color w:val="000000" w:themeColor="text1"/>
          <w:sz w:val="28"/>
          <w:szCs w:val="28"/>
        </w:rPr>
        <w:t xml:space="preserve"> (2023) </w:t>
      </w:r>
      <w:r w:rsidRPr="00EC10D6">
        <w:rPr>
          <w:rFonts w:ascii="Sakkal Majalla" w:hAnsi="Sakkal Majalla" w:cs="Sakkal Majalla"/>
          <w:color w:val="000000" w:themeColor="text1"/>
          <w:sz w:val="28"/>
          <w:szCs w:val="28"/>
          <w:rtl/>
        </w:rPr>
        <w:t xml:space="preserve">بشأن تمكين المرأة داخل المنظمات من خلال تعزيز صلاحياتها المهنية والإدارية، وما أكدته دراسات دولية مثل </w:t>
      </w:r>
      <w:proofErr w:type="spellStart"/>
      <w:r w:rsidRPr="00EC10D6">
        <w:rPr>
          <w:rFonts w:ascii="Sakkal Majalla" w:hAnsi="Sakkal Majalla" w:cs="Sakkal Majalla"/>
          <w:color w:val="000000" w:themeColor="text1"/>
          <w:sz w:val="28"/>
          <w:szCs w:val="28"/>
        </w:rPr>
        <w:t>Albuainain</w:t>
      </w:r>
      <w:proofErr w:type="spellEnd"/>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 xml:space="preserve">و </w:t>
      </w:r>
      <w:r w:rsidRPr="00EC10D6">
        <w:rPr>
          <w:rFonts w:ascii="Sakkal Majalla" w:hAnsi="Sakkal Majalla" w:cs="Sakkal Majalla"/>
          <w:color w:val="000000" w:themeColor="text1"/>
          <w:sz w:val="28"/>
          <w:szCs w:val="28"/>
        </w:rPr>
        <w:t xml:space="preserve">Iqbal &amp; Ahmad (2024) </w:t>
      </w:r>
      <w:r w:rsidRPr="00EC10D6">
        <w:rPr>
          <w:rFonts w:ascii="Sakkal Majalla" w:hAnsi="Sakkal Majalla" w:cs="Sakkal Majalla"/>
          <w:color w:val="000000" w:themeColor="text1"/>
          <w:sz w:val="28"/>
          <w:szCs w:val="28"/>
          <w:rtl/>
        </w:rPr>
        <w:t>حول تمكين المرأة في صنع القرار ودورها في تطوير الأداء المؤسسي. وبناءً على ذلك تم تبني أربعة أبعاد رئيسة هي</w:t>
      </w:r>
      <w:r w:rsidRPr="00EC10D6">
        <w:rPr>
          <w:rFonts w:ascii="Sakkal Majalla" w:hAnsi="Sakkal Majalla" w:cs="Sakkal Majalla"/>
          <w:color w:val="000000" w:themeColor="text1"/>
          <w:sz w:val="28"/>
          <w:szCs w:val="28"/>
        </w:rPr>
        <w:t xml:space="preserve">: </w:t>
      </w:r>
      <w:r w:rsidRPr="00EC10D6">
        <w:rPr>
          <w:rFonts w:ascii="Sakkal Majalla" w:hAnsi="Sakkal Majalla" w:cs="Sakkal Majalla"/>
          <w:color w:val="000000" w:themeColor="text1"/>
          <w:sz w:val="28"/>
          <w:szCs w:val="28"/>
          <w:rtl/>
        </w:rPr>
        <w:t>التمكين الإداري، التمكين المهني، التمكين المعرفي، وتمكين صنع القرار، كونها تمثل الإطار الأكثر شمولًا وقدرة على تفسير الظاهرة المدروسة داخل السياق السعودي</w:t>
      </w:r>
      <w:r w:rsidRPr="00EC10D6">
        <w:rPr>
          <w:rFonts w:ascii="Sakkal Majalla" w:hAnsi="Sakkal Majalla" w:cs="Sakkal Majalla"/>
          <w:color w:val="000000" w:themeColor="text1"/>
          <w:sz w:val="28"/>
          <w:szCs w:val="28"/>
        </w:rPr>
        <w:t>.</w:t>
      </w:r>
    </w:p>
    <w:p w14:paraId="05B007F3" w14:textId="77777777" w:rsidR="00B1237B" w:rsidRPr="00EC10D6" w:rsidRDefault="00B1237B" w:rsidP="009B342E">
      <w:pPr>
        <w:spacing w:before="100" w:beforeAutospacing="1" w:after="100" w:afterAutospacing="1" w:line="360" w:lineRule="auto"/>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أولاً: التمكين الإداري</w:t>
      </w:r>
    </w:p>
    <w:p w14:paraId="6B25CBFE" w14:textId="467C7E48"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يمثل التمكين الإداري أحد الأبعاد الجوهرية لتمكين المرأة القيادية، إذ يعكس مدى قدرة المنظمة على توفير بيئة تنظيمية تمنح المرأة الصلاحيات الوظيفية والسلطات الإدارية اللازمة لأداء دورها القيادي بفاعلية. ويشمل هذا البعد تفويض السلطات، وتوسيع نطاق العمل، وتحرير المرأة من القيود البيروقراطية التي تعيق ممارستها لواجباتها، إضافة إلى تعزيز الثقة المؤسسية بقدرتها على اتخاذ القرارات التشغيلية. ويُعد هذا النوع من التمكين مؤشرًا مباشرًا على مستوى النضج الإداري للمنظمة؛ فكلما زادت مساحة الاستقلالية الإدارية الممنوحة للمرأة، كلما ارتفع مستوى تأثيرها القيادي في فرق العمل، وقدرتها على تنظيم الموارد، وإدارة المهام، ومواجهة التحديات التنظيمية. كما يرتبط التمكين الإداري بدور المنظمة في توفير هياكل واضحة للسلطة وتوصيف وظيفي يعكس مسؤوليات المرأة القيادية، فضلًا عن وجود سياسات إدارية تضمن العدالة وتكافؤ الفرص وعدم التمييز. ويُعد هذا البعد امتدادًا لما أكدته الأدبيات بأن التمكين الإداري هو حجر الأساس في بناء قيادة نسائية فعّالة قادرة على الإسهام في تحسين الأداء المؤسسي</w:t>
      </w:r>
      <w:r w:rsidRPr="00EC10D6">
        <w:rPr>
          <w:rFonts w:ascii="Sakkal Majalla" w:hAnsi="Sakkal Majalla" w:cs="Sakkal Majalla"/>
          <w:color w:val="000000" w:themeColor="text1"/>
          <w:sz w:val="28"/>
          <w:szCs w:val="28"/>
        </w:rPr>
        <w:t>.</w:t>
      </w:r>
    </w:p>
    <w:p w14:paraId="240FAEA9" w14:textId="77777777" w:rsidR="00B1237B" w:rsidRPr="00EC10D6" w:rsidRDefault="00B1237B" w:rsidP="009B342E">
      <w:pPr>
        <w:spacing w:before="100" w:beforeAutospacing="1" w:after="100" w:afterAutospacing="1" w:line="360" w:lineRule="auto"/>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ثانيًا: التمكين المهني</w:t>
      </w:r>
    </w:p>
    <w:p w14:paraId="53FB396C" w14:textId="36FE45BF"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يرتبط التمكين المهني بالقدرات التخصصية والمهارية التي تمتلكها المرأة والتي تؤهلها لأداء المهام القيادية بكفاءة عالية. ويشمل هذا البعد فرص التدريب والتطوير المهني، وإتاحة المسارات الوظيفية الواضحة، ودعم المرأة في اكتساب المهارات الفنية والقيادية المرتبطة بطبيعة العمل. كما يتضمن تشجيع المرأة على المشاركة في البرامج المتخصصة، والمؤتمرات المهنية، وورش العمل، وتزويدها بالفرص التي تعزز خبرتها العملية. ويُعد التمكين المهني أحد أهم العوامل التي تؤثر في ثقة المرأة بنفسها وفي نظرة المؤسسة إلى قدراتها، إذ يهيئ لها بيئة محفزة للنمو والتطوير المستمر. ويؤدي هذا البعد دورًا رئيسًا في بناء رأس مال بشري نسائي مؤهل، قادر على إدخال ممارسات تطويرية جديدة، وتقديم حلول مبتكرة، والارتقاء بمستوى الأداء الفريق. كما يؤثر التمكين المهني مباشرة في فرص المرأة للوصول إلى المناصب القيادية العليا، نظرًا لارتباطه بالجدارة المهنية التي تعد معيارًا أساسيًا في الترقية والاختيار</w:t>
      </w:r>
      <w:r w:rsidRPr="00EC10D6">
        <w:rPr>
          <w:rFonts w:ascii="Sakkal Majalla" w:hAnsi="Sakkal Majalla" w:cs="Sakkal Majalla"/>
          <w:color w:val="000000" w:themeColor="text1"/>
          <w:sz w:val="28"/>
          <w:szCs w:val="28"/>
        </w:rPr>
        <w:t>.</w:t>
      </w:r>
    </w:p>
    <w:p w14:paraId="67D6CA0F" w14:textId="77777777" w:rsidR="00B1237B" w:rsidRPr="00EC10D6" w:rsidRDefault="00B1237B" w:rsidP="009B342E">
      <w:pPr>
        <w:spacing w:before="100" w:beforeAutospacing="1" w:after="100" w:afterAutospacing="1" w:line="360" w:lineRule="auto"/>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ثالثًا: التمكين المعرفي</w:t>
      </w:r>
    </w:p>
    <w:p w14:paraId="02F2FF4D" w14:textId="076E1195"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يُعد التمكين المعرفي بعدًا محوريًا في تمكين المرأة القيادية، إذ يتعلق بمدى إتاحة المعرفة والمعلومات التنظيمية التي تحتاج إليها المرأة لاتخاذ قرارات صحيحة وتوجيه العمل المؤسسي بكفاءة. ويشمل هذا البعد توفير البيانات، وإتاحة الوصول إلى المعلومات الاستراتيجية، وإشراك المرأة في الاجتماعات واللجان التي تُناقش فيها السياسات والخطط. كما يرتبط التمكين المعرفي بتنمية القدرة التحليلية والفكر الاستراتيجي للمرأة من خلال تزويدها بالمعرفة المتخصصة حول العمليات الإدارية، والتقنيات الحديثة، ومتطلبات الابتكار، واتجاهات الإدارة المعاصرة. ويؤكد هذا البعد على أهمية الاستثمار في بناء المعرفة كرافعة رئيسة للقيادة، إذ يساعد المرأة على التفكير النقدي، ومعالجة المشكلات، وتطوير المبادرات. كما يمثل التمكين المعرفي عنصرًا ضروريًا لرفع جودة القرارات وتعزيز الحوكمة داخل المؤسسات، لأن المعرفة تمثل القوة الأساسية التي تحدد مدى تأثير القائد داخل الهيكل التنظيمي</w:t>
      </w:r>
      <w:r w:rsidRPr="00EC10D6">
        <w:rPr>
          <w:rFonts w:ascii="Sakkal Majalla" w:hAnsi="Sakkal Majalla" w:cs="Sakkal Majalla"/>
          <w:color w:val="000000" w:themeColor="text1"/>
          <w:sz w:val="28"/>
          <w:szCs w:val="28"/>
        </w:rPr>
        <w:t>.</w:t>
      </w:r>
    </w:p>
    <w:p w14:paraId="3F38EA6A" w14:textId="77777777" w:rsidR="00B1237B" w:rsidRPr="00EC10D6" w:rsidRDefault="00B1237B" w:rsidP="009B342E">
      <w:pPr>
        <w:spacing w:before="100" w:beforeAutospacing="1" w:after="100" w:afterAutospacing="1" w:line="360" w:lineRule="auto"/>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رابعًا: تمكين صنع القرار</w:t>
      </w:r>
    </w:p>
    <w:p w14:paraId="0585BC41" w14:textId="77777777" w:rsidR="00B1237B" w:rsidRPr="00EC10D6" w:rsidRDefault="00B1237B"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يُعد تمكين المرأة في مجال صنع القرار أعلى مستويات التمكين القيادي، لأنه يجسد الاعتراف الحقيقي بدورها في تشكيل مستقبل المنظمة وتحديد توجهاتها. ويشمل هذا البعد مشاركة المرأة في اللجان العليا، والمجالس التنفيذية، واجتماعات التخطيط الاستراتيجي، إضافة إلى منحها صلاحيات اتخاذ القرارات الجوهرية المتعلقة بالسياسات والبرامج والمشروعات. كما يشمل قدرة المرأة على المبادرة، والتأثير في السياسات، واقتراح حلول إبداعية، والقدرة على التعامل مع المواقف المعقدة التي تتطلب رؤية قيادية. ويمنح هذا البعد المرأة مساحة للتأثير في بناء الثقافة التنظيمية وتوجيه مسار العمل بما يعكس رؤيتها وخبراتها، كما يعزز من حضورها القيادي الحقيقي داخل المؤسسة. وقد أكدت الدراسات أن المرأة عندما تُمنح سلطة صنع القرار تسهم بشكل أكبر في تحسين الجودة، وتطوير الأداء، ودعم الابتكار الإداري، نظرًا لما تتميز به من أساليب قيادية تشاركية تعتمد على التوازن، والتواصل الفعّال، ورؤية شاملة للمشكلات</w:t>
      </w:r>
      <w:r w:rsidRPr="00EC10D6">
        <w:rPr>
          <w:rFonts w:ascii="Sakkal Majalla" w:hAnsi="Sakkal Majalla" w:cs="Sakkal Majalla"/>
          <w:color w:val="000000" w:themeColor="text1"/>
          <w:sz w:val="28"/>
          <w:szCs w:val="28"/>
        </w:rPr>
        <w:t>.</w:t>
      </w:r>
    </w:p>
    <w:p w14:paraId="74DCD4A9" w14:textId="169299D6" w:rsidR="00B31E3D" w:rsidRPr="00EC10D6" w:rsidRDefault="00C445F4" w:rsidP="00C445F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586342"/>
      <w:r w:rsidRPr="00EC10D6">
        <w:rPr>
          <w:rFonts w:ascii="Sakkal Majalla" w:hAnsi="Sakkal Majalla" w:cs="Sakkal Majalla" w:hint="cs"/>
          <w:b/>
          <w:bCs/>
          <w:color w:val="000000" w:themeColor="text1"/>
          <w:sz w:val="32"/>
          <w:szCs w:val="32"/>
          <w:rtl/>
        </w:rPr>
        <w:t xml:space="preserve">5.1.2 </w:t>
      </w:r>
      <w:r w:rsidR="00B31E3D" w:rsidRPr="00EC10D6">
        <w:rPr>
          <w:rFonts w:ascii="Sakkal Majalla" w:hAnsi="Sakkal Majalla" w:cs="Sakkal Majalla"/>
          <w:b/>
          <w:bCs/>
          <w:color w:val="000000" w:themeColor="text1"/>
          <w:sz w:val="32"/>
          <w:szCs w:val="32"/>
          <w:rtl/>
        </w:rPr>
        <w:t>العوامل المؤسسية المؤثرة في تمكين المرأة القيادية</w:t>
      </w:r>
      <w:bookmarkEnd w:id="40"/>
      <w:r w:rsidR="00B31E3D" w:rsidRPr="00EC10D6">
        <w:rPr>
          <w:rFonts w:ascii="Sakkal Majalla" w:hAnsi="Sakkal Majalla" w:cs="Sakkal Majalla"/>
          <w:b/>
          <w:bCs/>
          <w:color w:val="000000" w:themeColor="text1"/>
          <w:sz w:val="32"/>
          <w:szCs w:val="32"/>
          <w:rtl/>
        </w:rPr>
        <w:t xml:space="preserve"> </w:t>
      </w:r>
    </w:p>
    <w:p w14:paraId="56D75C17" w14:textId="77777777"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يؤكد العديد من الباحثين أن تمكين المرأة القيادية لا يعتمد فقط على قدراتها الفردية، بل يرتبط بشكل مباشر بالممارسات والسياسات والهياكل التنظيمية داخل المؤسسات، إذ تشكّل هذه العوامل بيئة تمكينية أو بيئة مقيدة لدور المرأة في القيادة (خالد، 2023؛ العنزي والعسكر، 2025). كما ترى دراسات إقليمية ودولية أن فعالية التمكين ترتبط بمستوى الشمولية المؤسسية ومرونة الأنظمة، ومدى دعم الإدارة العليا لسياسات تمكين المرأة</w:t>
      </w:r>
      <w:r w:rsidRPr="00EC10D6">
        <w:rPr>
          <w:rFonts w:ascii="Sakkal Majalla" w:hAnsi="Sakkal Majalla" w:cs="Sakkal Majalla"/>
          <w:color w:val="000000" w:themeColor="text1"/>
          <w:sz w:val="28"/>
          <w:szCs w:val="28"/>
        </w:rPr>
        <w:t xml:space="preserve"> (</w:t>
      </w:r>
      <w:proofErr w:type="spellStart"/>
      <w:r w:rsidRPr="00EC10D6">
        <w:rPr>
          <w:rFonts w:ascii="Sakkal Majalla" w:hAnsi="Sakkal Majalla" w:cs="Sakkal Majalla"/>
          <w:color w:val="000000" w:themeColor="text1"/>
          <w:sz w:val="28"/>
          <w:szCs w:val="28"/>
        </w:rPr>
        <w:t>Albuainain</w:t>
      </w:r>
      <w:proofErr w:type="spellEnd"/>
      <w:r w:rsidRPr="00EC10D6">
        <w:rPr>
          <w:rFonts w:ascii="Sakkal Majalla" w:hAnsi="Sakkal Majalla" w:cs="Sakkal Majalla"/>
          <w:color w:val="000000" w:themeColor="text1"/>
          <w:sz w:val="28"/>
          <w:szCs w:val="28"/>
        </w:rPr>
        <w:t>, 2024</w:t>
      </w:r>
      <w:r w:rsidRPr="00EC10D6">
        <w:rPr>
          <w:rFonts w:ascii="Sakkal Majalla" w:hAnsi="Sakkal Majalla" w:cs="Sakkal Majalla"/>
          <w:color w:val="000000" w:themeColor="text1"/>
          <w:sz w:val="28"/>
          <w:szCs w:val="28"/>
          <w:rtl/>
        </w:rPr>
        <w:t>؛</w:t>
      </w:r>
      <w:r w:rsidRPr="00EC10D6">
        <w:rPr>
          <w:rFonts w:ascii="Sakkal Majalla" w:hAnsi="Sakkal Majalla" w:cs="Sakkal Majalla"/>
          <w:color w:val="000000" w:themeColor="text1"/>
          <w:sz w:val="28"/>
          <w:szCs w:val="28"/>
        </w:rPr>
        <w:t xml:space="preserve"> Iqbal &amp; Ahmad, 2024). </w:t>
      </w:r>
      <w:r w:rsidRPr="00EC10D6">
        <w:rPr>
          <w:rFonts w:ascii="Sakkal Majalla" w:hAnsi="Sakkal Majalla" w:cs="Sakkal Majalla"/>
          <w:color w:val="000000" w:themeColor="text1"/>
          <w:sz w:val="28"/>
          <w:szCs w:val="28"/>
          <w:rtl/>
        </w:rPr>
        <w:t>ولذلك؛ تُعد العوامل المؤسسية أحد أهم المتغيرات المؤثرة في تحقيق التمكين الحقيقي للمرأة القيادية في المنظمات</w:t>
      </w:r>
      <w:r w:rsidRPr="00EC10D6">
        <w:rPr>
          <w:rFonts w:ascii="Sakkal Majalla" w:hAnsi="Sakkal Majalla" w:cs="Sakkal Majalla"/>
          <w:color w:val="000000" w:themeColor="text1"/>
          <w:sz w:val="28"/>
          <w:szCs w:val="28"/>
        </w:rPr>
        <w:t>.</w:t>
      </w:r>
    </w:p>
    <w:p w14:paraId="313EFA50" w14:textId="79E49E11"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وفيما يلي أبرز العوامل المؤسسية المرتبطة بالتمكين كما أوضحتها الأدبيات</w:t>
      </w:r>
      <w:r w:rsidRPr="00EC10D6">
        <w:rPr>
          <w:rFonts w:ascii="Sakkal Majalla" w:hAnsi="Sakkal Majalla" w:cs="Sakkal Majalla"/>
          <w:color w:val="000000" w:themeColor="text1"/>
          <w:sz w:val="28"/>
          <w:szCs w:val="28"/>
        </w:rPr>
        <w:t>:</w:t>
      </w:r>
    </w:p>
    <w:p w14:paraId="5815AFA5" w14:textId="5290EABC"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الثقافة التنظيمية الداعمة</w:t>
      </w:r>
    </w:p>
    <w:p w14:paraId="48A2EF68" w14:textId="123084BF"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تعد الثقافة التنظيمية إطارًا جوهريًا يحدد مدى قبول المنظمة لوجود المرأة في المناصب القيادية. فالثقافات التي تقوم على العدالة وتقدير الكفاءة تعزز من ثقة المرأة بنفسها وفرصها في التأثير، بينما تشكل الثقافات التقليدية أو الذكورية عقبة أمام مسارها المهني (لفايز، 2024). وتشير الأدبيات إلى أن الثقافة التنظيمية الداعمة ترتبط إيجابيًا بمستويات التمكين في مختلف القطاعات، بما فيها القطاعين الحكومي والتعليمي (الشماسي وآخرون، 2024)</w:t>
      </w:r>
      <w:r w:rsidRPr="00EC10D6">
        <w:rPr>
          <w:rFonts w:ascii="Sakkal Majalla" w:hAnsi="Sakkal Majalla" w:cs="Sakkal Majalla"/>
          <w:color w:val="000000" w:themeColor="text1"/>
          <w:sz w:val="28"/>
          <w:szCs w:val="28"/>
        </w:rPr>
        <w:t>.</w:t>
      </w:r>
    </w:p>
    <w:p w14:paraId="2DC7325D" w14:textId="6A615DA3"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دعم الإدارة العليا</w:t>
      </w:r>
    </w:p>
    <w:p w14:paraId="39687C71" w14:textId="0B28263B"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تؤكد البحوث أن دعم الإدارة العليا يُعد من أكثر العوامل تأثيرًا في عملية التمكين، حيث تُظهر المؤسسات التي تتبنى توجهًا استراتيجيًا نحو تعزيز دور المرأة القيادية مستويات أعلى من استقلالية النساء داخل الهياكل التنظيمية (العنزي وآخرون، 2023). كما يشير</w:t>
      </w:r>
      <w:r w:rsidRPr="00EC10D6">
        <w:rPr>
          <w:rFonts w:ascii="Sakkal Majalla" w:hAnsi="Sakkal Majalla" w:cs="Sakkal Majalla"/>
          <w:color w:val="000000" w:themeColor="text1"/>
          <w:sz w:val="28"/>
          <w:szCs w:val="28"/>
        </w:rPr>
        <w:t xml:space="preserve"> Iqbal &amp; Ahmad (2024) </w:t>
      </w:r>
      <w:r w:rsidRPr="00EC10D6">
        <w:rPr>
          <w:rFonts w:ascii="Sakkal Majalla" w:hAnsi="Sakkal Majalla" w:cs="Sakkal Majalla"/>
          <w:color w:val="000000" w:themeColor="text1"/>
          <w:sz w:val="28"/>
          <w:szCs w:val="28"/>
          <w:rtl/>
        </w:rPr>
        <w:t>إلى أن التوجهات الوطنية مثل رؤية السعودية 2030 أسهمت في رفع مستوى التزام القيادات التنفيذية بتمكين المرأة، خصوصًا في قطاعات التعليم والأعمال</w:t>
      </w:r>
      <w:r w:rsidRPr="00EC10D6">
        <w:rPr>
          <w:rFonts w:ascii="Sakkal Majalla" w:hAnsi="Sakkal Majalla" w:cs="Sakkal Majalla"/>
          <w:color w:val="000000" w:themeColor="text1"/>
          <w:sz w:val="28"/>
          <w:szCs w:val="28"/>
        </w:rPr>
        <w:t>.</w:t>
      </w:r>
    </w:p>
    <w:p w14:paraId="787AC4B4" w14:textId="1E4F5457"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السياسات واللوائح التنظيمية</w:t>
      </w:r>
    </w:p>
    <w:p w14:paraId="5C24AFA8" w14:textId="0087B313"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ترى الدراسات أن وجود سياسات تنظيمية واضحة وشاملة يمثل أساسًا لتحقيق العدالة المهنية، ويقلل من التحيز ويعزز وصول المرأة للمناصب العليا (بوبريمة وحجام، 2023). وتشمل هذه السياسات: أنظمة الترقية القائمة على الجدارة، آليات الحد من التمييز، خطط الإحلال الوظيفي النسائية، وسياسات تكافؤ الفرص. كما تشير دراسة</w:t>
      </w:r>
      <w:r w:rsidRPr="00EC10D6">
        <w:rPr>
          <w:rFonts w:ascii="Sakkal Majalla" w:hAnsi="Sakkal Majalla" w:cs="Sakkal Majalla"/>
          <w:color w:val="000000" w:themeColor="text1"/>
          <w:sz w:val="28"/>
          <w:szCs w:val="28"/>
        </w:rPr>
        <w:t xml:space="preserve"> </w:t>
      </w:r>
      <w:proofErr w:type="spellStart"/>
      <w:r w:rsidRPr="00EC10D6">
        <w:rPr>
          <w:rFonts w:ascii="Sakkal Majalla" w:hAnsi="Sakkal Majalla" w:cs="Sakkal Majalla"/>
          <w:color w:val="000000" w:themeColor="text1"/>
          <w:sz w:val="28"/>
          <w:szCs w:val="28"/>
        </w:rPr>
        <w:t>Albuainain</w:t>
      </w:r>
      <w:proofErr w:type="spellEnd"/>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إلى أن السياسات التنظيمية الشفافة تُعد شرطًا أساسيًا لدمج المرأة في صنع القرار</w:t>
      </w:r>
      <w:r w:rsidRPr="00EC10D6">
        <w:rPr>
          <w:rFonts w:ascii="Sakkal Majalla" w:hAnsi="Sakkal Majalla" w:cs="Sakkal Majalla"/>
          <w:color w:val="000000" w:themeColor="text1"/>
          <w:sz w:val="28"/>
          <w:szCs w:val="28"/>
        </w:rPr>
        <w:t>.</w:t>
      </w:r>
    </w:p>
    <w:p w14:paraId="06739800" w14:textId="70ED8ECE"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نظم التدريب والتطوير المهني</w:t>
      </w:r>
    </w:p>
    <w:p w14:paraId="22B2A8B3" w14:textId="557EA8BC"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توضح الأدبيات أن التدريب والتطوير المهني يمثلان ركيزة أساسية لبناء القدرات القيادية لدى المرأة، خصوصًا في البيئات التي تحتاج إلى مهارات تقنية وإدارية متقدمة (الفواز، 2024). كما تشير الشماسي وآخرون (2024) إلى أن البرامج التدريبية الموجهة للقيادات النسائية تسهم في رفع مستوى السلوك الاستباقي ودعم استعداد المرأة لتولّي الأدوار القيادية العليا</w:t>
      </w:r>
      <w:r w:rsidRPr="00EC10D6">
        <w:rPr>
          <w:rFonts w:ascii="Sakkal Majalla" w:hAnsi="Sakkal Majalla" w:cs="Sakkal Majalla"/>
          <w:color w:val="000000" w:themeColor="text1"/>
          <w:sz w:val="28"/>
          <w:szCs w:val="28"/>
        </w:rPr>
        <w:t>.</w:t>
      </w:r>
    </w:p>
    <w:p w14:paraId="3AFE9FE3" w14:textId="771C1194"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العدالة في الحوافز وتقييم الأداء</w:t>
      </w:r>
    </w:p>
    <w:p w14:paraId="5DF6A3CB" w14:textId="793432C7"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يرى الباحثون أن نظم الحوافز العادلة وتقييم الأداء الموضوعي تُعد من أهم مؤشرات التمكين الحقيقي داخل المنظمات (شعراوي والسيد، 2024). فالمساواة في التقدير المادي والمعنوي بين الرجال والنساء تعزز ثقة المرأة بنفسها وتدعم بقاءها في البيئة التنظيمية. كما تشير دراسات دولية إلى أن وجود نظام تقييم موضوعي مرتبط بالأداء وليس بالنوع الاجتماعي يرفع مستوى التمكين جوهريًا</w:t>
      </w:r>
      <w:r w:rsidRPr="00EC10D6">
        <w:rPr>
          <w:rFonts w:ascii="Sakkal Majalla" w:hAnsi="Sakkal Majalla" w:cs="Sakkal Majalla"/>
          <w:color w:val="000000" w:themeColor="text1"/>
          <w:sz w:val="28"/>
          <w:szCs w:val="28"/>
        </w:rPr>
        <w:t xml:space="preserve"> (</w:t>
      </w:r>
      <w:proofErr w:type="spellStart"/>
      <w:r w:rsidRPr="00EC10D6">
        <w:rPr>
          <w:rFonts w:ascii="Sakkal Majalla" w:hAnsi="Sakkal Majalla" w:cs="Sakkal Majalla"/>
          <w:color w:val="000000" w:themeColor="text1"/>
          <w:sz w:val="28"/>
          <w:szCs w:val="28"/>
        </w:rPr>
        <w:t>Khushk</w:t>
      </w:r>
      <w:proofErr w:type="spellEnd"/>
      <w:r w:rsidRPr="00EC10D6">
        <w:rPr>
          <w:rFonts w:ascii="Sakkal Majalla" w:hAnsi="Sakkal Majalla" w:cs="Sakkal Majalla"/>
          <w:color w:val="000000" w:themeColor="text1"/>
          <w:sz w:val="28"/>
          <w:szCs w:val="28"/>
        </w:rPr>
        <w:t xml:space="preserve"> et al., 2022).</w:t>
      </w:r>
    </w:p>
    <w:p w14:paraId="59F67B29" w14:textId="6DA21232"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بيئة العمل والمرونة التنظيمية</w:t>
      </w:r>
    </w:p>
    <w:p w14:paraId="250740BA" w14:textId="456C7A71"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تشير الأدبيات إلى أن المرونة التنظيمية – مثل ساعات العمل المرنة والعمل عن بُعد – تُعد عاملاً داعمًا لتمكين المرأة القيادية، خاصة في مجتمعات تعيش تحولات اجتماعية واقتصادية متسارعة (إبراهيم ومحمد، 2023). وقد أكدت دراسات خليجية أن بيئة العمل المرنة تزيد من قدرة المرأة على تحقيق التوازن بين مسؤولياتها المهنية والأسرية، مما يدعم استمراريتها في القيادة (النحيلي وهلاش، 2023)</w:t>
      </w:r>
      <w:r w:rsidRPr="00EC10D6">
        <w:rPr>
          <w:rFonts w:ascii="Sakkal Majalla" w:hAnsi="Sakkal Majalla" w:cs="Sakkal Majalla"/>
          <w:color w:val="000000" w:themeColor="text1"/>
          <w:sz w:val="28"/>
          <w:szCs w:val="28"/>
        </w:rPr>
        <w:t>.</w:t>
      </w:r>
    </w:p>
    <w:p w14:paraId="224AE6AE" w14:textId="0A219548" w:rsidR="00B31E3D" w:rsidRPr="00EC10D6" w:rsidRDefault="00B31E3D" w:rsidP="00C445F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10D6">
        <w:rPr>
          <w:rFonts w:ascii="Sakkal Majalla" w:hAnsi="Sakkal Majalla" w:cs="Sakkal Majalla"/>
          <w:b/>
          <w:bCs/>
          <w:color w:val="000000" w:themeColor="text1"/>
          <w:sz w:val="28"/>
          <w:szCs w:val="28"/>
          <w:rtl/>
        </w:rPr>
        <w:t>ممارسات إدارة الموارد البشرية</w:t>
      </w:r>
    </w:p>
    <w:p w14:paraId="2E806326" w14:textId="77777777" w:rsidR="00B31E3D" w:rsidRPr="00EC10D6" w:rsidRDefault="00B31E3D" w:rsidP="00C445F4">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تلعب سياسات الموارد البشرية دورًا حاسمًا في اكتشاف وتطوير القيادات النسائية. وتشير الدراسات إلى أن المؤسسات التي تتبع أساليب شمولية في الاستقطاب والاختيار والترقية تظهر مستويات أعلى من تمكين المرأة (إيراين، 2024). كما أكدت دراسات عربية أن غياب التنوع في السياسات الوظيفية يؤدي إلى إقصاء غير مباشر للمرأة من الأدوار القيادية (أبو كيلة، 2023)</w:t>
      </w:r>
      <w:r w:rsidRPr="00EC10D6">
        <w:rPr>
          <w:rFonts w:ascii="Sakkal Majalla" w:hAnsi="Sakkal Majalla" w:cs="Sakkal Majalla"/>
          <w:color w:val="000000" w:themeColor="text1"/>
          <w:sz w:val="28"/>
          <w:szCs w:val="28"/>
        </w:rPr>
        <w:t>.</w:t>
      </w:r>
    </w:p>
    <w:p w14:paraId="7CA72446" w14:textId="77777777" w:rsidR="00B1237B" w:rsidRPr="00EC10D6" w:rsidRDefault="00B1237B" w:rsidP="009B342E">
      <w:pPr>
        <w:pStyle w:val="a6"/>
        <w:spacing w:before="100" w:beforeAutospacing="1" w:after="100" w:afterAutospacing="1" w:line="360" w:lineRule="auto"/>
        <w:contextualSpacing w:val="0"/>
        <w:jc w:val="both"/>
        <w:rPr>
          <w:rFonts w:ascii="Sakkal Majalla" w:hAnsi="Sakkal Majalla" w:cs="Sakkal Majalla"/>
          <w:vanish/>
          <w:color w:val="000000" w:themeColor="text1"/>
          <w:sz w:val="28"/>
          <w:szCs w:val="28"/>
        </w:rPr>
      </w:pPr>
      <w:r w:rsidRPr="00EC10D6">
        <w:rPr>
          <w:rFonts w:ascii="Sakkal Majalla" w:hAnsi="Sakkal Majalla" w:cs="Sakkal Majalla"/>
          <w:vanish/>
          <w:color w:val="000000" w:themeColor="text1"/>
          <w:sz w:val="28"/>
          <w:szCs w:val="28"/>
          <w:rtl/>
        </w:rPr>
        <w:t>أعلى النموذج</w:t>
      </w:r>
    </w:p>
    <w:p w14:paraId="33277E4D" w14:textId="77777777" w:rsidR="00B1237B" w:rsidRPr="00EC10D6" w:rsidRDefault="00B1237B" w:rsidP="009B342E">
      <w:pPr>
        <w:pStyle w:val="a6"/>
        <w:spacing w:before="100" w:beforeAutospacing="1" w:after="100" w:afterAutospacing="1" w:line="360" w:lineRule="auto"/>
        <w:contextualSpacing w:val="0"/>
        <w:jc w:val="both"/>
        <w:rPr>
          <w:rFonts w:ascii="Sakkal Majalla" w:hAnsi="Sakkal Majalla" w:cs="Sakkal Majalla"/>
          <w:vanish/>
          <w:color w:val="000000" w:themeColor="text1"/>
          <w:sz w:val="28"/>
          <w:szCs w:val="28"/>
        </w:rPr>
      </w:pPr>
      <w:r w:rsidRPr="00EC10D6">
        <w:rPr>
          <w:rFonts w:ascii="Sakkal Majalla" w:hAnsi="Sakkal Majalla" w:cs="Sakkal Majalla"/>
          <w:vanish/>
          <w:color w:val="000000" w:themeColor="text1"/>
          <w:sz w:val="28"/>
          <w:szCs w:val="28"/>
          <w:rtl/>
        </w:rPr>
        <w:t>أسفل النموذج</w:t>
      </w:r>
    </w:p>
    <w:p w14:paraId="7D946432" w14:textId="77777777" w:rsidR="00B1237B" w:rsidRPr="00EC10D6" w:rsidRDefault="00B1237B" w:rsidP="009B342E">
      <w:pPr>
        <w:pStyle w:val="a6"/>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14:paraId="6EC0B7BA" w14:textId="77777777" w:rsidR="00B1237B" w:rsidRPr="00EC10D6" w:rsidRDefault="00B1237B" w:rsidP="009B342E">
      <w:pPr>
        <w:pStyle w:val="a6"/>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14:paraId="0AC2DC01" w14:textId="77777777" w:rsidR="00C445F4" w:rsidRPr="00EC10D6" w:rsidRDefault="00C445F4">
      <w:pPr>
        <w:bidi w:val="0"/>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br w:type="page"/>
      </w:r>
    </w:p>
    <w:p w14:paraId="021B24EF" w14:textId="563357F9" w:rsidR="00B31E3D" w:rsidRPr="00EC10D6" w:rsidRDefault="00B31E3D" w:rsidP="00CD02C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14586343"/>
      <w:r w:rsidRPr="00EC10D6">
        <w:rPr>
          <w:rFonts w:ascii="Sakkal Majalla" w:hAnsi="Sakkal Majalla" w:cs="Sakkal Majalla"/>
          <w:b/>
          <w:bCs/>
          <w:color w:val="000000" w:themeColor="text1"/>
          <w:sz w:val="36"/>
          <w:szCs w:val="36"/>
          <w:rtl/>
        </w:rPr>
        <w:t>المبحث الثاني: الابتكار الإداري</w:t>
      </w:r>
      <w:bookmarkEnd w:id="41"/>
    </w:p>
    <w:p w14:paraId="6664960D" w14:textId="73951CC3" w:rsidR="00B31E3D" w:rsidRPr="00EC10D6" w:rsidRDefault="00CD02CD" w:rsidP="00CD0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586344"/>
      <w:r w:rsidRPr="00EC10D6">
        <w:rPr>
          <w:rFonts w:ascii="Sakkal Majalla" w:hAnsi="Sakkal Majalla" w:cs="Sakkal Majalla" w:hint="cs"/>
          <w:b/>
          <w:bCs/>
          <w:color w:val="000000" w:themeColor="text1"/>
          <w:sz w:val="32"/>
          <w:szCs w:val="32"/>
          <w:rtl/>
        </w:rPr>
        <w:t xml:space="preserve">1.2.2 </w:t>
      </w:r>
      <w:r w:rsidR="00B31E3D" w:rsidRPr="00EC10D6">
        <w:rPr>
          <w:rFonts w:ascii="Sakkal Majalla" w:hAnsi="Sakkal Majalla" w:cs="Sakkal Majalla"/>
          <w:b/>
          <w:bCs/>
          <w:color w:val="000000" w:themeColor="text1"/>
          <w:sz w:val="32"/>
          <w:szCs w:val="32"/>
          <w:rtl/>
        </w:rPr>
        <w:t>مقدمة</w:t>
      </w:r>
      <w:bookmarkEnd w:id="42"/>
      <w:r w:rsidR="00B31E3D" w:rsidRPr="00EC10D6">
        <w:rPr>
          <w:rFonts w:ascii="Sakkal Majalla" w:hAnsi="Sakkal Majalla" w:cs="Sakkal Majalla"/>
          <w:b/>
          <w:bCs/>
          <w:color w:val="000000" w:themeColor="text1"/>
          <w:sz w:val="32"/>
          <w:szCs w:val="32"/>
          <w:rtl/>
        </w:rPr>
        <w:t xml:space="preserve"> </w:t>
      </w:r>
    </w:p>
    <w:p w14:paraId="3BDD5787" w14:textId="543273E2"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 xml:space="preserve">أصبح الابتكار الإداري أحد أكثر المفاهيم حضورًا في أدبيات الإدارة المعاصرة، نظرًا للدور الذي يؤديه في دعم قدرة المؤسسات على التكيف مع المتغيرات المتسارعة ورفع مستويات الأداء. فالتطور التقني، والتحول الرقمي، والضغوط التنافسية العالمية، جميعها تفرض على منظمات الأعمال – وخاصة في السعودية – اعتماد أساليب ابتكارية تضمن مرونة القرارات، وكفاءة العمليات، وجودة الخدمات المقدمة. </w:t>
      </w:r>
    </w:p>
    <w:p w14:paraId="3573A89D" w14:textId="2E947DF8"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t xml:space="preserve">ومع تطبيق رؤية المملكة 2030، زادت الحاجة إلى الابتكار الإداري أضعافًا مضاعفة، حيث أصبح من ضرورات العمل المؤسسي وليس خيارًا إضافيًا. فالتوجه نحو التحول الرقمي، وتبني النماذج التنظيمية الحديثة، وصناعة القرار الاستراتيجي المبني على البيانات، كلها عوامل تتطلب وجود كفاءات إدارية قادرة على توليد أفكار جديدة وإدارة التغيير بكفاءة. </w:t>
      </w:r>
    </w:p>
    <w:p w14:paraId="1B2770FA" w14:textId="3BB6EC1B" w:rsidR="00B31E3D" w:rsidRPr="00EC10D6" w:rsidRDefault="00CD02CD" w:rsidP="00CD0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586345"/>
      <w:r w:rsidRPr="00EC10D6">
        <w:rPr>
          <w:rFonts w:ascii="Sakkal Majalla" w:hAnsi="Sakkal Majalla" w:cs="Sakkal Majalla" w:hint="cs"/>
          <w:b/>
          <w:bCs/>
          <w:color w:val="000000" w:themeColor="text1"/>
          <w:sz w:val="32"/>
          <w:szCs w:val="32"/>
          <w:rtl/>
        </w:rPr>
        <w:t xml:space="preserve">2.2.2 </w:t>
      </w:r>
      <w:r w:rsidR="00B31E3D" w:rsidRPr="00EC10D6">
        <w:rPr>
          <w:rFonts w:ascii="Sakkal Majalla" w:hAnsi="Sakkal Majalla" w:cs="Sakkal Majalla"/>
          <w:b/>
          <w:bCs/>
          <w:color w:val="000000" w:themeColor="text1"/>
          <w:sz w:val="32"/>
          <w:szCs w:val="32"/>
          <w:rtl/>
        </w:rPr>
        <w:t>مفهوم الابتكار الإداري</w:t>
      </w:r>
      <w:bookmarkEnd w:id="43"/>
    </w:p>
    <w:p w14:paraId="5325E0F7" w14:textId="77777777"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تنوعت تعريفات الباحثين لمفهوم الابتكار الإداري، واختلفت المقاربات بحسب الزاوية التي ينظر إليها الباحثون، إلا أنها تجمع على أن الابتكار الإداري هو عملية تطوير مستمرة تهدف إلى إيجاد طرق جديدة لتنظيم العمل، وتحسين العمليات، ورفع كفاءة الأداء. وقد عرّف الهرمودي</w:t>
      </w:r>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الابتكار الإداري بأنه "قدرة المؤسسة على تطوير أساليب عمل غير تقليدية، وتطبيق حلول مبتكرة تسهم في رفع مستوى الكفاءة التنظيمية". بينما يرى الناصر</w:t>
      </w:r>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أنه "عملية منهجية لإدخال تغييرات إدارية تؤدي إلى تبسيط الإجراءات وتحسين الإنتاجية وتحقيق التكامل بين الموارد</w:t>
      </w:r>
      <w:r w:rsidRPr="00EC10D6">
        <w:rPr>
          <w:rFonts w:ascii="Sakkal Majalla" w:hAnsi="Sakkal Majalla" w:cs="Sakkal Majalla"/>
          <w:color w:val="000000" w:themeColor="text1"/>
          <w:sz w:val="28"/>
          <w:szCs w:val="28"/>
        </w:rPr>
        <w:t>".</w:t>
      </w:r>
    </w:p>
    <w:p w14:paraId="6F343BC5" w14:textId="74BB6B0A"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EC10D6">
        <w:rPr>
          <w:rFonts w:ascii="Sakkal Majalla" w:hAnsi="Sakkal Majalla" w:cs="Sakkal Majalla"/>
          <w:color w:val="000000" w:themeColor="text1"/>
          <w:sz w:val="28"/>
          <w:szCs w:val="28"/>
          <w:rtl/>
        </w:rPr>
        <w:t>أما شاهين وآخرون</w:t>
      </w:r>
      <w:r w:rsidRPr="00EC10D6">
        <w:rPr>
          <w:rFonts w:ascii="Sakkal Majalla" w:hAnsi="Sakkal Majalla" w:cs="Sakkal Majalla"/>
          <w:color w:val="000000" w:themeColor="text1"/>
          <w:sz w:val="28"/>
          <w:szCs w:val="28"/>
        </w:rPr>
        <w:t xml:space="preserve"> (2024) </w:t>
      </w:r>
      <w:r w:rsidRPr="00EC10D6">
        <w:rPr>
          <w:rFonts w:ascii="Sakkal Majalla" w:hAnsi="Sakkal Majalla" w:cs="Sakkal Majalla"/>
          <w:color w:val="000000" w:themeColor="text1"/>
          <w:sz w:val="28"/>
          <w:szCs w:val="28"/>
          <w:rtl/>
        </w:rPr>
        <w:t>فقد قدموا تعريفًا أكثر تفصيلاً، حيث اعتبروا الابتكار الإداري "مجموعة من الأنشطة التي تهدف إلى تحسين أساليب التخطيط وال</w:t>
      </w:r>
      <w:r w:rsidR="009136AF" w:rsidRPr="00EC10D6">
        <w:rPr>
          <w:rFonts w:ascii="Sakkal Majalla" w:hAnsi="Sakkal Majalla" w:cs="Sakkal Majalla"/>
          <w:color w:val="000000" w:themeColor="text1"/>
          <w:sz w:val="28"/>
          <w:szCs w:val="28"/>
          <w:rtl/>
        </w:rPr>
        <w:t>تنظيم والتوجيه والرقابة من خلال</w:t>
      </w:r>
      <w:r w:rsidR="009136AF" w:rsidRPr="00EC10D6">
        <w:rPr>
          <w:rFonts w:ascii="Sakkal Majalla" w:hAnsi="Sakkal Majalla" w:cs="Sakkal Majalla" w:hint="cs"/>
          <w:color w:val="000000" w:themeColor="text1"/>
          <w:sz w:val="28"/>
          <w:szCs w:val="28"/>
          <w:rtl/>
        </w:rPr>
        <w:t xml:space="preserve"> </w:t>
      </w:r>
      <w:r w:rsidRPr="00EC10D6">
        <w:rPr>
          <w:rFonts w:ascii="Sakkal Majalla" w:hAnsi="Sakkal Majalla" w:cs="Sakkal Majalla"/>
          <w:color w:val="000000" w:themeColor="text1"/>
          <w:sz w:val="28"/>
          <w:szCs w:val="28"/>
          <w:rtl/>
        </w:rPr>
        <w:t>تبنّي ممارسات جديدة تسهم في رفع جودة الخدمات وتقليل الوقت والجهد والتكاليف</w:t>
      </w:r>
      <w:r w:rsidRPr="00EC10D6">
        <w:rPr>
          <w:rFonts w:ascii="Sakkal Majalla" w:hAnsi="Sakkal Majalla" w:cs="Sakkal Majalla"/>
          <w:color w:val="000000" w:themeColor="text1"/>
          <w:sz w:val="28"/>
          <w:szCs w:val="28"/>
        </w:rPr>
        <w:t>".</w:t>
      </w:r>
      <w:r w:rsidR="009136AF" w:rsidRPr="00EC10D6">
        <w:rPr>
          <w:rFonts w:ascii="Sakkal Majalla" w:hAnsi="Sakkal Majalla" w:cs="Sakkal Majalla"/>
          <w:color w:val="000000" w:themeColor="text1"/>
          <w:sz w:val="28"/>
          <w:szCs w:val="28"/>
        </w:rPr>
        <w:t xml:space="preserve"> </w:t>
      </w:r>
      <w:r w:rsidRPr="00EC10D6">
        <w:rPr>
          <w:rFonts w:ascii="Sakkal Majalla" w:hAnsi="Sakkal Majalla" w:cs="Sakkal Majalla"/>
          <w:color w:val="000000" w:themeColor="text1"/>
          <w:sz w:val="28"/>
          <w:szCs w:val="28"/>
          <w:rtl/>
        </w:rPr>
        <w:t>وتشير الأدبيات الدولية إلى أن الابتكار الإداري لا يقتصر على تطوير الأفكار، بل يشمل تنفيذها وتحويلها إلى ممارسات عملية تُحدث تغييرًا قابلاً للقياس في الأداء</w:t>
      </w:r>
      <w:r w:rsidRPr="00EC10D6">
        <w:rPr>
          <w:rFonts w:ascii="Sakkal Majalla" w:hAnsi="Sakkal Majalla" w:cs="Sakkal Majalla"/>
          <w:color w:val="000000" w:themeColor="text1"/>
          <w:sz w:val="28"/>
          <w:szCs w:val="28"/>
        </w:rPr>
        <w:t>.</w:t>
      </w:r>
    </w:p>
    <w:p w14:paraId="23A81A56" w14:textId="1009E6DE" w:rsidR="00B31E3D" w:rsidRPr="00EC10D6" w:rsidRDefault="00CD02CD" w:rsidP="00CD02C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214586346"/>
      <w:r w:rsidRPr="00EC10D6">
        <w:rPr>
          <w:rFonts w:ascii="Sakkal Majalla" w:hAnsi="Sakkal Majalla" w:cs="Sakkal Majalla" w:hint="cs"/>
          <w:b/>
          <w:bCs/>
          <w:color w:val="000000" w:themeColor="text1"/>
          <w:sz w:val="32"/>
          <w:szCs w:val="32"/>
          <w:rtl/>
        </w:rPr>
        <w:t xml:space="preserve">3.2.2 </w:t>
      </w:r>
      <w:r w:rsidR="00B31E3D" w:rsidRPr="00EC10D6">
        <w:rPr>
          <w:rFonts w:ascii="Sakkal Majalla" w:hAnsi="Sakkal Majalla" w:cs="Sakkal Majalla"/>
          <w:b/>
          <w:bCs/>
          <w:color w:val="000000" w:themeColor="text1"/>
          <w:sz w:val="32"/>
          <w:szCs w:val="32"/>
          <w:rtl/>
        </w:rPr>
        <w:t>أنواع الابتكار الإداري</w:t>
      </w:r>
      <w:bookmarkEnd w:id="44"/>
    </w:p>
    <w:p w14:paraId="425BD032" w14:textId="5B314CDD"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تناولت الأدبيات الإدارية مفهوم الابتكار الإداري بوصفه عملية متعددة المستويات، تتضمن أشكالاً مختلفة من التطوير في الهياكل والعمليات والقيادة ونظم اتخاذ القرار. ويعد فهم أنواع الابتكار الإداري خطوة أساسية لتفسير كيفية تأثيره في جودة الأداء المؤسسي وقدرته على التكيف مع التغيرات. وقد صنّف عدد من الباحثين أنواع الابتكار الإداري إلى محاور رئيسة يمكن من خلالها تحليل التوجهات الحديثة للمؤسسات (الناصر، 2024؛ شاهين وآخرون، 2024؛ الهرمودي، 2024). وفيما يلي عرض موسّع لأنواع الابتكار الإداري كما وردت في الأدبيات</w:t>
      </w:r>
      <w:r w:rsidRPr="00EC10D6">
        <w:rPr>
          <w:rFonts w:ascii="Sakkal Majalla" w:hAnsi="Sakkal Majalla" w:cs="Sakkal Majalla"/>
          <w:color w:val="000000" w:themeColor="text1"/>
          <w:sz w:val="28"/>
          <w:szCs w:val="28"/>
          <w:lang w:bidi="ar-EG"/>
        </w:rPr>
        <w:t>:</w:t>
      </w:r>
    </w:p>
    <w:p w14:paraId="574ED366" w14:textId="0D5EAB6E"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الهياكل التنظيمية</w:t>
      </w:r>
    </w:p>
    <w:p w14:paraId="4F9F2B06" w14:textId="0C08CE90"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يشير هذا النوع من الابتكار إلى تطوير أو إعادة تصميم الهياكل التنظيمية بما يجعل المؤسسة أكثر مرونة وقدرة على الاستجابة للتغيرات. فقد أكدت الدراسات أن الهياكل الجامدة تُعيق تدفق المعلومات وتحد من الابتكار، بينما تسهم الهياكل المرنة – مثل الهياكل المسطحة أو الشبكية – في تحسين الاتصال، وتسهيل اتخاذ القرار، وتقصير خطوط السلطة</w:t>
      </w:r>
      <w:r w:rsidR="00CD02CD" w:rsidRPr="00EC10D6">
        <w:rPr>
          <w:rFonts w:ascii="Sakkal Majalla" w:hAnsi="Sakkal Majalla" w:cs="Sakkal Majalla"/>
          <w:color w:val="000000" w:themeColor="text1"/>
          <w:sz w:val="28"/>
          <w:szCs w:val="28"/>
          <w:lang w:bidi="ar-EG"/>
        </w:rPr>
        <w:t xml:space="preserve"> (</w:t>
      </w:r>
      <w:proofErr w:type="spellStart"/>
      <w:r w:rsidR="00CD02CD" w:rsidRPr="00EC10D6">
        <w:rPr>
          <w:rFonts w:ascii="Sakkal Majalla" w:hAnsi="Sakkal Majalla" w:cs="Sakkal Majalla"/>
          <w:color w:val="000000" w:themeColor="text1"/>
          <w:sz w:val="28"/>
          <w:szCs w:val="28"/>
          <w:lang w:bidi="ar-EG"/>
        </w:rPr>
        <w:t>Faiz</w:t>
      </w:r>
      <w:proofErr w:type="spellEnd"/>
      <w:r w:rsidR="00CD02CD" w:rsidRPr="00EC10D6">
        <w:rPr>
          <w:rFonts w:ascii="Sakkal Majalla" w:hAnsi="Sakkal Majalla" w:cs="Sakkal Majalla"/>
          <w:color w:val="000000" w:themeColor="text1"/>
          <w:sz w:val="28"/>
          <w:szCs w:val="28"/>
          <w:lang w:bidi="ar-EG"/>
        </w:rPr>
        <w:t xml:space="preserve"> et al., 2023). </w:t>
      </w:r>
      <w:r w:rsidRPr="00EC10D6">
        <w:rPr>
          <w:rFonts w:ascii="Sakkal Majalla" w:hAnsi="Sakkal Majalla" w:cs="Sakkal Majalla"/>
          <w:color w:val="000000" w:themeColor="text1"/>
          <w:sz w:val="28"/>
          <w:szCs w:val="28"/>
          <w:rtl/>
        </w:rPr>
        <w:t>ويُعد هذا النوع من الابتكار مهمًا بشكل خاص في المؤسسات الكبيرة التي تواجه تحديات في سرعة الاستجابة لاحتياجات السوق أو التطور التقني، إذ يساعد على إزالة التعقيدات الإدارية وتمكين الوحدات من العمل بتنسيق أكبر</w:t>
      </w:r>
      <w:r w:rsidRPr="00EC10D6">
        <w:rPr>
          <w:rFonts w:ascii="Sakkal Majalla" w:hAnsi="Sakkal Majalla" w:cs="Sakkal Majalla"/>
          <w:color w:val="000000" w:themeColor="text1"/>
          <w:sz w:val="28"/>
          <w:szCs w:val="28"/>
          <w:lang w:bidi="ar-EG"/>
        </w:rPr>
        <w:t>.</w:t>
      </w:r>
    </w:p>
    <w:p w14:paraId="2842604B" w14:textId="48E9340B"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العمليات والإجراءات</w:t>
      </w:r>
    </w:p>
    <w:p w14:paraId="427FE0F1" w14:textId="7D3853A5"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يرتبط الابتكار في العمليات بقدرة المؤسسة على تطوير أساليب العمل اليومية والعمليات التشغيلية بما يؤدي إلى تبسيط الإجراءات، تقليل الوقت، وخفض التكلفة. ويشمل هذا النوع إعادة هندسة العمليات</w:t>
      </w:r>
      <w:r w:rsidRPr="00EC10D6">
        <w:rPr>
          <w:rFonts w:ascii="Sakkal Majalla" w:hAnsi="Sakkal Majalla" w:cs="Sakkal Majalla"/>
          <w:color w:val="000000" w:themeColor="text1"/>
          <w:sz w:val="28"/>
          <w:szCs w:val="28"/>
          <w:lang w:bidi="ar-EG"/>
        </w:rPr>
        <w:t xml:space="preserve"> Business Process Re-engineering </w:t>
      </w:r>
      <w:r w:rsidRPr="00EC10D6">
        <w:rPr>
          <w:rFonts w:ascii="Sakkal Majalla" w:hAnsi="Sakkal Majalla" w:cs="Sakkal Majalla"/>
          <w:color w:val="000000" w:themeColor="text1"/>
          <w:sz w:val="28"/>
          <w:szCs w:val="28"/>
          <w:rtl/>
        </w:rPr>
        <w:t>وأتمتة المهام باستخدام التكنولوجيا. وقد أوضح الناصر</w:t>
      </w:r>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أن الابتكار في العمليات يشكّل أحد أقوى المحددات لتحسين الأداء المؤسسي، لأنه يركز على رفع الكفاءة التشغيلية وتحسين الإنتاجية</w:t>
      </w:r>
      <w:r w:rsidR="00CD02CD"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color w:val="000000" w:themeColor="text1"/>
          <w:sz w:val="28"/>
          <w:szCs w:val="28"/>
          <w:rtl/>
        </w:rPr>
        <w:t>كما أن المؤسسات المبتكرة في هذا المجال عادة ما تحقق تحسينات ملموسة في جودة الخدمة ورضا المستفيدين، لا سيما في القطاعات الحكومية والخدمية</w:t>
      </w:r>
      <w:r w:rsidRPr="00EC10D6">
        <w:rPr>
          <w:rFonts w:ascii="Sakkal Majalla" w:hAnsi="Sakkal Majalla" w:cs="Sakkal Majalla"/>
          <w:color w:val="000000" w:themeColor="text1"/>
          <w:sz w:val="28"/>
          <w:szCs w:val="28"/>
          <w:lang w:bidi="ar-EG"/>
        </w:rPr>
        <w:t>.</w:t>
      </w:r>
    </w:p>
    <w:p w14:paraId="3EE55225" w14:textId="74EDDC7F"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أساليب القيادة</w:t>
      </w:r>
    </w:p>
    <w:p w14:paraId="09C60A0C" w14:textId="62BA036B"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hint="cs"/>
          <w:color w:val="000000" w:themeColor="text1"/>
          <w:sz w:val="28"/>
          <w:szCs w:val="28"/>
          <w:rtl/>
          <w:lang w:bidi="ar-EG"/>
        </w:rPr>
        <w:t>يُعد الابتكار في القيادة جزءًا محوريًا من الابتكار الإداري، إذ يتطلب من القادة تبنّي ممارسات قيادية جديدة تتناسب مع المتغيرات المعاصرة مثل القيادة التحويلية، القيادة الرشيقة</w:t>
      </w:r>
      <w:r w:rsidRPr="00EC10D6">
        <w:rPr>
          <w:rFonts w:ascii="Sakkal Majalla" w:hAnsi="Sakkal Majalla" w:cs="Sakkal Majalla" w:hint="cs"/>
          <w:color w:val="000000" w:themeColor="text1"/>
          <w:sz w:val="28"/>
          <w:szCs w:val="28"/>
          <w:lang w:bidi="ar-EG"/>
        </w:rPr>
        <w:t xml:space="preserve"> Agile Leadership</w:t>
      </w:r>
      <w:r w:rsidRPr="00EC10D6">
        <w:rPr>
          <w:rFonts w:ascii="Sakkal Majalla" w:hAnsi="Sakkal Majalla" w:cs="Sakkal Majalla" w:hint="cs"/>
          <w:color w:val="000000" w:themeColor="text1"/>
          <w:sz w:val="28"/>
          <w:szCs w:val="28"/>
          <w:rtl/>
          <w:lang w:bidi="ar-EG"/>
        </w:rPr>
        <w:t>، والقيادة التشاركية</w:t>
      </w:r>
      <w:r w:rsidR="00CD02CD" w:rsidRPr="00EC10D6">
        <w:rPr>
          <w:rFonts w:ascii="Sakkal Majalla" w:hAnsi="Sakkal Majalla" w:cs="Sakkal Majalla" w:hint="cs"/>
          <w:color w:val="000000" w:themeColor="text1"/>
          <w:sz w:val="28"/>
          <w:szCs w:val="28"/>
          <w:lang w:bidi="ar-EG"/>
        </w:rPr>
        <w:t>.</w:t>
      </w:r>
      <w:r w:rsidR="00CD02CD"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hint="cs"/>
          <w:color w:val="000000" w:themeColor="text1"/>
          <w:sz w:val="28"/>
          <w:szCs w:val="28"/>
          <w:rtl/>
          <w:lang w:bidi="ar-EG"/>
        </w:rPr>
        <w:t>وقد أكدت الأدبيات أن القائد المبتكر هو الذي يعزز تمكين العاملين، يشجع الأفكار الجديدة، ويدير التغيير بفاعلية</w:t>
      </w:r>
      <w:r w:rsidRPr="00EC10D6">
        <w:rPr>
          <w:rFonts w:ascii="Sakkal Majalla" w:hAnsi="Sakkal Majalla" w:cs="Sakkal Majalla" w:hint="cs"/>
          <w:color w:val="000000" w:themeColor="text1"/>
          <w:sz w:val="28"/>
          <w:szCs w:val="28"/>
          <w:lang w:bidi="ar-EG"/>
        </w:rPr>
        <w:t xml:space="preserve"> (Hamid, 2025). </w:t>
      </w:r>
      <w:r w:rsidRPr="00EC10D6">
        <w:rPr>
          <w:rFonts w:ascii="Sakkal Majalla" w:hAnsi="Sakkal Majalla" w:cs="Sakkal Majalla" w:hint="cs"/>
          <w:color w:val="000000" w:themeColor="text1"/>
          <w:sz w:val="28"/>
          <w:szCs w:val="28"/>
          <w:rtl/>
          <w:lang w:bidi="ar-EG"/>
        </w:rPr>
        <w:t>كما أشارت الدراسات إلى أن أساليب القيادة التقليدية لم تعد قادرة على دعم التطور المؤسسي، بينما ترفع الأساليب المبتكرة من مستوى الالتزام التنظيمي، وتحفز الإبداع، وتخلق بيئة عمل تشجع على المبادرة</w:t>
      </w:r>
      <w:r w:rsidRPr="00EC10D6">
        <w:rPr>
          <w:rFonts w:ascii="Sakkal Majalla" w:hAnsi="Sakkal Majalla" w:cs="Sakkal Majalla" w:hint="cs"/>
          <w:color w:val="000000" w:themeColor="text1"/>
          <w:sz w:val="28"/>
          <w:szCs w:val="28"/>
          <w:lang w:bidi="ar-EG"/>
        </w:rPr>
        <w:t>.</w:t>
      </w:r>
    </w:p>
    <w:p w14:paraId="0D7C2270" w14:textId="558F1D63"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نظم اتخاذ القرار</w:t>
      </w:r>
    </w:p>
    <w:p w14:paraId="70236B05" w14:textId="6A3188A7"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يتضمن هذا النوع تطوير أساليب اتخاذ القرار لتصبح أكثر اعتمادًا على البيانات والتحليل العلمي والذكاء الاصطناعي، بدلاً من الأساليب التقليدية المبنية على الخبرة أو الحدس،  وقد أوضح شاهين وآخرون</w:t>
      </w:r>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أن الابتكار في نظم القرار يُعد محورًا رئيسًا في المؤسسات المعاصرة، لاسيما في ظل التحول الرقمي الواسع</w:t>
      </w:r>
      <w:r w:rsidR="00CD02CD"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color w:val="000000" w:themeColor="text1"/>
          <w:sz w:val="28"/>
          <w:szCs w:val="28"/>
          <w:rtl/>
        </w:rPr>
        <w:t>ويشمل هذا النوع استخدام لوحات مؤشرات الأداء، أنظمة دعم القرار، تحليل السيناريوهات، والنماذج التنبؤية،  وكلما كانت المؤسسة قادرة على اتخاذ قرارات مبنية على البيانات، ارتفعت كفاءتها وقدرتها على الابتكار</w:t>
      </w:r>
      <w:r w:rsidRPr="00EC10D6">
        <w:rPr>
          <w:rFonts w:ascii="Sakkal Majalla" w:hAnsi="Sakkal Majalla" w:cs="Sakkal Majalla"/>
          <w:color w:val="000000" w:themeColor="text1"/>
          <w:sz w:val="28"/>
          <w:szCs w:val="28"/>
          <w:lang w:bidi="ar-EG"/>
        </w:rPr>
        <w:t>.</w:t>
      </w:r>
    </w:p>
    <w:p w14:paraId="19CD967B" w14:textId="0954534D"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نظم العمل وإدارة الموارد البشرية</w:t>
      </w:r>
    </w:p>
    <w:p w14:paraId="090FD123" w14:textId="5E85CD38"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يركز هذا النوع من الابتكار على تطوير أساليب التوظيف، التدريب، التحفيز، وتقييم الأداء. وقد أشارت الأدبيات إلى أن المؤسسات التي تعتمد ممارسات ابتكارية في إدارة مواردها البشرية تستطيع خلق بيئة محفزة للإبداع، كما ترفع مستوى الرضا الوظيفي والدافعية</w:t>
      </w:r>
      <w:r w:rsidRPr="00EC10D6">
        <w:rPr>
          <w:rFonts w:ascii="Sakkal Majalla" w:hAnsi="Sakkal Majalla" w:cs="Sakkal Majalla"/>
          <w:color w:val="000000" w:themeColor="text1"/>
          <w:sz w:val="28"/>
          <w:szCs w:val="28"/>
          <w:lang w:bidi="ar-EG"/>
        </w:rPr>
        <w:t xml:space="preserve"> (</w:t>
      </w:r>
      <w:proofErr w:type="spellStart"/>
      <w:r w:rsidRPr="00EC10D6">
        <w:rPr>
          <w:rFonts w:ascii="Sakkal Majalla" w:hAnsi="Sakkal Majalla" w:cs="Sakkal Majalla"/>
          <w:color w:val="000000" w:themeColor="text1"/>
          <w:sz w:val="28"/>
          <w:szCs w:val="28"/>
          <w:lang w:bidi="ar-EG"/>
        </w:rPr>
        <w:t>Khushk</w:t>
      </w:r>
      <w:proofErr w:type="spellEnd"/>
      <w:r w:rsidRPr="00EC10D6">
        <w:rPr>
          <w:rFonts w:ascii="Sakkal Majalla" w:hAnsi="Sakkal Majalla" w:cs="Sakkal Majalla"/>
          <w:color w:val="000000" w:themeColor="text1"/>
          <w:sz w:val="28"/>
          <w:szCs w:val="28"/>
          <w:lang w:bidi="ar-EG"/>
        </w:rPr>
        <w:t xml:space="preserve"> </w:t>
      </w:r>
      <w:r w:rsidR="00CD02CD" w:rsidRPr="00EC10D6">
        <w:rPr>
          <w:rFonts w:ascii="Sakkal Majalla" w:hAnsi="Sakkal Majalla" w:cs="Sakkal Majalla"/>
          <w:color w:val="000000" w:themeColor="text1"/>
          <w:sz w:val="28"/>
          <w:szCs w:val="28"/>
          <w:lang w:bidi="ar-EG"/>
        </w:rPr>
        <w:t xml:space="preserve">et al., 2022). </w:t>
      </w:r>
      <w:r w:rsidRPr="00EC10D6">
        <w:rPr>
          <w:rFonts w:ascii="Sakkal Majalla" w:hAnsi="Sakkal Majalla" w:cs="Sakkal Majalla"/>
          <w:color w:val="000000" w:themeColor="text1"/>
          <w:sz w:val="28"/>
          <w:szCs w:val="28"/>
          <w:rtl/>
        </w:rPr>
        <w:t>ويشمل ذلك تصميم وظائف جديدة، اعتماد أنظمة التحفيز المبتكرة، برامج الإرشاد القيادي، وإعادة هيكلة العمليات المتعلقة بالعاملين بما يعزز القدرات الإبداعية ويزيد من مشاركة الموظفين في صنع القرار</w:t>
      </w:r>
      <w:r w:rsidRPr="00EC10D6">
        <w:rPr>
          <w:rFonts w:ascii="Sakkal Majalla" w:hAnsi="Sakkal Majalla" w:cs="Sakkal Majalla"/>
          <w:color w:val="000000" w:themeColor="text1"/>
          <w:sz w:val="28"/>
          <w:szCs w:val="28"/>
          <w:lang w:bidi="ar-EG"/>
        </w:rPr>
        <w:t>.</w:t>
      </w:r>
    </w:p>
    <w:p w14:paraId="3ED6F179" w14:textId="6288523B"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الخدمات والإنتاجية العامة</w:t>
      </w:r>
    </w:p>
    <w:p w14:paraId="64FCE4AB" w14:textId="21C6F5F1"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يشير هذا النوع إلى تطوير أساليب تقديم الخدمات وتطوير المنتجات بما يعزز القيمة المقدمة للمستفيد. وقد بيّنت مجموعة من الدراسات أن الابتكار الإداري يرتبط ارتباطًا وثيقًا بتطوير جودة الخدمة، خاصة في المؤسسات الحكومية التي تسعى إلى تحسين تجربة المستفيد (الهرمودي، 2024)</w:t>
      </w:r>
      <w:r w:rsidRPr="00EC10D6">
        <w:rPr>
          <w:rFonts w:ascii="Sakkal Majalla" w:hAnsi="Sakkal Majalla" w:cs="Sakkal Majalla"/>
          <w:color w:val="000000" w:themeColor="text1"/>
          <w:sz w:val="28"/>
          <w:szCs w:val="28"/>
          <w:lang w:bidi="ar-EG"/>
        </w:rPr>
        <w:t>.</w:t>
      </w:r>
      <w:r w:rsidRPr="00EC10D6">
        <w:rPr>
          <w:rFonts w:ascii="Sakkal Majalla" w:hAnsi="Sakkal Majalla" w:cs="Sakkal Majalla"/>
          <w:color w:val="000000" w:themeColor="text1"/>
          <w:sz w:val="28"/>
          <w:szCs w:val="28"/>
          <w:lang w:bidi="ar-EG"/>
        </w:rPr>
        <w:br/>
      </w:r>
      <w:r w:rsidRPr="00EC10D6">
        <w:rPr>
          <w:rFonts w:ascii="Sakkal Majalla" w:hAnsi="Sakkal Majalla" w:cs="Sakkal Majalla"/>
          <w:color w:val="000000" w:themeColor="text1"/>
          <w:sz w:val="28"/>
          <w:szCs w:val="28"/>
          <w:rtl/>
        </w:rPr>
        <w:t>ويظهر هذا الابتكار في تقليل الخطوات المطلوبة لإتمام المعاملات، تحسين التفاعل مع المستفيدين، وتقديم خدمات قائمة على التكنولوجيا الرقمية</w:t>
      </w:r>
      <w:r w:rsidRPr="00EC10D6">
        <w:rPr>
          <w:rFonts w:ascii="Sakkal Majalla" w:hAnsi="Sakkal Majalla" w:cs="Sakkal Majalla"/>
          <w:color w:val="000000" w:themeColor="text1"/>
          <w:sz w:val="28"/>
          <w:szCs w:val="28"/>
          <w:lang w:bidi="ar-EG"/>
        </w:rPr>
        <w:t>.</w:t>
      </w:r>
    </w:p>
    <w:p w14:paraId="54DD5108" w14:textId="68D5DD6A" w:rsidR="00B31E3D" w:rsidRPr="00EC10D6" w:rsidRDefault="00B31E3D" w:rsidP="00CD02CD">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الابتكار في أدوات الرقابة والتقييم</w:t>
      </w:r>
    </w:p>
    <w:p w14:paraId="497A82BD" w14:textId="46199D5C"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يشمل هذا النوع تطوير أساليب الرقابة الإدارية، واعتماد أدوات حديثة لقياس الأداء مثل إدارة الجودة الشاملة، منهجية كايزن، والبطاقة المتوازنة للأداء</w:t>
      </w:r>
      <w:r w:rsidR="00CD02CD" w:rsidRPr="00EC10D6">
        <w:rPr>
          <w:rFonts w:ascii="Sakkal Majalla" w:hAnsi="Sakkal Majalla" w:cs="Sakkal Majalla"/>
          <w:color w:val="000000" w:themeColor="text1"/>
          <w:sz w:val="28"/>
          <w:szCs w:val="28"/>
          <w:lang w:bidi="ar-EG"/>
        </w:rPr>
        <w:t xml:space="preserve"> Balanced Scorecard. </w:t>
      </w:r>
      <w:r w:rsidRPr="00EC10D6">
        <w:rPr>
          <w:rFonts w:ascii="Sakkal Majalla" w:hAnsi="Sakkal Majalla" w:cs="Sakkal Majalla"/>
          <w:color w:val="000000" w:themeColor="text1"/>
          <w:sz w:val="28"/>
          <w:szCs w:val="28"/>
          <w:rtl/>
        </w:rPr>
        <w:t>وقد أشارت الدراسات إلى أن الابتكار في أدوات الرقابة يسهم في رفع مستوى الشفافية والمساءلة، ويعزز قدرة المؤسسة على اتخاذ قرارات دقيقة وفعالة</w:t>
      </w:r>
      <w:r w:rsidRPr="00EC10D6">
        <w:rPr>
          <w:rFonts w:ascii="Sakkal Majalla" w:hAnsi="Sakkal Majalla" w:cs="Sakkal Majalla"/>
          <w:color w:val="000000" w:themeColor="text1"/>
          <w:sz w:val="28"/>
          <w:szCs w:val="28"/>
          <w:lang w:bidi="ar-EG"/>
        </w:rPr>
        <w:t xml:space="preserve"> (Hakim &amp; </w:t>
      </w:r>
      <w:proofErr w:type="spellStart"/>
      <w:r w:rsidRPr="00EC10D6">
        <w:rPr>
          <w:rFonts w:ascii="Sakkal Majalla" w:hAnsi="Sakkal Majalla" w:cs="Sakkal Majalla"/>
          <w:color w:val="000000" w:themeColor="text1"/>
          <w:sz w:val="28"/>
          <w:szCs w:val="28"/>
          <w:lang w:bidi="ar-EG"/>
        </w:rPr>
        <w:t>Sujudi</w:t>
      </w:r>
      <w:proofErr w:type="spellEnd"/>
      <w:r w:rsidRPr="00EC10D6">
        <w:rPr>
          <w:rFonts w:ascii="Sakkal Majalla" w:hAnsi="Sakkal Majalla" w:cs="Sakkal Majalla"/>
          <w:color w:val="000000" w:themeColor="text1"/>
          <w:sz w:val="28"/>
          <w:szCs w:val="28"/>
          <w:lang w:bidi="ar-EG"/>
        </w:rPr>
        <w:t>, 2024).</w:t>
      </w:r>
    </w:p>
    <w:p w14:paraId="7B0DC93F" w14:textId="6B8888FD" w:rsidR="00B31E3D" w:rsidRPr="00EC10D6" w:rsidRDefault="00CD02CD" w:rsidP="00CD02C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214586347"/>
      <w:r w:rsidRPr="00EC10D6">
        <w:rPr>
          <w:rFonts w:ascii="Sakkal Majalla" w:hAnsi="Sakkal Majalla" w:cs="Sakkal Majalla" w:hint="cs"/>
          <w:b/>
          <w:bCs/>
          <w:color w:val="000000" w:themeColor="text1"/>
          <w:sz w:val="32"/>
          <w:szCs w:val="32"/>
          <w:rtl/>
        </w:rPr>
        <w:t xml:space="preserve">4.2.2 </w:t>
      </w:r>
      <w:r w:rsidR="00B31E3D" w:rsidRPr="00EC10D6">
        <w:rPr>
          <w:rFonts w:ascii="Sakkal Majalla" w:hAnsi="Sakkal Majalla" w:cs="Sakkal Majalla"/>
          <w:b/>
          <w:bCs/>
          <w:color w:val="000000" w:themeColor="text1"/>
          <w:sz w:val="32"/>
          <w:szCs w:val="32"/>
          <w:rtl/>
        </w:rPr>
        <w:t>العوامل المؤثرة في الابتكار الإداري</w:t>
      </w:r>
      <w:bookmarkEnd w:id="45"/>
    </w:p>
    <w:p w14:paraId="085AABEF" w14:textId="2E924F84"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تُجمع الأدبيات الإدارية على أن الابتكار الإداري لا ينشأ في بيئة محايدة، بل يتأثر بمجموعة من العوامل التنظيمية والقيادية والتقنية والبشرية التي تشكّل مجتمعة المناخ الملائم لظهور السلوك الابتكاري داخل المؤسسات. وقد أوضحت الدراسات الحديثة أن المؤسسات القادرة على تحقيق مستويات عالية من الابتكار الإداري هي تلك التي تمتلك بيئة محفّزة تسمح بتجريب الأفكار، وتشجع المبادرة، وتدعم التغيير المستمر (الهرمودي، 2024؛ شاهين وآخرون، 2024). كما أكدت الأدبيات أن العوامل المؤثرة في الابتكار ليست ثابتة، بل تختلف باختلاف طبيعة المؤسسة، وحجمها، ومدى استعدادها لتطوير هياكلها وإجراءاتها</w:t>
      </w:r>
      <w:r w:rsidRPr="00EC10D6">
        <w:rPr>
          <w:rFonts w:ascii="Sakkal Majalla" w:hAnsi="Sakkal Majalla" w:cs="Sakkal Majalla"/>
          <w:color w:val="000000" w:themeColor="text1"/>
          <w:sz w:val="28"/>
          <w:szCs w:val="28"/>
          <w:lang w:bidi="ar-EG"/>
        </w:rPr>
        <w:t xml:space="preserve"> (Hakim &amp; </w:t>
      </w:r>
      <w:proofErr w:type="spellStart"/>
      <w:r w:rsidRPr="00EC10D6">
        <w:rPr>
          <w:rFonts w:ascii="Sakkal Majalla" w:hAnsi="Sakkal Majalla" w:cs="Sakkal Majalla"/>
          <w:color w:val="000000" w:themeColor="text1"/>
          <w:sz w:val="28"/>
          <w:szCs w:val="28"/>
          <w:lang w:bidi="ar-EG"/>
        </w:rPr>
        <w:t>Sujudi</w:t>
      </w:r>
      <w:proofErr w:type="spellEnd"/>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وفيما يلي أبرز العوامل المؤثرة كما وردت في الدراسات العربية والدولية</w:t>
      </w:r>
      <w:r w:rsidRPr="00EC10D6">
        <w:rPr>
          <w:rFonts w:ascii="Sakkal Majalla" w:hAnsi="Sakkal Majalla" w:cs="Sakkal Majalla"/>
          <w:color w:val="000000" w:themeColor="text1"/>
          <w:sz w:val="28"/>
          <w:szCs w:val="28"/>
          <w:lang w:bidi="ar-EG"/>
        </w:rPr>
        <w:t>:</w:t>
      </w:r>
    </w:p>
    <w:p w14:paraId="1982B01E" w14:textId="3E0148CE" w:rsidR="00B31E3D" w:rsidRPr="00EC10D6" w:rsidRDefault="00B31E3D" w:rsidP="00CD02C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القيادة ودورها في دعم الابتكار الإداري</w:t>
      </w:r>
    </w:p>
    <w:p w14:paraId="507258A2" w14:textId="1FB82848"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 xml:space="preserve">تشكل القيادة أحد أهم العوامل المؤثرة في الابتكار الإداري، إذ تُظهر المؤسسات التي تتبنى أساليب قيادة تحفيزية – مثل القيادة التحويلية أو القيادات الداعمة للتمكين – مستويات أعلى من الإبداع والتنظيم المبتكر. وقد أكدت دراسة </w:t>
      </w:r>
      <w:r w:rsidRPr="00EC10D6">
        <w:rPr>
          <w:rFonts w:ascii="Sakkal Majalla" w:hAnsi="Sakkal Majalla" w:cs="Sakkal Majalla"/>
          <w:color w:val="000000" w:themeColor="text1"/>
          <w:sz w:val="28"/>
          <w:szCs w:val="28"/>
          <w:lang w:bidi="ar-EG"/>
        </w:rPr>
        <w:t xml:space="preserve">Hamid (2025) </w:t>
      </w:r>
      <w:r w:rsidRPr="00EC10D6">
        <w:rPr>
          <w:rFonts w:ascii="Sakkal Majalla" w:hAnsi="Sakkal Majalla" w:cs="Sakkal Majalla"/>
          <w:color w:val="000000" w:themeColor="text1"/>
          <w:sz w:val="28"/>
          <w:szCs w:val="28"/>
          <w:rtl/>
        </w:rPr>
        <w:t>أن القادة الذين يعتمدون أسلوب التوجيه والتمكين ينجحون في خلق مناخ إيجابي يشجع العاملين على طرح الأفكار وتطبيقها. كما أشار الناصر</w:t>
      </w:r>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إلى أن القيادة الفعّالة تساهم في إزالة المقاومة الداخلية للتغيير، وتدعم المبادرات التي تستهدف تطوير الإجراءات وتحسين الأداء. وتُعد القيادة أحد العوامل المحددة لمدى قبول المؤسسة للابتكار، حيث ينعكس توجه القائد مباشرة على توجهات العاملين</w:t>
      </w:r>
      <w:r w:rsidRPr="00EC10D6">
        <w:rPr>
          <w:rFonts w:ascii="Sakkal Majalla" w:hAnsi="Sakkal Majalla" w:cs="Sakkal Majalla"/>
          <w:color w:val="000000" w:themeColor="text1"/>
          <w:sz w:val="28"/>
          <w:szCs w:val="28"/>
          <w:lang w:bidi="ar-EG"/>
        </w:rPr>
        <w:t>.</w:t>
      </w:r>
    </w:p>
    <w:p w14:paraId="4DBF26C7" w14:textId="76EE246D" w:rsidR="00B31E3D" w:rsidRPr="00EC10D6" w:rsidRDefault="00B31E3D" w:rsidP="00CD02C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الثقافة التنظيمية</w:t>
      </w:r>
    </w:p>
    <w:p w14:paraId="52DE604A" w14:textId="2E893F75"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تمثل الثقافة التنظيمية الإطار الفكري والسلوكي الذي تعمل المؤسسة من خلاله، وهي إحدى الركائز الأساسية التي تُحدد مدى قدرة المؤسسة على الابتكار. وقد أشارت دراسة شاهين وآخرون</w:t>
      </w:r>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إلى أن الثقافة التي تقوم على الشفافية والمشاركة والمرونة تُعدّ محفزًا قويًا للسلوك الابتكاري، بينما تقيّد الثقافة التقليدية أو المقاومة للتغيير أي محاولات للتطوير</w:t>
      </w:r>
      <w:r w:rsidR="00CD02CD"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color w:val="000000" w:themeColor="text1"/>
          <w:sz w:val="28"/>
          <w:szCs w:val="28"/>
          <w:rtl/>
        </w:rPr>
        <w:t xml:space="preserve">كما أكد </w:t>
      </w:r>
      <w:r w:rsidRPr="00EC10D6">
        <w:rPr>
          <w:rFonts w:ascii="Sakkal Majalla" w:hAnsi="Sakkal Majalla" w:cs="Sakkal Majalla"/>
          <w:color w:val="000000" w:themeColor="text1"/>
          <w:sz w:val="28"/>
          <w:szCs w:val="28"/>
          <w:lang w:bidi="ar-EG"/>
        </w:rPr>
        <w:t xml:space="preserve">Hakim &amp; </w:t>
      </w:r>
      <w:proofErr w:type="spellStart"/>
      <w:r w:rsidRPr="00EC10D6">
        <w:rPr>
          <w:rFonts w:ascii="Sakkal Majalla" w:hAnsi="Sakkal Majalla" w:cs="Sakkal Majalla"/>
          <w:color w:val="000000" w:themeColor="text1"/>
          <w:sz w:val="28"/>
          <w:szCs w:val="28"/>
          <w:lang w:bidi="ar-EG"/>
        </w:rPr>
        <w:t>Sujudi</w:t>
      </w:r>
      <w:proofErr w:type="spellEnd"/>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أن الثقافة الداعمة للابتكار هي تلك التي تُشجع المخاطرة المحسوبة، وتقدّر الأفكار الجديدة، وتسمح بالتجريب، وتتعامل مع الأخطاء كوسيلة للتعلم. كذلك تلعب ثقافة تبادل المعرفة دورًا محوريًا في تسريع عملية الابتكار الإداري وتعميق أثره</w:t>
      </w:r>
      <w:r w:rsidRPr="00EC10D6">
        <w:rPr>
          <w:rFonts w:ascii="Sakkal Majalla" w:hAnsi="Sakkal Majalla" w:cs="Sakkal Majalla"/>
          <w:color w:val="000000" w:themeColor="text1"/>
          <w:sz w:val="28"/>
          <w:szCs w:val="28"/>
          <w:lang w:bidi="ar-EG"/>
        </w:rPr>
        <w:t>.</w:t>
      </w:r>
    </w:p>
    <w:p w14:paraId="3820E52E" w14:textId="62543455" w:rsidR="00B31E3D" w:rsidRPr="00EC10D6" w:rsidRDefault="00B31E3D" w:rsidP="00CD02C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التحول الرقمي والتكنولوجيا</w:t>
      </w:r>
    </w:p>
    <w:p w14:paraId="11CEEF48" w14:textId="33DE1363"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تُعد التكنولوجيا الحديثة والتحول الرقمي من أقوى المحركات المؤثرة في الابتكار الإداري. وقد بيّنت الأدبيات الحديثة أن المؤسسات التي تعتمد على الأنظمة الرقمية، وتحليلات البيانات، والذكاء الاصطناعي، وأتمتة العمليات، تحقق مستويات أعلى من الابتكار التنظيمي (الهرمودي، 2024)</w:t>
      </w:r>
      <w:r w:rsidR="00CD02CD" w:rsidRPr="00EC10D6">
        <w:rPr>
          <w:rFonts w:ascii="Sakkal Majalla" w:hAnsi="Sakkal Majalla" w:cs="Sakkal Majalla"/>
          <w:color w:val="000000" w:themeColor="text1"/>
          <w:sz w:val="28"/>
          <w:szCs w:val="28"/>
          <w:lang w:bidi="ar-EG"/>
        </w:rPr>
        <w:t xml:space="preserve">. </w:t>
      </w:r>
      <w:r w:rsidRPr="00EC10D6">
        <w:rPr>
          <w:rFonts w:ascii="Sakkal Majalla" w:hAnsi="Sakkal Majalla" w:cs="Sakkal Majalla"/>
          <w:color w:val="000000" w:themeColor="text1"/>
          <w:sz w:val="28"/>
          <w:szCs w:val="28"/>
          <w:rtl/>
        </w:rPr>
        <w:t xml:space="preserve">كما أوضح </w:t>
      </w:r>
      <w:r w:rsidRPr="00EC10D6">
        <w:rPr>
          <w:rFonts w:ascii="Sakkal Majalla" w:hAnsi="Sakkal Majalla" w:cs="Sakkal Majalla"/>
          <w:color w:val="000000" w:themeColor="text1"/>
          <w:sz w:val="28"/>
          <w:szCs w:val="28"/>
          <w:lang w:bidi="ar-EG"/>
        </w:rPr>
        <w:t xml:space="preserve">Hakim &amp; </w:t>
      </w:r>
      <w:proofErr w:type="spellStart"/>
      <w:r w:rsidRPr="00EC10D6">
        <w:rPr>
          <w:rFonts w:ascii="Sakkal Majalla" w:hAnsi="Sakkal Majalla" w:cs="Sakkal Majalla"/>
          <w:color w:val="000000" w:themeColor="text1"/>
          <w:sz w:val="28"/>
          <w:szCs w:val="28"/>
          <w:lang w:bidi="ar-EG"/>
        </w:rPr>
        <w:t>Sujudi</w:t>
      </w:r>
      <w:proofErr w:type="spellEnd"/>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أن التحول الرقمي لا يؤثر فقط في الإجراءات، بل يغير جذريًا طبيعة العمل، ما يفتح المجال أمام أساليب جديدة في اتخاذ القرار وتحسين العمليات. وتؤكد الأدبيات أن التكنولوجيا تُعد عاملاً تمكينيًا، فهي ليست هدفًا في ذاتها، بل وسيلة لإنتاج حلول مبتكرة ترفع الأداء المؤسسي</w:t>
      </w:r>
      <w:r w:rsidRPr="00EC10D6">
        <w:rPr>
          <w:rFonts w:ascii="Sakkal Majalla" w:hAnsi="Sakkal Majalla" w:cs="Sakkal Majalla"/>
          <w:color w:val="000000" w:themeColor="text1"/>
          <w:sz w:val="28"/>
          <w:szCs w:val="28"/>
          <w:lang w:bidi="ar-EG"/>
        </w:rPr>
        <w:t>.</w:t>
      </w:r>
    </w:p>
    <w:p w14:paraId="4ABE5E91" w14:textId="699A899D" w:rsidR="00B31E3D" w:rsidRPr="00EC10D6" w:rsidRDefault="00B31E3D" w:rsidP="00CD02CD">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C10D6">
        <w:rPr>
          <w:rFonts w:ascii="Sakkal Majalla" w:hAnsi="Sakkal Majalla" w:cs="Sakkal Majalla"/>
          <w:b/>
          <w:bCs/>
          <w:color w:val="000000" w:themeColor="text1"/>
          <w:sz w:val="28"/>
          <w:szCs w:val="28"/>
          <w:rtl/>
        </w:rPr>
        <w:t>الهيكل التنظيمي والمرونة المؤسسية</w:t>
      </w:r>
    </w:p>
    <w:p w14:paraId="251AF3A2" w14:textId="77777777" w:rsidR="00CD02C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EC10D6">
        <w:rPr>
          <w:rFonts w:ascii="Sakkal Majalla" w:hAnsi="Sakkal Majalla" w:cs="Sakkal Majalla"/>
          <w:color w:val="000000" w:themeColor="text1"/>
          <w:sz w:val="28"/>
          <w:szCs w:val="28"/>
          <w:rtl/>
        </w:rPr>
        <w:t>يُعد الهيكل التنظيمي أحد العوامل التي يمكن أن تُمكّن الابتكار أو تعيقه. فالهياكل المرنة – مثل الهياكل المسطحة، فرق العمل المستقلة، والهياكل الشبكية – تتيح حرية أكبر في طرح الأفكار وتنفيذها. أما الهياكل الهرمية التقليدية فقد تؤثر سلبًا في الابتكار بسبب البيروقراطية وتعقيد الإجراءات</w:t>
      </w:r>
      <w:r w:rsidR="00CD02CD" w:rsidRPr="00EC10D6">
        <w:rPr>
          <w:rFonts w:ascii="Sakkal Majalla" w:hAnsi="Sakkal Majalla" w:cs="Sakkal Majalla"/>
          <w:color w:val="000000" w:themeColor="text1"/>
          <w:sz w:val="28"/>
          <w:szCs w:val="28"/>
          <w:lang w:bidi="ar-EG"/>
        </w:rPr>
        <w:t xml:space="preserve"> (</w:t>
      </w:r>
      <w:proofErr w:type="spellStart"/>
      <w:r w:rsidR="00CD02CD" w:rsidRPr="00EC10D6">
        <w:rPr>
          <w:rFonts w:ascii="Sakkal Majalla" w:hAnsi="Sakkal Majalla" w:cs="Sakkal Majalla"/>
          <w:color w:val="000000" w:themeColor="text1"/>
          <w:sz w:val="28"/>
          <w:szCs w:val="28"/>
          <w:lang w:bidi="ar-EG"/>
        </w:rPr>
        <w:t>Faiz</w:t>
      </w:r>
      <w:proofErr w:type="spellEnd"/>
      <w:r w:rsidR="00CD02CD" w:rsidRPr="00EC10D6">
        <w:rPr>
          <w:rFonts w:ascii="Sakkal Majalla" w:hAnsi="Sakkal Majalla" w:cs="Sakkal Majalla"/>
          <w:color w:val="000000" w:themeColor="text1"/>
          <w:sz w:val="28"/>
          <w:szCs w:val="28"/>
          <w:lang w:bidi="ar-EG"/>
        </w:rPr>
        <w:t xml:space="preserve"> et al., 2023).</w:t>
      </w:r>
    </w:p>
    <w:p w14:paraId="043ED079" w14:textId="160151E4" w:rsidR="00B31E3D" w:rsidRPr="00EC10D6" w:rsidRDefault="00B31E3D" w:rsidP="00CD02CD">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EC10D6">
        <w:rPr>
          <w:rFonts w:ascii="Sakkal Majalla" w:hAnsi="Sakkal Majalla" w:cs="Sakkal Majalla"/>
          <w:color w:val="000000" w:themeColor="text1"/>
          <w:sz w:val="28"/>
          <w:szCs w:val="28"/>
          <w:rtl/>
        </w:rPr>
        <w:t>وقد أكدت دراسة شاهين وآخرون</w:t>
      </w:r>
      <w:r w:rsidRPr="00EC10D6">
        <w:rPr>
          <w:rFonts w:ascii="Sakkal Majalla" w:hAnsi="Sakkal Majalla" w:cs="Sakkal Majalla"/>
          <w:color w:val="000000" w:themeColor="text1"/>
          <w:sz w:val="28"/>
          <w:szCs w:val="28"/>
          <w:lang w:bidi="ar-EG"/>
        </w:rPr>
        <w:t xml:space="preserve"> (2024) </w:t>
      </w:r>
      <w:r w:rsidRPr="00EC10D6">
        <w:rPr>
          <w:rFonts w:ascii="Sakkal Majalla" w:hAnsi="Sakkal Majalla" w:cs="Sakkal Majalla"/>
          <w:color w:val="000000" w:themeColor="text1"/>
          <w:sz w:val="28"/>
          <w:szCs w:val="28"/>
          <w:rtl/>
        </w:rPr>
        <w:t>أن المؤسسات ذات الهياكل الديناميكية تكون أكثر قدرة على إعادة هندسة العمليات وتبني التغييرات الإدارية. كما أن المرونة التنظيمية تُعتبر شرطًا مهمًا لتقليل مقاومة التغيير، وتمكين الفرق من التعاون بفاعلية</w:t>
      </w:r>
      <w:r w:rsidRPr="00EC10D6">
        <w:rPr>
          <w:rFonts w:ascii="Sakkal Majalla" w:hAnsi="Sakkal Majalla" w:cs="Sakkal Majalla"/>
          <w:color w:val="000000" w:themeColor="text1"/>
          <w:sz w:val="28"/>
          <w:szCs w:val="28"/>
          <w:lang w:bidi="ar-EG"/>
        </w:rPr>
        <w:t>.</w:t>
      </w:r>
    </w:p>
    <w:p w14:paraId="75BBBD4D" w14:textId="77777777" w:rsidR="00CD02CD" w:rsidRPr="00EC10D6" w:rsidRDefault="00CD02CD">
      <w:pPr>
        <w:bidi w:val="0"/>
        <w:rPr>
          <w:rFonts w:ascii="Sakkal Majalla" w:hAnsi="Sakkal Majalla" w:cs="Sakkal Majalla"/>
          <w:color w:val="000000" w:themeColor="text1"/>
          <w:sz w:val="28"/>
          <w:szCs w:val="28"/>
          <w:rtl/>
        </w:rPr>
      </w:pPr>
      <w:r w:rsidRPr="00EC10D6">
        <w:rPr>
          <w:rFonts w:ascii="Sakkal Majalla" w:hAnsi="Sakkal Majalla" w:cs="Sakkal Majalla"/>
          <w:color w:val="000000" w:themeColor="text1"/>
          <w:sz w:val="28"/>
          <w:szCs w:val="28"/>
          <w:rtl/>
        </w:rPr>
        <w:br w:type="page"/>
      </w:r>
    </w:p>
    <w:bookmarkEnd w:id="33"/>
    <w:p w14:paraId="0FE4DECC" w14:textId="32120829" w:rsidR="00EC10D6" w:rsidRPr="00EC10D6" w:rsidRDefault="00EC10D6" w:rsidP="00021D15">
      <w:pPr>
        <w:spacing w:before="100" w:beforeAutospacing="1" w:after="100" w:afterAutospacing="1" w:line="360" w:lineRule="auto"/>
        <w:ind w:left="720"/>
        <w:jc w:val="center"/>
        <w:rPr>
          <w:rFonts w:cs="Sakkal Majalla"/>
          <w:b/>
          <w:bCs/>
          <w:color w:val="000000" w:themeColor="text1"/>
          <w:szCs w:val="28"/>
          <w:rtl/>
        </w:rPr>
        <w:sectPr w:rsidR="00EC10D6" w:rsidRPr="00EC10D6" w:rsidSect="009B342E">
          <w:footerReference w:type="default" r:id="rId9"/>
          <w:pgSz w:w="11906" w:h="16838" w:code="9"/>
          <w:pgMar w:top="1440" w:right="1985" w:bottom="1440" w:left="1418" w:header="720" w:footer="720" w:gutter="567"/>
          <w:pgNumType w:start="1"/>
          <w:cols w:space="708"/>
          <w:bidi/>
          <w:rtlGutter/>
          <w:docGrid w:linePitch="360"/>
        </w:sectPr>
      </w:pPr>
    </w:p>
    <w:p w14:paraId="29D4231B" w14:textId="1943A060" w:rsidR="0081623B" w:rsidRPr="00EC10D6" w:rsidRDefault="0081623B" w:rsidP="009B342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C10D6">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70F8920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C10D6">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EC10D6" w:rsidRDefault="0081623B" w:rsidP="009B342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C10D6">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EC10D6" w:rsidRDefault="00857739" w:rsidP="009B342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C10D6">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EC10D6">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EC10D6" w:rsidRDefault="00D32470" w:rsidP="009B342E">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2A477721" w:rsidR="00CA6DC7" w:rsidRPr="00EC10D6" w:rsidRDefault="00CA6DC7"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EC10D6">
        <w:rPr>
          <w:rFonts w:ascii="Sakkal Majalla" w:eastAsia="Calibri" w:hAnsi="Sakkal Majalla" w:cs="Sakkal Majalla"/>
          <w:b/>
          <w:bCs/>
          <w:color w:val="000000" w:themeColor="text1"/>
          <w:kern w:val="0"/>
          <w:sz w:val="40"/>
          <w:szCs w:val="40"/>
          <w:lang w:bidi="ar-EG"/>
          <w14:ligatures w14:val="none"/>
        </w:rPr>
        <w:t>"</w:t>
      </w:r>
      <w:r w:rsidR="00B134E7" w:rsidRPr="00EC10D6">
        <w:rPr>
          <w:rFonts w:ascii="Sakkal Majalla" w:hAnsi="Sakkal Majalla" w:cs="Sakkal Majalla"/>
          <w:b/>
          <w:bCs/>
          <w:color w:val="000000" w:themeColor="text1"/>
          <w:sz w:val="40"/>
          <w:szCs w:val="40"/>
        </w:rPr>
        <w:t xml:space="preserve"> </w:t>
      </w:r>
      <w:r w:rsidR="00F751A4" w:rsidRPr="00EC10D6">
        <w:rPr>
          <w:rFonts w:ascii="Sakkal Majalla" w:eastAsia="Calibri" w:hAnsi="Sakkal Majalla" w:cs="Sakkal Majalla"/>
          <w:b/>
          <w:bCs/>
          <w:color w:val="000000" w:themeColor="text1"/>
          <w:kern w:val="0"/>
          <w:sz w:val="40"/>
          <w:szCs w:val="40"/>
          <w:lang w:bidi="ar-EG"/>
          <w14:ligatures w14:val="none"/>
        </w:rPr>
        <w:t>The Role of Empowering Women Leaders in Promoting Administrative Innovation in Saudi Business Organizations: An Applied Study of Medium and Large Enterprises</w:t>
      </w:r>
      <w:r w:rsidR="0083081C" w:rsidRPr="00EC10D6">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EC10D6" w:rsidRDefault="0081623B"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C10D6">
        <w:rPr>
          <w:rFonts w:ascii="Sakkal Majalla" w:eastAsia="Calibri" w:hAnsi="Sakkal Majalla" w:cs="Sakkal Majalla"/>
          <w:b/>
          <w:bCs/>
          <w:color w:val="000000" w:themeColor="text1"/>
          <w:kern w:val="0"/>
          <w:sz w:val="36"/>
          <w:szCs w:val="36"/>
          <w:lang w:bidi="ar-EG"/>
          <w14:ligatures w14:val="none"/>
        </w:rPr>
        <w:t>Preparation</w:t>
      </w:r>
      <w:r w:rsidRPr="00EC10D6">
        <w:rPr>
          <w:rFonts w:ascii="Sakkal Majalla" w:eastAsia="Calibri" w:hAnsi="Sakkal Majalla" w:cs="Sakkal Majalla"/>
          <w:b/>
          <w:bCs/>
          <w:color w:val="000000" w:themeColor="text1"/>
          <w:kern w:val="0"/>
          <w:sz w:val="36"/>
          <w:szCs w:val="36"/>
          <w:rtl/>
          <w:lang w:bidi="ar-EG"/>
          <w14:ligatures w14:val="none"/>
        </w:rPr>
        <w:t>:</w:t>
      </w:r>
    </w:p>
    <w:p w14:paraId="3E1E5630" w14:textId="40A09CD8" w:rsidR="0083081C" w:rsidRPr="00EC10D6" w:rsidRDefault="0083081C"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67448F0C" w14:textId="77777777" w:rsidR="00301731" w:rsidRPr="00EC10D6" w:rsidRDefault="00301731"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EC10D6" w:rsidRDefault="0081623B"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C10D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C10D6" w:rsidRDefault="00BA5817"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C10D6">
        <w:rPr>
          <w:rFonts w:ascii="Sakkal Majalla" w:eastAsia="Calibri" w:hAnsi="Sakkal Majalla" w:cs="Sakkal Majalla"/>
          <w:b/>
          <w:bCs/>
          <w:color w:val="000000" w:themeColor="text1"/>
          <w:kern w:val="0"/>
          <w:sz w:val="36"/>
          <w:szCs w:val="36"/>
          <w:lang w:bidi="ar-EG"/>
          <w14:ligatures w14:val="none"/>
        </w:rPr>
        <w:t xml:space="preserve">Dr. Al-Faisal </w:t>
      </w:r>
      <w:proofErr w:type="spellStart"/>
      <w:r w:rsidRPr="00EC10D6">
        <w:rPr>
          <w:rFonts w:ascii="Sakkal Majalla" w:eastAsia="Calibri" w:hAnsi="Sakkal Majalla" w:cs="Sakkal Majalla"/>
          <w:b/>
          <w:bCs/>
          <w:color w:val="000000" w:themeColor="text1"/>
          <w:kern w:val="0"/>
          <w:sz w:val="36"/>
          <w:szCs w:val="36"/>
          <w:lang w:bidi="ar-EG"/>
          <w14:ligatures w14:val="none"/>
        </w:rPr>
        <w:t>Abdelhamid</w:t>
      </w:r>
      <w:proofErr w:type="spellEnd"/>
      <w:r w:rsidRPr="00EC10D6">
        <w:rPr>
          <w:rFonts w:ascii="Sakkal Majalla" w:eastAsia="Calibri" w:hAnsi="Sakkal Majalla" w:cs="Sakkal Majalla"/>
          <w:b/>
          <w:bCs/>
          <w:color w:val="000000" w:themeColor="text1"/>
          <w:kern w:val="0"/>
          <w:sz w:val="36"/>
          <w:szCs w:val="36"/>
          <w:lang w:bidi="ar-EG"/>
          <w14:ligatures w14:val="none"/>
        </w:rPr>
        <w:t xml:space="preserve"> Mohamed Hassan</w:t>
      </w:r>
    </w:p>
    <w:p w14:paraId="6E52896B" w14:textId="200F213F" w:rsidR="009125CE" w:rsidRPr="00EC10D6" w:rsidRDefault="00EC10D6" w:rsidP="00EC10D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C10D6">
        <w:rPr>
          <w:rFonts w:ascii="Sakkal Majalla" w:eastAsia="Calibri" w:hAnsi="Sakkal Majalla" w:cs="Sakkal Majalla"/>
          <w:b/>
          <w:bCs/>
          <w:color w:val="000000" w:themeColor="text1"/>
          <w:kern w:val="0"/>
          <w:sz w:val="36"/>
          <w:szCs w:val="36"/>
          <w:lang w:bidi="ar-EG"/>
          <w14:ligatures w14:val="none"/>
        </w:rPr>
        <w:t xml:space="preserve">Dr. </w:t>
      </w:r>
      <w:proofErr w:type="spellStart"/>
      <w:r w:rsidRPr="00EC10D6">
        <w:rPr>
          <w:rFonts w:ascii="Sakkal Majalla" w:eastAsia="Calibri" w:hAnsi="Sakkal Majalla" w:cs="Sakkal Majalla"/>
          <w:b/>
          <w:bCs/>
          <w:color w:val="000000" w:themeColor="text1"/>
          <w:kern w:val="0"/>
          <w:sz w:val="36"/>
          <w:szCs w:val="36"/>
          <w:lang w:bidi="ar-EG"/>
          <w14:ligatures w14:val="none"/>
        </w:rPr>
        <w:t>Fayez</w:t>
      </w:r>
      <w:proofErr w:type="spellEnd"/>
      <w:r w:rsidRPr="00EC10D6">
        <w:rPr>
          <w:rFonts w:ascii="Sakkal Majalla" w:eastAsia="Calibri" w:hAnsi="Sakkal Majalla" w:cs="Sakkal Majalla"/>
          <w:b/>
          <w:bCs/>
          <w:color w:val="000000" w:themeColor="text1"/>
          <w:kern w:val="0"/>
          <w:sz w:val="36"/>
          <w:szCs w:val="36"/>
          <w:lang w:bidi="ar-EG"/>
          <w14:ligatures w14:val="none"/>
        </w:rPr>
        <w:t xml:space="preserve"> Grad</w:t>
      </w:r>
    </w:p>
    <w:p w14:paraId="4AA6A3BB" w14:textId="7F7B3930" w:rsidR="00EC10D6" w:rsidRPr="00EC10D6" w:rsidRDefault="00EC10D6" w:rsidP="00EC10D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C10D6">
        <w:rPr>
          <w:rFonts w:ascii="Sakkal Majalla" w:eastAsia="Calibri" w:hAnsi="Sakkal Majalla" w:cs="Sakkal Majalla"/>
          <w:b/>
          <w:bCs/>
          <w:color w:val="000000" w:themeColor="text1"/>
          <w:kern w:val="0"/>
          <w:sz w:val="36"/>
          <w:szCs w:val="36"/>
          <w:lang w:bidi="ar-EG"/>
          <w14:ligatures w14:val="none"/>
        </w:rPr>
        <w:t>1447 – 2025</w:t>
      </w:r>
    </w:p>
    <w:sectPr w:rsidR="00EC10D6" w:rsidRPr="00EC10D6" w:rsidSect="009B342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34591" w14:textId="77777777" w:rsidR="003A1B88" w:rsidRDefault="003A1B88" w:rsidP="009125CE">
      <w:pPr>
        <w:spacing w:after="0" w:line="240" w:lineRule="auto"/>
      </w:pPr>
      <w:r>
        <w:separator/>
      </w:r>
    </w:p>
  </w:endnote>
  <w:endnote w:type="continuationSeparator" w:id="0">
    <w:p w14:paraId="022FD865" w14:textId="77777777" w:rsidR="003A1B88" w:rsidRDefault="003A1B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240353"/>
      <w:docPartObj>
        <w:docPartGallery w:val="Page Numbers (Bottom of Page)"/>
        <w:docPartUnique/>
      </w:docPartObj>
    </w:sdtPr>
    <w:sdtEndPr/>
    <w:sdtContent>
      <w:p w14:paraId="1457B048" w14:textId="77777777" w:rsidR="004A5074" w:rsidRDefault="004A5074">
        <w:pPr>
          <w:pStyle w:val="a4"/>
        </w:pPr>
        <w:r>
          <w:rPr>
            <w:noProof/>
          </w:rPr>
          <mc:AlternateContent>
            <mc:Choice Requires="wps">
              <w:drawing>
                <wp:anchor distT="0" distB="0" distL="114300" distR="114300" simplePos="0" relativeHeight="251666432" behindDoc="0" locked="0" layoutInCell="1" allowOverlap="1" wp14:anchorId="03127F9E" wp14:editId="77B6927B">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85B5EFB" w14:textId="77777777" w:rsidR="004A5074" w:rsidRPr="009B342E" w:rsidRDefault="004A5074">
                              <w:pPr>
                                <w:jc w:val="center"/>
                                <w:rPr>
                                  <w:rFonts w:ascii="Sakkal Majalla" w:hAnsi="Sakkal Majalla" w:cs="Sakkal Majalla"/>
                                  <w:b/>
                                  <w:bCs/>
                                  <w:sz w:val="24"/>
                                  <w:szCs w:val="24"/>
                                </w:rPr>
                              </w:pPr>
                              <w:r w:rsidRPr="009B342E">
                                <w:rPr>
                                  <w:rFonts w:ascii="Sakkal Majalla" w:hAnsi="Sakkal Majalla" w:cs="Sakkal Majalla"/>
                                  <w:b/>
                                  <w:bCs/>
                                  <w:sz w:val="24"/>
                                  <w:szCs w:val="24"/>
                                </w:rPr>
                                <w:fldChar w:fldCharType="begin"/>
                              </w:r>
                              <w:r w:rsidRPr="009B342E">
                                <w:rPr>
                                  <w:rFonts w:ascii="Sakkal Majalla" w:hAnsi="Sakkal Majalla" w:cs="Sakkal Majalla"/>
                                  <w:b/>
                                  <w:bCs/>
                                  <w:sz w:val="24"/>
                                  <w:szCs w:val="24"/>
                                </w:rPr>
                                <w:instrText xml:space="preserve"> PAGE    \* MERGEFORMAT </w:instrText>
                              </w:r>
                              <w:r w:rsidRPr="009B342E">
                                <w:rPr>
                                  <w:rFonts w:ascii="Sakkal Majalla" w:hAnsi="Sakkal Majalla" w:cs="Sakkal Majalla"/>
                                  <w:b/>
                                  <w:bCs/>
                                  <w:sz w:val="24"/>
                                  <w:szCs w:val="24"/>
                                </w:rPr>
                                <w:fldChar w:fldCharType="separate"/>
                              </w:r>
                              <w:r w:rsidR="00021D15">
                                <w:rPr>
                                  <w:rFonts w:ascii="Sakkal Majalla" w:hAnsi="Sakkal Majalla" w:cs="Sakkal Majalla"/>
                                  <w:b/>
                                  <w:bCs/>
                                  <w:noProof/>
                                  <w:sz w:val="24"/>
                                  <w:szCs w:val="24"/>
                                  <w:rtl/>
                                </w:rPr>
                                <w:t>44</w:t>
                              </w:r>
                              <w:r w:rsidRPr="009B342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3127F9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Z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" filled="t" strokecolor="gray" strokeweight="2.25pt">
                  <v:textbox inset=",0,,0">
                    <w:txbxContent>
                      <w:p w14:paraId="685B5EFB" w14:textId="77777777" w:rsidR="004A5074" w:rsidRPr="009B342E" w:rsidRDefault="004A5074">
                        <w:pPr>
                          <w:jc w:val="center"/>
                          <w:rPr>
                            <w:rFonts w:ascii="Sakkal Majalla" w:hAnsi="Sakkal Majalla" w:cs="Sakkal Majalla"/>
                            <w:b/>
                            <w:bCs/>
                            <w:sz w:val="24"/>
                            <w:szCs w:val="24"/>
                          </w:rPr>
                        </w:pPr>
                        <w:r w:rsidRPr="009B342E">
                          <w:rPr>
                            <w:rFonts w:ascii="Sakkal Majalla" w:hAnsi="Sakkal Majalla" w:cs="Sakkal Majalla"/>
                            <w:b/>
                            <w:bCs/>
                            <w:sz w:val="24"/>
                            <w:szCs w:val="24"/>
                          </w:rPr>
                          <w:fldChar w:fldCharType="begin"/>
                        </w:r>
                        <w:r w:rsidRPr="009B342E">
                          <w:rPr>
                            <w:rFonts w:ascii="Sakkal Majalla" w:hAnsi="Sakkal Majalla" w:cs="Sakkal Majalla"/>
                            <w:b/>
                            <w:bCs/>
                            <w:sz w:val="24"/>
                            <w:szCs w:val="24"/>
                          </w:rPr>
                          <w:instrText xml:space="preserve"> PAGE    \* MERGEFORMAT </w:instrText>
                        </w:r>
                        <w:r w:rsidRPr="009B342E">
                          <w:rPr>
                            <w:rFonts w:ascii="Sakkal Majalla" w:hAnsi="Sakkal Majalla" w:cs="Sakkal Majalla"/>
                            <w:b/>
                            <w:bCs/>
                            <w:sz w:val="24"/>
                            <w:szCs w:val="24"/>
                          </w:rPr>
                          <w:fldChar w:fldCharType="separate"/>
                        </w:r>
                        <w:r w:rsidR="00021D15">
                          <w:rPr>
                            <w:rFonts w:ascii="Sakkal Majalla" w:hAnsi="Sakkal Majalla" w:cs="Sakkal Majalla"/>
                            <w:b/>
                            <w:bCs/>
                            <w:noProof/>
                            <w:sz w:val="24"/>
                            <w:szCs w:val="24"/>
                            <w:rtl/>
                          </w:rPr>
                          <w:t>44</w:t>
                        </w:r>
                        <w:r w:rsidRPr="009B342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21E80D5" wp14:editId="5741376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961D92C"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F8F5" w14:textId="0D952465" w:rsidR="00EC10D6" w:rsidRDefault="00EC10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89B2F" w14:textId="77777777" w:rsidR="003A1B88" w:rsidRDefault="003A1B88" w:rsidP="009125CE">
      <w:pPr>
        <w:spacing w:after="0" w:line="240" w:lineRule="auto"/>
      </w:pPr>
      <w:r>
        <w:separator/>
      </w:r>
    </w:p>
  </w:footnote>
  <w:footnote w:type="continuationSeparator" w:id="0">
    <w:p w14:paraId="13DE0860" w14:textId="77777777" w:rsidR="003A1B88" w:rsidRDefault="003A1B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1429"/>
    <w:multiLevelType w:val="hybridMultilevel"/>
    <w:tmpl w:val="D16492F8"/>
    <w:lvl w:ilvl="0" w:tplc="6E68F47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1649D"/>
    <w:multiLevelType w:val="hybridMultilevel"/>
    <w:tmpl w:val="D934537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37E8B"/>
    <w:multiLevelType w:val="multilevel"/>
    <w:tmpl w:val="BBFC5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E10AA"/>
    <w:multiLevelType w:val="multilevel"/>
    <w:tmpl w:val="DCF68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C03436"/>
    <w:multiLevelType w:val="hybridMultilevel"/>
    <w:tmpl w:val="6368031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1924331D"/>
    <w:multiLevelType w:val="multilevel"/>
    <w:tmpl w:val="56764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A76773"/>
    <w:multiLevelType w:val="multilevel"/>
    <w:tmpl w:val="CA744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6331B"/>
    <w:multiLevelType w:val="hybridMultilevel"/>
    <w:tmpl w:val="00CA9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D011B56"/>
    <w:multiLevelType w:val="multilevel"/>
    <w:tmpl w:val="D3808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056A7"/>
    <w:multiLevelType w:val="hybridMultilevel"/>
    <w:tmpl w:val="F26804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500292"/>
    <w:multiLevelType w:val="hybridMultilevel"/>
    <w:tmpl w:val="77B841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5F0FD5"/>
    <w:multiLevelType w:val="hybridMultilevel"/>
    <w:tmpl w:val="A3BCF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100996"/>
    <w:multiLevelType w:val="hybridMultilevel"/>
    <w:tmpl w:val="EB744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8432DDC"/>
    <w:multiLevelType w:val="multilevel"/>
    <w:tmpl w:val="3606F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F4C003C"/>
    <w:multiLevelType w:val="multilevel"/>
    <w:tmpl w:val="34E0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0B1FFB"/>
    <w:multiLevelType w:val="multilevel"/>
    <w:tmpl w:val="2D348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3892083">
    <w:abstractNumId w:val="15"/>
  </w:num>
  <w:num w:numId="2" w16cid:durableId="1178694220">
    <w:abstractNumId w:val="32"/>
  </w:num>
  <w:num w:numId="3" w16cid:durableId="1149321218">
    <w:abstractNumId w:val="19"/>
  </w:num>
  <w:num w:numId="4" w16cid:durableId="1989434544">
    <w:abstractNumId w:val="11"/>
  </w:num>
  <w:num w:numId="5" w16cid:durableId="845753360">
    <w:abstractNumId w:val="12"/>
  </w:num>
  <w:num w:numId="6" w16cid:durableId="120149901">
    <w:abstractNumId w:val="17"/>
  </w:num>
  <w:num w:numId="7" w16cid:durableId="80375275">
    <w:abstractNumId w:val="18"/>
  </w:num>
  <w:num w:numId="8" w16cid:durableId="1393576121">
    <w:abstractNumId w:val="3"/>
  </w:num>
  <w:num w:numId="9" w16cid:durableId="93326301">
    <w:abstractNumId w:val="29"/>
  </w:num>
  <w:num w:numId="10" w16cid:durableId="1356422035">
    <w:abstractNumId w:val="6"/>
  </w:num>
  <w:num w:numId="11" w16cid:durableId="225384057">
    <w:abstractNumId w:val="10"/>
  </w:num>
  <w:num w:numId="12" w16cid:durableId="1086999558">
    <w:abstractNumId w:val="14"/>
  </w:num>
  <w:num w:numId="13" w16cid:durableId="643003877">
    <w:abstractNumId w:val="21"/>
  </w:num>
  <w:num w:numId="14" w16cid:durableId="1231113644">
    <w:abstractNumId w:val="22"/>
  </w:num>
  <w:num w:numId="15" w16cid:durableId="1858811840">
    <w:abstractNumId w:val="4"/>
  </w:num>
  <w:num w:numId="16" w16cid:durableId="633221843">
    <w:abstractNumId w:val="0"/>
  </w:num>
  <w:num w:numId="17" w16cid:durableId="2102412149">
    <w:abstractNumId w:val="8"/>
  </w:num>
  <w:num w:numId="18" w16cid:durableId="1707751574">
    <w:abstractNumId w:val="31"/>
  </w:num>
  <w:num w:numId="19" w16cid:durableId="303044305">
    <w:abstractNumId w:val="20"/>
  </w:num>
  <w:num w:numId="20" w16cid:durableId="2043432390">
    <w:abstractNumId w:val="30"/>
  </w:num>
  <w:num w:numId="21" w16cid:durableId="1449203935">
    <w:abstractNumId w:val="28"/>
  </w:num>
  <w:num w:numId="22" w16cid:durableId="361786292">
    <w:abstractNumId w:val="2"/>
  </w:num>
  <w:num w:numId="23" w16cid:durableId="1916239049">
    <w:abstractNumId w:val="5"/>
  </w:num>
  <w:num w:numId="24" w16cid:durableId="743375334">
    <w:abstractNumId w:val="9"/>
  </w:num>
  <w:num w:numId="25" w16cid:durableId="542518744">
    <w:abstractNumId w:val="26"/>
  </w:num>
  <w:num w:numId="26" w16cid:durableId="1589847184">
    <w:abstractNumId w:val="16"/>
  </w:num>
  <w:num w:numId="27" w16cid:durableId="1322926818">
    <w:abstractNumId w:val="1"/>
  </w:num>
  <w:num w:numId="28" w16cid:durableId="882787744">
    <w:abstractNumId w:val="23"/>
  </w:num>
  <w:num w:numId="29" w16cid:durableId="479420776">
    <w:abstractNumId w:val="7"/>
  </w:num>
  <w:num w:numId="30" w16cid:durableId="1909532420">
    <w:abstractNumId w:val="24"/>
  </w:num>
  <w:num w:numId="31" w16cid:durableId="218715499">
    <w:abstractNumId w:val="25"/>
  </w:num>
  <w:num w:numId="32" w16cid:durableId="689991565">
    <w:abstractNumId w:val="13"/>
  </w:num>
  <w:num w:numId="33" w16cid:durableId="300498926">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204A8"/>
    <w:rsid w:val="00020F7B"/>
    <w:rsid w:val="00021D15"/>
    <w:rsid w:val="00022B3A"/>
    <w:rsid w:val="0004554E"/>
    <w:rsid w:val="00052AB0"/>
    <w:rsid w:val="00053122"/>
    <w:rsid w:val="000543EF"/>
    <w:rsid w:val="000602CA"/>
    <w:rsid w:val="000610C9"/>
    <w:rsid w:val="00061FA2"/>
    <w:rsid w:val="00064FF1"/>
    <w:rsid w:val="00067938"/>
    <w:rsid w:val="0007370A"/>
    <w:rsid w:val="000769E1"/>
    <w:rsid w:val="000842EB"/>
    <w:rsid w:val="00085D1B"/>
    <w:rsid w:val="00094E98"/>
    <w:rsid w:val="000A2ED4"/>
    <w:rsid w:val="000A4DAE"/>
    <w:rsid w:val="000A6930"/>
    <w:rsid w:val="000C4130"/>
    <w:rsid w:val="000C46EE"/>
    <w:rsid w:val="000D03ED"/>
    <w:rsid w:val="000D2E22"/>
    <w:rsid w:val="000D65EA"/>
    <w:rsid w:val="000D7A52"/>
    <w:rsid w:val="000E0212"/>
    <w:rsid w:val="000E2A00"/>
    <w:rsid w:val="000E3680"/>
    <w:rsid w:val="000E503B"/>
    <w:rsid w:val="000F44B4"/>
    <w:rsid w:val="00103D0F"/>
    <w:rsid w:val="00110487"/>
    <w:rsid w:val="0012342D"/>
    <w:rsid w:val="001306F3"/>
    <w:rsid w:val="00131E44"/>
    <w:rsid w:val="00143989"/>
    <w:rsid w:val="00150B32"/>
    <w:rsid w:val="001510C1"/>
    <w:rsid w:val="00152611"/>
    <w:rsid w:val="00153B41"/>
    <w:rsid w:val="00164155"/>
    <w:rsid w:val="001703AF"/>
    <w:rsid w:val="00173ABC"/>
    <w:rsid w:val="00175050"/>
    <w:rsid w:val="00180436"/>
    <w:rsid w:val="0018142E"/>
    <w:rsid w:val="001902DB"/>
    <w:rsid w:val="0019163E"/>
    <w:rsid w:val="00194472"/>
    <w:rsid w:val="001962D1"/>
    <w:rsid w:val="001A1758"/>
    <w:rsid w:val="001A3E5F"/>
    <w:rsid w:val="001A41B9"/>
    <w:rsid w:val="001A4719"/>
    <w:rsid w:val="001A5094"/>
    <w:rsid w:val="001B0D06"/>
    <w:rsid w:val="001B6D18"/>
    <w:rsid w:val="001B7151"/>
    <w:rsid w:val="001C2162"/>
    <w:rsid w:val="001C42F9"/>
    <w:rsid w:val="001C631E"/>
    <w:rsid w:val="001E490D"/>
    <w:rsid w:val="001E7B16"/>
    <w:rsid w:val="001F0034"/>
    <w:rsid w:val="001F159D"/>
    <w:rsid w:val="001F46A5"/>
    <w:rsid w:val="0020609A"/>
    <w:rsid w:val="0021718D"/>
    <w:rsid w:val="00217ADA"/>
    <w:rsid w:val="00223AE0"/>
    <w:rsid w:val="00234450"/>
    <w:rsid w:val="002448BF"/>
    <w:rsid w:val="00260558"/>
    <w:rsid w:val="0026283D"/>
    <w:rsid w:val="002766BC"/>
    <w:rsid w:val="00280068"/>
    <w:rsid w:val="002828EF"/>
    <w:rsid w:val="00286958"/>
    <w:rsid w:val="00294670"/>
    <w:rsid w:val="0029680E"/>
    <w:rsid w:val="002A32D6"/>
    <w:rsid w:val="002A365A"/>
    <w:rsid w:val="002A76B5"/>
    <w:rsid w:val="002B1274"/>
    <w:rsid w:val="002C205F"/>
    <w:rsid w:val="002C21BB"/>
    <w:rsid w:val="002C5EE0"/>
    <w:rsid w:val="002D0190"/>
    <w:rsid w:val="002D30A7"/>
    <w:rsid w:val="002D3120"/>
    <w:rsid w:val="002D5C0C"/>
    <w:rsid w:val="002E13BB"/>
    <w:rsid w:val="002E36BC"/>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1981"/>
    <w:rsid w:val="00375565"/>
    <w:rsid w:val="00377D51"/>
    <w:rsid w:val="00377DD2"/>
    <w:rsid w:val="003831F8"/>
    <w:rsid w:val="0038357B"/>
    <w:rsid w:val="003873E8"/>
    <w:rsid w:val="003960DF"/>
    <w:rsid w:val="00396510"/>
    <w:rsid w:val="003A1B88"/>
    <w:rsid w:val="003A757C"/>
    <w:rsid w:val="003B30A9"/>
    <w:rsid w:val="003D1999"/>
    <w:rsid w:val="003D5D45"/>
    <w:rsid w:val="003D6376"/>
    <w:rsid w:val="003D6A80"/>
    <w:rsid w:val="003E29FB"/>
    <w:rsid w:val="003E3EBB"/>
    <w:rsid w:val="003E7CB6"/>
    <w:rsid w:val="003F68B9"/>
    <w:rsid w:val="00402123"/>
    <w:rsid w:val="00403383"/>
    <w:rsid w:val="004130C0"/>
    <w:rsid w:val="00413DF8"/>
    <w:rsid w:val="00413F36"/>
    <w:rsid w:val="004215C5"/>
    <w:rsid w:val="004260FE"/>
    <w:rsid w:val="00430178"/>
    <w:rsid w:val="00433FD4"/>
    <w:rsid w:val="0043649D"/>
    <w:rsid w:val="00446ED1"/>
    <w:rsid w:val="00457F0A"/>
    <w:rsid w:val="004613E8"/>
    <w:rsid w:val="00461DB2"/>
    <w:rsid w:val="00464637"/>
    <w:rsid w:val="004708AB"/>
    <w:rsid w:val="00473631"/>
    <w:rsid w:val="00474A1C"/>
    <w:rsid w:val="00475C10"/>
    <w:rsid w:val="00476ADB"/>
    <w:rsid w:val="0047707D"/>
    <w:rsid w:val="00482056"/>
    <w:rsid w:val="004824BF"/>
    <w:rsid w:val="00491EAB"/>
    <w:rsid w:val="004A035D"/>
    <w:rsid w:val="004A1755"/>
    <w:rsid w:val="004A5074"/>
    <w:rsid w:val="004B1EF3"/>
    <w:rsid w:val="004B352F"/>
    <w:rsid w:val="004C3BAD"/>
    <w:rsid w:val="004C4331"/>
    <w:rsid w:val="004D23E7"/>
    <w:rsid w:val="004D6B08"/>
    <w:rsid w:val="004E439C"/>
    <w:rsid w:val="004F1444"/>
    <w:rsid w:val="004F2475"/>
    <w:rsid w:val="004F3AF6"/>
    <w:rsid w:val="005146DA"/>
    <w:rsid w:val="0051585E"/>
    <w:rsid w:val="00522010"/>
    <w:rsid w:val="0052581D"/>
    <w:rsid w:val="0053210F"/>
    <w:rsid w:val="005423FA"/>
    <w:rsid w:val="00544E3F"/>
    <w:rsid w:val="005459E0"/>
    <w:rsid w:val="00545E45"/>
    <w:rsid w:val="00550EC8"/>
    <w:rsid w:val="005527F0"/>
    <w:rsid w:val="00552B0E"/>
    <w:rsid w:val="005552F0"/>
    <w:rsid w:val="00557A05"/>
    <w:rsid w:val="00557B85"/>
    <w:rsid w:val="00586F13"/>
    <w:rsid w:val="00590B27"/>
    <w:rsid w:val="00597F74"/>
    <w:rsid w:val="005A755A"/>
    <w:rsid w:val="005B112C"/>
    <w:rsid w:val="005B119B"/>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9647F"/>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21B5"/>
    <w:rsid w:val="0071431A"/>
    <w:rsid w:val="0071504C"/>
    <w:rsid w:val="007301E5"/>
    <w:rsid w:val="00731DC0"/>
    <w:rsid w:val="0073699F"/>
    <w:rsid w:val="00741B9A"/>
    <w:rsid w:val="007501C6"/>
    <w:rsid w:val="0075485F"/>
    <w:rsid w:val="00754DB9"/>
    <w:rsid w:val="00755053"/>
    <w:rsid w:val="00757802"/>
    <w:rsid w:val="00760A35"/>
    <w:rsid w:val="00766D40"/>
    <w:rsid w:val="007739B3"/>
    <w:rsid w:val="007753A5"/>
    <w:rsid w:val="00775634"/>
    <w:rsid w:val="00780E8F"/>
    <w:rsid w:val="007874FA"/>
    <w:rsid w:val="00790ACD"/>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E6CE8"/>
    <w:rsid w:val="007F1674"/>
    <w:rsid w:val="007F2AAC"/>
    <w:rsid w:val="007F6F3A"/>
    <w:rsid w:val="008011CD"/>
    <w:rsid w:val="00806716"/>
    <w:rsid w:val="00807477"/>
    <w:rsid w:val="00811E32"/>
    <w:rsid w:val="008156EA"/>
    <w:rsid w:val="0081623B"/>
    <w:rsid w:val="00821534"/>
    <w:rsid w:val="0083081C"/>
    <w:rsid w:val="00830E4D"/>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1FA"/>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FD8"/>
    <w:rsid w:val="009069CB"/>
    <w:rsid w:val="009125CE"/>
    <w:rsid w:val="009136AF"/>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954D7"/>
    <w:rsid w:val="009A62C5"/>
    <w:rsid w:val="009B0213"/>
    <w:rsid w:val="009B342E"/>
    <w:rsid w:val="009B37BE"/>
    <w:rsid w:val="009B37F5"/>
    <w:rsid w:val="009B5162"/>
    <w:rsid w:val="009B5963"/>
    <w:rsid w:val="009B6888"/>
    <w:rsid w:val="009B7EAF"/>
    <w:rsid w:val="009C0161"/>
    <w:rsid w:val="009C20C7"/>
    <w:rsid w:val="009C6715"/>
    <w:rsid w:val="009D108D"/>
    <w:rsid w:val="009D2E51"/>
    <w:rsid w:val="009D2E90"/>
    <w:rsid w:val="009D4539"/>
    <w:rsid w:val="009D59AE"/>
    <w:rsid w:val="009E1436"/>
    <w:rsid w:val="009E31A0"/>
    <w:rsid w:val="009E5668"/>
    <w:rsid w:val="009F7996"/>
    <w:rsid w:val="00A02DBC"/>
    <w:rsid w:val="00A10072"/>
    <w:rsid w:val="00A10B45"/>
    <w:rsid w:val="00A1279C"/>
    <w:rsid w:val="00A130CC"/>
    <w:rsid w:val="00A15287"/>
    <w:rsid w:val="00A15584"/>
    <w:rsid w:val="00A16431"/>
    <w:rsid w:val="00A23F5C"/>
    <w:rsid w:val="00A2564F"/>
    <w:rsid w:val="00A25AAE"/>
    <w:rsid w:val="00A30D10"/>
    <w:rsid w:val="00A31A25"/>
    <w:rsid w:val="00A348C1"/>
    <w:rsid w:val="00A3547E"/>
    <w:rsid w:val="00A35B21"/>
    <w:rsid w:val="00A40ADE"/>
    <w:rsid w:val="00A43A8D"/>
    <w:rsid w:val="00A44EBE"/>
    <w:rsid w:val="00A4659A"/>
    <w:rsid w:val="00A50745"/>
    <w:rsid w:val="00A57461"/>
    <w:rsid w:val="00A61A6B"/>
    <w:rsid w:val="00A74F76"/>
    <w:rsid w:val="00A840CF"/>
    <w:rsid w:val="00A86E11"/>
    <w:rsid w:val="00A95D95"/>
    <w:rsid w:val="00A97576"/>
    <w:rsid w:val="00AA005F"/>
    <w:rsid w:val="00AA79E9"/>
    <w:rsid w:val="00AB0A70"/>
    <w:rsid w:val="00AB1A84"/>
    <w:rsid w:val="00AB3E18"/>
    <w:rsid w:val="00AB41F1"/>
    <w:rsid w:val="00AB5A3B"/>
    <w:rsid w:val="00AD722B"/>
    <w:rsid w:val="00AE3C7A"/>
    <w:rsid w:val="00AE6214"/>
    <w:rsid w:val="00AF24F6"/>
    <w:rsid w:val="00AF31BE"/>
    <w:rsid w:val="00AF46DF"/>
    <w:rsid w:val="00B04BD9"/>
    <w:rsid w:val="00B05F9C"/>
    <w:rsid w:val="00B1237B"/>
    <w:rsid w:val="00B134E7"/>
    <w:rsid w:val="00B15A9E"/>
    <w:rsid w:val="00B2244B"/>
    <w:rsid w:val="00B31E3D"/>
    <w:rsid w:val="00B346DF"/>
    <w:rsid w:val="00B36FBC"/>
    <w:rsid w:val="00B44182"/>
    <w:rsid w:val="00B467CC"/>
    <w:rsid w:val="00B5443B"/>
    <w:rsid w:val="00B570EB"/>
    <w:rsid w:val="00B57582"/>
    <w:rsid w:val="00B63B0F"/>
    <w:rsid w:val="00B653F7"/>
    <w:rsid w:val="00B72A08"/>
    <w:rsid w:val="00B7678A"/>
    <w:rsid w:val="00B801FA"/>
    <w:rsid w:val="00B9286F"/>
    <w:rsid w:val="00BA3D6A"/>
    <w:rsid w:val="00BA5817"/>
    <w:rsid w:val="00BB1144"/>
    <w:rsid w:val="00BB3514"/>
    <w:rsid w:val="00BC1865"/>
    <w:rsid w:val="00BC454D"/>
    <w:rsid w:val="00BD03D1"/>
    <w:rsid w:val="00BD590D"/>
    <w:rsid w:val="00BE2024"/>
    <w:rsid w:val="00BF35D5"/>
    <w:rsid w:val="00BF3F1B"/>
    <w:rsid w:val="00C01C2B"/>
    <w:rsid w:val="00C05F98"/>
    <w:rsid w:val="00C07B95"/>
    <w:rsid w:val="00C16713"/>
    <w:rsid w:val="00C16D65"/>
    <w:rsid w:val="00C20A1C"/>
    <w:rsid w:val="00C23616"/>
    <w:rsid w:val="00C23A70"/>
    <w:rsid w:val="00C32E49"/>
    <w:rsid w:val="00C35B07"/>
    <w:rsid w:val="00C40FBA"/>
    <w:rsid w:val="00C43D61"/>
    <w:rsid w:val="00C445F4"/>
    <w:rsid w:val="00C45767"/>
    <w:rsid w:val="00C46354"/>
    <w:rsid w:val="00C62935"/>
    <w:rsid w:val="00C67472"/>
    <w:rsid w:val="00C71E18"/>
    <w:rsid w:val="00C74890"/>
    <w:rsid w:val="00C75BC1"/>
    <w:rsid w:val="00C77A43"/>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02CD"/>
    <w:rsid w:val="00CD105C"/>
    <w:rsid w:val="00CD77F0"/>
    <w:rsid w:val="00CF4901"/>
    <w:rsid w:val="00CF552E"/>
    <w:rsid w:val="00CF6CEC"/>
    <w:rsid w:val="00D0629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F232F"/>
    <w:rsid w:val="00DF40C2"/>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D6"/>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BD"/>
    <w:rsid w:val="00F450D5"/>
    <w:rsid w:val="00F546CE"/>
    <w:rsid w:val="00F563E2"/>
    <w:rsid w:val="00F66109"/>
    <w:rsid w:val="00F72CBB"/>
    <w:rsid w:val="00F733B2"/>
    <w:rsid w:val="00F751A4"/>
    <w:rsid w:val="00FA0A03"/>
    <w:rsid w:val="00FA24AF"/>
    <w:rsid w:val="00FA2CF5"/>
    <w:rsid w:val="00FA4282"/>
    <w:rsid w:val="00FA44AF"/>
    <w:rsid w:val="00FB11CC"/>
    <w:rsid w:val="00FB7A83"/>
    <w:rsid w:val="00FC20BB"/>
    <w:rsid w:val="00FC31E7"/>
    <w:rsid w:val="00FC4E54"/>
    <w:rsid w:val="00FD1591"/>
    <w:rsid w:val="00FD4AA8"/>
    <w:rsid w:val="00FD5F5A"/>
    <w:rsid w:val="00FD7B84"/>
    <w:rsid w:val="00FE0443"/>
    <w:rsid w:val="00FF1D40"/>
    <w:rsid w:val="00FF5F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6">
    <w:name w:val="Grid Table 6 Colorful Accent 6"/>
    <w:basedOn w:val="a1"/>
    <w:uiPriority w:val="51"/>
    <w:rsid w:val="009B342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4A507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EC10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598">
      <w:bodyDiv w:val="1"/>
      <w:marLeft w:val="0"/>
      <w:marRight w:val="0"/>
      <w:marTop w:val="0"/>
      <w:marBottom w:val="0"/>
      <w:divBdr>
        <w:top w:val="none" w:sz="0" w:space="0" w:color="auto"/>
        <w:left w:val="none" w:sz="0" w:space="0" w:color="auto"/>
        <w:bottom w:val="none" w:sz="0" w:space="0" w:color="auto"/>
        <w:right w:val="none" w:sz="0" w:space="0" w:color="auto"/>
      </w:divBdr>
    </w:div>
    <w:div w:id="17123518">
      <w:bodyDiv w:val="1"/>
      <w:marLeft w:val="0"/>
      <w:marRight w:val="0"/>
      <w:marTop w:val="0"/>
      <w:marBottom w:val="0"/>
      <w:divBdr>
        <w:top w:val="none" w:sz="0" w:space="0" w:color="auto"/>
        <w:left w:val="none" w:sz="0" w:space="0" w:color="auto"/>
        <w:bottom w:val="none" w:sz="0" w:space="0" w:color="auto"/>
        <w:right w:val="none" w:sz="0" w:space="0" w:color="auto"/>
      </w:divBdr>
    </w:div>
    <w:div w:id="183400012">
      <w:bodyDiv w:val="1"/>
      <w:marLeft w:val="0"/>
      <w:marRight w:val="0"/>
      <w:marTop w:val="0"/>
      <w:marBottom w:val="0"/>
      <w:divBdr>
        <w:top w:val="none" w:sz="0" w:space="0" w:color="auto"/>
        <w:left w:val="none" w:sz="0" w:space="0" w:color="auto"/>
        <w:bottom w:val="none" w:sz="0" w:space="0" w:color="auto"/>
        <w:right w:val="none" w:sz="0" w:space="0" w:color="auto"/>
      </w:divBdr>
    </w:div>
    <w:div w:id="22249609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157915">
      <w:bodyDiv w:val="1"/>
      <w:marLeft w:val="0"/>
      <w:marRight w:val="0"/>
      <w:marTop w:val="0"/>
      <w:marBottom w:val="0"/>
      <w:divBdr>
        <w:top w:val="none" w:sz="0" w:space="0" w:color="auto"/>
        <w:left w:val="none" w:sz="0" w:space="0" w:color="auto"/>
        <w:bottom w:val="none" w:sz="0" w:space="0" w:color="auto"/>
        <w:right w:val="none" w:sz="0" w:space="0" w:color="auto"/>
      </w:divBdr>
      <w:divsChild>
        <w:div w:id="174853929">
          <w:marLeft w:val="0"/>
          <w:marRight w:val="0"/>
          <w:marTop w:val="0"/>
          <w:marBottom w:val="0"/>
          <w:divBdr>
            <w:top w:val="none" w:sz="0" w:space="0" w:color="auto"/>
            <w:left w:val="none" w:sz="0" w:space="0" w:color="auto"/>
            <w:bottom w:val="none" w:sz="0" w:space="0" w:color="auto"/>
            <w:right w:val="none" w:sz="0" w:space="0" w:color="auto"/>
          </w:divBdr>
          <w:divsChild>
            <w:div w:id="32101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534720">
      <w:bodyDiv w:val="1"/>
      <w:marLeft w:val="0"/>
      <w:marRight w:val="0"/>
      <w:marTop w:val="0"/>
      <w:marBottom w:val="0"/>
      <w:divBdr>
        <w:top w:val="none" w:sz="0" w:space="0" w:color="auto"/>
        <w:left w:val="none" w:sz="0" w:space="0" w:color="auto"/>
        <w:bottom w:val="none" w:sz="0" w:space="0" w:color="auto"/>
        <w:right w:val="none" w:sz="0" w:space="0" w:color="auto"/>
      </w:divBdr>
      <w:divsChild>
        <w:div w:id="540871910">
          <w:marLeft w:val="0"/>
          <w:marRight w:val="0"/>
          <w:marTop w:val="0"/>
          <w:marBottom w:val="0"/>
          <w:divBdr>
            <w:top w:val="none" w:sz="0" w:space="0" w:color="auto"/>
            <w:left w:val="none" w:sz="0" w:space="0" w:color="auto"/>
            <w:bottom w:val="none" w:sz="0" w:space="0" w:color="auto"/>
            <w:right w:val="none" w:sz="0" w:space="0" w:color="auto"/>
          </w:divBdr>
          <w:divsChild>
            <w:div w:id="1218778635">
              <w:marLeft w:val="0"/>
              <w:marRight w:val="0"/>
              <w:marTop w:val="0"/>
              <w:marBottom w:val="0"/>
              <w:divBdr>
                <w:top w:val="none" w:sz="0" w:space="0" w:color="auto"/>
                <w:left w:val="none" w:sz="0" w:space="0" w:color="auto"/>
                <w:bottom w:val="none" w:sz="0" w:space="0" w:color="auto"/>
                <w:right w:val="none" w:sz="0" w:space="0" w:color="auto"/>
              </w:divBdr>
            </w:div>
          </w:divsChild>
        </w:div>
        <w:div w:id="599068320">
          <w:marLeft w:val="0"/>
          <w:marRight w:val="0"/>
          <w:marTop w:val="0"/>
          <w:marBottom w:val="0"/>
          <w:divBdr>
            <w:top w:val="none" w:sz="0" w:space="0" w:color="auto"/>
            <w:left w:val="none" w:sz="0" w:space="0" w:color="auto"/>
            <w:bottom w:val="none" w:sz="0" w:space="0" w:color="auto"/>
            <w:right w:val="none" w:sz="0" w:space="0" w:color="auto"/>
          </w:divBdr>
          <w:divsChild>
            <w:div w:id="2008552040">
              <w:marLeft w:val="0"/>
              <w:marRight w:val="0"/>
              <w:marTop w:val="0"/>
              <w:marBottom w:val="0"/>
              <w:divBdr>
                <w:top w:val="none" w:sz="0" w:space="0" w:color="auto"/>
                <w:left w:val="none" w:sz="0" w:space="0" w:color="auto"/>
                <w:bottom w:val="none" w:sz="0" w:space="0" w:color="auto"/>
                <w:right w:val="none" w:sz="0" w:space="0" w:color="auto"/>
              </w:divBdr>
            </w:div>
          </w:divsChild>
        </w:div>
        <w:div w:id="1906798980">
          <w:marLeft w:val="0"/>
          <w:marRight w:val="0"/>
          <w:marTop w:val="0"/>
          <w:marBottom w:val="0"/>
          <w:divBdr>
            <w:top w:val="none" w:sz="0" w:space="0" w:color="auto"/>
            <w:left w:val="none" w:sz="0" w:space="0" w:color="auto"/>
            <w:bottom w:val="none" w:sz="0" w:space="0" w:color="auto"/>
            <w:right w:val="none" w:sz="0" w:space="0" w:color="auto"/>
          </w:divBdr>
          <w:divsChild>
            <w:div w:id="1081828602">
              <w:marLeft w:val="0"/>
              <w:marRight w:val="0"/>
              <w:marTop w:val="0"/>
              <w:marBottom w:val="0"/>
              <w:divBdr>
                <w:top w:val="none" w:sz="0" w:space="0" w:color="auto"/>
                <w:left w:val="none" w:sz="0" w:space="0" w:color="auto"/>
                <w:bottom w:val="none" w:sz="0" w:space="0" w:color="auto"/>
                <w:right w:val="none" w:sz="0" w:space="0" w:color="auto"/>
              </w:divBdr>
            </w:div>
          </w:divsChild>
        </w:div>
        <w:div w:id="613824616">
          <w:marLeft w:val="0"/>
          <w:marRight w:val="0"/>
          <w:marTop w:val="0"/>
          <w:marBottom w:val="0"/>
          <w:divBdr>
            <w:top w:val="none" w:sz="0" w:space="0" w:color="auto"/>
            <w:left w:val="none" w:sz="0" w:space="0" w:color="auto"/>
            <w:bottom w:val="none" w:sz="0" w:space="0" w:color="auto"/>
            <w:right w:val="none" w:sz="0" w:space="0" w:color="auto"/>
          </w:divBdr>
          <w:divsChild>
            <w:div w:id="7012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13675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04653335">
      <w:bodyDiv w:val="1"/>
      <w:marLeft w:val="0"/>
      <w:marRight w:val="0"/>
      <w:marTop w:val="0"/>
      <w:marBottom w:val="0"/>
      <w:divBdr>
        <w:top w:val="none" w:sz="0" w:space="0" w:color="auto"/>
        <w:left w:val="none" w:sz="0" w:space="0" w:color="auto"/>
        <w:bottom w:val="none" w:sz="0" w:space="0" w:color="auto"/>
        <w:right w:val="none" w:sz="0" w:space="0" w:color="auto"/>
      </w:divBdr>
      <w:divsChild>
        <w:div w:id="281498144">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36056015">
      <w:bodyDiv w:val="1"/>
      <w:marLeft w:val="0"/>
      <w:marRight w:val="0"/>
      <w:marTop w:val="0"/>
      <w:marBottom w:val="0"/>
      <w:divBdr>
        <w:top w:val="none" w:sz="0" w:space="0" w:color="auto"/>
        <w:left w:val="none" w:sz="0" w:space="0" w:color="auto"/>
        <w:bottom w:val="none" w:sz="0" w:space="0" w:color="auto"/>
        <w:right w:val="none" w:sz="0" w:space="0" w:color="auto"/>
      </w:divBdr>
    </w:div>
    <w:div w:id="770904602">
      <w:bodyDiv w:val="1"/>
      <w:marLeft w:val="0"/>
      <w:marRight w:val="0"/>
      <w:marTop w:val="0"/>
      <w:marBottom w:val="0"/>
      <w:divBdr>
        <w:top w:val="none" w:sz="0" w:space="0" w:color="auto"/>
        <w:left w:val="none" w:sz="0" w:space="0" w:color="auto"/>
        <w:bottom w:val="none" w:sz="0" w:space="0" w:color="auto"/>
        <w:right w:val="none" w:sz="0" w:space="0" w:color="auto"/>
      </w:divBdr>
    </w:div>
    <w:div w:id="818110494">
      <w:bodyDiv w:val="1"/>
      <w:marLeft w:val="0"/>
      <w:marRight w:val="0"/>
      <w:marTop w:val="0"/>
      <w:marBottom w:val="0"/>
      <w:divBdr>
        <w:top w:val="none" w:sz="0" w:space="0" w:color="auto"/>
        <w:left w:val="none" w:sz="0" w:space="0" w:color="auto"/>
        <w:bottom w:val="none" w:sz="0" w:space="0" w:color="auto"/>
        <w:right w:val="none" w:sz="0" w:space="0" w:color="auto"/>
      </w:divBdr>
      <w:divsChild>
        <w:div w:id="1419015762">
          <w:marLeft w:val="0"/>
          <w:marRight w:val="0"/>
          <w:marTop w:val="0"/>
          <w:marBottom w:val="0"/>
          <w:divBdr>
            <w:top w:val="none" w:sz="0" w:space="0" w:color="auto"/>
            <w:left w:val="none" w:sz="0" w:space="0" w:color="auto"/>
            <w:bottom w:val="none" w:sz="0" w:space="0" w:color="auto"/>
            <w:right w:val="none" w:sz="0" w:space="0" w:color="auto"/>
          </w:divBdr>
          <w:divsChild>
            <w:div w:id="2133278276">
              <w:marLeft w:val="0"/>
              <w:marRight w:val="0"/>
              <w:marTop w:val="0"/>
              <w:marBottom w:val="0"/>
              <w:divBdr>
                <w:top w:val="none" w:sz="0" w:space="0" w:color="auto"/>
                <w:left w:val="none" w:sz="0" w:space="0" w:color="auto"/>
                <w:bottom w:val="none" w:sz="0" w:space="0" w:color="auto"/>
                <w:right w:val="none" w:sz="0" w:space="0" w:color="auto"/>
              </w:divBdr>
            </w:div>
          </w:divsChild>
        </w:div>
        <w:div w:id="1317225192">
          <w:marLeft w:val="0"/>
          <w:marRight w:val="0"/>
          <w:marTop w:val="0"/>
          <w:marBottom w:val="0"/>
          <w:divBdr>
            <w:top w:val="none" w:sz="0" w:space="0" w:color="auto"/>
            <w:left w:val="none" w:sz="0" w:space="0" w:color="auto"/>
            <w:bottom w:val="none" w:sz="0" w:space="0" w:color="auto"/>
            <w:right w:val="none" w:sz="0" w:space="0" w:color="auto"/>
          </w:divBdr>
          <w:divsChild>
            <w:div w:id="1538858088">
              <w:marLeft w:val="0"/>
              <w:marRight w:val="0"/>
              <w:marTop w:val="0"/>
              <w:marBottom w:val="0"/>
              <w:divBdr>
                <w:top w:val="none" w:sz="0" w:space="0" w:color="auto"/>
                <w:left w:val="none" w:sz="0" w:space="0" w:color="auto"/>
                <w:bottom w:val="none" w:sz="0" w:space="0" w:color="auto"/>
                <w:right w:val="none" w:sz="0" w:space="0" w:color="auto"/>
              </w:divBdr>
            </w:div>
          </w:divsChild>
        </w:div>
        <w:div w:id="198785936">
          <w:marLeft w:val="0"/>
          <w:marRight w:val="0"/>
          <w:marTop w:val="0"/>
          <w:marBottom w:val="0"/>
          <w:divBdr>
            <w:top w:val="none" w:sz="0" w:space="0" w:color="auto"/>
            <w:left w:val="none" w:sz="0" w:space="0" w:color="auto"/>
            <w:bottom w:val="none" w:sz="0" w:space="0" w:color="auto"/>
            <w:right w:val="none" w:sz="0" w:space="0" w:color="auto"/>
          </w:divBdr>
          <w:divsChild>
            <w:div w:id="1173258146">
              <w:marLeft w:val="0"/>
              <w:marRight w:val="0"/>
              <w:marTop w:val="0"/>
              <w:marBottom w:val="0"/>
              <w:divBdr>
                <w:top w:val="none" w:sz="0" w:space="0" w:color="auto"/>
                <w:left w:val="none" w:sz="0" w:space="0" w:color="auto"/>
                <w:bottom w:val="none" w:sz="0" w:space="0" w:color="auto"/>
                <w:right w:val="none" w:sz="0" w:space="0" w:color="auto"/>
              </w:divBdr>
            </w:div>
          </w:divsChild>
        </w:div>
        <w:div w:id="1691645127">
          <w:marLeft w:val="0"/>
          <w:marRight w:val="0"/>
          <w:marTop w:val="0"/>
          <w:marBottom w:val="0"/>
          <w:divBdr>
            <w:top w:val="none" w:sz="0" w:space="0" w:color="auto"/>
            <w:left w:val="none" w:sz="0" w:space="0" w:color="auto"/>
            <w:bottom w:val="none" w:sz="0" w:space="0" w:color="auto"/>
            <w:right w:val="none" w:sz="0" w:space="0" w:color="auto"/>
          </w:divBdr>
          <w:divsChild>
            <w:div w:id="14476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96932">
      <w:bodyDiv w:val="1"/>
      <w:marLeft w:val="0"/>
      <w:marRight w:val="0"/>
      <w:marTop w:val="0"/>
      <w:marBottom w:val="0"/>
      <w:divBdr>
        <w:top w:val="none" w:sz="0" w:space="0" w:color="auto"/>
        <w:left w:val="none" w:sz="0" w:space="0" w:color="auto"/>
        <w:bottom w:val="none" w:sz="0" w:space="0" w:color="auto"/>
        <w:right w:val="none" w:sz="0" w:space="0" w:color="auto"/>
      </w:divBdr>
      <w:divsChild>
        <w:div w:id="1049499030">
          <w:marLeft w:val="0"/>
          <w:marRight w:val="0"/>
          <w:marTop w:val="0"/>
          <w:marBottom w:val="0"/>
          <w:divBdr>
            <w:top w:val="none" w:sz="0" w:space="0" w:color="auto"/>
            <w:left w:val="none" w:sz="0" w:space="0" w:color="auto"/>
            <w:bottom w:val="none" w:sz="0" w:space="0" w:color="auto"/>
            <w:right w:val="none" w:sz="0" w:space="0" w:color="auto"/>
          </w:divBdr>
        </w:div>
      </w:divsChild>
    </w:div>
    <w:div w:id="851603819">
      <w:bodyDiv w:val="1"/>
      <w:marLeft w:val="0"/>
      <w:marRight w:val="0"/>
      <w:marTop w:val="0"/>
      <w:marBottom w:val="0"/>
      <w:divBdr>
        <w:top w:val="none" w:sz="0" w:space="0" w:color="auto"/>
        <w:left w:val="none" w:sz="0" w:space="0" w:color="auto"/>
        <w:bottom w:val="none" w:sz="0" w:space="0" w:color="auto"/>
        <w:right w:val="none" w:sz="0" w:space="0" w:color="auto"/>
      </w:divBdr>
      <w:divsChild>
        <w:div w:id="1928729693">
          <w:marLeft w:val="0"/>
          <w:marRight w:val="0"/>
          <w:marTop w:val="0"/>
          <w:marBottom w:val="0"/>
          <w:divBdr>
            <w:top w:val="none" w:sz="0" w:space="0" w:color="auto"/>
            <w:left w:val="none" w:sz="0" w:space="0" w:color="auto"/>
            <w:bottom w:val="none" w:sz="0" w:space="0" w:color="auto"/>
            <w:right w:val="none" w:sz="0" w:space="0" w:color="auto"/>
          </w:divBdr>
        </w:div>
      </w:divsChild>
    </w:div>
    <w:div w:id="859587786">
      <w:bodyDiv w:val="1"/>
      <w:marLeft w:val="0"/>
      <w:marRight w:val="0"/>
      <w:marTop w:val="0"/>
      <w:marBottom w:val="0"/>
      <w:divBdr>
        <w:top w:val="none" w:sz="0" w:space="0" w:color="auto"/>
        <w:left w:val="none" w:sz="0" w:space="0" w:color="auto"/>
        <w:bottom w:val="none" w:sz="0" w:space="0" w:color="auto"/>
        <w:right w:val="none" w:sz="0" w:space="0" w:color="auto"/>
      </w:divBdr>
      <w:divsChild>
        <w:div w:id="1237788729">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8368392">
      <w:bodyDiv w:val="1"/>
      <w:marLeft w:val="0"/>
      <w:marRight w:val="0"/>
      <w:marTop w:val="0"/>
      <w:marBottom w:val="0"/>
      <w:divBdr>
        <w:top w:val="none" w:sz="0" w:space="0" w:color="auto"/>
        <w:left w:val="none" w:sz="0" w:space="0" w:color="auto"/>
        <w:bottom w:val="none" w:sz="0" w:space="0" w:color="auto"/>
        <w:right w:val="none" w:sz="0" w:space="0" w:color="auto"/>
      </w:divBdr>
      <w:divsChild>
        <w:div w:id="740060412">
          <w:marLeft w:val="0"/>
          <w:marRight w:val="0"/>
          <w:marTop w:val="0"/>
          <w:marBottom w:val="0"/>
          <w:divBdr>
            <w:top w:val="none" w:sz="0" w:space="0" w:color="auto"/>
            <w:left w:val="none" w:sz="0" w:space="0" w:color="auto"/>
            <w:bottom w:val="none" w:sz="0" w:space="0" w:color="auto"/>
            <w:right w:val="none" w:sz="0" w:space="0" w:color="auto"/>
          </w:divBdr>
          <w:divsChild>
            <w:div w:id="44250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8082230">
      <w:bodyDiv w:val="1"/>
      <w:marLeft w:val="0"/>
      <w:marRight w:val="0"/>
      <w:marTop w:val="0"/>
      <w:marBottom w:val="0"/>
      <w:divBdr>
        <w:top w:val="none" w:sz="0" w:space="0" w:color="auto"/>
        <w:left w:val="none" w:sz="0" w:space="0" w:color="auto"/>
        <w:bottom w:val="none" w:sz="0" w:space="0" w:color="auto"/>
        <w:right w:val="none" w:sz="0" w:space="0" w:color="auto"/>
      </w:divBdr>
    </w:div>
    <w:div w:id="934820382">
      <w:bodyDiv w:val="1"/>
      <w:marLeft w:val="0"/>
      <w:marRight w:val="0"/>
      <w:marTop w:val="0"/>
      <w:marBottom w:val="0"/>
      <w:divBdr>
        <w:top w:val="none" w:sz="0" w:space="0" w:color="auto"/>
        <w:left w:val="none" w:sz="0" w:space="0" w:color="auto"/>
        <w:bottom w:val="none" w:sz="0" w:space="0" w:color="auto"/>
        <w:right w:val="none" w:sz="0" w:space="0" w:color="auto"/>
      </w:divBdr>
    </w:div>
    <w:div w:id="953445525">
      <w:bodyDiv w:val="1"/>
      <w:marLeft w:val="0"/>
      <w:marRight w:val="0"/>
      <w:marTop w:val="0"/>
      <w:marBottom w:val="0"/>
      <w:divBdr>
        <w:top w:val="none" w:sz="0" w:space="0" w:color="auto"/>
        <w:left w:val="none" w:sz="0" w:space="0" w:color="auto"/>
        <w:bottom w:val="none" w:sz="0" w:space="0" w:color="auto"/>
        <w:right w:val="none" w:sz="0" w:space="0" w:color="auto"/>
      </w:divBdr>
      <w:divsChild>
        <w:div w:id="914243942">
          <w:marLeft w:val="0"/>
          <w:marRight w:val="0"/>
          <w:marTop w:val="0"/>
          <w:marBottom w:val="0"/>
          <w:divBdr>
            <w:top w:val="none" w:sz="0" w:space="0" w:color="auto"/>
            <w:left w:val="none" w:sz="0" w:space="0" w:color="auto"/>
            <w:bottom w:val="none" w:sz="0" w:space="0" w:color="auto"/>
            <w:right w:val="none" w:sz="0" w:space="0" w:color="auto"/>
          </w:divBdr>
          <w:divsChild>
            <w:div w:id="141875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22127896">
      <w:bodyDiv w:val="1"/>
      <w:marLeft w:val="0"/>
      <w:marRight w:val="0"/>
      <w:marTop w:val="0"/>
      <w:marBottom w:val="0"/>
      <w:divBdr>
        <w:top w:val="none" w:sz="0" w:space="0" w:color="auto"/>
        <w:left w:val="none" w:sz="0" w:space="0" w:color="auto"/>
        <w:bottom w:val="none" w:sz="0" w:space="0" w:color="auto"/>
        <w:right w:val="none" w:sz="0" w:space="0" w:color="auto"/>
      </w:divBdr>
    </w:div>
    <w:div w:id="1053119920">
      <w:bodyDiv w:val="1"/>
      <w:marLeft w:val="0"/>
      <w:marRight w:val="0"/>
      <w:marTop w:val="0"/>
      <w:marBottom w:val="0"/>
      <w:divBdr>
        <w:top w:val="none" w:sz="0" w:space="0" w:color="auto"/>
        <w:left w:val="none" w:sz="0" w:space="0" w:color="auto"/>
        <w:bottom w:val="none" w:sz="0" w:space="0" w:color="auto"/>
        <w:right w:val="none" w:sz="0" w:space="0" w:color="auto"/>
      </w:divBdr>
      <w:divsChild>
        <w:div w:id="249242481">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543777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7434216">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4104522">
      <w:bodyDiv w:val="1"/>
      <w:marLeft w:val="0"/>
      <w:marRight w:val="0"/>
      <w:marTop w:val="0"/>
      <w:marBottom w:val="0"/>
      <w:divBdr>
        <w:top w:val="none" w:sz="0" w:space="0" w:color="auto"/>
        <w:left w:val="none" w:sz="0" w:space="0" w:color="auto"/>
        <w:bottom w:val="none" w:sz="0" w:space="0" w:color="auto"/>
        <w:right w:val="none" w:sz="0" w:space="0" w:color="auto"/>
      </w:divBdr>
    </w:div>
    <w:div w:id="1183400625">
      <w:bodyDiv w:val="1"/>
      <w:marLeft w:val="0"/>
      <w:marRight w:val="0"/>
      <w:marTop w:val="0"/>
      <w:marBottom w:val="0"/>
      <w:divBdr>
        <w:top w:val="none" w:sz="0" w:space="0" w:color="auto"/>
        <w:left w:val="none" w:sz="0" w:space="0" w:color="auto"/>
        <w:bottom w:val="none" w:sz="0" w:space="0" w:color="auto"/>
        <w:right w:val="none" w:sz="0" w:space="0" w:color="auto"/>
      </w:divBdr>
      <w:divsChild>
        <w:div w:id="1600333511">
          <w:marLeft w:val="0"/>
          <w:marRight w:val="0"/>
          <w:marTop w:val="0"/>
          <w:marBottom w:val="0"/>
          <w:divBdr>
            <w:top w:val="none" w:sz="0" w:space="0" w:color="auto"/>
            <w:left w:val="none" w:sz="0" w:space="0" w:color="auto"/>
            <w:bottom w:val="none" w:sz="0" w:space="0" w:color="auto"/>
            <w:right w:val="none" w:sz="0" w:space="0" w:color="auto"/>
          </w:divBdr>
        </w:div>
      </w:divsChild>
    </w:div>
    <w:div w:id="1192570006">
      <w:bodyDiv w:val="1"/>
      <w:marLeft w:val="0"/>
      <w:marRight w:val="0"/>
      <w:marTop w:val="0"/>
      <w:marBottom w:val="0"/>
      <w:divBdr>
        <w:top w:val="none" w:sz="0" w:space="0" w:color="auto"/>
        <w:left w:val="none" w:sz="0" w:space="0" w:color="auto"/>
        <w:bottom w:val="none" w:sz="0" w:space="0" w:color="auto"/>
        <w:right w:val="none" w:sz="0" w:space="0" w:color="auto"/>
      </w:divBdr>
    </w:div>
    <w:div w:id="1195315389">
      <w:bodyDiv w:val="1"/>
      <w:marLeft w:val="0"/>
      <w:marRight w:val="0"/>
      <w:marTop w:val="0"/>
      <w:marBottom w:val="0"/>
      <w:divBdr>
        <w:top w:val="none" w:sz="0" w:space="0" w:color="auto"/>
        <w:left w:val="none" w:sz="0" w:space="0" w:color="auto"/>
        <w:bottom w:val="none" w:sz="0" w:space="0" w:color="auto"/>
        <w:right w:val="none" w:sz="0" w:space="0" w:color="auto"/>
      </w:divBdr>
    </w:div>
    <w:div w:id="1213036350">
      <w:bodyDiv w:val="1"/>
      <w:marLeft w:val="0"/>
      <w:marRight w:val="0"/>
      <w:marTop w:val="0"/>
      <w:marBottom w:val="0"/>
      <w:divBdr>
        <w:top w:val="none" w:sz="0" w:space="0" w:color="auto"/>
        <w:left w:val="none" w:sz="0" w:space="0" w:color="auto"/>
        <w:bottom w:val="none" w:sz="0" w:space="0" w:color="auto"/>
        <w:right w:val="none" w:sz="0" w:space="0" w:color="auto"/>
      </w:divBdr>
    </w:div>
    <w:div w:id="1349336551">
      <w:bodyDiv w:val="1"/>
      <w:marLeft w:val="0"/>
      <w:marRight w:val="0"/>
      <w:marTop w:val="0"/>
      <w:marBottom w:val="0"/>
      <w:divBdr>
        <w:top w:val="none" w:sz="0" w:space="0" w:color="auto"/>
        <w:left w:val="none" w:sz="0" w:space="0" w:color="auto"/>
        <w:bottom w:val="none" w:sz="0" w:space="0" w:color="auto"/>
        <w:right w:val="none" w:sz="0" w:space="0" w:color="auto"/>
      </w:divBdr>
    </w:div>
    <w:div w:id="1386953386">
      <w:bodyDiv w:val="1"/>
      <w:marLeft w:val="0"/>
      <w:marRight w:val="0"/>
      <w:marTop w:val="0"/>
      <w:marBottom w:val="0"/>
      <w:divBdr>
        <w:top w:val="none" w:sz="0" w:space="0" w:color="auto"/>
        <w:left w:val="none" w:sz="0" w:space="0" w:color="auto"/>
        <w:bottom w:val="none" w:sz="0" w:space="0" w:color="auto"/>
        <w:right w:val="none" w:sz="0" w:space="0" w:color="auto"/>
      </w:divBdr>
    </w:div>
    <w:div w:id="139370170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7212319">
      <w:bodyDiv w:val="1"/>
      <w:marLeft w:val="0"/>
      <w:marRight w:val="0"/>
      <w:marTop w:val="0"/>
      <w:marBottom w:val="0"/>
      <w:divBdr>
        <w:top w:val="none" w:sz="0" w:space="0" w:color="auto"/>
        <w:left w:val="none" w:sz="0" w:space="0" w:color="auto"/>
        <w:bottom w:val="none" w:sz="0" w:space="0" w:color="auto"/>
        <w:right w:val="none" w:sz="0" w:space="0" w:color="auto"/>
      </w:divBdr>
    </w:div>
    <w:div w:id="1453087649">
      <w:bodyDiv w:val="1"/>
      <w:marLeft w:val="0"/>
      <w:marRight w:val="0"/>
      <w:marTop w:val="0"/>
      <w:marBottom w:val="0"/>
      <w:divBdr>
        <w:top w:val="none" w:sz="0" w:space="0" w:color="auto"/>
        <w:left w:val="none" w:sz="0" w:space="0" w:color="auto"/>
        <w:bottom w:val="none" w:sz="0" w:space="0" w:color="auto"/>
        <w:right w:val="none" w:sz="0" w:space="0" w:color="auto"/>
      </w:divBdr>
      <w:divsChild>
        <w:div w:id="1891454620">
          <w:marLeft w:val="0"/>
          <w:marRight w:val="0"/>
          <w:marTop w:val="0"/>
          <w:marBottom w:val="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38485469">
      <w:bodyDiv w:val="1"/>
      <w:marLeft w:val="0"/>
      <w:marRight w:val="0"/>
      <w:marTop w:val="0"/>
      <w:marBottom w:val="0"/>
      <w:divBdr>
        <w:top w:val="none" w:sz="0" w:space="0" w:color="auto"/>
        <w:left w:val="none" w:sz="0" w:space="0" w:color="auto"/>
        <w:bottom w:val="none" w:sz="0" w:space="0" w:color="auto"/>
        <w:right w:val="none" w:sz="0" w:space="0" w:color="auto"/>
      </w:divBdr>
      <w:divsChild>
        <w:div w:id="622813660">
          <w:marLeft w:val="0"/>
          <w:marRight w:val="0"/>
          <w:marTop w:val="0"/>
          <w:marBottom w:val="0"/>
          <w:divBdr>
            <w:top w:val="none" w:sz="0" w:space="0" w:color="auto"/>
            <w:left w:val="none" w:sz="0" w:space="0" w:color="auto"/>
            <w:bottom w:val="none" w:sz="0" w:space="0" w:color="auto"/>
            <w:right w:val="none" w:sz="0" w:space="0" w:color="auto"/>
          </w:divBdr>
          <w:divsChild>
            <w:div w:id="122572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5909493">
      <w:bodyDiv w:val="1"/>
      <w:marLeft w:val="0"/>
      <w:marRight w:val="0"/>
      <w:marTop w:val="0"/>
      <w:marBottom w:val="0"/>
      <w:divBdr>
        <w:top w:val="none" w:sz="0" w:space="0" w:color="auto"/>
        <w:left w:val="none" w:sz="0" w:space="0" w:color="auto"/>
        <w:bottom w:val="none" w:sz="0" w:space="0" w:color="auto"/>
        <w:right w:val="none" w:sz="0" w:space="0" w:color="auto"/>
      </w:divBdr>
      <w:divsChild>
        <w:div w:id="668485956">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902359">
      <w:bodyDiv w:val="1"/>
      <w:marLeft w:val="0"/>
      <w:marRight w:val="0"/>
      <w:marTop w:val="0"/>
      <w:marBottom w:val="0"/>
      <w:divBdr>
        <w:top w:val="none" w:sz="0" w:space="0" w:color="auto"/>
        <w:left w:val="none" w:sz="0" w:space="0" w:color="auto"/>
        <w:bottom w:val="none" w:sz="0" w:space="0" w:color="auto"/>
        <w:right w:val="none" w:sz="0" w:space="0" w:color="auto"/>
      </w:divBdr>
    </w:div>
    <w:div w:id="172382597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8958507">
      <w:bodyDiv w:val="1"/>
      <w:marLeft w:val="0"/>
      <w:marRight w:val="0"/>
      <w:marTop w:val="0"/>
      <w:marBottom w:val="0"/>
      <w:divBdr>
        <w:top w:val="none" w:sz="0" w:space="0" w:color="auto"/>
        <w:left w:val="none" w:sz="0" w:space="0" w:color="auto"/>
        <w:bottom w:val="none" w:sz="0" w:space="0" w:color="auto"/>
        <w:right w:val="none" w:sz="0" w:space="0" w:color="auto"/>
      </w:divBdr>
    </w:div>
    <w:div w:id="1826965977">
      <w:bodyDiv w:val="1"/>
      <w:marLeft w:val="0"/>
      <w:marRight w:val="0"/>
      <w:marTop w:val="0"/>
      <w:marBottom w:val="0"/>
      <w:divBdr>
        <w:top w:val="none" w:sz="0" w:space="0" w:color="auto"/>
        <w:left w:val="none" w:sz="0" w:space="0" w:color="auto"/>
        <w:bottom w:val="none" w:sz="0" w:space="0" w:color="auto"/>
        <w:right w:val="none" w:sz="0" w:space="0" w:color="auto"/>
      </w:divBdr>
    </w:div>
    <w:div w:id="1884752168">
      <w:bodyDiv w:val="1"/>
      <w:marLeft w:val="0"/>
      <w:marRight w:val="0"/>
      <w:marTop w:val="0"/>
      <w:marBottom w:val="0"/>
      <w:divBdr>
        <w:top w:val="none" w:sz="0" w:space="0" w:color="auto"/>
        <w:left w:val="none" w:sz="0" w:space="0" w:color="auto"/>
        <w:bottom w:val="none" w:sz="0" w:space="0" w:color="auto"/>
        <w:right w:val="none" w:sz="0" w:space="0" w:color="auto"/>
      </w:divBdr>
      <w:divsChild>
        <w:div w:id="1406299100">
          <w:marLeft w:val="0"/>
          <w:marRight w:val="0"/>
          <w:marTop w:val="0"/>
          <w:marBottom w:val="0"/>
          <w:divBdr>
            <w:top w:val="none" w:sz="0" w:space="0" w:color="auto"/>
            <w:left w:val="none" w:sz="0" w:space="0" w:color="auto"/>
            <w:bottom w:val="none" w:sz="0" w:space="0" w:color="auto"/>
            <w:right w:val="none" w:sz="0" w:space="0" w:color="auto"/>
          </w:divBdr>
          <w:divsChild>
            <w:div w:id="1600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2736071">
      <w:bodyDiv w:val="1"/>
      <w:marLeft w:val="0"/>
      <w:marRight w:val="0"/>
      <w:marTop w:val="0"/>
      <w:marBottom w:val="0"/>
      <w:divBdr>
        <w:top w:val="none" w:sz="0" w:space="0" w:color="auto"/>
        <w:left w:val="none" w:sz="0" w:space="0" w:color="auto"/>
        <w:bottom w:val="none" w:sz="0" w:space="0" w:color="auto"/>
        <w:right w:val="none" w:sz="0" w:space="0" w:color="auto"/>
      </w:divBdr>
    </w:div>
    <w:div w:id="1959264454">
      <w:bodyDiv w:val="1"/>
      <w:marLeft w:val="0"/>
      <w:marRight w:val="0"/>
      <w:marTop w:val="0"/>
      <w:marBottom w:val="0"/>
      <w:divBdr>
        <w:top w:val="none" w:sz="0" w:space="0" w:color="auto"/>
        <w:left w:val="none" w:sz="0" w:space="0" w:color="auto"/>
        <w:bottom w:val="none" w:sz="0" w:space="0" w:color="auto"/>
        <w:right w:val="none" w:sz="0" w:space="0" w:color="auto"/>
      </w:divBdr>
    </w:div>
    <w:div w:id="1959754829">
      <w:bodyDiv w:val="1"/>
      <w:marLeft w:val="0"/>
      <w:marRight w:val="0"/>
      <w:marTop w:val="0"/>
      <w:marBottom w:val="0"/>
      <w:divBdr>
        <w:top w:val="none" w:sz="0" w:space="0" w:color="auto"/>
        <w:left w:val="none" w:sz="0" w:space="0" w:color="auto"/>
        <w:bottom w:val="none" w:sz="0" w:space="0" w:color="auto"/>
        <w:right w:val="none" w:sz="0" w:space="0" w:color="auto"/>
      </w:divBdr>
      <w:divsChild>
        <w:div w:id="276956390">
          <w:marLeft w:val="0"/>
          <w:marRight w:val="0"/>
          <w:marTop w:val="0"/>
          <w:marBottom w:val="0"/>
          <w:divBdr>
            <w:top w:val="none" w:sz="0" w:space="0" w:color="auto"/>
            <w:left w:val="none" w:sz="0" w:space="0" w:color="auto"/>
            <w:bottom w:val="none" w:sz="0" w:space="0" w:color="auto"/>
            <w:right w:val="none" w:sz="0" w:space="0" w:color="auto"/>
          </w:divBdr>
        </w:div>
      </w:divsChild>
    </w:div>
    <w:div w:id="1961184862">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29287134">
      <w:bodyDiv w:val="1"/>
      <w:marLeft w:val="0"/>
      <w:marRight w:val="0"/>
      <w:marTop w:val="0"/>
      <w:marBottom w:val="0"/>
      <w:divBdr>
        <w:top w:val="none" w:sz="0" w:space="0" w:color="auto"/>
        <w:left w:val="none" w:sz="0" w:space="0" w:color="auto"/>
        <w:bottom w:val="none" w:sz="0" w:space="0" w:color="auto"/>
        <w:right w:val="none" w:sz="0" w:space="0" w:color="auto"/>
      </w:divBdr>
      <w:divsChild>
        <w:div w:id="287012809">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1781314">
      <w:bodyDiv w:val="1"/>
      <w:marLeft w:val="0"/>
      <w:marRight w:val="0"/>
      <w:marTop w:val="0"/>
      <w:marBottom w:val="0"/>
      <w:divBdr>
        <w:top w:val="none" w:sz="0" w:space="0" w:color="auto"/>
        <w:left w:val="none" w:sz="0" w:space="0" w:color="auto"/>
        <w:bottom w:val="none" w:sz="0" w:space="0" w:color="auto"/>
        <w:right w:val="none" w:sz="0" w:space="0" w:color="auto"/>
      </w:divBdr>
      <w:divsChild>
        <w:div w:id="510798957">
          <w:marLeft w:val="0"/>
          <w:marRight w:val="0"/>
          <w:marTop w:val="0"/>
          <w:marBottom w:val="0"/>
          <w:divBdr>
            <w:top w:val="none" w:sz="0" w:space="0" w:color="auto"/>
            <w:left w:val="none" w:sz="0" w:space="0" w:color="auto"/>
            <w:bottom w:val="none" w:sz="0" w:space="0" w:color="auto"/>
            <w:right w:val="none" w:sz="0" w:space="0" w:color="auto"/>
          </w:divBdr>
          <w:divsChild>
            <w:div w:id="462427762">
              <w:marLeft w:val="0"/>
              <w:marRight w:val="0"/>
              <w:marTop w:val="0"/>
              <w:marBottom w:val="0"/>
              <w:divBdr>
                <w:top w:val="none" w:sz="0" w:space="0" w:color="auto"/>
                <w:left w:val="none" w:sz="0" w:space="0" w:color="auto"/>
                <w:bottom w:val="none" w:sz="0" w:space="0" w:color="auto"/>
                <w:right w:val="none" w:sz="0" w:space="0" w:color="auto"/>
              </w:divBdr>
              <w:divsChild>
                <w:div w:id="1133257501">
                  <w:marLeft w:val="0"/>
                  <w:marRight w:val="0"/>
                  <w:marTop w:val="0"/>
                  <w:marBottom w:val="0"/>
                  <w:divBdr>
                    <w:top w:val="none" w:sz="0" w:space="0" w:color="auto"/>
                    <w:left w:val="none" w:sz="0" w:space="0" w:color="auto"/>
                    <w:bottom w:val="none" w:sz="0" w:space="0" w:color="auto"/>
                    <w:right w:val="none" w:sz="0" w:space="0" w:color="auto"/>
                  </w:divBdr>
                  <w:divsChild>
                    <w:div w:id="904024105">
                      <w:marLeft w:val="0"/>
                      <w:marRight w:val="0"/>
                      <w:marTop w:val="0"/>
                      <w:marBottom w:val="0"/>
                      <w:divBdr>
                        <w:top w:val="none" w:sz="0" w:space="0" w:color="auto"/>
                        <w:left w:val="none" w:sz="0" w:space="0" w:color="auto"/>
                        <w:bottom w:val="none" w:sz="0" w:space="0" w:color="auto"/>
                        <w:right w:val="none" w:sz="0" w:space="0" w:color="auto"/>
                      </w:divBdr>
                      <w:divsChild>
                        <w:div w:id="1445033116">
                          <w:marLeft w:val="0"/>
                          <w:marRight w:val="0"/>
                          <w:marTop w:val="0"/>
                          <w:marBottom w:val="0"/>
                          <w:divBdr>
                            <w:top w:val="none" w:sz="0" w:space="0" w:color="auto"/>
                            <w:left w:val="none" w:sz="0" w:space="0" w:color="auto"/>
                            <w:bottom w:val="none" w:sz="0" w:space="0" w:color="auto"/>
                            <w:right w:val="none" w:sz="0" w:space="0" w:color="auto"/>
                          </w:divBdr>
                          <w:divsChild>
                            <w:div w:id="1642618131">
                              <w:marLeft w:val="0"/>
                              <w:marRight w:val="0"/>
                              <w:marTop w:val="0"/>
                              <w:marBottom w:val="0"/>
                              <w:divBdr>
                                <w:top w:val="none" w:sz="0" w:space="0" w:color="auto"/>
                                <w:left w:val="none" w:sz="0" w:space="0" w:color="auto"/>
                                <w:bottom w:val="none" w:sz="0" w:space="0" w:color="auto"/>
                                <w:right w:val="none" w:sz="0" w:space="0" w:color="auto"/>
                              </w:divBdr>
                              <w:divsChild>
                                <w:div w:id="1773474740">
                                  <w:marLeft w:val="0"/>
                                  <w:marRight w:val="0"/>
                                  <w:marTop w:val="0"/>
                                  <w:marBottom w:val="0"/>
                                  <w:divBdr>
                                    <w:top w:val="none" w:sz="0" w:space="0" w:color="auto"/>
                                    <w:left w:val="none" w:sz="0" w:space="0" w:color="auto"/>
                                    <w:bottom w:val="none" w:sz="0" w:space="0" w:color="auto"/>
                                    <w:right w:val="none" w:sz="0" w:space="0" w:color="auto"/>
                                  </w:divBdr>
                                  <w:divsChild>
                                    <w:div w:id="382027333">
                                      <w:marLeft w:val="0"/>
                                      <w:marRight w:val="0"/>
                                      <w:marTop w:val="0"/>
                                      <w:marBottom w:val="0"/>
                                      <w:divBdr>
                                        <w:top w:val="none" w:sz="0" w:space="0" w:color="auto"/>
                                        <w:left w:val="none" w:sz="0" w:space="0" w:color="auto"/>
                                        <w:bottom w:val="none" w:sz="0" w:space="0" w:color="auto"/>
                                        <w:right w:val="none" w:sz="0" w:space="0" w:color="auto"/>
                                      </w:divBdr>
                                      <w:divsChild>
                                        <w:div w:id="1388992295">
                                          <w:marLeft w:val="0"/>
                                          <w:marRight w:val="0"/>
                                          <w:marTop w:val="0"/>
                                          <w:marBottom w:val="0"/>
                                          <w:divBdr>
                                            <w:top w:val="none" w:sz="0" w:space="0" w:color="auto"/>
                                            <w:left w:val="none" w:sz="0" w:space="0" w:color="auto"/>
                                            <w:bottom w:val="none" w:sz="0" w:space="0" w:color="auto"/>
                                            <w:right w:val="none" w:sz="0" w:space="0" w:color="auto"/>
                                          </w:divBdr>
                                          <w:divsChild>
                                            <w:div w:id="62018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1501664">
          <w:marLeft w:val="0"/>
          <w:marRight w:val="0"/>
          <w:marTop w:val="0"/>
          <w:marBottom w:val="0"/>
          <w:divBdr>
            <w:top w:val="none" w:sz="0" w:space="0" w:color="auto"/>
            <w:left w:val="none" w:sz="0" w:space="0" w:color="auto"/>
            <w:bottom w:val="none" w:sz="0" w:space="0" w:color="auto"/>
            <w:right w:val="none" w:sz="0" w:space="0" w:color="auto"/>
          </w:divBdr>
          <w:divsChild>
            <w:div w:id="1323004143">
              <w:marLeft w:val="0"/>
              <w:marRight w:val="0"/>
              <w:marTop w:val="0"/>
              <w:marBottom w:val="0"/>
              <w:divBdr>
                <w:top w:val="none" w:sz="0" w:space="0" w:color="auto"/>
                <w:left w:val="none" w:sz="0" w:space="0" w:color="auto"/>
                <w:bottom w:val="none" w:sz="0" w:space="0" w:color="auto"/>
                <w:right w:val="none" w:sz="0" w:space="0" w:color="auto"/>
              </w:divBdr>
              <w:divsChild>
                <w:div w:id="653221293">
                  <w:marLeft w:val="0"/>
                  <w:marRight w:val="0"/>
                  <w:marTop w:val="0"/>
                  <w:marBottom w:val="0"/>
                  <w:divBdr>
                    <w:top w:val="none" w:sz="0" w:space="0" w:color="auto"/>
                    <w:left w:val="none" w:sz="0" w:space="0" w:color="auto"/>
                    <w:bottom w:val="none" w:sz="0" w:space="0" w:color="auto"/>
                    <w:right w:val="none" w:sz="0" w:space="0" w:color="auto"/>
                  </w:divBdr>
                  <w:divsChild>
                    <w:div w:id="1792702060">
                      <w:marLeft w:val="0"/>
                      <w:marRight w:val="0"/>
                      <w:marTop w:val="0"/>
                      <w:marBottom w:val="0"/>
                      <w:divBdr>
                        <w:top w:val="none" w:sz="0" w:space="0" w:color="auto"/>
                        <w:left w:val="none" w:sz="0" w:space="0" w:color="auto"/>
                        <w:bottom w:val="none" w:sz="0" w:space="0" w:color="auto"/>
                        <w:right w:val="none" w:sz="0" w:space="0" w:color="auto"/>
                      </w:divBdr>
                      <w:divsChild>
                        <w:div w:id="153743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530112">
      <w:bodyDiv w:val="1"/>
      <w:marLeft w:val="0"/>
      <w:marRight w:val="0"/>
      <w:marTop w:val="0"/>
      <w:marBottom w:val="0"/>
      <w:divBdr>
        <w:top w:val="none" w:sz="0" w:space="0" w:color="auto"/>
        <w:left w:val="none" w:sz="0" w:space="0" w:color="auto"/>
        <w:bottom w:val="none" w:sz="0" w:space="0" w:color="auto"/>
        <w:right w:val="none" w:sz="0" w:space="0" w:color="auto"/>
      </w:divBdr>
    </w:div>
    <w:div w:id="2142184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01F88C-30F6-48BB-B2F6-504343AECF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10772</Words>
  <Characters>59959</Characters>
  <Application>Microsoft Office Word</Application>
  <DocSecurity>0</DocSecurity>
  <Lines>499</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Musaed salem</cp:lastModifiedBy>
  <cp:revision>2</cp:revision>
  <cp:lastPrinted>2025-11-21T01:04:00Z</cp:lastPrinted>
  <dcterms:created xsi:type="dcterms:W3CDTF">2025-11-21T17:08:00Z</dcterms:created>
  <dcterms:modified xsi:type="dcterms:W3CDTF">2025-11-21T17:08:00Z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