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36C84C" w14:textId="77777777" w:rsidR="009B6FD5" w:rsidRPr="009B6FD5" w:rsidRDefault="009B6FD5" w:rsidP="009B6FD5">
      <w:pPr>
        <w:bidi/>
        <w:spacing w:before="100" w:beforeAutospacing="1" w:after="100" w:afterAutospacing="1" w:line="360" w:lineRule="auto"/>
        <w:jc w:val="both"/>
        <w:rPr>
          <w:rFonts w:ascii="Times New Roman" w:hAnsi="Times New Roman" w:cs="Times New Roman"/>
          <w:color w:val="000000"/>
        </w:rPr>
      </w:pPr>
      <w:bookmarkStart w:id="0" w:name="_GoBack"/>
      <w:r w:rsidRPr="009B6FD5">
        <w:rPr>
          <w:rFonts w:ascii="Times New Roman" w:hAnsi="Times New Roman" w:cs="Times New Roman"/>
          <w:color w:val="000000"/>
        </w:rPr>
        <w:t>قبل الاعتماد النهائي، ما زالت لدي الملاحظات التالية:</w:t>
      </w:r>
    </w:p>
    <w:p w14:paraId="5CAF164D" w14:textId="77777777" w:rsidR="009B6FD5" w:rsidRPr="009B6FD5" w:rsidRDefault="009B6FD5" w:rsidP="009B6FD5">
      <w:pPr>
        <w:numPr>
          <w:ilvl w:val="0"/>
          <w:numId w:val="7"/>
        </w:numPr>
        <w:bidi/>
        <w:spacing w:before="100" w:beforeAutospacing="1" w:after="100" w:afterAutospacing="1" w:line="360" w:lineRule="auto"/>
        <w:jc w:val="both"/>
        <w:rPr>
          <w:rFonts w:ascii="Times New Roman" w:eastAsia="Times New Roman" w:hAnsi="Times New Roman" w:cs="Times New Roman"/>
          <w:color w:val="000000"/>
        </w:rPr>
      </w:pPr>
      <w:r w:rsidRPr="009B6FD5">
        <w:rPr>
          <w:rFonts w:ascii="Times New Roman" w:eastAsia="Times New Roman" w:hAnsi="Times New Roman" w:cs="Times New Roman"/>
          <w:color w:val="000000"/>
        </w:rPr>
        <w:t>G*</w:t>
      </w:r>
      <w:proofErr w:type="spellStart"/>
      <w:r w:rsidRPr="009B6FD5">
        <w:rPr>
          <w:rFonts w:ascii="Times New Roman" w:eastAsia="Times New Roman" w:hAnsi="Times New Roman" w:cs="Times New Roman"/>
          <w:color w:val="000000"/>
        </w:rPr>
        <w:t>Power</w:t>
      </w:r>
      <w:proofErr w:type="spellEnd"/>
      <w:r w:rsidRPr="009B6FD5">
        <w:rPr>
          <w:rFonts w:ascii="Times New Roman" w:eastAsia="Times New Roman" w:hAnsi="Times New Roman" w:cs="Times New Roman"/>
          <w:color w:val="000000"/>
        </w:rPr>
        <w:t xml:space="preserve"> حُسم رقميًا، لكن عدد المتنبئات الثمانية يحتاج اتساقًا مع النموذج الفعلي. أدخلت الباحثة في الحساب: تبني الذكاء الاصطناعي، التسويق الرقمي، حجم المنشأة، متغيرين وهميين للقطاع وثلاثة متغيرات وهمية لفئات الإنفاق التسويقي. المشكلة أن قسم</w:t>
      </w:r>
      <w:r w:rsidRPr="009B6FD5">
        <w:rPr>
          <w:rFonts w:ascii="Times New Roman" w:eastAsia="Times New Roman" w:hAnsi="Times New Roman" w:cs="Times New Roman"/>
          <w:color w:val="000000"/>
          <w:rtl w:val="0"/>
        </w:rPr>
        <w:t> </w:t>
      </w:r>
      <w:r w:rsidRPr="009B6FD5">
        <w:rPr>
          <w:rFonts w:ascii="Times New Roman" w:eastAsia="Times New Roman" w:hAnsi="Times New Roman" w:cs="Times New Roman"/>
          <w:color w:val="000000"/>
        </w:rPr>
        <w:t>متغيرات الدراسة</w:t>
      </w:r>
      <w:r w:rsidRPr="009B6FD5">
        <w:rPr>
          <w:rFonts w:ascii="Times New Roman" w:eastAsia="Times New Roman" w:hAnsi="Times New Roman" w:cs="Times New Roman"/>
          <w:color w:val="000000"/>
          <w:rtl w:val="0"/>
        </w:rPr>
        <w:t> </w:t>
      </w:r>
      <w:r w:rsidRPr="009B6FD5">
        <w:rPr>
          <w:rFonts w:ascii="Times New Roman" w:eastAsia="Times New Roman" w:hAnsi="Times New Roman" w:cs="Times New Roman"/>
          <w:color w:val="000000"/>
        </w:rPr>
        <w:t>يعرف فقط تبني الذكاء الاصطناعي والتسويق الرقمي والأداء التسويقي،</w:t>
      </w:r>
      <w:r w:rsidRPr="009B6FD5">
        <w:rPr>
          <w:rFonts w:ascii="Times New Roman" w:eastAsia="Times New Roman" w:hAnsi="Times New Roman" w:cs="Times New Roman"/>
          <w:color w:val="000000"/>
          <w:rtl w:val="0"/>
        </w:rPr>
        <w:t> </w:t>
      </w:r>
      <w:r w:rsidRPr="009B6FD5">
        <w:rPr>
          <w:rFonts w:ascii="Times New Roman" w:eastAsia="Times New Roman" w:hAnsi="Times New Roman" w:cs="Times New Roman"/>
          <w:color w:val="000000"/>
        </w:rPr>
        <w:t>ولا يقدم «الإنفاق التسويقي» بوضوح كمتغير ضابط ولا يبين قياسه. لذلك يجب إضافة قسم واضح بعنوان</w:t>
      </w:r>
      <w:r w:rsidRPr="009B6FD5">
        <w:rPr>
          <w:rFonts w:ascii="Times New Roman" w:eastAsia="Times New Roman" w:hAnsi="Times New Roman" w:cs="Times New Roman"/>
          <w:color w:val="000000"/>
          <w:rtl w:val="0"/>
        </w:rPr>
        <w:t> </w:t>
      </w:r>
      <w:proofErr w:type="spellStart"/>
      <w:r w:rsidRPr="009B6FD5">
        <w:rPr>
          <w:rFonts w:ascii="Times New Roman" w:eastAsia="Times New Roman" w:hAnsi="Times New Roman" w:cs="Times New Roman"/>
          <w:color w:val="000000"/>
        </w:rPr>
        <w:t>Control</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Variables</w:t>
      </w:r>
      <w:proofErr w:type="spellEnd"/>
      <w:r w:rsidRPr="009B6FD5">
        <w:rPr>
          <w:rFonts w:ascii="Times New Roman" w:eastAsia="Times New Roman" w:hAnsi="Times New Roman" w:cs="Times New Roman"/>
          <w:color w:val="000000"/>
        </w:rPr>
        <w:t> يحدد حجم المنشأة والقطاع والإنفاق التسويقي وطريقة ترميزها ومساراتها في النموذج، أو حذفها من حساب G*</w:t>
      </w:r>
      <w:proofErr w:type="spellStart"/>
      <w:r w:rsidRPr="009B6FD5">
        <w:rPr>
          <w:rFonts w:ascii="Times New Roman" w:eastAsia="Times New Roman" w:hAnsi="Times New Roman" w:cs="Times New Roman"/>
          <w:color w:val="000000"/>
        </w:rPr>
        <w:t>Power</w:t>
      </w:r>
      <w:proofErr w:type="spellEnd"/>
      <w:r w:rsidRPr="009B6FD5">
        <w:rPr>
          <w:rFonts w:ascii="Times New Roman" w:eastAsia="Times New Roman" w:hAnsi="Times New Roman" w:cs="Times New Roman"/>
          <w:color w:val="000000"/>
        </w:rPr>
        <w:t xml:space="preserve"> إذا لم تكن فعلًا داخلة في معادلة الأداء.</w:t>
      </w:r>
    </w:p>
    <w:p w14:paraId="43F76A34" w14:textId="77777777" w:rsidR="009B6FD5" w:rsidRPr="009B6FD5" w:rsidRDefault="009B6FD5" w:rsidP="009B6FD5">
      <w:pPr>
        <w:numPr>
          <w:ilvl w:val="0"/>
          <w:numId w:val="7"/>
        </w:numPr>
        <w:bidi/>
        <w:spacing w:before="100" w:beforeAutospacing="1" w:after="100" w:afterAutospacing="1" w:line="360" w:lineRule="auto"/>
        <w:jc w:val="both"/>
        <w:rPr>
          <w:rFonts w:ascii="Times New Roman" w:eastAsia="Times New Roman" w:hAnsi="Times New Roman" w:cs="Times New Roman"/>
          <w:color w:val="000000"/>
        </w:rPr>
      </w:pPr>
      <w:r w:rsidRPr="009B6FD5">
        <w:rPr>
          <w:rFonts w:ascii="Times New Roman" w:eastAsia="Times New Roman" w:hAnsi="Times New Roman" w:cs="Times New Roman"/>
          <w:color w:val="000000"/>
        </w:rPr>
        <w:t>التسويق الرقمي هو الآن أكثر نقطة تحتاج مراجعة في نموذج القياس. الباحثة تعتبره</w:t>
      </w:r>
      <w:r w:rsidRPr="009B6FD5">
        <w:rPr>
          <w:rFonts w:ascii="Times New Roman" w:eastAsia="Times New Roman" w:hAnsi="Times New Roman" w:cs="Times New Roman"/>
          <w:color w:val="000000"/>
          <w:rtl w:val="0"/>
        </w:rPr>
        <w:t> </w:t>
      </w:r>
      <w:proofErr w:type="spellStart"/>
      <w:r w:rsidRPr="009B6FD5">
        <w:rPr>
          <w:rFonts w:ascii="Times New Roman" w:eastAsia="Times New Roman" w:hAnsi="Times New Roman" w:cs="Times New Roman"/>
          <w:color w:val="000000"/>
        </w:rPr>
        <w:t>Reflective</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Unidimensional</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Construct</w:t>
      </w:r>
      <w:proofErr w:type="spellEnd"/>
      <w:r w:rsidRPr="009B6FD5">
        <w:rPr>
          <w:rFonts w:ascii="Times New Roman" w:eastAsia="Times New Roman" w:hAnsi="Times New Roman" w:cs="Times New Roman"/>
          <w:color w:val="000000"/>
        </w:rPr>
        <w:t>،</w:t>
      </w:r>
      <w:r w:rsidRPr="009B6FD5">
        <w:rPr>
          <w:rFonts w:ascii="Times New Roman" w:eastAsia="Times New Roman" w:hAnsi="Times New Roman" w:cs="Times New Roman"/>
          <w:color w:val="000000"/>
          <w:rtl w:val="0"/>
        </w:rPr>
        <w:t> </w:t>
      </w:r>
      <w:r w:rsidRPr="009B6FD5">
        <w:rPr>
          <w:rFonts w:ascii="Times New Roman" w:eastAsia="Times New Roman" w:hAnsi="Times New Roman" w:cs="Times New Roman"/>
          <w:color w:val="000000"/>
        </w:rPr>
        <w:t xml:space="preserve">بينما فقراته السبعة تقيس قدرات مختلفة جدًا: </w:t>
      </w:r>
      <w:proofErr w:type="spellStart"/>
      <w:r w:rsidRPr="009B6FD5">
        <w:rPr>
          <w:rFonts w:ascii="Times New Roman" w:eastAsia="Times New Roman" w:hAnsi="Times New Roman" w:cs="Times New Roman"/>
          <w:color w:val="000000"/>
        </w:rPr>
        <w:t>Social</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Media</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Mobile</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Marketing</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Content</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Marketing</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Search</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Engine</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Marketing</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Web</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Analytics</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Marketing</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Automation</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وEmail</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Marketing</w:t>
      </w:r>
      <w:proofErr w:type="spellEnd"/>
      <w:r w:rsidRPr="009B6FD5">
        <w:rPr>
          <w:rFonts w:ascii="Times New Roman" w:eastAsia="Times New Roman" w:hAnsi="Times New Roman" w:cs="Times New Roman"/>
          <w:color w:val="000000"/>
        </w:rPr>
        <w:t>. هذه القدرات ليست بالضرورة قابلة للاستبدال أو أن ارتفاع إحداها يستلزم ارتفاع البقية. لذلك يجب</w:t>
      </w:r>
      <w:r w:rsidRPr="009B6FD5">
        <w:rPr>
          <w:rFonts w:ascii="Times New Roman" w:eastAsia="Times New Roman" w:hAnsi="Times New Roman" w:cs="Times New Roman"/>
          <w:color w:val="000000"/>
          <w:rtl w:val="0"/>
        </w:rPr>
        <w:t> </w:t>
      </w:r>
      <w:r w:rsidRPr="009B6FD5">
        <w:rPr>
          <w:rFonts w:ascii="Times New Roman" w:eastAsia="Times New Roman" w:hAnsi="Times New Roman" w:cs="Times New Roman"/>
          <w:color w:val="000000"/>
        </w:rPr>
        <w:t xml:space="preserve">إعادة التحقق نظريًا من كون </w:t>
      </w:r>
      <w:proofErr w:type="spellStart"/>
      <w:r w:rsidRPr="009B6FD5">
        <w:rPr>
          <w:rFonts w:ascii="Times New Roman" w:eastAsia="Times New Roman" w:hAnsi="Times New Roman" w:cs="Times New Roman"/>
          <w:color w:val="000000"/>
        </w:rPr>
        <w:t>Digital</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Marketing</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reflective</w:t>
      </w:r>
      <w:proofErr w:type="spellEnd"/>
      <w:r w:rsidRPr="009B6FD5">
        <w:rPr>
          <w:rFonts w:ascii="Times New Roman" w:eastAsia="Times New Roman" w:hAnsi="Times New Roman" w:cs="Times New Roman"/>
          <w:color w:val="000000"/>
        </w:rPr>
        <w:t>؛ وقد يكون تمثيله كمركب تكويني أكثر اتساقًا، أو يجب تقديم تبرير نظري قوي جدًا لبقائه انعكاسيًا.</w:t>
      </w:r>
    </w:p>
    <w:p w14:paraId="05B22BC1" w14:textId="77777777" w:rsidR="009B6FD5" w:rsidRPr="009B6FD5" w:rsidRDefault="009B6FD5" w:rsidP="009B6FD5">
      <w:pPr>
        <w:numPr>
          <w:ilvl w:val="0"/>
          <w:numId w:val="7"/>
        </w:numPr>
        <w:bidi/>
        <w:spacing w:before="100" w:beforeAutospacing="1" w:after="100" w:afterAutospacing="1" w:line="360" w:lineRule="auto"/>
        <w:jc w:val="both"/>
        <w:rPr>
          <w:rFonts w:ascii="Times New Roman" w:eastAsia="Times New Roman" w:hAnsi="Times New Roman" w:cs="Times New Roman"/>
          <w:color w:val="000000"/>
        </w:rPr>
      </w:pPr>
      <w:r w:rsidRPr="009B6FD5">
        <w:rPr>
          <w:rFonts w:ascii="Times New Roman" w:eastAsia="Times New Roman" w:hAnsi="Times New Roman" w:cs="Times New Roman"/>
          <w:color w:val="000000"/>
        </w:rPr>
        <w:t>هناك أيضًا سؤال مفاهيمي حول تسمية</w:t>
      </w:r>
      <w:r w:rsidRPr="009B6FD5">
        <w:rPr>
          <w:rFonts w:ascii="Times New Roman" w:eastAsia="Times New Roman" w:hAnsi="Times New Roman" w:cs="Times New Roman"/>
          <w:color w:val="000000"/>
          <w:rtl w:val="0"/>
        </w:rPr>
        <w:t> </w:t>
      </w:r>
      <w:r w:rsidRPr="009B6FD5">
        <w:rPr>
          <w:rFonts w:ascii="Times New Roman" w:eastAsia="Times New Roman" w:hAnsi="Times New Roman" w:cs="Times New Roman"/>
          <w:color w:val="000000"/>
        </w:rPr>
        <w:t xml:space="preserve">AI </w:t>
      </w:r>
      <w:proofErr w:type="spellStart"/>
      <w:r w:rsidRPr="009B6FD5">
        <w:rPr>
          <w:rFonts w:ascii="Times New Roman" w:eastAsia="Times New Roman" w:hAnsi="Times New Roman" w:cs="Times New Roman"/>
          <w:color w:val="000000"/>
        </w:rPr>
        <w:t>Adoption</w:t>
      </w:r>
      <w:proofErr w:type="spellEnd"/>
      <w:r w:rsidRPr="009B6FD5">
        <w:rPr>
          <w:rFonts w:ascii="Times New Roman" w:eastAsia="Times New Roman" w:hAnsi="Times New Roman" w:cs="Times New Roman"/>
          <w:color w:val="000000"/>
        </w:rPr>
        <w:t>. المكونات المستخدمة هي الفائدة المتوقعة، سهولة الاستخدام المتوقعة، والجاهزية التكنولوجية. هذه تبدو أقرب إلى</w:t>
      </w:r>
      <w:r w:rsidRPr="009B6FD5">
        <w:rPr>
          <w:rFonts w:ascii="Times New Roman" w:eastAsia="Times New Roman" w:hAnsi="Times New Roman" w:cs="Times New Roman"/>
          <w:color w:val="000000"/>
          <w:rtl w:val="0"/>
        </w:rPr>
        <w:t> </w:t>
      </w:r>
      <w:r w:rsidRPr="009B6FD5">
        <w:rPr>
          <w:rFonts w:ascii="Times New Roman" w:eastAsia="Times New Roman" w:hAnsi="Times New Roman" w:cs="Times New Roman"/>
          <w:color w:val="000000"/>
        </w:rPr>
        <w:t>محددات/جاهزية تبني الذكاء الاصطناعي</w:t>
      </w:r>
      <w:r w:rsidRPr="009B6FD5">
        <w:rPr>
          <w:rFonts w:ascii="Times New Roman" w:eastAsia="Times New Roman" w:hAnsi="Times New Roman" w:cs="Times New Roman"/>
          <w:color w:val="000000"/>
          <w:rtl w:val="0"/>
        </w:rPr>
        <w:t> </w:t>
      </w:r>
      <w:r w:rsidRPr="009B6FD5">
        <w:rPr>
          <w:rFonts w:ascii="Times New Roman" w:eastAsia="Times New Roman" w:hAnsi="Times New Roman" w:cs="Times New Roman"/>
          <w:color w:val="000000"/>
        </w:rPr>
        <w:t>منها إلى قياس مقدار التبني الفعلي نفسه. لذلك يجب التأكد من اتساق الفصلين الأول والثاني والفرضيات مع هذا التعريف. إما تبرير أن هذه المكونات</w:t>
      </w:r>
      <w:r w:rsidRPr="009B6FD5">
        <w:rPr>
          <w:rFonts w:ascii="Times New Roman" w:eastAsia="Times New Roman" w:hAnsi="Times New Roman" w:cs="Times New Roman"/>
          <w:color w:val="000000"/>
          <w:rtl w:val="0"/>
        </w:rPr>
        <w:t> </w:t>
      </w:r>
      <w:r w:rsidRPr="009B6FD5">
        <w:rPr>
          <w:rFonts w:ascii="Times New Roman" w:eastAsia="Times New Roman" w:hAnsi="Times New Roman" w:cs="Times New Roman"/>
          <w:color w:val="000000"/>
        </w:rPr>
        <w:t xml:space="preserve">تشكل </w:t>
      </w:r>
      <w:proofErr w:type="spellStart"/>
      <w:r w:rsidRPr="009B6FD5">
        <w:rPr>
          <w:rFonts w:ascii="Times New Roman" w:eastAsia="Times New Roman" w:hAnsi="Times New Roman" w:cs="Times New Roman"/>
          <w:color w:val="000000"/>
        </w:rPr>
        <w:t>adoption</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construct</w:t>
      </w:r>
      <w:proofErr w:type="spellEnd"/>
      <w:r w:rsidRPr="009B6FD5">
        <w:rPr>
          <w:rFonts w:ascii="Times New Roman" w:eastAsia="Times New Roman" w:hAnsi="Times New Roman" w:cs="Times New Roman"/>
          <w:color w:val="000000"/>
        </w:rPr>
        <w:t>، أو التفكير في تسمية أدق مثل</w:t>
      </w:r>
      <w:r w:rsidRPr="009B6FD5">
        <w:rPr>
          <w:rFonts w:ascii="Times New Roman" w:eastAsia="Times New Roman" w:hAnsi="Times New Roman" w:cs="Times New Roman"/>
          <w:color w:val="000000"/>
          <w:rtl w:val="0"/>
        </w:rPr>
        <w:t> </w:t>
      </w:r>
      <w:r w:rsidRPr="009B6FD5">
        <w:rPr>
          <w:rFonts w:ascii="Times New Roman" w:eastAsia="Times New Roman" w:hAnsi="Times New Roman" w:cs="Times New Roman"/>
          <w:i/>
          <w:iCs/>
          <w:color w:val="000000"/>
        </w:rPr>
        <w:t xml:space="preserve">AI </w:t>
      </w:r>
      <w:proofErr w:type="spellStart"/>
      <w:r w:rsidRPr="009B6FD5">
        <w:rPr>
          <w:rFonts w:ascii="Times New Roman" w:eastAsia="Times New Roman" w:hAnsi="Times New Roman" w:cs="Times New Roman"/>
          <w:i/>
          <w:iCs/>
          <w:color w:val="000000"/>
        </w:rPr>
        <w:t>Adoption</w:t>
      </w:r>
      <w:proofErr w:type="spellEnd"/>
      <w:r w:rsidRPr="009B6FD5">
        <w:rPr>
          <w:rFonts w:ascii="Times New Roman" w:eastAsia="Times New Roman" w:hAnsi="Times New Roman" w:cs="Times New Roman"/>
          <w:i/>
          <w:iCs/>
          <w:color w:val="000000"/>
        </w:rPr>
        <w:t xml:space="preserve"> </w:t>
      </w:r>
      <w:proofErr w:type="spellStart"/>
      <w:r w:rsidRPr="009B6FD5">
        <w:rPr>
          <w:rFonts w:ascii="Times New Roman" w:eastAsia="Times New Roman" w:hAnsi="Times New Roman" w:cs="Times New Roman"/>
          <w:i/>
          <w:iCs/>
          <w:color w:val="000000"/>
        </w:rPr>
        <w:t>Readiness</w:t>
      </w:r>
      <w:proofErr w:type="spellEnd"/>
      <w:r w:rsidRPr="009B6FD5">
        <w:rPr>
          <w:rFonts w:ascii="Times New Roman" w:eastAsia="Times New Roman" w:hAnsi="Times New Roman" w:cs="Times New Roman"/>
          <w:color w:val="000000"/>
        </w:rPr>
        <w:t xml:space="preserve">، أو إضافة مؤشرات تقيس الاستخدام/التبني الفعلي إذا كان العنوان والفرضيات يقصدان </w:t>
      </w:r>
      <w:proofErr w:type="spellStart"/>
      <w:r w:rsidRPr="009B6FD5">
        <w:rPr>
          <w:rFonts w:ascii="Times New Roman" w:eastAsia="Times New Roman" w:hAnsi="Times New Roman" w:cs="Times New Roman"/>
          <w:color w:val="000000"/>
        </w:rPr>
        <w:t>adoption</w:t>
      </w:r>
      <w:proofErr w:type="spellEnd"/>
      <w:r w:rsidRPr="009B6FD5">
        <w:rPr>
          <w:rFonts w:ascii="Times New Roman" w:eastAsia="Times New Roman" w:hAnsi="Times New Roman" w:cs="Times New Roman"/>
          <w:color w:val="000000"/>
        </w:rPr>
        <w:t xml:space="preserve"> الفعلي.</w:t>
      </w:r>
    </w:p>
    <w:p w14:paraId="1F453CF1" w14:textId="77777777" w:rsidR="009B6FD5" w:rsidRPr="009B6FD5" w:rsidRDefault="009B6FD5" w:rsidP="009B6FD5">
      <w:pPr>
        <w:numPr>
          <w:ilvl w:val="0"/>
          <w:numId w:val="7"/>
        </w:numPr>
        <w:bidi/>
        <w:spacing w:before="100" w:beforeAutospacing="1" w:after="100" w:afterAutospacing="1" w:line="360" w:lineRule="auto"/>
        <w:jc w:val="both"/>
        <w:rPr>
          <w:rFonts w:ascii="Times New Roman" w:eastAsia="Times New Roman" w:hAnsi="Times New Roman" w:cs="Times New Roman"/>
          <w:color w:val="000000"/>
        </w:rPr>
      </w:pPr>
      <w:r w:rsidRPr="009B6FD5">
        <w:rPr>
          <w:rFonts w:ascii="Times New Roman" w:eastAsia="Times New Roman" w:hAnsi="Times New Roman" w:cs="Times New Roman"/>
          <w:color w:val="000000"/>
        </w:rPr>
        <w:t>تقييم المقاييس التكوينية يحتاج خطوة إضافية. النسخة الحالية تذكر VIF ودلالة الأوزان الخارجية، وهو جيد. لكن بما أن لديها الآن مركبين تكوينيين مهمين، فمن الأفضل إضافة</w:t>
      </w:r>
      <w:r w:rsidRPr="009B6FD5">
        <w:rPr>
          <w:rFonts w:ascii="Times New Roman" w:eastAsia="Times New Roman" w:hAnsi="Times New Roman" w:cs="Times New Roman"/>
          <w:color w:val="000000"/>
          <w:rtl w:val="0"/>
        </w:rPr>
        <w:t> </w:t>
      </w:r>
      <w:proofErr w:type="spellStart"/>
      <w:r w:rsidRPr="009B6FD5">
        <w:rPr>
          <w:rFonts w:ascii="Times New Roman" w:eastAsia="Times New Roman" w:hAnsi="Times New Roman" w:cs="Times New Roman"/>
          <w:color w:val="000000"/>
        </w:rPr>
        <w:t>Convergent</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Validity</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for</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Formative</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Constructs</w:t>
      </w:r>
      <w:proofErr w:type="spellEnd"/>
      <w:r w:rsidRPr="009B6FD5">
        <w:rPr>
          <w:rFonts w:ascii="Times New Roman" w:eastAsia="Times New Roman" w:hAnsi="Times New Roman" w:cs="Times New Roman"/>
          <w:color w:val="000000"/>
        </w:rPr>
        <w:t xml:space="preserve"> باستخدام </w:t>
      </w:r>
      <w:proofErr w:type="spellStart"/>
      <w:r w:rsidRPr="009B6FD5">
        <w:rPr>
          <w:rFonts w:ascii="Times New Roman" w:eastAsia="Times New Roman" w:hAnsi="Times New Roman" w:cs="Times New Roman"/>
          <w:color w:val="000000"/>
        </w:rPr>
        <w:t>Redundancy</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Analysis</w:t>
      </w:r>
      <w:proofErr w:type="spellEnd"/>
      <w:r w:rsidRPr="009B6FD5">
        <w:rPr>
          <w:rFonts w:ascii="Times New Roman" w:eastAsia="Times New Roman" w:hAnsi="Times New Roman" w:cs="Times New Roman"/>
          <w:color w:val="000000"/>
        </w:rPr>
        <w:t xml:space="preserve"> إن كان هناك </w:t>
      </w:r>
      <w:proofErr w:type="spellStart"/>
      <w:r w:rsidRPr="009B6FD5">
        <w:rPr>
          <w:rFonts w:ascii="Times New Roman" w:eastAsia="Times New Roman" w:hAnsi="Times New Roman" w:cs="Times New Roman"/>
          <w:color w:val="000000"/>
        </w:rPr>
        <w:t>Global</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Item</w:t>
      </w:r>
      <w:proofErr w:type="spellEnd"/>
      <w:r w:rsidRPr="009B6FD5">
        <w:rPr>
          <w:rFonts w:ascii="Times New Roman" w:eastAsia="Times New Roman" w:hAnsi="Times New Roman" w:cs="Times New Roman"/>
          <w:color w:val="000000"/>
        </w:rPr>
        <w:t xml:space="preserve"> أو مقياس مرجعي مناسب. هذه الإضافة ستقوي كثيرًا الدفاع عن النموذج أمام لجنة المناقشة.</w:t>
      </w:r>
    </w:p>
    <w:p w14:paraId="3E3FBB5F" w14:textId="77777777" w:rsidR="009B6FD5" w:rsidRPr="009B6FD5" w:rsidRDefault="009B6FD5" w:rsidP="009B6FD5">
      <w:pPr>
        <w:numPr>
          <w:ilvl w:val="0"/>
          <w:numId w:val="7"/>
        </w:numPr>
        <w:bidi/>
        <w:spacing w:before="100" w:beforeAutospacing="1" w:after="100" w:afterAutospacing="1" w:line="360" w:lineRule="auto"/>
        <w:jc w:val="both"/>
        <w:rPr>
          <w:rFonts w:ascii="Times New Roman" w:eastAsia="Times New Roman" w:hAnsi="Times New Roman" w:cs="Times New Roman"/>
          <w:color w:val="000000"/>
        </w:rPr>
      </w:pPr>
      <w:r w:rsidRPr="009B6FD5">
        <w:rPr>
          <w:rFonts w:ascii="Times New Roman" w:eastAsia="Times New Roman" w:hAnsi="Times New Roman" w:cs="Times New Roman"/>
          <w:color w:val="000000"/>
        </w:rPr>
        <w:t>تقول الباحثة إن العينة</w:t>
      </w:r>
      <w:r w:rsidRPr="009B6FD5">
        <w:rPr>
          <w:rFonts w:ascii="Times New Roman" w:eastAsia="Times New Roman" w:hAnsi="Times New Roman" w:cs="Times New Roman"/>
          <w:color w:val="000000"/>
          <w:rtl w:val="0"/>
        </w:rPr>
        <w:t> </w:t>
      </w:r>
      <w:r w:rsidRPr="009B6FD5">
        <w:rPr>
          <w:rFonts w:ascii="Times New Roman" w:eastAsia="Times New Roman" w:hAnsi="Times New Roman" w:cs="Times New Roman"/>
          <w:color w:val="000000"/>
        </w:rPr>
        <w:t xml:space="preserve">طبقية </w:t>
      </w:r>
      <w:proofErr w:type="spellStart"/>
      <w:r w:rsidRPr="009B6FD5">
        <w:rPr>
          <w:rFonts w:ascii="Times New Roman" w:eastAsia="Times New Roman" w:hAnsi="Times New Roman" w:cs="Times New Roman"/>
          <w:color w:val="000000"/>
        </w:rPr>
        <w:t>حصصية</w:t>
      </w:r>
      <w:proofErr w:type="spellEnd"/>
      <w:r w:rsidRPr="009B6FD5">
        <w:rPr>
          <w:rFonts w:ascii="Times New Roman" w:eastAsia="Times New Roman" w:hAnsi="Times New Roman" w:cs="Times New Roman"/>
          <w:color w:val="000000"/>
        </w:rPr>
        <w:t xml:space="preserve"> حسب القطاع والمدينة، لكن جدول التوزيع يعطي 120 تجاري، 120 خدمي، 60 صناعي فقط، ويضع المدن الخمس مجتمعة لكل قطاع دون تحديد حصة كل مدينة. إذا كانت المدينة فعلًا بعدًا من أبعاد الحصص، فيجب إما إعداد جدول</w:t>
      </w:r>
      <w:r w:rsidRPr="009B6FD5">
        <w:rPr>
          <w:rFonts w:ascii="Times New Roman" w:eastAsia="Times New Roman" w:hAnsi="Times New Roman" w:cs="Times New Roman"/>
          <w:color w:val="000000"/>
          <w:rtl w:val="0"/>
        </w:rPr>
        <w:t> </w:t>
      </w:r>
      <w:proofErr w:type="spellStart"/>
      <w:r w:rsidRPr="009B6FD5">
        <w:rPr>
          <w:rFonts w:ascii="Times New Roman" w:eastAsia="Times New Roman" w:hAnsi="Times New Roman" w:cs="Times New Roman"/>
          <w:color w:val="000000"/>
        </w:rPr>
        <w:t>City</w:t>
      </w:r>
      <w:proofErr w:type="spellEnd"/>
      <w:r w:rsidRPr="009B6FD5">
        <w:rPr>
          <w:rFonts w:ascii="Times New Roman" w:eastAsia="Times New Roman" w:hAnsi="Times New Roman" w:cs="Times New Roman"/>
          <w:color w:val="000000"/>
        </w:rPr>
        <w:t xml:space="preserve"> × </w:t>
      </w:r>
      <w:proofErr w:type="spellStart"/>
      <w:r w:rsidRPr="009B6FD5">
        <w:rPr>
          <w:rFonts w:ascii="Times New Roman" w:eastAsia="Times New Roman" w:hAnsi="Times New Roman" w:cs="Times New Roman"/>
          <w:color w:val="000000"/>
        </w:rPr>
        <w:t>Sector</w:t>
      </w:r>
      <w:proofErr w:type="spellEnd"/>
      <w:r w:rsidRPr="009B6FD5">
        <w:rPr>
          <w:rFonts w:ascii="Times New Roman" w:eastAsia="Times New Roman" w:hAnsi="Times New Roman" w:cs="Times New Roman"/>
          <w:color w:val="000000"/>
        </w:rPr>
        <w:t> يوضح العدد المستهدف لكل مدينة وقطاع، أو القول إن القطاع فقط هو أساس الحصة بينما المدن تمثل نطاقات للوصول إلى المشاركين. الصياغة الحالية بين الاثنين.</w:t>
      </w:r>
    </w:p>
    <w:p w14:paraId="2E0412D7" w14:textId="77777777" w:rsidR="009B6FD5" w:rsidRPr="009B6FD5" w:rsidRDefault="009B6FD5" w:rsidP="009B6FD5">
      <w:pPr>
        <w:numPr>
          <w:ilvl w:val="0"/>
          <w:numId w:val="7"/>
        </w:numPr>
        <w:bidi/>
        <w:spacing w:before="100" w:beforeAutospacing="1" w:after="100" w:afterAutospacing="1" w:line="360" w:lineRule="auto"/>
        <w:jc w:val="both"/>
        <w:rPr>
          <w:rFonts w:ascii="Times New Roman" w:eastAsia="Times New Roman" w:hAnsi="Times New Roman" w:cs="Times New Roman"/>
          <w:color w:val="000000"/>
        </w:rPr>
      </w:pPr>
      <w:r w:rsidRPr="009B6FD5">
        <w:rPr>
          <w:rFonts w:ascii="Times New Roman" w:eastAsia="Times New Roman" w:hAnsi="Times New Roman" w:cs="Times New Roman"/>
          <w:color w:val="000000"/>
        </w:rPr>
        <w:t>توجد نقطة صغيرة في التحليل النوعي. الباحثة اختارت</w:t>
      </w:r>
      <w:r w:rsidRPr="009B6FD5">
        <w:rPr>
          <w:rFonts w:ascii="Times New Roman" w:eastAsia="Times New Roman" w:hAnsi="Times New Roman" w:cs="Times New Roman"/>
          <w:color w:val="000000"/>
          <w:rtl w:val="0"/>
        </w:rPr>
        <w:t> </w:t>
      </w:r>
      <w:proofErr w:type="spellStart"/>
      <w:r w:rsidRPr="009B6FD5">
        <w:rPr>
          <w:rFonts w:ascii="Times New Roman" w:eastAsia="Times New Roman" w:hAnsi="Times New Roman" w:cs="Times New Roman"/>
          <w:color w:val="000000"/>
        </w:rPr>
        <w:t>Reflexive</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Thematic</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Analysis</w:t>
      </w:r>
      <w:proofErr w:type="spellEnd"/>
      <w:r w:rsidRPr="009B6FD5">
        <w:rPr>
          <w:rFonts w:ascii="Times New Roman" w:eastAsia="Times New Roman" w:hAnsi="Times New Roman" w:cs="Times New Roman"/>
          <w:color w:val="000000"/>
        </w:rPr>
        <w:t xml:space="preserve"> وفق </w:t>
      </w:r>
      <w:proofErr w:type="spellStart"/>
      <w:r w:rsidRPr="009B6FD5">
        <w:rPr>
          <w:rFonts w:ascii="Times New Roman" w:eastAsia="Times New Roman" w:hAnsi="Times New Roman" w:cs="Times New Roman"/>
          <w:color w:val="000000"/>
        </w:rPr>
        <w:t>Braun</w:t>
      </w:r>
      <w:proofErr w:type="spellEnd"/>
      <w:r w:rsidRPr="009B6FD5">
        <w:rPr>
          <w:rFonts w:ascii="Times New Roman" w:eastAsia="Times New Roman" w:hAnsi="Times New Roman" w:cs="Times New Roman"/>
          <w:color w:val="000000"/>
        </w:rPr>
        <w:t xml:space="preserve"> &amp; </w:t>
      </w:r>
      <w:proofErr w:type="spellStart"/>
      <w:r w:rsidRPr="009B6FD5">
        <w:rPr>
          <w:rFonts w:ascii="Times New Roman" w:eastAsia="Times New Roman" w:hAnsi="Times New Roman" w:cs="Times New Roman"/>
          <w:color w:val="000000"/>
        </w:rPr>
        <w:t>Clarke</w:t>
      </w:r>
      <w:proofErr w:type="spellEnd"/>
      <w:r w:rsidRPr="009B6FD5">
        <w:rPr>
          <w:rFonts w:ascii="Times New Roman" w:eastAsia="Times New Roman" w:hAnsi="Times New Roman" w:cs="Times New Roman"/>
          <w:color w:val="000000"/>
        </w:rPr>
        <w:t>،</w:t>
      </w:r>
      <w:r w:rsidRPr="009B6FD5">
        <w:rPr>
          <w:rFonts w:ascii="Times New Roman" w:eastAsia="Times New Roman" w:hAnsi="Times New Roman" w:cs="Times New Roman"/>
          <w:color w:val="000000"/>
          <w:rtl w:val="0"/>
        </w:rPr>
        <w:t> </w:t>
      </w:r>
      <w:r w:rsidRPr="009B6FD5">
        <w:rPr>
          <w:rFonts w:ascii="Times New Roman" w:eastAsia="Times New Roman" w:hAnsi="Times New Roman" w:cs="Times New Roman"/>
          <w:color w:val="000000"/>
        </w:rPr>
        <w:t>لكنها تقول في الوقت نفسه إنها ستستمر في المقابلات حتى</w:t>
      </w:r>
      <w:r w:rsidRPr="009B6FD5">
        <w:rPr>
          <w:rFonts w:ascii="Times New Roman" w:eastAsia="Times New Roman" w:hAnsi="Times New Roman" w:cs="Times New Roman"/>
          <w:color w:val="000000"/>
          <w:rtl w:val="0"/>
        </w:rPr>
        <w:t> </w:t>
      </w:r>
      <w:proofErr w:type="spellStart"/>
      <w:r w:rsidRPr="009B6FD5">
        <w:rPr>
          <w:rFonts w:ascii="Times New Roman" w:eastAsia="Times New Roman" w:hAnsi="Times New Roman" w:cs="Times New Roman"/>
          <w:color w:val="000000"/>
        </w:rPr>
        <w:t>Data</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Saturation</w:t>
      </w:r>
      <w:proofErr w:type="spellEnd"/>
      <w:r w:rsidRPr="009B6FD5">
        <w:rPr>
          <w:rFonts w:ascii="Times New Roman" w:eastAsia="Times New Roman" w:hAnsi="Times New Roman" w:cs="Times New Roman"/>
          <w:color w:val="000000"/>
        </w:rPr>
        <w:t>. الأفضل منهجيًا في هذا النوع من التحليل عدم جعل «التشبع» قاعدة توقف ميكانيكية؛ ويمكن الاعتماد بصورة أكبر على</w:t>
      </w:r>
      <w:r w:rsidRPr="009B6FD5">
        <w:rPr>
          <w:rFonts w:ascii="Times New Roman" w:eastAsia="Times New Roman" w:hAnsi="Times New Roman" w:cs="Times New Roman"/>
          <w:color w:val="000000"/>
          <w:rtl w:val="0"/>
        </w:rPr>
        <w:t> </w:t>
      </w:r>
      <w:proofErr w:type="spellStart"/>
      <w:r w:rsidRPr="009B6FD5">
        <w:rPr>
          <w:rFonts w:ascii="Times New Roman" w:eastAsia="Times New Roman" w:hAnsi="Times New Roman" w:cs="Times New Roman"/>
          <w:color w:val="000000"/>
        </w:rPr>
        <w:t>Information</w:t>
      </w:r>
      <w:proofErr w:type="spellEnd"/>
      <w:r w:rsidRPr="009B6FD5">
        <w:rPr>
          <w:rFonts w:ascii="Times New Roman" w:eastAsia="Times New Roman" w:hAnsi="Times New Roman" w:cs="Times New Roman"/>
          <w:color w:val="000000"/>
        </w:rPr>
        <w:t xml:space="preserve"> </w:t>
      </w:r>
      <w:proofErr w:type="spellStart"/>
      <w:r w:rsidRPr="009B6FD5">
        <w:rPr>
          <w:rFonts w:ascii="Times New Roman" w:eastAsia="Times New Roman" w:hAnsi="Times New Roman" w:cs="Times New Roman"/>
          <w:color w:val="000000"/>
        </w:rPr>
        <w:t>Power</w:t>
      </w:r>
      <w:proofErr w:type="spellEnd"/>
      <w:r w:rsidRPr="009B6FD5">
        <w:rPr>
          <w:rFonts w:ascii="Times New Roman" w:eastAsia="Times New Roman" w:hAnsi="Times New Roman" w:cs="Times New Roman"/>
          <w:color w:val="000000"/>
        </w:rPr>
        <w:t> الذي ذكرته الباحثة بالفعل، مع تحديد 12–18 مقابلة كمدى متوقع قابل للتعديل بناء على ثراء البيانات.</w:t>
      </w:r>
    </w:p>
    <w:p w14:paraId="76D22F69" w14:textId="77777777" w:rsidR="00414570" w:rsidRPr="009B6FD5" w:rsidRDefault="00414570" w:rsidP="009B6FD5">
      <w:pPr>
        <w:bidi/>
        <w:spacing w:line="360" w:lineRule="auto"/>
        <w:jc w:val="both"/>
      </w:pPr>
    </w:p>
    <w:bookmarkEnd w:id="0"/>
    <w:sectPr w:rsidR="00414570" w:rsidRPr="009B6FD5" w:rsidSect="007E709B">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Traditional Arabic">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F2CE2"/>
    <w:multiLevelType w:val="multilevel"/>
    <w:tmpl w:val="1C928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A344E06"/>
    <w:multiLevelType w:val="hybridMultilevel"/>
    <w:tmpl w:val="C1206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352070"/>
    <w:multiLevelType w:val="hybridMultilevel"/>
    <w:tmpl w:val="5ADE6D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E3508BB"/>
    <w:multiLevelType w:val="hybridMultilevel"/>
    <w:tmpl w:val="30E4E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6E050F"/>
    <w:multiLevelType w:val="hybridMultilevel"/>
    <w:tmpl w:val="8410D2CC"/>
    <w:lvl w:ilvl="0" w:tplc="94086272">
      <w:start w:val="1"/>
      <w:numFmt w:val="bullet"/>
      <w:lvlText w:val="●"/>
      <w:lvlJc w:val="left"/>
      <w:pPr>
        <w:ind w:left="720" w:hanging="360"/>
      </w:pPr>
    </w:lvl>
    <w:lvl w:ilvl="1" w:tplc="05DC04F4">
      <w:start w:val="1"/>
      <w:numFmt w:val="bullet"/>
      <w:lvlText w:val="○"/>
      <w:lvlJc w:val="left"/>
      <w:pPr>
        <w:ind w:left="1440" w:hanging="360"/>
      </w:pPr>
    </w:lvl>
    <w:lvl w:ilvl="2" w:tplc="5FDCD72E">
      <w:start w:val="1"/>
      <w:numFmt w:val="bullet"/>
      <w:lvlText w:val="■"/>
      <w:lvlJc w:val="left"/>
      <w:pPr>
        <w:ind w:left="2160" w:hanging="360"/>
      </w:pPr>
    </w:lvl>
    <w:lvl w:ilvl="3" w:tplc="83B8B010">
      <w:start w:val="1"/>
      <w:numFmt w:val="bullet"/>
      <w:lvlText w:val="●"/>
      <w:lvlJc w:val="left"/>
      <w:pPr>
        <w:ind w:left="2880" w:hanging="360"/>
      </w:pPr>
    </w:lvl>
    <w:lvl w:ilvl="4" w:tplc="E6DC0796">
      <w:start w:val="1"/>
      <w:numFmt w:val="bullet"/>
      <w:lvlText w:val="○"/>
      <w:lvlJc w:val="left"/>
      <w:pPr>
        <w:ind w:left="3600" w:hanging="360"/>
      </w:pPr>
    </w:lvl>
    <w:lvl w:ilvl="5" w:tplc="7354CFA6">
      <w:start w:val="1"/>
      <w:numFmt w:val="bullet"/>
      <w:lvlText w:val="■"/>
      <w:lvlJc w:val="left"/>
      <w:pPr>
        <w:ind w:left="4320" w:hanging="360"/>
      </w:pPr>
    </w:lvl>
    <w:lvl w:ilvl="6" w:tplc="D08E790E">
      <w:start w:val="1"/>
      <w:numFmt w:val="bullet"/>
      <w:lvlText w:val="●"/>
      <w:lvlJc w:val="left"/>
      <w:pPr>
        <w:ind w:left="5040" w:hanging="360"/>
      </w:pPr>
    </w:lvl>
    <w:lvl w:ilvl="7" w:tplc="7A3CDF86">
      <w:start w:val="1"/>
      <w:numFmt w:val="bullet"/>
      <w:lvlText w:val="●"/>
      <w:lvlJc w:val="left"/>
      <w:pPr>
        <w:ind w:left="5760" w:hanging="360"/>
      </w:pPr>
    </w:lvl>
    <w:lvl w:ilvl="8" w:tplc="BA061C56">
      <w:start w:val="1"/>
      <w:numFmt w:val="bullet"/>
      <w:lvlText w:val="●"/>
      <w:lvlJc w:val="left"/>
      <w:pPr>
        <w:ind w:left="6480" w:hanging="360"/>
      </w:pPr>
    </w:lvl>
  </w:abstractNum>
  <w:abstractNum w:abstractNumId="5">
    <w:nsid w:val="579A7B1E"/>
    <w:multiLevelType w:val="hybridMultilevel"/>
    <w:tmpl w:val="EBA81E64"/>
    <w:lvl w:ilvl="0" w:tplc="27FE9688">
      <w:start w:val="1"/>
      <w:numFmt w:val="bullet"/>
      <w:lvlText w:val="•"/>
      <w:lvlJc w:val="right"/>
      <w:pPr>
        <w:ind w:right="720" w:hanging="360"/>
      </w:pPr>
    </w:lvl>
    <w:lvl w:ilvl="1" w:tplc="431A8F94">
      <w:numFmt w:val="decimal"/>
      <w:lvlText w:val=""/>
      <w:lvlJc w:val="left"/>
    </w:lvl>
    <w:lvl w:ilvl="2" w:tplc="945281C8">
      <w:numFmt w:val="decimal"/>
      <w:lvlText w:val=""/>
      <w:lvlJc w:val="left"/>
    </w:lvl>
    <w:lvl w:ilvl="3" w:tplc="5BA653E0">
      <w:numFmt w:val="decimal"/>
      <w:lvlText w:val=""/>
      <w:lvlJc w:val="left"/>
    </w:lvl>
    <w:lvl w:ilvl="4" w:tplc="2B084D78">
      <w:numFmt w:val="decimal"/>
      <w:lvlText w:val=""/>
      <w:lvlJc w:val="left"/>
    </w:lvl>
    <w:lvl w:ilvl="5" w:tplc="6CB6FF70">
      <w:numFmt w:val="decimal"/>
      <w:lvlText w:val=""/>
      <w:lvlJc w:val="left"/>
    </w:lvl>
    <w:lvl w:ilvl="6" w:tplc="F6305884">
      <w:numFmt w:val="decimal"/>
      <w:lvlText w:val=""/>
      <w:lvlJc w:val="left"/>
    </w:lvl>
    <w:lvl w:ilvl="7" w:tplc="3984FB98">
      <w:numFmt w:val="decimal"/>
      <w:lvlText w:val=""/>
      <w:lvlJc w:val="left"/>
    </w:lvl>
    <w:lvl w:ilvl="8" w:tplc="A044E7B2">
      <w:numFmt w:val="decimal"/>
      <w:lvlText w:val=""/>
      <w:lvlJc w:val="left"/>
    </w:lvl>
  </w:abstractNum>
  <w:abstractNum w:abstractNumId="6">
    <w:nsid w:val="70A11706"/>
    <w:multiLevelType w:val="hybridMultilevel"/>
    <w:tmpl w:val="F124BC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num>
  <w:num w:numId="2">
    <w:abstractNumId w:val="5"/>
    <w:lvlOverride w:ilvl="0">
      <w:startOverride w:val="1"/>
    </w:lvlOverride>
  </w:num>
  <w:num w:numId="3">
    <w:abstractNumId w:val="3"/>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CBD"/>
    <w:rsid w:val="0009148E"/>
    <w:rsid w:val="0031643D"/>
    <w:rsid w:val="003D1F04"/>
    <w:rsid w:val="00414570"/>
    <w:rsid w:val="004148DE"/>
    <w:rsid w:val="007E709B"/>
    <w:rsid w:val="008505AD"/>
    <w:rsid w:val="00862BA9"/>
    <w:rsid w:val="0099616A"/>
    <w:rsid w:val="009B6FD5"/>
    <w:rsid w:val="00AD5A90"/>
    <w:rsid w:val="00B246BB"/>
    <w:rsid w:val="00EA4CEB"/>
    <w:rsid w:val="00EB5C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10D08"/>
  <w15:docId w15:val="{12DAC41E-3901-4527-BB50-6BE9F22A2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raditional Arabic" w:eastAsia="Traditional Arabic" w:hAnsi="Traditional Arabic" w:cs="Traditional Arabic"/>
        <w:sz w:val="24"/>
        <w:szCs w:val="24"/>
        <w:rtl/>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8505AD"/>
    <w:rPr>
      <w:rFonts w:ascii="Calibri" w:eastAsia="Calibri" w:hAnsi="Calibri" w:cs="Arial"/>
      <w:sz w:val="22"/>
      <w:szCs w:val="22"/>
      <w:rtl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dq2pgselectionanchorcontainer">
    <w:name w:val="pdq2pg_selectionanchorcontainer"/>
    <w:basedOn w:val="Normal"/>
    <w:rsid w:val="009B6FD5"/>
    <w:pPr>
      <w:spacing w:before="100" w:beforeAutospacing="1" w:after="100" w:afterAutospacing="1"/>
    </w:pPr>
    <w:rPr>
      <w:rFonts w:ascii="Times New Roman" w:hAnsi="Times New Roman" w:cs="Times New Roman"/>
      <w:rtl w:val="0"/>
    </w:rPr>
  </w:style>
  <w:style w:type="character" w:styleId="Strong">
    <w:name w:val="Strong"/>
    <w:basedOn w:val="DefaultParagraphFont"/>
    <w:uiPriority w:val="22"/>
    <w:qFormat/>
    <w:rsid w:val="009B6FD5"/>
    <w:rPr>
      <w:b/>
      <w:bCs/>
    </w:rPr>
  </w:style>
  <w:style w:type="character" w:customStyle="1" w:styleId="apple-converted-space">
    <w:name w:val="apple-converted-space"/>
    <w:basedOn w:val="DefaultParagraphFont"/>
    <w:rsid w:val="009B6FD5"/>
  </w:style>
  <w:style w:type="character" w:styleId="Emphasis">
    <w:name w:val="Emphasis"/>
    <w:basedOn w:val="DefaultParagraphFont"/>
    <w:uiPriority w:val="20"/>
    <w:qFormat/>
    <w:rsid w:val="009B6F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71213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418</Words>
  <Characters>2385</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dc:description>نسخة معدلة وفق ملاحظات لجنة التقييم؛ التعديلات الجوهرية مميزة باللون الأزرق.</dc:description>
  <cp:lastModifiedBy>Microsoft Office User</cp:lastModifiedBy>
  <cp:revision>3</cp:revision>
  <dcterms:created xsi:type="dcterms:W3CDTF">2026-08-15T18:52:00Z</dcterms:created>
  <dcterms:modified xsi:type="dcterms:W3CDTF">2026-08-16T13:27:00Z</dcterms:modified>
</cp:coreProperties>
</file>