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rsidP="00AE507C">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AE507C">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AE507C">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AE507C">
      <w:pPr>
        <w:spacing w:line="360" w:lineRule="auto"/>
        <w:rPr>
          <w:rFonts w:ascii="Sakkal Majalla" w:hAnsi="Sakkal Majalla" w:cs="Sakkal Majalla"/>
          <w:sz w:val="28"/>
          <w:szCs w:val="28"/>
          <w:rtl/>
          <w:lang w:bidi="ar-EG"/>
        </w:rPr>
      </w:pPr>
    </w:p>
    <w:p w14:paraId="3A7BF367" w14:textId="77777777" w:rsidR="009125CE" w:rsidRPr="009125CE" w:rsidRDefault="009125CE" w:rsidP="00AE507C">
      <w:pPr>
        <w:spacing w:line="360" w:lineRule="auto"/>
        <w:rPr>
          <w:rFonts w:ascii="Sakkal Majalla" w:hAnsi="Sakkal Majalla" w:cs="Sakkal Majalla"/>
          <w:sz w:val="28"/>
          <w:szCs w:val="28"/>
          <w:rtl/>
          <w:lang w:bidi="ar-EG"/>
        </w:rPr>
      </w:pPr>
    </w:p>
    <w:p w14:paraId="5F6542BF" w14:textId="77777777" w:rsidR="009125CE" w:rsidRPr="009125CE" w:rsidRDefault="009125CE" w:rsidP="00AE507C">
      <w:pPr>
        <w:spacing w:line="360" w:lineRule="auto"/>
        <w:rPr>
          <w:rFonts w:ascii="Sakkal Majalla" w:hAnsi="Sakkal Majalla" w:cs="Sakkal Majalla"/>
          <w:sz w:val="28"/>
          <w:szCs w:val="28"/>
          <w:rtl/>
          <w:lang w:bidi="ar-EG"/>
        </w:rPr>
      </w:pPr>
    </w:p>
    <w:p w14:paraId="655EA135" w14:textId="77777777" w:rsidR="001B1A18" w:rsidRPr="001B1A18" w:rsidRDefault="001B1A18" w:rsidP="00AE507C">
      <w:pPr>
        <w:spacing w:line="360" w:lineRule="auto"/>
        <w:jc w:val="center"/>
        <w:rPr>
          <w:rFonts w:ascii="Sakkal Majalla" w:hAnsi="Sakkal Majalla" w:cs="Sakkal Majalla"/>
          <w:b/>
          <w:bCs/>
          <w:sz w:val="28"/>
          <w:szCs w:val="28"/>
          <w:rtl/>
        </w:rPr>
      </w:pPr>
      <w:r w:rsidRPr="001B1A18">
        <w:rPr>
          <w:rFonts w:ascii="Sakkal Majalla" w:hAnsi="Sakkal Majalla" w:cs="Sakkal Majalla" w:hint="cs"/>
          <w:b/>
          <w:bCs/>
          <w:sz w:val="28"/>
          <w:szCs w:val="28"/>
          <w:rtl/>
        </w:rPr>
        <w:t>تحديات</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التحول</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من</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منهجيات</w:t>
      </w:r>
      <w:r w:rsidRPr="001B1A18">
        <w:rPr>
          <w:rFonts w:ascii="Sakkal Majalla" w:hAnsi="Sakkal Majalla" w:cs="Sakkal Majalla"/>
          <w:b/>
          <w:bCs/>
          <w:sz w:val="28"/>
          <w:szCs w:val="28"/>
          <w:rtl/>
        </w:rPr>
        <w:t xml:space="preserve"> </w:t>
      </w:r>
      <w:r w:rsidRPr="001B1A18">
        <w:rPr>
          <w:rFonts w:ascii="Sakkal Majalla" w:hAnsi="Sakkal Majalla" w:cs="Sakkal Majalla"/>
          <w:b/>
          <w:bCs/>
          <w:sz w:val="28"/>
          <w:szCs w:val="28"/>
        </w:rPr>
        <w:t>Waterfall</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إلى</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النموذج</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الهجين</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في</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المؤسسات</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التقليدية</w:t>
      </w:r>
    </w:p>
    <w:p w14:paraId="7A5B6B9B" w14:textId="77777777" w:rsidR="001B1A18" w:rsidRPr="001B1A18" w:rsidRDefault="001B1A18" w:rsidP="00AE507C">
      <w:pPr>
        <w:spacing w:line="360" w:lineRule="auto"/>
        <w:jc w:val="center"/>
        <w:rPr>
          <w:rFonts w:ascii="Sakkal Majalla" w:hAnsi="Sakkal Majalla" w:cs="Sakkal Majalla"/>
          <w:b/>
          <w:bCs/>
          <w:sz w:val="28"/>
          <w:szCs w:val="28"/>
        </w:rPr>
      </w:pPr>
      <w:r w:rsidRPr="001B1A18">
        <w:rPr>
          <w:rFonts w:ascii="Sakkal Majalla" w:hAnsi="Sakkal Majalla" w:cs="Sakkal Majalla"/>
          <w:b/>
          <w:bCs/>
          <w:sz w:val="28"/>
          <w:szCs w:val="28"/>
        </w:rPr>
        <w:t>Challenges of transitioning from Waterfall methodologies to a hybrid model in traditional organizations</w:t>
      </w:r>
    </w:p>
    <w:p w14:paraId="15C28831" w14:textId="77777777" w:rsidR="009125CE" w:rsidRPr="001B1A18" w:rsidRDefault="009125CE" w:rsidP="00AE507C">
      <w:pPr>
        <w:spacing w:line="360" w:lineRule="auto"/>
        <w:jc w:val="center"/>
        <w:rPr>
          <w:rFonts w:ascii="Sakkal Majalla" w:hAnsi="Sakkal Majalla" w:cs="Sakkal Majalla"/>
          <w:sz w:val="28"/>
          <w:szCs w:val="28"/>
          <w:rtl/>
          <w:lang w:bidi="ar-EG"/>
        </w:rPr>
      </w:pPr>
    </w:p>
    <w:p w14:paraId="0EB57E30" w14:textId="77777777" w:rsidR="009125CE" w:rsidRPr="001902DB" w:rsidRDefault="009125CE" w:rsidP="00AE507C">
      <w:pPr>
        <w:spacing w:line="360" w:lineRule="auto"/>
        <w:jc w:val="center"/>
        <w:rPr>
          <w:rFonts w:ascii="Sakkal Majalla" w:hAnsi="Sakkal Majalla" w:cs="Sakkal Majalla"/>
          <w:b/>
          <w:bCs/>
          <w:sz w:val="28"/>
          <w:szCs w:val="28"/>
          <w:rtl/>
          <w:lang w:bidi="ar-EG"/>
        </w:rPr>
      </w:pPr>
    </w:p>
    <w:p w14:paraId="751A7E65" w14:textId="1BD100AE" w:rsidR="009125CE" w:rsidRPr="001902DB" w:rsidRDefault="00DF70E8" w:rsidP="00AE507C">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D3CBDF8" w14:textId="7191D9F8" w:rsidR="009125CE" w:rsidRPr="001902DB" w:rsidRDefault="001B1A18" w:rsidP="00AE507C">
      <w:pPr>
        <w:spacing w:line="360" w:lineRule="auto"/>
        <w:jc w:val="center"/>
        <w:rPr>
          <w:rFonts w:ascii="Sakkal Majalla" w:hAnsi="Sakkal Majalla" w:cs="Sakkal Majalla"/>
          <w:b/>
          <w:bCs/>
          <w:sz w:val="28"/>
          <w:szCs w:val="28"/>
          <w:rtl/>
          <w:lang w:bidi="ar-EG"/>
        </w:rPr>
      </w:pPr>
      <w:r w:rsidRPr="001B1A18">
        <w:rPr>
          <w:rFonts w:ascii="Sakkal Majalla" w:hAnsi="Sakkal Majalla" w:cs="Sakkal Majalla" w:hint="cs"/>
          <w:b/>
          <w:bCs/>
          <w:sz w:val="28"/>
          <w:szCs w:val="28"/>
          <w:rtl/>
        </w:rPr>
        <w:t>مجدي</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بخيت</w:t>
      </w:r>
      <w:r w:rsidRPr="001B1A18">
        <w:rPr>
          <w:rFonts w:ascii="Sakkal Majalla" w:hAnsi="Sakkal Majalla" w:cs="Sakkal Majalla"/>
          <w:b/>
          <w:bCs/>
          <w:sz w:val="28"/>
          <w:szCs w:val="28"/>
          <w:rtl/>
        </w:rPr>
        <w:t xml:space="preserve"> </w:t>
      </w:r>
      <w:r w:rsidRPr="001B1A18">
        <w:rPr>
          <w:rFonts w:ascii="Sakkal Majalla" w:hAnsi="Sakkal Majalla" w:cs="Sakkal Majalla" w:hint="cs"/>
          <w:b/>
          <w:bCs/>
          <w:sz w:val="28"/>
          <w:szCs w:val="28"/>
          <w:rtl/>
        </w:rPr>
        <w:t>الحربي</w:t>
      </w:r>
    </w:p>
    <w:p w14:paraId="58D6152F" w14:textId="77777777" w:rsidR="009125CE" w:rsidRPr="001902DB" w:rsidRDefault="009125CE" w:rsidP="00AE507C">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AE507C">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77777777" w:rsidR="009125CE" w:rsidRPr="001902DB" w:rsidRDefault="009125CE" w:rsidP="00AE507C">
      <w:pPr>
        <w:spacing w:line="360" w:lineRule="auto"/>
        <w:jc w:val="center"/>
        <w:rPr>
          <w:rFonts w:ascii="Sakkal Majalla" w:hAnsi="Sakkal Majalla" w:cs="Sakkal Majalla"/>
          <w:b/>
          <w:bCs/>
          <w:sz w:val="28"/>
          <w:szCs w:val="28"/>
          <w:rtl/>
          <w:lang w:bidi="ar-EG"/>
        </w:rPr>
      </w:pPr>
    </w:p>
    <w:p w14:paraId="22738CC6" w14:textId="77777777" w:rsidR="009125CE" w:rsidRPr="001902DB" w:rsidRDefault="009125CE" w:rsidP="00AE507C">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AE507C">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F60AC99" w:rsidR="009125CE" w:rsidRPr="001902DB" w:rsidRDefault="009125CE" w:rsidP="00AE507C">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F70E8">
        <w:rPr>
          <w:rFonts w:ascii="Sakkal Majalla" w:hAnsi="Sakkal Majalla" w:cs="Sakkal Majalla" w:hint="cs"/>
          <w:b/>
          <w:bCs/>
          <w:sz w:val="28"/>
          <w:szCs w:val="28"/>
          <w:rtl/>
          <w:lang w:bidi="ar-EG"/>
        </w:rPr>
        <w:t>5</w:t>
      </w:r>
    </w:p>
    <w:p w14:paraId="035BF540" w14:textId="73E5C5C3" w:rsidR="009125CE" w:rsidRPr="00B272BA" w:rsidRDefault="009125CE" w:rsidP="00AE507C">
      <w:pPr>
        <w:spacing w:line="360" w:lineRule="auto"/>
        <w:jc w:val="lowKashida"/>
        <w:rPr>
          <w:rFonts w:ascii="Simplified Arabic" w:hAnsi="Simplified Arabic" w:cs="Simplified Arabic"/>
          <w:sz w:val="28"/>
          <w:szCs w:val="28"/>
          <w:u w:val="single"/>
          <w:rtl/>
          <w:lang w:bidi="ar-EG"/>
        </w:rPr>
      </w:pPr>
      <w:r w:rsidRPr="00B272BA">
        <w:rPr>
          <w:rFonts w:ascii="Simplified Arabic" w:hAnsi="Simplified Arabic" w:cs="Simplified Arabic"/>
          <w:sz w:val="28"/>
          <w:szCs w:val="28"/>
          <w:u w:val="single"/>
          <w:rtl/>
          <w:lang w:bidi="ar-EG"/>
        </w:rPr>
        <w:lastRenderedPageBreak/>
        <w:t>فهرس المحتوى</w:t>
      </w:r>
      <w:r w:rsidR="00D52480" w:rsidRPr="00B272BA">
        <w:rPr>
          <w:rFonts w:ascii="Simplified Arabic" w:hAnsi="Simplified Arabic" w:cs="Simplified Arabic"/>
          <w:sz w:val="28"/>
          <w:szCs w:val="28"/>
          <w:u w:val="single"/>
          <w:rtl/>
          <w:lang w:bidi="ar-EG"/>
        </w:rPr>
        <w:t>ات</w:t>
      </w:r>
      <w:r w:rsidRPr="00B272BA">
        <w:rPr>
          <w:rFonts w:ascii="Simplified Arabic" w:hAnsi="Simplified Arabic" w:cs="Simplified Arabic"/>
          <w:sz w:val="28"/>
          <w:szCs w:val="28"/>
          <w:u w:val="single"/>
          <w:rtl/>
          <w:lang w:bidi="ar-EG"/>
        </w:rPr>
        <w:t>:</w:t>
      </w:r>
    </w:p>
    <w:sdt>
      <w:sdtPr>
        <w:rPr>
          <w:rFonts w:ascii="Simplified Arabic" w:eastAsiaTheme="minorHAnsi" w:hAnsi="Simplified Arabic" w:cs="Simplified Arabic"/>
          <w:color w:val="auto"/>
          <w:kern w:val="2"/>
          <w:sz w:val="28"/>
          <w:szCs w:val="28"/>
          <w14:ligatures w14:val="standardContextual"/>
        </w:rPr>
        <w:id w:val="1473480653"/>
        <w:docPartObj>
          <w:docPartGallery w:val="Table of Contents"/>
          <w:docPartUnique/>
        </w:docPartObj>
      </w:sdtPr>
      <w:sdtEndPr>
        <w:rPr>
          <w:rtl/>
        </w:rPr>
      </w:sdtEndPr>
      <w:sdtContent>
        <w:p w14:paraId="3EE6F6C7" w14:textId="419390FF" w:rsidR="00DF70E8" w:rsidRPr="00B272BA" w:rsidRDefault="00DF70E8" w:rsidP="00AE507C">
          <w:pPr>
            <w:pStyle w:val="TOCHeading"/>
            <w:spacing w:line="360" w:lineRule="auto"/>
            <w:jc w:val="lowKashida"/>
            <w:rPr>
              <w:rFonts w:ascii="Simplified Arabic" w:hAnsi="Simplified Arabic" w:cs="Simplified Arabic"/>
              <w:sz w:val="28"/>
              <w:szCs w:val="28"/>
            </w:rPr>
          </w:pPr>
        </w:p>
        <w:p w14:paraId="3DAD4F06" w14:textId="77777777" w:rsidR="00B272BA" w:rsidRPr="00B272BA" w:rsidRDefault="00DF70E8"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r w:rsidRPr="00B272BA">
            <w:rPr>
              <w:rFonts w:ascii="Simplified Arabic" w:hAnsi="Simplified Arabic" w:cs="Simplified Arabic"/>
              <w:sz w:val="28"/>
              <w:szCs w:val="28"/>
            </w:rPr>
            <w:fldChar w:fldCharType="begin"/>
          </w:r>
          <w:r w:rsidRPr="00B272BA">
            <w:rPr>
              <w:rFonts w:ascii="Simplified Arabic" w:hAnsi="Simplified Arabic" w:cs="Simplified Arabic"/>
              <w:sz w:val="28"/>
              <w:szCs w:val="28"/>
            </w:rPr>
            <w:instrText xml:space="preserve"> TOC \o "1-3" \h \z \u </w:instrText>
          </w:r>
          <w:r w:rsidRPr="00B272BA">
            <w:rPr>
              <w:rFonts w:ascii="Simplified Arabic" w:hAnsi="Simplified Arabic" w:cs="Simplified Arabic"/>
              <w:sz w:val="28"/>
              <w:szCs w:val="28"/>
            </w:rPr>
            <w:fldChar w:fldCharType="separate"/>
          </w:r>
          <w:hyperlink w:anchor="_Toc201509273" w:history="1">
            <w:r w:rsidR="00B272BA" w:rsidRPr="00B272BA">
              <w:rPr>
                <w:rStyle w:val="Hyperlink"/>
                <w:rFonts w:ascii="Simplified Arabic" w:hAnsi="Simplified Arabic" w:cs="Simplified Arabic"/>
                <w:noProof/>
                <w:sz w:val="28"/>
                <w:szCs w:val="28"/>
                <w:rtl/>
                <w:lang w:bidi="ar-EG"/>
              </w:rPr>
              <w:t>الفصل الأول: الاطار العام للدراسة</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Toc201509273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4</w:t>
            </w:r>
            <w:r w:rsidR="00B272BA" w:rsidRPr="00B272BA">
              <w:rPr>
                <w:rStyle w:val="Hyperlink"/>
                <w:rFonts w:ascii="Simplified Arabic" w:hAnsi="Simplified Arabic" w:cs="Simplified Arabic"/>
                <w:noProof/>
                <w:sz w:val="28"/>
                <w:szCs w:val="28"/>
                <w:rtl/>
              </w:rPr>
              <w:fldChar w:fldCharType="end"/>
            </w:r>
          </w:hyperlink>
        </w:p>
        <w:p w14:paraId="3CBD6EAC"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74" w:history="1">
            <w:r w:rsidR="00B272BA" w:rsidRPr="00B272BA">
              <w:rPr>
                <w:rStyle w:val="Hyperlink"/>
                <w:rFonts w:ascii="Simplified Arabic" w:hAnsi="Simplified Arabic" w:cs="Simplified Arabic"/>
                <w:noProof/>
                <w:sz w:val="28"/>
                <w:szCs w:val="28"/>
                <w:rtl/>
              </w:rPr>
              <w:t>المقدمة:</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Toc201509274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4</w:t>
            </w:r>
            <w:r w:rsidR="00B272BA" w:rsidRPr="00B272BA">
              <w:rPr>
                <w:rStyle w:val="Hyperlink"/>
                <w:rFonts w:ascii="Simplified Arabic" w:hAnsi="Simplified Arabic" w:cs="Simplified Arabic"/>
                <w:noProof/>
                <w:sz w:val="28"/>
                <w:szCs w:val="28"/>
                <w:rtl/>
              </w:rPr>
              <w:fldChar w:fldCharType="end"/>
            </w:r>
          </w:hyperlink>
        </w:p>
        <w:p w14:paraId="4A4B9FFD"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75" w:history="1">
            <w:r w:rsidR="00B272BA" w:rsidRPr="00B272BA">
              <w:rPr>
                <w:rStyle w:val="Hyperlink"/>
                <w:rFonts w:ascii="Simplified Arabic" w:hAnsi="Simplified Arabic" w:cs="Simplified Arabic"/>
                <w:noProof/>
                <w:sz w:val="28"/>
                <w:szCs w:val="28"/>
                <w:rtl/>
              </w:rPr>
              <w:t>-مشكلة الدراسة.</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Toc201509275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6</w:t>
            </w:r>
            <w:r w:rsidR="00B272BA" w:rsidRPr="00B272BA">
              <w:rPr>
                <w:rStyle w:val="Hyperlink"/>
                <w:rFonts w:ascii="Simplified Arabic" w:hAnsi="Simplified Arabic" w:cs="Simplified Arabic"/>
                <w:noProof/>
                <w:sz w:val="28"/>
                <w:szCs w:val="28"/>
                <w:rtl/>
              </w:rPr>
              <w:fldChar w:fldCharType="end"/>
            </w:r>
          </w:hyperlink>
        </w:p>
        <w:p w14:paraId="52458F24"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76" w:history="1">
            <w:r w:rsidR="00B272BA" w:rsidRPr="00B272BA">
              <w:rPr>
                <w:rStyle w:val="Hyperlink"/>
                <w:rFonts w:ascii="Simplified Arabic" w:hAnsi="Simplified Arabic" w:cs="Simplified Arabic"/>
                <w:noProof/>
                <w:sz w:val="28"/>
                <w:szCs w:val="28"/>
                <w:rtl/>
              </w:rPr>
              <w:t>أهمية الدراسة</w:t>
            </w:r>
            <w:r w:rsidR="00B272BA" w:rsidRPr="00B272BA">
              <w:rPr>
                <w:rStyle w:val="Hyperlink"/>
                <w:rFonts w:ascii="Simplified Arabic" w:hAnsi="Simplified Arabic" w:cs="Simplified Arabic"/>
                <w:noProof/>
                <w:sz w:val="28"/>
                <w:szCs w:val="28"/>
              </w:rPr>
              <w:t>:</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Toc201509276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7</w:t>
            </w:r>
            <w:r w:rsidR="00B272BA" w:rsidRPr="00B272BA">
              <w:rPr>
                <w:rStyle w:val="Hyperlink"/>
                <w:rFonts w:ascii="Simplified Arabic" w:hAnsi="Simplified Arabic" w:cs="Simplified Arabic"/>
                <w:noProof/>
                <w:sz w:val="28"/>
                <w:szCs w:val="28"/>
                <w:rtl/>
              </w:rPr>
              <w:fldChar w:fldCharType="end"/>
            </w:r>
          </w:hyperlink>
        </w:p>
        <w:p w14:paraId="519136F0" w14:textId="77777777" w:rsidR="00B272BA" w:rsidRPr="00B272BA" w:rsidRDefault="00B63153" w:rsidP="00AE507C">
          <w:pPr>
            <w:pStyle w:val="TOC2"/>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77" w:history="1">
            <w:r w:rsidR="00B272BA" w:rsidRPr="00B272BA">
              <w:rPr>
                <w:rStyle w:val="Hyperlink"/>
                <w:rFonts w:ascii="Simplified Arabic" w:hAnsi="Simplified Arabic" w:cs="Simplified Arabic"/>
                <w:noProof/>
                <w:sz w:val="28"/>
                <w:szCs w:val="28"/>
                <w:rtl/>
              </w:rPr>
              <w:t>أ. الأهمية العلمية</w:t>
            </w:r>
            <w:r w:rsidR="00B272BA" w:rsidRPr="00B272BA">
              <w:rPr>
                <w:rStyle w:val="Hyperlink"/>
                <w:rFonts w:ascii="Simplified Arabic" w:hAnsi="Simplified Arabic" w:cs="Simplified Arabic"/>
                <w:noProof/>
                <w:sz w:val="28"/>
                <w:szCs w:val="28"/>
              </w:rPr>
              <w:t>:</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Toc201509277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7</w:t>
            </w:r>
            <w:r w:rsidR="00B272BA" w:rsidRPr="00B272BA">
              <w:rPr>
                <w:rStyle w:val="Hyperlink"/>
                <w:rFonts w:ascii="Simplified Arabic" w:hAnsi="Simplified Arabic" w:cs="Simplified Arabic"/>
                <w:noProof/>
                <w:sz w:val="28"/>
                <w:szCs w:val="28"/>
                <w:rtl/>
              </w:rPr>
              <w:fldChar w:fldCharType="end"/>
            </w:r>
          </w:hyperlink>
        </w:p>
        <w:p w14:paraId="4AF56D61" w14:textId="77777777" w:rsidR="00B272BA" w:rsidRPr="00B272BA" w:rsidRDefault="00B63153" w:rsidP="00AE507C">
          <w:pPr>
            <w:pStyle w:val="TOC2"/>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78" w:history="1">
            <w:r w:rsidR="00B272BA" w:rsidRPr="00B272BA">
              <w:rPr>
                <w:rStyle w:val="Hyperlink"/>
                <w:rFonts w:ascii="Simplified Arabic" w:hAnsi="Simplified Arabic" w:cs="Simplified Arabic"/>
                <w:noProof/>
                <w:sz w:val="28"/>
                <w:szCs w:val="28"/>
                <w:rtl/>
              </w:rPr>
              <w:t>ب. الأهمية العملية</w:t>
            </w:r>
            <w:r w:rsidR="00B272BA" w:rsidRPr="00B272BA">
              <w:rPr>
                <w:rStyle w:val="Hyperlink"/>
                <w:rFonts w:ascii="Simplified Arabic" w:hAnsi="Simplified Arabic" w:cs="Simplified Arabic"/>
                <w:noProof/>
                <w:sz w:val="28"/>
                <w:szCs w:val="28"/>
              </w:rPr>
              <w:t>:</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Toc201509278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7</w:t>
            </w:r>
            <w:r w:rsidR="00B272BA" w:rsidRPr="00B272BA">
              <w:rPr>
                <w:rStyle w:val="Hyperlink"/>
                <w:rFonts w:ascii="Simplified Arabic" w:hAnsi="Simplified Arabic" w:cs="Simplified Arabic"/>
                <w:noProof/>
                <w:sz w:val="28"/>
                <w:szCs w:val="28"/>
                <w:rtl/>
              </w:rPr>
              <w:fldChar w:fldCharType="end"/>
            </w:r>
          </w:hyperlink>
        </w:p>
        <w:p w14:paraId="4471F40F"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79" w:history="1">
            <w:r w:rsidR="00B272BA" w:rsidRPr="00B272BA">
              <w:rPr>
                <w:rStyle w:val="Hyperlink"/>
                <w:rFonts w:ascii="Simplified Arabic" w:hAnsi="Simplified Arabic" w:cs="Simplified Arabic"/>
                <w:noProof/>
                <w:sz w:val="28"/>
                <w:szCs w:val="28"/>
                <w:rtl/>
              </w:rPr>
              <w:t>أهداف الدراسة</w:t>
            </w:r>
            <w:r w:rsidR="00B272BA" w:rsidRPr="00B272BA">
              <w:rPr>
                <w:rStyle w:val="Hyperlink"/>
                <w:rFonts w:ascii="Simplified Arabic" w:hAnsi="Simplified Arabic" w:cs="Simplified Arabic"/>
                <w:noProof/>
                <w:sz w:val="28"/>
                <w:szCs w:val="28"/>
              </w:rPr>
              <w:t>:</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Toc201509279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7</w:t>
            </w:r>
            <w:r w:rsidR="00B272BA" w:rsidRPr="00B272BA">
              <w:rPr>
                <w:rStyle w:val="Hyperlink"/>
                <w:rFonts w:ascii="Simplified Arabic" w:hAnsi="Simplified Arabic" w:cs="Simplified Arabic"/>
                <w:noProof/>
                <w:sz w:val="28"/>
                <w:szCs w:val="28"/>
                <w:rtl/>
              </w:rPr>
              <w:fldChar w:fldCharType="end"/>
            </w:r>
          </w:hyperlink>
        </w:p>
        <w:p w14:paraId="62ACCAC6"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80" w:history="1">
            <w:r w:rsidR="00B272BA" w:rsidRPr="00B272BA">
              <w:rPr>
                <w:rStyle w:val="Hyperlink"/>
                <w:rFonts w:ascii="Simplified Arabic" w:hAnsi="Simplified Arabic" w:cs="Simplified Arabic"/>
                <w:noProof/>
                <w:sz w:val="28"/>
                <w:szCs w:val="28"/>
                <w:rtl/>
              </w:rPr>
              <w:t>تساؤلات الدراسة</w:t>
            </w:r>
            <w:r w:rsidR="00B272BA" w:rsidRPr="00B272BA">
              <w:rPr>
                <w:rStyle w:val="Hyperlink"/>
                <w:rFonts w:ascii="Simplified Arabic" w:hAnsi="Simplified Arabic" w:cs="Simplified Arabic"/>
                <w:noProof/>
                <w:sz w:val="28"/>
                <w:szCs w:val="28"/>
              </w:rPr>
              <w:t>:</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Toc201509280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7</w:t>
            </w:r>
            <w:r w:rsidR="00B272BA" w:rsidRPr="00B272BA">
              <w:rPr>
                <w:rStyle w:val="Hyperlink"/>
                <w:rFonts w:ascii="Simplified Arabic" w:hAnsi="Simplified Arabic" w:cs="Simplified Arabic"/>
                <w:noProof/>
                <w:sz w:val="28"/>
                <w:szCs w:val="28"/>
                <w:rtl/>
              </w:rPr>
              <w:fldChar w:fldCharType="end"/>
            </w:r>
          </w:hyperlink>
        </w:p>
        <w:p w14:paraId="19EBFA47"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81" w:history="1">
            <w:r w:rsidR="00B272BA" w:rsidRPr="00B272BA">
              <w:rPr>
                <w:rStyle w:val="Hyperlink"/>
                <w:rFonts w:ascii="Simplified Arabic" w:hAnsi="Simplified Arabic" w:cs="Simplified Arabic"/>
                <w:noProof/>
                <w:sz w:val="28"/>
                <w:szCs w:val="28"/>
                <w:rtl/>
              </w:rPr>
              <w:t>فروض الدراسة</w:t>
            </w:r>
            <w:r w:rsidR="00B272BA" w:rsidRPr="00B272BA">
              <w:rPr>
                <w:rStyle w:val="Hyperlink"/>
                <w:rFonts w:ascii="Simplified Arabic" w:hAnsi="Simplified Arabic" w:cs="Simplified Arabic"/>
                <w:noProof/>
                <w:sz w:val="28"/>
                <w:szCs w:val="28"/>
              </w:rPr>
              <w:t>:</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Toc201509281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8</w:t>
            </w:r>
            <w:r w:rsidR="00B272BA" w:rsidRPr="00B272BA">
              <w:rPr>
                <w:rStyle w:val="Hyperlink"/>
                <w:rFonts w:ascii="Simplified Arabic" w:hAnsi="Simplified Arabic" w:cs="Simplified Arabic"/>
                <w:noProof/>
                <w:sz w:val="28"/>
                <w:szCs w:val="28"/>
                <w:rtl/>
              </w:rPr>
              <w:fldChar w:fldCharType="end"/>
            </w:r>
          </w:hyperlink>
        </w:p>
        <w:p w14:paraId="0CED424C"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82" w:history="1">
            <w:r w:rsidR="00B272BA" w:rsidRPr="00B272BA">
              <w:rPr>
                <w:rStyle w:val="Hyperlink"/>
                <w:rFonts w:ascii="Simplified Arabic" w:hAnsi="Simplified Arabic" w:cs="Simplified Arabic"/>
                <w:noProof/>
                <w:sz w:val="28"/>
                <w:szCs w:val="28"/>
                <w:rtl/>
              </w:rPr>
              <w:t>النظرية العلمية المتبعة لإعداد البحث</w:t>
            </w:r>
            <w:r w:rsidR="00B272BA" w:rsidRPr="00B272BA">
              <w:rPr>
                <w:rStyle w:val="Hyperlink"/>
                <w:rFonts w:ascii="Simplified Arabic" w:hAnsi="Simplified Arabic" w:cs="Simplified Arabic"/>
                <w:noProof/>
                <w:sz w:val="28"/>
                <w:szCs w:val="28"/>
              </w:rPr>
              <w:t>:</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Toc201509282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8</w:t>
            </w:r>
            <w:r w:rsidR="00B272BA" w:rsidRPr="00B272BA">
              <w:rPr>
                <w:rStyle w:val="Hyperlink"/>
                <w:rFonts w:ascii="Simplified Arabic" w:hAnsi="Simplified Arabic" w:cs="Simplified Arabic"/>
                <w:noProof/>
                <w:sz w:val="28"/>
                <w:szCs w:val="28"/>
                <w:rtl/>
              </w:rPr>
              <w:fldChar w:fldCharType="end"/>
            </w:r>
          </w:hyperlink>
        </w:p>
        <w:p w14:paraId="0515228C" w14:textId="77777777" w:rsidR="00B272BA" w:rsidRPr="00B272BA" w:rsidRDefault="00B63153" w:rsidP="00AE507C">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83" w:history="1">
            <w:r w:rsidR="00B272BA" w:rsidRPr="00B272BA">
              <w:rPr>
                <w:rStyle w:val="Hyperlink"/>
                <w:rFonts w:ascii="Simplified Arabic" w:hAnsi="Simplified Arabic" w:cs="Simplified Arabic"/>
                <w:noProof/>
                <w:sz w:val="28"/>
                <w:szCs w:val="28"/>
                <w:rtl/>
              </w:rPr>
              <w:t>المراجع</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Toc201509283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23</w:t>
            </w:r>
            <w:r w:rsidR="00B272BA" w:rsidRPr="00B272BA">
              <w:rPr>
                <w:rStyle w:val="Hyperlink"/>
                <w:rFonts w:ascii="Simplified Arabic" w:hAnsi="Simplified Arabic" w:cs="Simplified Arabic"/>
                <w:noProof/>
                <w:sz w:val="28"/>
                <w:szCs w:val="28"/>
                <w:rtl/>
              </w:rPr>
              <w:fldChar w:fldCharType="end"/>
            </w:r>
          </w:hyperlink>
        </w:p>
        <w:p w14:paraId="16DB0C89" w14:textId="77777777" w:rsidR="00B272BA" w:rsidRPr="00B272BA" w:rsidRDefault="00B63153" w:rsidP="00AE507C">
          <w:pPr>
            <w:pStyle w:val="TOC2"/>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84" w:history="1">
            <w:r w:rsidR="00B272BA" w:rsidRPr="00B272BA">
              <w:rPr>
                <w:rStyle w:val="Hyperlink"/>
                <w:rFonts w:ascii="Simplified Arabic" w:hAnsi="Simplified Arabic" w:cs="Simplified Arabic"/>
                <w:noProof/>
                <w:sz w:val="28"/>
                <w:szCs w:val="28"/>
                <w:rtl/>
              </w:rPr>
              <w:t>-المراجع العربية</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Toc201509284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23</w:t>
            </w:r>
            <w:r w:rsidR="00B272BA" w:rsidRPr="00B272BA">
              <w:rPr>
                <w:rStyle w:val="Hyperlink"/>
                <w:rFonts w:ascii="Simplified Arabic" w:hAnsi="Simplified Arabic" w:cs="Simplified Arabic"/>
                <w:noProof/>
                <w:sz w:val="28"/>
                <w:szCs w:val="28"/>
                <w:rtl/>
              </w:rPr>
              <w:fldChar w:fldCharType="end"/>
            </w:r>
          </w:hyperlink>
        </w:p>
        <w:p w14:paraId="6C7C95AB" w14:textId="77777777" w:rsidR="00B272BA" w:rsidRPr="00B272BA" w:rsidRDefault="00B63153" w:rsidP="00AE507C">
          <w:pPr>
            <w:pStyle w:val="TOC2"/>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201509285" w:history="1">
            <w:r w:rsidR="00B272BA" w:rsidRPr="00B272BA">
              <w:rPr>
                <w:rStyle w:val="Hyperlink"/>
                <w:rFonts w:ascii="Simplified Arabic" w:hAnsi="Simplified Arabic" w:cs="Simplified Arabic"/>
                <w:noProof/>
                <w:sz w:val="28"/>
                <w:szCs w:val="28"/>
                <w:rtl/>
              </w:rPr>
              <w:t>-المراجع الأجنبية</w:t>
            </w:r>
            <w:r w:rsidR="00B272BA" w:rsidRPr="00B272BA">
              <w:rPr>
                <w:rFonts w:ascii="Simplified Arabic" w:hAnsi="Simplified Arabic" w:cs="Simplified Arabic"/>
                <w:noProof/>
                <w:webHidden/>
                <w:sz w:val="28"/>
                <w:szCs w:val="28"/>
                <w:rtl/>
              </w:rPr>
              <w:tab/>
            </w:r>
            <w:r w:rsidR="00B272BA" w:rsidRPr="00B272BA">
              <w:rPr>
                <w:rStyle w:val="Hyperlink"/>
                <w:rFonts w:ascii="Simplified Arabic" w:hAnsi="Simplified Arabic" w:cs="Simplified Arabic"/>
                <w:noProof/>
                <w:sz w:val="28"/>
                <w:szCs w:val="28"/>
                <w:rtl/>
              </w:rPr>
              <w:fldChar w:fldCharType="begin"/>
            </w:r>
            <w:r w:rsidR="00B272BA" w:rsidRPr="00B272BA">
              <w:rPr>
                <w:rFonts w:ascii="Simplified Arabic" w:hAnsi="Simplified Arabic" w:cs="Simplified Arabic"/>
                <w:noProof/>
                <w:webHidden/>
                <w:sz w:val="28"/>
                <w:szCs w:val="28"/>
                <w:rtl/>
              </w:rPr>
              <w:instrText xml:space="preserve"> </w:instrText>
            </w:r>
            <w:r w:rsidR="00B272BA" w:rsidRPr="00B272BA">
              <w:rPr>
                <w:rFonts w:ascii="Simplified Arabic" w:hAnsi="Simplified Arabic" w:cs="Simplified Arabic"/>
                <w:noProof/>
                <w:webHidden/>
                <w:sz w:val="28"/>
                <w:szCs w:val="28"/>
              </w:rPr>
              <w:instrText>PAGEREF</w:instrText>
            </w:r>
            <w:r w:rsidR="00B272BA" w:rsidRPr="00B272BA">
              <w:rPr>
                <w:rFonts w:ascii="Simplified Arabic" w:hAnsi="Simplified Arabic" w:cs="Simplified Arabic"/>
                <w:noProof/>
                <w:webHidden/>
                <w:sz w:val="28"/>
                <w:szCs w:val="28"/>
                <w:rtl/>
              </w:rPr>
              <w:instrText xml:space="preserve"> _</w:instrText>
            </w:r>
            <w:r w:rsidR="00B272BA" w:rsidRPr="00B272BA">
              <w:rPr>
                <w:rFonts w:ascii="Simplified Arabic" w:hAnsi="Simplified Arabic" w:cs="Simplified Arabic"/>
                <w:noProof/>
                <w:webHidden/>
                <w:sz w:val="28"/>
                <w:szCs w:val="28"/>
              </w:rPr>
              <w:instrText>Toc201509285 \h</w:instrText>
            </w:r>
            <w:r w:rsidR="00B272BA" w:rsidRPr="00B272BA">
              <w:rPr>
                <w:rFonts w:ascii="Simplified Arabic" w:hAnsi="Simplified Arabic" w:cs="Simplified Arabic"/>
                <w:noProof/>
                <w:webHidden/>
                <w:sz w:val="28"/>
                <w:szCs w:val="28"/>
                <w:rtl/>
              </w:rPr>
              <w:instrText xml:space="preserve"> </w:instrText>
            </w:r>
            <w:r w:rsidR="00B272BA" w:rsidRPr="00B272BA">
              <w:rPr>
                <w:rStyle w:val="Hyperlink"/>
                <w:rFonts w:ascii="Simplified Arabic" w:hAnsi="Simplified Arabic" w:cs="Simplified Arabic"/>
                <w:noProof/>
                <w:sz w:val="28"/>
                <w:szCs w:val="28"/>
                <w:rtl/>
              </w:rPr>
            </w:r>
            <w:r w:rsidR="00B272BA" w:rsidRPr="00B272BA">
              <w:rPr>
                <w:rStyle w:val="Hyperlink"/>
                <w:rFonts w:ascii="Simplified Arabic" w:hAnsi="Simplified Arabic" w:cs="Simplified Arabic"/>
                <w:noProof/>
                <w:sz w:val="28"/>
                <w:szCs w:val="28"/>
                <w:rtl/>
              </w:rPr>
              <w:fldChar w:fldCharType="separate"/>
            </w:r>
            <w:r w:rsidR="00FC5208">
              <w:rPr>
                <w:rFonts w:ascii="Simplified Arabic" w:hAnsi="Simplified Arabic" w:cs="Simplified Arabic"/>
                <w:noProof/>
                <w:webHidden/>
                <w:sz w:val="28"/>
                <w:szCs w:val="28"/>
                <w:rtl/>
              </w:rPr>
              <w:t>25</w:t>
            </w:r>
            <w:r w:rsidR="00B272BA" w:rsidRPr="00B272BA">
              <w:rPr>
                <w:rStyle w:val="Hyperlink"/>
                <w:rFonts w:ascii="Simplified Arabic" w:hAnsi="Simplified Arabic" w:cs="Simplified Arabic"/>
                <w:noProof/>
                <w:sz w:val="28"/>
                <w:szCs w:val="28"/>
                <w:rtl/>
              </w:rPr>
              <w:fldChar w:fldCharType="end"/>
            </w:r>
          </w:hyperlink>
        </w:p>
        <w:p w14:paraId="3D960F87" w14:textId="0A4536C4" w:rsidR="00DF70E8" w:rsidRPr="00B272BA" w:rsidRDefault="00DF70E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b/>
              <w:bCs/>
              <w:noProof/>
              <w:sz w:val="28"/>
              <w:szCs w:val="28"/>
            </w:rPr>
            <w:fldChar w:fldCharType="end"/>
          </w:r>
        </w:p>
      </w:sdtContent>
    </w:sdt>
    <w:p w14:paraId="37503B94" w14:textId="77777777" w:rsidR="009125CE" w:rsidRPr="00B272BA" w:rsidRDefault="009125CE" w:rsidP="00AE507C">
      <w:pPr>
        <w:spacing w:line="360" w:lineRule="auto"/>
        <w:jc w:val="lowKashida"/>
        <w:rPr>
          <w:rFonts w:ascii="Simplified Arabic" w:hAnsi="Simplified Arabic" w:cs="Simplified Arabic"/>
          <w:sz w:val="28"/>
          <w:szCs w:val="28"/>
          <w:u w:val="single"/>
          <w:rtl/>
          <w:lang w:bidi="ar-EG"/>
        </w:rPr>
      </w:pPr>
    </w:p>
    <w:p w14:paraId="566F8142" w14:textId="77777777" w:rsidR="009125CE" w:rsidRPr="00B272BA" w:rsidRDefault="009125CE" w:rsidP="00AE507C">
      <w:pPr>
        <w:spacing w:line="360" w:lineRule="auto"/>
        <w:jc w:val="lowKashida"/>
        <w:rPr>
          <w:rFonts w:ascii="Simplified Arabic" w:hAnsi="Simplified Arabic" w:cs="Simplified Arabic"/>
          <w:sz w:val="28"/>
          <w:szCs w:val="28"/>
          <w:u w:val="single"/>
          <w:rtl/>
          <w:lang w:bidi="ar-EG"/>
        </w:rPr>
      </w:pPr>
    </w:p>
    <w:p w14:paraId="43234021" w14:textId="77777777" w:rsidR="009125CE" w:rsidRPr="00B272BA" w:rsidRDefault="009125CE" w:rsidP="00AE507C">
      <w:pPr>
        <w:spacing w:line="360" w:lineRule="auto"/>
        <w:jc w:val="lowKashida"/>
        <w:rPr>
          <w:rFonts w:ascii="Simplified Arabic" w:hAnsi="Simplified Arabic" w:cs="Simplified Arabic"/>
          <w:sz w:val="28"/>
          <w:szCs w:val="28"/>
          <w:u w:val="single"/>
          <w:rtl/>
          <w:lang w:bidi="ar-EG"/>
        </w:rPr>
      </w:pPr>
    </w:p>
    <w:p w14:paraId="6DC9CDB1"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79B4C366"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272E54B1"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700D5866" w14:textId="4BB3DE7B" w:rsidR="009125CE" w:rsidRPr="00B272BA" w:rsidRDefault="009125CE" w:rsidP="00AE507C">
      <w:pPr>
        <w:spacing w:line="360" w:lineRule="auto"/>
        <w:jc w:val="center"/>
        <w:rPr>
          <w:rFonts w:ascii="Simplified Arabic" w:hAnsi="Simplified Arabic" w:cs="Simplified Arabic"/>
          <w:b/>
          <w:bCs/>
          <w:sz w:val="28"/>
          <w:szCs w:val="28"/>
          <w:rtl/>
        </w:rPr>
      </w:pPr>
      <w:r w:rsidRPr="00B272BA">
        <w:rPr>
          <w:rFonts w:ascii="Simplified Arabic" w:hAnsi="Simplified Arabic" w:cs="Simplified Arabic"/>
          <w:b/>
          <w:bCs/>
          <w:sz w:val="28"/>
          <w:szCs w:val="28"/>
          <w:rtl/>
        </w:rPr>
        <w:t>الفصل الأول</w:t>
      </w:r>
      <w:r w:rsidR="00DF70E8" w:rsidRPr="00B272BA">
        <w:rPr>
          <w:rFonts w:ascii="Simplified Arabic" w:hAnsi="Simplified Arabic" w:cs="Simplified Arabic"/>
          <w:b/>
          <w:bCs/>
          <w:sz w:val="28"/>
          <w:szCs w:val="28"/>
          <w:rtl/>
        </w:rPr>
        <w:t>: الاطار العام للدراسة</w:t>
      </w:r>
    </w:p>
    <w:p w14:paraId="231E38BB"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2EA6585C"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7F3B8E80"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0BA12696"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26F6AB57"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137908B8"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11EDDBDE"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614C8510" w14:textId="77777777" w:rsidR="009125CE" w:rsidRDefault="009125CE" w:rsidP="00AE507C">
      <w:pPr>
        <w:spacing w:line="360" w:lineRule="auto"/>
        <w:jc w:val="lowKashida"/>
        <w:rPr>
          <w:rFonts w:ascii="Simplified Arabic" w:hAnsi="Simplified Arabic" w:cs="Simplified Arabic"/>
          <w:sz w:val="28"/>
          <w:szCs w:val="28"/>
          <w:u w:val="single"/>
          <w:rtl/>
        </w:rPr>
      </w:pPr>
    </w:p>
    <w:p w14:paraId="3986C146" w14:textId="77777777" w:rsidR="00B272BA" w:rsidRPr="00B272BA" w:rsidRDefault="00B272BA" w:rsidP="00AE507C">
      <w:pPr>
        <w:spacing w:line="360" w:lineRule="auto"/>
        <w:jc w:val="lowKashida"/>
        <w:rPr>
          <w:rFonts w:ascii="Simplified Arabic" w:hAnsi="Simplified Arabic" w:cs="Simplified Arabic"/>
          <w:sz w:val="28"/>
          <w:szCs w:val="28"/>
          <w:u w:val="single"/>
          <w:rtl/>
        </w:rPr>
      </w:pPr>
    </w:p>
    <w:p w14:paraId="32CDDAA2" w14:textId="77777777" w:rsidR="009125CE" w:rsidRPr="00B272BA" w:rsidRDefault="009125CE" w:rsidP="00AE507C">
      <w:pPr>
        <w:spacing w:line="360" w:lineRule="auto"/>
        <w:jc w:val="lowKashida"/>
        <w:rPr>
          <w:rFonts w:ascii="Simplified Arabic" w:hAnsi="Simplified Arabic" w:cs="Simplified Arabic"/>
          <w:sz w:val="28"/>
          <w:szCs w:val="28"/>
          <w:u w:val="single"/>
          <w:rtl/>
        </w:rPr>
      </w:pPr>
    </w:p>
    <w:p w14:paraId="782D9243" w14:textId="51A79556" w:rsidR="00DF70E8" w:rsidRPr="00B272BA" w:rsidRDefault="00DF70E8" w:rsidP="00AE507C">
      <w:pPr>
        <w:pStyle w:val="Heading1"/>
        <w:spacing w:line="360" w:lineRule="auto"/>
        <w:jc w:val="center"/>
        <w:rPr>
          <w:rFonts w:ascii="Simplified Arabic" w:hAnsi="Simplified Arabic" w:cs="Simplified Arabic"/>
          <w:sz w:val="28"/>
          <w:szCs w:val="28"/>
          <w:rtl/>
          <w:lang w:bidi="ar-EG"/>
        </w:rPr>
      </w:pPr>
      <w:bookmarkStart w:id="0" w:name="_Toc201509273"/>
      <w:r w:rsidRPr="00B272BA">
        <w:rPr>
          <w:rFonts w:ascii="Simplified Arabic" w:hAnsi="Simplified Arabic" w:cs="Simplified Arabic"/>
          <w:sz w:val="28"/>
          <w:szCs w:val="28"/>
          <w:rtl/>
          <w:lang w:bidi="ar-EG"/>
        </w:rPr>
        <w:lastRenderedPageBreak/>
        <w:t>الفصل الأول: الاطار العام للدراسة</w:t>
      </w:r>
      <w:bookmarkEnd w:id="0"/>
    </w:p>
    <w:p w14:paraId="1817352F" w14:textId="29EE36ED" w:rsidR="009125CE" w:rsidRPr="00B272BA" w:rsidRDefault="009125CE" w:rsidP="00AE507C">
      <w:pPr>
        <w:pStyle w:val="Heading1"/>
        <w:spacing w:line="360" w:lineRule="auto"/>
        <w:rPr>
          <w:rtl/>
        </w:rPr>
      </w:pPr>
      <w:bookmarkStart w:id="1" w:name="_Toc201509274"/>
      <w:r w:rsidRPr="00B272BA">
        <w:rPr>
          <w:rtl/>
        </w:rPr>
        <w:t>المقدمة:</w:t>
      </w:r>
      <w:bookmarkEnd w:id="1"/>
    </w:p>
    <w:p w14:paraId="61C0F260" w14:textId="4F238EB0"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شهدت الممارسات الإدارية وتقنيات تطوير البرمجيات تطوراً كبيراً على مدار العقود الماضية، خاصةً مع ظهور منهجيات مرنة</w:t>
      </w:r>
      <w:r w:rsidRPr="00B272BA">
        <w:rPr>
          <w:rFonts w:ascii="Simplified Arabic" w:hAnsi="Simplified Arabic" w:cs="Simplified Arabic"/>
          <w:sz w:val="28"/>
          <w:szCs w:val="28"/>
        </w:rPr>
        <w:t xml:space="preserve"> (Agile) </w:t>
      </w:r>
      <w:r w:rsidRPr="00B272BA">
        <w:rPr>
          <w:rFonts w:ascii="Simplified Arabic" w:hAnsi="Simplified Arabic" w:cs="Simplified Arabic"/>
          <w:sz w:val="28"/>
          <w:szCs w:val="28"/>
          <w:rtl/>
        </w:rPr>
        <w:t>ومن ثم النموذج الهجين الذي يجمع بين المرونة والهيكلية. وعلى الرغم من فوائد هذه المنهجيات الحديثة، إلا أن العديد من المؤسسات التقليدية ما زالت تعتمد على منهجية</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بسبب طبيعة عملها وسياساتها التنظيمية (الحميدي، 2020، ص. 45</w:t>
      </w:r>
      <w:r w:rsidRPr="00B272BA">
        <w:rPr>
          <w:rFonts w:ascii="Simplified Arabic" w:hAnsi="Simplified Arabic" w:cs="Simplified Arabic"/>
          <w:sz w:val="28"/>
          <w:szCs w:val="28"/>
        </w:rPr>
        <w:t>(</w:t>
      </w:r>
    </w:p>
    <w:p w14:paraId="421F3E77" w14:textId="0769D469"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من المعروف أن منهجية</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هي إحدى أقدم منهجيات إدارة المشاريع التي ظهرت في سبعينيات القرن الماضي، وتتميز بأسلوبها الخطي والمتسلسل في إدارة المشاريع، حيث يتم تنفيذ كل مرحلة بعد اكتمال سابقتها بشكل كامل</w:t>
      </w:r>
      <w:r w:rsidRPr="00B272BA">
        <w:rPr>
          <w:rFonts w:ascii="Simplified Arabic" w:hAnsi="Simplified Arabic" w:cs="Simplified Arabic"/>
          <w:sz w:val="28"/>
          <w:szCs w:val="28"/>
        </w:rPr>
        <w:t xml:space="preserve"> (Royce, 1970, p. 3). </w:t>
      </w:r>
      <w:r w:rsidRPr="00B272BA">
        <w:rPr>
          <w:rFonts w:ascii="Simplified Arabic" w:hAnsi="Simplified Arabic" w:cs="Simplified Arabic"/>
          <w:sz w:val="28"/>
          <w:szCs w:val="28"/>
          <w:rtl/>
        </w:rPr>
        <w:t>وقد كانت هذه المنهجية شائعة جداً في المؤسسات الكبيرة والحكومية نظراً لاعتمادها على التخطيط المسبق والهيكل التنظيمي الواضح، مما يجعلها أكثر توافقاً مع البيئات الرسمية والمرتبطة بالأنظمة والتشريعات الصارمة (الشهري، 2018، ص. 12</w:t>
      </w:r>
      <w:r w:rsidRPr="00B272BA">
        <w:rPr>
          <w:rFonts w:ascii="Simplified Arabic" w:hAnsi="Simplified Arabic" w:cs="Simplified Arabic"/>
          <w:sz w:val="28"/>
          <w:szCs w:val="28"/>
        </w:rPr>
        <w:t>(</w:t>
      </w:r>
    </w:p>
    <w:p w14:paraId="43AC4328" w14:textId="213EDB59"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ولكن مع تسارع وتيرة التحول الرقمي والتطور التكنولوجي السريع، بدأت الحاجة تظهر بوضوح إلى منهجيات أكثر مرونة تستجيب للتغيرات المستمرة في متطلبات العملاء والسوق. هنا ظهرت منهجيات التطوير المرنة</w:t>
      </w:r>
      <w:r w:rsidRPr="00B272BA">
        <w:rPr>
          <w:rFonts w:ascii="Simplified Arabic" w:hAnsi="Simplified Arabic" w:cs="Simplified Arabic"/>
          <w:sz w:val="28"/>
          <w:szCs w:val="28"/>
        </w:rPr>
        <w:t xml:space="preserve"> (Agile Methodologies) </w:t>
      </w:r>
      <w:r w:rsidRPr="00B272BA">
        <w:rPr>
          <w:rFonts w:ascii="Simplified Arabic" w:hAnsi="Simplified Arabic" w:cs="Simplified Arabic"/>
          <w:sz w:val="28"/>
          <w:szCs w:val="28"/>
          <w:rtl/>
        </w:rPr>
        <w:t>في أوائل القرن الحادي والعشرين، والتي ركزت على التعاون المستمر، والتكرار في العمل، والاستجابة الفورية للتغييرات، بدلاً من الالتزام الصارم بالتخطيط الأولي</w:t>
      </w:r>
      <w:r w:rsidRPr="00B272BA">
        <w:rPr>
          <w:rFonts w:ascii="Simplified Arabic" w:hAnsi="Simplified Arabic" w:cs="Simplified Arabic"/>
          <w:sz w:val="28"/>
          <w:szCs w:val="28"/>
        </w:rPr>
        <w:t xml:space="preserve"> (Beedle &amp; Schwaber, 1999, p. 6). </w:t>
      </w:r>
      <w:r w:rsidRPr="00B272BA">
        <w:rPr>
          <w:rFonts w:ascii="Simplified Arabic" w:hAnsi="Simplified Arabic" w:cs="Simplified Arabic"/>
          <w:sz w:val="28"/>
          <w:szCs w:val="28"/>
          <w:rtl/>
        </w:rPr>
        <w:t>وقد قدمت هذه المنهجيات حلاً عملياً للتحديات التي تواجه الشركات في بيئات غير مستقرة تتطلب سرعة الاستجابة والتكيف (الخضيري، 2021، ص. 30</w:t>
      </w:r>
      <w:r w:rsidRPr="00B272BA">
        <w:rPr>
          <w:rFonts w:ascii="Simplified Arabic" w:hAnsi="Simplified Arabic" w:cs="Simplified Arabic"/>
          <w:sz w:val="28"/>
          <w:szCs w:val="28"/>
        </w:rPr>
        <w:t>(</w:t>
      </w:r>
    </w:p>
    <w:p w14:paraId="42992CE6" w14:textId="39A0DC1F"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lastRenderedPageBreak/>
        <w:t>ومع ذلك، فإن انتقال المؤسسات التقليدية من نموذج</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إلى النموذج</w:t>
      </w:r>
      <w:r w:rsidRPr="00B272BA">
        <w:rPr>
          <w:rFonts w:ascii="Simplified Arabic" w:hAnsi="Simplified Arabic" w:cs="Simplified Arabic"/>
          <w:sz w:val="28"/>
          <w:szCs w:val="28"/>
        </w:rPr>
        <w:t xml:space="preserve"> Agile </w:t>
      </w:r>
      <w:r w:rsidRPr="00B272BA">
        <w:rPr>
          <w:rFonts w:ascii="Simplified Arabic" w:hAnsi="Simplified Arabic" w:cs="Simplified Arabic"/>
          <w:sz w:val="28"/>
          <w:szCs w:val="28"/>
          <w:rtl/>
        </w:rPr>
        <w:t>لم يكن سهلاً، بل أظهرت دراسات عديدة أن العديد من المؤسسات لا يمكنها تبني النموذج المرِن بالكامل بسبب قيود ثقافية وتنظيمية وتقنية داخلية</w:t>
      </w:r>
      <w:r w:rsidRPr="00B272BA">
        <w:rPr>
          <w:rFonts w:ascii="Simplified Arabic" w:hAnsi="Simplified Arabic" w:cs="Simplified Arabic"/>
          <w:sz w:val="28"/>
          <w:szCs w:val="28"/>
        </w:rPr>
        <w:t xml:space="preserve"> (Hoda et al., 2012, p. 44). </w:t>
      </w:r>
      <w:r w:rsidRPr="00B272BA">
        <w:rPr>
          <w:rFonts w:ascii="Simplified Arabic" w:hAnsi="Simplified Arabic" w:cs="Simplified Arabic"/>
          <w:sz w:val="28"/>
          <w:szCs w:val="28"/>
          <w:rtl/>
        </w:rPr>
        <w:t>فقد أشارت الأبحاث إلى وجود مقاومة داخلية من الموظفين، وعدم توافق الثقافة المؤسسية مع مفاهيم العمل الجماعي والتواصل المباشر، بالإضافة إلى ضعف البنية التحتية الرقمية في بعض الحالات (الزهراني، 2019، ص. 55</w:t>
      </w:r>
      <w:r w:rsidRPr="00B272BA">
        <w:rPr>
          <w:rFonts w:ascii="Simplified Arabic" w:hAnsi="Simplified Arabic" w:cs="Simplified Arabic"/>
          <w:sz w:val="28"/>
          <w:szCs w:val="28"/>
        </w:rPr>
        <w:t>(</w:t>
      </w:r>
    </w:p>
    <w:p w14:paraId="33E13B13" w14:textId="675F35F2" w:rsidR="001B1A18" w:rsidRPr="00B272BA" w:rsidRDefault="001B1A18" w:rsidP="00AE507C">
      <w:pPr>
        <w:spacing w:line="360" w:lineRule="auto"/>
        <w:jc w:val="lowKashida"/>
        <w:rPr>
          <w:rFonts w:ascii="Simplified Arabic" w:hAnsi="Simplified Arabic" w:cs="Simplified Arabic"/>
          <w:sz w:val="28"/>
          <w:szCs w:val="28"/>
          <w:rtl/>
        </w:rPr>
      </w:pPr>
      <w:r w:rsidRPr="00B272BA">
        <w:rPr>
          <w:rFonts w:ascii="Simplified Arabic" w:hAnsi="Simplified Arabic" w:cs="Simplified Arabic"/>
          <w:sz w:val="28"/>
          <w:szCs w:val="28"/>
          <w:rtl/>
        </w:rPr>
        <w:t xml:space="preserve">ومن هنا جاءت فكرة النموذج الهجين </w:t>
      </w:r>
      <w:r w:rsidRPr="00B272BA">
        <w:rPr>
          <w:rFonts w:ascii="Simplified Arabic" w:hAnsi="Simplified Arabic" w:cs="Simplified Arabic"/>
          <w:sz w:val="28"/>
          <w:szCs w:val="28"/>
        </w:rPr>
        <w:t>(Hybrid Model)</w:t>
      </w:r>
      <w:r w:rsidRPr="00B272BA">
        <w:rPr>
          <w:rFonts w:ascii="Simplified Arabic" w:hAnsi="Simplified Arabic" w:cs="Simplified Arabic"/>
          <w:sz w:val="28"/>
          <w:szCs w:val="28"/>
          <w:rtl/>
        </w:rPr>
        <w:t>، الذي يحاول الجمع بين أفضل ما في المنهجييتين: الهيكلية التي توفرها منهجية</w:t>
      </w:r>
      <w:r w:rsidRPr="00B272BA">
        <w:rPr>
          <w:rFonts w:ascii="Simplified Arabic" w:hAnsi="Simplified Arabic" w:cs="Simplified Arabic"/>
          <w:sz w:val="28"/>
          <w:szCs w:val="28"/>
        </w:rPr>
        <w:t xml:space="preserve"> Waterfall</w:t>
      </w:r>
      <w:r w:rsidRPr="00B272BA">
        <w:rPr>
          <w:rFonts w:ascii="Simplified Arabic" w:hAnsi="Simplified Arabic" w:cs="Simplified Arabic"/>
          <w:sz w:val="28"/>
          <w:szCs w:val="28"/>
          <w:rtl/>
        </w:rPr>
        <w:t>، والمرونة التي توفرها منهجيات</w:t>
      </w:r>
      <w:r w:rsidRPr="00B272BA">
        <w:rPr>
          <w:rFonts w:ascii="Simplified Arabic" w:hAnsi="Simplified Arabic" w:cs="Simplified Arabic"/>
          <w:sz w:val="28"/>
          <w:szCs w:val="28"/>
        </w:rPr>
        <w:t xml:space="preserve"> Agile. </w:t>
      </w:r>
      <w:r w:rsidRPr="00B272BA">
        <w:rPr>
          <w:rFonts w:ascii="Simplified Arabic" w:hAnsi="Simplified Arabic" w:cs="Simplified Arabic"/>
          <w:sz w:val="28"/>
          <w:szCs w:val="28"/>
          <w:rtl/>
        </w:rPr>
        <w:t>ويُعرَّف النموذج الهجين بأنه "نهج يجمع بين مكونات مختلفة من منهجيات التطوير لتحقيق التوازن بين الانضباط والتكيف</w:t>
      </w:r>
      <w:r w:rsidRPr="00B272BA">
        <w:rPr>
          <w:rFonts w:ascii="Simplified Arabic" w:hAnsi="Simplified Arabic" w:cs="Simplified Arabic"/>
          <w:sz w:val="28"/>
          <w:szCs w:val="28"/>
        </w:rPr>
        <w:t xml:space="preserve">" (Sushil, 2010, p. 207). </w:t>
      </w:r>
      <w:r w:rsidRPr="00B272BA">
        <w:rPr>
          <w:rFonts w:ascii="Simplified Arabic" w:hAnsi="Simplified Arabic" w:cs="Simplified Arabic"/>
          <w:sz w:val="28"/>
          <w:szCs w:val="28"/>
          <w:rtl/>
        </w:rPr>
        <w:t>ووفقاً لعدد من الباحثين، فإن هذا النموذج قد يكون الحل الأمثل للمؤسسات التي ترغب في التحديث دون التخلي تماماً عن أساليبها التقليدية (الحسيني، 2020، ص. 88</w:t>
      </w:r>
      <w:r w:rsidRPr="00B272BA">
        <w:rPr>
          <w:rFonts w:ascii="Simplified Arabic" w:hAnsi="Simplified Arabic" w:cs="Simplified Arabic"/>
          <w:sz w:val="28"/>
          <w:szCs w:val="28"/>
        </w:rPr>
        <w:t>(</w:t>
      </w:r>
    </w:p>
    <w:p w14:paraId="4A177114" w14:textId="4616D970"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تظهر أهمية البحث في هذا المجال كمحاولة لفهم التحديات التي تواجه المؤسسات التقليدية عند التحول من استخدام منهجية</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إلى النموذج الهجين. إذ إن هذا التحول ليس مجرد تغيير في أدوات العمل أو تقنيات التطوير فحسب، بل هو عملية شاملة تشمل تغيير الثقافة المؤسسية، وآليات التواصل الداخلي، ومستوى المشاركة بين الفرق، وأساليب التخطيط والتنفيذ، بالإضافة إلى إعادة هيكلة العمليات الداخلية وإعادة تعريف أدوار الموظفين (الدهلوي، 2021، ص. 102</w:t>
      </w:r>
      <w:r w:rsidRPr="00B272BA">
        <w:rPr>
          <w:rFonts w:ascii="Simplified Arabic" w:hAnsi="Simplified Arabic" w:cs="Simplified Arabic"/>
          <w:sz w:val="28"/>
          <w:szCs w:val="28"/>
        </w:rPr>
        <w:t>(</w:t>
      </w:r>
    </w:p>
    <w:p w14:paraId="0059F40C" w14:textId="2A5AED98"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وتبرز الحاجة إلى هذا النوع من الدراسات في ضوء ارتفاع معدلات فشل عمليات التحول الرقمي والتحول المنهجي في العديد من المؤسسات، نتيجة عدم إدراكها الكامل للتحديات المتضمنة في مثل هذه العمليات</w:t>
      </w:r>
      <w:r w:rsidRPr="00B272BA">
        <w:rPr>
          <w:rFonts w:ascii="Simplified Arabic" w:hAnsi="Simplified Arabic" w:cs="Simplified Arabic"/>
          <w:sz w:val="28"/>
          <w:szCs w:val="28"/>
        </w:rPr>
        <w:t xml:space="preserve"> (Kotter, 2012, p. 15). </w:t>
      </w:r>
      <w:r w:rsidRPr="00B272BA">
        <w:rPr>
          <w:rFonts w:ascii="Simplified Arabic" w:hAnsi="Simplified Arabic" w:cs="Simplified Arabic"/>
          <w:sz w:val="28"/>
          <w:szCs w:val="28"/>
          <w:rtl/>
        </w:rPr>
        <w:t xml:space="preserve">كما أن هناك نقصاً في الدراسات العربية والأبحاث التطبيقية </w:t>
      </w:r>
      <w:r w:rsidRPr="00B272BA">
        <w:rPr>
          <w:rFonts w:ascii="Simplified Arabic" w:hAnsi="Simplified Arabic" w:cs="Simplified Arabic"/>
          <w:sz w:val="28"/>
          <w:szCs w:val="28"/>
          <w:rtl/>
        </w:rPr>
        <w:lastRenderedPageBreak/>
        <w:t>التي تتناول موضوع التحول من</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إلى النموذج الهجين في السياقات المحلية والمؤسسات التقليدية (البدري، 2019، ص. 67</w:t>
      </w:r>
      <w:r w:rsidRPr="00B272BA">
        <w:rPr>
          <w:rFonts w:ascii="Simplified Arabic" w:hAnsi="Simplified Arabic" w:cs="Simplified Arabic"/>
          <w:sz w:val="28"/>
          <w:szCs w:val="28"/>
        </w:rPr>
        <w:t>(</w:t>
      </w:r>
    </w:p>
    <w:p w14:paraId="59041654" w14:textId="2590ACA8" w:rsidR="00D22171" w:rsidRPr="00B272BA" w:rsidRDefault="00D22171" w:rsidP="00AE507C">
      <w:pPr>
        <w:pStyle w:val="Heading1"/>
        <w:spacing w:line="360" w:lineRule="auto"/>
        <w:rPr>
          <w:rFonts w:ascii="Simplified Arabic" w:hAnsi="Simplified Arabic" w:cs="Simplified Arabic"/>
          <w:sz w:val="28"/>
          <w:szCs w:val="28"/>
          <w:rtl/>
        </w:rPr>
      </w:pPr>
      <w:bookmarkStart w:id="2" w:name="_Toc201509275"/>
      <w:r w:rsidRPr="00B272BA">
        <w:rPr>
          <w:rFonts w:ascii="Simplified Arabic" w:hAnsi="Simplified Arabic" w:cs="Simplified Arabic"/>
          <w:sz w:val="28"/>
          <w:szCs w:val="28"/>
          <w:rtl/>
        </w:rPr>
        <w:t>-مشكلة الدراسة.</w:t>
      </w:r>
      <w:bookmarkEnd w:id="2"/>
      <w:r w:rsidRPr="00B272BA">
        <w:rPr>
          <w:rFonts w:ascii="Simplified Arabic" w:hAnsi="Simplified Arabic" w:cs="Simplified Arabic"/>
          <w:sz w:val="28"/>
          <w:szCs w:val="28"/>
          <w:rtl/>
        </w:rPr>
        <w:t xml:space="preserve"> </w:t>
      </w:r>
    </w:p>
    <w:p w14:paraId="31AEB748" w14:textId="4E17CD95" w:rsidR="001B1A18" w:rsidRPr="00B272BA" w:rsidRDefault="001B1A18" w:rsidP="00AE507C">
      <w:pPr>
        <w:spacing w:line="360" w:lineRule="auto"/>
        <w:jc w:val="lowKashida"/>
        <w:rPr>
          <w:rFonts w:ascii="Simplified Arabic" w:hAnsi="Simplified Arabic" w:cs="Simplified Arabic"/>
          <w:sz w:val="28"/>
          <w:szCs w:val="28"/>
          <w:rtl/>
        </w:rPr>
      </w:pPr>
      <w:r w:rsidRPr="00B272BA">
        <w:rPr>
          <w:rFonts w:ascii="Simplified Arabic" w:hAnsi="Simplified Arabic" w:cs="Simplified Arabic"/>
          <w:sz w:val="28"/>
          <w:szCs w:val="28"/>
          <w:rtl/>
        </w:rPr>
        <w:t>يسعى البحث إلى تسليط الضوء على الفجوة القائمة بين النظرية والممارسة فيما يتعلق بتبنّي المؤسسات التقليدية للمنهجيات الحديثة في إدارة المشاريع. فعلى الرغم من وجود إجماع أكاديمي ومهني حول فوائد النموذج الهجين الذي يجمع بين المرونة والهيكلية، إلا أن التطبيق العملي لهذا النموذج يواجه تحديات كبيرة داخل المؤسسات ذات البنية التنظيمية الرسمية والثقافات المحافظة. ومن أبرز هذه التحديات مقاومة الموظفين للتغيير، وعدم توافق أساليب العمل التقليدية مع متطلبات النموذج الجديد، بالإضافة إلى ضعف البنية التحتية الرقمية ونقص الكفاءات المؤهلة لتطبيق هذه المنهجيات بفعالية. وتُظهر العديد من الدراسات أن عدم الفهم الكافي لهذه التحديات يؤدي إلى بطء عملية التحول أو فشلها في بعض الأحيان، مما يستدعي الحاجة إلى دراسة شاملة تشخص الواقع بدقة وتقترح حلولاً مبنية على أسس علمية.</w:t>
      </w:r>
    </w:p>
    <w:p w14:paraId="2699E514" w14:textId="77777777"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تتمثل مشكلة البحث الرئيسي في محاولة الإجابة على التساؤل التالي</w:t>
      </w:r>
      <w:r w:rsidRPr="00B272BA">
        <w:rPr>
          <w:rFonts w:ascii="Simplified Arabic" w:hAnsi="Simplified Arabic" w:cs="Simplified Arabic"/>
          <w:sz w:val="28"/>
          <w:szCs w:val="28"/>
        </w:rPr>
        <w:t>:</w:t>
      </w:r>
    </w:p>
    <w:p w14:paraId="78F5F1C0" w14:textId="77777777"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ما هي أبرز التحديات التي تواجه المؤسسات التقليدية عند التحول من استخدام منهجية</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 xml:space="preserve">إلى النموذج الهجين في إدارة مشاريع التطوير؟ </w:t>
      </w:r>
    </w:p>
    <w:p w14:paraId="0E484984" w14:textId="77777777"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ومن خلال الإجابة على هذا التساؤل، يسعى البحث إلى تسليط الضوء على الفجوة بين النظرية والممارسة في سياق المؤسسات التي تحاول مواكبة التغيرات التكنولوجية والإدارية الحديثة</w:t>
      </w:r>
      <w:r w:rsidRPr="00B272BA">
        <w:rPr>
          <w:rFonts w:ascii="Simplified Arabic" w:hAnsi="Simplified Arabic" w:cs="Simplified Arabic"/>
          <w:sz w:val="28"/>
          <w:szCs w:val="28"/>
        </w:rPr>
        <w:t>.</w:t>
      </w:r>
    </w:p>
    <w:p w14:paraId="7B098A75" w14:textId="77777777" w:rsidR="001B1A18" w:rsidRPr="00B272BA" w:rsidRDefault="001B1A18" w:rsidP="00AE507C">
      <w:pPr>
        <w:pStyle w:val="Heading1"/>
        <w:spacing w:line="360" w:lineRule="auto"/>
        <w:rPr>
          <w:rFonts w:ascii="Simplified Arabic" w:hAnsi="Simplified Arabic" w:cs="Simplified Arabic"/>
          <w:sz w:val="28"/>
          <w:szCs w:val="28"/>
        </w:rPr>
      </w:pPr>
      <w:bookmarkStart w:id="3" w:name="_Toc201509276"/>
      <w:r w:rsidRPr="00B272BA">
        <w:rPr>
          <w:rFonts w:ascii="Simplified Arabic" w:hAnsi="Simplified Arabic" w:cs="Simplified Arabic"/>
          <w:sz w:val="28"/>
          <w:szCs w:val="28"/>
          <w:rtl/>
        </w:rPr>
        <w:lastRenderedPageBreak/>
        <w:t>أهمية الدراسة</w:t>
      </w:r>
      <w:r w:rsidRPr="00B272BA">
        <w:rPr>
          <w:rFonts w:ascii="Simplified Arabic" w:hAnsi="Simplified Arabic" w:cs="Simplified Arabic"/>
          <w:sz w:val="28"/>
          <w:szCs w:val="28"/>
        </w:rPr>
        <w:t>:</w:t>
      </w:r>
      <w:bookmarkEnd w:id="3"/>
    </w:p>
    <w:p w14:paraId="3811938E" w14:textId="77777777" w:rsidR="001B1A18" w:rsidRPr="00B272BA" w:rsidRDefault="001B1A18" w:rsidP="00AE507C">
      <w:pPr>
        <w:pStyle w:val="Heading2"/>
        <w:spacing w:line="360" w:lineRule="auto"/>
        <w:rPr>
          <w:rFonts w:ascii="Simplified Arabic" w:hAnsi="Simplified Arabic" w:cs="Simplified Arabic"/>
          <w:sz w:val="28"/>
          <w:szCs w:val="28"/>
        </w:rPr>
      </w:pPr>
      <w:bookmarkStart w:id="4" w:name="_Toc201509277"/>
      <w:r w:rsidRPr="00B272BA">
        <w:rPr>
          <w:rFonts w:ascii="Simplified Arabic" w:hAnsi="Simplified Arabic" w:cs="Simplified Arabic"/>
          <w:sz w:val="28"/>
          <w:szCs w:val="28"/>
          <w:rtl/>
        </w:rPr>
        <w:t>أ. الأهمية العلمية</w:t>
      </w:r>
      <w:r w:rsidRPr="00B272BA">
        <w:rPr>
          <w:rFonts w:ascii="Simplified Arabic" w:hAnsi="Simplified Arabic" w:cs="Simplified Arabic"/>
          <w:sz w:val="28"/>
          <w:szCs w:val="28"/>
        </w:rPr>
        <w:t>:</w:t>
      </w:r>
      <w:bookmarkEnd w:id="4"/>
    </w:p>
    <w:p w14:paraId="15567B8A" w14:textId="77777777"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تساهم الدراسة في إثراء الجانب النظري فيما يتعلق بتطبيق النماذج الهجينة في بيئات العمل التقليدية، كما تقدم إطاراً مرجعياً يمكن الباحثون من استخدامه في دراسات مستقبلية مماثلة</w:t>
      </w:r>
      <w:r w:rsidRPr="00B272BA">
        <w:rPr>
          <w:rFonts w:ascii="Simplified Arabic" w:hAnsi="Simplified Arabic" w:cs="Simplified Arabic"/>
          <w:sz w:val="28"/>
          <w:szCs w:val="28"/>
        </w:rPr>
        <w:t>.</w:t>
      </w:r>
    </w:p>
    <w:p w14:paraId="31CE2584" w14:textId="77777777" w:rsidR="001B1A18" w:rsidRPr="00B272BA" w:rsidRDefault="001B1A18" w:rsidP="00AE507C">
      <w:pPr>
        <w:pStyle w:val="Heading2"/>
        <w:spacing w:line="360" w:lineRule="auto"/>
        <w:rPr>
          <w:rFonts w:ascii="Simplified Arabic" w:hAnsi="Simplified Arabic" w:cs="Simplified Arabic"/>
          <w:sz w:val="28"/>
          <w:szCs w:val="28"/>
        </w:rPr>
      </w:pPr>
      <w:bookmarkStart w:id="5" w:name="_Toc201509278"/>
      <w:r w:rsidRPr="00B272BA">
        <w:rPr>
          <w:rFonts w:ascii="Simplified Arabic" w:hAnsi="Simplified Arabic" w:cs="Simplified Arabic"/>
          <w:sz w:val="28"/>
          <w:szCs w:val="28"/>
          <w:rtl/>
        </w:rPr>
        <w:t>ب. الأهمية العملية</w:t>
      </w:r>
      <w:r w:rsidRPr="00B272BA">
        <w:rPr>
          <w:rFonts w:ascii="Simplified Arabic" w:hAnsi="Simplified Arabic" w:cs="Simplified Arabic"/>
          <w:sz w:val="28"/>
          <w:szCs w:val="28"/>
        </w:rPr>
        <w:t>:</w:t>
      </w:r>
      <w:bookmarkEnd w:id="5"/>
    </w:p>
    <w:p w14:paraId="32042ADB" w14:textId="05EF86ED"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تساعد الدراسة المؤسسات التقليدية، وخاصةً في القطاعات الحكومية والشركات الكبيرة، على فهم التحديات التي قد تواجهها أثناء التحول منهجي، مما يتيح لها وضع خطط واستراتيجيات مبنية على أسس علمية لدعم هذا التحول بنجاح</w:t>
      </w:r>
      <w:r w:rsidRPr="00B272BA">
        <w:rPr>
          <w:rFonts w:ascii="Simplified Arabic" w:hAnsi="Simplified Arabic" w:cs="Simplified Arabic"/>
          <w:sz w:val="28"/>
          <w:szCs w:val="28"/>
        </w:rPr>
        <w:t>.</w:t>
      </w:r>
    </w:p>
    <w:p w14:paraId="64ECD738" w14:textId="77777777" w:rsidR="001B1A18" w:rsidRPr="00B272BA" w:rsidRDefault="001B1A18" w:rsidP="00AE507C">
      <w:pPr>
        <w:pStyle w:val="Heading1"/>
        <w:spacing w:line="360" w:lineRule="auto"/>
        <w:rPr>
          <w:rFonts w:ascii="Simplified Arabic" w:hAnsi="Simplified Arabic" w:cs="Simplified Arabic"/>
          <w:sz w:val="28"/>
          <w:szCs w:val="28"/>
        </w:rPr>
      </w:pPr>
      <w:bookmarkStart w:id="6" w:name="_Toc201509279"/>
      <w:r w:rsidRPr="00B272BA">
        <w:rPr>
          <w:rFonts w:ascii="Simplified Arabic" w:hAnsi="Simplified Arabic" w:cs="Simplified Arabic"/>
          <w:sz w:val="28"/>
          <w:szCs w:val="28"/>
          <w:rtl/>
        </w:rPr>
        <w:t>أهداف الدراسة</w:t>
      </w:r>
      <w:r w:rsidRPr="00B272BA">
        <w:rPr>
          <w:rFonts w:ascii="Simplified Arabic" w:hAnsi="Simplified Arabic" w:cs="Simplified Arabic"/>
          <w:sz w:val="28"/>
          <w:szCs w:val="28"/>
        </w:rPr>
        <w:t>:</w:t>
      </w:r>
      <w:bookmarkEnd w:id="6"/>
    </w:p>
    <w:p w14:paraId="1ACED053" w14:textId="2E1CD158"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يهدف البحث الحالي إلى عدة أهداف رئيسية، منها</w:t>
      </w:r>
      <w:r w:rsidRPr="00B272BA">
        <w:rPr>
          <w:rFonts w:ascii="Simplified Arabic" w:hAnsi="Simplified Arabic" w:cs="Simplified Arabic"/>
          <w:sz w:val="28"/>
          <w:szCs w:val="28"/>
        </w:rPr>
        <w:t>:</w:t>
      </w:r>
      <w:r w:rsidRPr="00B272BA">
        <w:rPr>
          <w:rFonts w:ascii="Simplified Arabic" w:hAnsi="Simplified Arabic" w:cs="Simplified Arabic"/>
          <w:sz w:val="28"/>
          <w:szCs w:val="28"/>
          <w:rtl/>
        </w:rPr>
        <w:t xml:space="preserve"> التعرف على أبرز التحديات التي تواجه المؤسسات التقليدية عند الانتقال من منهجية</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إلى النموذج الهجين</w:t>
      </w:r>
      <w:r w:rsidRPr="00B272BA">
        <w:rPr>
          <w:rFonts w:ascii="Simplified Arabic" w:hAnsi="Simplified Arabic" w:cs="Simplified Arabic"/>
          <w:sz w:val="28"/>
          <w:szCs w:val="28"/>
        </w:rPr>
        <w:t>.</w:t>
      </w:r>
    </w:p>
    <w:p w14:paraId="0B1AD2A7" w14:textId="77777777" w:rsidR="001B1A18" w:rsidRPr="00B272BA" w:rsidRDefault="001B1A18" w:rsidP="00AE507C">
      <w:pPr>
        <w:pStyle w:val="ListParagraph"/>
        <w:numPr>
          <w:ilvl w:val="0"/>
          <w:numId w:val="10"/>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تحليل الفروقات الثقافية والتنظيمية التي تؤثر على نجاح عملية التحول</w:t>
      </w:r>
      <w:r w:rsidRPr="00B272BA">
        <w:rPr>
          <w:rFonts w:ascii="Simplified Arabic" w:hAnsi="Simplified Arabic" w:cs="Simplified Arabic"/>
          <w:sz w:val="28"/>
          <w:szCs w:val="28"/>
        </w:rPr>
        <w:t>.</w:t>
      </w:r>
    </w:p>
    <w:p w14:paraId="1F10039F" w14:textId="77777777" w:rsidR="001B1A18" w:rsidRPr="00B272BA" w:rsidRDefault="001B1A18" w:rsidP="00AE507C">
      <w:pPr>
        <w:pStyle w:val="ListParagraph"/>
        <w:numPr>
          <w:ilvl w:val="0"/>
          <w:numId w:val="10"/>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تحديد العوامل الرئيسية التي تساهم في تسهيل أو عرقلة تبني النموذج الهجين</w:t>
      </w:r>
      <w:r w:rsidRPr="00B272BA">
        <w:rPr>
          <w:rFonts w:ascii="Simplified Arabic" w:hAnsi="Simplified Arabic" w:cs="Simplified Arabic"/>
          <w:sz w:val="28"/>
          <w:szCs w:val="28"/>
        </w:rPr>
        <w:t>.</w:t>
      </w:r>
    </w:p>
    <w:p w14:paraId="592539B0" w14:textId="33BFC4DA" w:rsidR="001B1A18" w:rsidRPr="00B272BA" w:rsidRDefault="001B1A18" w:rsidP="00AE507C">
      <w:pPr>
        <w:pStyle w:val="ListParagraph"/>
        <w:numPr>
          <w:ilvl w:val="0"/>
          <w:numId w:val="10"/>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اقتراح مجموعة من الاستراتيجيات والتوصيات العملية لمساعدة المؤسسات على التكيف مع النموذج الجديد</w:t>
      </w:r>
      <w:r w:rsidRPr="00B272BA">
        <w:rPr>
          <w:rFonts w:ascii="Simplified Arabic" w:hAnsi="Simplified Arabic" w:cs="Simplified Arabic"/>
          <w:sz w:val="28"/>
          <w:szCs w:val="28"/>
        </w:rPr>
        <w:t>.</w:t>
      </w:r>
    </w:p>
    <w:p w14:paraId="042306E8" w14:textId="77777777" w:rsidR="001B1A18" w:rsidRPr="00B272BA" w:rsidRDefault="001B1A18" w:rsidP="00AE507C">
      <w:pPr>
        <w:pStyle w:val="Heading1"/>
        <w:spacing w:line="360" w:lineRule="auto"/>
        <w:rPr>
          <w:rFonts w:ascii="Simplified Arabic" w:hAnsi="Simplified Arabic" w:cs="Simplified Arabic"/>
          <w:sz w:val="28"/>
          <w:szCs w:val="28"/>
        </w:rPr>
      </w:pPr>
      <w:bookmarkStart w:id="7" w:name="_Toc201509280"/>
      <w:r w:rsidRPr="00B272BA">
        <w:rPr>
          <w:rFonts w:ascii="Simplified Arabic" w:hAnsi="Simplified Arabic" w:cs="Simplified Arabic"/>
          <w:sz w:val="28"/>
          <w:szCs w:val="28"/>
          <w:rtl/>
        </w:rPr>
        <w:t>تساؤلات الدراسة</w:t>
      </w:r>
      <w:r w:rsidRPr="00B272BA">
        <w:rPr>
          <w:rFonts w:ascii="Simplified Arabic" w:hAnsi="Simplified Arabic" w:cs="Simplified Arabic"/>
          <w:sz w:val="28"/>
          <w:szCs w:val="28"/>
        </w:rPr>
        <w:t>:</w:t>
      </w:r>
      <w:bookmarkEnd w:id="7"/>
    </w:p>
    <w:p w14:paraId="4ECCB052" w14:textId="77777777"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يرتكز البحث حول مجموعة من التساؤلات الفرعية التي تساعد في الإجابة عن السؤال الرئيسي، ومن أبرزها</w:t>
      </w:r>
      <w:r w:rsidRPr="00B272BA">
        <w:rPr>
          <w:rFonts w:ascii="Simplified Arabic" w:hAnsi="Simplified Arabic" w:cs="Simplified Arabic"/>
          <w:sz w:val="28"/>
          <w:szCs w:val="28"/>
        </w:rPr>
        <w:t>:</w:t>
      </w:r>
    </w:p>
    <w:p w14:paraId="1D9522EA" w14:textId="77777777" w:rsidR="001B1A18" w:rsidRPr="00B272BA" w:rsidRDefault="001B1A18" w:rsidP="00AE507C">
      <w:pPr>
        <w:pStyle w:val="ListParagraph"/>
        <w:numPr>
          <w:ilvl w:val="0"/>
          <w:numId w:val="11"/>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lastRenderedPageBreak/>
        <w:t>ما هي أبرز التحديات التنظيمية التي تواجه المؤسسات التقليدية عند التحول إلى النموذج الهجين؟</w:t>
      </w:r>
    </w:p>
    <w:p w14:paraId="7D693EC6" w14:textId="77777777" w:rsidR="001B1A18" w:rsidRPr="00B272BA" w:rsidRDefault="001B1A18" w:rsidP="00AE507C">
      <w:pPr>
        <w:pStyle w:val="ListParagraph"/>
        <w:numPr>
          <w:ilvl w:val="0"/>
          <w:numId w:val="11"/>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كيف تؤثر الثقافة المؤسسية على نجاح أو فشل تبني النموذج الهجين؟</w:t>
      </w:r>
    </w:p>
    <w:p w14:paraId="499A34FB" w14:textId="77777777" w:rsidR="001B1A18" w:rsidRPr="00B272BA" w:rsidRDefault="001B1A18" w:rsidP="00AE507C">
      <w:pPr>
        <w:pStyle w:val="ListParagraph"/>
        <w:numPr>
          <w:ilvl w:val="0"/>
          <w:numId w:val="11"/>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هل توجد فروقات في مستوى التحديات حسب نوع الصناعة أو حجم المؤسسة؟</w:t>
      </w:r>
    </w:p>
    <w:p w14:paraId="3BEF4F2F" w14:textId="77777777" w:rsidR="001B1A18" w:rsidRPr="00B272BA" w:rsidRDefault="001B1A18" w:rsidP="00AE507C">
      <w:pPr>
        <w:pStyle w:val="ListParagraph"/>
        <w:numPr>
          <w:ilvl w:val="0"/>
          <w:numId w:val="11"/>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ما مدى استعداد الفرق البشرية داخل المؤسسات التقليدية للعمل ضمن منهجيات هجينة؟</w:t>
      </w:r>
    </w:p>
    <w:p w14:paraId="12FB17DD" w14:textId="6027A979" w:rsidR="001B1A18" w:rsidRPr="00B272BA" w:rsidRDefault="001B1A18" w:rsidP="00AE507C">
      <w:pPr>
        <w:pStyle w:val="ListParagraph"/>
        <w:numPr>
          <w:ilvl w:val="0"/>
          <w:numId w:val="11"/>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ما هي العوامل التي يمكن أن تسهم في تسريع عملية التحول والتكيف مع النموذج الهجين؟</w:t>
      </w:r>
    </w:p>
    <w:p w14:paraId="45CF32AE" w14:textId="77777777" w:rsidR="001B1A18" w:rsidRPr="00B272BA" w:rsidRDefault="001B1A18" w:rsidP="00AE507C">
      <w:pPr>
        <w:pStyle w:val="Heading1"/>
        <w:spacing w:line="360" w:lineRule="auto"/>
        <w:rPr>
          <w:rFonts w:ascii="Simplified Arabic" w:hAnsi="Simplified Arabic" w:cs="Simplified Arabic"/>
          <w:sz w:val="28"/>
          <w:szCs w:val="28"/>
        </w:rPr>
      </w:pPr>
      <w:bookmarkStart w:id="8" w:name="_Toc201509281"/>
      <w:r w:rsidRPr="00B272BA">
        <w:rPr>
          <w:rFonts w:ascii="Simplified Arabic" w:hAnsi="Simplified Arabic" w:cs="Simplified Arabic"/>
          <w:sz w:val="28"/>
          <w:szCs w:val="28"/>
          <w:rtl/>
        </w:rPr>
        <w:t>فروض الدراسة</w:t>
      </w:r>
      <w:r w:rsidRPr="00B272BA">
        <w:rPr>
          <w:rFonts w:ascii="Simplified Arabic" w:hAnsi="Simplified Arabic" w:cs="Simplified Arabic"/>
          <w:sz w:val="28"/>
          <w:szCs w:val="28"/>
        </w:rPr>
        <w:t>:</w:t>
      </w:r>
      <w:bookmarkEnd w:id="8"/>
    </w:p>
    <w:p w14:paraId="38D81C4C" w14:textId="77777777"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بناءً على طبيعة المشكلة والأهداف، تم صياغة الفروض التالية</w:t>
      </w:r>
      <w:r w:rsidRPr="00B272BA">
        <w:rPr>
          <w:rFonts w:ascii="Simplified Arabic" w:hAnsi="Simplified Arabic" w:cs="Simplified Arabic"/>
          <w:sz w:val="28"/>
          <w:szCs w:val="28"/>
        </w:rPr>
        <w:t>:</w:t>
      </w:r>
    </w:p>
    <w:p w14:paraId="55C25657" w14:textId="77777777" w:rsidR="001B1A18" w:rsidRPr="00B272BA" w:rsidRDefault="001B1A18" w:rsidP="00AE507C">
      <w:pPr>
        <w:pStyle w:val="ListParagraph"/>
        <w:numPr>
          <w:ilvl w:val="0"/>
          <w:numId w:val="12"/>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كلما زادت درجة التسلسل الإداري في المؤسسة، زادت التحديات المتعلقة بالتحول إلى النموذج الهجين</w:t>
      </w:r>
      <w:r w:rsidRPr="00B272BA">
        <w:rPr>
          <w:rFonts w:ascii="Simplified Arabic" w:hAnsi="Simplified Arabic" w:cs="Simplified Arabic"/>
          <w:sz w:val="28"/>
          <w:szCs w:val="28"/>
        </w:rPr>
        <w:t>.</w:t>
      </w:r>
    </w:p>
    <w:p w14:paraId="1B77336E" w14:textId="77777777" w:rsidR="001B1A18" w:rsidRPr="00B272BA" w:rsidRDefault="001B1A18" w:rsidP="00AE507C">
      <w:pPr>
        <w:pStyle w:val="ListParagraph"/>
        <w:numPr>
          <w:ilvl w:val="0"/>
          <w:numId w:val="12"/>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هناك علاقة طردية بين دعم القيادة العليا ونجاح عملية التحول منهجي</w:t>
      </w:r>
      <w:r w:rsidRPr="00B272BA">
        <w:rPr>
          <w:rFonts w:ascii="Simplified Arabic" w:hAnsi="Simplified Arabic" w:cs="Simplified Arabic"/>
          <w:sz w:val="28"/>
          <w:szCs w:val="28"/>
        </w:rPr>
        <w:t>.</w:t>
      </w:r>
    </w:p>
    <w:p w14:paraId="46FCC50C" w14:textId="77777777" w:rsidR="001B1A18" w:rsidRPr="00B272BA" w:rsidRDefault="001B1A18" w:rsidP="00AE507C">
      <w:pPr>
        <w:pStyle w:val="ListParagraph"/>
        <w:numPr>
          <w:ilvl w:val="0"/>
          <w:numId w:val="12"/>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تختلف التحديات باختلاف حجم المؤسسة وطبيعة قطاعها</w:t>
      </w:r>
      <w:r w:rsidRPr="00B272BA">
        <w:rPr>
          <w:rFonts w:ascii="Simplified Arabic" w:hAnsi="Simplified Arabic" w:cs="Simplified Arabic"/>
          <w:sz w:val="28"/>
          <w:szCs w:val="28"/>
        </w:rPr>
        <w:t>.</w:t>
      </w:r>
    </w:p>
    <w:p w14:paraId="7223237D" w14:textId="30E5BBC3" w:rsidR="001B1A18" w:rsidRPr="00B272BA" w:rsidRDefault="001B1A18" w:rsidP="00AE507C">
      <w:pPr>
        <w:pStyle w:val="ListParagraph"/>
        <w:numPr>
          <w:ilvl w:val="0"/>
          <w:numId w:val="12"/>
        </w:num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وجود تدريب مناسب للموارد البشرية يقلل من مقاومة التغيير ويسهل عملية التحول</w:t>
      </w:r>
      <w:r w:rsidRPr="00B272BA">
        <w:rPr>
          <w:rFonts w:ascii="Simplified Arabic" w:hAnsi="Simplified Arabic" w:cs="Simplified Arabic"/>
          <w:sz w:val="28"/>
          <w:szCs w:val="28"/>
        </w:rPr>
        <w:t>.</w:t>
      </w:r>
    </w:p>
    <w:p w14:paraId="49156354" w14:textId="77777777" w:rsidR="001B1A18" w:rsidRPr="00B272BA" w:rsidRDefault="001B1A18" w:rsidP="00AE507C">
      <w:pPr>
        <w:pStyle w:val="Heading1"/>
        <w:spacing w:line="360" w:lineRule="auto"/>
        <w:rPr>
          <w:rFonts w:ascii="Simplified Arabic" w:hAnsi="Simplified Arabic" w:cs="Simplified Arabic"/>
          <w:sz w:val="28"/>
          <w:szCs w:val="28"/>
        </w:rPr>
      </w:pPr>
      <w:bookmarkStart w:id="9" w:name="_Toc201509282"/>
      <w:r w:rsidRPr="00B272BA">
        <w:rPr>
          <w:rFonts w:ascii="Simplified Arabic" w:hAnsi="Simplified Arabic" w:cs="Simplified Arabic"/>
          <w:sz w:val="28"/>
          <w:szCs w:val="28"/>
          <w:rtl/>
        </w:rPr>
        <w:t>النظرية العلمية المتبعة لإعداد البحث</w:t>
      </w:r>
      <w:r w:rsidRPr="00B272BA">
        <w:rPr>
          <w:rFonts w:ascii="Simplified Arabic" w:hAnsi="Simplified Arabic" w:cs="Simplified Arabic"/>
          <w:sz w:val="28"/>
          <w:szCs w:val="28"/>
        </w:rPr>
        <w:t>:</w:t>
      </w:r>
      <w:bookmarkEnd w:id="9"/>
    </w:p>
    <w:p w14:paraId="03D7EDC8" w14:textId="2E3C1B67" w:rsidR="001B1A18" w:rsidRPr="00B272BA" w:rsidRDefault="001B1A18" w:rsidP="00AE507C">
      <w:pPr>
        <w:spacing w:line="360" w:lineRule="auto"/>
        <w:jc w:val="lowKashida"/>
        <w:rPr>
          <w:rFonts w:ascii="Simplified Arabic" w:hAnsi="Simplified Arabic" w:cs="Simplified Arabic"/>
          <w:sz w:val="28"/>
          <w:szCs w:val="28"/>
          <w:rtl/>
          <w:lang w:bidi="ar-EG"/>
        </w:rPr>
      </w:pPr>
      <w:r w:rsidRPr="00B272BA">
        <w:rPr>
          <w:rFonts w:ascii="Simplified Arabic" w:hAnsi="Simplified Arabic" w:cs="Simplified Arabic"/>
          <w:sz w:val="28"/>
          <w:szCs w:val="28"/>
          <w:rtl/>
        </w:rPr>
        <w:t>استند البحث في إعداده إلى مجموعة من النظريات والأسس العلمية التي ساعدت في بناء الإطار المرجعي للدراسة وتفسير الظواهر المتعلقة بعملية التحول من منهجية</w:t>
      </w:r>
      <w:r w:rsidRPr="00B272BA">
        <w:rPr>
          <w:rFonts w:ascii="Simplified Arabic" w:hAnsi="Simplified Arabic" w:cs="Simplified Arabic"/>
          <w:sz w:val="28"/>
          <w:szCs w:val="28"/>
        </w:rPr>
        <w:t xml:space="preserve"> Waterfall </w:t>
      </w:r>
      <w:r w:rsidRPr="00B272BA">
        <w:rPr>
          <w:rFonts w:ascii="Simplified Arabic" w:hAnsi="Simplified Arabic" w:cs="Simplified Arabic"/>
          <w:sz w:val="28"/>
          <w:szCs w:val="28"/>
          <w:rtl/>
        </w:rPr>
        <w:t>إلى النموذج الهجين في المؤسسات التقليدية. وقد اعتمد البحث بشكل رئيسي على نظرية التغيير التنظيمي وهي واحدة من أهم النظريات التي تتناول عملية التحول داخل المنظمات من حيث الأسباب، والآلية، والعوامل المؤثرة في نجاح أو فشل هذه العملية</w:t>
      </w:r>
      <w:r w:rsidRPr="00B272BA">
        <w:rPr>
          <w:rFonts w:ascii="Simplified Arabic" w:hAnsi="Simplified Arabic" w:cs="Simplified Arabic"/>
          <w:sz w:val="28"/>
          <w:szCs w:val="28"/>
        </w:rPr>
        <w:t xml:space="preserve"> (Kotter, 1996</w:t>
      </w:r>
      <w:r w:rsidRPr="00B272BA">
        <w:rPr>
          <w:rFonts w:ascii="Simplified Arabic" w:hAnsi="Simplified Arabic" w:cs="Simplified Arabic"/>
          <w:sz w:val="28"/>
          <w:szCs w:val="28"/>
          <w:rtl/>
        </w:rPr>
        <w:t xml:space="preserve">، ص. 23). وتكمن أهمية هذه النظرية في أنها توفر </w:t>
      </w:r>
      <w:r w:rsidRPr="00B272BA">
        <w:rPr>
          <w:rFonts w:ascii="Simplified Arabic" w:hAnsi="Simplified Arabic" w:cs="Simplified Arabic"/>
          <w:sz w:val="28"/>
          <w:szCs w:val="28"/>
          <w:rtl/>
        </w:rPr>
        <w:lastRenderedPageBreak/>
        <w:t>إطاراً تحليلياً يساعد في فهم مقاومة الموظفين والتغيرات الثقافية والتنظيمية التي تظهر أثناء عمليات التحول</w:t>
      </w:r>
      <w:r w:rsidRPr="00B272BA">
        <w:rPr>
          <w:rFonts w:ascii="Simplified Arabic" w:hAnsi="Simplified Arabic" w:cs="Simplified Arabic"/>
          <w:sz w:val="28"/>
          <w:szCs w:val="28"/>
        </w:rPr>
        <w:t>.</w:t>
      </w:r>
    </w:p>
    <w:p w14:paraId="0DC9D060" w14:textId="788A36B3"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 xml:space="preserve">وبشكل خاص، تم التركيز على نموذج كونتولاكيان وستيب للتغلب على مقاومة التغيير </w:t>
      </w:r>
      <w:r w:rsidRPr="00B272BA">
        <w:rPr>
          <w:rFonts w:ascii="Simplified Arabic" w:hAnsi="Simplified Arabic" w:cs="Simplified Arabic"/>
          <w:sz w:val="28"/>
          <w:szCs w:val="28"/>
        </w:rPr>
        <w:t>(Kotter &amp; Schlesinger’s Resistance to Change Model)</w:t>
      </w:r>
      <w:r w:rsidRPr="00B272BA">
        <w:rPr>
          <w:rFonts w:ascii="Simplified Arabic" w:hAnsi="Simplified Arabic" w:cs="Simplified Arabic"/>
          <w:sz w:val="28"/>
          <w:szCs w:val="28"/>
          <w:rtl/>
        </w:rPr>
        <w:t>، الذي يعرض أربعة أسباب رئيسية لمقاومة التغيير داخل المنظمات، وهي: الخوف من المجهول، فقدان المزايا الشخصية، الفهم الخاطئ للتغيير، وعدم الثقة في القائمين عليه. كما يقدم النموذج استراتيجيات عملية يمكن للمديرين اتباعها للتغلب على هذه المقاومة، مثل التواصل الفعّال، والمشاركة في اتخاذ القرار، والتوجيه والتدريب، وإزالة الحواجز أمام التغيير</w:t>
      </w:r>
      <w:r w:rsidRPr="00B272BA">
        <w:rPr>
          <w:rFonts w:ascii="Simplified Arabic" w:hAnsi="Simplified Arabic" w:cs="Simplified Arabic"/>
          <w:sz w:val="28"/>
          <w:szCs w:val="28"/>
        </w:rPr>
        <w:t xml:space="preserve"> (Kotter &amp; Schlesinger, 2008</w:t>
      </w:r>
      <w:r w:rsidRPr="00B272BA">
        <w:rPr>
          <w:rFonts w:ascii="Simplified Arabic" w:hAnsi="Simplified Arabic" w:cs="Simplified Arabic"/>
          <w:sz w:val="28"/>
          <w:szCs w:val="28"/>
          <w:rtl/>
        </w:rPr>
        <w:t>، ص. 97</w:t>
      </w:r>
      <w:r w:rsidRPr="00B272BA">
        <w:rPr>
          <w:rFonts w:ascii="Simplified Arabic" w:hAnsi="Simplified Arabic" w:cs="Simplified Arabic"/>
          <w:sz w:val="28"/>
          <w:szCs w:val="28"/>
        </w:rPr>
        <w:t>(</w:t>
      </w:r>
    </w:p>
    <w:p w14:paraId="124BA7A1" w14:textId="576D56C5"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 xml:space="preserve">إلى جانب ذلك، استخدمت نظرية التعلم التنظيمي </w:t>
      </w:r>
      <w:r w:rsidRPr="00B272BA">
        <w:rPr>
          <w:rFonts w:ascii="Simplified Arabic" w:hAnsi="Simplified Arabic" w:cs="Simplified Arabic"/>
          <w:sz w:val="28"/>
          <w:szCs w:val="28"/>
        </w:rPr>
        <w:t xml:space="preserve"> </w:t>
      </w:r>
      <w:r w:rsidRPr="00B272BA">
        <w:rPr>
          <w:rFonts w:ascii="Simplified Arabic" w:hAnsi="Simplified Arabic" w:cs="Simplified Arabic"/>
          <w:sz w:val="28"/>
          <w:szCs w:val="28"/>
          <w:rtl/>
          <w:lang w:bidi="ar-EG"/>
        </w:rPr>
        <w:t xml:space="preserve"> </w:t>
      </w:r>
      <w:r w:rsidRPr="00B272BA">
        <w:rPr>
          <w:rFonts w:ascii="Simplified Arabic" w:hAnsi="Simplified Arabic" w:cs="Simplified Arabic"/>
          <w:sz w:val="28"/>
          <w:szCs w:val="28"/>
          <w:rtl/>
        </w:rPr>
        <w:t>لتفسير كيفية تكيف المؤسسات مع الممارسات الجديدة، خاصةً في البيئات التي تعتمد على التطور المستمر والتكيف مع المتطلبات المتغيرة. وتؤكد هذه النظرية أن المؤسسات الناجحة هي تلك التي تستطيع تحسين معرفتها الجماعية وتحويلها إلى تطبيقات عملية تسهم في تحسين الأداء المؤسسي</w:t>
      </w:r>
      <w:r w:rsidRPr="00B272BA">
        <w:rPr>
          <w:rFonts w:ascii="Simplified Arabic" w:hAnsi="Simplified Arabic" w:cs="Simplified Arabic"/>
          <w:sz w:val="28"/>
          <w:szCs w:val="28"/>
        </w:rPr>
        <w:t xml:space="preserve"> (Senge, 1990</w:t>
      </w:r>
      <w:r w:rsidRPr="00B272BA">
        <w:rPr>
          <w:rFonts w:ascii="Simplified Arabic" w:hAnsi="Simplified Arabic" w:cs="Simplified Arabic"/>
          <w:sz w:val="28"/>
          <w:szCs w:val="28"/>
          <w:rtl/>
        </w:rPr>
        <w:t>، ص. 14). وقد ساعدت هذه النظرية في فهم دور التدريب والتطوير البشري في دعم عملية التحول نحو النموذج الهجين</w:t>
      </w:r>
      <w:r w:rsidRPr="00B272BA">
        <w:rPr>
          <w:rFonts w:ascii="Simplified Arabic" w:hAnsi="Simplified Arabic" w:cs="Simplified Arabic"/>
          <w:sz w:val="28"/>
          <w:szCs w:val="28"/>
        </w:rPr>
        <w:t>.</w:t>
      </w:r>
    </w:p>
    <w:p w14:paraId="7B6A7A2A" w14:textId="2E1A9B1E" w:rsidR="001B1A18" w:rsidRPr="00B272BA" w:rsidRDefault="001B1A18" w:rsidP="00AE507C">
      <w:pPr>
        <w:spacing w:line="360" w:lineRule="auto"/>
        <w:jc w:val="lowKashida"/>
        <w:rPr>
          <w:rFonts w:ascii="Simplified Arabic" w:hAnsi="Simplified Arabic" w:cs="Simplified Arabic"/>
          <w:sz w:val="28"/>
          <w:szCs w:val="28"/>
        </w:rPr>
      </w:pPr>
      <w:r w:rsidRPr="00B272BA">
        <w:rPr>
          <w:rFonts w:ascii="Simplified Arabic" w:hAnsi="Simplified Arabic" w:cs="Simplified Arabic"/>
          <w:sz w:val="28"/>
          <w:szCs w:val="28"/>
          <w:rtl/>
        </w:rPr>
        <w:t>وأخيراً، تم استخدام إطار عمل التحول الرقمي لتحليل السياق العام للتغيرات التي تشهدها المؤسسات في ظل التقدم التكنولوجي المتسارع. ويعد هذا الإطار من الأدوات الحديثة التي تُستخدم لفهم كيفية تفاعل العناصر المختلفة داخل المؤسسة – مثل العمليات، والتكنولوجيا، والثقافة، والهيكل التنظيمي – خلال مرحلة التحول الرقمي</w:t>
      </w:r>
      <w:r w:rsidRPr="00B272BA">
        <w:rPr>
          <w:rFonts w:ascii="Simplified Arabic" w:hAnsi="Simplified Arabic" w:cs="Simplified Arabic"/>
          <w:sz w:val="28"/>
          <w:szCs w:val="28"/>
        </w:rPr>
        <w:t xml:space="preserve"> Matt et al., 2015</w:t>
      </w:r>
      <w:r w:rsidRPr="00B272BA">
        <w:rPr>
          <w:rFonts w:ascii="Simplified Arabic" w:hAnsi="Simplified Arabic" w:cs="Simplified Arabic"/>
          <w:sz w:val="28"/>
          <w:szCs w:val="28"/>
          <w:rtl/>
        </w:rPr>
        <w:t>، ص. 326). وقد ساعد هذا الإطار في وضع الدراسة ضمن سياق عصري يعكس التحديات الواقعية التي تواجه المؤسسات التقليدية في عصر الرقمنة</w:t>
      </w:r>
      <w:r w:rsidRPr="00B272BA">
        <w:rPr>
          <w:rFonts w:ascii="Simplified Arabic" w:hAnsi="Simplified Arabic" w:cs="Simplified Arabic"/>
          <w:sz w:val="28"/>
          <w:szCs w:val="28"/>
        </w:rPr>
        <w:t>.</w:t>
      </w:r>
    </w:p>
    <w:p w14:paraId="5B62839C" w14:textId="4DBD918F" w:rsidR="001B1A18" w:rsidRDefault="001B1A18" w:rsidP="00AE507C">
      <w:pPr>
        <w:spacing w:line="360" w:lineRule="auto"/>
        <w:jc w:val="lowKashida"/>
        <w:rPr>
          <w:rFonts w:ascii="Simplified Arabic" w:hAnsi="Simplified Arabic" w:cs="Simplified Arabic"/>
          <w:sz w:val="28"/>
          <w:szCs w:val="28"/>
          <w:rtl/>
        </w:rPr>
      </w:pPr>
      <w:r w:rsidRPr="00B272BA">
        <w:rPr>
          <w:rFonts w:ascii="Simplified Arabic" w:hAnsi="Simplified Arabic" w:cs="Simplified Arabic"/>
          <w:sz w:val="28"/>
          <w:szCs w:val="28"/>
          <w:rtl/>
        </w:rPr>
        <w:lastRenderedPageBreak/>
        <w:t>وبالتالي، فإن الجمع بين هذه النظريات والإطارات ساهم في توفير أساس معرفي قوي لتحليل موضوع البحث، وفهم طبيعة التحديات التي تواجه المؤسسات عند التحول إلى النموذج الهجين، واقتراح حلول مبنية على أسس علمية</w:t>
      </w:r>
      <w:r w:rsidRPr="00B272BA">
        <w:rPr>
          <w:rFonts w:ascii="Simplified Arabic" w:hAnsi="Simplified Arabic" w:cs="Simplified Arabic"/>
          <w:sz w:val="28"/>
          <w:szCs w:val="28"/>
        </w:rPr>
        <w:t>.</w:t>
      </w:r>
    </w:p>
    <w:p w14:paraId="7F300125" w14:textId="77777777" w:rsidR="00B272BA" w:rsidRDefault="00B272BA" w:rsidP="00AE507C">
      <w:pPr>
        <w:spacing w:line="360" w:lineRule="auto"/>
        <w:jc w:val="lowKashida"/>
        <w:rPr>
          <w:rFonts w:ascii="Simplified Arabic" w:hAnsi="Simplified Arabic" w:cs="Simplified Arabic"/>
          <w:sz w:val="28"/>
          <w:szCs w:val="28"/>
          <w:rtl/>
        </w:rPr>
      </w:pPr>
    </w:p>
    <w:p w14:paraId="6FA8EEDA" w14:textId="77777777" w:rsidR="00B272BA" w:rsidRDefault="00B272BA" w:rsidP="00AE507C">
      <w:pPr>
        <w:spacing w:line="360" w:lineRule="auto"/>
        <w:jc w:val="lowKashida"/>
        <w:rPr>
          <w:rFonts w:ascii="Simplified Arabic" w:hAnsi="Simplified Arabic" w:cs="Simplified Arabic"/>
          <w:sz w:val="28"/>
          <w:szCs w:val="28"/>
          <w:rtl/>
        </w:rPr>
      </w:pPr>
    </w:p>
    <w:p w14:paraId="3EE00D04" w14:textId="77777777" w:rsidR="00B272BA" w:rsidRDefault="00B272BA" w:rsidP="00AE507C">
      <w:pPr>
        <w:spacing w:line="360" w:lineRule="auto"/>
        <w:jc w:val="lowKashida"/>
        <w:rPr>
          <w:rFonts w:ascii="Simplified Arabic" w:hAnsi="Simplified Arabic" w:cs="Simplified Arabic"/>
          <w:sz w:val="28"/>
          <w:szCs w:val="28"/>
          <w:rtl/>
        </w:rPr>
      </w:pPr>
    </w:p>
    <w:p w14:paraId="34603AFB" w14:textId="77777777" w:rsidR="00B272BA" w:rsidRDefault="00B272BA" w:rsidP="00AE507C">
      <w:pPr>
        <w:spacing w:line="360" w:lineRule="auto"/>
        <w:jc w:val="lowKashida"/>
        <w:rPr>
          <w:rFonts w:ascii="Simplified Arabic" w:hAnsi="Simplified Arabic" w:cs="Simplified Arabic"/>
          <w:sz w:val="28"/>
          <w:szCs w:val="28"/>
          <w:rtl/>
        </w:rPr>
      </w:pPr>
    </w:p>
    <w:p w14:paraId="71D45700" w14:textId="77777777" w:rsidR="00AE507C" w:rsidRDefault="00AE507C" w:rsidP="00AE507C">
      <w:pPr>
        <w:spacing w:line="360" w:lineRule="auto"/>
        <w:jc w:val="lowKashida"/>
        <w:rPr>
          <w:rFonts w:ascii="Simplified Arabic" w:hAnsi="Simplified Arabic" w:cs="Simplified Arabic"/>
          <w:sz w:val="28"/>
          <w:szCs w:val="28"/>
          <w:rtl/>
        </w:rPr>
      </w:pPr>
    </w:p>
    <w:p w14:paraId="7A1A968E" w14:textId="77777777" w:rsidR="00AE507C" w:rsidRDefault="00AE507C" w:rsidP="00AE507C">
      <w:pPr>
        <w:spacing w:line="360" w:lineRule="auto"/>
        <w:jc w:val="lowKashida"/>
        <w:rPr>
          <w:rFonts w:ascii="Simplified Arabic" w:hAnsi="Simplified Arabic" w:cs="Simplified Arabic"/>
          <w:sz w:val="28"/>
          <w:szCs w:val="28"/>
          <w:rtl/>
        </w:rPr>
      </w:pPr>
    </w:p>
    <w:p w14:paraId="690EB3A7" w14:textId="77777777" w:rsidR="00AE507C" w:rsidRDefault="00AE507C" w:rsidP="00AE507C">
      <w:pPr>
        <w:spacing w:line="360" w:lineRule="auto"/>
        <w:jc w:val="lowKashida"/>
        <w:rPr>
          <w:rFonts w:ascii="Simplified Arabic" w:hAnsi="Simplified Arabic" w:cs="Simplified Arabic"/>
          <w:sz w:val="28"/>
          <w:szCs w:val="28"/>
          <w:rtl/>
        </w:rPr>
      </w:pPr>
    </w:p>
    <w:p w14:paraId="740F076C" w14:textId="77777777" w:rsidR="00AE507C" w:rsidRDefault="00AE507C" w:rsidP="00AE507C">
      <w:pPr>
        <w:spacing w:line="360" w:lineRule="auto"/>
        <w:jc w:val="lowKashida"/>
        <w:rPr>
          <w:rFonts w:ascii="Simplified Arabic" w:hAnsi="Simplified Arabic" w:cs="Simplified Arabic"/>
          <w:sz w:val="28"/>
          <w:szCs w:val="28"/>
          <w:rtl/>
        </w:rPr>
      </w:pPr>
    </w:p>
    <w:p w14:paraId="0363EE37" w14:textId="77777777" w:rsidR="00AE507C" w:rsidRDefault="00AE507C" w:rsidP="00AE507C">
      <w:pPr>
        <w:spacing w:line="360" w:lineRule="auto"/>
        <w:jc w:val="lowKashida"/>
        <w:rPr>
          <w:rFonts w:ascii="Simplified Arabic" w:hAnsi="Simplified Arabic" w:cs="Simplified Arabic"/>
          <w:sz w:val="28"/>
          <w:szCs w:val="28"/>
          <w:rtl/>
        </w:rPr>
      </w:pPr>
    </w:p>
    <w:p w14:paraId="2BB675D8" w14:textId="77777777" w:rsidR="00AE507C" w:rsidRDefault="00AE507C" w:rsidP="00AE507C">
      <w:pPr>
        <w:spacing w:line="360" w:lineRule="auto"/>
        <w:jc w:val="lowKashida"/>
        <w:rPr>
          <w:rFonts w:ascii="Simplified Arabic" w:hAnsi="Simplified Arabic" w:cs="Simplified Arabic"/>
          <w:sz w:val="28"/>
          <w:szCs w:val="28"/>
          <w:rtl/>
        </w:rPr>
      </w:pPr>
    </w:p>
    <w:p w14:paraId="11D3AC59" w14:textId="77777777" w:rsidR="00AE507C" w:rsidRDefault="00AE507C" w:rsidP="00AE507C">
      <w:pPr>
        <w:spacing w:line="360" w:lineRule="auto"/>
        <w:jc w:val="lowKashida"/>
        <w:rPr>
          <w:rFonts w:ascii="Simplified Arabic" w:hAnsi="Simplified Arabic" w:cs="Simplified Arabic"/>
          <w:sz w:val="28"/>
          <w:szCs w:val="28"/>
          <w:rtl/>
        </w:rPr>
      </w:pPr>
    </w:p>
    <w:p w14:paraId="008793C0" w14:textId="77777777" w:rsidR="00AE507C" w:rsidRDefault="00AE507C" w:rsidP="00AE507C">
      <w:pPr>
        <w:spacing w:line="360" w:lineRule="auto"/>
        <w:jc w:val="lowKashida"/>
        <w:rPr>
          <w:rFonts w:ascii="Simplified Arabic" w:hAnsi="Simplified Arabic" w:cs="Simplified Arabic"/>
          <w:sz w:val="28"/>
          <w:szCs w:val="28"/>
          <w:rtl/>
        </w:rPr>
      </w:pPr>
    </w:p>
    <w:p w14:paraId="6C3BCFD0" w14:textId="77777777" w:rsidR="00AE507C" w:rsidRDefault="00AE507C" w:rsidP="00AE507C">
      <w:pPr>
        <w:spacing w:line="360" w:lineRule="auto"/>
        <w:jc w:val="lowKashida"/>
        <w:rPr>
          <w:rFonts w:ascii="Simplified Arabic" w:hAnsi="Simplified Arabic" w:cs="Simplified Arabic"/>
          <w:sz w:val="28"/>
          <w:szCs w:val="28"/>
          <w:rtl/>
        </w:rPr>
      </w:pPr>
    </w:p>
    <w:p w14:paraId="4DA05F11" w14:textId="77777777" w:rsidR="00AE507C" w:rsidRDefault="00AE507C" w:rsidP="00AE507C">
      <w:pPr>
        <w:spacing w:line="360" w:lineRule="auto"/>
        <w:jc w:val="lowKashida"/>
        <w:rPr>
          <w:rFonts w:ascii="Simplified Arabic" w:hAnsi="Simplified Arabic" w:cs="Simplified Arabic"/>
          <w:sz w:val="28"/>
          <w:szCs w:val="28"/>
          <w:rtl/>
        </w:rPr>
      </w:pPr>
    </w:p>
    <w:p w14:paraId="7F9CC0CD" w14:textId="1C6BE1F9" w:rsidR="00AE507C" w:rsidRDefault="00AE507C" w:rsidP="00AE507C">
      <w:pPr>
        <w:spacing w:line="36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الفصل الثاني : الاطار النظري والدراسات السابقة</w:t>
      </w:r>
    </w:p>
    <w:p w14:paraId="6F51D1E3" w14:textId="4752CD50" w:rsidR="00AE507C" w:rsidRDefault="00AE507C" w:rsidP="00AE507C">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اولا: الاطار النظري</w:t>
      </w:r>
    </w:p>
    <w:p w14:paraId="47A6B328" w14:textId="77777777" w:rsidR="00AE507C" w:rsidRDefault="00AE507C" w:rsidP="00AE507C">
      <w:pPr>
        <w:spacing w:line="360" w:lineRule="auto"/>
        <w:jc w:val="lowKashida"/>
        <w:rPr>
          <w:rFonts w:ascii="Simplified Arabic" w:hAnsi="Simplified Arabic" w:cs="Simplified Arabic"/>
          <w:sz w:val="28"/>
          <w:szCs w:val="28"/>
          <w:rtl/>
        </w:rPr>
      </w:pPr>
      <w:r w:rsidRPr="00AE507C">
        <w:rPr>
          <w:rFonts w:ascii="Simplified Arabic" w:hAnsi="Simplified Arabic" w:cs="Simplified Arabic"/>
          <w:sz w:val="28"/>
          <w:szCs w:val="28"/>
          <w:rtl/>
        </w:rPr>
        <w:t>تُعد منهجية</w:t>
      </w:r>
      <w:r w:rsidRPr="00AE507C">
        <w:rPr>
          <w:rFonts w:ascii="Simplified Arabic" w:hAnsi="Simplified Arabic" w:cs="Simplified Arabic"/>
          <w:sz w:val="28"/>
          <w:szCs w:val="28"/>
        </w:rPr>
        <w:t xml:space="preserve"> Waterfall </w:t>
      </w:r>
      <w:r w:rsidRPr="00AE507C">
        <w:rPr>
          <w:rFonts w:ascii="Simplified Arabic" w:hAnsi="Simplified Arabic" w:cs="Simplified Arabic"/>
          <w:sz w:val="28"/>
          <w:szCs w:val="28"/>
          <w:rtl/>
        </w:rPr>
        <w:t>واحدة من أقدم وأشهر منهجيات إدارة المشاريع، خاصة في مجال تطوير البرمجيات. ظهرت هذه المنهجية في سبعينيات القرن العشرين كاستجابة لحاجة الصناعات التقنية إلى منهجية منظمة ومتسلسلة تعتمد على إنجاز مرحلة قبل البدء بالمرحلة التالية (الحسناوي، 2016، ص 45). وقد تميزت هذه المنهجية بوضوح مراحلها، وسهولة تتبعها من قبل الفرق التقنية والإدارية، مما جعلها خيارًا شائعًا في المؤسسات التقليدية التي تفضل الاستقرار والتنبؤ في العمليات (عليان، 2017، ص 32). ومع ذلك، مع تطور متطلبات السوق وتزايد الحاجة إلى المرونة والاستجابة السريعة للتغييرات، بدأت العديد من المؤسسات بالبحث عن نماذج أكثر ديناميكية، مثل النموذج الهجين الذي يجمع بين مبادئ منهجيات</w:t>
      </w:r>
      <w:r w:rsidRPr="00AE507C">
        <w:rPr>
          <w:rFonts w:ascii="Simplified Arabic" w:hAnsi="Simplified Arabic" w:cs="Simplified Arabic"/>
          <w:sz w:val="28"/>
          <w:szCs w:val="28"/>
        </w:rPr>
        <w:t xml:space="preserve"> Waterfall </w:t>
      </w:r>
      <w:r w:rsidRPr="00AE507C">
        <w:rPr>
          <w:rFonts w:ascii="Simplified Arabic" w:hAnsi="Simplified Arabic" w:cs="Simplified Arabic"/>
          <w:sz w:val="28"/>
          <w:szCs w:val="28"/>
          <w:rtl/>
        </w:rPr>
        <w:t>و</w:t>
      </w:r>
      <w:r w:rsidRPr="00AE507C">
        <w:rPr>
          <w:rFonts w:ascii="Simplified Arabic" w:hAnsi="Simplified Arabic" w:cs="Simplified Arabic"/>
          <w:sz w:val="28"/>
          <w:szCs w:val="28"/>
        </w:rPr>
        <w:t xml:space="preserve">Lean </w:t>
      </w:r>
      <w:r w:rsidRPr="00AE507C">
        <w:rPr>
          <w:rFonts w:ascii="Simplified Arabic" w:hAnsi="Simplified Arabic" w:cs="Simplified Arabic"/>
          <w:sz w:val="28"/>
          <w:szCs w:val="28"/>
          <w:rtl/>
        </w:rPr>
        <w:t>و</w:t>
      </w:r>
      <w:r w:rsidRPr="00AE507C">
        <w:rPr>
          <w:rFonts w:ascii="Simplified Arabic" w:hAnsi="Simplified Arabic" w:cs="Simplified Arabic"/>
          <w:sz w:val="28"/>
          <w:szCs w:val="28"/>
        </w:rPr>
        <w:t>Agile (</w:t>
      </w:r>
      <w:r w:rsidRPr="00AE507C">
        <w:rPr>
          <w:rFonts w:ascii="Simplified Arabic" w:hAnsi="Simplified Arabic" w:cs="Simplified Arabic"/>
          <w:sz w:val="28"/>
          <w:szCs w:val="28"/>
          <w:rtl/>
        </w:rPr>
        <w:t>الخضيري، 2019، ص 78). ومن هنا برزت الحاجة إلى فهم تحديات التحول من النموذج الكلاسيكي إلى النموذج الهجين، وخاصة في البيئات التقليدية التي تتميز بثقافة تنظيمية ثابتة وبيئة تشغيلية معقدة</w:t>
      </w:r>
      <w:r w:rsidRPr="00AE507C">
        <w:rPr>
          <w:rFonts w:ascii="Simplified Arabic" w:hAnsi="Simplified Arabic" w:cs="Simplified Arabic"/>
          <w:sz w:val="28"/>
          <w:szCs w:val="28"/>
        </w:rPr>
        <w:t>.</w:t>
      </w:r>
    </w:p>
    <w:p w14:paraId="027EAC42" w14:textId="50E0A9E4" w:rsidR="00AE507C" w:rsidRPr="00AE507C" w:rsidRDefault="00AE507C" w:rsidP="00AE507C">
      <w:p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مفهوم </w:t>
      </w:r>
      <w:r w:rsidRPr="00AE507C">
        <w:rPr>
          <w:rFonts w:ascii="Simplified Arabic" w:hAnsi="Simplified Arabic" w:cs="Simplified Arabic"/>
          <w:sz w:val="28"/>
          <w:szCs w:val="28"/>
          <w:rtl/>
        </w:rPr>
        <w:t>النموذج الهجين</w:t>
      </w:r>
    </w:p>
    <w:p w14:paraId="6133E570" w14:textId="77777777" w:rsidR="00AE507C" w:rsidRDefault="00AE507C" w:rsidP="00AE507C">
      <w:pPr>
        <w:spacing w:line="360" w:lineRule="auto"/>
        <w:jc w:val="lowKashida"/>
        <w:rPr>
          <w:rFonts w:ascii="Simplified Arabic" w:hAnsi="Simplified Arabic" w:cs="Simplified Arabic"/>
          <w:sz w:val="28"/>
          <w:szCs w:val="28"/>
          <w:rtl/>
        </w:rPr>
      </w:pPr>
      <w:r w:rsidRPr="00AE507C">
        <w:rPr>
          <w:rFonts w:ascii="Simplified Arabic" w:hAnsi="Simplified Arabic" w:cs="Simplified Arabic"/>
          <w:sz w:val="28"/>
          <w:szCs w:val="28"/>
          <w:rtl/>
        </w:rPr>
        <w:t>من ناحية أخرى، فإن النموذج الهجين ليس مجرد اندماج بين منهجيتين مختلفتين، بل هو نتيجة لتطور الفكر الإداري الحديث الذي يسعى لتحقيق التوازن بين الانضباط والتنظيم من جهة، والمرونة والتكيف من جهة أخرى (الحسيني، 2020، ص 102). ويشمل هذا النموذج استخدام عناصر منهجية</w:t>
      </w:r>
      <w:r w:rsidRPr="00AE507C">
        <w:rPr>
          <w:rFonts w:ascii="Simplified Arabic" w:hAnsi="Simplified Arabic" w:cs="Simplified Arabic"/>
          <w:sz w:val="28"/>
          <w:szCs w:val="28"/>
        </w:rPr>
        <w:t xml:space="preserve"> Waterfall </w:t>
      </w:r>
      <w:r w:rsidRPr="00AE507C">
        <w:rPr>
          <w:rFonts w:ascii="Simplified Arabic" w:hAnsi="Simplified Arabic" w:cs="Simplified Arabic"/>
          <w:sz w:val="28"/>
          <w:szCs w:val="28"/>
          <w:rtl/>
        </w:rPr>
        <w:t>في المراحل الأولية للمشروع، مثل التخطيط والتوجيه الاستراتيجي، بينما يتم تبني منهجيات</w:t>
      </w:r>
      <w:r w:rsidRPr="00AE507C">
        <w:rPr>
          <w:rFonts w:ascii="Simplified Arabic" w:hAnsi="Simplified Arabic" w:cs="Simplified Arabic"/>
          <w:sz w:val="28"/>
          <w:szCs w:val="28"/>
        </w:rPr>
        <w:t xml:space="preserve"> Agile </w:t>
      </w:r>
      <w:r w:rsidRPr="00AE507C">
        <w:rPr>
          <w:rFonts w:ascii="Simplified Arabic" w:hAnsi="Simplified Arabic" w:cs="Simplified Arabic"/>
          <w:sz w:val="28"/>
          <w:szCs w:val="28"/>
          <w:rtl/>
        </w:rPr>
        <w:t xml:space="preserve">في التنفيذ والتطوير، حيث تكون الحاجة إلى التفاعل المستمر مع أصحاب المصلحة عالية (البركاتي، 2021، ص 56). وقد أظهرت العديد من الدراسات أن هذا النوع من النماذج يمكن </w:t>
      </w:r>
      <w:r w:rsidRPr="00AE507C">
        <w:rPr>
          <w:rFonts w:ascii="Simplified Arabic" w:hAnsi="Simplified Arabic" w:cs="Simplified Arabic"/>
          <w:sz w:val="28"/>
          <w:szCs w:val="28"/>
          <w:rtl/>
        </w:rPr>
        <w:lastRenderedPageBreak/>
        <w:t>أن يكون أكثر فعالية في المشاريع المعقدة أو ذات المتطلبات المتغيرة باستمرار</w:t>
      </w:r>
      <w:r w:rsidRPr="00AE507C">
        <w:rPr>
          <w:rFonts w:ascii="Simplified Arabic" w:hAnsi="Simplified Arabic" w:cs="Simplified Arabic"/>
          <w:sz w:val="28"/>
          <w:szCs w:val="28"/>
        </w:rPr>
        <w:t xml:space="preserve"> (Smith, 2018, p. 145). </w:t>
      </w:r>
      <w:r w:rsidRPr="00AE507C">
        <w:rPr>
          <w:rFonts w:ascii="Simplified Arabic" w:hAnsi="Simplified Arabic" w:cs="Simplified Arabic"/>
          <w:sz w:val="28"/>
          <w:szCs w:val="28"/>
          <w:rtl/>
        </w:rPr>
        <w:t>ولكن في الوقت نفسه، يواجه هذا التحول تحديات كبيرة في المؤسسات التي لم تعتد على العمل بطريقة مرنة أو غير خطية</w:t>
      </w:r>
      <w:r w:rsidRPr="00AE507C">
        <w:rPr>
          <w:rFonts w:ascii="Simplified Arabic" w:hAnsi="Simplified Arabic" w:cs="Simplified Arabic"/>
          <w:sz w:val="28"/>
          <w:szCs w:val="28"/>
        </w:rPr>
        <w:t>.</w:t>
      </w:r>
    </w:p>
    <w:p w14:paraId="3AC96F4C" w14:textId="7BCEE3D4" w:rsidR="00AE507C" w:rsidRPr="00AE507C" w:rsidRDefault="00AE507C" w:rsidP="00AE507C">
      <w:pPr>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ا</w:t>
      </w:r>
      <w:r w:rsidRPr="00AE507C">
        <w:rPr>
          <w:rFonts w:ascii="Simplified Arabic" w:hAnsi="Simplified Arabic" w:cs="Simplified Arabic"/>
          <w:sz w:val="28"/>
          <w:szCs w:val="28"/>
          <w:rtl/>
        </w:rPr>
        <w:t>سباب التحول إلى النموذج الهجين</w:t>
      </w:r>
    </w:p>
    <w:p w14:paraId="1EF5E6B6"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إن أحد أهم الأسباب التي تجعل المؤسسات التقليدية تتردد في التحول إلى النموذج الهجين هو الثقافة التنظيمية الراسخة التي تدعم العمل بمراحل متسلسلة وثابتة (الشهري، 2015، ص 89). ففي كثير من الحالات، تكون هذه المؤسسات قد بنت أنظمتها الداخلية وسياساتها وإجراءاتها على أساس منهجية</w:t>
      </w:r>
      <w:r w:rsidRPr="00AE507C">
        <w:rPr>
          <w:rFonts w:ascii="Simplified Arabic" w:hAnsi="Simplified Arabic" w:cs="Simplified Arabic"/>
          <w:sz w:val="28"/>
          <w:szCs w:val="28"/>
        </w:rPr>
        <w:t xml:space="preserve"> Waterfall</w:t>
      </w:r>
      <w:r w:rsidRPr="00AE507C">
        <w:rPr>
          <w:rFonts w:ascii="Simplified Arabic" w:hAnsi="Simplified Arabic" w:cs="Simplified Arabic"/>
          <w:sz w:val="28"/>
          <w:szCs w:val="28"/>
          <w:rtl/>
        </w:rPr>
        <w:t>، مما يجعل أي تغيير فيها يتطلب إعادة هيكلة شاملة للعمليات (الزهراني، 2017، ص 112). كما أن الموظفين الذين اعتادوا العمل ضمن هذا الإطار الزمني الطويل والمحدد قد يجدون صعوبة في التكيف مع أساليب العمل الجديدة التي تعتمد على التكرار والتجريب المستمر</w:t>
      </w:r>
      <w:r w:rsidRPr="00AE507C">
        <w:rPr>
          <w:rFonts w:ascii="Simplified Arabic" w:hAnsi="Simplified Arabic" w:cs="Simplified Arabic"/>
          <w:sz w:val="28"/>
          <w:szCs w:val="28"/>
        </w:rPr>
        <w:t xml:space="preserve"> (Abdulaziz &amp; Al-Mashari, 2020, p. 67). </w:t>
      </w:r>
      <w:r w:rsidRPr="00AE507C">
        <w:rPr>
          <w:rFonts w:ascii="Simplified Arabic" w:hAnsi="Simplified Arabic" w:cs="Simplified Arabic"/>
          <w:sz w:val="28"/>
          <w:szCs w:val="28"/>
          <w:rtl/>
        </w:rPr>
        <w:t>وبالتالي، فإن أحد أكبر التحديات في هذا السياق هو كيفية إدارة التغيير التنظيمي بشكل فعال دون تعطيل عمليات العمل الأساسية</w:t>
      </w:r>
      <w:r w:rsidRPr="00AE507C">
        <w:rPr>
          <w:rFonts w:ascii="Simplified Arabic" w:hAnsi="Simplified Arabic" w:cs="Simplified Arabic"/>
          <w:sz w:val="28"/>
          <w:szCs w:val="28"/>
        </w:rPr>
        <w:t>.</w:t>
      </w:r>
    </w:p>
    <w:p w14:paraId="5AA0929B" w14:textId="77777777" w:rsidR="00AE507C" w:rsidRDefault="00AE507C" w:rsidP="00AE507C">
      <w:pPr>
        <w:spacing w:line="360" w:lineRule="auto"/>
        <w:jc w:val="lowKashida"/>
        <w:rPr>
          <w:rFonts w:ascii="Simplified Arabic" w:hAnsi="Simplified Arabic" w:cs="Simplified Arabic"/>
          <w:sz w:val="28"/>
          <w:szCs w:val="28"/>
          <w:rtl/>
        </w:rPr>
      </w:pPr>
      <w:r w:rsidRPr="00AE507C">
        <w:rPr>
          <w:rFonts w:ascii="Simplified Arabic" w:hAnsi="Simplified Arabic" w:cs="Simplified Arabic"/>
          <w:sz w:val="28"/>
          <w:szCs w:val="28"/>
          <w:rtl/>
        </w:rPr>
        <w:t>بالإضافة إلى ذلك، فإن البنية التحتية التكنولوجية والإجراءات الإدارية في المؤسسات التقليدية غالبًا ما لا تتوافق مع متطلبات النموذج الهجين (القرشي، 2018، ص 93). فعلى سبيل المثال، قد تحتاج المنهجيات المرنة إلى أدوات تعاونية رقمية تتيح التواصل الفوري بين أعضاء الفريق، بينما تعتمد بعض المؤسسات على أنظمة تقليدية تركز على الوثائق الرسمية والتقارير المكتوبة (الغامدي، 2020، ص 134). ومن ثم، فإن التحول إلى النموذج الهجين يتطلب استثمارات كبيرة في تحديث البنية التحتية الرقمية وتدريب الكوادر على استخدام أدوات جديدة</w:t>
      </w:r>
      <w:r w:rsidRPr="00AE507C">
        <w:rPr>
          <w:rFonts w:ascii="Simplified Arabic" w:hAnsi="Simplified Arabic" w:cs="Simplified Arabic"/>
          <w:sz w:val="28"/>
          <w:szCs w:val="28"/>
        </w:rPr>
        <w:t xml:space="preserve"> (Jones, 2019, p. 210). </w:t>
      </w:r>
      <w:r w:rsidRPr="00AE507C">
        <w:rPr>
          <w:rFonts w:ascii="Simplified Arabic" w:hAnsi="Simplified Arabic" w:cs="Simplified Arabic"/>
          <w:sz w:val="28"/>
          <w:szCs w:val="28"/>
          <w:rtl/>
        </w:rPr>
        <w:t>ويجب أن يتم هذا الاستثمار بعناية بحيث لا يؤدي إلى مقاومة داخلية أو هدر في الموارد</w:t>
      </w:r>
      <w:r w:rsidRPr="00AE507C">
        <w:rPr>
          <w:rFonts w:ascii="Simplified Arabic" w:hAnsi="Simplified Arabic" w:cs="Simplified Arabic"/>
          <w:sz w:val="28"/>
          <w:szCs w:val="28"/>
        </w:rPr>
        <w:t>.</w:t>
      </w:r>
    </w:p>
    <w:p w14:paraId="66772D47" w14:textId="0510E087" w:rsidR="00AE507C" w:rsidRPr="00AE507C" w:rsidRDefault="00AE507C" w:rsidP="00AE507C">
      <w:pPr>
        <w:spacing w:line="360" w:lineRule="auto"/>
        <w:jc w:val="lowKashida"/>
        <w:rPr>
          <w:rFonts w:ascii="Simplified Arabic" w:hAnsi="Simplified Arabic" w:cs="Simplified Arabic"/>
          <w:b/>
          <w:bCs/>
          <w:sz w:val="28"/>
          <w:szCs w:val="28"/>
        </w:rPr>
      </w:pPr>
      <w:r w:rsidRPr="00AE507C">
        <w:rPr>
          <w:rFonts w:ascii="Simplified Arabic" w:hAnsi="Simplified Arabic" w:cs="Simplified Arabic"/>
          <w:b/>
          <w:bCs/>
          <w:sz w:val="28"/>
          <w:szCs w:val="28"/>
          <w:rtl/>
        </w:rPr>
        <w:lastRenderedPageBreak/>
        <w:t>التحديات</w:t>
      </w:r>
    </w:p>
    <w:p w14:paraId="5D2530E1" w14:textId="77777777" w:rsidR="00AE507C" w:rsidRPr="00AE507C" w:rsidRDefault="00AE507C" w:rsidP="00AE507C">
      <w:pPr>
        <w:spacing w:line="360" w:lineRule="auto"/>
        <w:jc w:val="lowKashida"/>
        <w:rPr>
          <w:rFonts w:ascii="Simplified Arabic" w:hAnsi="Simplified Arabic" w:cs="Simplified Arabic" w:hint="cs"/>
          <w:sz w:val="28"/>
          <w:szCs w:val="28"/>
          <w:rtl/>
          <w:lang w:bidi="ar-EG"/>
        </w:rPr>
      </w:pPr>
      <w:r w:rsidRPr="00AE507C">
        <w:rPr>
          <w:rFonts w:ascii="Simplified Arabic" w:hAnsi="Simplified Arabic" w:cs="Simplified Arabic"/>
          <w:sz w:val="28"/>
          <w:szCs w:val="28"/>
          <w:rtl/>
        </w:rPr>
        <w:t>من الجدير بالذكر أيضًا أن التحول إلى النموذج الهجين يتطلب تغييرًا في طريقة قياس الأداء وتقييم النتائج (المسفر، 2016، ص 75). ففي حين تعتمد منهجية</w:t>
      </w:r>
      <w:r w:rsidRPr="00AE507C">
        <w:rPr>
          <w:rFonts w:ascii="Simplified Arabic" w:hAnsi="Simplified Arabic" w:cs="Simplified Arabic"/>
          <w:sz w:val="28"/>
          <w:szCs w:val="28"/>
        </w:rPr>
        <w:t xml:space="preserve"> Waterfall </w:t>
      </w:r>
      <w:r w:rsidRPr="00AE507C">
        <w:rPr>
          <w:rFonts w:ascii="Simplified Arabic" w:hAnsi="Simplified Arabic" w:cs="Simplified Arabic"/>
          <w:sz w:val="28"/>
          <w:szCs w:val="28"/>
          <w:rtl/>
        </w:rPr>
        <w:t>على مؤشرات أداء واضحة ومحددة مسبقًا، مثل إتمام المهام حسب الجدول الزمني أو ضمن الميزانية، فإن النموذج الهجين يعتمد على مؤشرات أكثر مرونة تركز على القيمة المضافة واستمرارية التحسين (الدوسر، 2019، ص 102). وهذا يعني أن المؤسسات يجب أن تعيد النظر في نظام الحوكمة لديها، وأن تبني إطار عمل جديد لتقييم المشروعات</w:t>
      </w:r>
      <w:r w:rsidRPr="00AE507C">
        <w:rPr>
          <w:rFonts w:ascii="Simplified Arabic" w:hAnsi="Simplified Arabic" w:cs="Simplified Arabic"/>
          <w:sz w:val="28"/>
          <w:szCs w:val="28"/>
        </w:rPr>
        <w:t xml:space="preserve"> (Al-Harbi et al., 2021, p. 88). </w:t>
      </w:r>
      <w:r w:rsidRPr="00AE507C">
        <w:rPr>
          <w:rFonts w:ascii="Simplified Arabic" w:hAnsi="Simplified Arabic" w:cs="Simplified Arabic"/>
          <w:sz w:val="28"/>
          <w:szCs w:val="28"/>
          <w:rtl/>
        </w:rPr>
        <w:t>وفي حال عدم وجود هذا الإطار الجديد، قد تواجه المؤسسة صعوبات في تقييم نجاح التحول أو تحديد ما إذا كانت المنهجية الجديدة تحقق الأهداف المرجوة</w:t>
      </w:r>
      <w:r w:rsidRPr="00AE507C">
        <w:rPr>
          <w:rFonts w:ascii="Simplified Arabic" w:hAnsi="Simplified Arabic" w:cs="Simplified Arabic"/>
          <w:sz w:val="28"/>
          <w:szCs w:val="28"/>
        </w:rPr>
        <w:t>.</w:t>
      </w:r>
    </w:p>
    <w:p w14:paraId="76D10924"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ومن ناحية أخرى، فإن أحد التحديات الأخرى التي تواجه المؤسسات عند التحول إلى النموذج الهجين هو ضعف الخبرة والمهارات لدى القوى العاملة في هذا النوع من النماذج (الحميدي، 2017، ص 123). فرغم أن العديد من المنظمات قد تدرك أهمية التحول، إلا أنها تفتقر إلى الموارد البشرية المؤهلة القادرة على تطبيق المنهجيات الحديثة بفعالية (العسيري، 2020، ص 95). لذلك، فإن الاستثمار في التدريب والتطوير المهني يصبح ضرورة استراتيجية في هذا السياق</w:t>
      </w:r>
      <w:r w:rsidRPr="00AE507C">
        <w:rPr>
          <w:rFonts w:ascii="Simplified Arabic" w:hAnsi="Simplified Arabic" w:cs="Simplified Arabic"/>
          <w:sz w:val="28"/>
          <w:szCs w:val="28"/>
        </w:rPr>
        <w:t xml:space="preserve"> (Brown &amp; Green, 2018, p. 175). </w:t>
      </w:r>
      <w:r w:rsidRPr="00AE507C">
        <w:rPr>
          <w:rFonts w:ascii="Simplified Arabic" w:hAnsi="Simplified Arabic" w:cs="Simplified Arabic"/>
          <w:sz w:val="28"/>
          <w:szCs w:val="28"/>
          <w:rtl/>
        </w:rPr>
        <w:t>ويمكن أن يشمل هذا التدريب ورش عمل عملية، ومحاكاة لسيناريوهات العمل الفعلية، وبرامج تدريب مستمرة لتعزيز المهارات الجديدة وبناء ثقافة العمل الهجين داخل المؤسسة</w:t>
      </w:r>
      <w:r w:rsidRPr="00AE507C">
        <w:rPr>
          <w:rFonts w:ascii="Simplified Arabic" w:hAnsi="Simplified Arabic" w:cs="Simplified Arabic"/>
          <w:sz w:val="28"/>
          <w:szCs w:val="28"/>
        </w:rPr>
        <w:t>.</w:t>
      </w:r>
    </w:p>
    <w:p w14:paraId="4C58AF60"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 xml:space="preserve">كما أن التحديات القانونية والتنظيمية قد تلعب دورًا كبيرًا في إبطاء عملية التحول (البقمي، 2019، ص 145). ففي بعض القطاعات، مثل القطاع الحكومي أو القطاعات الخاضعة لنظام رقابي صارم، </w:t>
      </w:r>
      <w:r w:rsidRPr="00AE507C">
        <w:rPr>
          <w:rFonts w:ascii="Simplified Arabic" w:hAnsi="Simplified Arabic" w:cs="Simplified Arabic"/>
          <w:sz w:val="28"/>
          <w:szCs w:val="28"/>
          <w:rtl/>
        </w:rPr>
        <w:lastRenderedPageBreak/>
        <w:t>قد تكون هناك قوانين أو سياسات تفرض استخدام منهجيات معينة في إدارة المشاريع (الغامدي، 2021، ص 117). وبناءً عليه، فإن أي تغيير في النموذج قد يتطلب موافقات رسمية أو تعديلات تشريعية، وهو أمر قد يستغرق وقتًا طويلًا ويواجه مقاومة من الجهات الرقابية</w:t>
      </w:r>
      <w:r w:rsidRPr="00AE507C">
        <w:rPr>
          <w:rFonts w:ascii="Simplified Arabic" w:hAnsi="Simplified Arabic" w:cs="Simplified Arabic"/>
          <w:sz w:val="28"/>
          <w:szCs w:val="28"/>
        </w:rPr>
        <w:t xml:space="preserve"> (Thomas &amp; Williams, 2020, p. 132). </w:t>
      </w:r>
      <w:r w:rsidRPr="00AE507C">
        <w:rPr>
          <w:rFonts w:ascii="Simplified Arabic" w:hAnsi="Simplified Arabic" w:cs="Simplified Arabic"/>
          <w:sz w:val="28"/>
          <w:szCs w:val="28"/>
          <w:rtl/>
        </w:rPr>
        <w:t>ولذلك، فإن المؤسسات التي تفكر في التحول إلى النموذج الهجين عليها أن تبدأ بدراسة الجوانب القانونية والتنظيمية بدقة قبل إطلاق أي مبادرات تغييرية</w:t>
      </w:r>
      <w:r w:rsidRPr="00AE507C">
        <w:rPr>
          <w:rFonts w:ascii="Simplified Arabic" w:hAnsi="Simplified Arabic" w:cs="Simplified Arabic"/>
          <w:sz w:val="28"/>
          <w:szCs w:val="28"/>
        </w:rPr>
        <w:t>.</w:t>
      </w:r>
    </w:p>
    <w:p w14:paraId="014CD51D"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وأخيرًا، فإن مقاومة التغيير من قبل أصحاب المصلحة الداخليين والخارجيين تُعد واحدة من التحديات الجوهرية التي قد تعرقل نجاح التحول (الزهراني، 2018، ص 88). فالمديرون التنفيذيون أو أصحاب القرار قد يكون لديهم تصورات مسبقة حول فشل المنهجيات المرنة في بيئات معقدة، أو قد يشعرون بأن النموذج الجديد يهدد استقرار العمليات الحالية (الشهري، 2020، ص 105). ومن هنا تأتي أهمية بناء حالة عمل مقنعة للتحول، وتقديم أدلة وتجارب ناجحة من مؤسسات مشابهة لإقناع أصحاب المصلحة بأهمية هذا التحول</w:t>
      </w:r>
      <w:r w:rsidRPr="00AE507C">
        <w:rPr>
          <w:rFonts w:ascii="Simplified Arabic" w:hAnsi="Simplified Arabic" w:cs="Simplified Arabic"/>
          <w:sz w:val="28"/>
          <w:szCs w:val="28"/>
        </w:rPr>
        <w:t xml:space="preserve"> (Khan &amp; Ahmed, 2019, p. 204). </w:t>
      </w:r>
      <w:r w:rsidRPr="00AE507C">
        <w:rPr>
          <w:rFonts w:ascii="Simplified Arabic" w:hAnsi="Simplified Arabic" w:cs="Simplified Arabic"/>
          <w:sz w:val="28"/>
          <w:szCs w:val="28"/>
          <w:rtl/>
        </w:rPr>
        <w:t>كما أن التواصل المستمر والشفاف مع جميع الأطراف المعنية يمكن أن يساعد في تقليل الشكوك وبناء الثقة في العملية التحولية</w:t>
      </w:r>
      <w:r w:rsidRPr="00AE507C">
        <w:rPr>
          <w:rFonts w:ascii="Simplified Arabic" w:hAnsi="Simplified Arabic" w:cs="Simplified Arabic"/>
          <w:sz w:val="28"/>
          <w:szCs w:val="28"/>
        </w:rPr>
        <w:t>.</w:t>
      </w:r>
    </w:p>
    <w:p w14:paraId="037DD9C1" w14:textId="77777777" w:rsidR="00AE507C" w:rsidRDefault="00AE507C" w:rsidP="00AE507C">
      <w:pPr>
        <w:spacing w:line="360" w:lineRule="auto"/>
        <w:jc w:val="lowKashida"/>
        <w:rPr>
          <w:rFonts w:ascii="Simplified Arabic" w:hAnsi="Simplified Arabic" w:cs="Simplified Arabic"/>
          <w:sz w:val="28"/>
          <w:szCs w:val="28"/>
          <w:rtl/>
        </w:rPr>
      </w:pPr>
    </w:p>
    <w:p w14:paraId="71C8DC47" w14:textId="77777777" w:rsidR="00AE507C" w:rsidRDefault="00AE507C" w:rsidP="00AE507C">
      <w:pPr>
        <w:spacing w:line="360" w:lineRule="auto"/>
        <w:jc w:val="lowKashida"/>
        <w:rPr>
          <w:rFonts w:ascii="Simplified Arabic" w:hAnsi="Simplified Arabic" w:cs="Simplified Arabic"/>
          <w:sz w:val="28"/>
          <w:szCs w:val="28"/>
          <w:rtl/>
        </w:rPr>
      </w:pPr>
    </w:p>
    <w:p w14:paraId="41B7934B" w14:textId="77777777" w:rsidR="00AE507C" w:rsidRDefault="00AE507C" w:rsidP="00AE507C">
      <w:pPr>
        <w:spacing w:line="360" w:lineRule="auto"/>
        <w:jc w:val="lowKashida"/>
        <w:rPr>
          <w:rFonts w:ascii="Simplified Arabic" w:hAnsi="Simplified Arabic" w:cs="Simplified Arabic"/>
          <w:sz w:val="28"/>
          <w:szCs w:val="28"/>
          <w:rtl/>
        </w:rPr>
      </w:pPr>
    </w:p>
    <w:p w14:paraId="3A9A75B2" w14:textId="77777777" w:rsidR="00AE507C" w:rsidRDefault="00AE507C" w:rsidP="00AE507C">
      <w:pPr>
        <w:spacing w:line="360" w:lineRule="auto"/>
        <w:jc w:val="lowKashida"/>
        <w:rPr>
          <w:rFonts w:ascii="Simplified Arabic" w:hAnsi="Simplified Arabic" w:cs="Simplified Arabic"/>
          <w:sz w:val="28"/>
          <w:szCs w:val="28"/>
          <w:rtl/>
        </w:rPr>
      </w:pPr>
    </w:p>
    <w:p w14:paraId="52A1F226" w14:textId="77777777" w:rsidR="00AE507C" w:rsidRDefault="00AE507C" w:rsidP="00AE507C">
      <w:pPr>
        <w:spacing w:line="360" w:lineRule="auto"/>
        <w:jc w:val="lowKashida"/>
        <w:rPr>
          <w:rFonts w:ascii="Simplified Arabic" w:hAnsi="Simplified Arabic" w:cs="Simplified Arabic"/>
          <w:sz w:val="28"/>
          <w:szCs w:val="28"/>
          <w:rtl/>
        </w:rPr>
      </w:pPr>
    </w:p>
    <w:p w14:paraId="29D37665" w14:textId="77777777" w:rsidR="00AE507C" w:rsidRPr="00AE507C" w:rsidRDefault="00AE507C" w:rsidP="00AE507C">
      <w:pPr>
        <w:spacing w:line="360" w:lineRule="auto"/>
        <w:jc w:val="lowKashida"/>
        <w:rPr>
          <w:rFonts w:ascii="Simplified Arabic" w:hAnsi="Simplified Arabic" w:cs="Simplified Arabic" w:hint="cs"/>
          <w:sz w:val="28"/>
          <w:szCs w:val="28"/>
          <w:rtl/>
        </w:rPr>
      </w:pPr>
    </w:p>
    <w:p w14:paraId="7A1D0B98" w14:textId="1E86B842" w:rsidR="00AE507C" w:rsidRDefault="00AE507C" w:rsidP="00AE507C">
      <w:pPr>
        <w:spacing w:line="360" w:lineRule="auto"/>
        <w:jc w:val="lowKashida"/>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ثانيا: الدراسات السابقة</w:t>
      </w:r>
    </w:p>
    <w:p w14:paraId="2985ECF3" w14:textId="00A76ECA"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الدراسة الأولى</w:t>
      </w:r>
      <w:r w:rsidRPr="00AE507C">
        <w:rPr>
          <w:rFonts w:ascii="Simplified Arabic" w:hAnsi="Simplified Arabic" w:cs="Simplified Arabic"/>
          <w:sz w:val="28"/>
          <w:szCs w:val="28"/>
        </w:rPr>
        <w:t>:</w:t>
      </w:r>
      <w:r>
        <w:rPr>
          <w:rFonts w:ascii="Simplified Arabic" w:hAnsi="Simplified Arabic" w:cs="Simplified Arabic"/>
          <w:sz w:val="28"/>
          <w:szCs w:val="28"/>
        </w:rPr>
        <w:t xml:space="preserve"> </w:t>
      </w:r>
      <w:r w:rsidRPr="00AE507C">
        <w:rPr>
          <w:rFonts w:ascii="Simplified Arabic" w:hAnsi="Simplified Arabic" w:cs="Simplified Arabic"/>
          <w:sz w:val="28"/>
          <w:szCs w:val="28"/>
          <w:rtl/>
        </w:rPr>
        <w:t>الدربي، عبد العزيز (2018)، بعنوان "تحديات تبني المنهجيات الهجينة في المؤسسات الحكومية السعودية"، هدفت الدراسة إلى فهم التحديات التي تواجه المؤسسات الحكومية عند الانتقال من منهجية</w:t>
      </w:r>
      <w:r w:rsidRPr="00AE507C">
        <w:rPr>
          <w:rFonts w:ascii="Simplified Arabic" w:hAnsi="Simplified Arabic" w:cs="Simplified Arabic"/>
          <w:sz w:val="28"/>
          <w:szCs w:val="28"/>
        </w:rPr>
        <w:t xml:space="preserve"> Waterfall </w:t>
      </w:r>
      <w:r w:rsidRPr="00AE507C">
        <w:rPr>
          <w:rFonts w:ascii="Simplified Arabic" w:hAnsi="Simplified Arabic" w:cs="Simplified Arabic"/>
          <w:sz w:val="28"/>
          <w:szCs w:val="28"/>
          <w:rtl/>
        </w:rPr>
        <w:t>إلى النموذج الهجين. اعتمدت الدراسة على منهج وصفي تحليلي باستخدام الاستبيان كأداة رئيسية لجمع البيانات من قادة المشاريع ومديري الأقسام التقنية في عدد من الوزارات والهيئات الحكومية. توصلت الدراسة إلى نتائج أبرزها أن التحديات الثقافية تنظيمياً تمثل أكبر عائق أمام التحول، إضافة إلى ضعف البنية التحتية الرقمية وعدم توفر الكفاءات المؤهلة. ومن بين التوصيات الرئيسية التي خرجت بها الدراسة: ضرورة تطوير برامج تدريبية مكثفة للموظفين، وإحداث تغييرات تشريعية تدعم استخدام المنهجيات الحديثة، بالإضافة إلى تعزيز القيادة التنظيمية للتحول الرقمي</w:t>
      </w:r>
      <w:r w:rsidRPr="00AE507C">
        <w:rPr>
          <w:rFonts w:ascii="Simplified Arabic" w:hAnsi="Simplified Arabic" w:cs="Simplified Arabic"/>
          <w:sz w:val="28"/>
          <w:szCs w:val="28"/>
        </w:rPr>
        <w:t>.</w:t>
      </w:r>
    </w:p>
    <w:p w14:paraId="11DFF94D" w14:textId="63093789"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الدراسة الثانية</w:t>
      </w:r>
      <w:r w:rsidRPr="00AE507C">
        <w:rPr>
          <w:rFonts w:ascii="Simplified Arabic" w:hAnsi="Simplified Arabic" w:cs="Simplified Arabic"/>
          <w:sz w:val="28"/>
          <w:szCs w:val="28"/>
        </w:rPr>
        <w:t>:</w:t>
      </w:r>
      <w:r>
        <w:rPr>
          <w:rFonts w:ascii="Simplified Arabic" w:hAnsi="Simplified Arabic" w:cs="Simplified Arabic"/>
          <w:sz w:val="28"/>
          <w:szCs w:val="28"/>
        </w:rPr>
        <w:t xml:space="preserve"> </w:t>
      </w:r>
      <w:r w:rsidRPr="00AE507C">
        <w:rPr>
          <w:rFonts w:ascii="Simplified Arabic" w:hAnsi="Simplified Arabic" w:cs="Simplified Arabic"/>
          <w:sz w:val="28"/>
          <w:szCs w:val="28"/>
          <w:rtl/>
        </w:rPr>
        <w:t>الشهري، خالد (2019)، بعنوان "تحليل تجارب بعض الشركات العالمية في تبني النموذج الهجين لإدارة المشاريع"، هدفت الدراسة إلى استعراض التجارب الدولية الناجحة في تبني النموذج الهجين، بهدف استخلاص الدروس المستفادة وتطبيقها محليًا. اعتمد الباحث على منهج دراسة الحالة</w:t>
      </w:r>
      <w:r w:rsidRPr="00AE507C">
        <w:rPr>
          <w:rFonts w:ascii="Simplified Arabic" w:hAnsi="Simplified Arabic" w:cs="Simplified Arabic"/>
          <w:sz w:val="28"/>
          <w:szCs w:val="28"/>
        </w:rPr>
        <w:t xml:space="preserve"> (Case Study) </w:t>
      </w:r>
      <w:r w:rsidRPr="00AE507C">
        <w:rPr>
          <w:rFonts w:ascii="Simplified Arabic" w:hAnsi="Simplified Arabic" w:cs="Simplified Arabic"/>
          <w:sz w:val="28"/>
          <w:szCs w:val="28"/>
          <w:rtl/>
        </w:rPr>
        <w:t>عبر تحليل بيانات من ثماني شركات عالمية من أمريكا وأوروبا وآسيا. توصلت الدراسة إلى أن النجاح في تبني النموذج الهجين يرتبط بشكل مباشر بوجود ثقافة تنظيمية مرنة، ووجود قيادات داعمة للتغيير، وتوفير البنية التحتية المناسبة، إضافة إلى وجود استراتيجيات واضحة لتقييم الأداء. من ضمن التوصيات التي خرجت بها الدراسة: ضرورة بناء نماذج محلية مستوحاة من التجارب الدولية مع مراعاة السياق الثقافي والتنظيمي المحلي</w:t>
      </w:r>
      <w:r w:rsidRPr="00AE507C">
        <w:rPr>
          <w:rFonts w:ascii="Simplified Arabic" w:hAnsi="Simplified Arabic" w:cs="Simplified Arabic"/>
          <w:sz w:val="28"/>
          <w:szCs w:val="28"/>
        </w:rPr>
        <w:t>.</w:t>
      </w:r>
    </w:p>
    <w:p w14:paraId="586BBC56" w14:textId="26F3CD8F" w:rsidR="00AE507C" w:rsidRPr="00AE507C" w:rsidRDefault="00AE507C" w:rsidP="00AE507C">
      <w:pPr>
        <w:spacing w:line="360" w:lineRule="auto"/>
        <w:rPr>
          <w:rFonts w:ascii="Simplified Arabic" w:hAnsi="Simplified Arabic" w:cs="Simplified Arabic" w:hint="cs"/>
          <w:sz w:val="28"/>
          <w:szCs w:val="28"/>
          <w:rtl/>
        </w:rPr>
      </w:pPr>
      <w:r w:rsidRPr="00AE507C">
        <w:rPr>
          <w:rFonts w:ascii="Simplified Arabic" w:hAnsi="Simplified Arabic" w:cs="Simplified Arabic"/>
          <w:sz w:val="28"/>
          <w:szCs w:val="28"/>
          <w:rtl/>
        </w:rPr>
        <w:lastRenderedPageBreak/>
        <w:t>الدراسة الثالثة</w:t>
      </w:r>
      <w:r w:rsidRPr="00AE507C">
        <w:rPr>
          <w:rFonts w:ascii="Simplified Arabic" w:hAnsi="Simplified Arabic" w:cs="Simplified Arabic"/>
          <w:sz w:val="28"/>
          <w:szCs w:val="28"/>
        </w:rPr>
        <w:t>: Al-Mutairi, A., &amp; Al-Saleh, M. (2020)</w:t>
      </w:r>
      <w:r w:rsidRPr="00AE507C">
        <w:rPr>
          <w:rFonts w:ascii="Simplified Arabic" w:hAnsi="Simplified Arabic" w:cs="Simplified Arabic"/>
          <w:sz w:val="28"/>
          <w:szCs w:val="28"/>
          <w:rtl/>
        </w:rPr>
        <w:t>، بعنوان</w:t>
      </w:r>
      <w:r w:rsidRPr="00AE507C">
        <w:rPr>
          <w:rFonts w:ascii="Simplified Arabic" w:hAnsi="Simplified Arabic" w:cs="Simplified Arabic"/>
          <w:sz w:val="28"/>
          <w:szCs w:val="28"/>
        </w:rPr>
        <w:t xml:space="preserve"> "Managing the Transition from Waterfall to Hybrid Methodologies in Traditional Organizations"</w:t>
      </w:r>
      <w:r w:rsidRPr="00AE507C">
        <w:rPr>
          <w:rFonts w:ascii="Simplified Arabic" w:hAnsi="Simplified Arabic" w:cs="Simplified Arabic"/>
          <w:sz w:val="28"/>
          <w:szCs w:val="28"/>
          <w:rtl/>
        </w:rPr>
        <w:t xml:space="preserve">، نُشرت في مجلة </w:t>
      </w:r>
      <w:r w:rsidRPr="00AE507C">
        <w:rPr>
          <w:rFonts w:ascii="Simplified Arabic" w:hAnsi="Simplified Arabic" w:cs="Simplified Arabic"/>
          <w:i/>
          <w:iCs/>
          <w:sz w:val="28"/>
          <w:szCs w:val="28"/>
        </w:rPr>
        <w:t xml:space="preserve">International Journal of Project Management </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هدفت الدراسة إلى تحليل عملية التحول من منهجية</w:t>
      </w:r>
      <w:r w:rsidRPr="00AE507C">
        <w:rPr>
          <w:rFonts w:ascii="Simplified Arabic" w:hAnsi="Simplified Arabic" w:cs="Simplified Arabic"/>
          <w:sz w:val="28"/>
          <w:szCs w:val="28"/>
        </w:rPr>
        <w:t xml:space="preserve"> Waterfall </w:t>
      </w:r>
      <w:r w:rsidRPr="00AE507C">
        <w:rPr>
          <w:rFonts w:ascii="Simplified Arabic" w:hAnsi="Simplified Arabic" w:cs="Simplified Arabic"/>
          <w:sz w:val="28"/>
          <w:szCs w:val="28"/>
          <w:rtl/>
        </w:rPr>
        <w:t>إلى النموذج الهجين في مؤسسات تقليدية في منطقة الخليج العربي. استخدم الباحثان منهجية دراسة الحالة النوعية مع تحليل بيانات من ثلاث مؤسسات رائدة في قطاعات الطاقة والمعلوماتية. أظهرت النتائج أن أهم التحديات تتعلق بتغيير العقلية الإدارية، وتحديث أنظمة إدارة المشاريع، وتطوير مهارات الفرق. كما أكدت الدراسة على دور القيادة في تسهيل هذا التحول. من التوصيات التي خرجت بها الدراسة: ضرورة تصميم برامج تدريبية مخصصة، واعتماد إطار حوكمة جديد يتناسب مع طبيعة العمل الهجين، وبناء مؤشرات أداء مرنة</w:t>
      </w:r>
      <w:r w:rsidRPr="00AE507C">
        <w:rPr>
          <w:rFonts w:ascii="Simplified Arabic" w:hAnsi="Simplified Arabic" w:cs="Simplified Arabic"/>
          <w:sz w:val="28"/>
          <w:szCs w:val="28"/>
        </w:rPr>
        <w:t>.</w:t>
      </w:r>
    </w:p>
    <w:p w14:paraId="38252661" w14:textId="0D75F1E4"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الدراسة الرابعة</w:t>
      </w:r>
      <w:r w:rsidRPr="00AE507C">
        <w:rPr>
          <w:rFonts w:ascii="Simplified Arabic" w:hAnsi="Simplified Arabic" w:cs="Simplified Arabic"/>
          <w:sz w:val="28"/>
          <w:szCs w:val="28"/>
        </w:rPr>
        <w:t>:</w:t>
      </w:r>
      <w:r>
        <w:rPr>
          <w:rFonts w:ascii="Simplified Arabic" w:hAnsi="Simplified Arabic" w:cs="Simplified Arabic"/>
          <w:sz w:val="28"/>
          <w:szCs w:val="28"/>
        </w:rPr>
        <w:t xml:space="preserve"> </w:t>
      </w:r>
      <w:r w:rsidRPr="00AE507C">
        <w:rPr>
          <w:rFonts w:ascii="Simplified Arabic" w:hAnsi="Simplified Arabic" w:cs="Simplified Arabic"/>
          <w:sz w:val="28"/>
          <w:szCs w:val="28"/>
          <w:rtl/>
        </w:rPr>
        <w:t>الزهراني، عبدالله (2020)، بعنوان "التحول من منهجيات التطوير التقليدية إلى النموذج الهجين في الجامعات السعودية"، هدفت إلى تقييم مدى جاهزية الجامعات السعودية للتحول إلى النموذج الهجين في إدارة مشاريع التعليم الإلكتروني والبنية التحتية التقنية. اعتمد الباحث على منهج تحليل المحتوى واستبيانات موجهة لأعضاء هيئة التدريس والإداريين في خمس جامعات سعودية. توصلت الدراسة إلى أن هناك إدراكاً متزايداً بأهمية المنهجيات الحديثة، لكن ينقص العملية التحولية دعم القيادة العليا، ووجود سياسات واضحة، وتدريب كافٍ للموظفين. من التوصيات الرئيسية: تفعيل مكاتب إدارة المشاريع داخل الجامعات، ودمج مبادئ</w:t>
      </w:r>
      <w:r w:rsidRPr="00AE507C">
        <w:rPr>
          <w:rFonts w:ascii="Simplified Arabic" w:hAnsi="Simplified Arabic" w:cs="Simplified Arabic"/>
          <w:sz w:val="28"/>
          <w:szCs w:val="28"/>
        </w:rPr>
        <w:t xml:space="preserve"> Agile </w:t>
      </w:r>
      <w:r w:rsidRPr="00AE507C">
        <w:rPr>
          <w:rFonts w:ascii="Simplified Arabic" w:hAnsi="Simplified Arabic" w:cs="Simplified Arabic"/>
          <w:sz w:val="28"/>
          <w:szCs w:val="28"/>
          <w:rtl/>
        </w:rPr>
        <w:t>و</w:t>
      </w:r>
      <w:r w:rsidRPr="00AE507C">
        <w:rPr>
          <w:rFonts w:ascii="Simplified Arabic" w:hAnsi="Simplified Arabic" w:cs="Simplified Arabic"/>
          <w:sz w:val="28"/>
          <w:szCs w:val="28"/>
        </w:rPr>
        <w:t xml:space="preserve">Lean </w:t>
      </w:r>
      <w:r w:rsidRPr="00AE507C">
        <w:rPr>
          <w:rFonts w:ascii="Simplified Arabic" w:hAnsi="Simplified Arabic" w:cs="Simplified Arabic"/>
          <w:sz w:val="28"/>
          <w:szCs w:val="28"/>
          <w:rtl/>
        </w:rPr>
        <w:t>في الخطط الاستراتيجية، وتشجيع البحث العلمي حول تطبيقات النموذج الهجين</w:t>
      </w:r>
      <w:r w:rsidRPr="00AE507C">
        <w:rPr>
          <w:rFonts w:ascii="Simplified Arabic" w:hAnsi="Simplified Arabic" w:cs="Simplified Arabic"/>
          <w:sz w:val="28"/>
          <w:szCs w:val="28"/>
        </w:rPr>
        <w:t>.</w:t>
      </w:r>
    </w:p>
    <w:p w14:paraId="4C3F405B" w14:textId="0E63087F"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الدراسة الخامسة</w:t>
      </w:r>
      <w:r w:rsidRPr="00AE507C">
        <w:rPr>
          <w:rFonts w:ascii="Simplified Arabic" w:hAnsi="Simplified Arabic" w:cs="Simplified Arabic"/>
          <w:sz w:val="28"/>
          <w:szCs w:val="28"/>
        </w:rPr>
        <w:t>: Khan, S., &amp; Ahmed, F. (2021)</w:t>
      </w:r>
      <w:r w:rsidRPr="00AE507C">
        <w:rPr>
          <w:rFonts w:ascii="Simplified Arabic" w:hAnsi="Simplified Arabic" w:cs="Simplified Arabic"/>
          <w:sz w:val="28"/>
          <w:szCs w:val="28"/>
          <w:rtl/>
        </w:rPr>
        <w:t>، بعنوان</w:t>
      </w:r>
      <w:r w:rsidRPr="00AE507C">
        <w:rPr>
          <w:rFonts w:ascii="Simplified Arabic" w:hAnsi="Simplified Arabic" w:cs="Simplified Arabic"/>
          <w:sz w:val="28"/>
          <w:szCs w:val="28"/>
        </w:rPr>
        <w:t xml:space="preserve"> "Challenges and Success Factors in Hybrid Project Management Adoption"</w:t>
      </w:r>
      <w:r w:rsidRPr="00AE507C">
        <w:rPr>
          <w:rFonts w:ascii="Simplified Arabic" w:hAnsi="Simplified Arabic" w:cs="Simplified Arabic"/>
          <w:sz w:val="28"/>
          <w:szCs w:val="28"/>
          <w:rtl/>
        </w:rPr>
        <w:t xml:space="preserve">، نُشرت في مجلة </w:t>
      </w:r>
      <w:r w:rsidRPr="00AE507C">
        <w:rPr>
          <w:rFonts w:ascii="Simplified Arabic" w:hAnsi="Simplified Arabic" w:cs="Simplified Arabic"/>
          <w:i/>
          <w:iCs/>
          <w:sz w:val="28"/>
          <w:szCs w:val="28"/>
        </w:rPr>
        <w:t xml:space="preserve">Project </w:t>
      </w:r>
      <w:r w:rsidRPr="00AE507C">
        <w:rPr>
          <w:rFonts w:ascii="Simplified Arabic" w:hAnsi="Simplified Arabic" w:cs="Simplified Arabic"/>
          <w:i/>
          <w:iCs/>
          <w:sz w:val="28"/>
          <w:szCs w:val="28"/>
        </w:rPr>
        <w:lastRenderedPageBreak/>
        <w:t xml:space="preserve">Management Journal </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هدفت الدراسة إلى تحديد العوامل الرئيسية التي تؤثر على نجاح تبني النموذج الهجين في المؤسسات التقليدية. استخدم الباحثان منهج تحليل البيانات الكمية عبر استبيانات موجهة لـ 350 مدير مشروع في قطاعات مختلفة في الولايات المتحدة والمملكة المتحدة. أظهرت النتائج أن العوامل الثلاثة الأكثر تأثيراً هي: الدعم القيادي، والثقافة التنظيمية المرنة، والمهارات الفنية للفرق. كما أظهرت الدراسة أن مقاومة التغيير من قبل أصحاب المصلحة كانت العائق الرئيسي. من التوصيات التي خرجت بها الدراسة: تطوير نماذج توجيهية للتحول، وتعزيز التواصل بين الإدارة العليا والفريق التنفيذي، وتوفير أدوات رقمية متكاملة لدعم العمل الهجين</w:t>
      </w:r>
      <w:r w:rsidRPr="00AE507C">
        <w:rPr>
          <w:rFonts w:ascii="Simplified Arabic" w:hAnsi="Simplified Arabic" w:cs="Simplified Arabic"/>
          <w:sz w:val="28"/>
          <w:szCs w:val="28"/>
        </w:rPr>
        <w:t>.</w:t>
      </w:r>
    </w:p>
    <w:p w14:paraId="5FD3EA9C" w14:textId="0D69C073"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الدراسة السادسة</w:t>
      </w:r>
      <w:r w:rsidRPr="00AE507C">
        <w:rPr>
          <w:rFonts w:ascii="Simplified Arabic" w:hAnsi="Simplified Arabic" w:cs="Simplified Arabic"/>
          <w:sz w:val="28"/>
          <w:szCs w:val="28"/>
        </w:rPr>
        <w:t>:</w:t>
      </w:r>
      <w:r>
        <w:rPr>
          <w:rFonts w:ascii="Simplified Arabic" w:hAnsi="Simplified Arabic" w:cs="Simplified Arabic"/>
          <w:sz w:val="28"/>
          <w:szCs w:val="28"/>
        </w:rPr>
        <w:t xml:space="preserve"> </w:t>
      </w:r>
      <w:r w:rsidRPr="00AE507C">
        <w:rPr>
          <w:rFonts w:ascii="Simplified Arabic" w:hAnsi="Simplified Arabic" w:cs="Simplified Arabic"/>
          <w:sz w:val="28"/>
          <w:szCs w:val="28"/>
          <w:rtl/>
        </w:rPr>
        <w:t>الغامدي، سليمان (2021)، بعنوان "التحول إلى النموذج الهجين في القطاع الحكومي: دراسة مقارنة بين دول مجلس التعاون الخليجي"، هدفت إلى مقارنة مستوى التحول إلى النموذج الهجين بين بعض الدول الخليجية، مع التركيز على العوامل المساعدة والمعوقات. اعتمد الباحث على منهج تحليل المحتوى ودراسة الوثائق الرسمية المتعلقة بالتحول الرقمي في خمس دول خليجية، إضافة إلى مقابلات مع خبراء في مجال إدارة المشاريع. توصلت الدراسة إلى أن دول مثل الإمارات والبحرين متقدمة في هذا المجال مقارنة بدول أخرى بسبب وجود استراتيجيات واضحة ودعم حكومي قوي. من التوصيات التي خرجت بها الدراسة: ضرورة وضع خطط وطنية موحدة للتحول إلى النموذج الهجين، وتبادل الخبرات بين الدول، وبناء قواعد بيانات خاصة بالتجارب المحلية</w:t>
      </w:r>
      <w:r w:rsidRPr="00AE507C">
        <w:rPr>
          <w:rFonts w:ascii="Simplified Arabic" w:hAnsi="Simplified Arabic" w:cs="Simplified Arabic"/>
          <w:sz w:val="28"/>
          <w:szCs w:val="28"/>
        </w:rPr>
        <w:t>.</w:t>
      </w:r>
    </w:p>
    <w:p w14:paraId="5FDC504A" w14:textId="65CE0E4E" w:rsidR="00AE507C" w:rsidRPr="00AE507C" w:rsidRDefault="00AE507C" w:rsidP="00AE507C">
      <w:pPr>
        <w:spacing w:line="360" w:lineRule="auto"/>
        <w:jc w:val="lowKashida"/>
        <w:rPr>
          <w:rFonts w:ascii="Simplified Arabic" w:hAnsi="Simplified Arabic" w:cs="Simplified Arabic" w:hint="cs"/>
          <w:sz w:val="28"/>
          <w:szCs w:val="28"/>
          <w:rtl/>
          <w:lang w:bidi="ar-EG"/>
        </w:rPr>
      </w:pPr>
      <w:r w:rsidRPr="00AE507C">
        <w:rPr>
          <w:rFonts w:ascii="Simplified Arabic" w:hAnsi="Simplified Arabic" w:cs="Simplified Arabic"/>
          <w:sz w:val="28"/>
          <w:szCs w:val="28"/>
          <w:rtl/>
        </w:rPr>
        <w:t>الدراسة السابعة</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lang w:bidi="ar-EG"/>
        </w:rPr>
        <w:t>Smith, J., &amp; Taylor, R. (2017)</w:t>
      </w:r>
      <w:r w:rsidRPr="00AE507C">
        <w:rPr>
          <w:rFonts w:ascii="Simplified Arabic" w:hAnsi="Simplified Arabic" w:cs="Simplified Arabic"/>
          <w:sz w:val="28"/>
          <w:szCs w:val="28"/>
          <w:rtl/>
        </w:rPr>
        <w:t>، بعنوان</w:t>
      </w:r>
      <w:r w:rsidRPr="00AE507C">
        <w:rPr>
          <w:rFonts w:ascii="Simplified Arabic" w:hAnsi="Simplified Arabic" w:cs="Simplified Arabic"/>
          <w:sz w:val="28"/>
          <w:szCs w:val="28"/>
          <w:lang w:bidi="ar-EG"/>
        </w:rPr>
        <w:t xml:space="preserve"> "Hybrid Models in Software Development: Lessons from the Field"</w:t>
      </w:r>
      <w:r w:rsidRPr="00AE507C">
        <w:rPr>
          <w:rFonts w:ascii="Simplified Arabic" w:hAnsi="Simplified Arabic" w:cs="Simplified Arabic"/>
          <w:sz w:val="28"/>
          <w:szCs w:val="28"/>
          <w:rtl/>
        </w:rPr>
        <w:t xml:space="preserve">، نُشرت في مجلة </w:t>
      </w:r>
      <w:r w:rsidRPr="00AE507C">
        <w:rPr>
          <w:rFonts w:ascii="Simplified Arabic" w:hAnsi="Simplified Arabic" w:cs="Simplified Arabic"/>
          <w:i/>
          <w:iCs/>
          <w:sz w:val="28"/>
          <w:szCs w:val="28"/>
          <w:lang w:bidi="ar-EG"/>
        </w:rPr>
        <w:t xml:space="preserve">Software Project Management Review </w:t>
      </w:r>
      <w:r w:rsidRPr="00AE507C">
        <w:rPr>
          <w:rFonts w:ascii="Simplified Arabic" w:hAnsi="Simplified Arabic" w:cs="Simplified Arabic"/>
          <w:sz w:val="28"/>
          <w:szCs w:val="28"/>
          <w:lang w:bidi="ar-EG"/>
        </w:rPr>
        <w:t xml:space="preserve">. </w:t>
      </w:r>
      <w:r w:rsidRPr="00AE507C">
        <w:rPr>
          <w:rFonts w:ascii="Simplified Arabic" w:hAnsi="Simplified Arabic" w:cs="Simplified Arabic"/>
          <w:sz w:val="28"/>
          <w:szCs w:val="28"/>
          <w:rtl/>
        </w:rPr>
        <w:t xml:space="preserve">هدفت الدراسة إلى تقديم تحليل عملي لتجارب عدد من شركات البرمجيات الكبرى في استخدام النموذج الهجين. استخدم الباحثون منهج دراسة الحالة مع تحليل تفاعلي </w:t>
      </w:r>
      <w:r w:rsidRPr="00AE507C">
        <w:rPr>
          <w:rFonts w:ascii="Simplified Arabic" w:hAnsi="Simplified Arabic" w:cs="Simplified Arabic"/>
          <w:sz w:val="28"/>
          <w:szCs w:val="28"/>
          <w:rtl/>
        </w:rPr>
        <w:lastRenderedPageBreak/>
        <w:t>مع فرق العمل في أربع شركات أمريكية. توصلت الدراسة إلى أن الجمع بين الانضباط المنهجي لمنهجية</w:t>
      </w:r>
      <w:r w:rsidRPr="00AE507C">
        <w:rPr>
          <w:rFonts w:ascii="Simplified Arabic" w:hAnsi="Simplified Arabic" w:cs="Simplified Arabic"/>
          <w:sz w:val="28"/>
          <w:szCs w:val="28"/>
          <w:lang w:bidi="ar-EG"/>
        </w:rPr>
        <w:t xml:space="preserve"> Waterfall </w:t>
      </w:r>
      <w:r w:rsidRPr="00AE507C">
        <w:rPr>
          <w:rFonts w:ascii="Simplified Arabic" w:hAnsi="Simplified Arabic" w:cs="Simplified Arabic"/>
          <w:sz w:val="28"/>
          <w:szCs w:val="28"/>
          <w:rtl/>
        </w:rPr>
        <w:t>مع مرونة</w:t>
      </w:r>
      <w:r w:rsidRPr="00AE507C">
        <w:rPr>
          <w:rFonts w:ascii="Simplified Arabic" w:hAnsi="Simplified Arabic" w:cs="Simplified Arabic"/>
          <w:sz w:val="28"/>
          <w:szCs w:val="28"/>
          <w:lang w:bidi="ar-EG"/>
        </w:rPr>
        <w:t xml:space="preserve"> Agile </w:t>
      </w:r>
      <w:r w:rsidRPr="00AE507C">
        <w:rPr>
          <w:rFonts w:ascii="Simplified Arabic" w:hAnsi="Simplified Arabic" w:cs="Simplified Arabic"/>
          <w:sz w:val="28"/>
          <w:szCs w:val="28"/>
          <w:rtl/>
        </w:rPr>
        <w:t>يمكن أن يؤدي إلى تحسين جودة المنتج وزيادة رضا العملاء. ومع ذلك، أشارت الدراسة إلى وجود تحديات تتعلق بإدارة التوقعات وتحديد الأدوار. من التوصيات التي خرجت بها الدراسة: ضرورة توفير أدوات تخطيط متكاملة، وتبني منهجيات تواصل فعالة، وتقسيم المشروع إلى مراحل مختلطة بحيث تُستخدم فيها المنهجيات المناسبة لكل مرحلة</w:t>
      </w:r>
      <w:r w:rsidRPr="00AE507C">
        <w:rPr>
          <w:rFonts w:ascii="Simplified Arabic" w:hAnsi="Simplified Arabic" w:cs="Simplified Arabic"/>
          <w:sz w:val="28"/>
          <w:szCs w:val="28"/>
          <w:lang w:bidi="ar-EG"/>
        </w:rPr>
        <w:t>.</w:t>
      </w:r>
    </w:p>
    <w:p w14:paraId="22011D1F" w14:textId="1B0873F5"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الدراسة الثامنة</w:t>
      </w:r>
      <w:r w:rsidRPr="00AE507C">
        <w:rPr>
          <w:rFonts w:ascii="Simplified Arabic" w:hAnsi="Simplified Arabic" w:cs="Simplified Arabic"/>
          <w:sz w:val="28"/>
          <w:szCs w:val="28"/>
        </w:rPr>
        <w:t>:</w:t>
      </w:r>
      <w:r>
        <w:rPr>
          <w:rFonts w:ascii="Simplified Arabic" w:hAnsi="Simplified Arabic" w:cs="Simplified Arabic"/>
          <w:sz w:val="28"/>
          <w:szCs w:val="28"/>
        </w:rPr>
        <w:t xml:space="preserve"> </w:t>
      </w:r>
      <w:r w:rsidRPr="00AE507C">
        <w:rPr>
          <w:rFonts w:ascii="Simplified Arabic" w:hAnsi="Simplified Arabic" w:cs="Simplified Arabic"/>
          <w:sz w:val="28"/>
          <w:szCs w:val="28"/>
          <w:rtl/>
        </w:rPr>
        <w:t>الدوسر، فهد (2021)، بعنوان "التحول إلى النموذج الهجين في قطاع الخدمات المالية في المملكة العربية السعودية"، هدفت إلى تحليل حالة قطاع الخدمات المالية السعودي فيما يتعلق بتبني النموذج الهجين في إدارة مشاريع تقنية المعلومات. اعتمد الباحث على منهج تحليل البيانات النوعية من خلال مقابلات مع خبراء ومسؤولين في البنوك وشركات التكنولوجيا المالية. توصلت الدراسة إلى أن قطاع الخدمات المالية يشهد تحولاً تدريجياً نحو النموذج الهجين، لكن لا يزال هناك تردد كبير بسبب القوانين الصارمة والسياسات الداخلية التي تتطلب الالتزام بالإجراءات التقليدية. من التوصيات التي خرجت بها الدراسة: إعادة النظر في السياسات التنظيمية، وخلق مساحات آمنة</w:t>
      </w:r>
      <w:r w:rsidRPr="00AE507C">
        <w:rPr>
          <w:rFonts w:ascii="Simplified Arabic" w:hAnsi="Simplified Arabic" w:cs="Simplified Arabic"/>
          <w:sz w:val="28"/>
          <w:szCs w:val="28"/>
        </w:rPr>
        <w:t xml:space="preserve"> (Sandbox) </w:t>
      </w:r>
      <w:r w:rsidRPr="00AE507C">
        <w:rPr>
          <w:rFonts w:ascii="Simplified Arabic" w:hAnsi="Simplified Arabic" w:cs="Simplified Arabic"/>
          <w:sz w:val="28"/>
          <w:szCs w:val="28"/>
          <w:rtl/>
        </w:rPr>
        <w:t>لتجربة المنهجيات الجديدة، وتعزيز الشراكات مع شركات تكنولوجيا مرنة</w:t>
      </w:r>
      <w:r w:rsidRPr="00AE507C">
        <w:rPr>
          <w:rFonts w:ascii="Simplified Arabic" w:hAnsi="Simplified Arabic" w:cs="Simplified Arabic"/>
          <w:sz w:val="28"/>
          <w:szCs w:val="28"/>
        </w:rPr>
        <w:t>.</w:t>
      </w:r>
    </w:p>
    <w:p w14:paraId="1FC6F9DE" w14:textId="1B4826C2" w:rsidR="00AE507C" w:rsidRPr="00AE507C" w:rsidRDefault="00AE507C" w:rsidP="00AE507C">
      <w:pPr>
        <w:spacing w:line="360" w:lineRule="auto"/>
        <w:jc w:val="lowKashida"/>
        <w:rPr>
          <w:rFonts w:ascii="Simplified Arabic" w:hAnsi="Simplified Arabic" w:cs="Simplified Arabic" w:hint="cs"/>
          <w:sz w:val="28"/>
          <w:szCs w:val="28"/>
          <w:rtl/>
          <w:lang w:bidi="ar-EG"/>
        </w:rPr>
      </w:pPr>
      <w:r w:rsidRPr="00AE507C">
        <w:rPr>
          <w:rFonts w:ascii="Simplified Arabic" w:hAnsi="Simplified Arabic" w:cs="Simplified Arabic"/>
          <w:sz w:val="28"/>
          <w:szCs w:val="28"/>
          <w:rtl/>
        </w:rPr>
        <w:t>الدراسة التاسعة</w:t>
      </w:r>
      <w:r w:rsidRPr="00AE507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E507C">
        <w:rPr>
          <w:rFonts w:ascii="Simplified Arabic" w:hAnsi="Simplified Arabic" w:cs="Simplified Arabic"/>
          <w:sz w:val="28"/>
          <w:szCs w:val="28"/>
          <w:lang w:bidi="ar-EG"/>
        </w:rPr>
        <w:t>Brown, T., &amp; Green, P. (2019</w:t>
      </w:r>
      <w:r w:rsidRPr="00AE507C">
        <w:rPr>
          <w:rFonts w:ascii="Simplified Arabic" w:hAnsi="Simplified Arabic" w:cs="Simplified Arabic"/>
          <w:sz w:val="28"/>
          <w:szCs w:val="28"/>
          <w:rtl/>
          <w:lang w:bidi="ar-EG"/>
        </w:rPr>
        <w:t>)</w:t>
      </w:r>
      <w:r w:rsidRPr="00AE507C">
        <w:rPr>
          <w:rFonts w:ascii="Simplified Arabic" w:hAnsi="Simplified Arabic" w:cs="Simplified Arabic" w:hint="cs"/>
          <w:sz w:val="28"/>
          <w:szCs w:val="28"/>
          <w:rtl/>
          <w:lang w:bidi="ar-EG"/>
        </w:rPr>
        <w:t>،</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بعنوان</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sz w:val="28"/>
          <w:szCs w:val="28"/>
          <w:lang w:bidi="ar-EG"/>
        </w:rPr>
        <w:t>Training Needs for Hybrid Project Managers in Traditional Organizations</w:t>
      </w:r>
      <w:r w:rsidRPr="00AE507C">
        <w:rPr>
          <w:rFonts w:ascii="Simplified Arabic" w:hAnsi="Simplified Arabic" w:cs="Simplified Arabic"/>
          <w:sz w:val="28"/>
          <w:szCs w:val="28"/>
          <w:rtl/>
          <w:lang w:bidi="ar-EG"/>
        </w:rPr>
        <w:t>"</w:t>
      </w:r>
      <w:r w:rsidRPr="00AE507C">
        <w:rPr>
          <w:rFonts w:ascii="Simplified Arabic" w:hAnsi="Simplified Arabic" w:cs="Simplified Arabic" w:hint="cs"/>
          <w:sz w:val="28"/>
          <w:szCs w:val="28"/>
          <w:rtl/>
          <w:lang w:bidi="ar-EG"/>
        </w:rPr>
        <w:t>،</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نُشرت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في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مجلة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sz w:val="28"/>
          <w:szCs w:val="28"/>
          <w:lang w:bidi="ar-EG"/>
        </w:rPr>
        <w:t>Human Resource Development Quarterly</w:t>
      </w:r>
      <w:r w:rsidRPr="00AE507C">
        <w:rPr>
          <w:rFonts w:ascii="Simplified Arabic" w:hAnsi="Simplified Arabic" w:cs="Simplified Arabic"/>
          <w:sz w:val="28"/>
          <w:szCs w:val="28"/>
          <w:rtl/>
          <w:lang w:bidi="ar-EG"/>
        </w:rPr>
        <w:t xml:space="preserve"> . </w:t>
      </w:r>
      <w:r w:rsidRPr="00AE507C">
        <w:rPr>
          <w:rFonts w:ascii="Simplified Arabic" w:hAnsi="Simplified Arabic" w:cs="Simplified Arabic" w:hint="cs"/>
          <w:sz w:val="28"/>
          <w:szCs w:val="28"/>
          <w:rtl/>
          <w:lang w:bidi="ar-EG"/>
        </w:rPr>
        <w:t>هدفت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الدراسة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إلى</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تحديد</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الاحتياجات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التدريبية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لمديري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المشاريع</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في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المؤسسات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التي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تسعى</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للتحول</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إلى</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النموذج</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الهجين</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استخدم</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الباحثون</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منهج</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تحليل</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الاحتياجات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التدريبية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عبر</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استبيانات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وتقييمات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أداء</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لمديري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مشاريع</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في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قطاعات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مختلفة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توصلت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الدراسة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إلى</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أن</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المهارات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الأساسية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المطلوبة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تشمل</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إدارة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التغيير،</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والتواصل</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الفعال،</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واستخدام</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أدوات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sz w:val="28"/>
          <w:szCs w:val="28"/>
          <w:lang w:bidi="ar-EG"/>
        </w:rPr>
        <w:t>Agile</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و</w:t>
      </w:r>
      <w:r w:rsidRPr="00AE507C">
        <w:rPr>
          <w:rFonts w:ascii="Simplified Arabic" w:hAnsi="Simplified Arabic" w:cs="Simplified Arabic"/>
          <w:sz w:val="28"/>
          <w:szCs w:val="28"/>
          <w:lang w:bidi="ar-EG"/>
        </w:rPr>
        <w:t>Lean</w:t>
      </w:r>
      <w:r w:rsidRPr="00AE507C">
        <w:rPr>
          <w:rFonts w:ascii="Simplified Arabic" w:hAnsi="Simplified Arabic" w:cs="Simplified Arabic" w:hint="cs"/>
          <w:sz w:val="28"/>
          <w:szCs w:val="28"/>
          <w:rtl/>
          <w:lang w:bidi="ar-EG"/>
        </w:rPr>
        <w:t>،</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lastRenderedPageBreak/>
        <w:t>وفهم</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مبادئ</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الحوكمة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في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النموذج</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الهجين</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من</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التوصيات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التي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خرجت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بها</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الدراسة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تصميم</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برامج</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تدريبية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متكاملة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تجمع</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بين</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الجانب</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النظري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والتطبيقي،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وربط</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التدريب</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بالترقيات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المهنية،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واعتماد</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شهادات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معتمدة</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في</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المنهجيات</w:t>
      </w:r>
      <w:r w:rsidRPr="00AE507C">
        <w:rPr>
          <w:rFonts w:ascii="Simplified Arabic" w:hAnsi="Simplified Arabic" w:cs="Simplified Arabic"/>
          <w:sz w:val="28"/>
          <w:szCs w:val="28"/>
          <w:rtl/>
          <w:lang w:bidi="ar-EG"/>
        </w:rPr>
        <w:t xml:space="preserve"> </w:t>
      </w:r>
      <w:r w:rsidRPr="00AE507C">
        <w:rPr>
          <w:rFonts w:ascii="Simplified Arabic" w:hAnsi="Simplified Arabic" w:cs="Simplified Arabic" w:hint="cs"/>
          <w:sz w:val="28"/>
          <w:szCs w:val="28"/>
          <w:rtl/>
          <w:lang w:bidi="ar-EG"/>
        </w:rPr>
        <w:t>الحديثة</w:t>
      </w:r>
      <w:r w:rsidRPr="00AE507C">
        <w:rPr>
          <w:rFonts w:ascii="Simplified Arabic" w:hAnsi="Simplified Arabic" w:cs="Simplified Arabic"/>
          <w:sz w:val="28"/>
          <w:szCs w:val="28"/>
          <w:rtl/>
          <w:lang w:bidi="ar-EG"/>
        </w:rPr>
        <w:t>.</w:t>
      </w:r>
    </w:p>
    <w:p w14:paraId="2F6C77B1" w14:textId="414D1B69" w:rsidR="00AE507C" w:rsidRDefault="00AE507C" w:rsidP="00AE507C">
      <w:pPr>
        <w:spacing w:line="360" w:lineRule="auto"/>
        <w:jc w:val="lowKashida"/>
        <w:rPr>
          <w:rFonts w:ascii="Simplified Arabic" w:hAnsi="Simplified Arabic" w:cs="Simplified Arabic"/>
          <w:sz w:val="28"/>
          <w:szCs w:val="28"/>
          <w:rtl/>
        </w:rPr>
      </w:pPr>
      <w:r w:rsidRPr="00AE507C">
        <w:rPr>
          <w:rFonts w:ascii="Simplified Arabic" w:hAnsi="Simplified Arabic" w:cs="Simplified Arabic"/>
          <w:sz w:val="28"/>
          <w:szCs w:val="28"/>
          <w:rtl/>
        </w:rPr>
        <w:t>الدراسة العاشرة</w:t>
      </w:r>
      <w:r w:rsidRPr="00AE507C">
        <w:rPr>
          <w:rFonts w:ascii="Simplified Arabic" w:hAnsi="Simplified Arabic" w:cs="Simplified Arabic"/>
          <w:sz w:val="28"/>
          <w:szCs w:val="28"/>
        </w:rPr>
        <w:t>:</w:t>
      </w:r>
    </w:p>
    <w:p w14:paraId="0BF214CA"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القرشي، سامي (2022)، بعنوان "تحليل تأثير البنية التحتية الرقمية على نجاح تبني النموذج الهجين في المؤسسات التقليدية"، هدفت إلى دراسة العلاقة بين توفر البنية التحتية الرقمية ونجاح تبني النموذج الهجين. اعتمد الباحث على منهج تحليل إحصائي باستخدام نموذج هيكل المعادلات</w:t>
      </w:r>
      <w:r w:rsidRPr="00AE507C">
        <w:rPr>
          <w:rFonts w:ascii="Simplified Arabic" w:hAnsi="Simplified Arabic" w:cs="Simplified Arabic"/>
          <w:sz w:val="28"/>
          <w:szCs w:val="28"/>
        </w:rPr>
        <w:t xml:space="preserve"> (SEM) </w:t>
      </w:r>
      <w:r w:rsidRPr="00AE507C">
        <w:rPr>
          <w:rFonts w:ascii="Simplified Arabic" w:hAnsi="Simplified Arabic" w:cs="Simplified Arabic"/>
          <w:sz w:val="28"/>
          <w:szCs w:val="28"/>
          <w:rtl/>
        </w:rPr>
        <w:t>لتحليل بيانات من 250 موظفاً في قطاعات الصحة والتعليم والصناعة. توصلت الدراسة إلى أن البنية التحتية الرقمية لها تأثير إيجابي مباشر على نجاح التحول، وأن المؤسسات ذات البنية التحتية المتقدمة حققت نتائج أفضل في التكيف مع النموذج الجديد. من التوصيات التي خرجت بها الدراسة: زيادة الاستثمار في البنية التحتية الرقمية، واعتماد نماذج تدريجية للتحول، وربط البنية التحتية بالتغيرات التنظيمية والثقافية</w:t>
      </w:r>
      <w:r w:rsidRPr="00AE507C">
        <w:rPr>
          <w:rFonts w:ascii="Simplified Arabic" w:hAnsi="Simplified Arabic" w:cs="Simplified Arabic"/>
          <w:sz w:val="28"/>
          <w:szCs w:val="28"/>
        </w:rPr>
        <w:t>.</w:t>
      </w:r>
    </w:p>
    <w:p w14:paraId="27336897"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التعليق على الدراسات السابقة والفجوة البحثية</w:t>
      </w:r>
    </w:p>
    <w:p w14:paraId="7A402BEA"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 xml:space="preserve">تُعد دراسة تحديات التحول من منهجيات </w:t>
      </w:r>
      <w:r w:rsidRPr="00AE507C">
        <w:rPr>
          <w:rFonts w:ascii="Simplified Arabic" w:hAnsi="Simplified Arabic" w:cs="Simplified Arabic"/>
          <w:sz w:val="28"/>
          <w:szCs w:val="28"/>
        </w:rPr>
        <w:t xml:space="preserve">Waterfall </w:t>
      </w:r>
      <w:r w:rsidRPr="00AE507C">
        <w:rPr>
          <w:rFonts w:ascii="Simplified Arabic" w:hAnsi="Simplified Arabic" w:cs="Simplified Arabic"/>
          <w:sz w:val="28"/>
          <w:szCs w:val="28"/>
          <w:rtl/>
        </w:rPr>
        <w:t>إلى النموذج الهجين في المؤسسات التقليدية موضوعًا حديثًا نسبيًا، لكنه اكتسب أهمية متزايدة مع تزايد الضغوط التنافسية والتكنولوجية التي تواجه المؤسسات. وقد أظهرت الدراسات السابقة أن هناك اهتمامًا متناميًا بهذا المجال من البحث، خاصة في السياقات العربية والعالمية، حيث تم التركيز على جوانب مختلفة من عملية التحول مثل: العوائق الثقافية، ونقص الكفاءات البشرية، وتحديات البنية التحتية الرقمية، وتغير الحوكمة الداخلية، ومقاومة أصحاب المصلحة للتغيير</w:t>
      </w:r>
      <w:r w:rsidRPr="00AE507C">
        <w:rPr>
          <w:rFonts w:ascii="Simplified Arabic" w:hAnsi="Simplified Arabic" w:cs="Simplified Arabic"/>
          <w:sz w:val="28"/>
          <w:szCs w:val="28"/>
        </w:rPr>
        <w:t>.</w:t>
      </w:r>
    </w:p>
    <w:p w14:paraId="0AE19FA8"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lastRenderedPageBreak/>
        <w:t xml:space="preserve">من خلال استعراض الدراسات السابقة، يتضح أن معظم الباحثين ركزوا على تحليل التجارب الدولية أو المحلية ، وتحديد العوامل المساعدة أو المعوّقة للتحول، كما تم التركيز على دور القيادة التنظيمية وأهمية التدريب وتحديث السياسات الإدارية </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وعلى الرغم من الغنى النسبي في الأبحاث المتعلقة بالنموذج الهجين، إلا أن هناك بعض الفجوات البحثية التي ما زالت بحاجة إلى معالجة، ويمكن إبرازها من خلال التعليق التالي</w:t>
      </w:r>
      <w:r w:rsidRPr="00AE507C">
        <w:rPr>
          <w:rFonts w:ascii="Simplified Arabic" w:hAnsi="Simplified Arabic" w:cs="Simplified Arabic"/>
          <w:sz w:val="28"/>
          <w:szCs w:val="28"/>
        </w:rPr>
        <w:t>:</w:t>
      </w:r>
    </w:p>
    <w:p w14:paraId="0CB69606" w14:textId="5E66E802" w:rsidR="00AE507C" w:rsidRPr="00AE507C" w:rsidRDefault="00AE507C" w:rsidP="00AE507C">
      <w:pPr>
        <w:spacing w:line="360" w:lineRule="auto"/>
        <w:jc w:val="lowKashida"/>
        <w:rPr>
          <w:rFonts w:ascii="Simplified Arabic" w:hAnsi="Simplified Arabic" w:cs="Simplified Arabic"/>
          <w:b/>
          <w:bCs/>
          <w:sz w:val="28"/>
          <w:szCs w:val="28"/>
        </w:rPr>
      </w:pPr>
      <w:r w:rsidRPr="00AE507C">
        <w:rPr>
          <w:rFonts w:ascii="Simplified Arabic" w:hAnsi="Simplified Arabic" w:cs="Simplified Arabic"/>
          <w:sz w:val="28"/>
          <w:szCs w:val="28"/>
          <w:rtl/>
        </w:rPr>
        <w:t>غياب الدراسات الشمولية والمتكاملة</w:t>
      </w:r>
    </w:p>
    <w:p w14:paraId="53A61B2D"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أظهرت الدراسات السابقة تركيزًا على جوانب محددة من عملية التحول، مثل الجانب الثقافي أو التكنولوجي أو البشري، دون تقديم إطار شامل يجمع بين هذه الجوانب ويوضح كيفية تفاعلها معًا. فعلى سبيل المثال، دراسة الدربي (2018</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ركزت على التحديات الثقافية والتنظيمية، بينما ركزت دراسة القرشي (2022</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 xml:space="preserve">على البنية التحتية الرقمية، ودراسة </w:t>
      </w:r>
      <w:r w:rsidRPr="00AE507C">
        <w:rPr>
          <w:rFonts w:ascii="Simplified Arabic" w:hAnsi="Simplified Arabic" w:cs="Simplified Arabic"/>
          <w:sz w:val="28"/>
          <w:szCs w:val="28"/>
        </w:rPr>
        <w:t xml:space="preserve">Brown &amp; Green (2019) </w:t>
      </w:r>
      <w:r w:rsidRPr="00AE507C">
        <w:rPr>
          <w:rFonts w:ascii="Simplified Arabic" w:hAnsi="Simplified Arabic" w:cs="Simplified Arabic"/>
          <w:sz w:val="28"/>
          <w:szCs w:val="28"/>
          <w:rtl/>
        </w:rPr>
        <w:t>على الجانب التدريبي. ومع ذلك، لا توجد دراسة واحدة تقدم نموذجًا شاملاً يربط بين كل هذه العناصر ويحلل تأثيرها المشترك على نجاح التحول. وبالتالي، فإن هناك فجوة في وجود إطار تحليلي متكامل يمكن استخدامه كمرجع لفهم العملية الكاملة للتحول</w:t>
      </w:r>
      <w:r w:rsidRPr="00AE507C">
        <w:rPr>
          <w:rFonts w:ascii="Simplified Arabic" w:hAnsi="Simplified Arabic" w:cs="Simplified Arabic"/>
          <w:sz w:val="28"/>
          <w:szCs w:val="28"/>
        </w:rPr>
        <w:t>.</w:t>
      </w:r>
    </w:p>
    <w:p w14:paraId="266D73A0" w14:textId="2CDF833F" w:rsidR="00AE507C" w:rsidRPr="00AE507C" w:rsidRDefault="00AE507C" w:rsidP="00AE507C">
      <w:pPr>
        <w:spacing w:line="360" w:lineRule="auto"/>
        <w:jc w:val="lowKashida"/>
        <w:rPr>
          <w:rFonts w:ascii="Simplified Arabic" w:hAnsi="Simplified Arabic" w:cs="Simplified Arabic"/>
          <w:b/>
          <w:bCs/>
          <w:sz w:val="28"/>
          <w:szCs w:val="28"/>
        </w:rPr>
      </w:pPr>
      <w:r w:rsidRPr="00AE507C">
        <w:rPr>
          <w:rFonts w:ascii="Simplified Arabic" w:hAnsi="Simplified Arabic" w:cs="Simplified Arabic"/>
          <w:sz w:val="28"/>
          <w:szCs w:val="28"/>
          <w:rtl/>
        </w:rPr>
        <w:t>قلة الدراسات التطبيقية في القطاعات غير التقنية</w:t>
      </w:r>
    </w:p>
    <w:p w14:paraId="4FF998A4"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معظم الدراسات السابقة، سواء كانت عربية أو أجنبية، ركزت على قطاعات مثل تكنولوجيا المعلومات والتعليم العالي والخدمات المالية، وهي قطاعات تعتمد بشكل كبير على التطوير السريع للمشاريع. ولكن ما زالت هناك فجوة كبيرة فيما يتعلق بتطبيق النموذج الهجين في القطاعات الأخرى مثل الصناعة الثقيلة، أو الصحة العامة، أو الإدارة الحكومية غير التقنية. ودراسة الشهري (2019</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 xml:space="preserve">قد ذكرت ضرورة تكييف النموذج الهجين مع السياقات المختلفة، لكن لم يتم تطبيق هذا التكييف عمليًا في دراسات </w:t>
      </w:r>
      <w:r w:rsidRPr="00AE507C">
        <w:rPr>
          <w:rFonts w:ascii="Simplified Arabic" w:hAnsi="Simplified Arabic" w:cs="Simplified Arabic"/>
          <w:sz w:val="28"/>
          <w:szCs w:val="28"/>
          <w:rtl/>
        </w:rPr>
        <w:lastRenderedPageBreak/>
        <w:t>سابقة. ومن هنا، فإن هناك حاجة إلى دراسات تطبيقية تتناول قطاعات جديدة لاختبار مدى قابلية النموذج للتوسع والتكيف</w:t>
      </w:r>
      <w:r w:rsidRPr="00AE507C">
        <w:rPr>
          <w:rFonts w:ascii="Simplified Arabic" w:hAnsi="Simplified Arabic" w:cs="Simplified Arabic"/>
          <w:sz w:val="28"/>
          <w:szCs w:val="28"/>
        </w:rPr>
        <w:t>.</w:t>
      </w:r>
    </w:p>
    <w:p w14:paraId="3561AB6A" w14:textId="15BADEA8" w:rsidR="00AE507C" w:rsidRPr="00AE507C" w:rsidRDefault="00AE507C" w:rsidP="00AE507C">
      <w:pPr>
        <w:spacing w:line="360" w:lineRule="auto"/>
        <w:jc w:val="lowKashida"/>
        <w:rPr>
          <w:rFonts w:ascii="Simplified Arabic" w:hAnsi="Simplified Arabic" w:cs="Simplified Arabic"/>
          <w:b/>
          <w:bCs/>
          <w:sz w:val="28"/>
          <w:szCs w:val="28"/>
        </w:rPr>
      </w:pPr>
      <w:r w:rsidRPr="00AE507C">
        <w:rPr>
          <w:rFonts w:ascii="Simplified Arabic" w:hAnsi="Simplified Arabic" w:cs="Simplified Arabic"/>
          <w:sz w:val="28"/>
          <w:szCs w:val="28"/>
          <w:rtl/>
        </w:rPr>
        <w:t>غياب الدراسات التي تركز على الجانب التشريعي والتنظيمي</w:t>
      </w:r>
    </w:p>
    <w:p w14:paraId="7EF9C131"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رغم أن دراسة البقمي (2019</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ودراسة الغامدي (2021</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أشارتا إلى أهمية الجوانب القانونية والتنظيمية، إلا أن هذا الجانب ما زال محدودًا في الأبحاث العربية. ففي كثير من الدول العربية، وخاصة في القطاع الحكومي، تلعب القوانين والأنظمة دورًا كبيرًا في تحديد كيفية إدارة المشاريع، مما قد يعرقل تبني منهجيات مرنة مثل النموذج الهجين. وبالتالي، فإن هناك فجوة في فهم كيف يمكن تعديل السياسات والإطار التنظيمي لدعم التحول ، وما هي الآليات المناسبة لذلك</w:t>
      </w:r>
      <w:r w:rsidRPr="00AE507C">
        <w:rPr>
          <w:rFonts w:ascii="Simplified Arabic" w:hAnsi="Simplified Arabic" w:cs="Simplified Arabic"/>
          <w:sz w:val="28"/>
          <w:szCs w:val="28"/>
        </w:rPr>
        <w:t>.</w:t>
      </w:r>
    </w:p>
    <w:p w14:paraId="4E758423" w14:textId="3CFC938C" w:rsidR="00AE507C" w:rsidRPr="00AE507C" w:rsidRDefault="00AE507C" w:rsidP="00AE507C">
      <w:pPr>
        <w:spacing w:line="360" w:lineRule="auto"/>
        <w:jc w:val="lowKashida"/>
        <w:rPr>
          <w:rFonts w:ascii="Simplified Arabic" w:hAnsi="Simplified Arabic" w:cs="Simplified Arabic"/>
          <w:b/>
          <w:bCs/>
          <w:sz w:val="28"/>
          <w:szCs w:val="28"/>
        </w:rPr>
      </w:pPr>
      <w:r w:rsidRPr="00AE507C">
        <w:rPr>
          <w:rFonts w:ascii="Simplified Arabic" w:hAnsi="Simplified Arabic" w:cs="Simplified Arabic"/>
          <w:sz w:val="28"/>
          <w:szCs w:val="28"/>
          <w:rtl/>
        </w:rPr>
        <w:t>قلة الدراسات التي تتناول مقاومة التغيير من منظور أصحاب المصلحة</w:t>
      </w:r>
    </w:p>
    <w:p w14:paraId="0D5B1EFD"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 xml:space="preserve">رغم أن دراسة </w:t>
      </w:r>
      <w:r w:rsidRPr="00AE507C">
        <w:rPr>
          <w:rFonts w:ascii="Simplified Arabic" w:hAnsi="Simplified Arabic" w:cs="Simplified Arabic"/>
          <w:sz w:val="28"/>
          <w:szCs w:val="28"/>
        </w:rPr>
        <w:t xml:space="preserve">Khan &amp; Ahmed (2021) </w:t>
      </w:r>
      <w:r w:rsidRPr="00AE507C">
        <w:rPr>
          <w:rFonts w:ascii="Simplified Arabic" w:hAnsi="Simplified Arabic" w:cs="Simplified Arabic"/>
          <w:sz w:val="28"/>
          <w:szCs w:val="28"/>
          <w:rtl/>
        </w:rPr>
        <w:t>تطرقت إلى مقاومة التغيير من قبل أصحاب المصلحة، إلا أنها لم تدخل في تفاصيل دقيقة حول طبيعة هذه المقاومة أو كيفية التعامل معها. كما أن معظم الدراسات الأخرى لم تتناول هذا الجانب سوى بشكل سطحي، باستثناء دراسة الزهراني (2020</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التي أشارت إلى ضرورة بناء حالة عمل مقنعة للتحول. وبالتالي، فإن هناك فجوة في فهم طبيعة مقاومة أصحاب المصلحة الداخلية والخارجية ، وكيفية تصميم استراتيجيات فعالة لإدارتها، وهو أمر حاسم في نجاح أي مشروع تحويلي</w:t>
      </w:r>
      <w:r w:rsidRPr="00AE507C">
        <w:rPr>
          <w:rFonts w:ascii="Simplified Arabic" w:hAnsi="Simplified Arabic" w:cs="Simplified Arabic"/>
          <w:sz w:val="28"/>
          <w:szCs w:val="28"/>
        </w:rPr>
        <w:t>.</w:t>
      </w:r>
    </w:p>
    <w:p w14:paraId="7BC09571" w14:textId="40B52465" w:rsidR="00AE507C" w:rsidRPr="00AE507C" w:rsidRDefault="00AE507C" w:rsidP="00AE507C">
      <w:pPr>
        <w:spacing w:line="360" w:lineRule="auto"/>
        <w:jc w:val="lowKashida"/>
        <w:rPr>
          <w:rFonts w:ascii="Simplified Arabic" w:hAnsi="Simplified Arabic" w:cs="Simplified Arabic"/>
          <w:b/>
          <w:bCs/>
          <w:sz w:val="28"/>
          <w:szCs w:val="28"/>
        </w:rPr>
      </w:pPr>
      <w:r w:rsidRPr="00AE507C">
        <w:rPr>
          <w:rFonts w:ascii="Simplified Arabic" w:hAnsi="Simplified Arabic" w:cs="Simplified Arabic"/>
          <w:sz w:val="28"/>
          <w:szCs w:val="28"/>
          <w:rtl/>
        </w:rPr>
        <w:t>ضعف الدراسات التي تتناول قياس الأداء في النموذج الهجين</w:t>
      </w:r>
    </w:p>
    <w:p w14:paraId="2631FF79"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رغم أن دراسة المسفر (2016</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 xml:space="preserve">ودراسة </w:t>
      </w:r>
      <w:r w:rsidRPr="00AE507C">
        <w:rPr>
          <w:rFonts w:ascii="Simplified Arabic" w:hAnsi="Simplified Arabic" w:cs="Simplified Arabic"/>
          <w:sz w:val="28"/>
          <w:szCs w:val="28"/>
        </w:rPr>
        <w:t xml:space="preserve">Al-Harbi et al. (2021) </w:t>
      </w:r>
      <w:r w:rsidRPr="00AE507C">
        <w:rPr>
          <w:rFonts w:ascii="Simplified Arabic" w:hAnsi="Simplified Arabic" w:cs="Simplified Arabic"/>
          <w:sz w:val="28"/>
          <w:szCs w:val="28"/>
          <w:rtl/>
        </w:rPr>
        <w:t xml:space="preserve">تطرقتا إلى مؤشرات الأداء في النموذج الهجين، إلا أن هذا الجانب ما زال يحتاج إلى مزيد من العمق. فالنموذج الهجين يتطلب إعادة تصميم كامل لنظام قياس الأداء بحيث يكون أكثر مرونة وموجهًا نحو القيمة بدلاً من الالتزام بالجدول </w:t>
      </w:r>
      <w:r w:rsidRPr="00AE507C">
        <w:rPr>
          <w:rFonts w:ascii="Simplified Arabic" w:hAnsi="Simplified Arabic" w:cs="Simplified Arabic"/>
          <w:sz w:val="28"/>
          <w:szCs w:val="28"/>
          <w:rtl/>
        </w:rPr>
        <w:lastRenderedPageBreak/>
        <w:t>الزمني أو الميزانية فقط. وبالتالي، فإن هناك فجوة في وجود أدوات ومؤشرات واضحة وقابلة للتطبيق يمكن استخدامها لقياس نجاح التحول إلى النموذج الهجين، خاصة في المؤسسات التقليدية</w:t>
      </w:r>
      <w:r w:rsidRPr="00AE507C">
        <w:rPr>
          <w:rFonts w:ascii="Simplified Arabic" w:hAnsi="Simplified Arabic" w:cs="Simplified Arabic"/>
          <w:sz w:val="28"/>
          <w:szCs w:val="28"/>
        </w:rPr>
        <w:t>.</w:t>
      </w:r>
    </w:p>
    <w:p w14:paraId="67227C54" w14:textId="77777777" w:rsidR="00AE507C" w:rsidRPr="00AE507C" w:rsidRDefault="00AE507C" w:rsidP="00AE507C">
      <w:pPr>
        <w:spacing w:line="360" w:lineRule="auto"/>
        <w:jc w:val="lowKashida"/>
        <w:rPr>
          <w:rFonts w:ascii="Simplified Arabic" w:hAnsi="Simplified Arabic" w:cs="Simplified Arabic"/>
          <w:b/>
          <w:bCs/>
          <w:sz w:val="28"/>
          <w:szCs w:val="28"/>
        </w:rPr>
      </w:pPr>
      <w:r w:rsidRPr="00AE507C">
        <w:rPr>
          <w:rFonts w:ascii="Simplified Arabic" w:hAnsi="Simplified Arabic" w:cs="Simplified Arabic"/>
          <w:b/>
          <w:bCs/>
          <w:sz w:val="28"/>
          <w:szCs w:val="28"/>
        </w:rPr>
        <w:t xml:space="preserve">6. </w:t>
      </w:r>
      <w:r w:rsidRPr="00AE507C">
        <w:rPr>
          <w:rFonts w:ascii="Simplified Arabic" w:hAnsi="Simplified Arabic" w:cs="Simplified Arabic"/>
          <w:sz w:val="28"/>
          <w:szCs w:val="28"/>
          <w:rtl/>
        </w:rPr>
        <w:t>قلة الدراسات التي تقدم نماذج عملية محلية مستوحاة من التجارب العالمية</w:t>
      </w:r>
    </w:p>
    <w:p w14:paraId="31088546" w14:textId="77777777" w:rsidR="00AE507C" w:rsidRPr="00AE507C" w:rsidRDefault="00AE507C" w:rsidP="00AE507C">
      <w:pPr>
        <w:spacing w:line="360" w:lineRule="auto"/>
        <w:jc w:val="lowKashida"/>
        <w:rPr>
          <w:rFonts w:ascii="Simplified Arabic" w:hAnsi="Simplified Arabic" w:cs="Simplified Arabic"/>
          <w:sz w:val="28"/>
          <w:szCs w:val="28"/>
        </w:rPr>
      </w:pPr>
      <w:r w:rsidRPr="00AE507C">
        <w:rPr>
          <w:rFonts w:ascii="Simplified Arabic" w:hAnsi="Simplified Arabic" w:cs="Simplified Arabic"/>
          <w:sz w:val="28"/>
          <w:szCs w:val="28"/>
          <w:rtl/>
        </w:rPr>
        <w:t>رغم وجود دراسات تناولت التجارب العالمية الناجحة، مثل دراسة الشهري (2019</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 xml:space="preserve">ودراسة </w:t>
      </w:r>
      <w:r w:rsidRPr="00AE507C">
        <w:rPr>
          <w:rFonts w:ascii="Simplified Arabic" w:hAnsi="Simplified Arabic" w:cs="Simplified Arabic"/>
          <w:sz w:val="28"/>
          <w:szCs w:val="28"/>
        </w:rPr>
        <w:t xml:space="preserve">Smith &amp; Taylor (2017) </w:t>
      </w:r>
      <w:r w:rsidRPr="00AE507C">
        <w:rPr>
          <w:rFonts w:ascii="Simplified Arabic" w:hAnsi="Simplified Arabic" w:cs="Simplified Arabic"/>
          <w:sz w:val="28"/>
          <w:szCs w:val="28"/>
          <w:rtl/>
        </w:rPr>
        <w:t xml:space="preserve">، إلا أن هناك فجوة في تصميم نماذج محلية تناسب السياق العربي أو الإسلامي </w:t>
      </w:r>
      <w:r w:rsidRPr="00AE507C">
        <w:rPr>
          <w:rFonts w:ascii="Simplified Arabic" w:hAnsi="Simplified Arabic" w:cs="Simplified Arabic"/>
          <w:sz w:val="28"/>
          <w:szCs w:val="28"/>
        </w:rPr>
        <w:t xml:space="preserve">. </w:t>
      </w:r>
      <w:r w:rsidRPr="00AE507C">
        <w:rPr>
          <w:rFonts w:ascii="Simplified Arabic" w:hAnsi="Simplified Arabic" w:cs="Simplified Arabic"/>
          <w:sz w:val="28"/>
          <w:szCs w:val="28"/>
          <w:rtl/>
        </w:rPr>
        <w:t>إذ إن الكثير من النماذج الغربية تعتمد على ثقافات عمل مختلفة، وقد لا تكون مناسبة مباشرة للتطبيق في البيئات التقليدية ذات الطابع المحافظ أو البطيء في اتخاذ القرارات. ومن هنا، فإن هناك حاجة إلى دراسات تقدم نماذج محلية مبتكرة تدمج بين الخبرات العالمية والخصوصية المحلية</w:t>
      </w:r>
      <w:r w:rsidRPr="00AE507C">
        <w:rPr>
          <w:rFonts w:ascii="Simplified Arabic" w:hAnsi="Simplified Arabic" w:cs="Simplified Arabic"/>
          <w:sz w:val="28"/>
          <w:szCs w:val="28"/>
        </w:rPr>
        <w:t>.</w:t>
      </w:r>
    </w:p>
    <w:p w14:paraId="462170D2" w14:textId="77777777" w:rsidR="00AE507C" w:rsidRPr="00AE507C" w:rsidRDefault="00AE507C" w:rsidP="00AE507C">
      <w:pPr>
        <w:spacing w:line="360" w:lineRule="auto"/>
        <w:jc w:val="lowKashida"/>
        <w:rPr>
          <w:rFonts w:ascii="Simplified Arabic" w:hAnsi="Simplified Arabic" w:cs="Simplified Arabic"/>
          <w:sz w:val="28"/>
          <w:szCs w:val="28"/>
        </w:rPr>
      </w:pPr>
    </w:p>
    <w:p w14:paraId="3A35017C" w14:textId="77777777" w:rsidR="00AE507C" w:rsidRPr="00AE507C" w:rsidRDefault="00AE507C" w:rsidP="00AE507C">
      <w:pPr>
        <w:spacing w:line="360" w:lineRule="auto"/>
        <w:jc w:val="lowKashida"/>
        <w:rPr>
          <w:rFonts w:ascii="Simplified Arabic" w:hAnsi="Simplified Arabic" w:cs="Simplified Arabic"/>
          <w:sz w:val="28"/>
          <w:szCs w:val="28"/>
          <w:rtl/>
        </w:rPr>
      </w:pPr>
    </w:p>
    <w:p w14:paraId="3B9D815E" w14:textId="77777777" w:rsidR="00AE507C" w:rsidRDefault="00AE507C" w:rsidP="00AE507C">
      <w:pPr>
        <w:spacing w:line="360" w:lineRule="auto"/>
        <w:jc w:val="lowKashida"/>
        <w:rPr>
          <w:rFonts w:ascii="Simplified Arabic" w:hAnsi="Simplified Arabic" w:cs="Simplified Arabic"/>
          <w:sz w:val="28"/>
          <w:szCs w:val="28"/>
          <w:rtl/>
        </w:rPr>
      </w:pPr>
    </w:p>
    <w:p w14:paraId="2478C798" w14:textId="77777777" w:rsidR="00AE507C" w:rsidRDefault="00AE507C" w:rsidP="00AE507C">
      <w:pPr>
        <w:spacing w:line="360" w:lineRule="auto"/>
        <w:jc w:val="lowKashida"/>
        <w:rPr>
          <w:rFonts w:ascii="Simplified Arabic" w:hAnsi="Simplified Arabic" w:cs="Simplified Arabic"/>
          <w:sz w:val="28"/>
          <w:szCs w:val="28"/>
          <w:rtl/>
        </w:rPr>
      </w:pPr>
    </w:p>
    <w:p w14:paraId="488DE0E5" w14:textId="77777777" w:rsidR="00AE507C" w:rsidRDefault="00AE507C" w:rsidP="00AE507C">
      <w:pPr>
        <w:spacing w:line="360" w:lineRule="auto"/>
        <w:jc w:val="lowKashida"/>
        <w:rPr>
          <w:rFonts w:ascii="Simplified Arabic" w:hAnsi="Simplified Arabic" w:cs="Simplified Arabic"/>
          <w:sz w:val="28"/>
          <w:szCs w:val="28"/>
          <w:rtl/>
        </w:rPr>
      </w:pPr>
    </w:p>
    <w:p w14:paraId="05F98065" w14:textId="77777777" w:rsidR="00AE507C" w:rsidRDefault="00AE507C" w:rsidP="00AE507C">
      <w:pPr>
        <w:spacing w:line="360" w:lineRule="auto"/>
        <w:jc w:val="lowKashida"/>
        <w:rPr>
          <w:rFonts w:ascii="Simplified Arabic" w:hAnsi="Simplified Arabic" w:cs="Simplified Arabic"/>
          <w:sz w:val="28"/>
          <w:szCs w:val="28"/>
          <w:rtl/>
        </w:rPr>
      </w:pPr>
    </w:p>
    <w:p w14:paraId="4FBF55F1" w14:textId="77777777" w:rsidR="00AE507C" w:rsidRDefault="00AE507C" w:rsidP="00AE507C">
      <w:pPr>
        <w:spacing w:line="360" w:lineRule="auto"/>
        <w:jc w:val="lowKashida"/>
        <w:rPr>
          <w:rFonts w:ascii="Simplified Arabic" w:hAnsi="Simplified Arabic" w:cs="Simplified Arabic"/>
          <w:sz w:val="28"/>
          <w:szCs w:val="28"/>
          <w:rtl/>
        </w:rPr>
      </w:pPr>
    </w:p>
    <w:p w14:paraId="7A50E1AD" w14:textId="77777777" w:rsidR="00AE507C" w:rsidRDefault="00AE507C" w:rsidP="00AE507C">
      <w:pPr>
        <w:spacing w:line="360" w:lineRule="auto"/>
        <w:jc w:val="lowKashida"/>
        <w:rPr>
          <w:rFonts w:ascii="Simplified Arabic" w:hAnsi="Simplified Arabic" w:cs="Simplified Arabic"/>
          <w:sz w:val="28"/>
          <w:szCs w:val="28"/>
          <w:rtl/>
        </w:rPr>
      </w:pPr>
    </w:p>
    <w:p w14:paraId="0BEEB5F8" w14:textId="77777777" w:rsidR="00AE507C" w:rsidRDefault="00AE507C" w:rsidP="00AE507C">
      <w:pPr>
        <w:spacing w:line="360" w:lineRule="auto"/>
        <w:jc w:val="lowKashida"/>
        <w:rPr>
          <w:rFonts w:ascii="Simplified Arabic" w:hAnsi="Simplified Arabic" w:cs="Simplified Arabic"/>
          <w:sz w:val="28"/>
          <w:szCs w:val="28"/>
          <w:rtl/>
        </w:rPr>
      </w:pPr>
    </w:p>
    <w:p w14:paraId="5F714398" w14:textId="4BC9B279" w:rsidR="004163C7" w:rsidRPr="00B272BA" w:rsidRDefault="004163C7" w:rsidP="00AE507C">
      <w:pPr>
        <w:pStyle w:val="Heading1"/>
        <w:spacing w:line="360" w:lineRule="auto"/>
        <w:rPr>
          <w:rFonts w:ascii="Simplified Arabic" w:hAnsi="Simplified Arabic" w:cs="Simplified Arabic"/>
          <w:sz w:val="28"/>
          <w:szCs w:val="28"/>
          <w:rtl/>
        </w:rPr>
      </w:pPr>
      <w:bookmarkStart w:id="10" w:name="_Toc201509283"/>
      <w:bookmarkStart w:id="11" w:name="_GoBack"/>
      <w:bookmarkEnd w:id="11"/>
      <w:r w:rsidRPr="00B272BA">
        <w:rPr>
          <w:rFonts w:ascii="Simplified Arabic" w:hAnsi="Simplified Arabic" w:cs="Simplified Arabic"/>
          <w:sz w:val="28"/>
          <w:szCs w:val="28"/>
          <w:rtl/>
        </w:rPr>
        <w:lastRenderedPageBreak/>
        <w:t>المراجع</w:t>
      </w:r>
      <w:bookmarkEnd w:id="10"/>
    </w:p>
    <w:p w14:paraId="35509ABD" w14:textId="13D0982A" w:rsidR="00DF70E8" w:rsidRPr="00B272BA" w:rsidRDefault="004163C7" w:rsidP="00AE507C">
      <w:pPr>
        <w:pStyle w:val="Heading2"/>
        <w:spacing w:line="360" w:lineRule="auto"/>
        <w:rPr>
          <w:rFonts w:ascii="Simplified Arabic" w:hAnsi="Simplified Arabic" w:cs="Simplified Arabic"/>
          <w:sz w:val="28"/>
          <w:szCs w:val="28"/>
          <w:rtl/>
        </w:rPr>
      </w:pPr>
      <w:bookmarkStart w:id="12" w:name="_Toc201509284"/>
      <w:r w:rsidRPr="00B272BA">
        <w:rPr>
          <w:rFonts w:ascii="Simplified Arabic" w:hAnsi="Simplified Arabic" w:cs="Simplified Arabic"/>
          <w:sz w:val="28"/>
          <w:szCs w:val="28"/>
          <w:rtl/>
        </w:rPr>
        <w:t>-المراجع العربية</w:t>
      </w:r>
      <w:bookmarkEnd w:id="12"/>
    </w:p>
    <w:p w14:paraId="489A2B65"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الحميدي، محمد (2020). إدارة المشاريع باستخدام منهجيات مرنة وهجينة . الرياض: دار الفكر العربي.</w:t>
      </w:r>
    </w:p>
    <w:p w14:paraId="5D7F96CF"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 xml:space="preserve">الشهري، عبد الرحمن (2018). منهجية </w:t>
      </w:r>
      <w:r w:rsidRPr="00B272BA">
        <w:rPr>
          <w:rFonts w:ascii="Simplified Arabic" w:hAnsi="Simplified Arabic" w:cs="Simplified Arabic"/>
          <w:sz w:val="28"/>
          <w:szCs w:val="28"/>
        </w:rPr>
        <w:t>Waterfall</w:t>
      </w:r>
      <w:r w:rsidRPr="00B272BA">
        <w:rPr>
          <w:rFonts w:ascii="Simplified Arabic" w:hAnsi="Simplified Arabic" w:cs="Simplified Arabic"/>
          <w:sz w:val="28"/>
          <w:szCs w:val="28"/>
          <w:rtl/>
        </w:rPr>
        <w:t xml:space="preserve"> في المؤسسات التقليدية: تحديات وحلول . جدة: دار الوعي للنشر.</w:t>
      </w:r>
    </w:p>
    <w:p w14:paraId="02C96A3B"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الخضيري، أحمد (2021). التحول الرقمي في المؤسسات الحكومية: الفرص والتحديات . الدمام: مركز البحوث الإدارية.</w:t>
      </w:r>
    </w:p>
    <w:p w14:paraId="03FD038C"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الزهراني، خالد (2019). التحول من النموذج الكلاسيكي إلى النموذج المرِن في تطوير البرمجيات . المدينة المنورة: مجلة جامعة الملك عبدالعزيز.</w:t>
      </w:r>
    </w:p>
    <w:p w14:paraId="1C7DC87D"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الدهلوي، سعيد (2021). التحول المؤسسي: دراسة في إدارة التغيير التنظيمي . أبوظبي: دار الخليج للنشر.</w:t>
      </w:r>
    </w:p>
    <w:p w14:paraId="2081177A"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الحسيني، علي (2020). المنهجيات الهجينة في إدارة مشاريع تكنولوجيا المعلومات . بيروت: دار المناهل.</w:t>
      </w:r>
    </w:p>
    <w:p w14:paraId="136E7721"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البدري، عمر (2019). تحديات تبني النموذج الهجين في المؤسسات العربية . القاهرة: مجلة كلية التجارة.</w:t>
      </w:r>
    </w:p>
    <w:p w14:paraId="0FDCF9FB"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العسيري، عبد الله (2020). استراتيجيات تبني المنهجيات الحديثة في المؤسسات التقليدية . الرياض: وزارة التعليم العالي.</w:t>
      </w:r>
    </w:p>
    <w:p w14:paraId="2B6ECADE" w14:textId="77777777" w:rsidR="001B1A18" w:rsidRPr="00B272BA" w:rsidRDefault="001B1A18" w:rsidP="00AE507C">
      <w:pPr>
        <w:pStyle w:val="ListParagraph"/>
        <w:numPr>
          <w:ilvl w:val="0"/>
          <w:numId w:val="15"/>
        </w:numPr>
        <w:spacing w:line="360" w:lineRule="auto"/>
        <w:rPr>
          <w:rFonts w:ascii="Simplified Arabic" w:hAnsi="Simplified Arabic" w:cs="Simplified Arabic"/>
          <w:sz w:val="28"/>
          <w:szCs w:val="28"/>
          <w:rtl/>
        </w:rPr>
      </w:pPr>
      <w:r w:rsidRPr="00B272BA">
        <w:rPr>
          <w:rFonts w:ascii="Simplified Arabic" w:hAnsi="Simplified Arabic" w:cs="Simplified Arabic"/>
          <w:sz w:val="28"/>
          <w:szCs w:val="28"/>
          <w:rtl/>
        </w:rPr>
        <w:t>الجابري، ناصر (2021). التحول الرقمي في القطاع الحكومي: دراسة حالة لبعض الوزارات في المملكة العربية السعودية . الرياض: مجلة البحوث الإدارية.</w:t>
      </w:r>
    </w:p>
    <w:p w14:paraId="71396963" w14:textId="3B8A497C" w:rsidR="00AE507C" w:rsidRPr="00AE507C" w:rsidRDefault="001B1A18" w:rsidP="00AE507C">
      <w:pPr>
        <w:pStyle w:val="ListParagraph"/>
        <w:numPr>
          <w:ilvl w:val="0"/>
          <w:numId w:val="15"/>
        </w:numPr>
        <w:spacing w:line="360" w:lineRule="auto"/>
        <w:jc w:val="lowKashida"/>
        <w:rPr>
          <w:rFonts w:ascii="Simplified Arabic" w:hAnsi="Simplified Arabic" w:cs="Simplified Arabic"/>
          <w:sz w:val="28"/>
          <w:szCs w:val="28"/>
          <w:rtl/>
        </w:rPr>
      </w:pPr>
      <w:r w:rsidRPr="00B272BA">
        <w:rPr>
          <w:rFonts w:ascii="Simplified Arabic" w:hAnsi="Simplified Arabic" w:cs="Simplified Arabic"/>
          <w:sz w:val="28"/>
          <w:szCs w:val="28"/>
          <w:rtl/>
        </w:rPr>
        <w:lastRenderedPageBreak/>
        <w:t>حسن، إبراهيم (2022). القيادة والتغيير التنظيمي: استراتيجيات فعالة لإدارة التحول المؤسسي . دبي: دار الفكر الحديث.</w:t>
      </w:r>
    </w:p>
    <w:p w14:paraId="428CF27A"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الحسناوي،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محمد</w:t>
      </w:r>
      <w:r w:rsidRPr="00AE507C">
        <w:rPr>
          <w:rFonts w:ascii="Simplified Arabic" w:hAnsi="Simplified Arabic" w:cs="Simplified Arabic"/>
          <w:sz w:val="28"/>
          <w:szCs w:val="28"/>
          <w:rtl/>
        </w:rPr>
        <w:t xml:space="preserve"> (2016). </w:t>
      </w:r>
      <w:r w:rsidRPr="00AE507C">
        <w:rPr>
          <w:rFonts w:ascii="Simplified Arabic" w:hAnsi="Simplified Arabic" w:cs="Simplified Arabic" w:hint="cs"/>
          <w:sz w:val="28"/>
          <w:szCs w:val="28"/>
          <w:rtl/>
        </w:rPr>
        <w:t>إدارة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مشاريع</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البرمجيات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باستخدام</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منهجيات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التطوير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المختلفة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الرياض</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دار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الفكر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العربي</w:t>
      </w:r>
      <w:r w:rsidRPr="00AE507C">
        <w:rPr>
          <w:rFonts w:ascii="Simplified Arabic" w:hAnsi="Simplified Arabic" w:cs="Simplified Arabic"/>
          <w:sz w:val="28"/>
          <w:szCs w:val="28"/>
          <w:rtl/>
        </w:rPr>
        <w:t>.</w:t>
      </w:r>
    </w:p>
    <w:p w14:paraId="343F015F"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عليان،</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أحمد</w:t>
      </w:r>
      <w:r w:rsidRPr="00AE507C">
        <w:rPr>
          <w:rFonts w:ascii="Simplified Arabic" w:hAnsi="Simplified Arabic" w:cs="Simplified Arabic"/>
          <w:sz w:val="28"/>
          <w:szCs w:val="28"/>
          <w:rtl/>
        </w:rPr>
        <w:t xml:space="preserve"> (2017). </w:t>
      </w:r>
      <w:r w:rsidRPr="00AE507C">
        <w:rPr>
          <w:rFonts w:ascii="Simplified Arabic" w:hAnsi="Simplified Arabic" w:cs="Simplified Arabic" w:hint="cs"/>
          <w:sz w:val="28"/>
          <w:szCs w:val="28"/>
          <w:rtl/>
        </w:rPr>
        <w:t>منهجية</w:t>
      </w:r>
      <w:r w:rsidRPr="00AE507C">
        <w:rPr>
          <w:rFonts w:ascii="Simplified Arabic" w:hAnsi="Simplified Arabic" w:cs="Simplified Arabic"/>
          <w:sz w:val="28"/>
          <w:szCs w:val="28"/>
          <w:rtl/>
        </w:rPr>
        <w:t xml:space="preserve"> </w:t>
      </w:r>
      <w:r w:rsidRPr="00AE507C">
        <w:rPr>
          <w:rFonts w:ascii="Simplified Arabic" w:hAnsi="Simplified Arabic" w:cs="Simplified Arabic"/>
          <w:sz w:val="28"/>
          <w:szCs w:val="28"/>
        </w:rPr>
        <w:t>Waterfall</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إدارة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المشاريع</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التقنية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القاهرة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مركز</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البحوث</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العلمية</w:t>
      </w:r>
      <w:r w:rsidRPr="00AE507C">
        <w:rPr>
          <w:rFonts w:ascii="Simplified Arabic" w:hAnsi="Simplified Arabic" w:cs="Simplified Arabic"/>
          <w:sz w:val="28"/>
          <w:szCs w:val="28"/>
          <w:rtl/>
        </w:rPr>
        <w:t>.</w:t>
      </w:r>
    </w:p>
    <w:p w14:paraId="70246530"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الخضيري،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عبد</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الله</w:t>
      </w:r>
      <w:r w:rsidRPr="00AE507C">
        <w:rPr>
          <w:rFonts w:ascii="Simplified Arabic" w:hAnsi="Simplified Arabic" w:cs="Simplified Arabic"/>
          <w:sz w:val="28"/>
          <w:szCs w:val="28"/>
          <w:rtl/>
        </w:rPr>
        <w:t xml:space="preserve"> (2019). </w:t>
      </w:r>
      <w:r w:rsidRPr="00AE507C">
        <w:rPr>
          <w:rFonts w:ascii="Simplified Arabic" w:hAnsi="Simplified Arabic" w:cs="Simplified Arabic" w:hint="cs"/>
          <w:sz w:val="28"/>
          <w:szCs w:val="28"/>
          <w:rtl/>
        </w:rPr>
        <w:t>التحول</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إلى</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النموذج</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الهجين</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المؤسسات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التقليدية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جدة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دار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النشر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الجامعية</w:t>
      </w:r>
      <w:r w:rsidRPr="00AE507C">
        <w:rPr>
          <w:rFonts w:ascii="Simplified Arabic" w:hAnsi="Simplified Arabic" w:cs="Simplified Arabic"/>
          <w:sz w:val="28"/>
          <w:szCs w:val="28"/>
          <w:rtl/>
        </w:rPr>
        <w:t>.</w:t>
      </w:r>
    </w:p>
    <w:p w14:paraId="3F4ACDCF"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الحسيني،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علي</w:t>
      </w:r>
      <w:r w:rsidRPr="00AE507C">
        <w:rPr>
          <w:rFonts w:ascii="Simplified Arabic" w:hAnsi="Simplified Arabic" w:cs="Simplified Arabic"/>
          <w:sz w:val="28"/>
          <w:szCs w:val="28"/>
          <w:rtl/>
        </w:rPr>
        <w:t xml:space="preserve"> (2020). </w:t>
      </w:r>
      <w:r w:rsidRPr="00AE507C">
        <w:rPr>
          <w:rFonts w:ascii="Simplified Arabic" w:hAnsi="Simplified Arabic" w:cs="Simplified Arabic" w:hint="cs"/>
          <w:sz w:val="28"/>
          <w:szCs w:val="28"/>
          <w:rtl/>
        </w:rPr>
        <w:t>المنهجيات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الحديثة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إدارة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المشاريع</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بيروت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منشورات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الجامعة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اللبنانية</w:t>
      </w:r>
      <w:r w:rsidRPr="00AE507C">
        <w:rPr>
          <w:rFonts w:ascii="Simplified Arabic" w:hAnsi="Simplified Arabic" w:cs="Simplified Arabic"/>
          <w:sz w:val="28"/>
          <w:szCs w:val="28"/>
          <w:rtl/>
        </w:rPr>
        <w:t>.</w:t>
      </w:r>
    </w:p>
    <w:p w14:paraId="33C66347"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البركاتي،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فهد</w:t>
      </w:r>
      <w:r w:rsidRPr="00AE507C">
        <w:rPr>
          <w:rFonts w:ascii="Simplified Arabic" w:hAnsi="Simplified Arabic" w:cs="Simplified Arabic"/>
          <w:sz w:val="28"/>
          <w:szCs w:val="28"/>
          <w:rtl/>
        </w:rPr>
        <w:t xml:space="preserve"> (2021). </w:t>
      </w:r>
      <w:r w:rsidRPr="00AE507C">
        <w:rPr>
          <w:rFonts w:ascii="Simplified Arabic" w:hAnsi="Simplified Arabic" w:cs="Simplified Arabic" w:hint="cs"/>
          <w:sz w:val="28"/>
          <w:szCs w:val="28"/>
          <w:rtl/>
        </w:rPr>
        <w:t>التكامل</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بين</w:t>
      </w:r>
      <w:r w:rsidRPr="00AE507C">
        <w:rPr>
          <w:rFonts w:ascii="Simplified Arabic" w:hAnsi="Simplified Arabic" w:cs="Simplified Arabic"/>
          <w:sz w:val="28"/>
          <w:szCs w:val="28"/>
          <w:rtl/>
        </w:rPr>
        <w:t xml:space="preserve"> </w:t>
      </w:r>
      <w:r w:rsidRPr="00AE507C">
        <w:rPr>
          <w:rFonts w:ascii="Simplified Arabic" w:hAnsi="Simplified Arabic" w:cs="Simplified Arabic"/>
          <w:sz w:val="28"/>
          <w:szCs w:val="28"/>
        </w:rPr>
        <w:t>Agile</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و</w:t>
      </w:r>
      <w:r w:rsidRPr="00AE507C">
        <w:rPr>
          <w:rFonts w:ascii="Simplified Arabic" w:hAnsi="Simplified Arabic" w:cs="Simplified Arabic"/>
          <w:sz w:val="28"/>
          <w:szCs w:val="28"/>
        </w:rPr>
        <w:t>Waterfall</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المشاريع</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الكبرى</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الدمام</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كلية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الإدارة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والاقتصاد</w:t>
      </w:r>
      <w:r w:rsidRPr="00AE507C">
        <w:rPr>
          <w:rFonts w:ascii="Simplified Arabic" w:hAnsi="Simplified Arabic" w:cs="Simplified Arabic"/>
          <w:sz w:val="28"/>
          <w:szCs w:val="28"/>
          <w:rtl/>
        </w:rPr>
        <w:t>.</w:t>
      </w:r>
    </w:p>
    <w:p w14:paraId="5CDB75E8"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الشهري،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خالد</w:t>
      </w:r>
      <w:r w:rsidRPr="00AE507C">
        <w:rPr>
          <w:rFonts w:ascii="Simplified Arabic" w:hAnsi="Simplified Arabic" w:cs="Simplified Arabic"/>
          <w:sz w:val="28"/>
          <w:szCs w:val="28"/>
          <w:rtl/>
        </w:rPr>
        <w:t xml:space="preserve"> (2015). </w:t>
      </w:r>
      <w:r w:rsidRPr="00AE507C">
        <w:rPr>
          <w:rFonts w:ascii="Simplified Arabic" w:hAnsi="Simplified Arabic" w:cs="Simplified Arabic" w:hint="cs"/>
          <w:sz w:val="28"/>
          <w:szCs w:val="28"/>
          <w:rtl/>
        </w:rPr>
        <w:t>الثقافة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التنظيمية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وتأثيرها</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على</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نجاح</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التحول</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الإداري</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المدينة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المنورة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جامعة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الملك</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عبدالعزيز</w:t>
      </w:r>
      <w:r w:rsidRPr="00AE507C">
        <w:rPr>
          <w:rFonts w:ascii="Simplified Arabic" w:hAnsi="Simplified Arabic" w:cs="Simplified Arabic"/>
          <w:sz w:val="28"/>
          <w:szCs w:val="28"/>
          <w:rtl/>
        </w:rPr>
        <w:t>.</w:t>
      </w:r>
    </w:p>
    <w:p w14:paraId="6A471A53"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الزهراني،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عبدالله</w:t>
      </w:r>
      <w:r w:rsidRPr="00AE507C">
        <w:rPr>
          <w:rFonts w:ascii="Simplified Arabic" w:hAnsi="Simplified Arabic" w:cs="Simplified Arabic"/>
          <w:sz w:val="28"/>
          <w:szCs w:val="28"/>
          <w:rtl/>
        </w:rPr>
        <w:t xml:space="preserve"> (2017). </w:t>
      </w:r>
      <w:r w:rsidRPr="00AE507C">
        <w:rPr>
          <w:rFonts w:ascii="Simplified Arabic" w:hAnsi="Simplified Arabic" w:cs="Simplified Arabic" w:hint="cs"/>
          <w:sz w:val="28"/>
          <w:szCs w:val="28"/>
          <w:rtl/>
        </w:rPr>
        <w:t>تحديات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تبني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المنهجيات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الحديثة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المؤسسات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الحكومية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مكة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المكرمة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مركز</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الدراسات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الإدارية</w:t>
      </w:r>
      <w:r w:rsidRPr="00AE507C">
        <w:rPr>
          <w:rFonts w:ascii="Simplified Arabic" w:hAnsi="Simplified Arabic" w:cs="Simplified Arabic"/>
          <w:sz w:val="28"/>
          <w:szCs w:val="28"/>
          <w:rtl/>
        </w:rPr>
        <w:t>.</w:t>
      </w:r>
    </w:p>
    <w:p w14:paraId="44C9C236"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القرشي،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سامي</w:t>
      </w:r>
      <w:r w:rsidRPr="00AE507C">
        <w:rPr>
          <w:rFonts w:ascii="Simplified Arabic" w:hAnsi="Simplified Arabic" w:cs="Simplified Arabic"/>
          <w:sz w:val="28"/>
          <w:szCs w:val="28"/>
          <w:rtl/>
        </w:rPr>
        <w:t xml:space="preserve"> (2018). </w:t>
      </w:r>
      <w:r w:rsidRPr="00AE507C">
        <w:rPr>
          <w:rFonts w:ascii="Simplified Arabic" w:hAnsi="Simplified Arabic" w:cs="Simplified Arabic" w:hint="cs"/>
          <w:sz w:val="28"/>
          <w:szCs w:val="28"/>
          <w:rtl/>
        </w:rPr>
        <w:t>البنية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التحتية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الرقمية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المؤسسات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التقليدية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الخبر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دار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الخليج</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للنشر</w:t>
      </w:r>
      <w:r w:rsidRPr="00AE507C">
        <w:rPr>
          <w:rFonts w:ascii="Simplified Arabic" w:hAnsi="Simplified Arabic" w:cs="Simplified Arabic"/>
          <w:sz w:val="28"/>
          <w:szCs w:val="28"/>
          <w:rtl/>
        </w:rPr>
        <w:t>.</w:t>
      </w:r>
    </w:p>
    <w:p w14:paraId="0B2C6637"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الغامدي،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خالد</w:t>
      </w:r>
      <w:r w:rsidRPr="00AE507C">
        <w:rPr>
          <w:rFonts w:ascii="Simplified Arabic" w:hAnsi="Simplified Arabic" w:cs="Simplified Arabic"/>
          <w:sz w:val="28"/>
          <w:szCs w:val="28"/>
          <w:rtl/>
        </w:rPr>
        <w:t xml:space="preserve"> (2020). </w:t>
      </w:r>
      <w:r w:rsidRPr="00AE507C">
        <w:rPr>
          <w:rFonts w:ascii="Simplified Arabic" w:hAnsi="Simplified Arabic" w:cs="Simplified Arabic" w:hint="cs"/>
          <w:sz w:val="28"/>
          <w:szCs w:val="28"/>
          <w:rtl/>
        </w:rPr>
        <w:t>التحول</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الرقمي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الإدارة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الحكومية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الرياض</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وزارة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الاتصالات</w:t>
      </w:r>
      <w:r w:rsidRPr="00AE507C">
        <w:rPr>
          <w:rFonts w:ascii="Simplified Arabic" w:hAnsi="Simplified Arabic" w:cs="Simplified Arabic"/>
          <w:sz w:val="28"/>
          <w:szCs w:val="28"/>
          <w:rtl/>
        </w:rPr>
        <w:t>.</w:t>
      </w:r>
    </w:p>
    <w:p w14:paraId="415A023B"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lastRenderedPageBreak/>
        <w:t>المسفر،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عبدالرحمن</w:t>
      </w:r>
      <w:r w:rsidRPr="00AE507C">
        <w:rPr>
          <w:rFonts w:ascii="Simplified Arabic" w:hAnsi="Simplified Arabic" w:cs="Simplified Arabic"/>
          <w:sz w:val="28"/>
          <w:szCs w:val="28"/>
          <w:rtl/>
        </w:rPr>
        <w:t xml:space="preserve"> (2016). </w:t>
      </w:r>
      <w:r w:rsidRPr="00AE507C">
        <w:rPr>
          <w:rFonts w:ascii="Simplified Arabic" w:hAnsi="Simplified Arabic" w:cs="Simplified Arabic" w:hint="cs"/>
          <w:sz w:val="28"/>
          <w:szCs w:val="28"/>
          <w:rtl/>
        </w:rPr>
        <w:t>مؤشرات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الأداء</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النموذج</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الهجين</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الكويت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مجلة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الإدارة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الحديثة</w:t>
      </w:r>
      <w:r w:rsidRPr="00AE507C">
        <w:rPr>
          <w:rFonts w:ascii="Simplified Arabic" w:hAnsi="Simplified Arabic" w:cs="Simplified Arabic"/>
          <w:sz w:val="28"/>
          <w:szCs w:val="28"/>
          <w:rtl/>
        </w:rPr>
        <w:t>.</w:t>
      </w:r>
    </w:p>
    <w:p w14:paraId="35145864"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الدوسر،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فهد</w:t>
      </w:r>
      <w:r w:rsidRPr="00AE507C">
        <w:rPr>
          <w:rFonts w:ascii="Simplified Arabic" w:hAnsi="Simplified Arabic" w:cs="Simplified Arabic"/>
          <w:sz w:val="28"/>
          <w:szCs w:val="28"/>
          <w:rtl/>
        </w:rPr>
        <w:t xml:space="preserve"> (2019). </w:t>
      </w:r>
      <w:r w:rsidRPr="00AE507C">
        <w:rPr>
          <w:rFonts w:ascii="Simplified Arabic" w:hAnsi="Simplified Arabic" w:cs="Simplified Arabic" w:hint="cs"/>
          <w:sz w:val="28"/>
          <w:szCs w:val="28"/>
          <w:rtl/>
        </w:rPr>
        <w:t>إدارة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الحوكمة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المشاريع</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الهجينة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دبي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مركز</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دبي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للأبحاث</w:t>
      </w:r>
      <w:r w:rsidRPr="00AE507C">
        <w:rPr>
          <w:rFonts w:ascii="Simplified Arabic" w:hAnsi="Simplified Arabic" w:cs="Simplified Arabic"/>
          <w:sz w:val="28"/>
          <w:szCs w:val="28"/>
          <w:rtl/>
        </w:rPr>
        <w:t>.</w:t>
      </w:r>
    </w:p>
    <w:p w14:paraId="688FCEB1"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الحميدي،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محمد</w:t>
      </w:r>
      <w:r w:rsidRPr="00AE507C">
        <w:rPr>
          <w:rFonts w:ascii="Simplified Arabic" w:hAnsi="Simplified Arabic" w:cs="Simplified Arabic"/>
          <w:sz w:val="28"/>
          <w:szCs w:val="28"/>
          <w:rtl/>
        </w:rPr>
        <w:t xml:space="preserve"> (2017). </w:t>
      </w:r>
      <w:r w:rsidRPr="00AE507C">
        <w:rPr>
          <w:rFonts w:ascii="Simplified Arabic" w:hAnsi="Simplified Arabic" w:cs="Simplified Arabic" w:hint="cs"/>
          <w:sz w:val="28"/>
          <w:szCs w:val="28"/>
          <w:rtl/>
        </w:rPr>
        <w:t>بناء</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الكفاءات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الإدارية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المنهجيات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الحديثة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أبوظبي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دار</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الكتب</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الإماراتية</w:t>
      </w:r>
      <w:r w:rsidRPr="00AE507C">
        <w:rPr>
          <w:rFonts w:ascii="Simplified Arabic" w:hAnsi="Simplified Arabic" w:cs="Simplified Arabic"/>
          <w:sz w:val="28"/>
          <w:szCs w:val="28"/>
          <w:rtl/>
        </w:rPr>
        <w:t>.</w:t>
      </w:r>
    </w:p>
    <w:p w14:paraId="6FF93863"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العسيري،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أحمد</w:t>
      </w:r>
      <w:r w:rsidRPr="00AE507C">
        <w:rPr>
          <w:rFonts w:ascii="Simplified Arabic" w:hAnsi="Simplified Arabic" w:cs="Simplified Arabic"/>
          <w:sz w:val="28"/>
          <w:szCs w:val="28"/>
          <w:rtl/>
        </w:rPr>
        <w:t xml:space="preserve"> (2020). </w:t>
      </w:r>
      <w:r w:rsidRPr="00AE507C">
        <w:rPr>
          <w:rFonts w:ascii="Simplified Arabic" w:hAnsi="Simplified Arabic" w:cs="Simplified Arabic" w:hint="cs"/>
          <w:sz w:val="28"/>
          <w:szCs w:val="28"/>
          <w:rtl/>
        </w:rPr>
        <w:t>التدريب</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على</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النموذج</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الهجين</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في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المؤسسات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التعليمية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الدوحة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جامعة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قطر</w:t>
      </w:r>
      <w:r w:rsidRPr="00AE507C">
        <w:rPr>
          <w:rFonts w:ascii="Simplified Arabic" w:hAnsi="Simplified Arabic" w:cs="Simplified Arabic"/>
          <w:sz w:val="28"/>
          <w:szCs w:val="28"/>
          <w:rtl/>
        </w:rPr>
        <w:t>.</w:t>
      </w:r>
    </w:p>
    <w:p w14:paraId="46F510DF" w14:textId="77777777" w:rsidR="00AE507C" w:rsidRPr="00AE507C" w:rsidRDefault="00AE507C" w:rsidP="00AE507C">
      <w:pPr>
        <w:pStyle w:val="ListParagraph"/>
        <w:numPr>
          <w:ilvl w:val="0"/>
          <w:numId w:val="15"/>
        </w:numPr>
        <w:spacing w:line="360" w:lineRule="auto"/>
        <w:rPr>
          <w:rFonts w:ascii="Simplified Arabic" w:hAnsi="Simplified Arabic" w:cs="Simplified Arabic"/>
          <w:sz w:val="28"/>
          <w:szCs w:val="28"/>
          <w:rtl/>
        </w:rPr>
      </w:pPr>
      <w:r w:rsidRPr="00AE507C">
        <w:rPr>
          <w:rFonts w:ascii="Simplified Arabic" w:hAnsi="Simplified Arabic" w:cs="Simplified Arabic" w:hint="cs"/>
          <w:sz w:val="28"/>
          <w:szCs w:val="28"/>
          <w:rtl/>
        </w:rPr>
        <w:t>البقمي،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ناصر</w:t>
      </w:r>
      <w:r w:rsidRPr="00AE507C">
        <w:rPr>
          <w:rFonts w:ascii="Simplified Arabic" w:hAnsi="Simplified Arabic" w:cs="Simplified Arabic"/>
          <w:sz w:val="28"/>
          <w:szCs w:val="28"/>
          <w:rtl/>
        </w:rPr>
        <w:t xml:space="preserve"> (2019). </w:t>
      </w:r>
      <w:r w:rsidRPr="00AE507C">
        <w:rPr>
          <w:rFonts w:ascii="Simplified Arabic" w:hAnsi="Simplified Arabic" w:cs="Simplified Arabic" w:hint="cs"/>
          <w:sz w:val="28"/>
          <w:szCs w:val="28"/>
          <w:rtl/>
        </w:rPr>
        <w:t>الجوانب</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القانونية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للتحول</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إلى</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المنهجيات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الحديثة</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المنامة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مركز</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البحرين</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للدراسات</w:t>
      </w:r>
      <w:r w:rsidRPr="00AE507C">
        <w:rPr>
          <w:rFonts w:ascii="Simplified Arabic" w:hAnsi="Simplified Arabic" w:cs="Simplified Arabic"/>
          <w:sz w:val="28"/>
          <w:szCs w:val="28"/>
          <w:rtl/>
        </w:rPr>
        <w:t>.</w:t>
      </w:r>
    </w:p>
    <w:p w14:paraId="49A0A389" w14:textId="42950BDC" w:rsidR="00AE507C" w:rsidRPr="00AE507C" w:rsidRDefault="00AE507C" w:rsidP="00AE507C">
      <w:pPr>
        <w:pStyle w:val="ListParagraph"/>
        <w:numPr>
          <w:ilvl w:val="0"/>
          <w:numId w:val="15"/>
        </w:numPr>
        <w:spacing w:line="360" w:lineRule="auto"/>
        <w:jc w:val="lowKashida"/>
        <w:rPr>
          <w:rFonts w:ascii="Simplified Arabic" w:hAnsi="Simplified Arabic" w:cs="Simplified Arabic"/>
          <w:sz w:val="28"/>
          <w:szCs w:val="28"/>
          <w:rtl/>
        </w:rPr>
      </w:pPr>
      <w:r w:rsidRPr="00AE507C">
        <w:rPr>
          <w:rFonts w:ascii="Simplified Arabic" w:hAnsi="Simplified Arabic" w:cs="Simplified Arabic" w:hint="cs"/>
          <w:sz w:val="28"/>
          <w:szCs w:val="28"/>
          <w:rtl/>
        </w:rPr>
        <w:t>الغامدي،</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سليمان</w:t>
      </w:r>
      <w:r w:rsidRPr="00AE507C">
        <w:rPr>
          <w:rFonts w:ascii="Simplified Arabic" w:hAnsi="Simplified Arabic" w:cs="Simplified Arabic"/>
          <w:sz w:val="28"/>
          <w:szCs w:val="28"/>
          <w:rtl/>
        </w:rPr>
        <w:t xml:space="preserve"> (2021). </w:t>
      </w:r>
      <w:r w:rsidRPr="00AE507C">
        <w:rPr>
          <w:rFonts w:ascii="Simplified Arabic" w:hAnsi="Simplified Arabic" w:cs="Simplified Arabic" w:hint="cs"/>
          <w:sz w:val="28"/>
          <w:szCs w:val="28"/>
          <w:rtl/>
        </w:rPr>
        <w:t>التنظيمات</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الرقابية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وتأثيرها</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على</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التحول</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الإداري</w:t>
      </w:r>
      <w:r w:rsidRPr="00AE507C">
        <w:rPr>
          <w:rFonts w:ascii="Simplified Arabic" w:hAnsi="Simplified Arabic" w:cs="Simplified Arabic"/>
          <w:sz w:val="28"/>
          <w:szCs w:val="28"/>
          <w:rtl/>
        </w:rPr>
        <w:t xml:space="preserve"> . </w:t>
      </w:r>
      <w:r w:rsidRPr="00AE507C">
        <w:rPr>
          <w:rFonts w:ascii="Simplified Arabic" w:hAnsi="Simplified Arabic" w:cs="Simplified Arabic" w:hint="cs"/>
          <w:sz w:val="28"/>
          <w:szCs w:val="28"/>
          <w:rtl/>
        </w:rPr>
        <w:t>الرياض</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هيئة</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السوق</w:t>
      </w:r>
      <w:r w:rsidRPr="00AE507C">
        <w:rPr>
          <w:rFonts w:ascii="Simplified Arabic" w:hAnsi="Simplified Arabic" w:cs="Simplified Arabic"/>
          <w:sz w:val="28"/>
          <w:szCs w:val="28"/>
          <w:rtl/>
        </w:rPr>
        <w:t xml:space="preserve"> </w:t>
      </w:r>
      <w:r w:rsidRPr="00AE507C">
        <w:rPr>
          <w:rFonts w:ascii="Simplified Arabic" w:hAnsi="Simplified Arabic" w:cs="Simplified Arabic" w:hint="cs"/>
          <w:sz w:val="28"/>
          <w:szCs w:val="28"/>
          <w:rtl/>
        </w:rPr>
        <w:t>المالية</w:t>
      </w:r>
      <w:r w:rsidRPr="00AE507C">
        <w:rPr>
          <w:rFonts w:ascii="Simplified Arabic" w:hAnsi="Simplified Arabic" w:cs="Simplified Arabic"/>
          <w:sz w:val="28"/>
          <w:szCs w:val="28"/>
          <w:rtl/>
        </w:rPr>
        <w:t>.</w:t>
      </w:r>
    </w:p>
    <w:p w14:paraId="732DCEC5" w14:textId="5E4A7ECB" w:rsidR="004163C7" w:rsidRPr="00B272BA" w:rsidRDefault="004163C7" w:rsidP="00AE507C">
      <w:pPr>
        <w:pStyle w:val="Heading2"/>
        <w:spacing w:line="360" w:lineRule="auto"/>
        <w:rPr>
          <w:sz w:val="28"/>
          <w:szCs w:val="28"/>
          <w:rtl/>
        </w:rPr>
      </w:pPr>
      <w:bookmarkStart w:id="13" w:name="_Toc201509285"/>
      <w:r w:rsidRPr="00B272BA">
        <w:rPr>
          <w:sz w:val="28"/>
          <w:szCs w:val="28"/>
          <w:rtl/>
        </w:rPr>
        <w:t>-المراجع الأجنبية</w:t>
      </w:r>
      <w:bookmarkEnd w:id="13"/>
    </w:p>
    <w:p w14:paraId="0C21CB87"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Hoda, R., Noble, J., &amp; Marshall, S. (2012). Developing in Iterations: A Grounded Theory of Agile Methods Implementation. </w:t>
      </w:r>
      <w:r w:rsidRPr="00B272BA">
        <w:rPr>
          <w:rFonts w:asciiTheme="majorBidi" w:hAnsiTheme="majorBidi" w:cstheme="majorBidi"/>
          <w:i/>
          <w:iCs/>
          <w:sz w:val="28"/>
          <w:szCs w:val="28"/>
        </w:rPr>
        <w:t xml:space="preserve">IEEE Transactions on Software Engineering </w:t>
      </w:r>
      <w:r w:rsidRPr="00B272BA">
        <w:rPr>
          <w:rFonts w:asciiTheme="majorBidi" w:hAnsiTheme="majorBidi" w:cstheme="majorBidi"/>
          <w:sz w:val="28"/>
          <w:szCs w:val="28"/>
        </w:rPr>
        <w:t>, 38(1), pp. 43–58.</w:t>
      </w:r>
    </w:p>
    <w:p w14:paraId="07899E63"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Kotter, J. P. (1996). </w:t>
      </w:r>
      <w:r w:rsidRPr="00B272BA">
        <w:rPr>
          <w:rFonts w:asciiTheme="majorBidi" w:hAnsiTheme="majorBidi" w:cstheme="majorBidi"/>
          <w:i/>
          <w:iCs/>
          <w:sz w:val="28"/>
          <w:szCs w:val="28"/>
        </w:rPr>
        <w:t xml:space="preserve">Leading Change </w:t>
      </w:r>
      <w:r w:rsidRPr="00B272BA">
        <w:rPr>
          <w:rFonts w:asciiTheme="majorBidi" w:hAnsiTheme="majorBidi" w:cstheme="majorBidi"/>
          <w:sz w:val="28"/>
          <w:szCs w:val="28"/>
        </w:rPr>
        <w:t>. Boston: Harvard Business School Press.</w:t>
      </w:r>
    </w:p>
    <w:p w14:paraId="458DF31D"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Kotter, J. P., &amp; Schlesinger, L. A. (2008). Choosing Strategies for Change. </w:t>
      </w:r>
      <w:r w:rsidRPr="00B272BA">
        <w:rPr>
          <w:rFonts w:asciiTheme="majorBidi" w:hAnsiTheme="majorBidi" w:cstheme="majorBidi"/>
          <w:i/>
          <w:iCs/>
          <w:sz w:val="28"/>
          <w:szCs w:val="28"/>
        </w:rPr>
        <w:t xml:space="preserve">Harvard Business Review </w:t>
      </w:r>
      <w:r w:rsidRPr="00B272BA">
        <w:rPr>
          <w:rFonts w:asciiTheme="majorBidi" w:hAnsiTheme="majorBidi" w:cstheme="majorBidi"/>
          <w:sz w:val="28"/>
          <w:szCs w:val="28"/>
        </w:rPr>
        <w:t>, 86(7/8), pp. 96–101.</w:t>
      </w:r>
    </w:p>
    <w:p w14:paraId="71B46D62"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Royce, W. (1970). Managing the Development of Large Software Systems. </w:t>
      </w:r>
      <w:r w:rsidRPr="00B272BA">
        <w:rPr>
          <w:rFonts w:asciiTheme="majorBidi" w:hAnsiTheme="majorBidi" w:cstheme="majorBidi"/>
          <w:i/>
          <w:iCs/>
          <w:sz w:val="28"/>
          <w:szCs w:val="28"/>
        </w:rPr>
        <w:t xml:space="preserve">Proceedings of IEEE WESCON </w:t>
      </w:r>
      <w:r w:rsidRPr="00B272BA">
        <w:rPr>
          <w:rFonts w:asciiTheme="majorBidi" w:hAnsiTheme="majorBidi" w:cstheme="majorBidi"/>
          <w:sz w:val="28"/>
          <w:szCs w:val="28"/>
        </w:rPr>
        <w:t>, pp. 1–9.</w:t>
      </w:r>
    </w:p>
    <w:p w14:paraId="31D53E3D"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lastRenderedPageBreak/>
        <w:t xml:space="preserve">Sushil. (2010). Strategic Analysis of Hybrid Project Management Methodologies. </w:t>
      </w:r>
      <w:r w:rsidRPr="00B272BA">
        <w:rPr>
          <w:rFonts w:asciiTheme="majorBidi" w:hAnsiTheme="majorBidi" w:cstheme="majorBidi"/>
          <w:i/>
          <w:iCs/>
          <w:sz w:val="28"/>
          <w:szCs w:val="28"/>
        </w:rPr>
        <w:t xml:space="preserve">International Journal of Project Management </w:t>
      </w:r>
      <w:r w:rsidRPr="00B272BA">
        <w:rPr>
          <w:rFonts w:asciiTheme="majorBidi" w:hAnsiTheme="majorBidi" w:cstheme="majorBidi"/>
          <w:sz w:val="28"/>
          <w:szCs w:val="28"/>
        </w:rPr>
        <w:t>, 28(3), pp. 206–214.</w:t>
      </w:r>
    </w:p>
    <w:p w14:paraId="5CC18AE4"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Senge, P. M. (1990). </w:t>
      </w:r>
      <w:r w:rsidRPr="00B272BA">
        <w:rPr>
          <w:rFonts w:asciiTheme="majorBidi" w:hAnsiTheme="majorBidi" w:cstheme="majorBidi"/>
          <w:i/>
          <w:iCs/>
          <w:sz w:val="28"/>
          <w:szCs w:val="28"/>
        </w:rPr>
        <w:t xml:space="preserve">The Fifth Discipline: The Art and Practice of the Learning Organization </w:t>
      </w:r>
      <w:r w:rsidRPr="00B272BA">
        <w:rPr>
          <w:rFonts w:asciiTheme="majorBidi" w:hAnsiTheme="majorBidi" w:cstheme="majorBidi"/>
          <w:sz w:val="28"/>
          <w:szCs w:val="28"/>
        </w:rPr>
        <w:t>. New York: Doubleday/Currency.</w:t>
      </w:r>
    </w:p>
    <w:p w14:paraId="07FA39C7"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Matt, C., Hess, T., &amp; Benlian, A. (2015). Digital Transformation Strategies. </w:t>
      </w:r>
      <w:r w:rsidRPr="00B272BA">
        <w:rPr>
          <w:rFonts w:asciiTheme="majorBidi" w:hAnsiTheme="majorBidi" w:cstheme="majorBidi"/>
          <w:i/>
          <w:iCs/>
          <w:sz w:val="28"/>
          <w:szCs w:val="28"/>
        </w:rPr>
        <w:t xml:space="preserve">Business &amp; Information Systems Engineering </w:t>
      </w:r>
      <w:r w:rsidRPr="00B272BA">
        <w:rPr>
          <w:rFonts w:asciiTheme="majorBidi" w:hAnsiTheme="majorBidi" w:cstheme="majorBidi"/>
          <w:sz w:val="28"/>
          <w:szCs w:val="28"/>
        </w:rPr>
        <w:t>, 57(5), pp. 325–333.</w:t>
      </w:r>
    </w:p>
    <w:p w14:paraId="25873ED1"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Dingsøyr, T., Dybå, T., &amp; Moe, N. B. (2018). Advances in Agile and Lean Software Development. </w:t>
      </w:r>
      <w:r w:rsidRPr="00B272BA">
        <w:rPr>
          <w:rFonts w:asciiTheme="majorBidi" w:hAnsiTheme="majorBidi" w:cstheme="majorBidi"/>
          <w:i/>
          <w:iCs/>
          <w:sz w:val="28"/>
          <w:szCs w:val="28"/>
        </w:rPr>
        <w:t xml:space="preserve">Proceedings of ICALP 2018 </w:t>
      </w:r>
      <w:r w:rsidRPr="00B272BA">
        <w:rPr>
          <w:rFonts w:asciiTheme="majorBidi" w:hAnsiTheme="majorBidi" w:cstheme="majorBidi"/>
          <w:sz w:val="28"/>
          <w:szCs w:val="28"/>
        </w:rPr>
        <w:t>, Springer.</w:t>
      </w:r>
    </w:p>
    <w:p w14:paraId="5081A241" w14:textId="77777777" w:rsidR="00B272BA" w:rsidRPr="00B272BA" w:rsidRDefault="00B272BA" w:rsidP="00AE507C">
      <w:pPr>
        <w:numPr>
          <w:ilvl w:val="0"/>
          <w:numId w:val="14"/>
        </w:numPr>
        <w:bidi w:val="0"/>
        <w:spacing w:line="360" w:lineRule="auto"/>
        <w:jc w:val="lowKashida"/>
        <w:rPr>
          <w:rFonts w:asciiTheme="majorBidi" w:hAnsiTheme="majorBidi" w:cstheme="majorBidi"/>
          <w:sz w:val="28"/>
          <w:szCs w:val="28"/>
        </w:rPr>
      </w:pPr>
      <w:r w:rsidRPr="00B272BA">
        <w:rPr>
          <w:rFonts w:asciiTheme="majorBidi" w:hAnsiTheme="majorBidi" w:cstheme="majorBidi"/>
          <w:sz w:val="28"/>
          <w:szCs w:val="28"/>
        </w:rPr>
        <w:t xml:space="preserve">PMI (Project Management Institute). (2017). </w:t>
      </w:r>
      <w:r w:rsidRPr="00B272BA">
        <w:rPr>
          <w:rFonts w:asciiTheme="majorBidi" w:hAnsiTheme="majorBidi" w:cstheme="majorBidi"/>
          <w:i/>
          <w:iCs/>
          <w:sz w:val="28"/>
          <w:szCs w:val="28"/>
        </w:rPr>
        <w:t xml:space="preserve">A Guide to the Project Management Body of Knowledge (PMBOK® Guide) </w:t>
      </w:r>
      <w:r w:rsidRPr="00B272BA">
        <w:rPr>
          <w:rFonts w:asciiTheme="majorBidi" w:hAnsiTheme="majorBidi" w:cstheme="majorBidi"/>
          <w:sz w:val="28"/>
          <w:szCs w:val="28"/>
        </w:rPr>
        <w:t>– 6th Edition. Newtown Square, PA: PMI Publications.</w:t>
      </w:r>
    </w:p>
    <w:p w14:paraId="097D2943" w14:textId="77777777" w:rsidR="00B272BA" w:rsidRPr="00B272BA" w:rsidRDefault="00B272BA" w:rsidP="00AE507C">
      <w:pPr>
        <w:spacing w:line="360" w:lineRule="auto"/>
        <w:jc w:val="lowKashida"/>
        <w:rPr>
          <w:rFonts w:ascii="Simplified Arabic" w:hAnsi="Simplified Arabic" w:cs="Simplified Arabic"/>
          <w:sz w:val="28"/>
          <w:szCs w:val="28"/>
          <w:rtl/>
        </w:rPr>
      </w:pPr>
    </w:p>
    <w:p w14:paraId="6E52896B" w14:textId="5811F1CE" w:rsidR="009125CE" w:rsidRPr="00B272BA" w:rsidRDefault="009125CE" w:rsidP="00AE507C">
      <w:pPr>
        <w:spacing w:line="360" w:lineRule="auto"/>
        <w:jc w:val="center"/>
        <w:rPr>
          <w:rFonts w:ascii="Simplified Arabic" w:hAnsi="Simplified Arabic" w:cs="Simplified Arabic"/>
          <w:b/>
          <w:bCs/>
          <w:sz w:val="28"/>
          <w:szCs w:val="28"/>
        </w:rPr>
      </w:pPr>
    </w:p>
    <w:sectPr w:rsidR="009125CE" w:rsidRPr="00B272B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49CE8" w14:textId="77777777" w:rsidR="00B63153" w:rsidRDefault="00B63153" w:rsidP="009125CE">
      <w:pPr>
        <w:spacing w:after="0" w:line="240" w:lineRule="auto"/>
      </w:pPr>
      <w:r>
        <w:separator/>
      </w:r>
    </w:p>
  </w:endnote>
  <w:endnote w:type="continuationSeparator" w:id="0">
    <w:p w14:paraId="3963F9A3" w14:textId="77777777" w:rsidR="00B63153" w:rsidRDefault="00B631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173E4" w14:textId="77777777" w:rsidR="00B63153" w:rsidRDefault="00B63153" w:rsidP="009125CE">
      <w:pPr>
        <w:spacing w:after="0" w:line="240" w:lineRule="auto"/>
      </w:pPr>
      <w:r>
        <w:separator/>
      </w:r>
    </w:p>
  </w:footnote>
  <w:footnote w:type="continuationSeparator" w:id="0">
    <w:p w14:paraId="68C15423" w14:textId="77777777" w:rsidR="00B63153" w:rsidRDefault="00B6315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572D2"/>
    <w:multiLevelType w:val="hybridMultilevel"/>
    <w:tmpl w:val="452E4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2E5737"/>
    <w:multiLevelType w:val="multilevel"/>
    <w:tmpl w:val="4E5C7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421487"/>
    <w:multiLevelType w:val="multilevel"/>
    <w:tmpl w:val="547CA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9738D5"/>
    <w:multiLevelType w:val="hybridMultilevel"/>
    <w:tmpl w:val="16EE0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9E3DA8"/>
    <w:multiLevelType w:val="multilevel"/>
    <w:tmpl w:val="1832A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967D5F"/>
    <w:multiLevelType w:val="multilevel"/>
    <w:tmpl w:val="E5941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10E1BF8"/>
    <w:multiLevelType w:val="multilevel"/>
    <w:tmpl w:val="7742B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4B2BEA"/>
    <w:multiLevelType w:val="multilevel"/>
    <w:tmpl w:val="DA800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6E5476"/>
    <w:multiLevelType w:val="hybridMultilevel"/>
    <w:tmpl w:val="E39EE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5A3211"/>
    <w:multiLevelType w:val="multilevel"/>
    <w:tmpl w:val="EA904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316AA8"/>
    <w:multiLevelType w:val="hybridMultilevel"/>
    <w:tmpl w:val="D9C01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D87570"/>
    <w:multiLevelType w:val="hybridMultilevel"/>
    <w:tmpl w:val="599C1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EE2D60"/>
    <w:multiLevelType w:val="hybridMultilevel"/>
    <w:tmpl w:val="F1BC4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D51FAF"/>
    <w:multiLevelType w:val="multilevel"/>
    <w:tmpl w:val="4CB2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59C3C8B"/>
    <w:multiLevelType w:val="multilevel"/>
    <w:tmpl w:val="CDA4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4"/>
  </w:num>
  <w:num w:numId="3">
    <w:abstractNumId w:val="9"/>
  </w:num>
  <w:num w:numId="4">
    <w:abstractNumId w:val="7"/>
  </w:num>
  <w:num w:numId="5">
    <w:abstractNumId w:val="11"/>
  </w:num>
  <w:num w:numId="6">
    <w:abstractNumId w:val="5"/>
  </w:num>
  <w:num w:numId="7">
    <w:abstractNumId w:val="13"/>
  </w:num>
  <w:num w:numId="8">
    <w:abstractNumId w:val="2"/>
  </w:num>
  <w:num w:numId="9">
    <w:abstractNumId w:val="4"/>
  </w:num>
  <w:num w:numId="10">
    <w:abstractNumId w:val="3"/>
  </w:num>
  <w:num w:numId="11">
    <w:abstractNumId w:val="12"/>
  </w:num>
  <w:num w:numId="12">
    <w:abstractNumId w:val="8"/>
  </w:num>
  <w:num w:numId="13">
    <w:abstractNumId w:val="0"/>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A4037"/>
    <w:rsid w:val="001B1A18"/>
    <w:rsid w:val="001C2162"/>
    <w:rsid w:val="003D6985"/>
    <w:rsid w:val="004163C7"/>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AE507C"/>
    <w:rsid w:val="00B272BA"/>
    <w:rsid w:val="00B63153"/>
    <w:rsid w:val="00B63B0F"/>
    <w:rsid w:val="00B7678A"/>
    <w:rsid w:val="00BC094B"/>
    <w:rsid w:val="00C72744"/>
    <w:rsid w:val="00CB2A44"/>
    <w:rsid w:val="00D04F62"/>
    <w:rsid w:val="00D22171"/>
    <w:rsid w:val="00D52480"/>
    <w:rsid w:val="00DF70E8"/>
    <w:rsid w:val="00E80FD9"/>
    <w:rsid w:val="00F546CE"/>
    <w:rsid w:val="00F925D0"/>
    <w:rsid w:val="00FC52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DF70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70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F70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F70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F70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70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F70E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F70E8"/>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F70E8"/>
    <w:pPr>
      <w:ind w:left="720"/>
      <w:contextualSpacing/>
    </w:pPr>
  </w:style>
  <w:style w:type="paragraph" w:styleId="TOCHeading">
    <w:name w:val="TOC Heading"/>
    <w:basedOn w:val="Heading1"/>
    <w:next w:val="Normal"/>
    <w:uiPriority w:val="39"/>
    <w:unhideWhenUsed/>
    <w:qFormat/>
    <w:rsid w:val="00DF70E8"/>
    <w:pPr>
      <w:bidi w:val="0"/>
      <w:outlineLvl w:val="9"/>
    </w:pPr>
    <w:rPr>
      <w:kern w:val="0"/>
      <w14:ligatures w14:val="none"/>
    </w:rPr>
  </w:style>
  <w:style w:type="paragraph" w:styleId="TOC1">
    <w:name w:val="toc 1"/>
    <w:basedOn w:val="Normal"/>
    <w:next w:val="Normal"/>
    <w:autoRedefine/>
    <w:uiPriority w:val="39"/>
    <w:unhideWhenUsed/>
    <w:rsid w:val="00DF70E8"/>
    <w:pPr>
      <w:spacing w:after="100"/>
    </w:pPr>
  </w:style>
  <w:style w:type="paragraph" w:styleId="TOC2">
    <w:name w:val="toc 2"/>
    <w:basedOn w:val="Normal"/>
    <w:next w:val="Normal"/>
    <w:autoRedefine/>
    <w:uiPriority w:val="39"/>
    <w:unhideWhenUsed/>
    <w:rsid w:val="00DF70E8"/>
    <w:pPr>
      <w:spacing w:after="100"/>
      <w:ind w:left="220"/>
    </w:pPr>
  </w:style>
  <w:style w:type="character" w:styleId="Hyperlink">
    <w:name w:val="Hyperlink"/>
    <w:basedOn w:val="DefaultParagraphFont"/>
    <w:uiPriority w:val="99"/>
    <w:unhideWhenUsed/>
    <w:rsid w:val="00DF70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3211">
      <w:bodyDiv w:val="1"/>
      <w:marLeft w:val="0"/>
      <w:marRight w:val="0"/>
      <w:marTop w:val="0"/>
      <w:marBottom w:val="0"/>
      <w:divBdr>
        <w:top w:val="none" w:sz="0" w:space="0" w:color="auto"/>
        <w:left w:val="none" w:sz="0" w:space="0" w:color="auto"/>
        <w:bottom w:val="none" w:sz="0" w:space="0" w:color="auto"/>
        <w:right w:val="none" w:sz="0" w:space="0" w:color="auto"/>
      </w:divBdr>
    </w:div>
    <w:div w:id="86656114">
      <w:bodyDiv w:val="1"/>
      <w:marLeft w:val="0"/>
      <w:marRight w:val="0"/>
      <w:marTop w:val="0"/>
      <w:marBottom w:val="0"/>
      <w:divBdr>
        <w:top w:val="none" w:sz="0" w:space="0" w:color="auto"/>
        <w:left w:val="none" w:sz="0" w:space="0" w:color="auto"/>
        <w:bottom w:val="none" w:sz="0" w:space="0" w:color="auto"/>
        <w:right w:val="none" w:sz="0" w:space="0" w:color="auto"/>
      </w:divBdr>
    </w:div>
    <w:div w:id="304893961">
      <w:bodyDiv w:val="1"/>
      <w:marLeft w:val="0"/>
      <w:marRight w:val="0"/>
      <w:marTop w:val="0"/>
      <w:marBottom w:val="0"/>
      <w:divBdr>
        <w:top w:val="none" w:sz="0" w:space="0" w:color="auto"/>
        <w:left w:val="none" w:sz="0" w:space="0" w:color="auto"/>
        <w:bottom w:val="none" w:sz="0" w:space="0" w:color="auto"/>
        <w:right w:val="none" w:sz="0" w:space="0" w:color="auto"/>
      </w:divBdr>
    </w:div>
    <w:div w:id="377708337">
      <w:bodyDiv w:val="1"/>
      <w:marLeft w:val="0"/>
      <w:marRight w:val="0"/>
      <w:marTop w:val="0"/>
      <w:marBottom w:val="0"/>
      <w:divBdr>
        <w:top w:val="none" w:sz="0" w:space="0" w:color="auto"/>
        <w:left w:val="none" w:sz="0" w:space="0" w:color="auto"/>
        <w:bottom w:val="none" w:sz="0" w:space="0" w:color="auto"/>
        <w:right w:val="none" w:sz="0" w:space="0" w:color="auto"/>
      </w:divBdr>
      <w:divsChild>
        <w:div w:id="517235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23041906">
      <w:bodyDiv w:val="1"/>
      <w:marLeft w:val="0"/>
      <w:marRight w:val="0"/>
      <w:marTop w:val="0"/>
      <w:marBottom w:val="0"/>
      <w:divBdr>
        <w:top w:val="none" w:sz="0" w:space="0" w:color="auto"/>
        <w:left w:val="none" w:sz="0" w:space="0" w:color="auto"/>
        <w:bottom w:val="none" w:sz="0" w:space="0" w:color="auto"/>
        <w:right w:val="none" w:sz="0" w:space="0" w:color="auto"/>
      </w:divBdr>
    </w:div>
    <w:div w:id="666785084">
      <w:bodyDiv w:val="1"/>
      <w:marLeft w:val="0"/>
      <w:marRight w:val="0"/>
      <w:marTop w:val="0"/>
      <w:marBottom w:val="0"/>
      <w:divBdr>
        <w:top w:val="none" w:sz="0" w:space="0" w:color="auto"/>
        <w:left w:val="none" w:sz="0" w:space="0" w:color="auto"/>
        <w:bottom w:val="none" w:sz="0" w:space="0" w:color="auto"/>
        <w:right w:val="none" w:sz="0" w:space="0" w:color="auto"/>
      </w:divBdr>
    </w:div>
    <w:div w:id="868565617">
      <w:bodyDiv w:val="1"/>
      <w:marLeft w:val="0"/>
      <w:marRight w:val="0"/>
      <w:marTop w:val="0"/>
      <w:marBottom w:val="0"/>
      <w:divBdr>
        <w:top w:val="none" w:sz="0" w:space="0" w:color="auto"/>
        <w:left w:val="none" w:sz="0" w:space="0" w:color="auto"/>
        <w:bottom w:val="none" w:sz="0" w:space="0" w:color="auto"/>
        <w:right w:val="none" w:sz="0" w:space="0" w:color="auto"/>
      </w:divBdr>
      <w:divsChild>
        <w:div w:id="1903903340">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928348394">
      <w:bodyDiv w:val="1"/>
      <w:marLeft w:val="0"/>
      <w:marRight w:val="0"/>
      <w:marTop w:val="0"/>
      <w:marBottom w:val="0"/>
      <w:divBdr>
        <w:top w:val="none" w:sz="0" w:space="0" w:color="auto"/>
        <w:left w:val="none" w:sz="0" w:space="0" w:color="auto"/>
        <w:bottom w:val="none" w:sz="0" w:space="0" w:color="auto"/>
        <w:right w:val="none" w:sz="0" w:space="0" w:color="auto"/>
      </w:divBdr>
    </w:div>
    <w:div w:id="1012297282">
      <w:bodyDiv w:val="1"/>
      <w:marLeft w:val="0"/>
      <w:marRight w:val="0"/>
      <w:marTop w:val="0"/>
      <w:marBottom w:val="0"/>
      <w:divBdr>
        <w:top w:val="none" w:sz="0" w:space="0" w:color="auto"/>
        <w:left w:val="none" w:sz="0" w:space="0" w:color="auto"/>
        <w:bottom w:val="none" w:sz="0" w:space="0" w:color="auto"/>
        <w:right w:val="none" w:sz="0" w:space="0" w:color="auto"/>
      </w:divBdr>
    </w:div>
    <w:div w:id="1108811165">
      <w:bodyDiv w:val="1"/>
      <w:marLeft w:val="0"/>
      <w:marRight w:val="0"/>
      <w:marTop w:val="0"/>
      <w:marBottom w:val="0"/>
      <w:divBdr>
        <w:top w:val="none" w:sz="0" w:space="0" w:color="auto"/>
        <w:left w:val="none" w:sz="0" w:space="0" w:color="auto"/>
        <w:bottom w:val="none" w:sz="0" w:space="0" w:color="auto"/>
        <w:right w:val="none" w:sz="0" w:space="0" w:color="auto"/>
      </w:divBdr>
    </w:div>
    <w:div w:id="1471632345">
      <w:bodyDiv w:val="1"/>
      <w:marLeft w:val="0"/>
      <w:marRight w:val="0"/>
      <w:marTop w:val="0"/>
      <w:marBottom w:val="0"/>
      <w:divBdr>
        <w:top w:val="none" w:sz="0" w:space="0" w:color="auto"/>
        <w:left w:val="none" w:sz="0" w:space="0" w:color="auto"/>
        <w:bottom w:val="none" w:sz="0" w:space="0" w:color="auto"/>
        <w:right w:val="none" w:sz="0" w:space="0" w:color="auto"/>
      </w:divBdr>
    </w:div>
    <w:div w:id="1780562964">
      <w:bodyDiv w:val="1"/>
      <w:marLeft w:val="0"/>
      <w:marRight w:val="0"/>
      <w:marTop w:val="0"/>
      <w:marBottom w:val="0"/>
      <w:divBdr>
        <w:top w:val="none" w:sz="0" w:space="0" w:color="auto"/>
        <w:left w:val="none" w:sz="0" w:space="0" w:color="auto"/>
        <w:bottom w:val="none" w:sz="0" w:space="0" w:color="auto"/>
        <w:right w:val="none" w:sz="0" w:space="0" w:color="auto"/>
      </w:divBdr>
    </w:div>
    <w:div w:id="1851673776">
      <w:bodyDiv w:val="1"/>
      <w:marLeft w:val="0"/>
      <w:marRight w:val="0"/>
      <w:marTop w:val="0"/>
      <w:marBottom w:val="0"/>
      <w:divBdr>
        <w:top w:val="none" w:sz="0" w:space="0" w:color="auto"/>
        <w:left w:val="none" w:sz="0" w:space="0" w:color="auto"/>
        <w:bottom w:val="none" w:sz="0" w:space="0" w:color="auto"/>
        <w:right w:val="none" w:sz="0" w:space="0" w:color="auto"/>
      </w:divBdr>
    </w:div>
    <w:div w:id="1983382366">
      <w:bodyDiv w:val="1"/>
      <w:marLeft w:val="0"/>
      <w:marRight w:val="0"/>
      <w:marTop w:val="0"/>
      <w:marBottom w:val="0"/>
      <w:divBdr>
        <w:top w:val="none" w:sz="0" w:space="0" w:color="auto"/>
        <w:left w:val="none" w:sz="0" w:space="0" w:color="auto"/>
        <w:bottom w:val="none" w:sz="0" w:space="0" w:color="auto"/>
        <w:right w:val="none" w:sz="0" w:space="0" w:color="auto"/>
      </w:divBdr>
    </w:div>
    <w:div w:id="2004771676">
      <w:bodyDiv w:val="1"/>
      <w:marLeft w:val="0"/>
      <w:marRight w:val="0"/>
      <w:marTop w:val="0"/>
      <w:marBottom w:val="0"/>
      <w:divBdr>
        <w:top w:val="none" w:sz="0" w:space="0" w:color="auto"/>
        <w:left w:val="none" w:sz="0" w:space="0" w:color="auto"/>
        <w:bottom w:val="none" w:sz="0" w:space="0" w:color="auto"/>
        <w:right w:val="none" w:sz="0" w:space="0" w:color="auto"/>
      </w:divBdr>
    </w:div>
    <w:div w:id="2035378913">
      <w:bodyDiv w:val="1"/>
      <w:marLeft w:val="0"/>
      <w:marRight w:val="0"/>
      <w:marTop w:val="0"/>
      <w:marBottom w:val="0"/>
      <w:divBdr>
        <w:top w:val="none" w:sz="0" w:space="0" w:color="auto"/>
        <w:left w:val="none" w:sz="0" w:space="0" w:color="auto"/>
        <w:bottom w:val="none" w:sz="0" w:space="0" w:color="auto"/>
        <w:right w:val="none" w:sz="0" w:space="0" w:color="auto"/>
      </w:divBdr>
    </w:div>
    <w:div w:id="2061052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AB99A-81B9-473B-91B0-5984DA17F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4522</Words>
  <Characters>25782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VEGA</cp:lastModifiedBy>
  <cp:revision>9</cp:revision>
  <cp:lastPrinted>2025-07-02T21:35:00Z</cp:lastPrinted>
  <dcterms:created xsi:type="dcterms:W3CDTF">2024-01-27T08:57:00Z</dcterms:created>
  <dcterms:modified xsi:type="dcterms:W3CDTF">2025-07-02T21:35:00Z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