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9D6749" w14:textId="24D84E62" w:rsidR="009125CE" w:rsidRPr="004866BF" w:rsidRDefault="00C02452" w:rsidP="00C02452">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4866BF">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2731EF30">
            <wp:simplePos x="0" y="0"/>
            <wp:positionH relativeFrom="margin">
              <wp:posOffset>-12700</wp:posOffset>
            </wp:positionH>
            <wp:positionV relativeFrom="margin">
              <wp:posOffset>-72390</wp:posOffset>
            </wp:positionV>
            <wp:extent cx="1625600" cy="150876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5600" cy="1508760"/>
                    </a:xfrm>
                    <a:prstGeom prst="rect">
                      <a:avLst/>
                    </a:prstGeom>
                  </pic:spPr>
                </pic:pic>
              </a:graphicData>
            </a:graphic>
            <wp14:sizeRelH relativeFrom="margin">
              <wp14:pctWidth>0</wp14:pctWidth>
            </wp14:sizeRelH>
            <wp14:sizeRelV relativeFrom="margin">
              <wp14:pctHeight>0</wp14:pctHeight>
            </wp14:sizeRelV>
          </wp:anchor>
        </w:drawing>
      </w:r>
      <w:r w:rsidR="009125CE" w:rsidRPr="004866BF">
        <w:rPr>
          <w:rFonts w:ascii="Simplified Arabic" w:hAnsi="Simplified Arabic" w:cs="Simplified Arabic"/>
          <w:b/>
          <w:bCs/>
          <w:color w:val="000000" w:themeColor="text1"/>
          <w:sz w:val="32"/>
          <w:szCs w:val="32"/>
          <w:rtl/>
          <w:lang w:bidi="ar-EG"/>
        </w:rPr>
        <w:t xml:space="preserve">جامعة ميدأوشن </w:t>
      </w:r>
    </w:p>
    <w:p w14:paraId="1E957002" w14:textId="78E92FB6" w:rsidR="00F546CE" w:rsidRPr="004866BF" w:rsidRDefault="009125CE" w:rsidP="00C0245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4866BF">
        <w:rPr>
          <w:rFonts w:ascii="Simplified Arabic" w:hAnsi="Simplified Arabic" w:cs="Simplified Arabic"/>
          <w:b/>
          <w:bCs/>
          <w:color w:val="000000" w:themeColor="text1"/>
          <w:sz w:val="32"/>
          <w:szCs w:val="32"/>
          <w:rtl/>
          <w:lang w:bidi="ar-EG"/>
        </w:rPr>
        <w:t xml:space="preserve">كلية </w:t>
      </w:r>
      <w:r w:rsidR="008C42C1" w:rsidRPr="004866BF">
        <w:rPr>
          <w:rFonts w:ascii="Simplified Arabic" w:hAnsi="Simplified Arabic" w:cs="Simplified Arabic"/>
          <w:b/>
          <w:bCs/>
          <w:color w:val="000000" w:themeColor="text1"/>
          <w:sz w:val="32"/>
          <w:szCs w:val="32"/>
          <w:rtl/>
          <w:lang w:bidi="ar-EG"/>
        </w:rPr>
        <w:t>الإدارة</w:t>
      </w:r>
      <w:r w:rsidRPr="004866BF">
        <w:rPr>
          <w:rFonts w:ascii="Simplified Arabic" w:hAnsi="Simplified Arabic" w:cs="Simplified Arabic"/>
          <w:b/>
          <w:bCs/>
          <w:color w:val="000000" w:themeColor="text1"/>
          <w:sz w:val="32"/>
          <w:szCs w:val="32"/>
          <w:rtl/>
          <w:lang w:bidi="ar-EG"/>
        </w:rPr>
        <w:t xml:space="preserve"> </w:t>
      </w:r>
    </w:p>
    <w:p w14:paraId="0A25F43C" w14:textId="188871B7" w:rsidR="008C7BB4" w:rsidRPr="004866BF" w:rsidRDefault="002E360D" w:rsidP="00C0245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4866BF">
        <w:rPr>
          <w:rFonts w:ascii="Simplified Arabic" w:hAnsi="Simplified Arabic" w:cs="Simplified Arabic"/>
          <w:b/>
          <w:bCs/>
          <w:color w:val="000000" w:themeColor="text1"/>
          <w:sz w:val="32"/>
          <w:szCs w:val="32"/>
          <w:rtl/>
          <w:lang w:bidi="ar-EG"/>
        </w:rPr>
        <w:t xml:space="preserve">ماجستير </w:t>
      </w:r>
      <w:r w:rsidR="00734767" w:rsidRPr="004866BF">
        <w:rPr>
          <w:rFonts w:ascii="Simplified Arabic" w:hAnsi="Simplified Arabic" w:cs="Simplified Arabic"/>
          <w:b/>
          <w:bCs/>
          <w:color w:val="000000" w:themeColor="text1"/>
          <w:sz w:val="32"/>
          <w:szCs w:val="32"/>
          <w:rtl/>
          <w:lang w:bidi="ar-EG"/>
        </w:rPr>
        <w:t>إدارة صحية</w:t>
      </w:r>
    </w:p>
    <w:p w14:paraId="5F6542BF" w14:textId="77777777" w:rsidR="009125CE" w:rsidRPr="004866BF" w:rsidRDefault="009125CE" w:rsidP="00C02452">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375D003A" w14:textId="3F873252" w:rsidR="00306594" w:rsidRPr="004866BF" w:rsidRDefault="00306594" w:rsidP="00C02452">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4866BF">
        <w:rPr>
          <w:rFonts w:ascii="Simplified Arabic" w:hAnsi="Simplified Arabic" w:cs="Simplified Arabic"/>
          <w:b/>
          <w:bCs/>
          <w:color w:val="000000" w:themeColor="text1"/>
          <w:sz w:val="40"/>
          <w:szCs w:val="40"/>
          <w:rtl/>
        </w:rPr>
        <w:t>أثر التحول الرقمي في تطوير جودة الرعاية الصحية في المملكة العربية السعودية تحقيقًا لمستهدفات رؤية 2030</w:t>
      </w:r>
    </w:p>
    <w:p w14:paraId="730353C0" w14:textId="77777777" w:rsidR="00C02452" w:rsidRPr="004866BF" w:rsidRDefault="00C02452" w:rsidP="00C02452">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246E2A0B" w:rsidR="009125CE" w:rsidRPr="004866BF" w:rsidRDefault="009125CE" w:rsidP="00C0245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866BF">
        <w:rPr>
          <w:rFonts w:ascii="Simplified Arabic" w:hAnsi="Simplified Arabic" w:cs="Simplified Arabic"/>
          <w:b/>
          <w:bCs/>
          <w:color w:val="000000" w:themeColor="text1"/>
          <w:sz w:val="36"/>
          <w:szCs w:val="36"/>
          <w:rtl/>
          <w:lang w:bidi="ar-EG"/>
        </w:rPr>
        <w:t>إعداد الطالب</w:t>
      </w:r>
      <w:r w:rsidR="00810824">
        <w:rPr>
          <w:rFonts w:ascii="Simplified Arabic" w:hAnsi="Simplified Arabic" w:cs="Simplified Arabic" w:hint="cs"/>
          <w:b/>
          <w:bCs/>
          <w:color w:val="000000" w:themeColor="text1"/>
          <w:sz w:val="36"/>
          <w:szCs w:val="36"/>
          <w:rtl/>
        </w:rPr>
        <w:t>ة</w:t>
      </w:r>
      <w:r w:rsidRPr="004866BF">
        <w:rPr>
          <w:rFonts w:ascii="Simplified Arabic" w:hAnsi="Simplified Arabic" w:cs="Simplified Arabic"/>
          <w:b/>
          <w:bCs/>
          <w:color w:val="000000" w:themeColor="text1"/>
          <w:sz w:val="36"/>
          <w:szCs w:val="36"/>
          <w:rtl/>
          <w:lang w:bidi="ar-EG"/>
        </w:rPr>
        <w:t>/</w:t>
      </w:r>
    </w:p>
    <w:p w14:paraId="202A2E2B" w14:textId="07427573" w:rsidR="00C02452" w:rsidRDefault="00810824" w:rsidP="00C0245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ريم منصور الجبران</w:t>
      </w:r>
    </w:p>
    <w:p w14:paraId="74920432" w14:textId="40991C25" w:rsidR="00810824" w:rsidRPr="004866BF" w:rsidRDefault="00810824" w:rsidP="00810824">
      <w:pPr>
        <w:bidi w:val="0"/>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Pr>
          <w:rFonts w:ascii="Simplified Arabic" w:hAnsi="Simplified Arabic" w:cs="Simplified Arabic"/>
          <w:b/>
          <w:bCs/>
          <w:color w:val="000000" w:themeColor="text1"/>
          <w:sz w:val="36"/>
          <w:szCs w:val="36"/>
          <w:lang w:bidi="ar-EG"/>
        </w:rPr>
        <w:t>253000236</w:t>
      </w:r>
    </w:p>
    <w:p w14:paraId="0D39EF42" w14:textId="77777777" w:rsidR="00C02452" w:rsidRPr="004866BF" w:rsidRDefault="00C02452" w:rsidP="00C0245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C02452" w:rsidRPr="004866BF" w14:paraId="7259A25E" w14:textId="77777777" w:rsidTr="00C02452">
        <w:tc>
          <w:tcPr>
            <w:tcW w:w="4530" w:type="dxa"/>
          </w:tcPr>
          <w:p w14:paraId="43A74D17" w14:textId="77777777" w:rsidR="00C02452" w:rsidRPr="004866BF" w:rsidRDefault="00C02452" w:rsidP="00C0245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866BF">
              <w:rPr>
                <w:rFonts w:ascii="Simplified Arabic" w:hAnsi="Simplified Arabic" w:cs="Simplified Arabic" w:hint="cs"/>
                <w:b/>
                <w:bCs/>
                <w:color w:val="000000" w:themeColor="text1"/>
                <w:sz w:val="36"/>
                <w:szCs w:val="36"/>
                <w:rtl/>
                <w:lang w:bidi="ar-EG"/>
              </w:rPr>
              <w:t>المشرف الرئيسي/</w:t>
            </w:r>
          </w:p>
        </w:tc>
        <w:tc>
          <w:tcPr>
            <w:tcW w:w="4531" w:type="dxa"/>
          </w:tcPr>
          <w:p w14:paraId="044551A4" w14:textId="77777777" w:rsidR="00C02452" w:rsidRPr="004866BF" w:rsidRDefault="00C02452" w:rsidP="00C0245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866BF">
              <w:rPr>
                <w:rFonts w:ascii="Simplified Arabic" w:hAnsi="Simplified Arabic" w:cs="Simplified Arabic" w:hint="cs"/>
                <w:b/>
                <w:bCs/>
                <w:color w:val="000000" w:themeColor="text1"/>
                <w:sz w:val="36"/>
                <w:szCs w:val="36"/>
                <w:rtl/>
                <w:lang w:bidi="ar-EG"/>
              </w:rPr>
              <w:t>المشرف الثاني/</w:t>
            </w:r>
          </w:p>
        </w:tc>
      </w:tr>
      <w:tr w:rsidR="00C02452" w:rsidRPr="004866BF" w14:paraId="2BCE7FD7" w14:textId="77777777" w:rsidTr="00C02452">
        <w:tc>
          <w:tcPr>
            <w:tcW w:w="4530" w:type="dxa"/>
          </w:tcPr>
          <w:p w14:paraId="73B6ED47" w14:textId="77777777" w:rsidR="00C02452" w:rsidRPr="004866BF" w:rsidRDefault="00C02452" w:rsidP="00C0245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866BF">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BB9A3D2" w14:textId="77777777" w:rsidR="00C02452" w:rsidRPr="004866BF" w:rsidRDefault="00C02452" w:rsidP="00C0245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866BF">
              <w:rPr>
                <w:rFonts w:ascii="Simplified Arabic" w:eastAsia="Calibri" w:hAnsi="Simplified Arabic" w:cs="Simplified Arabic"/>
                <w:color w:val="000000" w:themeColor="text1"/>
                <w:kern w:val="0"/>
                <w:sz w:val="36"/>
                <w:szCs w:val="36"/>
                <w:rtl/>
                <w:lang w:bidi="ar-EG"/>
                <w14:ligatures w14:val="none"/>
              </w:rPr>
              <w:t>د.فايز جراد</w:t>
            </w:r>
          </w:p>
        </w:tc>
      </w:tr>
    </w:tbl>
    <w:p w14:paraId="2C0B18B3" w14:textId="77777777" w:rsidR="00C02452" w:rsidRPr="004866BF" w:rsidRDefault="00C02452" w:rsidP="00C0245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866BF">
        <w:rPr>
          <w:rFonts w:ascii="Simplified Arabic" w:hAnsi="Simplified Arabic" w:cs="Simplified Arabic"/>
          <w:b/>
          <w:bCs/>
          <w:color w:val="000000" w:themeColor="text1"/>
          <w:sz w:val="36"/>
          <w:szCs w:val="36"/>
          <w:rtl/>
          <w:lang w:bidi="ar-EG"/>
        </w:rPr>
        <w:t>العام الدراسي:</w:t>
      </w:r>
    </w:p>
    <w:p w14:paraId="40BF4A58" w14:textId="77777777" w:rsidR="00C02452" w:rsidRPr="004866BF" w:rsidRDefault="00C02452" w:rsidP="00C02452">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4866BF">
        <w:rPr>
          <w:rFonts w:ascii="Simplified Arabic" w:hAnsi="Simplified Arabic" w:cs="Simplified Arabic" w:hint="cs"/>
          <w:color w:val="000000" w:themeColor="text1"/>
          <w:sz w:val="36"/>
          <w:szCs w:val="36"/>
          <w:rtl/>
          <w:lang w:bidi="ar-EG"/>
        </w:rPr>
        <w:t xml:space="preserve">1448 </w:t>
      </w:r>
      <w:r w:rsidRPr="004866BF">
        <w:rPr>
          <w:rFonts w:ascii="Simplified Arabic" w:hAnsi="Simplified Arabic" w:cs="Simplified Arabic"/>
          <w:color w:val="000000" w:themeColor="text1"/>
          <w:sz w:val="36"/>
          <w:szCs w:val="36"/>
          <w:rtl/>
          <w:lang w:bidi="ar-EG"/>
        </w:rPr>
        <w:t>–</w:t>
      </w:r>
      <w:r w:rsidRPr="004866BF">
        <w:rPr>
          <w:rFonts w:ascii="Simplified Arabic" w:hAnsi="Simplified Arabic" w:cs="Simplified Arabic" w:hint="cs"/>
          <w:color w:val="000000" w:themeColor="text1"/>
          <w:sz w:val="36"/>
          <w:szCs w:val="36"/>
          <w:rtl/>
          <w:lang w:bidi="ar-EG"/>
        </w:rPr>
        <w:t xml:space="preserve"> 2026</w:t>
      </w:r>
    </w:p>
    <w:p w14:paraId="1C261AF6" w14:textId="77777777" w:rsidR="00C02452" w:rsidRPr="004866BF" w:rsidRDefault="00C02452" w:rsidP="00C02452">
      <w:pPr>
        <w:spacing w:before="100" w:beforeAutospacing="1" w:after="100" w:afterAutospacing="1" w:line="276" w:lineRule="auto"/>
        <w:jc w:val="center"/>
        <w:rPr>
          <w:rFonts w:ascii="Simplified Arabic" w:hAnsi="Simplified Arabic" w:cs="Times New Roman"/>
          <w:b/>
          <w:bCs/>
          <w:color w:val="000000" w:themeColor="text1"/>
          <w:sz w:val="36"/>
          <w:szCs w:val="36"/>
          <w:rtl/>
          <w:lang w:bidi="ar-EG"/>
        </w:rPr>
        <w:sectPr w:rsidR="00C02452" w:rsidRPr="004866BF" w:rsidSect="00C02452">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55CCC691" w14:textId="0AA0C83F" w:rsidR="00C02452" w:rsidRPr="004866BF" w:rsidRDefault="00C02452" w:rsidP="00C02452">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3424302"/>
      <w:r w:rsidRPr="004866BF">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3415DEAA" w14:textId="24DE094E" w:rsidR="00C02452" w:rsidRPr="004866BF" w:rsidRDefault="00C02452" w:rsidP="00C02452">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 w:name="_Toc233424303"/>
      <w:bookmarkStart w:id="2" w:name="_Hlk172151144"/>
      <w:bookmarkStart w:id="3" w:name="_Toc169790489"/>
      <w:r w:rsidRPr="004866BF">
        <w:rPr>
          <w:rFonts w:ascii="Simplified Arabic" w:hAnsi="Simplified Arabic" w:cs="Simplified Arabic" w:hint="cs"/>
          <w:b/>
          <w:bCs/>
          <w:color w:val="000000" w:themeColor="text1"/>
          <w:sz w:val="36"/>
          <w:szCs w:val="36"/>
          <w:rtl/>
        </w:rPr>
        <w:t>1.1 المقدمة</w:t>
      </w:r>
      <w:bookmarkEnd w:id="1"/>
    </w:p>
    <w:p w14:paraId="187B684D" w14:textId="3185648F" w:rsidR="00FD52D9" w:rsidRPr="004866BF" w:rsidRDefault="00FD52D9" w:rsidP="00C02452">
      <w:pPr>
        <w:pStyle w:val="NormalWeb"/>
        <w:bidi/>
        <w:spacing w:line="276" w:lineRule="auto"/>
        <w:ind w:firstLine="424"/>
        <w:jc w:val="both"/>
        <w:rPr>
          <w:rFonts w:ascii="Simplified Arabic" w:hAnsi="Simplified Arabic" w:cs="Simplified Arabic"/>
          <w:color w:val="000000" w:themeColor="text1"/>
          <w:sz w:val="28"/>
          <w:szCs w:val="28"/>
        </w:rPr>
      </w:pPr>
      <w:r w:rsidRPr="004866BF">
        <w:rPr>
          <w:rFonts w:ascii="Simplified Arabic" w:hAnsi="Simplified Arabic" w:cs="Simplified Arabic"/>
          <w:color w:val="000000" w:themeColor="text1"/>
          <w:sz w:val="28"/>
          <w:szCs w:val="28"/>
          <w:rtl/>
        </w:rPr>
        <w:t>يُعدّ التحول الرقمي من أبرز التوجهات الاستراتيجية التي تتبناها الدول في مختلف أنحاء العالم لتحديث قطاعاتها الحيوية وتعزيز قدرتها التنافسية، إذ أصبحت التقنيات الرقمية محركًا رئيسيًا لإعادة هندسة العمليات المؤسسية وتطوير نماذج تقديم الخدمات في شتى المجالات. ويحظى القطاع الصحي باهتمام خاص في هذا السياق، نظرًا لارتباطه المباشر بحياة الإنسان وصحته، ولكون الأنظمة الصحية التقليدية تواجه ضغوطًا متزايدة ناجمة عن النمو السكاني وارتفاع معدلات الأمراض المزمنة وتصاعد توقعات المستفيدين، مما يستوجب البحث عن حلول رقمية مبتكرة تُسهم في تجاوز هذه التحديات وتحقيق منظومة صحية أكثر كفاءة واستدامة</w:t>
      </w:r>
      <w:r w:rsidRPr="004866BF">
        <w:rPr>
          <w:rFonts w:ascii="Simplified Arabic" w:hAnsi="Simplified Arabic" w:cs="Simplified Arabic"/>
          <w:color w:val="000000" w:themeColor="text1"/>
          <w:sz w:val="28"/>
          <w:szCs w:val="28"/>
        </w:rPr>
        <w:t xml:space="preserve"> (</w:t>
      </w:r>
      <w:proofErr w:type="spellStart"/>
      <w:r w:rsidRPr="004866BF">
        <w:rPr>
          <w:rFonts w:ascii="Simplified Arabic" w:hAnsi="Simplified Arabic" w:cs="Simplified Arabic"/>
          <w:color w:val="000000" w:themeColor="text1"/>
          <w:sz w:val="28"/>
          <w:szCs w:val="28"/>
        </w:rPr>
        <w:t>Kwilinski</w:t>
      </w:r>
      <w:proofErr w:type="spellEnd"/>
      <w:r w:rsidRPr="004866BF">
        <w:rPr>
          <w:rFonts w:ascii="Simplified Arabic" w:hAnsi="Simplified Arabic" w:cs="Simplified Arabic"/>
          <w:color w:val="000000" w:themeColor="text1"/>
          <w:sz w:val="28"/>
          <w:szCs w:val="28"/>
        </w:rPr>
        <w:t xml:space="preserve"> et al., 2023).</w:t>
      </w:r>
    </w:p>
    <w:p w14:paraId="515D1063" w14:textId="77777777" w:rsidR="00FD52D9" w:rsidRPr="004866BF" w:rsidRDefault="00FD52D9" w:rsidP="00C02452">
      <w:pPr>
        <w:pStyle w:val="NormalWeb"/>
        <w:bidi/>
        <w:spacing w:line="276" w:lineRule="auto"/>
        <w:ind w:firstLine="424"/>
        <w:jc w:val="both"/>
        <w:rPr>
          <w:rFonts w:ascii="Simplified Arabic" w:hAnsi="Simplified Arabic" w:cs="Simplified Arabic"/>
          <w:color w:val="000000" w:themeColor="text1"/>
          <w:sz w:val="28"/>
          <w:szCs w:val="28"/>
        </w:rPr>
      </w:pPr>
      <w:r w:rsidRPr="004866BF">
        <w:rPr>
          <w:rFonts w:ascii="Simplified Arabic" w:hAnsi="Simplified Arabic" w:cs="Simplified Arabic"/>
          <w:color w:val="000000" w:themeColor="text1"/>
          <w:sz w:val="28"/>
          <w:szCs w:val="28"/>
          <w:rtl/>
        </w:rPr>
        <w:t xml:space="preserve">ويُشير مفهوم التحول الرقمي في القطاع الصحي إلى التوظيف المنهجي والشامل للتقنيات الرقمية الحديثة في مختلف مراحل تقديم الرعاية الصحية، بما يتضمن السجلات الصحية الإلكترونية التي تُتيح توثيق بيانات المرضى ومشاركتها بين مقدّمي الخدمة بشكل آمن وفوري، والتطبيب عن بُعد الذي يُمكّن من تقديم الاستشارات والمتابعات الطبية دون قيود المكان والزمان، والذكاء الاصطناعي الذي يُعزّز دقة التشخيص والتنبؤ بالمخاطر الصحية، فضلًا عن البنية التحتية الرقمية التي تُشكّل الأساس التقني لتشغيل هذه المنظومة بأكملها. وقد أكدت الدراسات الحديثة أن هذه الأبعاد تعمل بشكل تكاملي في إحداث نقلة نوعية في طريقة تقديم الخدمات الصحية وإدارتها </w:t>
      </w:r>
      <w:r w:rsidRPr="004866BF">
        <w:rPr>
          <w:rFonts w:ascii="Simplified Arabic" w:hAnsi="Simplified Arabic" w:cs="Simplified Arabic"/>
          <w:color w:val="000000" w:themeColor="text1"/>
          <w:sz w:val="28"/>
          <w:szCs w:val="28"/>
        </w:rPr>
        <w:t>(</w:t>
      </w:r>
      <w:proofErr w:type="spellStart"/>
      <w:r w:rsidRPr="004866BF">
        <w:rPr>
          <w:rFonts w:ascii="Simplified Arabic" w:hAnsi="Simplified Arabic" w:cs="Simplified Arabic"/>
          <w:color w:val="000000" w:themeColor="text1"/>
          <w:sz w:val="28"/>
          <w:szCs w:val="28"/>
        </w:rPr>
        <w:t>Stoumpos</w:t>
      </w:r>
      <w:proofErr w:type="spellEnd"/>
      <w:r w:rsidRPr="004866BF">
        <w:rPr>
          <w:rFonts w:ascii="Simplified Arabic" w:hAnsi="Simplified Arabic" w:cs="Simplified Arabic"/>
          <w:color w:val="000000" w:themeColor="text1"/>
          <w:sz w:val="28"/>
          <w:szCs w:val="28"/>
        </w:rPr>
        <w:t xml:space="preserve"> et al., 2023).</w:t>
      </w:r>
    </w:p>
    <w:p w14:paraId="7A4A8B90" w14:textId="5F21896D" w:rsidR="00FD52D9" w:rsidRPr="004866BF" w:rsidRDefault="00FD52D9" w:rsidP="00C02452">
      <w:pPr>
        <w:pStyle w:val="NormalWeb"/>
        <w:bidi/>
        <w:spacing w:line="276" w:lineRule="auto"/>
        <w:ind w:firstLine="424"/>
        <w:jc w:val="both"/>
        <w:rPr>
          <w:rFonts w:ascii="Simplified Arabic" w:hAnsi="Simplified Arabic" w:cs="Simplified Arabic"/>
          <w:color w:val="000000" w:themeColor="text1"/>
          <w:sz w:val="28"/>
          <w:szCs w:val="28"/>
        </w:rPr>
      </w:pPr>
      <w:r w:rsidRPr="004866BF">
        <w:rPr>
          <w:rFonts w:ascii="Simplified Arabic" w:hAnsi="Simplified Arabic" w:cs="Simplified Arabic"/>
          <w:color w:val="000000" w:themeColor="text1"/>
          <w:sz w:val="28"/>
          <w:szCs w:val="28"/>
          <w:rtl/>
        </w:rPr>
        <w:t xml:space="preserve">ويرتبط التحول الرقمي ارتباطًا وثيقًا بمفهوم جودة الرعاية الصحية، التي تُعبّر عن مدى مطابقة الخدمات الصحية المقدّمة للمعايير المهنية المعتمدة، وقدرتها على تلبية احتياجات المرضى وتحقيق رضاهم، وتحسين المخرجات الصحية بأعلى درجات الكفاءة والسلامة. وتتعدد أبعاد جودة الرعاية الصحية لتشمل الاستجابة والاعتمادية والضمان والتعاطف والملموسية، وهي أبعاد تتأثر بشكل مباشر بمدى توظيف الأدوات الرقمية في العمليات الصحية اليومية (الجهني، 2023). </w:t>
      </w:r>
    </w:p>
    <w:p w14:paraId="18D91F35" w14:textId="7447FD10" w:rsidR="00FD52D9" w:rsidRPr="004866BF" w:rsidRDefault="005632BD" w:rsidP="00C02452">
      <w:pPr>
        <w:pStyle w:val="NormalWeb"/>
        <w:bidi/>
        <w:spacing w:line="276" w:lineRule="auto"/>
        <w:ind w:firstLine="424"/>
        <w:jc w:val="both"/>
        <w:rPr>
          <w:rFonts w:ascii="Simplified Arabic" w:hAnsi="Simplified Arabic" w:cs="Simplified Arabic"/>
          <w:color w:val="000000" w:themeColor="text1"/>
          <w:sz w:val="28"/>
          <w:szCs w:val="28"/>
        </w:rPr>
      </w:pPr>
      <w:r w:rsidRPr="004866BF">
        <w:rPr>
          <w:rFonts w:ascii="Simplified Arabic" w:hAnsi="Simplified Arabic" w:cs="Simplified Arabic"/>
          <w:color w:val="000000" w:themeColor="text1"/>
          <w:sz w:val="28"/>
          <w:szCs w:val="28"/>
          <w:rtl/>
        </w:rPr>
        <w:t>و</w:t>
      </w:r>
      <w:r w:rsidR="00FD52D9" w:rsidRPr="004866BF">
        <w:rPr>
          <w:rFonts w:ascii="Simplified Arabic" w:hAnsi="Simplified Arabic" w:cs="Simplified Arabic"/>
          <w:color w:val="000000" w:themeColor="text1"/>
          <w:sz w:val="28"/>
          <w:szCs w:val="28"/>
          <w:rtl/>
        </w:rPr>
        <w:t xml:space="preserve"> تمضي المملكة العربية السعودية بخطى متسارعة نحو </w:t>
      </w:r>
      <w:proofErr w:type="spellStart"/>
      <w:r w:rsidR="00FD52D9" w:rsidRPr="004866BF">
        <w:rPr>
          <w:rFonts w:ascii="Simplified Arabic" w:hAnsi="Simplified Arabic" w:cs="Simplified Arabic"/>
          <w:color w:val="000000" w:themeColor="text1"/>
          <w:sz w:val="28"/>
          <w:szCs w:val="28"/>
          <w:rtl/>
        </w:rPr>
        <w:t>رقمنة</w:t>
      </w:r>
      <w:proofErr w:type="spellEnd"/>
      <w:r w:rsidR="00FD52D9" w:rsidRPr="004866BF">
        <w:rPr>
          <w:rFonts w:ascii="Simplified Arabic" w:hAnsi="Simplified Arabic" w:cs="Simplified Arabic"/>
          <w:color w:val="000000" w:themeColor="text1"/>
          <w:sz w:val="28"/>
          <w:szCs w:val="28"/>
          <w:rtl/>
        </w:rPr>
        <w:t xml:space="preserve"> قطاعها الصحي ضمن رؤية 2030 وبرنامج تحول القطاع الصحي، الذي يستهدف تعميم السجل الطبي الرقمي الموحد ورفع نسبة رضا </w:t>
      </w:r>
      <w:r w:rsidR="00FD52D9" w:rsidRPr="004866BF">
        <w:rPr>
          <w:rFonts w:ascii="Simplified Arabic" w:hAnsi="Simplified Arabic" w:cs="Simplified Arabic"/>
          <w:color w:val="000000" w:themeColor="text1"/>
          <w:sz w:val="28"/>
          <w:szCs w:val="28"/>
          <w:rtl/>
        </w:rPr>
        <w:lastRenderedPageBreak/>
        <w:t>المستفيدين عن الخدمات الصحية. وقد أطلقت المملكة مبادرات رقمية رائدة تشمل منصة "صحتي" ومستشفى صحة الافتراضي وتطبيقات الذكاء الاصطناعي في التشخيص والعلاج، مما يجعل السياق السعودي بيئة خصبة لدراسة العلاقة بين التحول الرقمي وجودة الرعاية الصحية (</w:t>
      </w:r>
      <w:proofErr w:type="spellStart"/>
      <w:r w:rsidR="00FD52D9" w:rsidRPr="004866BF">
        <w:rPr>
          <w:rFonts w:ascii="Simplified Arabic" w:hAnsi="Simplified Arabic" w:cs="Simplified Arabic"/>
          <w:color w:val="000000" w:themeColor="text1"/>
          <w:sz w:val="28"/>
          <w:szCs w:val="28"/>
          <w:rtl/>
        </w:rPr>
        <w:t>القطاونة</w:t>
      </w:r>
      <w:proofErr w:type="spellEnd"/>
      <w:r w:rsidR="00FD52D9" w:rsidRPr="004866BF">
        <w:rPr>
          <w:rFonts w:ascii="Simplified Arabic" w:hAnsi="Simplified Arabic" w:cs="Simplified Arabic"/>
          <w:color w:val="000000" w:themeColor="text1"/>
          <w:sz w:val="28"/>
          <w:szCs w:val="28"/>
          <w:rtl/>
        </w:rPr>
        <w:t xml:space="preserve"> </w:t>
      </w:r>
      <w:proofErr w:type="spellStart"/>
      <w:r w:rsidR="00FD52D9" w:rsidRPr="004866BF">
        <w:rPr>
          <w:rFonts w:ascii="Simplified Arabic" w:hAnsi="Simplified Arabic" w:cs="Simplified Arabic"/>
          <w:color w:val="000000" w:themeColor="text1"/>
          <w:sz w:val="28"/>
          <w:szCs w:val="28"/>
          <w:rtl/>
        </w:rPr>
        <w:t>والربابعة</w:t>
      </w:r>
      <w:proofErr w:type="spellEnd"/>
      <w:r w:rsidR="00FD52D9" w:rsidRPr="004866BF">
        <w:rPr>
          <w:rFonts w:ascii="Simplified Arabic" w:hAnsi="Simplified Arabic" w:cs="Simplified Arabic"/>
          <w:color w:val="000000" w:themeColor="text1"/>
          <w:sz w:val="28"/>
          <w:szCs w:val="28"/>
          <w:rtl/>
        </w:rPr>
        <w:t>، 2023)</w:t>
      </w:r>
      <w:r w:rsidR="00FD52D9" w:rsidRPr="004866BF">
        <w:rPr>
          <w:rFonts w:ascii="Simplified Arabic" w:hAnsi="Simplified Arabic" w:cs="Simplified Arabic"/>
          <w:color w:val="000000" w:themeColor="text1"/>
          <w:sz w:val="28"/>
          <w:szCs w:val="28"/>
        </w:rPr>
        <w:t>.</w:t>
      </w:r>
    </w:p>
    <w:p w14:paraId="5C8EEC86" w14:textId="77777777" w:rsidR="00FD52D9" w:rsidRPr="004866BF" w:rsidRDefault="00FD52D9" w:rsidP="00C02452">
      <w:pPr>
        <w:pStyle w:val="NormalWeb"/>
        <w:bidi/>
        <w:spacing w:line="276" w:lineRule="auto"/>
        <w:ind w:firstLine="424"/>
        <w:jc w:val="both"/>
        <w:rPr>
          <w:rFonts w:ascii="Simplified Arabic" w:hAnsi="Simplified Arabic" w:cs="Simplified Arabic"/>
          <w:color w:val="000000" w:themeColor="text1"/>
          <w:sz w:val="28"/>
          <w:szCs w:val="28"/>
        </w:rPr>
      </w:pPr>
      <w:r w:rsidRPr="004866BF">
        <w:rPr>
          <w:rFonts w:ascii="Simplified Arabic" w:hAnsi="Simplified Arabic" w:cs="Simplified Arabic"/>
          <w:color w:val="000000" w:themeColor="text1"/>
          <w:sz w:val="28"/>
          <w:szCs w:val="28"/>
          <w:rtl/>
        </w:rPr>
        <w:t xml:space="preserve">وانطلاقًا من ذلك، تأتي هذه الدراسة للبحث في أثر التحول الرقمي بأبعاده الأربعة — السجلات الصحية الإلكترونية، والتطبيب عن بُعد، والذكاء الاصطناعي الصحي، والبنية التحتية الرقمية الصحية — على جودة الرعاية الصحية في المملكة العربية السعودية تحقيقًا لمستهدفات رؤية </w:t>
      </w:r>
      <w:r w:rsidRPr="004866BF">
        <w:rPr>
          <w:rFonts w:ascii="Simplified Arabic" w:hAnsi="Simplified Arabic" w:cs="Simplified Arabic"/>
          <w:color w:val="000000" w:themeColor="text1"/>
          <w:sz w:val="28"/>
          <w:szCs w:val="28"/>
        </w:rPr>
        <w:t>2030</w:t>
      </w:r>
      <w:r w:rsidRPr="004866BF">
        <w:rPr>
          <w:rFonts w:ascii="Simplified Arabic" w:hAnsi="Simplified Arabic" w:cs="Simplified Arabic"/>
          <w:color w:val="000000" w:themeColor="text1"/>
          <w:sz w:val="28"/>
          <w:szCs w:val="28"/>
          <w:rtl/>
        </w:rPr>
        <w:t>، سعيًا إلى تقديم إسهام علمي وعملي يُثري الأدبيات البحثية ويدعم صنّاع القرار في توجيه مسار التحول الرقمي الصحي نحو تحقيق أعلى مستويات الجودة</w:t>
      </w:r>
      <w:r w:rsidRPr="004866BF">
        <w:rPr>
          <w:rFonts w:ascii="Simplified Arabic" w:hAnsi="Simplified Arabic" w:cs="Simplified Arabic"/>
          <w:color w:val="000000" w:themeColor="text1"/>
          <w:sz w:val="28"/>
          <w:szCs w:val="28"/>
        </w:rPr>
        <w:t xml:space="preserve"> (</w:t>
      </w:r>
      <w:proofErr w:type="spellStart"/>
      <w:r w:rsidRPr="004866BF">
        <w:rPr>
          <w:rFonts w:ascii="Simplified Arabic" w:hAnsi="Simplified Arabic" w:cs="Simplified Arabic"/>
          <w:color w:val="000000" w:themeColor="text1"/>
          <w:sz w:val="28"/>
          <w:szCs w:val="28"/>
        </w:rPr>
        <w:t>V</w:t>
      </w:r>
      <w:r w:rsidRPr="004866BF">
        <w:rPr>
          <w:rFonts w:ascii="Cambria" w:hAnsi="Cambria" w:cs="Cambria"/>
          <w:color w:val="000000" w:themeColor="text1"/>
          <w:sz w:val="28"/>
          <w:szCs w:val="28"/>
        </w:rPr>
        <w:t>ă</w:t>
      </w:r>
      <w:r w:rsidRPr="004866BF">
        <w:rPr>
          <w:rFonts w:ascii="Simplified Arabic" w:hAnsi="Simplified Arabic" w:cs="Simplified Arabic"/>
          <w:color w:val="000000" w:themeColor="text1"/>
          <w:sz w:val="28"/>
          <w:szCs w:val="28"/>
        </w:rPr>
        <w:t>rzaru</w:t>
      </w:r>
      <w:proofErr w:type="spellEnd"/>
      <w:r w:rsidRPr="004866BF">
        <w:rPr>
          <w:rFonts w:ascii="Simplified Arabic" w:hAnsi="Simplified Arabic" w:cs="Simplified Arabic"/>
          <w:color w:val="000000" w:themeColor="text1"/>
          <w:sz w:val="28"/>
          <w:szCs w:val="28"/>
        </w:rPr>
        <w:t xml:space="preserve"> &amp; </w:t>
      </w:r>
      <w:proofErr w:type="spellStart"/>
      <w:r w:rsidRPr="004866BF">
        <w:rPr>
          <w:rFonts w:ascii="Simplified Arabic" w:hAnsi="Simplified Arabic" w:cs="Simplified Arabic"/>
          <w:color w:val="000000" w:themeColor="text1"/>
          <w:sz w:val="28"/>
          <w:szCs w:val="28"/>
        </w:rPr>
        <w:t>Bocean</w:t>
      </w:r>
      <w:proofErr w:type="spellEnd"/>
      <w:r w:rsidRPr="004866BF">
        <w:rPr>
          <w:rFonts w:ascii="Simplified Arabic" w:hAnsi="Simplified Arabic" w:cs="Simplified Arabic"/>
          <w:color w:val="000000" w:themeColor="text1"/>
          <w:sz w:val="28"/>
          <w:szCs w:val="28"/>
        </w:rPr>
        <w:t>, 2024).</w:t>
      </w:r>
    </w:p>
    <w:p w14:paraId="27655EAA" w14:textId="25D5414F" w:rsidR="00C02452" w:rsidRPr="004866BF" w:rsidRDefault="00C02452" w:rsidP="00C02452">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424304"/>
      <w:bookmarkStart w:id="5" w:name="_Toc169790500"/>
      <w:bookmarkEnd w:id="2"/>
      <w:bookmarkEnd w:id="3"/>
      <w:r w:rsidRPr="004866BF">
        <w:rPr>
          <w:rFonts w:ascii="Simplified Arabic" w:hAnsi="Simplified Arabic" w:cs="Simplified Arabic"/>
          <w:b/>
          <w:bCs/>
          <w:color w:val="000000" w:themeColor="text1"/>
          <w:sz w:val="36"/>
          <w:szCs w:val="36"/>
          <w:rtl/>
        </w:rPr>
        <w:t>2.1 مشكلة الدراسة</w:t>
      </w:r>
      <w:bookmarkEnd w:id="4"/>
    </w:p>
    <w:p w14:paraId="733B9B9C" w14:textId="77777777" w:rsidR="00FD52D9" w:rsidRPr="004866BF" w:rsidRDefault="00FD52D9" w:rsidP="00C02452">
      <w:pPr>
        <w:pStyle w:val="NormalWeb"/>
        <w:bidi/>
        <w:spacing w:line="276" w:lineRule="auto"/>
        <w:ind w:firstLine="424"/>
        <w:jc w:val="both"/>
        <w:rPr>
          <w:rFonts w:ascii="Simplified Arabic" w:hAnsi="Simplified Arabic" w:cs="Simplified Arabic"/>
          <w:color w:val="000000" w:themeColor="text1"/>
          <w:sz w:val="28"/>
          <w:szCs w:val="28"/>
          <w:rtl/>
        </w:rPr>
      </w:pPr>
      <w:r w:rsidRPr="004866BF">
        <w:rPr>
          <w:rFonts w:ascii="Simplified Arabic" w:hAnsi="Simplified Arabic" w:cs="Simplified Arabic"/>
          <w:color w:val="000000" w:themeColor="text1"/>
          <w:sz w:val="28"/>
          <w:szCs w:val="28"/>
          <w:rtl/>
        </w:rPr>
        <w:t xml:space="preserve">يشهد القطاع الصحي في المملكة العربية السعودية تحولًا رقميًا غير مسبوق في إطار رؤية 2030 وبرنامج تحول القطاع الصحي، حيث ضخّت الدولة استثمارات ضخمة تجاوزت 1.5 مليار دولار في تكنولوجيا المعلومات الصحية والبنية التحتية الرقمية، وأطلقت مبادرات طموحة شملت منصة "صحتي" التي تجاوز مستخدموها 30 مليون مستخدم، ومستشفى صحة الافتراضي الذي يُعدّ أكبر منشأة رعاية صحية افتراضية في العالم، فضلًا عن مشروع السجل الطبي الرقمي الموحد الذي يستهدف تغطية 100% من السكان. وقد ارتفع إجمالي القوى العاملة الصحية إلى 681,914 ممارسًا صحيًا في عام 2024م يعملون في 516 مستشفى و5,779 مركزًا صحيًا، مما يعكس حجم المنظومة الصحية التي يُراد </w:t>
      </w:r>
      <w:proofErr w:type="spellStart"/>
      <w:r w:rsidRPr="004866BF">
        <w:rPr>
          <w:rFonts w:ascii="Simplified Arabic" w:hAnsi="Simplified Arabic" w:cs="Simplified Arabic"/>
          <w:color w:val="000000" w:themeColor="text1"/>
          <w:sz w:val="28"/>
          <w:szCs w:val="28"/>
          <w:rtl/>
        </w:rPr>
        <w:t>رقمنتها</w:t>
      </w:r>
      <w:proofErr w:type="spellEnd"/>
      <w:r w:rsidRPr="004866BF">
        <w:rPr>
          <w:rFonts w:ascii="Simplified Arabic" w:hAnsi="Simplified Arabic" w:cs="Simplified Arabic"/>
          <w:color w:val="000000" w:themeColor="text1"/>
          <w:sz w:val="28"/>
          <w:szCs w:val="28"/>
          <w:rtl/>
        </w:rPr>
        <w:t>. غير أن هذا التوسع الرقمي المتسارع يطرح تساؤلات جوهرية حول مدى انعكاسه الفعلي على جودة الرعاية الصحية المقدّمة للمرضى، وهو ما يُمثّل الإشكالية المركزية التي تسعى هذه الدراسة إلى معالجتها</w:t>
      </w:r>
      <w:r w:rsidRPr="004866BF">
        <w:rPr>
          <w:rFonts w:ascii="Simplified Arabic" w:hAnsi="Simplified Arabic" w:cs="Simplified Arabic"/>
          <w:color w:val="000000" w:themeColor="text1"/>
          <w:sz w:val="28"/>
          <w:szCs w:val="28"/>
        </w:rPr>
        <w:t>.</w:t>
      </w:r>
    </w:p>
    <w:p w14:paraId="32E8B721" w14:textId="1E7114E7" w:rsidR="00FD52D9" w:rsidRPr="004866BF" w:rsidRDefault="00FD52D9" w:rsidP="00C02452">
      <w:pPr>
        <w:pStyle w:val="NormalWeb"/>
        <w:bidi/>
        <w:spacing w:line="276" w:lineRule="auto"/>
        <w:ind w:firstLine="424"/>
        <w:jc w:val="both"/>
        <w:rPr>
          <w:rFonts w:ascii="Simplified Arabic" w:hAnsi="Simplified Arabic" w:cs="Simplified Arabic"/>
          <w:color w:val="000000" w:themeColor="text1"/>
          <w:sz w:val="28"/>
          <w:szCs w:val="28"/>
        </w:rPr>
      </w:pPr>
      <w:r w:rsidRPr="004866BF">
        <w:rPr>
          <w:rFonts w:ascii="Simplified Arabic" w:hAnsi="Simplified Arabic" w:cs="Simplified Arabic"/>
          <w:color w:val="000000" w:themeColor="text1"/>
          <w:sz w:val="28"/>
          <w:szCs w:val="28"/>
          <w:rtl/>
        </w:rPr>
        <w:t xml:space="preserve">وعلى الرغم من الإنجازات اللافتة التي تحققت، فإن الواقع الميداني يكشف عن فجوات وتحديات متعددة تحول دون تعظيم الأثر الإيجابي للتحول الرقمي على جودة الرعاية الصحية. فمن ناحية، لا تزال هناك فجوة رقمية بين المناطق الحضرية والريفية؛ إذ أظهرت الدراسات أن معدل عدم حضور المرضى للمواعيد الافتراضية في المناطق الريفية بلغ 48.3%، كما أن نسبة المواعيد الطبية التي يُسهّلها تطبيق "صحتي" لا تتجاوز 7% من إجمالي الزيارات الطبية السنوية المقدّرة بنحو 163 مليون زيارة. ومن ناحية أخرى، تواجه المنشآت الصحية تحديات تتعلق بمقاومة التغيير لدى بعض الممارسين الصحيين، وضعف المهارات </w:t>
      </w:r>
      <w:r w:rsidRPr="004866BF">
        <w:rPr>
          <w:rFonts w:ascii="Simplified Arabic" w:hAnsi="Simplified Arabic" w:cs="Simplified Arabic"/>
          <w:color w:val="000000" w:themeColor="text1"/>
          <w:sz w:val="28"/>
          <w:szCs w:val="28"/>
          <w:rtl/>
        </w:rPr>
        <w:lastRenderedPageBreak/>
        <w:t>الرقمية، والمخاوف المتصلة بأمن البيانات وخصوصية المرضى، فضلًا عن التفاوت في مستوى البنية التحتية الرقمية بين المنشآت الصحية المختلفة. وقد أكدت دراسة</w:t>
      </w:r>
      <w:r w:rsidRPr="004866BF">
        <w:rPr>
          <w:rFonts w:ascii="Simplified Arabic" w:hAnsi="Simplified Arabic" w:cs="Simplified Arabic"/>
          <w:color w:val="000000" w:themeColor="text1"/>
          <w:sz w:val="28"/>
          <w:szCs w:val="28"/>
        </w:rPr>
        <w:t xml:space="preserve"> </w:t>
      </w:r>
      <w:proofErr w:type="spellStart"/>
      <w:r w:rsidRPr="004866BF">
        <w:rPr>
          <w:rFonts w:ascii="Simplified Arabic" w:hAnsi="Simplified Arabic" w:cs="Simplified Arabic"/>
          <w:color w:val="000000" w:themeColor="text1"/>
          <w:sz w:val="28"/>
          <w:szCs w:val="28"/>
        </w:rPr>
        <w:t>Stoumpos</w:t>
      </w:r>
      <w:proofErr w:type="spellEnd"/>
      <w:r w:rsidRPr="004866BF">
        <w:rPr>
          <w:rFonts w:ascii="Simplified Arabic" w:hAnsi="Simplified Arabic" w:cs="Simplified Arabic"/>
          <w:color w:val="000000" w:themeColor="text1"/>
          <w:sz w:val="28"/>
          <w:szCs w:val="28"/>
        </w:rPr>
        <w:t xml:space="preserve"> et al. (2023) </w:t>
      </w:r>
      <w:r w:rsidRPr="004866BF">
        <w:rPr>
          <w:rFonts w:ascii="Simplified Arabic" w:hAnsi="Simplified Arabic" w:cs="Simplified Arabic"/>
          <w:color w:val="000000" w:themeColor="text1"/>
          <w:sz w:val="28"/>
          <w:szCs w:val="28"/>
          <w:rtl/>
        </w:rPr>
        <w:t>أن التحول الرقمي الصحي بأبعاده المتعددة — السجلات الصحية الإلكترونية والتطبيب عن بُعد والذكاء الاصطناعي — يؤثر بدرجات متفاوتة على جودة الرعاية، بينما أشارت دراسة</w:t>
      </w:r>
      <w:r w:rsidRPr="004866BF">
        <w:rPr>
          <w:rFonts w:ascii="Simplified Arabic" w:hAnsi="Simplified Arabic" w:cs="Simplified Arabic"/>
          <w:color w:val="000000" w:themeColor="text1"/>
          <w:sz w:val="28"/>
          <w:szCs w:val="28"/>
        </w:rPr>
        <w:t xml:space="preserve"> Carini et al. (2021) </w:t>
      </w:r>
      <w:r w:rsidRPr="004866BF">
        <w:rPr>
          <w:rFonts w:ascii="Simplified Arabic" w:hAnsi="Simplified Arabic" w:cs="Simplified Arabic"/>
          <w:color w:val="000000" w:themeColor="text1"/>
          <w:sz w:val="28"/>
          <w:szCs w:val="28"/>
          <w:rtl/>
        </w:rPr>
        <w:t>إلى أن البوابات الرقمية الصحية لا تُحقّق أثرها المنشود إلا في ظل بنية تحتية متكاملة وتدريب كافٍ للكوادر الصحية</w:t>
      </w:r>
      <w:r w:rsidRPr="004866BF">
        <w:rPr>
          <w:rFonts w:ascii="Simplified Arabic" w:hAnsi="Simplified Arabic" w:cs="Simplified Arabic"/>
          <w:color w:val="000000" w:themeColor="text1"/>
          <w:sz w:val="28"/>
          <w:szCs w:val="28"/>
        </w:rPr>
        <w:t>.</w:t>
      </w:r>
    </w:p>
    <w:p w14:paraId="24C62E1A" w14:textId="77777777" w:rsidR="00FD52D9" w:rsidRPr="004866BF" w:rsidRDefault="00FD52D9" w:rsidP="00C02452">
      <w:pPr>
        <w:pStyle w:val="NormalWeb"/>
        <w:bidi/>
        <w:spacing w:line="276" w:lineRule="auto"/>
        <w:ind w:firstLine="424"/>
        <w:jc w:val="both"/>
        <w:rPr>
          <w:rFonts w:ascii="Simplified Arabic" w:hAnsi="Simplified Arabic" w:cs="Simplified Arabic"/>
          <w:color w:val="000000" w:themeColor="text1"/>
          <w:sz w:val="28"/>
          <w:szCs w:val="28"/>
        </w:rPr>
      </w:pPr>
      <w:r w:rsidRPr="004866BF">
        <w:rPr>
          <w:rFonts w:ascii="Simplified Arabic" w:hAnsi="Simplified Arabic" w:cs="Simplified Arabic"/>
          <w:color w:val="000000" w:themeColor="text1"/>
          <w:sz w:val="28"/>
          <w:szCs w:val="28"/>
          <w:rtl/>
        </w:rPr>
        <w:t xml:space="preserve">وتتعمّق المشكلة البحثية حين نلاحظ أن معظم الدراسات السابقة تناولت أبعاد التحول الرقمي بشكل منفصل أو في سياقات غير سعودية، مما أوجد فجوة بحثية واضحة في فهم الأثر التكاملي لأبعاد التحول الرقمي مجتمعةً على جودة الرعاية الصحية في السياق السعودي تحديدًا. فدراسة </w:t>
      </w:r>
      <w:proofErr w:type="spellStart"/>
      <w:r w:rsidRPr="004866BF">
        <w:rPr>
          <w:rFonts w:ascii="Simplified Arabic" w:hAnsi="Simplified Arabic" w:cs="Simplified Arabic"/>
          <w:color w:val="000000" w:themeColor="text1"/>
          <w:sz w:val="28"/>
          <w:szCs w:val="28"/>
          <w:rtl/>
        </w:rPr>
        <w:t>القطاونة</w:t>
      </w:r>
      <w:proofErr w:type="spellEnd"/>
      <w:r w:rsidRPr="004866BF">
        <w:rPr>
          <w:rFonts w:ascii="Simplified Arabic" w:hAnsi="Simplified Arabic" w:cs="Simplified Arabic"/>
          <w:color w:val="000000" w:themeColor="text1"/>
          <w:sz w:val="28"/>
          <w:szCs w:val="28"/>
          <w:rtl/>
        </w:rPr>
        <w:t xml:space="preserve"> </w:t>
      </w:r>
      <w:proofErr w:type="spellStart"/>
      <w:r w:rsidRPr="004866BF">
        <w:rPr>
          <w:rFonts w:ascii="Simplified Arabic" w:hAnsi="Simplified Arabic" w:cs="Simplified Arabic"/>
          <w:color w:val="000000" w:themeColor="text1"/>
          <w:sz w:val="28"/>
          <w:szCs w:val="28"/>
          <w:rtl/>
        </w:rPr>
        <w:t>والربابعة</w:t>
      </w:r>
      <w:proofErr w:type="spellEnd"/>
      <w:r w:rsidRPr="004866BF">
        <w:rPr>
          <w:rFonts w:ascii="Simplified Arabic" w:hAnsi="Simplified Arabic" w:cs="Simplified Arabic"/>
          <w:color w:val="000000" w:themeColor="text1"/>
          <w:sz w:val="28"/>
          <w:szCs w:val="28"/>
          <w:rtl/>
        </w:rPr>
        <w:t xml:space="preserve"> (2023) ودراسة العمريين </w:t>
      </w:r>
      <w:proofErr w:type="spellStart"/>
      <w:r w:rsidRPr="004866BF">
        <w:rPr>
          <w:rFonts w:ascii="Simplified Arabic" w:hAnsi="Simplified Arabic" w:cs="Simplified Arabic"/>
          <w:color w:val="000000" w:themeColor="text1"/>
          <w:sz w:val="28"/>
          <w:szCs w:val="28"/>
          <w:rtl/>
        </w:rPr>
        <w:t>والربابعة</w:t>
      </w:r>
      <w:proofErr w:type="spellEnd"/>
      <w:r w:rsidRPr="004866BF">
        <w:rPr>
          <w:rFonts w:ascii="Simplified Arabic" w:hAnsi="Simplified Arabic" w:cs="Simplified Arabic"/>
          <w:color w:val="000000" w:themeColor="text1"/>
          <w:sz w:val="28"/>
          <w:szCs w:val="28"/>
          <w:rtl/>
        </w:rPr>
        <w:t xml:space="preserve"> (2023) تناولتا التحول الرقمي في سياقات أردنية، ودراسة</w:t>
      </w:r>
      <w:r w:rsidRPr="004866BF">
        <w:rPr>
          <w:rFonts w:ascii="Simplified Arabic" w:hAnsi="Simplified Arabic" w:cs="Simplified Arabic"/>
          <w:color w:val="000000" w:themeColor="text1"/>
          <w:sz w:val="28"/>
          <w:szCs w:val="28"/>
        </w:rPr>
        <w:t xml:space="preserve"> </w:t>
      </w:r>
      <w:proofErr w:type="spellStart"/>
      <w:r w:rsidRPr="004866BF">
        <w:rPr>
          <w:rFonts w:ascii="Simplified Arabic" w:hAnsi="Simplified Arabic" w:cs="Simplified Arabic"/>
          <w:color w:val="000000" w:themeColor="text1"/>
          <w:sz w:val="28"/>
          <w:szCs w:val="28"/>
        </w:rPr>
        <w:t>Kwilinski</w:t>
      </w:r>
      <w:proofErr w:type="spellEnd"/>
      <w:r w:rsidRPr="004866BF">
        <w:rPr>
          <w:rFonts w:ascii="Simplified Arabic" w:hAnsi="Simplified Arabic" w:cs="Simplified Arabic"/>
          <w:color w:val="000000" w:themeColor="text1"/>
          <w:sz w:val="28"/>
          <w:szCs w:val="28"/>
        </w:rPr>
        <w:t xml:space="preserve"> et al. (2023) </w:t>
      </w:r>
      <w:r w:rsidRPr="004866BF">
        <w:rPr>
          <w:rFonts w:ascii="Simplified Arabic" w:hAnsi="Simplified Arabic" w:cs="Simplified Arabic"/>
          <w:color w:val="000000" w:themeColor="text1"/>
          <w:sz w:val="28"/>
          <w:szCs w:val="28"/>
          <w:rtl/>
        </w:rPr>
        <w:t xml:space="preserve">ودراسة </w:t>
      </w:r>
      <w:proofErr w:type="spellStart"/>
      <w:r w:rsidRPr="004866BF">
        <w:rPr>
          <w:rFonts w:ascii="Simplified Arabic" w:hAnsi="Simplified Arabic" w:cs="Simplified Arabic"/>
          <w:color w:val="000000" w:themeColor="text1"/>
          <w:sz w:val="28"/>
          <w:szCs w:val="28"/>
        </w:rPr>
        <w:t>V</w:t>
      </w:r>
      <w:r w:rsidRPr="004866BF">
        <w:rPr>
          <w:rFonts w:ascii="Cambria" w:hAnsi="Cambria" w:cs="Cambria"/>
          <w:color w:val="000000" w:themeColor="text1"/>
          <w:sz w:val="28"/>
          <w:szCs w:val="28"/>
        </w:rPr>
        <w:t>ă</w:t>
      </w:r>
      <w:r w:rsidRPr="004866BF">
        <w:rPr>
          <w:rFonts w:ascii="Simplified Arabic" w:hAnsi="Simplified Arabic" w:cs="Simplified Arabic"/>
          <w:color w:val="000000" w:themeColor="text1"/>
          <w:sz w:val="28"/>
          <w:szCs w:val="28"/>
        </w:rPr>
        <w:t>rzaru</w:t>
      </w:r>
      <w:proofErr w:type="spellEnd"/>
      <w:r w:rsidRPr="004866BF">
        <w:rPr>
          <w:rFonts w:ascii="Simplified Arabic" w:hAnsi="Simplified Arabic" w:cs="Simplified Arabic"/>
          <w:color w:val="000000" w:themeColor="text1"/>
          <w:sz w:val="28"/>
          <w:szCs w:val="28"/>
        </w:rPr>
        <w:t xml:space="preserve"> &amp; </w:t>
      </w:r>
      <w:proofErr w:type="spellStart"/>
      <w:r w:rsidRPr="004866BF">
        <w:rPr>
          <w:rFonts w:ascii="Simplified Arabic" w:hAnsi="Simplified Arabic" w:cs="Simplified Arabic"/>
          <w:color w:val="000000" w:themeColor="text1"/>
          <w:sz w:val="28"/>
          <w:szCs w:val="28"/>
        </w:rPr>
        <w:t>Bocean</w:t>
      </w:r>
      <w:proofErr w:type="spellEnd"/>
      <w:r w:rsidRPr="004866BF">
        <w:rPr>
          <w:rFonts w:ascii="Simplified Arabic" w:hAnsi="Simplified Arabic" w:cs="Simplified Arabic"/>
          <w:color w:val="000000" w:themeColor="text1"/>
          <w:sz w:val="28"/>
          <w:szCs w:val="28"/>
        </w:rPr>
        <w:t xml:space="preserve"> (2024) </w:t>
      </w:r>
      <w:r w:rsidRPr="004866BF">
        <w:rPr>
          <w:rFonts w:ascii="Simplified Arabic" w:hAnsi="Simplified Arabic" w:cs="Simplified Arabic"/>
          <w:color w:val="000000" w:themeColor="text1"/>
          <w:sz w:val="28"/>
          <w:szCs w:val="28"/>
          <w:rtl/>
        </w:rPr>
        <w:t>ركّزتا على السياق الأوروبي، في حين أن الدراسات العربية التي ربطت بين التحول الرقمي وجودة الرعاية الصحية في السياق السعودي لا تزال محدودة ولم تتناول الأبعاد الأربعة (السجلات الصحية الإلكترونية، التطبيب عن بُعد، الذكاء الاصطناعي الصحي، البنية التحتية الرقمية الصحية) في نموذج تكاملي واحد</w:t>
      </w:r>
      <w:r w:rsidRPr="004866BF">
        <w:rPr>
          <w:rFonts w:ascii="Simplified Arabic" w:hAnsi="Simplified Arabic" w:cs="Simplified Arabic"/>
          <w:color w:val="000000" w:themeColor="text1"/>
          <w:sz w:val="28"/>
          <w:szCs w:val="28"/>
        </w:rPr>
        <w:t>.</w:t>
      </w:r>
    </w:p>
    <w:p w14:paraId="61E36F5D" w14:textId="77777777" w:rsidR="00FD52D9" w:rsidRPr="004866BF" w:rsidRDefault="00FD52D9" w:rsidP="00C02452">
      <w:pPr>
        <w:pStyle w:val="NormalWeb"/>
        <w:bidi/>
        <w:spacing w:line="276" w:lineRule="auto"/>
        <w:ind w:firstLine="424"/>
        <w:jc w:val="both"/>
        <w:rPr>
          <w:rFonts w:ascii="Simplified Arabic" w:hAnsi="Simplified Arabic" w:cs="Simplified Arabic"/>
          <w:color w:val="000000" w:themeColor="text1"/>
          <w:sz w:val="28"/>
          <w:szCs w:val="28"/>
        </w:rPr>
      </w:pPr>
      <w:r w:rsidRPr="004866BF">
        <w:rPr>
          <w:rFonts w:ascii="Simplified Arabic" w:hAnsi="Simplified Arabic" w:cs="Simplified Arabic"/>
          <w:color w:val="000000" w:themeColor="text1"/>
          <w:sz w:val="28"/>
          <w:szCs w:val="28"/>
          <w:rtl/>
        </w:rPr>
        <w:t>وتأسيسًا على ما سبق، وفي ظل المستهدفات الطموحة لرؤية 2030 التي تسعى إلى رفع نسبة رضا المستفيدين عن الخدمات الصحية إلى 85.76%، تتبلور مشكلة الدراسة في التساؤل الرئيسي التالي</w:t>
      </w:r>
      <w:r w:rsidRPr="004866BF">
        <w:rPr>
          <w:rFonts w:ascii="Simplified Arabic" w:hAnsi="Simplified Arabic" w:cs="Simplified Arabic"/>
          <w:color w:val="000000" w:themeColor="text1"/>
          <w:sz w:val="28"/>
          <w:szCs w:val="28"/>
        </w:rPr>
        <w:t xml:space="preserve">: </w:t>
      </w:r>
      <w:r w:rsidRPr="004866BF">
        <w:rPr>
          <w:rStyle w:val="Strong"/>
          <w:rFonts w:ascii="Simplified Arabic" w:hAnsi="Simplified Arabic" w:cs="Simplified Arabic"/>
          <w:b w:val="0"/>
          <w:bCs w:val="0"/>
          <w:color w:val="000000" w:themeColor="text1"/>
          <w:sz w:val="28"/>
          <w:szCs w:val="28"/>
          <w:rtl/>
        </w:rPr>
        <w:t>ما أثر التحول الرقمي بأبعاده (السجلات الصحية الإلكترونية، والتطبيب عن بُعد، والذكاء الاصطناعي الصحي، والبنية التحتية الرقمية الصحية) على جودة الرعاية الصحية في المملكة العربية السعودية تحقيقًا لمستهدفات رؤية 2030؟</w:t>
      </w:r>
    </w:p>
    <w:p w14:paraId="366AFEAC" w14:textId="11E1CF7B" w:rsidR="00C02452" w:rsidRPr="004866BF" w:rsidRDefault="00C02452" w:rsidP="00C0245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424305"/>
      <w:r w:rsidRPr="004866BF">
        <w:rPr>
          <w:rFonts w:ascii="Simplified Arabic" w:eastAsia="Times New Roman" w:hAnsi="Simplified Arabic" w:cs="Simplified Arabic"/>
          <w:b/>
          <w:bCs/>
          <w:color w:val="000000" w:themeColor="text1"/>
          <w:kern w:val="0"/>
          <w:sz w:val="36"/>
          <w:szCs w:val="36"/>
          <w:rtl/>
          <w14:ligatures w14:val="none"/>
        </w:rPr>
        <w:t>3.1 أهمية الدراسة</w:t>
      </w:r>
      <w:bookmarkEnd w:id="6"/>
    </w:p>
    <w:p w14:paraId="53C6590F" w14:textId="77777777" w:rsidR="00FD52D9" w:rsidRPr="004866BF" w:rsidRDefault="00FD52D9" w:rsidP="00C024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تستمد هذه الدراسة أهميتها من بُعدين متكاملين</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t>بُعد علمي نظري يُثري الأدب الأكاديمي في مجال التحول الرقمي الصحي، وبُعد عملي تطبيقي يُقدّم توصيات قابلة للتنفيذ لصانعي القرار في القطاع الصحي السعودي</w:t>
      </w:r>
      <w:r w:rsidRPr="004866BF">
        <w:rPr>
          <w:rFonts w:ascii="Simplified Arabic" w:eastAsia="Times New Roman" w:hAnsi="Simplified Arabic" w:cs="Simplified Arabic"/>
          <w:color w:val="000000" w:themeColor="text1"/>
          <w:kern w:val="0"/>
          <w:sz w:val="28"/>
          <w:szCs w:val="28"/>
          <w14:ligatures w14:val="none"/>
        </w:rPr>
        <w:t>.</w:t>
      </w:r>
    </w:p>
    <w:p w14:paraId="7B5366F1" w14:textId="77777777" w:rsidR="00FD52D9" w:rsidRPr="004866BF" w:rsidRDefault="00FD52D9" w:rsidP="00C0245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7" w:name="_Toc224107306"/>
      <w:r w:rsidRPr="004866BF">
        <w:rPr>
          <w:rFonts w:ascii="Simplified Arabic" w:eastAsia="Times New Roman" w:hAnsi="Simplified Arabic" w:cs="Simplified Arabic"/>
          <w:b/>
          <w:bCs/>
          <w:color w:val="000000" w:themeColor="text1"/>
          <w:kern w:val="0"/>
          <w:sz w:val="32"/>
          <w:szCs w:val="32"/>
          <w:rtl/>
          <w14:ligatures w14:val="none"/>
        </w:rPr>
        <w:t>الأهمية العلمية (النظرية)</w:t>
      </w:r>
      <w:r w:rsidRPr="004866BF">
        <w:rPr>
          <w:rFonts w:ascii="Simplified Arabic" w:eastAsia="Times New Roman" w:hAnsi="Simplified Arabic" w:cs="Simplified Arabic"/>
          <w:b/>
          <w:bCs/>
          <w:color w:val="000000" w:themeColor="text1"/>
          <w:kern w:val="0"/>
          <w:sz w:val="32"/>
          <w:szCs w:val="32"/>
          <w14:ligatures w14:val="none"/>
        </w:rPr>
        <w:t>:</w:t>
      </w:r>
      <w:bookmarkEnd w:id="7"/>
    </w:p>
    <w:p w14:paraId="49A12B3A" w14:textId="13E73C98" w:rsidR="00FD52D9" w:rsidRPr="004866BF" w:rsidRDefault="00FD52D9" w:rsidP="00C02452">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lastRenderedPageBreak/>
        <w:t>تُسهم هذه الدراسة في معالجة النقص الملحوظ في الدراسات العربية التي تربط بشكل تكاملي بين أبعاد التحول الرقمي مجتمعةً — السجلات الصحية الإلكترونية، والتطبيب عن بُعد، والذكاء الاصطناعي الصحي، والبنية التحتية الرقمية — وبين جودة الرعاية الصحية في سياق واحد متكامل؛ إذ إن معظم الدراسات السابقة تناولت هذه الأبعاد بشكل منفصل أو ضمن سياقات غير عربية، مما يجعل هذه الدراسة إضافة نوعية للمكتبة البحثية العربية</w:t>
      </w:r>
      <w:r w:rsidRPr="004866BF">
        <w:rPr>
          <w:rFonts w:ascii="Simplified Arabic" w:eastAsia="Times New Roman" w:hAnsi="Simplified Arabic" w:cs="Simplified Arabic"/>
          <w:color w:val="000000" w:themeColor="text1"/>
          <w:kern w:val="0"/>
          <w:sz w:val="28"/>
          <w:szCs w:val="28"/>
          <w14:ligatures w14:val="none"/>
        </w:rPr>
        <w:t>.</w:t>
      </w:r>
    </w:p>
    <w:p w14:paraId="47043DB1" w14:textId="79834B8A" w:rsidR="00FD52D9" w:rsidRPr="004866BF" w:rsidRDefault="00FD52D9" w:rsidP="00C02452">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تسعى الدراسة إلى بناء إطار نظري شامل يجمع بين نظريات التحول الرقمي ونماذج جودة الخدمات الصحية، مما يُتيح للباحثين اللاحقين الاستناد إلى نموذج مفاهيمي واضح يربط بين أبعاد التحول الرقمي الأربعة ومؤشرات جودة الرعاية الصحية، وهو ما يُمثّل إسهامًا نظريًا أصيلًا في هذا الحقل البحثي</w:t>
      </w:r>
      <w:r w:rsidRPr="004866BF">
        <w:rPr>
          <w:rFonts w:ascii="Simplified Arabic" w:eastAsia="Times New Roman" w:hAnsi="Simplified Arabic" w:cs="Simplified Arabic"/>
          <w:color w:val="000000" w:themeColor="text1"/>
          <w:kern w:val="0"/>
          <w:sz w:val="28"/>
          <w:szCs w:val="28"/>
          <w14:ligatures w14:val="none"/>
        </w:rPr>
        <w:t>.</w:t>
      </w:r>
    </w:p>
    <w:p w14:paraId="08BF7F2E" w14:textId="7877ED47" w:rsidR="00FD52D9" w:rsidRPr="004866BF" w:rsidRDefault="00FD52D9" w:rsidP="00C02452">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تكتسب الدراسة أهمية علمية خاصة من كونها تبحث في بيئة تشهد تحولًا رقميًا متسارعًا وغير مسبوق في إطار رؤية 2030 وبرنامج تحول القطاع الصحي، وهو ما يُوفّر حالة دراسية فريدة</w:t>
      </w:r>
      <w:r w:rsidRPr="004866BF">
        <w:rPr>
          <w:rFonts w:ascii="Simplified Arabic" w:eastAsia="Times New Roman" w:hAnsi="Simplified Arabic" w:cs="Simplified Arabic"/>
          <w:color w:val="000000" w:themeColor="text1"/>
          <w:kern w:val="0"/>
          <w:sz w:val="28"/>
          <w:szCs w:val="28"/>
          <w14:ligatures w14:val="none"/>
        </w:rPr>
        <w:t xml:space="preserve"> (Case Study) </w:t>
      </w:r>
      <w:r w:rsidRPr="004866BF">
        <w:rPr>
          <w:rFonts w:ascii="Simplified Arabic" w:eastAsia="Times New Roman" w:hAnsi="Simplified Arabic" w:cs="Simplified Arabic"/>
          <w:color w:val="000000" w:themeColor="text1"/>
          <w:kern w:val="0"/>
          <w:sz w:val="28"/>
          <w:szCs w:val="28"/>
          <w:rtl/>
          <w14:ligatures w14:val="none"/>
        </w:rPr>
        <w:t>يمكن من خلالها اختبار مدى قابلية تطبيق النظريات الغربية في التحول الرقمي الصحي على السياقات العربية والخليجية</w:t>
      </w:r>
      <w:r w:rsidRPr="004866BF">
        <w:rPr>
          <w:rFonts w:ascii="Simplified Arabic" w:eastAsia="Times New Roman" w:hAnsi="Simplified Arabic" w:cs="Simplified Arabic"/>
          <w:color w:val="000000" w:themeColor="text1"/>
          <w:kern w:val="0"/>
          <w:sz w:val="28"/>
          <w:szCs w:val="28"/>
          <w14:ligatures w14:val="none"/>
        </w:rPr>
        <w:t>.</w:t>
      </w:r>
    </w:p>
    <w:p w14:paraId="357EACF4" w14:textId="6BB3DC26" w:rsidR="00FD52D9" w:rsidRPr="004866BF" w:rsidRDefault="00FD52D9" w:rsidP="00C02452">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تُسهم الدراسة في تحديد الوزن النسبي لكل بُعد من أبعاد التحول الرقمي في تفسير التباين في مستوى جودة الرعاية الصحية، مما يُقدّم رؤية علمية دقيقة حول أيّ هذه الأبعاد أكثر تأثيرًا وأيّها يحتاج إلى مزيد من الاهتمام البحثي، وهو ما يفتح آفاقًا جديدة للبحث المستقبلي</w:t>
      </w:r>
      <w:r w:rsidRPr="004866BF">
        <w:rPr>
          <w:rFonts w:ascii="Simplified Arabic" w:eastAsia="Times New Roman" w:hAnsi="Simplified Arabic" w:cs="Simplified Arabic"/>
          <w:color w:val="000000" w:themeColor="text1"/>
          <w:kern w:val="0"/>
          <w:sz w:val="28"/>
          <w:szCs w:val="28"/>
          <w14:ligatures w14:val="none"/>
        </w:rPr>
        <w:t>.</w:t>
      </w:r>
    </w:p>
    <w:p w14:paraId="57BDCAAE" w14:textId="6E119B02" w:rsidR="00FD52D9" w:rsidRPr="004866BF" w:rsidRDefault="00FD52D9" w:rsidP="00C02452">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تُسهم الدراسة في تصميم أداة قياس (استبانة) مُحكَّمة تقيس أبعاد التحول الرقمي الصحي وجودة الرعاية الصحية في السياق السعودي، وهو ما يُمكن أن يستفيد منه الباحثون في دراسات لاحقة تتناول قطاعات أو مناطق جغرافية أخرى داخل المملكة</w:t>
      </w:r>
      <w:r w:rsidRPr="004866BF">
        <w:rPr>
          <w:rFonts w:ascii="Simplified Arabic" w:eastAsia="Times New Roman" w:hAnsi="Simplified Arabic" w:cs="Simplified Arabic"/>
          <w:color w:val="000000" w:themeColor="text1"/>
          <w:kern w:val="0"/>
          <w:sz w:val="28"/>
          <w:szCs w:val="28"/>
          <w14:ligatures w14:val="none"/>
        </w:rPr>
        <w:t>.</w:t>
      </w:r>
    </w:p>
    <w:p w14:paraId="27155E56" w14:textId="347489A6" w:rsidR="00FD52D9" w:rsidRPr="004866BF" w:rsidRDefault="00FD52D9" w:rsidP="00C02452">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تُضيف الدراسة بُعدًا نظريًا جديدًا بتأطيرها العلاقة بين التحول الرقمي وجودة الخدمات ضمن منظومة التخطيط الاستراتيجي الوطني، مما يُسهم في تأسيس مسار بحثي ناشئ يدرس فعالية السياسات العامة الرقمية من منظور الجودة والأداء المؤسسي</w:t>
      </w:r>
      <w:r w:rsidRPr="004866BF">
        <w:rPr>
          <w:rFonts w:ascii="Simplified Arabic" w:eastAsia="Times New Roman" w:hAnsi="Simplified Arabic" w:cs="Simplified Arabic"/>
          <w:color w:val="000000" w:themeColor="text1"/>
          <w:kern w:val="0"/>
          <w:sz w:val="28"/>
          <w:szCs w:val="28"/>
          <w14:ligatures w14:val="none"/>
        </w:rPr>
        <w:t>.</w:t>
      </w:r>
    </w:p>
    <w:p w14:paraId="79D0DD02" w14:textId="77777777" w:rsidR="00FD52D9" w:rsidRPr="004866BF" w:rsidRDefault="00FD52D9" w:rsidP="00C0245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4107307"/>
      <w:r w:rsidRPr="004866BF">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4866BF">
        <w:rPr>
          <w:rFonts w:ascii="Simplified Arabic" w:eastAsia="Times New Roman" w:hAnsi="Simplified Arabic" w:cs="Simplified Arabic"/>
          <w:b/>
          <w:bCs/>
          <w:color w:val="000000" w:themeColor="text1"/>
          <w:kern w:val="0"/>
          <w:sz w:val="32"/>
          <w:szCs w:val="32"/>
          <w14:ligatures w14:val="none"/>
        </w:rPr>
        <w:t>:</w:t>
      </w:r>
      <w:bookmarkEnd w:id="8"/>
    </w:p>
    <w:p w14:paraId="5CBB98C6" w14:textId="75D16AC3" w:rsidR="00FD52D9" w:rsidRPr="004866BF" w:rsidRDefault="00FD52D9" w:rsidP="00C02452">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تُقدّم الدراسة نتائج وتوصيات عملية يمكن أن يستفيد منها صنّاع القرار في وزارة الصحة السعودية والمجلس الصحي السعودي وهيئة الصحة الرقمية في تحديد أولويات الاستثمار في مشاريع التحول </w:t>
      </w:r>
      <w:r w:rsidRPr="004866BF">
        <w:rPr>
          <w:rFonts w:ascii="Simplified Arabic" w:eastAsia="Times New Roman" w:hAnsi="Simplified Arabic" w:cs="Simplified Arabic"/>
          <w:color w:val="000000" w:themeColor="text1"/>
          <w:kern w:val="0"/>
          <w:sz w:val="28"/>
          <w:szCs w:val="28"/>
          <w:rtl/>
          <w14:ligatures w14:val="none"/>
        </w:rPr>
        <w:lastRenderedPageBreak/>
        <w:t>الرقمي الأكثر تأثيرًا على جودة الرعاية الصحية، مما يُساعد في توجيه الموارد المالية والبشرية نحو الأبعاد ذات العائد الأعلى</w:t>
      </w:r>
      <w:r w:rsidRPr="004866BF">
        <w:rPr>
          <w:rFonts w:ascii="Simplified Arabic" w:eastAsia="Times New Roman" w:hAnsi="Simplified Arabic" w:cs="Simplified Arabic"/>
          <w:color w:val="000000" w:themeColor="text1"/>
          <w:kern w:val="0"/>
          <w:sz w:val="28"/>
          <w:szCs w:val="28"/>
          <w14:ligatures w14:val="none"/>
        </w:rPr>
        <w:t>.</w:t>
      </w:r>
    </w:p>
    <w:p w14:paraId="23E0D84C" w14:textId="7DF9A349" w:rsidR="00FD52D9" w:rsidRPr="004866BF" w:rsidRDefault="00FD52D9" w:rsidP="00C02452">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t>تُسهم الدراسة في تقييم فعالية المبادرات الرقمية الصحية القائمة في المملكة، مثل منصة "صحتي" وتطبيق "صحة" ومستشفى صحة الافتراضي وبرنامج السجل الطبي الرقمي الموحد، من منظور تأثيرها الفعلي على جودة الرعاية المقدّمة للمرضى، مما يُوفّر تغذية راجعة قائمة على الأدلة لتطوير هذه المبادرات</w:t>
      </w:r>
      <w:r w:rsidRPr="004866BF">
        <w:rPr>
          <w:rFonts w:ascii="Simplified Arabic" w:eastAsia="Times New Roman" w:hAnsi="Simplified Arabic" w:cs="Simplified Arabic"/>
          <w:color w:val="000000" w:themeColor="text1"/>
          <w:kern w:val="0"/>
          <w:sz w:val="28"/>
          <w:szCs w:val="28"/>
          <w14:ligatures w14:val="none"/>
        </w:rPr>
        <w:t>.</w:t>
      </w:r>
    </w:p>
    <w:p w14:paraId="03D69276" w14:textId="3B3F4D92" w:rsidR="00FD52D9" w:rsidRPr="004866BF" w:rsidRDefault="00FD52D9" w:rsidP="00C02452">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تكتسب الدراسة أهمية تطبيقية بالغة في ضوء مستهدفات برنامج تحول القطاع الصحي ضمن رؤية 2030، والتي تشمل تعميم السجل الطبي الرقمي الموحد ليشمل </w:t>
      </w:r>
      <w:r w:rsidRPr="004866BF">
        <w:rPr>
          <w:rFonts w:ascii="Simplified Arabic" w:eastAsia="Times New Roman" w:hAnsi="Simplified Arabic" w:cs="Simplified Arabic"/>
          <w:color w:val="000000" w:themeColor="text1"/>
          <w:kern w:val="0"/>
          <w:sz w:val="28"/>
          <w:szCs w:val="28"/>
          <w14:ligatures w14:val="none"/>
        </w:rPr>
        <w:t xml:space="preserve">100% </w:t>
      </w:r>
      <w:r w:rsidRPr="004866BF">
        <w:rPr>
          <w:rFonts w:ascii="Simplified Arabic" w:eastAsia="Times New Roman" w:hAnsi="Simplified Arabic" w:cs="Simplified Arabic"/>
          <w:color w:val="000000" w:themeColor="text1"/>
          <w:kern w:val="0"/>
          <w:sz w:val="28"/>
          <w:szCs w:val="28"/>
          <w:rtl/>
          <w14:ligatures w14:val="none"/>
        </w:rPr>
        <w:t>من السكان ورفع نسبة رضا المستفيدين إلى 85.76%؛ إذ يمكن أن تُحدّد الدراسة العوامل الرقمية المُسرِّعة أو المُعيقة لتحقيق هذه المستهدفات</w:t>
      </w:r>
      <w:r w:rsidRPr="004866BF">
        <w:rPr>
          <w:rFonts w:ascii="Simplified Arabic" w:eastAsia="Times New Roman" w:hAnsi="Simplified Arabic" w:cs="Simplified Arabic"/>
          <w:color w:val="000000" w:themeColor="text1"/>
          <w:kern w:val="0"/>
          <w:sz w:val="28"/>
          <w:szCs w:val="28"/>
          <w14:ligatures w14:val="none"/>
        </w:rPr>
        <w:t>.</w:t>
      </w:r>
    </w:p>
    <w:p w14:paraId="59BD6AD8" w14:textId="3C300D78" w:rsidR="00FD52D9" w:rsidRPr="004866BF" w:rsidRDefault="00FD52D9" w:rsidP="00C02452">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تُسهم نتائج الدراسة في تقديم توصيات عملية لتحسين تجربة المريض السعودي من خلال تحديد جوانب التحول الرقمي التي تؤثر بشكل مباشر على رضا المرضى وسلامتهم وسرعة حصولهم على الخدمات الصحية، مما ينعكس إيجابيًا على المخرجات الصحية الوطنية</w:t>
      </w:r>
      <w:r w:rsidRPr="004866BF">
        <w:rPr>
          <w:rFonts w:ascii="Simplified Arabic" w:eastAsia="Times New Roman" w:hAnsi="Simplified Arabic" w:cs="Simplified Arabic"/>
          <w:color w:val="000000" w:themeColor="text1"/>
          <w:kern w:val="0"/>
          <w:sz w:val="28"/>
          <w:szCs w:val="28"/>
          <w14:ligatures w14:val="none"/>
        </w:rPr>
        <w:t>.</w:t>
      </w:r>
    </w:p>
    <w:p w14:paraId="52B8C03A" w14:textId="2797C1AE" w:rsidR="00FD52D9" w:rsidRPr="004866BF" w:rsidRDefault="00FD52D9" w:rsidP="00C02452">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تُوفّر الدراسة رؤية تطبيقية حول كيفية تحقيق أقصى استفادة من الاستثمارات الرقمية في القطاع الصحي، إذ يُمكن من خلال نتائجها تحديد أيّ أبعاد التحول الرقمي تُحقّق أعلى عائد على الاستثمار من حيث تحسين الجودة، مما يدعم مبدأ الكفاءة في الإنفاق الحكومي الذي تتبنّاه رؤية 2030</w:t>
      </w:r>
      <w:r w:rsidRPr="004866BF">
        <w:rPr>
          <w:rFonts w:ascii="Simplified Arabic" w:eastAsia="Times New Roman" w:hAnsi="Simplified Arabic" w:cs="Simplified Arabic"/>
          <w:color w:val="000000" w:themeColor="text1"/>
          <w:kern w:val="0"/>
          <w:sz w:val="28"/>
          <w:szCs w:val="28"/>
          <w14:ligatures w14:val="none"/>
        </w:rPr>
        <w:t>.</w:t>
      </w:r>
    </w:p>
    <w:p w14:paraId="14B35028" w14:textId="03EDF8BF" w:rsidR="00FD52D9" w:rsidRPr="004866BF" w:rsidRDefault="00FD52D9" w:rsidP="00C02452">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يمكن أن تستفيد المستشفيات والمراكز الصحية في المملكة من نتائج هذه الدراسة في بناء خططها الاستراتيجية للتحول الرقمي، وتحديد الأولويات التقنية التي تُسهم فعليًا في رفع مستوى جودة خدماتها، سواء كانت منشآت حكومية تابعة لوزارة الصحة أو منشآت خاصة</w:t>
      </w:r>
      <w:r w:rsidRPr="004866BF">
        <w:rPr>
          <w:rFonts w:ascii="Simplified Arabic" w:eastAsia="Times New Roman" w:hAnsi="Simplified Arabic" w:cs="Simplified Arabic"/>
          <w:color w:val="000000" w:themeColor="text1"/>
          <w:kern w:val="0"/>
          <w:sz w:val="28"/>
          <w:szCs w:val="28"/>
          <w14:ligatures w14:val="none"/>
        </w:rPr>
        <w:t>.</w:t>
      </w:r>
    </w:p>
    <w:p w14:paraId="47D508E3" w14:textId="77777777" w:rsidR="00C02452" w:rsidRPr="004866BF" w:rsidRDefault="00C02452" w:rsidP="00C0245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424306"/>
      <w:r w:rsidRPr="004866BF">
        <w:rPr>
          <w:rFonts w:ascii="Simplified Arabic" w:eastAsia="Times New Roman" w:hAnsi="Simplified Arabic" w:cs="Simplified Arabic"/>
          <w:b/>
          <w:bCs/>
          <w:color w:val="000000" w:themeColor="text1"/>
          <w:kern w:val="0"/>
          <w:sz w:val="36"/>
          <w:szCs w:val="36"/>
          <w:rtl/>
          <w14:ligatures w14:val="none"/>
        </w:rPr>
        <w:t>4.1 أهداف الدراسة</w:t>
      </w:r>
      <w:bookmarkEnd w:id="9"/>
    </w:p>
    <w:p w14:paraId="56D88EC4" w14:textId="52C2D164" w:rsidR="00C02452" w:rsidRPr="004866BF" w:rsidRDefault="00C02452" w:rsidP="00C0245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866BF">
        <w:rPr>
          <w:rFonts w:ascii="Simplified Arabic" w:eastAsia="Times New Roman" w:hAnsi="Simplified Arabic" w:cs="Simplified Arabic"/>
          <w:b/>
          <w:bCs/>
          <w:color w:val="000000" w:themeColor="text1"/>
          <w:kern w:val="0"/>
          <w:sz w:val="32"/>
          <w:szCs w:val="32"/>
          <w:rtl/>
          <w14:ligatures w14:val="none"/>
        </w:rPr>
        <w:t>الهدف الرئيسي:</w:t>
      </w:r>
    </w:p>
    <w:p w14:paraId="11AFB62A" w14:textId="77777777" w:rsidR="00FD52D9" w:rsidRPr="004866BF" w:rsidRDefault="00FD52D9" w:rsidP="00C024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هدفت الدراسة إلى دراسة أثر التحول الرقمي بأبعاده (السجلات الصحية الإلكترونية، والتطبيب عن بُعد، والذكاء الاصطناعي الصحي، والبنية التحتية الرقمية الصحية) على جودة الرعاية الصحية في المملكة العربية السعودية تحقيقًا لمستهدفات رؤية 2030</w:t>
      </w:r>
      <w:r w:rsidRPr="004866BF">
        <w:rPr>
          <w:rFonts w:ascii="Simplified Arabic" w:eastAsia="Times New Roman" w:hAnsi="Simplified Arabic" w:cs="Simplified Arabic"/>
          <w:color w:val="000000" w:themeColor="text1"/>
          <w:kern w:val="0"/>
          <w:sz w:val="28"/>
          <w:szCs w:val="28"/>
          <w14:ligatures w14:val="none"/>
        </w:rPr>
        <w:t>.</w:t>
      </w:r>
    </w:p>
    <w:p w14:paraId="2C8C8223" w14:textId="77777777" w:rsidR="00FD52D9" w:rsidRPr="004866BF" w:rsidRDefault="00FD52D9" w:rsidP="00C0245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lastRenderedPageBreak/>
        <w:t>ويتفرّع من هذا الهدف الرئيسي الأهداف الفرعية التالية</w:t>
      </w:r>
      <w:r w:rsidRPr="004866BF">
        <w:rPr>
          <w:rFonts w:ascii="Simplified Arabic" w:eastAsia="Times New Roman" w:hAnsi="Simplified Arabic" w:cs="Simplified Arabic"/>
          <w:b/>
          <w:bCs/>
          <w:color w:val="000000" w:themeColor="text1"/>
          <w:kern w:val="0"/>
          <w:sz w:val="28"/>
          <w:szCs w:val="28"/>
          <w14:ligatures w14:val="none"/>
        </w:rPr>
        <w:t>:</w:t>
      </w:r>
    </w:p>
    <w:p w14:paraId="25694ECF" w14:textId="77777777" w:rsidR="00FD52D9" w:rsidRPr="004866BF" w:rsidRDefault="00FD52D9" w:rsidP="00C02452">
      <w:pPr>
        <w:numPr>
          <w:ilvl w:val="0"/>
          <w:numId w:val="1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التعرّف على واقع التحول الرقمي في القطاع الصحي السعودي من وجهة نظر العاملين في المنشآت الصحية، وتحديد مستوى تطبيق كل بُعد من أبعاده الأربعة (السجلات الصحية الإلكترونية، التطبيب عن بُعد، الذكاء الاصطناعي الصحي، البنية التحتية الرقمية الصحية</w:t>
      </w:r>
      <w:r w:rsidRPr="004866BF">
        <w:rPr>
          <w:rFonts w:ascii="Simplified Arabic" w:eastAsia="Times New Roman" w:hAnsi="Simplified Arabic" w:cs="Simplified Arabic"/>
          <w:color w:val="000000" w:themeColor="text1"/>
          <w:kern w:val="0"/>
          <w:sz w:val="28"/>
          <w:szCs w:val="28"/>
          <w14:ligatures w14:val="none"/>
        </w:rPr>
        <w:t>).</w:t>
      </w:r>
    </w:p>
    <w:p w14:paraId="540129B9" w14:textId="77777777" w:rsidR="00FD52D9" w:rsidRPr="004866BF" w:rsidRDefault="00FD52D9" w:rsidP="00C02452">
      <w:pPr>
        <w:numPr>
          <w:ilvl w:val="0"/>
          <w:numId w:val="1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تحديد مستوى جودة الرعاية الصحية المقدّمة في المنشآت الصحية السعودية من وجهة نظر العاملين فيها</w:t>
      </w:r>
      <w:r w:rsidRPr="004866BF">
        <w:rPr>
          <w:rFonts w:ascii="Simplified Arabic" w:eastAsia="Times New Roman" w:hAnsi="Simplified Arabic" w:cs="Simplified Arabic"/>
          <w:color w:val="000000" w:themeColor="text1"/>
          <w:kern w:val="0"/>
          <w:sz w:val="28"/>
          <w:szCs w:val="28"/>
          <w14:ligatures w14:val="none"/>
        </w:rPr>
        <w:t>.</w:t>
      </w:r>
    </w:p>
    <w:p w14:paraId="4BAA85D5" w14:textId="77777777" w:rsidR="00FD52D9" w:rsidRPr="004866BF" w:rsidRDefault="00FD52D9" w:rsidP="00C02452">
      <w:pPr>
        <w:numPr>
          <w:ilvl w:val="0"/>
          <w:numId w:val="1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قياس أثر السجلات الصحية الإلكترونية على جودة الرعاية الصحية في المنشآت الصحية السعودية</w:t>
      </w:r>
      <w:r w:rsidRPr="004866BF">
        <w:rPr>
          <w:rFonts w:ascii="Simplified Arabic" w:eastAsia="Times New Roman" w:hAnsi="Simplified Arabic" w:cs="Simplified Arabic"/>
          <w:color w:val="000000" w:themeColor="text1"/>
          <w:kern w:val="0"/>
          <w:sz w:val="28"/>
          <w:szCs w:val="28"/>
          <w14:ligatures w14:val="none"/>
        </w:rPr>
        <w:t>.</w:t>
      </w:r>
    </w:p>
    <w:p w14:paraId="67DD1E3C" w14:textId="77777777" w:rsidR="00FD52D9" w:rsidRPr="004866BF" w:rsidRDefault="00FD52D9" w:rsidP="00C02452">
      <w:pPr>
        <w:numPr>
          <w:ilvl w:val="0"/>
          <w:numId w:val="1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قياس أثر التطبيب عن بُعد على جودة الرعاية الصحية في المنشآت الصحية السعودية</w:t>
      </w:r>
      <w:r w:rsidRPr="004866BF">
        <w:rPr>
          <w:rFonts w:ascii="Simplified Arabic" w:eastAsia="Times New Roman" w:hAnsi="Simplified Arabic" w:cs="Simplified Arabic"/>
          <w:color w:val="000000" w:themeColor="text1"/>
          <w:kern w:val="0"/>
          <w:sz w:val="28"/>
          <w:szCs w:val="28"/>
          <w14:ligatures w14:val="none"/>
        </w:rPr>
        <w:t>.</w:t>
      </w:r>
    </w:p>
    <w:p w14:paraId="28DDC62E" w14:textId="77777777" w:rsidR="00FD52D9" w:rsidRPr="004866BF" w:rsidRDefault="00FD52D9" w:rsidP="00C02452">
      <w:pPr>
        <w:numPr>
          <w:ilvl w:val="0"/>
          <w:numId w:val="1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قياس أثر الذكاء الاصطناعي الصحي على جودة الرعاية الصحية في المنشآت الصحية السعودية</w:t>
      </w:r>
      <w:r w:rsidRPr="004866BF">
        <w:rPr>
          <w:rFonts w:ascii="Simplified Arabic" w:eastAsia="Times New Roman" w:hAnsi="Simplified Arabic" w:cs="Simplified Arabic"/>
          <w:color w:val="000000" w:themeColor="text1"/>
          <w:kern w:val="0"/>
          <w:sz w:val="28"/>
          <w:szCs w:val="28"/>
          <w14:ligatures w14:val="none"/>
        </w:rPr>
        <w:t>.</w:t>
      </w:r>
    </w:p>
    <w:p w14:paraId="5F089924" w14:textId="77777777" w:rsidR="00FD52D9" w:rsidRPr="004866BF" w:rsidRDefault="00FD52D9" w:rsidP="00C02452">
      <w:pPr>
        <w:numPr>
          <w:ilvl w:val="0"/>
          <w:numId w:val="1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قياس أثر البنية التحتية الرقمية الصحية على جودة الرعاية الصحية في المنشآت الصحية السعودية</w:t>
      </w:r>
      <w:r w:rsidRPr="004866BF">
        <w:rPr>
          <w:rFonts w:ascii="Simplified Arabic" w:eastAsia="Times New Roman" w:hAnsi="Simplified Arabic" w:cs="Simplified Arabic"/>
          <w:color w:val="000000" w:themeColor="text1"/>
          <w:kern w:val="0"/>
          <w:sz w:val="28"/>
          <w:szCs w:val="28"/>
          <w14:ligatures w14:val="none"/>
        </w:rPr>
        <w:t>.</w:t>
      </w:r>
    </w:p>
    <w:p w14:paraId="67E7F063" w14:textId="77777777" w:rsidR="00FD52D9" w:rsidRPr="004866BF" w:rsidRDefault="00FD52D9" w:rsidP="00C02452">
      <w:pPr>
        <w:numPr>
          <w:ilvl w:val="0"/>
          <w:numId w:val="1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تحديد البُعد الأكثر تأثيرًا من أبعاد التحول الرقمي على جودة الرعاية الصحية في المنشآت الصحية السعودية</w:t>
      </w:r>
      <w:r w:rsidRPr="004866BF">
        <w:rPr>
          <w:rFonts w:ascii="Simplified Arabic" w:eastAsia="Times New Roman" w:hAnsi="Simplified Arabic" w:cs="Simplified Arabic"/>
          <w:color w:val="000000" w:themeColor="text1"/>
          <w:kern w:val="0"/>
          <w:sz w:val="28"/>
          <w:szCs w:val="28"/>
          <w14:ligatures w14:val="none"/>
        </w:rPr>
        <w:t>.</w:t>
      </w:r>
    </w:p>
    <w:p w14:paraId="76289DD6" w14:textId="77777777" w:rsidR="00FD52D9" w:rsidRPr="004866BF" w:rsidRDefault="00FD52D9" w:rsidP="00C02452">
      <w:pPr>
        <w:numPr>
          <w:ilvl w:val="0"/>
          <w:numId w:val="1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تقديم توصيات علمية وعملية قابلة للتنفيذ لتعزيز التحول الرقمي في القطاع الصحي السعودي بما يُسهم في تحقيق مستهدفات رؤية 2030 المتعلقة بجودة الرعاية الصحية</w:t>
      </w:r>
      <w:r w:rsidRPr="004866BF">
        <w:rPr>
          <w:rFonts w:ascii="Simplified Arabic" w:eastAsia="Times New Roman" w:hAnsi="Simplified Arabic" w:cs="Simplified Arabic"/>
          <w:color w:val="000000" w:themeColor="text1"/>
          <w:kern w:val="0"/>
          <w:sz w:val="28"/>
          <w:szCs w:val="28"/>
          <w14:ligatures w14:val="none"/>
        </w:rPr>
        <w:t>.</w:t>
      </w:r>
    </w:p>
    <w:p w14:paraId="32199014" w14:textId="77777777" w:rsidR="00C02452" w:rsidRPr="004866BF" w:rsidRDefault="00C02452" w:rsidP="00C0245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424307"/>
      <w:r w:rsidRPr="004866BF">
        <w:rPr>
          <w:rFonts w:ascii="Simplified Arabic" w:eastAsia="Times New Roman" w:hAnsi="Simplified Arabic" w:cs="Simplified Arabic"/>
          <w:b/>
          <w:bCs/>
          <w:color w:val="000000" w:themeColor="text1"/>
          <w:kern w:val="0"/>
          <w:sz w:val="36"/>
          <w:szCs w:val="36"/>
          <w:rtl/>
          <w14:ligatures w14:val="none"/>
        </w:rPr>
        <w:t>5.1 أسئلة الدراسة</w:t>
      </w:r>
      <w:bookmarkEnd w:id="10"/>
    </w:p>
    <w:p w14:paraId="299928B8" w14:textId="19B91421" w:rsidR="00C02452" w:rsidRPr="004866BF" w:rsidRDefault="00C02452" w:rsidP="00C0245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866BF">
        <w:rPr>
          <w:rFonts w:ascii="Simplified Arabic" w:eastAsia="Times New Roman" w:hAnsi="Simplified Arabic" w:cs="Simplified Arabic"/>
          <w:b/>
          <w:bCs/>
          <w:color w:val="000000" w:themeColor="text1"/>
          <w:kern w:val="0"/>
          <w:sz w:val="32"/>
          <w:szCs w:val="32"/>
          <w:rtl/>
          <w14:ligatures w14:val="none"/>
        </w:rPr>
        <w:t>السؤال الرئيسي:</w:t>
      </w:r>
    </w:p>
    <w:p w14:paraId="3D89E4E4" w14:textId="77777777" w:rsidR="00FD52D9" w:rsidRPr="004866BF" w:rsidRDefault="00FD52D9" w:rsidP="00C02452">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ما أثر التحول الرقمي بأبعاده </w:t>
      </w:r>
      <w:r w:rsidRPr="004866BF">
        <w:rPr>
          <w:rFonts w:ascii="Simplified Arabic" w:eastAsia="Times New Roman" w:hAnsi="Simplified Arabic" w:cs="Simplified Arabic"/>
          <w:color w:val="000000" w:themeColor="text1"/>
          <w:kern w:val="0"/>
          <w:sz w:val="28"/>
          <w:szCs w:val="28"/>
          <w14:ligatures w14:val="none"/>
        </w:rPr>
        <w:t>(</w:t>
      </w:r>
      <w:r w:rsidRPr="004866BF">
        <w:rPr>
          <w:rFonts w:ascii="Simplified Arabic" w:eastAsia="Times New Roman" w:hAnsi="Simplified Arabic" w:cs="Simplified Arabic"/>
          <w:color w:val="000000" w:themeColor="text1"/>
          <w:kern w:val="0"/>
          <w:sz w:val="28"/>
          <w:szCs w:val="28"/>
          <w:rtl/>
          <w14:ligatures w14:val="none"/>
        </w:rPr>
        <w:t>السجلات الصحية الإلكترونية، والتطبيب عن بُعد، والذكاء الاصطناعي الصحي، والبنية التحتية الرقمية الصحية) على جودة الرعاية الصحية في المملكة العربية السعودية تحقيقًا لمستهدفات رؤية 2030؟</w:t>
      </w:r>
    </w:p>
    <w:p w14:paraId="2D404E44" w14:textId="77777777" w:rsidR="00FD52D9" w:rsidRPr="004866BF" w:rsidRDefault="00FD52D9" w:rsidP="00C0245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4866BF">
        <w:rPr>
          <w:rFonts w:ascii="Simplified Arabic" w:eastAsia="Times New Roman" w:hAnsi="Simplified Arabic" w:cs="Simplified Arabic"/>
          <w:b/>
          <w:bCs/>
          <w:color w:val="000000" w:themeColor="text1"/>
          <w:kern w:val="0"/>
          <w:sz w:val="28"/>
          <w:szCs w:val="28"/>
          <w14:ligatures w14:val="none"/>
        </w:rPr>
        <w:t>:</w:t>
      </w:r>
    </w:p>
    <w:p w14:paraId="170744F9" w14:textId="77777777" w:rsidR="00FD52D9" w:rsidRPr="004866BF" w:rsidRDefault="00FD52D9" w:rsidP="00C02452">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ما واقع التحول الرقمي في القطاع الصحي السعودي من وجهة نظر العاملين في المنشآت الصحية، وما مستوى تطبيق كل بُعد من أبعاده الأربعة؟</w:t>
      </w:r>
    </w:p>
    <w:p w14:paraId="0CEDB5C3" w14:textId="77777777" w:rsidR="00FD52D9" w:rsidRPr="004866BF" w:rsidRDefault="00FD52D9" w:rsidP="00C02452">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ما مستوى جودة الرعاية الصحية المقدّمة في المنشآت الصحية السعودية من وجهة نظر العاملين فيها؟</w:t>
      </w:r>
    </w:p>
    <w:p w14:paraId="1662C140" w14:textId="77777777" w:rsidR="00FD52D9" w:rsidRPr="004866BF" w:rsidRDefault="00FD52D9" w:rsidP="00C02452">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lastRenderedPageBreak/>
        <w:t>ما أثر السجلات الصحية الإلكترونية على جودة الرعاية الصحية في المنشآت الصحية السعودية؟</w:t>
      </w:r>
    </w:p>
    <w:p w14:paraId="659C6BB2" w14:textId="77777777" w:rsidR="00FD52D9" w:rsidRPr="004866BF" w:rsidRDefault="00FD52D9" w:rsidP="00C02452">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ما أثر التطبيب عن بُعد على جودة الرعاية الصحية في المنشآت الصحية السعودية؟</w:t>
      </w:r>
    </w:p>
    <w:p w14:paraId="3CDC7563" w14:textId="77777777" w:rsidR="00FD52D9" w:rsidRPr="004866BF" w:rsidRDefault="00FD52D9" w:rsidP="00C02452">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ما أثر الذكاء الاصطناعي الصحي على جودة الرعاية الصحية في المنشآت الصحية السعودية؟</w:t>
      </w:r>
    </w:p>
    <w:p w14:paraId="70903C1E" w14:textId="77777777" w:rsidR="00FD52D9" w:rsidRPr="004866BF" w:rsidRDefault="00FD52D9" w:rsidP="00C02452">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ما أثر البنية التحتية الرقمية الصحية على جودة الرعاية الصحية في المنشآت الصحية السعودية؟</w:t>
      </w:r>
    </w:p>
    <w:p w14:paraId="685F2CFA" w14:textId="77777777" w:rsidR="00FD52D9" w:rsidRPr="004866BF" w:rsidRDefault="00FD52D9" w:rsidP="00C02452">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أيّ أبعاد التحول الرقمي أكثر تأثيرًا على جودة الرعاية الصحية في المنشآت الصحية السعودية؟</w:t>
      </w:r>
    </w:p>
    <w:p w14:paraId="264D6A2F" w14:textId="77777777" w:rsidR="00FD52D9" w:rsidRPr="004866BF" w:rsidRDefault="00FD52D9" w:rsidP="00C02452">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هل توجد فروق ذات دلالة إحصائية عند مستوى الدلالة</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Cambria" w:eastAsia="Times New Roman" w:hAnsi="Cambria" w:cs="Cambria"/>
          <w:color w:val="000000" w:themeColor="text1"/>
          <w:kern w:val="0"/>
          <w:sz w:val="28"/>
          <w:szCs w:val="28"/>
          <w14:ligatures w14:val="none"/>
        </w:rPr>
        <w:t>α</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Times New Roman" w:eastAsia="Times New Roman" w:hAnsi="Times New Roman" w:cs="Times New Roman"/>
          <w:color w:val="000000" w:themeColor="text1"/>
          <w:kern w:val="0"/>
          <w:sz w:val="28"/>
          <w:szCs w:val="28"/>
          <w14:ligatures w14:val="none"/>
        </w:rPr>
        <w:t>≤</w:t>
      </w:r>
      <w:r w:rsidRPr="004866BF">
        <w:rPr>
          <w:rFonts w:ascii="Simplified Arabic" w:eastAsia="Times New Roman" w:hAnsi="Simplified Arabic" w:cs="Simplified Arabic"/>
          <w:color w:val="000000" w:themeColor="text1"/>
          <w:kern w:val="0"/>
          <w:sz w:val="28"/>
          <w:szCs w:val="28"/>
          <w14:ligatures w14:val="none"/>
        </w:rPr>
        <w:t xml:space="preserve"> 0.05) </w:t>
      </w:r>
      <w:r w:rsidRPr="004866BF">
        <w:rPr>
          <w:rFonts w:ascii="Simplified Arabic" w:eastAsia="Times New Roman" w:hAnsi="Simplified Arabic" w:cs="Simplified Arabic"/>
          <w:color w:val="000000" w:themeColor="text1"/>
          <w:kern w:val="0"/>
          <w:sz w:val="28"/>
          <w:szCs w:val="28"/>
          <w:rtl/>
          <w14:ligatures w14:val="none"/>
        </w:rPr>
        <w:t>في استجابات أفراد عيّنة الدراسة حول أثر التحول الرقمي على جودة الرعاية الصحية تُعزى للمتغيرات الديموغرافية (الجنس، المؤهل العلمي، سنوات الخبرة، طبيعة العمل)؟</w:t>
      </w:r>
    </w:p>
    <w:p w14:paraId="144EBD53" w14:textId="77777777" w:rsidR="00C02452" w:rsidRPr="004866BF" w:rsidRDefault="00C02452" w:rsidP="00C0245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424308"/>
      <w:r w:rsidRPr="004866BF">
        <w:rPr>
          <w:rFonts w:ascii="Simplified Arabic" w:eastAsia="Times New Roman" w:hAnsi="Simplified Arabic" w:cs="Simplified Arabic"/>
          <w:b/>
          <w:bCs/>
          <w:color w:val="000000" w:themeColor="text1"/>
          <w:kern w:val="0"/>
          <w:sz w:val="36"/>
          <w:szCs w:val="36"/>
          <w:rtl/>
          <w14:ligatures w14:val="none"/>
        </w:rPr>
        <w:t>6.1 فروض الدراسة</w:t>
      </w:r>
      <w:bookmarkEnd w:id="11"/>
    </w:p>
    <w:p w14:paraId="4CC30974" w14:textId="2BC1E2A9" w:rsidR="00C02452" w:rsidRPr="004866BF" w:rsidRDefault="00C02452" w:rsidP="00C0245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866BF">
        <w:rPr>
          <w:rFonts w:ascii="Simplified Arabic" w:eastAsia="Times New Roman" w:hAnsi="Simplified Arabic" w:cs="Simplified Arabic"/>
          <w:b/>
          <w:bCs/>
          <w:color w:val="000000" w:themeColor="text1"/>
          <w:kern w:val="0"/>
          <w:sz w:val="32"/>
          <w:szCs w:val="32"/>
          <w:rtl/>
          <w14:ligatures w14:val="none"/>
        </w:rPr>
        <w:t>الفرض الرئيسي:</w:t>
      </w:r>
    </w:p>
    <w:p w14:paraId="7473720E" w14:textId="77777777" w:rsidR="00FD52D9" w:rsidRPr="004866BF" w:rsidRDefault="00FD52D9" w:rsidP="00C02452">
      <w:pPr>
        <w:pStyle w:val="ListParagraph"/>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Cambria" w:eastAsia="Times New Roman" w:hAnsi="Cambria" w:cs="Cambria"/>
          <w:color w:val="000000" w:themeColor="text1"/>
          <w:kern w:val="0"/>
          <w:sz w:val="28"/>
          <w:szCs w:val="28"/>
          <w14:ligatures w14:val="none"/>
        </w:rPr>
        <w:t>α</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Times New Roman" w:eastAsia="Times New Roman" w:hAnsi="Times New Roman" w:cs="Times New Roman"/>
          <w:color w:val="000000" w:themeColor="text1"/>
          <w:kern w:val="0"/>
          <w:sz w:val="28"/>
          <w:szCs w:val="28"/>
          <w14:ligatures w14:val="none"/>
        </w:rPr>
        <w:t>≤</w:t>
      </w:r>
      <w:r w:rsidRPr="004866BF">
        <w:rPr>
          <w:rFonts w:ascii="Simplified Arabic" w:eastAsia="Times New Roman" w:hAnsi="Simplified Arabic" w:cs="Simplified Arabic"/>
          <w:color w:val="000000" w:themeColor="text1"/>
          <w:kern w:val="0"/>
          <w:sz w:val="28"/>
          <w:szCs w:val="28"/>
          <w14:ligatures w14:val="none"/>
        </w:rPr>
        <w:t xml:space="preserve"> 0.05) </w:t>
      </w:r>
      <w:r w:rsidRPr="004866BF">
        <w:rPr>
          <w:rFonts w:ascii="Simplified Arabic" w:eastAsia="Times New Roman" w:hAnsi="Simplified Arabic" w:cs="Simplified Arabic"/>
          <w:color w:val="000000" w:themeColor="text1"/>
          <w:kern w:val="0"/>
          <w:sz w:val="28"/>
          <w:szCs w:val="28"/>
          <w:rtl/>
          <w14:ligatures w14:val="none"/>
        </w:rPr>
        <w:t>للتحول الرقمي بأبعاده (السجلات الصحية الإلكترونية، والتطبيب عن بُعد، والذكاء الاصطناعي الصحي، والبنية التحتية الرقمية الصحية) على جودة الرعاية الصحية في المملكة العربية السعودية</w:t>
      </w:r>
      <w:r w:rsidRPr="004866BF">
        <w:rPr>
          <w:rFonts w:ascii="Simplified Arabic" w:eastAsia="Times New Roman" w:hAnsi="Simplified Arabic" w:cs="Simplified Arabic"/>
          <w:color w:val="000000" w:themeColor="text1"/>
          <w:kern w:val="0"/>
          <w:sz w:val="28"/>
          <w:szCs w:val="28"/>
          <w14:ligatures w14:val="none"/>
        </w:rPr>
        <w:t>.</w:t>
      </w:r>
    </w:p>
    <w:p w14:paraId="63D68E1D" w14:textId="77777777" w:rsidR="00FD52D9" w:rsidRPr="004866BF" w:rsidRDefault="00FD52D9" w:rsidP="00C0245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t>ويتفرّع من هذا الفرض الرئيسي الفروض الفرعية التالية</w:t>
      </w:r>
      <w:r w:rsidRPr="004866BF">
        <w:rPr>
          <w:rFonts w:ascii="Simplified Arabic" w:eastAsia="Times New Roman" w:hAnsi="Simplified Arabic" w:cs="Simplified Arabic"/>
          <w:b/>
          <w:bCs/>
          <w:color w:val="000000" w:themeColor="text1"/>
          <w:kern w:val="0"/>
          <w:sz w:val="28"/>
          <w:szCs w:val="28"/>
          <w14:ligatures w14:val="none"/>
        </w:rPr>
        <w:t>:</w:t>
      </w:r>
    </w:p>
    <w:p w14:paraId="3916D018" w14:textId="77777777" w:rsidR="00FD52D9" w:rsidRPr="004866BF" w:rsidRDefault="00FD52D9" w:rsidP="00C02452">
      <w:pPr>
        <w:pStyle w:val="ListParagraph"/>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14:ligatures w14:val="none"/>
        </w:rPr>
        <w:t>H</w:t>
      </w:r>
      <w:r w:rsidRPr="004866BF">
        <w:rPr>
          <w:rFonts w:ascii="Times New Roman" w:eastAsia="Times New Roman" w:hAnsi="Times New Roman" w:cs="Times New Roman"/>
          <w:color w:val="000000" w:themeColor="text1"/>
          <w:kern w:val="0"/>
          <w:sz w:val="28"/>
          <w:szCs w:val="28"/>
          <w14:ligatures w14:val="none"/>
        </w:rPr>
        <w:t>₁</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Cambria" w:eastAsia="Times New Roman" w:hAnsi="Cambria" w:cs="Cambria"/>
          <w:color w:val="000000" w:themeColor="text1"/>
          <w:kern w:val="0"/>
          <w:sz w:val="28"/>
          <w:szCs w:val="28"/>
          <w14:ligatures w14:val="none"/>
        </w:rPr>
        <w:t>α</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Times New Roman" w:eastAsia="Times New Roman" w:hAnsi="Times New Roman" w:cs="Times New Roman"/>
          <w:color w:val="000000" w:themeColor="text1"/>
          <w:kern w:val="0"/>
          <w:sz w:val="28"/>
          <w:szCs w:val="28"/>
          <w14:ligatures w14:val="none"/>
        </w:rPr>
        <w:t>≤</w:t>
      </w:r>
      <w:r w:rsidRPr="004866BF">
        <w:rPr>
          <w:rFonts w:ascii="Simplified Arabic" w:eastAsia="Times New Roman" w:hAnsi="Simplified Arabic" w:cs="Simplified Arabic"/>
          <w:color w:val="000000" w:themeColor="text1"/>
          <w:kern w:val="0"/>
          <w:sz w:val="28"/>
          <w:szCs w:val="28"/>
          <w14:ligatures w14:val="none"/>
        </w:rPr>
        <w:t xml:space="preserve"> 0.05) </w:t>
      </w:r>
      <w:r w:rsidRPr="004866BF">
        <w:rPr>
          <w:rFonts w:ascii="Simplified Arabic" w:eastAsia="Times New Roman" w:hAnsi="Simplified Arabic" w:cs="Simplified Arabic"/>
          <w:color w:val="000000" w:themeColor="text1"/>
          <w:kern w:val="0"/>
          <w:sz w:val="28"/>
          <w:szCs w:val="28"/>
          <w:rtl/>
          <w14:ligatures w14:val="none"/>
        </w:rPr>
        <w:t>للسجلات الصحية الإلكترونية على جودة الرعاية الصحية في المنشآت الصحية السعودية</w:t>
      </w:r>
      <w:r w:rsidRPr="004866BF">
        <w:rPr>
          <w:rFonts w:ascii="Simplified Arabic" w:eastAsia="Times New Roman" w:hAnsi="Simplified Arabic" w:cs="Simplified Arabic"/>
          <w:color w:val="000000" w:themeColor="text1"/>
          <w:kern w:val="0"/>
          <w:sz w:val="28"/>
          <w:szCs w:val="28"/>
          <w14:ligatures w14:val="none"/>
        </w:rPr>
        <w:t>.</w:t>
      </w:r>
    </w:p>
    <w:p w14:paraId="3B39EF3A" w14:textId="77777777" w:rsidR="00FD52D9" w:rsidRPr="004866BF" w:rsidRDefault="00FD52D9" w:rsidP="00C02452">
      <w:pPr>
        <w:pStyle w:val="ListParagraph"/>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14:ligatures w14:val="none"/>
        </w:rPr>
        <w:t>H</w:t>
      </w:r>
      <w:r w:rsidRPr="004866BF">
        <w:rPr>
          <w:rFonts w:ascii="Times New Roman" w:eastAsia="Times New Roman" w:hAnsi="Times New Roman" w:cs="Times New Roman"/>
          <w:color w:val="000000" w:themeColor="text1"/>
          <w:kern w:val="0"/>
          <w:sz w:val="28"/>
          <w:szCs w:val="28"/>
          <w14:ligatures w14:val="none"/>
        </w:rPr>
        <w:t>₂</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Cambria" w:eastAsia="Times New Roman" w:hAnsi="Cambria" w:cs="Cambria"/>
          <w:color w:val="000000" w:themeColor="text1"/>
          <w:kern w:val="0"/>
          <w:sz w:val="28"/>
          <w:szCs w:val="28"/>
          <w14:ligatures w14:val="none"/>
        </w:rPr>
        <w:t>α</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Times New Roman" w:eastAsia="Times New Roman" w:hAnsi="Times New Roman" w:cs="Times New Roman"/>
          <w:color w:val="000000" w:themeColor="text1"/>
          <w:kern w:val="0"/>
          <w:sz w:val="28"/>
          <w:szCs w:val="28"/>
          <w14:ligatures w14:val="none"/>
        </w:rPr>
        <w:t>≤</w:t>
      </w:r>
      <w:r w:rsidRPr="004866BF">
        <w:rPr>
          <w:rFonts w:ascii="Simplified Arabic" w:eastAsia="Times New Roman" w:hAnsi="Simplified Arabic" w:cs="Simplified Arabic"/>
          <w:color w:val="000000" w:themeColor="text1"/>
          <w:kern w:val="0"/>
          <w:sz w:val="28"/>
          <w:szCs w:val="28"/>
          <w14:ligatures w14:val="none"/>
        </w:rPr>
        <w:t xml:space="preserve"> 0.05) </w:t>
      </w:r>
      <w:r w:rsidRPr="004866BF">
        <w:rPr>
          <w:rFonts w:ascii="Simplified Arabic" w:eastAsia="Times New Roman" w:hAnsi="Simplified Arabic" w:cs="Simplified Arabic"/>
          <w:color w:val="000000" w:themeColor="text1"/>
          <w:kern w:val="0"/>
          <w:sz w:val="28"/>
          <w:szCs w:val="28"/>
          <w:rtl/>
          <w14:ligatures w14:val="none"/>
        </w:rPr>
        <w:t>للتطبيب عن بُعد على جودة الرعاية الصحية في المنشآت الصحية السعودية</w:t>
      </w:r>
      <w:r w:rsidRPr="004866BF">
        <w:rPr>
          <w:rFonts w:ascii="Simplified Arabic" w:eastAsia="Times New Roman" w:hAnsi="Simplified Arabic" w:cs="Simplified Arabic"/>
          <w:color w:val="000000" w:themeColor="text1"/>
          <w:kern w:val="0"/>
          <w:sz w:val="28"/>
          <w:szCs w:val="28"/>
          <w14:ligatures w14:val="none"/>
        </w:rPr>
        <w:t>.</w:t>
      </w:r>
    </w:p>
    <w:p w14:paraId="389B5AFD" w14:textId="77777777" w:rsidR="00FD52D9" w:rsidRPr="004866BF" w:rsidRDefault="00FD52D9" w:rsidP="00C02452">
      <w:pPr>
        <w:pStyle w:val="ListParagraph"/>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14:ligatures w14:val="none"/>
        </w:rPr>
        <w:t>H</w:t>
      </w:r>
      <w:r w:rsidRPr="004866BF">
        <w:rPr>
          <w:rFonts w:ascii="Times New Roman" w:eastAsia="Times New Roman" w:hAnsi="Times New Roman" w:cs="Times New Roman"/>
          <w:color w:val="000000" w:themeColor="text1"/>
          <w:kern w:val="0"/>
          <w:sz w:val="28"/>
          <w:szCs w:val="28"/>
          <w14:ligatures w14:val="none"/>
        </w:rPr>
        <w:t>₃</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Cambria" w:eastAsia="Times New Roman" w:hAnsi="Cambria" w:cs="Cambria"/>
          <w:color w:val="000000" w:themeColor="text1"/>
          <w:kern w:val="0"/>
          <w:sz w:val="28"/>
          <w:szCs w:val="28"/>
          <w14:ligatures w14:val="none"/>
        </w:rPr>
        <w:t>α</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Times New Roman" w:eastAsia="Times New Roman" w:hAnsi="Times New Roman" w:cs="Times New Roman"/>
          <w:color w:val="000000" w:themeColor="text1"/>
          <w:kern w:val="0"/>
          <w:sz w:val="28"/>
          <w:szCs w:val="28"/>
          <w14:ligatures w14:val="none"/>
        </w:rPr>
        <w:t>≤</w:t>
      </w:r>
      <w:r w:rsidRPr="004866BF">
        <w:rPr>
          <w:rFonts w:ascii="Simplified Arabic" w:eastAsia="Times New Roman" w:hAnsi="Simplified Arabic" w:cs="Simplified Arabic"/>
          <w:color w:val="000000" w:themeColor="text1"/>
          <w:kern w:val="0"/>
          <w:sz w:val="28"/>
          <w:szCs w:val="28"/>
          <w14:ligatures w14:val="none"/>
        </w:rPr>
        <w:t xml:space="preserve"> 0.05) </w:t>
      </w:r>
      <w:r w:rsidRPr="004866BF">
        <w:rPr>
          <w:rFonts w:ascii="Simplified Arabic" w:eastAsia="Times New Roman" w:hAnsi="Simplified Arabic" w:cs="Simplified Arabic"/>
          <w:color w:val="000000" w:themeColor="text1"/>
          <w:kern w:val="0"/>
          <w:sz w:val="28"/>
          <w:szCs w:val="28"/>
          <w:rtl/>
          <w14:ligatures w14:val="none"/>
        </w:rPr>
        <w:t>للذكاء الاصطناعي الصحي على جودة الرعاية الصحية في المنشآت الصحية السعودية</w:t>
      </w:r>
      <w:r w:rsidRPr="004866BF">
        <w:rPr>
          <w:rFonts w:ascii="Simplified Arabic" w:eastAsia="Times New Roman" w:hAnsi="Simplified Arabic" w:cs="Simplified Arabic"/>
          <w:color w:val="000000" w:themeColor="text1"/>
          <w:kern w:val="0"/>
          <w:sz w:val="28"/>
          <w:szCs w:val="28"/>
          <w14:ligatures w14:val="none"/>
        </w:rPr>
        <w:t>.</w:t>
      </w:r>
    </w:p>
    <w:p w14:paraId="3AFE6A5C" w14:textId="77777777" w:rsidR="00FD52D9" w:rsidRPr="004866BF" w:rsidRDefault="00FD52D9" w:rsidP="00C02452">
      <w:pPr>
        <w:pStyle w:val="ListParagraph"/>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14:ligatures w14:val="none"/>
        </w:rPr>
        <w:t>H</w:t>
      </w:r>
      <w:r w:rsidRPr="004866BF">
        <w:rPr>
          <w:rFonts w:ascii="Times New Roman" w:eastAsia="Times New Roman" w:hAnsi="Times New Roman" w:cs="Times New Roman"/>
          <w:color w:val="000000" w:themeColor="text1"/>
          <w:kern w:val="0"/>
          <w:sz w:val="28"/>
          <w:szCs w:val="28"/>
          <w14:ligatures w14:val="none"/>
        </w:rPr>
        <w:t>₄</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Cambria" w:eastAsia="Times New Roman" w:hAnsi="Cambria" w:cs="Cambria"/>
          <w:color w:val="000000" w:themeColor="text1"/>
          <w:kern w:val="0"/>
          <w:sz w:val="28"/>
          <w:szCs w:val="28"/>
          <w14:ligatures w14:val="none"/>
        </w:rPr>
        <w:t>α</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Times New Roman" w:eastAsia="Times New Roman" w:hAnsi="Times New Roman" w:cs="Times New Roman"/>
          <w:color w:val="000000" w:themeColor="text1"/>
          <w:kern w:val="0"/>
          <w:sz w:val="28"/>
          <w:szCs w:val="28"/>
          <w14:ligatures w14:val="none"/>
        </w:rPr>
        <w:t>≤</w:t>
      </w:r>
      <w:r w:rsidRPr="004866BF">
        <w:rPr>
          <w:rFonts w:ascii="Simplified Arabic" w:eastAsia="Times New Roman" w:hAnsi="Simplified Arabic" w:cs="Simplified Arabic"/>
          <w:color w:val="000000" w:themeColor="text1"/>
          <w:kern w:val="0"/>
          <w:sz w:val="28"/>
          <w:szCs w:val="28"/>
          <w14:ligatures w14:val="none"/>
        </w:rPr>
        <w:t xml:space="preserve"> 0.05) </w:t>
      </w:r>
      <w:r w:rsidRPr="004866BF">
        <w:rPr>
          <w:rFonts w:ascii="Simplified Arabic" w:eastAsia="Times New Roman" w:hAnsi="Simplified Arabic" w:cs="Simplified Arabic"/>
          <w:color w:val="000000" w:themeColor="text1"/>
          <w:kern w:val="0"/>
          <w:sz w:val="28"/>
          <w:szCs w:val="28"/>
          <w:rtl/>
          <w14:ligatures w14:val="none"/>
        </w:rPr>
        <w:t>للبنية التحتية الرقمية الصحية على جودة الرعاية الصحية في المنشآت الصحية السعودية</w:t>
      </w:r>
      <w:r w:rsidRPr="004866BF">
        <w:rPr>
          <w:rFonts w:ascii="Simplified Arabic" w:eastAsia="Times New Roman" w:hAnsi="Simplified Arabic" w:cs="Simplified Arabic"/>
          <w:color w:val="000000" w:themeColor="text1"/>
          <w:kern w:val="0"/>
          <w:sz w:val="28"/>
          <w:szCs w:val="28"/>
          <w14:ligatures w14:val="none"/>
        </w:rPr>
        <w:t>.</w:t>
      </w:r>
    </w:p>
    <w:p w14:paraId="31606622" w14:textId="77777777" w:rsidR="00C02452" w:rsidRPr="004866BF" w:rsidRDefault="00C02452" w:rsidP="00C0245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424309"/>
      <w:bookmarkStart w:id="13" w:name="_Toc170243312"/>
      <w:bookmarkEnd w:id="5"/>
      <w:r w:rsidRPr="004866BF">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074D729C" w14:textId="5A3AFB65" w:rsidR="00C02452" w:rsidRPr="004866BF" w:rsidRDefault="00C02452" w:rsidP="00C0245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866BF">
        <w:rPr>
          <w:rFonts w:ascii="Simplified Arabic" w:eastAsia="Times New Roman" w:hAnsi="Simplified Arabic" w:cs="Simplified Arabic"/>
          <w:b/>
          <w:bCs/>
          <w:color w:val="000000" w:themeColor="text1"/>
          <w:kern w:val="0"/>
          <w:sz w:val="32"/>
          <w:szCs w:val="32"/>
          <w:rtl/>
          <w14:ligatures w14:val="none"/>
        </w:rPr>
        <w:lastRenderedPageBreak/>
        <w:t>المحور الأول: دراسات المتغير المستقل (التحول الرقمي) وعلاقته بمتغيرات أخرى</w:t>
      </w:r>
    </w:p>
    <w:p w14:paraId="3746A18B" w14:textId="77777777" w:rsidR="00C02452" w:rsidRPr="004866BF" w:rsidRDefault="00C02452" w:rsidP="00387DE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t>دراسة (الجبور والزيديين، 2022)</w:t>
      </w:r>
      <w:r w:rsidRPr="004866BF">
        <w:rPr>
          <w:rFonts w:ascii="Simplified Arabic" w:eastAsia="Times New Roman" w:hAnsi="Simplified Arabic" w:cs="Simplified Arabic"/>
          <w:b/>
          <w:bCs/>
          <w:color w:val="000000" w:themeColor="text1"/>
          <w:kern w:val="0"/>
          <w:sz w:val="28"/>
          <w:szCs w:val="28"/>
          <w14:ligatures w14:val="none"/>
        </w:rPr>
        <w:t xml:space="preserve">: </w:t>
      </w:r>
      <w:r w:rsidRPr="004866BF">
        <w:rPr>
          <w:rFonts w:ascii="Simplified Arabic" w:eastAsia="Times New Roman" w:hAnsi="Simplified Arabic" w:cs="Simplified Arabic"/>
          <w:b/>
          <w:bCs/>
          <w:color w:val="000000" w:themeColor="text1"/>
          <w:kern w:val="0"/>
          <w:sz w:val="28"/>
          <w:szCs w:val="28"/>
          <w:rtl/>
          <w14:ligatures w14:val="none"/>
        </w:rPr>
        <w:t>أثر التحول الرقمي في تطوير الأداء المؤسسي: دراسة حالة أمانة عمان الكبرى / الأردن</w:t>
      </w:r>
      <w:r w:rsidRPr="004866BF">
        <w:rPr>
          <w:rFonts w:ascii="Simplified Arabic" w:eastAsia="Times New Roman" w:hAnsi="Simplified Arabic" w:cs="Simplified Arabic"/>
          <w:b/>
          <w:bCs/>
          <w:color w:val="000000" w:themeColor="text1"/>
          <w:kern w:val="0"/>
          <w:sz w:val="28"/>
          <w:szCs w:val="28"/>
          <w14:ligatures w14:val="none"/>
        </w:rPr>
        <w:t>.</w:t>
      </w:r>
    </w:p>
    <w:p w14:paraId="2BB01921" w14:textId="77777777" w:rsidR="00C02452" w:rsidRPr="004866BF" w:rsidRDefault="00C02452"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التحول الرقمي بأبعاده (الأتمتة، والحوسبة السحابية، والبيانات الضخمة، وإنترنت الأشياء) على تطوير الأداء المؤسسي في أمانة عمان الكبرى بالمملكة الأردنية الهاشمية. واستخدمت الدراسة منهج دراسة الحالة إلى جانب المنهج الوصفي التحليلي، معتمدةً على الاستبانة كأداة لجمع البيانات، وتكونت العينة من </w:t>
      </w:r>
      <w:r w:rsidRPr="004866BF">
        <w:rPr>
          <w:rFonts w:ascii="Simplified Arabic" w:eastAsia="Times New Roman" w:hAnsi="Simplified Arabic" w:cs="Simplified Arabic"/>
          <w:color w:val="000000" w:themeColor="text1"/>
          <w:kern w:val="0"/>
          <w:sz w:val="28"/>
          <w:szCs w:val="28"/>
          <w14:ligatures w14:val="none"/>
        </w:rPr>
        <w:t xml:space="preserve">(200) </w:t>
      </w:r>
      <w:r w:rsidRPr="004866BF">
        <w:rPr>
          <w:rFonts w:ascii="Simplified Arabic" w:eastAsia="Times New Roman" w:hAnsi="Simplified Arabic" w:cs="Simplified Arabic"/>
          <w:color w:val="000000" w:themeColor="text1"/>
          <w:kern w:val="0"/>
          <w:sz w:val="28"/>
          <w:szCs w:val="28"/>
          <w:rtl/>
          <w14:ligatures w14:val="none"/>
        </w:rPr>
        <w:t>مفردة من العاملين في المستويات الإدارية المختلفة بأمانة عمان الكبرى. وتوصلت نتائج الدراسة إلى وجود أثر إيجابي ذي دلالة إحصائية عند مستوى</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Cambria" w:eastAsia="Times New Roman" w:hAnsi="Cambria" w:cs="Cambria"/>
          <w:color w:val="000000" w:themeColor="text1"/>
          <w:kern w:val="0"/>
          <w:sz w:val="28"/>
          <w:szCs w:val="28"/>
          <w14:ligatures w14:val="none"/>
        </w:rPr>
        <w:t>α≤</w:t>
      </w:r>
      <w:r w:rsidRPr="004866BF">
        <w:rPr>
          <w:rFonts w:ascii="Simplified Arabic" w:eastAsia="Times New Roman" w:hAnsi="Simplified Arabic" w:cs="Simplified Arabic"/>
          <w:color w:val="000000" w:themeColor="text1"/>
          <w:kern w:val="0"/>
          <w:sz w:val="28"/>
          <w:szCs w:val="28"/>
          <w14:ligatures w14:val="none"/>
        </w:rPr>
        <w:t xml:space="preserve">0.05) </w:t>
      </w:r>
      <w:r w:rsidRPr="004866BF">
        <w:rPr>
          <w:rFonts w:ascii="Simplified Arabic" w:eastAsia="Times New Roman" w:hAnsi="Simplified Arabic" w:cs="Simplified Arabic"/>
          <w:color w:val="000000" w:themeColor="text1"/>
          <w:kern w:val="0"/>
          <w:sz w:val="28"/>
          <w:szCs w:val="28"/>
          <w:rtl/>
          <w14:ligatures w14:val="none"/>
        </w:rPr>
        <w:t>للتحول الرقمي بجميع أبعاده في تطوير الأداء المؤسسي، وأن مستوى تطبيق التحول الرقمي في أمانة عمان الكبرى جاء بدرجة متوسطة، كما أن بُعد الحوسبة السحابية حقق أعلى مستوى تأثير على الأداء المؤسسي مقارنة بالأبعاد الأخرى. وأوصت الدراسة بضرورة تعزيز الاستثمار في البنية التحتية الرقمية لأمانة عمان، وتوفير برامج تدريبية متخصصة للعاملين على استخدام التقنيات الرقمية الحديثة، والعمل على تطوير الإطار التنظيمي والتشريعي الداعم للتحول الرقمي، والاستفادة من تجارب المؤسسات الرائدة في مجال الأتمتة والحوسبة السحابية</w:t>
      </w:r>
      <w:r w:rsidRPr="004866BF">
        <w:rPr>
          <w:rFonts w:ascii="Simplified Arabic" w:eastAsia="Times New Roman" w:hAnsi="Simplified Arabic" w:cs="Simplified Arabic"/>
          <w:color w:val="000000" w:themeColor="text1"/>
          <w:kern w:val="0"/>
          <w:sz w:val="28"/>
          <w:szCs w:val="28"/>
          <w14:ligatures w14:val="none"/>
        </w:rPr>
        <w:t>.</w:t>
      </w:r>
    </w:p>
    <w:p w14:paraId="1DC0D358" w14:textId="77777777" w:rsidR="00C02452" w:rsidRPr="004866BF" w:rsidRDefault="00C02452" w:rsidP="00387DE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t>دراسة (الجهني، 2023)</w:t>
      </w:r>
      <w:r w:rsidRPr="004866BF">
        <w:rPr>
          <w:rFonts w:ascii="Simplified Arabic" w:eastAsia="Times New Roman" w:hAnsi="Simplified Arabic" w:cs="Simplified Arabic"/>
          <w:b/>
          <w:bCs/>
          <w:color w:val="000000" w:themeColor="text1"/>
          <w:kern w:val="0"/>
          <w:sz w:val="28"/>
          <w:szCs w:val="28"/>
          <w14:ligatures w14:val="none"/>
        </w:rPr>
        <w:t xml:space="preserve">: </w:t>
      </w:r>
      <w:r w:rsidRPr="004866BF">
        <w:rPr>
          <w:rFonts w:ascii="Simplified Arabic" w:eastAsia="Times New Roman" w:hAnsi="Simplified Arabic" w:cs="Simplified Arabic"/>
          <w:b/>
          <w:bCs/>
          <w:color w:val="000000" w:themeColor="text1"/>
          <w:kern w:val="0"/>
          <w:sz w:val="28"/>
          <w:szCs w:val="28"/>
          <w:rtl/>
          <w14:ligatures w14:val="none"/>
        </w:rPr>
        <w:t>تقييم الأداء الوظيفي وأثره على جودة الرعاية الصحية: دراسة ميدانية على مستشفى الملك خالد بمدينة تبوك</w:t>
      </w:r>
      <w:r w:rsidRPr="004866BF">
        <w:rPr>
          <w:rFonts w:ascii="Simplified Arabic" w:eastAsia="Times New Roman" w:hAnsi="Simplified Arabic" w:cs="Simplified Arabic"/>
          <w:b/>
          <w:bCs/>
          <w:color w:val="000000" w:themeColor="text1"/>
          <w:kern w:val="0"/>
          <w:sz w:val="28"/>
          <w:szCs w:val="28"/>
          <w14:ligatures w14:val="none"/>
        </w:rPr>
        <w:t>.</w:t>
      </w:r>
    </w:p>
    <w:p w14:paraId="5DF2662C" w14:textId="70EB2301" w:rsidR="00C02452" w:rsidRPr="004866BF" w:rsidRDefault="00C02452"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تقييم الأداء الوظيفي على جودة الرعاية الصحية بأبعادها (الاستجابة، والاعتمادية، والضمان والملموسية، والتعاطف) في القطاع الصحي بالمستشفيات الحكومية بمدينة تبوك في المملكة العربية السعودية. واستخدمت الدراسة المنهج الوصفي التحليلي معتمدةً على قائمة استقصاء كأداة لجمع البيانات، وتكونت العينة من </w:t>
      </w:r>
      <w:r w:rsidRPr="004866BF">
        <w:rPr>
          <w:rFonts w:ascii="Simplified Arabic" w:eastAsia="Times New Roman" w:hAnsi="Simplified Arabic" w:cs="Simplified Arabic"/>
          <w:color w:val="000000" w:themeColor="text1"/>
          <w:kern w:val="0"/>
          <w:sz w:val="28"/>
          <w:szCs w:val="28"/>
          <w14:ligatures w14:val="none"/>
        </w:rPr>
        <w:t xml:space="preserve">(301) </w:t>
      </w:r>
      <w:r w:rsidRPr="004866BF">
        <w:rPr>
          <w:rFonts w:ascii="Simplified Arabic" w:eastAsia="Times New Roman" w:hAnsi="Simplified Arabic" w:cs="Simplified Arabic"/>
          <w:color w:val="000000" w:themeColor="text1"/>
          <w:kern w:val="0"/>
          <w:sz w:val="28"/>
          <w:szCs w:val="28"/>
          <w:rtl/>
          <w14:ligatures w14:val="none"/>
        </w:rPr>
        <w:t>مفردة من الممارسين الصحيين والإداريين بمستشفى الملك خالد بتبوك تم اختيارهم بطريقة العينة العشوائية. وتوصلت نتائج الدراسة إلى وجود تأثير طردي ذي دلالة إحصائية لمستوى تقييم الأداء الوظيفي على مستوى جودة الرعاية الصحية، حيث تبيّن أنه كلما ازداد مستوى تقييم الأداء الوظيفي بمقدار</w:t>
      </w:r>
      <w:r w:rsidRPr="004866BF">
        <w:rPr>
          <w:rFonts w:ascii="Simplified Arabic" w:eastAsia="Times New Roman" w:hAnsi="Simplified Arabic" w:cs="Simplified Arabic"/>
          <w:color w:val="000000" w:themeColor="text1"/>
          <w:kern w:val="0"/>
          <w:sz w:val="28"/>
          <w:szCs w:val="28"/>
          <w14:ligatures w14:val="none"/>
        </w:rPr>
        <w:t xml:space="preserve"> (1%) </w:t>
      </w:r>
      <w:r w:rsidRPr="004866BF">
        <w:rPr>
          <w:rFonts w:ascii="Simplified Arabic" w:eastAsia="Times New Roman" w:hAnsi="Simplified Arabic" w:cs="Simplified Arabic"/>
          <w:color w:val="000000" w:themeColor="text1"/>
          <w:kern w:val="0"/>
          <w:sz w:val="28"/>
          <w:szCs w:val="28"/>
          <w:rtl/>
          <w14:ligatures w14:val="none"/>
        </w:rPr>
        <w:t>ازداد مستوى جودة الرعاية الصحية بمستشفى الملك خالد بمقدار (1.516%)، مما يؤكد الأثر الإيجابي القوي للتقييم الوظيفي على جودة الخدمات الصحية</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lastRenderedPageBreak/>
        <w:t>وأوصت الدراسة بضرورة إجراء مزيد من الأبحاث المستقبلية التي تهتم بجودة الرعاية الصحية والعوامل المؤثرة عليها، والعمل على رفع مستويات جودة الخدمات الصحية في ظل برنامج الخصخصة، وتطوير أنظمة تقييم الأداء الوظيفي بما يتلاءم مع متطلبات الجودة الشاملة</w:t>
      </w:r>
      <w:r w:rsidRPr="004866BF">
        <w:rPr>
          <w:rFonts w:ascii="Simplified Arabic" w:eastAsia="Times New Roman" w:hAnsi="Simplified Arabic" w:cs="Simplified Arabic"/>
          <w:color w:val="000000" w:themeColor="text1"/>
          <w:kern w:val="0"/>
          <w:sz w:val="28"/>
          <w:szCs w:val="28"/>
          <w14:ligatures w14:val="none"/>
        </w:rPr>
        <w:t>.</w:t>
      </w:r>
    </w:p>
    <w:p w14:paraId="487A2258" w14:textId="77777777" w:rsidR="00FD52D9" w:rsidRPr="004866BF" w:rsidRDefault="00FD52D9" w:rsidP="00387DE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t>دراسة (</w:t>
      </w:r>
      <w:proofErr w:type="spellStart"/>
      <w:r w:rsidRPr="004866BF">
        <w:rPr>
          <w:rFonts w:ascii="Simplified Arabic" w:eastAsia="Times New Roman" w:hAnsi="Simplified Arabic" w:cs="Simplified Arabic"/>
          <w:b/>
          <w:bCs/>
          <w:color w:val="000000" w:themeColor="text1"/>
          <w:kern w:val="0"/>
          <w:sz w:val="28"/>
          <w:szCs w:val="28"/>
          <w:rtl/>
          <w14:ligatures w14:val="none"/>
        </w:rPr>
        <w:t>القطاونة</w:t>
      </w:r>
      <w:proofErr w:type="spellEnd"/>
      <w:r w:rsidRPr="004866BF">
        <w:rPr>
          <w:rFonts w:ascii="Simplified Arabic" w:eastAsia="Times New Roman" w:hAnsi="Simplified Arabic" w:cs="Simplified Arabic"/>
          <w:b/>
          <w:bCs/>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b/>
          <w:bCs/>
          <w:color w:val="000000" w:themeColor="text1"/>
          <w:kern w:val="0"/>
          <w:sz w:val="28"/>
          <w:szCs w:val="28"/>
          <w:rtl/>
          <w14:ligatures w14:val="none"/>
        </w:rPr>
        <w:t>والربابعة</w:t>
      </w:r>
      <w:proofErr w:type="spellEnd"/>
      <w:r w:rsidRPr="004866BF">
        <w:rPr>
          <w:rFonts w:ascii="Simplified Arabic" w:eastAsia="Times New Roman" w:hAnsi="Simplified Arabic" w:cs="Simplified Arabic"/>
          <w:b/>
          <w:bCs/>
          <w:color w:val="000000" w:themeColor="text1"/>
          <w:kern w:val="0"/>
          <w:sz w:val="28"/>
          <w:szCs w:val="28"/>
          <w:rtl/>
          <w14:ligatures w14:val="none"/>
        </w:rPr>
        <w:t>، 2023)</w:t>
      </w:r>
      <w:r w:rsidRPr="004866BF">
        <w:rPr>
          <w:rFonts w:ascii="Simplified Arabic" w:eastAsia="Times New Roman" w:hAnsi="Simplified Arabic" w:cs="Simplified Arabic"/>
          <w:b/>
          <w:bCs/>
          <w:color w:val="000000" w:themeColor="text1"/>
          <w:kern w:val="0"/>
          <w:sz w:val="28"/>
          <w:szCs w:val="28"/>
          <w14:ligatures w14:val="none"/>
        </w:rPr>
        <w:t xml:space="preserve">: </w:t>
      </w:r>
      <w:r w:rsidRPr="004866BF">
        <w:rPr>
          <w:rFonts w:ascii="Simplified Arabic" w:eastAsia="Times New Roman" w:hAnsi="Simplified Arabic" w:cs="Simplified Arabic"/>
          <w:b/>
          <w:bCs/>
          <w:color w:val="000000" w:themeColor="text1"/>
          <w:kern w:val="0"/>
          <w:sz w:val="28"/>
          <w:szCs w:val="28"/>
          <w:rtl/>
          <w14:ligatures w14:val="none"/>
        </w:rPr>
        <w:t>أثر استراتيجية التحول الرقمي على جودة الخدمات: المقارنة المرجعية متغيرًا وسيطًا: دراسة تطبيقية في مديرية الأمن العام في المملكة الأردنية الهاشمية</w:t>
      </w:r>
      <w:r w:rsidRPr="004866BF">
        <w:rPr>
          <w:rFonts w:ascii="Simplified Arabic" w:eastAsia="Times New Roman" w:hAnsi="Simplified Arabic" w:cs="Simplified Arabic"/>
          <w:b/>
          <w:bCs/>
          <w:color w:val="000000" w:themeColor="text1"/>
          <w:kern w:val="0"/>
          <w:sz w:val="28"/>
          <w:szCs w:val="28"/>
          <w14:ligatures w14:val="none"/>
        </w:rPr>
        <w:t>.</w:t>
      </w:r>
    </w:p>
    <w:p w14:paraId="10846E4D"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استراتيجية التحول الرقمي بأبعاده (البنية التحتية الرقمية، والعمليات الرقمية، والثقافة الرقمية، والقيادة الرقمية) على جودة الخدمات في مديرية الأمن العام الأردنية، مع اختبار الدور الوسيط للمقارنة المرجعية في تعزيز هذه العلاقة. واستخدمت الدراسة المنهج الوصفي التحليلي معتمدةً على الاستبانة كأداة رئيسية لجمع البيانات، وتكونت العينة من (350) مفردة من العاملين في المستويات الإدارية المختلفة بمديرية الأمن العام في المملكة الأردنية الهاشمية. وتوصلت نتائج الدراسة إلى وجود أثر ذي دلالة إحصائية عند مستوى </w:t>
      </w:r>
      <w:r w:rsidRPr="004866BF">
        <w:rPr>
          <w:rFonts w:ascii="Simplified Arabic" w:eastAsia="Times New Roman" w:hAnsi="Simplified Arabic" w:cs="Simplified Arabic"/>
          <w:color w:val="000000" w:themeColor="text1"/>
          <w:kern w:val="0"/>
          <w:sz w:val="28"/>
          <w:szCs w:val="28"/>
          <w14:ligatures w14:val="none"/>
        </w:rPr>
        <w:t>(</w:t>
      </w:r>
      <w:r w:rsidRPr="004866BF">
        <w:rPr>
          <w:rFonts w:ascii="Cambria" w:eastAsia="Times New Roman" w:hAnsi="Cambria" w:cs="Cambria"/>
          <w:color w:val="000000" w:themeColor="text1"/>
          <w:kern w:val="0"/>
          <w:sz w:val="28"/>
          <w:szCs w:val="28"/>
          <w14:ligatures w14:val="none"/>
        </w:rPr>
        <w:t>α≤</w:t>
      </w:r>
      <w:r w:rsidRPr="004866BF">
        <w:rPr>
          <w:rFonts w:ascii="Simplified Arabic" w:eastAsia="Times New Roman" w:hAnsi="Simplified Arabic" w:cs="Simplified Arabic"/>
          <w:color w:val="000000" w:themeColor="text1"/>
          <w:kern w:val="0"/>
          <w:sz w:val="28"/>
          <w:szCs w:val="28"/>
          <w14:ligatures w14:val="none"/>
        </w:rPr>
        <w:t xml:space="preserve">0.05) </w:t>
      </w:r>
      <w:r w:rsidRPr="004866BF">
        <w:rPr>
          <w:rFonts w:ascii="Simplified Arabic" w:eastAsia="Times New Roman" w:hAnsi="Simplified Arabic" w:cs="Simplified Arabic"/>
          <w:color w:val="000000" w:themeColor="text1"/>
          <w:kern w:val="0"/>
          <w:sz w:val="28"/>
          <w:szCs w:val="28"/>
          <w:rtl/>
          <w14:ligatures w14:val="none"/>
        </w:rPr>
        <w:t>لاستراتيجية التحول الرقمي بجميع أبعاده على جودة الخدمات المقدمة، كما تبيّن أن المقارنة المرجعية تلعب دورًا وسيطًا جزئيًا في تعزيز العلاقة بين التحول الرقمي وجودة الخدمات، وأن البنية التحتية الرقمية والقيادة الرقمية تُعدّان من أكثر الأبعاد تأثيرًا. وأوصت الدراسة بضرورة تعزيز البنية التحتية الرقمية في المؤسسات الأمنية، وتبنّي استراتيجيات رقمية شاملة تُسهم في الارتقاء بجودة الخدمات المقدمة للمواطنين، فضلًا عن تطبيق آليات المقارنة المرجعية مع أفضل الممارسات الدولية، وتدريب القيادات الإدارية على إدارة مشاريع التحول الرقمي</w:t>
      </w:r>
      <w:r w:rsidRPr="004866BF">
        <w:rPr>
          <w:rFonts w:ascii="Simplified Arabic" w:eastAsia="Times New Roman" w:hAnsi="Simplified Arabic" w:cs="Simplified Arabic"/>
          <w:color w:val="000000" w:themeColor="text1"/>
          <w:kern w:val="0"/>
          <w:sz w:val="28"/>
          <w:szCs w:val="28"/>
          <w14:ligatures w14:val="none"/>
        </w:rPr>
        <w:t>.</w:t>
      </w:r>
    </w:p>
    <w:p w14:paraId="5C15C307" w14:textId="77777777" w:rsidR="00FD52D9" w:rsidRPr="004866BF" w:rsidRDefault="00FD52D9" w:rsidP="00387DE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t xml:space="preserve">دراسة (العمريين </w:t>
      </w:r>
      <w:proofErr w:type="spellStart"/>
      <w:r w:rsidRPr="004866BF">
        <w:rPr>
          <w:rFonts w:ascii="Simplified Arabic" w:eastAsia="Times New Roman" w:hAnsi="Simplified Arabic" w:cs="Simplified Arabic"/>
          <w:b/>
          <w:bCs/>
          <w:color w:val="000000" w:themeColor="text1"/>
          <w:kern w:val="0"/>
          <w:sz w:val="28"/>
          <w:szCs w:val="28"/>
          <w:rtl/>
          <w14:ligatures w14:val="none"/>
        </w:rPr>
        <w:t>والربابعة</w:t>
      </w:r>
      <w:proofErr w:type="spellEnd"/>
      <w:r w:rsidRPr="004866BF">
        <w:rPr>
          <w:rFonts w:ascii="Simplified Arabic" w:eastAsia="Times New Roman" w:hAnsi="Simplified Arabic" w:cs="Simplified Arabic"/>
          <w:b/>
          <w:bCs/>
          <w:color w:val="000000" w:themeColor="text1"/>
          <w:kern w:val="0"/>
          <w:sz w:val="28"/>
          <w:szCs w:val="28"/>
          <w:rtl/>
          <w14:ligatures w14:val="none"/>
        </w:rPr>
        <w:t>، 2023)</w:t>
      </w:r>
      <w:r w:rsidRPr="004866BF">
        <w:rPr>
          <w:rFonts w:ascii="Simplified Arabic" w:eastAsia="Times New Roman" w:hAnsi="Simplified Arabic" w:cs="Simplified Arabic"/>
          <w:b/>
          <w:bCs/>
          <w:color w:val="000000" w:themeColor="text1"/>
          <w:kern w:val="0"/>
          <w:sz w:val="28"/>
          <w:szCs w:val="28"/>
          <w14:ligatures w14:val="none"/>
        </w:rPr>
        <w:t xml:space="preserve">: </w:t>
      </w:r>
      <w:r w:rsidRPr="004866BF">
        <w:rPr>
          <w:rFonts w:ascii="Simplified Arabic" w:eastAsia="Times New Roman" w:hAnsi="Simplified Arabic" w:cs="Simplified Arabic"/>
          <w:b/>
          <w:bCs/>
          <w:color w:val="000000" w:themeColor="text1"/>
          <w:kern w:val="0"/>
          <w:sz w:val="28"/>
          <w:szCs w:val="28"/>
          <w:rtl/>
          <w14:ligatures w14:val="none"/>
        </w:rPr>
        <w:t>أثر التحول الرقمي على الأداء العالي للمنظمات: التكيف الاستراتيجي متغيرًا وسيطًا: دراسة تطبيقية في المؤسسة العامة للضمان الاجتماعي الأردني</w:t>
      </w:r>
      <w:r w:rsidRPr="004866BF">
        <w:rPr>
          <w:rFonts w:ascii="Simplified Arabic" w:eastAsia="Times New Roman" w:hAnsi="Simplified Arabic" w:cs="Simplified Arabic"/>
          <w:b/>
          <w:bCs/>
          <w:color w:val="000000" w:themeColor="text1"/>
          <w:kern w:val="0"/>
          <w:sz w:val="28"/>
          <w:szCs w:val="28"/>
          <w14:ligatures w14:val="none"/>
        </w:rPr>
        <w:t>.</w:t>
      </w:r>
    </w:p>
    <w:p w14:paraId="49E7DB5A"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(التقنيات الرقمية، والبيانات الرقمية، والموارد البشرية الرقمية، والعمليات الرقمية) على الأداء العالي للمنظمات في المؤسسة العامة للضمان الاجتماعي الأردني، مع اختبار الدور الوسيط للتكيف الاستراتيجي</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معتمدةً على الاستبانة كأداة رئيسية لجمع البيانات، وتكونت العينة من (370) مفردة من العاملين في المستويات الإشرافية والإدارية بالمؤسسة العامة للضمان الاجتماعي الأردني</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t>وتوصلت نتائج الدراسة إلى وجود أثر ذي دلالة إحصائية عند مستوى</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Cambria" w:eastAsia="Times New Roman" w:hAnsi="Cambria" w:cs="Cambria"/>
          <w:color w:val="000000" w:themeColor="text1"/>
          <w:kern w:val="0"/>
          <w:sz w:val="28"/>
          <w:szCs w:val="28"/>
          <w14:ligatures w14:val="none"/>
        </w:rPr>
        <w:t>α≤</w:t>
      </w:r>
      <w:r w:rsidRPr="004866BF">
        <w:rPr>
          <w:rFonts w:ascii="Simplified Arabic" w:eastAsia="Times New Roman" w:hAnsi="Simplified Arabic" w:cs="Simplified Arabic"/>
          <w:color w:val="000000" w:themeColor="text1"/>
          <w:kern w:val="0"/>
          <w:sz w:val="28"/>
          <w:szCs w:val="28"/>
          <w14:ligatures w14:val="none"/>
        </w:rPr>
        <w:t xml:space="preserve">0.05) </w:t>
      </w:r>
      <w:r w:rsidRPr="004866BF">
        <w:rPr>
          <w:rFonts w:ascii="Simplified Arabic" w:eastAsia="Times New Roman" w:hAnsi="Simplified Arabic" w:cs="Simplified Arabic"/>
          <w:color w:val="000000" w:themeColor="text1"/>
          <w:kern w:val="0"/>
          <w:sz w:val="28"/>
          <w:szCs w:val="28"/>
          <w:rtl/>
          <w14:ligatures w14:val="none"/>
        </w:rPr>
        <w:t xml:space="preserve">للتحول الرقمي بجميع أبعاده على الأداء العالي للمنظمات، </w:t>
      </w:r>
      <w:r w:rsidRPr="004866BF">
        <w:rPr>
          <w:rFonts w:ascii="Simplified Arabic" w:eastAsia="Times New Roman" w:hAnsi="Simplified Arabic" w:cs="Simplified Arabic"/>
          <w:color w:val="000000" w:themeColor="text1"/>
          <w:kern w:val="0"/>
          <w:sz w:val="28"/>
          <w:szCs w:val="28"/>
          <w:rtl/>
          <w14:ligatures w14:val="none"/>
        </w:rPr>
        <w:lastRenderedPageBreak/>
        <w:t>كما أظهرت النتائج وجود دور وسيط ذي دلالة إحصائية للتكيف الاستراتيجي في العلاقة بين التحول الرقمي والأداء العالي، وأن بُعد التقنيات الرقمية جاء في المرتبة الأولى من حيث التأثير. وأوصت الدراسة بضرورة تبنّي المؤسسات لاستراتيجيات التحول الرقمي الشاملة، والاستثمار في تطوير القدرات الرقمية للعاملين، وتعزيز مرونة التكيف الاستراتيجي لمواكبة التغيرات التكنولوجية المتسارعة، والاهتمام بتحديث البنية التحتية التقنية بشكل مستمر</w:t>
      </w:r>
      <w:r w:rsidRPr="004866BF">
        <w:rPr>
          <w:rFonts w:ascii="Simplified Arabic" w:eastAsia="Times New Roman" w:hAnsi="Simplified Arabic" w:cs="Simplified Arabic"/>
          <w:color w:val="000000" w:themeColor="text1"/>
          <w:kern w:val="0"/>
          <w:sz w:val="28"/>
          <w:szCs w:val="28"/>
          <w14:ligatures w14:val="none"/>
        </w:rPr>
        <w:t>.</w:t>
      </w:r>
    </w:p>
    <w:p w14:paraId="18E225B0" w14:textId="40A9B95B" w:rsidR="00FD52D9" w:rsidRPr="004866BF" w:rsidRDefault="00FD52D9" w:rsidP="00387DE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t>دراسة</w:t>
      </w:r>
      <w:r w:rsidRPr="004866B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866BF">
        <w:rPr>
          <w:rFonts w:ascii="Simplified Arabic" w:eastAsia="Times New Roman" w:hAnsi="Simplified Arabic" w:cs="Simplified Arabic"/>
          <w:b/>
          <w:bCs/>
          <w:color w:val="000000" w:themeColor="text1"/>
          <w:kern w:val="0"/>
          <w:sz w:val="28"/>
          <w:szCs w:val="28"/>
          <w14:ligatures w14:val="none"/>
        </w:rPr>
        <w:t>Kwilinski</w:t>
      </w:r>
      <w:proofErr w:type="spellEnd"/>
      <w:r w:rsidRPr="004866BF">
        <w:rPr>
          <w:rFonts w:ascii="Simplified Arabic" w:eastAsia="Times New Roman" w:hAnsi="Simplified Arabic" w:cs="Simplified Arabic"/>
          <w:b/>
          <w:bCs/>
          <w:color w:val="000000" w:themeColor="text1"/>
          <w:kern w:val="0"/>
          <w:sz w:val="28"/>
          <w:szCs w:val="28"/>
          <w14:ligatures w14:val="none"/>
        </w:rPr>
        <w:t xml:space="preserve">, Lyulyov &amp; Pimonenko, 2023): Unlocking Sustainable Value through Digital Transformation: An Examination of ESG Performance </w:t>
      </w:r>
      <w:r w:rsidRPr="004866BF">
        <w:rPr>
          <w:rFonts w:ascii="Simplified Arabic" w:eastAsia="Times New Roman" w:hAnsi="Simplified Arabic" w:cs="Simplified Arabic"/>
          <w:b/>
          <w:bCs/>
          <w:color w:val="000000" w:themeColor="text1"/>
          <w:kern w:val="0"/>
          <w:sz w:val="28"/>
          <w:szCs w:val="28"/>
          <w:rtl/>
          <w14:ligatures w14:val="none"/>
        </w:rPr>
        <w:t>إطلاق القيمة المستدامة من خلال التحول الرقمي: دراسة أداء المعايير البيئية والاجتماعية والحوكمة</w:t>
      </w:r>
    </w:p>
    <w:p w14:paraId="36CC9E31"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هدفت الدراسة إلى التعرف على الأثر المكاني الامتدادي للتحول الرقمي بأبعاده (الشمول الرقمي، والممكنات الرئيسية، والخدمات العامة الرقمية للأعمال، والخدمات العامة الرقمية للمواطنين) على أداء المعايير البيئية والاجتماعية والحوكمة</w:t>
      </w:r>
      <w:r w:rsidRPr="004866BF">
        <w:rPr>
          <w:rFonts w:ascii="Simplified Arabic" w:eastAsia="Times New Roman" w:hAnsi="Simplified Arabic" w:cs="Simplified Arabic"/>
          <w:color w:val="000000" w:themeColor="text1"/>
          <w:kern w:val="0"/>
          <w:sz w:val="28"/>
          <w:szCs w:val="28"/>
          <w14:ligatures w14:val="none"/>
        </w:rPr>
        <w:t xml:space="preserve"> (ESG) </w:t>
      </w:r>
      <w:r w:rsidRPr="004866BF">
        <w:rPr>
          <w:rFonts w:ascii="Simplified Arabic" w:eastAsia="Times New Roman" w:hAnsi="Simplified Arabic" w:cs="Simplified Arabic"/>
          <w:color w:val="000000" w:themeColor="text1"/>
          <w:kern w:val="0"/>
          <w:sz w:val="28"/>
          <w:szCs w:val="28"/>
          <w:rtl/>
          <w14:ligatures w14:val="none"/>
        </w:rPr>
        <w:t>في دول الاتحاد الأوروبي. واستخدمت الدراسة المنهج الكمي التحليلي معتمدةً على نموذج دوربن المكاني</w:t>
      </w:r>
      <w:r w:rsidRPr="004866BF">
        <w:rPr>
          <w:rFonts w:ascii="Simplified Arabic" w:eastAsia="Times New Roman" w:hAnsi="Simplified Arabic" w:cs="Simplified Arabic"/>
          <w:color w:val="000000" w:themeColor="text1"/>
          <w:kern w:val="0"/>
          <w:sz w:val="28"/>
          <w:szCs w:val="28"/>
          <w14:ligatures w14:val="none"/>
        </w:rPr>
        <w:t xml:space="preserve"> (Spatial Durbin Model) </w:t>
      </w:r>
      <w:r w:rsidRPr="004866BF">
        <w:rPr>
          <w:rFonts w:ascii="Simplified Arabic" w:eastAsia="Times New Roman" w:hAnsi="Simplified Arabic" w:cs="Simplified Arabic"/>
          <w:color w:val="000000" w:themeColor="text1"/>
          <w:kern w:val="0"/>
          <w:sz w:val="28"/>
          <w:szCs w:val="28"/>
          <w:rtl/>
          <w14:ligatures w14:val="none"/>
        </w:rPr>
        <w:t xml:space="preserve">واختبار </w:t>
      </w:r>
      <w:proofErr w:type="spellStart"/>
      <w:r w:rsidRPr="004866BF">
        <w:rPr>
          <w:rFonts w:ascii="Simplified Arabic" w:eastAsia="Times New Roman" w:hAnsi="Simplified Arabic" w:cs="Simplified Arabic"/>
          <w:color w:val="000000" w:themeColor="text1"/>
          <w:kern w:val="0"/>
          <w:sz w:val="28"/>
          <w:szCs w:val="28"/>
          <w:rtl/>
          <w14:ligatures w14:val="none"/>
        </w:rPr>
        <w:t>موران</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للارتباط المكاني، وتكونت العينة من بيانات </w:t>
      </w:r>
      <w:proofErr w:type="spellStart"/>
      <w:r w:rsidRPr="004866BF">
        <w:rPr>
          <w:rFonts w:ascii="Simplified Arabic" w:eastAsia="Times New Roman" w:hAnsi="Simplified Arabic" w:cs="Simplified Arabic"/>
          <w:color w:val="000000" w:themeColor="text1"/>
          <w:kern w:val="0"/>
          <w:sz w:val="28"/>
          <w:szCs w:val="28"/>
          <w:rtl/>
          <w14:ligatures w14:val="none"/>
        </w:rPr>
        <w:t>بانل</w:t>
      </w:r>
      <w:proofErr w:type="spellEnd"/>
      <w:r w:rsidRPr="004866BF">
        <w:rPr>
          <w:rFonts w:ascii="Simplified Arabic" w:eastAsia="Times New Roman" w:hAnsi="Simplified Arabic" w:cs="Simplified Arabic"/>
          <w:color w:val="000000" w:themeColor="text1"/>
          <w:kern w:val="0"/>
          <w:sz w:val="28"/>
          <w:szCs w:val="28"/>
          <w14:ligatures w14:val="none"/>
        </w:rPr>
        <w:t xml:space="preserve"> (Panel Data) </w:t>
      </w:r>
      <w:r w:rsidRPr="004866BF">
        <w:rPr>
          <w:rFonts w:ascii="Simplified Arabic" w:eastAsia="Times New Roman" w:hAnsi="Simplified Arabic" w:cs="Simplified Arabic"/>
          <w:color w:val="000000" w:themeColor="text1"/>
          <w:kern w:val="0"/>
          <w:sz w:val="28"/>
          <w:szCs w:val="28"/>
          <w:rtl/>
          <w14:ligatures w14:val="none"/>
        </w:rPr>
        <w:t>لـ (27) دولة من دول الاتحاد الأوروبي خلال الفترة من 2008 إلى 2020. وتوصلت نتائج الدراسة إلى أن التحول الرقمي يُسهم بشكل إيجابي ودال إحصائيًا في تحسين أداء</w:t>
      </w:r>
      <w:r w:rsidRPr="004866BF">
        <w:rPr>
          <w:rFonts w:ascii="Simplified Arabic" w:eastAsia="Times New Roman" w:hAnsi="Simplified Arabic" w:cs="Simplified Arabic"/>
          <w:color w:val="000000" w:themeColor="text1"/>
          <w:kern w:val="0"/>
          <w:sz w:val="28"/>
          <w:szCs w:val="28"/>
          <w14:ligatures w14:val="none"/>
        </w:rPr>
        <w:t xml:space="preserve"> ESG</w:t>
      </w:r>
      <w:r w:rsidRPr="004866BF">
        <w:rPr>
          <w:rFonts w:ascii="Simplified Arabic" w:eastAsia="Times New Roman" w:hAnsi="Simplified Arabic" w:cs="Simplified Arabic"/>
          <w:color w:val="000000" w:themeColor="text1"/>
          <w:kern w:val="0"/>
          <w:sz w:val="28"/>
          <w:szCs w:val="28"/>
          <w:rtl/>
          <w14:ligatures w14:val="none"/>
        </w:rPr>
        <w:t xml:space="preserve">، حيث قدّر النموذج الديناميكي أن زيادة بنسبة (1%) في الشمول الرقمي تؤدي إلى زيادة بنسبة </w:t>
      </w:r>
      <w:r w:rsidRPr="004866BF">
        <w:rPr>
          <w:rFonts w:ascii="Simplified Arabic" w:eastAsia="Times New Roman" w:hAnsi="Simplified Arabic" w:cs="Simplified Arabic"/>
          <w:color w:val="000000" w:themeColor="text1"/>
          <w:kern w:val="0"/>
          <w:sz w:val="28"/>
          <w:szCs w:val="28"/>
          <w14:ligatures w14:val="none"/>
        </w:rPr>
        <w:t xml:space="preserve">(0.001%) </w:t>
      </w:r>
      <w:r w:rsidRPr="004866BF">
        <w:rPr>
          <w:rFonts w:ascii="Simplified Arabic" w:eastAsia="Times New Roman" w:hAnsi="Simplified Arabic" w:cs="Simplified Arabic"/>
          <w:color w:val="000000" w:themeColor="text1"/>
          <w:kern w:val="0"/>
          <w:sz w:val="28"/>
          <w:szCs w:val="28"/>
          <w:rtl/>
          <w14:ligatures w14:val="none"/>
        </w:rPr>
        <w:t>في مؤشر</w:t>
      </w:r>
      <w:r w:rsidRPr="004866BF">
        <w:rPr>
          <w:rFonts w:ascii="Simplified Arabic" w:eastAsia="Times New Roman" w:hAnsi="Simplified Arabic" w:cs="Simplified Arabic"/>
          <w:color w:val="000000" w:themeColor="text1"/>
          <w:kern w:val="0"/>
          <w:sz w:val="28"/>
          <w:szCs w:val="28"/>
          <w14:ligatures w14:val="none"/>
        </w:rPr>
        <w:t xml:space="preserve"> ESG</w:t>
      </w:r>
      <w:r w:rsidRPr="004866BF">
        <w:rPr>
          <w:rFonts w:ascii="Simplified Arabic" w:eastAsia="Times New Roman" w:hAnsi="Simplified Arabic" w:cs="Simplified Arabic"/>
          <w:color w:val="000000" w:themeColor="text1"/>
          <w:kern w:val="0"/>
          <w:sz w:val="28"/>
          <w:szCs w:val="28"/>
          <w:rtl/>
          <w14:ligatures w14:val="none"/>
        </w:rPr>
        <w:t xml:space="preserve">، كما ثبت وجود أثر مكاني امتدادي إيجابي بمعنى أن ارتفاع </w:t>
      </w:r>
      <w:proofErr w:type="spellStart"/>
      <w:r w:rsidRPr="004866BF">
        <w:rPr>
          <w:rFonts w:ascii="Simplified Arabic" w:eastAsia="Times New Roman" w:hAnsi="Simplified Arabic" w:cs="Simplified Arabic"/>
          <w:color w:val="000000" w:themeColor="text1"/>
          <w:kern w:val="0"/>
          <w:sz w:val="28"/>
          <w:szCs w:val="28"/>
          <w:rtl/>
          <w14:ligatures w14:val="none"/>
        </w:rPr>
        <w:t>الرقمنة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في دولة ينعكس إيجابيًا على الدول المجاورة. وأوصت الدراسة بضرورة تعزيز جهود </w:t>
      </w:r>
      <w:proofErr w:type="spellStart"/>
      <w:r w:rsidRPr="004866BF">
        <w:rPr>
          <w:rFonts w:ascii="Simplified Arabic" w:eastAsia="Times New Roman" w:hAnsi="Simplified Arabic" w:cs="Simplified Arabic"/>
          <w:color w:val="000000" w:themeColor="text1"/>
          <w:kern w:val="0"/>
          <w:sz w:val="28"/>
          <w:szCs w:val="28"/>
          <w:rtl/>
          <w14:ligatures w14:val="none"/>
        </w:rPr>
        <w:t>الرقمنة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لتقليص الفجوة الرقمية بين الدول، والاستثمار في البنية التحتية الرقمية وبرامج الشمول الرقمي، وتبنّي استراتيجية ديناميكية وموجهة للتنمية الاقتصادية الرقمية لمعالجة الفوارق في الأداء البيئي والاجتماعي والحوكمة</w:t>
      </w:r>
      <w:r w:rsidRPr="004866BF">
        <w:rPr>
          <w:rFonts w:ascii="Simplified Arabic" w:eastAsia="Times New Roman" w:hAnsi="Simplified Arabic" w:cs="Simplified Arabic"/>
          <w:color w:val="000000" w:themeColor="text1"/>
          <w:kern w:val="0"/>
          <w:sz w:val="28"/>
          <w:szCs w:val="28"/>
          <w14:ligatures w14:val="none"/>
        </w:rPr>
        <w:t>.</w:t>
      </w:r>
    </w:p>
    <w:p w14:paraId="3988676C" w14:textId="75C0209A" w:rsidR="00FD52D9" w:rsidRPr="004866BF" w:rsidRDefault="00FD52D9" w:rsidP="00387DE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t>دراسة</w:t>
      </w:r>
      <w:r w:rsidRPr="004866B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866BF">
        <w:rPr>
          <w:rFonts w:ascii="Simplified Arabic" w:eastAsia="Times New Roman" w:hAnsi="Simplified Arabic" w:cs="Simplified Arabic"/>
          <w:b/>
          <w:bCs/>
          <w:color w:val="000000" w:themeColor="text1"/>
          <w:kern w:val="0"/>
          <w:sz w:val="28"/>
          <w:szCs w:val="28"/>
          <w14:ligatures w14:val="none"/>
        </w:rPr>
        <w:t>V</w:t>
      </w:r>
      <w:r w:rsidRPr="004866BF">
        <w:rPr>
          <w:rFonts w:ascii="Cambria" w:eastAsia="Times New Roman" w:hAnsi="Cambria" w:cs="Cambria"/>
          <w:b/>
          <w:bCs/>
          <w:color w:val="000000" w:themeColor="text1"/>
          <w:kern w:val="0"/>
          <w:sz w:val="28"/>
          <w:szCs w:val="28"/>
          <w14:ligatures w14:val="none"/>
        </w:rPr>
        <w:t>ă</w:t>
      </w:r>
      <w:r w:rsidRPr="004866BF">
        <w:rPr>
          <w:rFonts w:ascii="Simplified Arabic" w:eastAsia="Times New Roman" w:hAnsi="Simplified Arabic" w:cs="Simplified Arabic"/>
          <w:b/>
          <w:bCs/>
          <w:color w:val="000000" w:themeColor="text1"/>
          <w:kern w:val="0"/>
          <w:sz w:val="28"/>
          <w:szCs w:val="28"/>
          <w14:ligatures w14:val="none"/>
        </w:rPr>
        <w:t>rzaru</w:t>
      </w:r>
      <w:proofErr w:type="spellEnd"/>
      <w:r w:rsidRPr="004866BF">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4866BF">
        <w:rPr>
          <w:rFonts w:ascii="Simplified Arabic" w:eastAsia="Times New Roman" w:hAnsi="Simplified Arabic" w:cs="Simplified Arabic"/>
          <w:b/>
          <w:bCs/>
          <w:color w:val="000000" w:themeColor="text1"/>
          <w:kern w:val="0"/>
          <w:sz w:val="28"/>
          <w:szCs w:val="28"/>
          <w14:ligatures w14:val="none"/>
        </w:rPr>
        <w:t>Bocean</w:t>
      </w:r>
      <w:proofErr w:type="spellEnd"/>
      <w:r w:rsidRPr="004866BF">
        <w:rPr>
          <w:rFonts w:ascii="Simplified Arabic" w:eastAsia="Times New Roman" w:hAnsi="Simplified Arabic" w:cs="Simplified Arabic"/>
          <w:b/>
          <w:bCs/>
          <w:color w:val="000000" w:themeColor="text1"/>
          <w:kern w:val="0"/>
          <w:sz w:val="28"/>
          <w:szCs w:val="28"/>
          <w14:ligatures w14:val="none"/>
        </w:rPr>
        <w:t xml:space="preserve">, 2024): Digital Transformation and Innovation: The Influence of Digital Technologies on Turnover from Innovation Activities and Types of Innovation </w:t>
      </w:r>
      <w:r w:rsidRPr="004866BF">
        <w:rPr>
          <w:rFonts w:ascii="Simplified Arabic" w:eastAsia="Times New Roman" w:hAnsi="Simplified Arabic" w:cs="Simplified Arabic"/>
          <w:b/>
          <w:bCs/>
          <w:color w:val="000000" w:themeColor="text1"/>
          <w:kern w:val="0"/>
          <w:sz w:val="28"/>
          <w:szCs w:val="28"/>
          <w:rtl/>
          <w14:ligatures w14:val="none"/>
        </w:rPr>
        <w:t>التحول الرقمي والابتكار: تأثير التقنيات الرقمية على عوائد أنشطة الابتكار وأنواع الابتكار</w:t>
      </w:r>
      <w:r w:rsidRPr="004866BF">
        <w:rPr>
          <w:rFonts w:ascii="Simplified Arabic" w:eastAsia="Times New Roman" w:hAnsi="Simplified Arabic" w:cs="Simplified Arabic"/>
          <w:b/>
          <w:bCs/>
          <w:color w:val="000000" w:themeColor="text1"/>
          <w:kern w:val="0"/>
          <w:sz w:val="28"/>
          <w:szCs w:val="28"/>
          <w14:ligatures w14:val="none"/>
        </w:rPr>
        <w:t>.</w:t>
      </w:r>
    </w:p>
    <w:p w14:paraId="40F4762C"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تأثير التقنيات الرقمية بأبعادها (الذكاء الاصطناعي، والبيانات الضخمة، والحوسبة السحابية، وإنترنت الأشياء، والروبوتات الصناعية والخدمية) على عوائد أنشطة الابتكار وأنواع الابتكار المختلفة في مؤسسات دول الاتحاد الأوروبي. واستخدمت الدراسة المنهج الكمي التحليلي معتمدةً على تحليل الشبكات العصبية الاصطناعية متعددة الطبقات</w:t>
      </w:r>
      <w:r w:rsidRPr="004866BF">
        <w:rPr>
          <w:rFonts w:ascii="Simplified Arabic" w:eastAsia="Times New Roman" w:hAnsi="Simplified Arabic" w:cs="Simplified Arabic"/>
          <w:color w:val="000000" w:themeColor="text1"/>
          <w:kern w:val="0"/>
          <w:sz w:val="28"/>
          <w:szCs w:val="28"/>
          <w14:ligatures w14:val="none"/>
        </w:rPr>
        <w:t xml:space="preserve"> (MLP) </w:t>
      </w:r>
      <w:r w:rsidRPr="004866BF">
        <w:rPr>
          <w:rFonts w:ascii="Simplified Arabic" w:eastAsia="Times New Roman" w:hAnsi="Simplified Arabic" w:cs="Simplified Arabic"/>
          <w:color w:val="000000" w:themeColor="text1"/>
          <w:kern w:val="0"/>
          <w:sz w:val="28"/>
          <w:szCs w:val="28"/>
          <w:rtl/>
          <w14:ligatures w14:val="none"/>
        </w:rPr>
        <w:t>والتحليل العنقودي بطريقة وارد</w:t>
      </w:r>
      <w:r w:rsidRPr="004866BF">
        <w:rPr>
          <w:rFonts w:ascii="Simplified Arabic" w:eastAsia="Times New Roman" w:hAnsi="Simplified Arabic" w:cs="Simplified Arabic"/>
          <w:color w:val="000000" w:themeColor="text1"/>
          <w:kern w:val="0"/>
          <w:sz w:val="28"/>
          <w:szCs w:val="28"/>
          <w14:ligatures w14:val="none"/>
        </w:rPr>
        <w:t xml:space="preserve"> (Ward Method)</w:t>
      </w:r>
      <w:r w:rsidRPr="004866BF">
        <w:rPr>
          <w:rFonts w:ascii="Simplified Arabic" w:eastAsia="Times New Roman" w:hAnsi="Simplified Arabic" w:cs="Simplified Arabic"/>
          <w:color w:val="000000" w:themeColor="text1"/>
          <w:kern w:val="0"/>
          <w:sz w:val="28"/>
          <w:szCs w:val="28"/>
          <w:rtl/>
          <w14:ligatures w14:val="none"/>
        </w:rPr>
        <w:t>، وتكونت العينة من بيانات مؤسسات جميع الدول الأعضاء في الاتحاد الأوروبي البالغ عددها (27) دولة بالاعتماد على بيانات</w:t>
      </w:r>
      <w:r w:rsidRPr="004866BF">
        <w:rPr>
          <w:rFonts w:ascii="Simplified Arabic" w:eastAsia="Times New Roman" w:hAnsi="Simplified Arabic" w:cs="Simplified Arabic"/>
          <w:color w:val="000000" w:themeColor="text1"/>
          <w:kern w:val="0"/>
          <w:sz w:val="28"/>
          <w:szCs w:val="28"/>
          <w14:ligatures w14:val="none"/>
        </w:rPr>
        <w:t xml:space="preserve"> Eurostat </w:t>
      </w:r>
      <w:r w:rsidRPr="004866BF">
        <w:rPr>
          <w:rFonts w:ascii="Simplified Arabic" w:eastAsia="Times New Roman" w:hAnsi="Simplified Arabic" w:cs="Simplified Arabic"/>
          <w:color w:val="000000" w:themeColor="text1"/>
          <w:kern w:val="0"/>
          <w:sz w:val="28"/>
          <w:szCs w:val="28"/>
          <w:rtl/>
          <w14:ligatures w14:val="none"/>
        </w:rPr>
        <w:t xml:space="preserve">للفترة </w:t>
      </w:r>
      <w:r w:rsidRPr="004866BF">
        <w:rPr>
          <w:rFonts w:ascii="Simplified Arabic" w:eastAsia="Times New Roman" w:hAnsi="Simplified Arabic" w:cs="Simplified Arabic"/>
          <w:color w:val="000000" w:themeColor="text1"/>
          <w:kern w:val="0"/>
          <w:sz w:val="28"/>
          <w:szCs w:val="28"/>
          <w14:ligatures w14:val="none"/>
        </w:rPr>
        <w:t xml:space="preserve">2020-2021. </w:t>
      </w:r>
      <w:r w:rsidRPr="004866BF">
        <w:rPr>
          <w:rFonts w:ascii="Simplified Arabic" w:eastAsia="Times New Roman" w:hAnsi="Simplified Arabic" w:cs="Simplified Arabic"/>
          <w:color w:val="000000" w:themeColor="text1"/>
          <w:kern w:val="0"/>
          <w:sz w:val="28"/>
          <w:szCs w:val="28"/>
          <w:rtl/>
          <w14:ligatures w14:val="none"/>
        </w:rPr>
        <w:t>وتوصلت نتائج الدراسة إلى أن إنترنت الأشياء والحوسبة السحابية هما الأكثر تأثيرًا على عوائد الابتكار بأهمية معيارية بلغت (100%) و</w:t>
      </w:r>
      <w:r w:rsidRPr="004866BF">
        <w:rPr>
          <w:rFonts w:ascii="Simplified Arabic" w:eastAsia="Times New Roman" w:hAnsi="Simplified Arabic" w:cs="Simplified Arabic"/>
          <w:color w:val="000000" w:themeColor="text1"/>
          <w:kern w:val="0"/>
          <w:sz w:val="28"/>
          <w:szCs w:val="28"/>
          <w14:ligatures w14:val="none"/>
        </w:rPr>
        <w:t xml:space="preserve">(90%) </w:t>
      </w:r>
      <w:r w:rsidRPr="004866BF">
        <w:rPr>
          <w:rFonts w:ascii="Simplified Arabic" w:eastAsia="Times New Roman" w:hAnsi="Simplified Arabic" w:cs="Simplified Arabic"/>
          <w:color w:val="000000" w:themeColor="text1"/>
          <w:kern w:val="0"/>
          <w:sz w:val="28"/>
          <w:szCs w:val="28"/>
          <w:rtl/>
          <w14:ligatures w14:val="none"/>
        </w:rPr>
        <w:t xml:space="preserve">على التوالي، وأن التقنيات الرقمية تؤثر إيجابيًا على جميع أنواع الابتكار مع التأثير الأكبر على ابتكارات العمليات والتواصل واللوجستيات، كما صُنفت الدول إلى ثلاث مجموعات متجانسة. وأوصت الدراسة بتكثيف الاستثمار في التقنيات الرقمية لتعزيز القدرات الابتكارية، وتبنّي نهج شامل للتحول الرقمي يتجاوز </w:t>
      </w:r>
      <w:proofErr w:type="spellStart"/>
      <w:r w:rsidRPr="004866BF">
        <w:rPr>
          <w:rFonts w:ascii="Simplified Arabic" w:eastAsia="Times New Roman" w:hAnsi="Simplified Arabic" w:cs="Simplified Arabic"/>
          <w:color w:val="000000" w:themeColor="text1"/>
          <w:kern w:val="0"/>
          <w:sz w:val="28"/>
          <w:szCs w:val="28"/>
          <w:rtl/>
          <w14:ligatures w14:val="none"/>
        </w:rPr>
        <w:t>الرقمنة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السطحية إلى إعادة تصميم نماذج الأعمال جذريًا</w:t>
      </w:r>
      <w:r w:rsidRPr="004866BF">
        <w:rPr>
          <w:rFonts w:ascii="Simplified Arabic" w:eastAsia="Times New Roman" w:hAnsi="Simplified Arabic" w:cs="Simplified Arabic"/>
          <w:color w:val="000000" w:themeColor="text1"/>
          <w:kern w:val="0"/>
          <w:sz w:val="28"/>
          <w:szCs w:val="28"/>
          <w14:ligatures w14:val="none"/>
        </w:rPr>
        <w:t>.</w:t>
      </w:r>
    </w:p>
    <w:p w14:paraId="58564BBB" w14:textId="77777777" w:rsidR="00FD52D9" w:rsidRPr="004866BF" w:rsidRDefault="00FD52D9" w:rsidP="00387DE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4107316"/>
      <w:r w:rsidRPr="004866BF">
        <w:rPr>
          <w:rFonts w:ascii="Simplified Arabic" w:eastAsia="Times New Roman" w:hAnsi="Simplified Arabic" w:cs="Simplified Arabic"/>
          <w:b/>
          <w:bCs/>
          <w:color w:val="000000" w:themeColor="text1"/>
          <w:kern w:val="0"/>
          <w:sz w:val="32"/>
          <w:szCs w:val="32"/>
          <w:rtl/>
          <w14:ligatures w14:val="none"/>
        </w:rPr>
        <w:t>المحور الثاني: دراسات المتغير التابع (جودة الرعاية الصحية) وعلاقته بمتغيرات أخرى</w:t>
      </w:r>
      <w:bookmarkEnd w:id="14"/>
    </w:p>
    <w:p w14:paraId="164919DF" w14:textId="77777777" w:rsidR="00FD52D9" w:rsidRPr="004866BF" w:rsidRDefault="00FD52D9" w:rsidP="00387DE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t>دراسة (أبو دية وقاسم ورضوان، 2021)</w:t>
      </w:r>
      <w:r w:rsidRPr="004866BF">
        <w:rPr>
          <w:rFonts w:ascii="Simplified Arabic" w:eastAsia="Times New Roman" w:hAnsi="Simplified Arabic" w:cs="Simplified Arabic"/>
          <w:b/>
          <w:bCs/>
          <w:color w:val="000000" w:themeColor="text1"/>
          <w:kern w:val="0"/>
          <w:sz w:val="28"/>
          <w:szCs w:val="28"/>
          <w14:ligatures w14:val="none"/>
        </w:rPr>
        <w:t xml:space="preserve">: </w:t>
      </w:r>
      <w:r w:rsidRPr="004866BF">
        <w:rPr>
          <w:rFonts w:ascii="Simplified Arabic" w:eastAsia="Times New Roman" w:hAnsi="Simplified Arabic" w:cs="Simplified Arabic"/>
          <w:b/>
          <w:bCs/>
          <w:color w:val="000000" w:themeColor="text1"/>
          <w:kern w:val="0"/>
          <w:sz w:val="28"/>
          <w:szCs w:val="28"/>
          <w:rtl/>
          <w14:ligatures w14:val="none"/>
        </w:rPr>
        <w:t>أثر الثقافة التنظيمية على جودة خدمات الرعاية الصحية في مراكز الرعاية الصحية الأولية: دراسة تطبيقية "مراكز الرعاية الصحية الأولية الحكومية</w:t>
      </w:r>
      <w:r w:rsidRPr="004866BF">
        <w:rPr>
          <w:rFonts w:ascii="Simplified Arabic" w:eastAsia="Times New Roman" w:hAnsi="Simplified Arabic" w:cs="Simplified Arabic"/>
          <w:b/>
          <w:bCs/>
          <w:color w:val="000000" w:themeColor="text1"/>
          <w:kern w:val="0"/>
          <w:sz w:val="28"/>
          <w:szCs w:val="28"/>
          <w14:ligatures w14:val="none"/>
        </w:rPr>
        <w:t xml:space="preserve"> - </w:t>
      </w:r>
      <w:r w:rsidRPr="004866BF">
        <w:rPr>
          <w:rFonts w:ascii="Simplified Arabic" w:eastAsia="Times New Roman" w:hAnsi="Simplified Arabic" w:cs="Simplified Arabic"/>
          <w:b/>
          <w:bCs/>
          <w:color w:val="000000" w:themeColor="text1"/>
          <w:kern w:val="0"/>
          <w:sz w:val="28"/>
          <w:szCs w:val="28"/>
          <w:rtl/>
          <w14:ligatures w14:val="none"/>
        </w:rPr>
        <w:t>المحافظات الجنوبية</w:t>
      </w:r>
      <w:r w:rsidRPr="004866BF">
        <w:rPr>
          <w:rFonts w:ascii="Simplified Arabic" w:eastAsia="Times New Roman" w:hAnsi="Simplified Arabic" w:cs="Simplified Arabic"/>
          <w:b/>
          <w:bCs/>
          <w:color w:val="000000" w:themeColor="text1"/>
          <w:kern w:val="0"/>
          <w:sz w:val="28"/>
          <w:szCs w:val="28"/>
          <w14:ligatures w14:val="none"/>
        </w:rPr>
        <w:t>".</w:t>
      </w:r>
    </w:p>
    <w:p w14:paraId="0D722E22"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هدفت الدراسة إلى التعرف على أثر الثقافة التنظيمية بأبعادها (القيم التنظيمية، والمعتقدات التنظيمية، والتوقعات التنظيمية، والأعراف التنظيمية) على جودة خدمات الرعاية الصحية في مراكز الرعاية الصحية الأولية الحكومية بالمحافظات الجنوبية في فلسطين. واستخدمت الدراسة المنهج الوصفي التحليلي معتمدةً على الاستبانة كأداة رئيسية لجمع البيانات، وتكونت العينة من (220) مفردة من العاملين في مراكز الرعاية الصحية الأولية الحكومية بالمحافظات الجنوبية بقطاع غزة. وتوصلت نتائج الدراسة إلى وجود أثر ذي دلالة إحصائية عند مستوى</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Cambria" w:eastAsia="Times New Roman" w:hAnsi="Cambria" w:cs="Cambria"/>
          <w:color w:val="000000" w:themeColor="text1"/>
          <w:kern w:val="0"/>
          <w:sz w:val="28"/>
          <w:szCs w:val="28"/>
          <w14:ligatures w14:val="none"/>
        </w:rPr>
        <w:t>α≤</w:t>
      </w:r>
      <w:r w:rsidRPr="004866BF">
        <w:rPr>
          <w:rFonts w:ascii="Simplified Arabic" w:eastAsia="Times New Roman" w:hAnsi="Simplified Arabic" w:cs="Simplified Arabic"/>
          <w:color w:val="000000" w:themeColor="text1"/>
          <w:kern w:val="0"/>
          <w:sz w:val="28"/>
          <w:szCs w:val="28"/>
          <w14:ligatures w14:val="none"/>
        </w:rPr>
        <w:t xml:space="preserve">0.05) </w:t>
      </w:r>
      <w:r w:rsidRPr="004866BF">
        <w:rPr>
          <w:rFonts w:ascii="Simplified Arabic" w:eastAsia="Times New Roman" w:hAnsi="Simplified Arabic" w:cs="Simplified Arabic"/>
          <w:color w:val="000000" w:themeColor="text1"/>
          <w:kern w:val="0"/>
          <w:sz w:val="28"/>
          <w:szCs w:val="28"/>
          <w:rtl/>
          <w14:ligatures w14:val="none"/>
        </w:rPr>
        <w:t xml:space="preserve">للثقافة التنظيمية بجميع أبعادها على جودة خدمات الرعاية الصحية، وأن مستوى الثقافة التنظيمية في المراكز الصحية جاء بدرجة مرتفعة، كما أن بُعد القيم التنظيمية حقق أعلى مستوى تأثير على جودة الخدمات الصحية. وأوصت الدراسة بضرورة تعزيز القيم التنظيمية الإيجابية في المؤسسات الصحية، والعمل على نشر ثقافة الجودة والتميز بين العاملين، وتطوير بيئة عمل تنظيمية داعمة </w:t>
      </w:r>
      <w:r w:rsidRPr="004866BF">
        <w:rPr>
          <w:rFonts w:ascii="Simplified Arabic" w:eastAsia="Times New Roman" w:hAnsi="Simplified Arabic" w:cs="Simplified Arabic"/>
          <w:color w:val="000000" w:themeColor="text1"/>
          <w:kern w:val="0"/>
          <w:sz w:val="28"/>
          <w:szCs w:val="28"/>
          <w:rtl/>
          <w14:ligatures w14:val="none"/>
        </w:rPr>
        <w:lastRenderedPageBreak/>
        <w:t>تُسهم في رفع مستوى جودة الخدمات الصحية، والاهتمام بتدريب العاملين على معايير الجودة الشاملة في الرعاية الصحية</w:t>
      </w:r>
      <w:r w:rsidRPr="004866BF">
        <w:rPr>
          <w:rFonts w:ascii="Simplified Arabic" w:eastAsia="Times New Roman" w:hAnsi="Simplified Arabic" w:cs="Simplified Arabic"/>
          <w:color w:val="000000" w:themeColor="text1"/>
          <w:kern w:val="0"/>
          <w:sz w:val="28"/>
          <w:szCs w:val="28"/>
          <w14:ligatures w14:val="none"/>
        </w:rPr>
        <w:t>.</w:t>
      </w:r>
    </w:p>
    <w:p w14:paraId="3431BA85" w14:textId="77777777" w:rsidR="00387DE1" w:rsidRPr="004866BF" w:rsidRDefault="00387DE1" w:rsidP="00387DE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t>دراسة</w:t>
      </w:r>
      <w:r w:rsidRPr="004866BF">
        <w:rPr>
          <w:rFonts w:ascii="Simplified Arabic" w:eastAsia="Times New Roman" w:hAnsi="Simplified Arabic" w:cs="Simplified Arabic"/>
          <w:b/>
          <w:bCs/>
          <w:color w:val="000000" w:themeColor="text1"/>
          <w:kern w:val="0"/>
          <w:sz w:val="28"/>
          <w:szCs w:val="28"/>
          <w14:ligatures w14:val="none"/>
        </w:rPr>
        <w:t xml:space="preserve"> (Carini, Villani, Pezzullo, Gentili, Barbara, Ricciardi &amp; Boccia, 2021): The Impact of Digital Patient Portals on Health Outcomes, System Efficiency, and Patient Attitudes: Updated Systematic Literature Review </w:t>
      </w:r>
      <w:r w:rsidRPr="004866BF">
        <w:rPr>
          <w:rFonts w:ascii="Simplified Arabic" w:eastAsia="Times New Roman" w:hAnsi="Simplified Arabic" w:cs="Simplified Arabic"/>
          <w:b/>
          <w:bCs/>
          <w:color w:val="000000" w:themeColor="text1"/>
          <w:kern w:val="0"/>
          <w:sz w:val="28"/>
          <w:szCs w:val="28"/>
          <w:rtl/>
          <w14:ligatures w14:val="none"/>
        </w:rPr>
        <w:t>أثر البوابات الرقمية للمرضى على النتائج الصحية وكفاءة النظام واتجاهات المرضى: مراجعة منهجية محدّثة</w:t>
      </w:r>
      <w:r w:rsidRPr="004866BF">
        <w:rPr>
          <w:rFonts w:ascii="Simplified Arabic" w:eastAsia="Times New Roman" w:hAnsi="Simplified Arabic" w:cs="Simplified Arabic"/>
          <w:b/>
          <w:bCs/>
          <w:color w:val="000000" w:themeColor="text1"/>
          <w:kern w:val="0"/>
          <w:sz w:val="28"/>
          <w:szCs w:val="28"/>
          <w14:ligatures w14:val="none"/>
        </w:rPr>
        <w:t>.</w:t>
      </w:r>
    </w:p>
    <w:p w14:paraId="3436C509" w14:textId="0947D646" w:rsidR="00387DE1" w:rsidRPr="004866BF" w:rsidRDefault="00387DE1"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هدفت الدراسة إلى التعرف على أثر البوابات الرقمية للمرضى بأبعادها (الوصول إلى السجلات الطبية، والتواصل مع مقدمي الرعاية، وإدارة المواعيد، والوصفات الطبية الإلكترونية) على النتائج الصحية وكفاءة النظام الصحي واتجاهات المرضى نحو جودة الرعاية الصحية</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t>واستخدمت الدراسة منهج المراجعة المنهجية للأدبيات</w:t>
      </w:r>
      <w:r w:rsidRPr="004866BF">
        <w:rPr>
          <w:rFonts w:ascii="Simplified Arabic" w:eastAsia="Times New Roman" w:hAnsi="Simplified Arabic" w:cs="Simplified Arabic"/>
          <w:color w:val="000000" w:themeColor="text1"/>
          <w:kern w:val="0"/>
          <w:sz w:val="28"/>
          <w:szCs w:val="28"/>
          <w14:ligatures w14:val="none"/>
        </w:rPr>
        <w:t xml:space="preserve"> (Systematic Literature Review)</w:t>
      </w:r>
      <w:r w:rsidRPr="004866BF">
        <w:rPr>
          <w:rFonts w:ascii="Simplified Arabic" w:eastAsia="Times New Roman" w:hAnsi="Simplified Arabic" w:cs="Simplified Arabic"/>
          <w:color w:val="000000" w:themeColor="text1"/>
          <w:kern w:val="0"/>
          <w:sz w:val="28"/>
          <w:szCs w:val="28"/>
          <w:rtl/>
          <w14:ligatures w14:val="none"/>
        </w:rPr>
        <w:t>، وتكونت العينة من فحص (3456) سجلًا بحثيًا تم تضمين (47) دراسة منها في التحليل النهائي بعد تطبيق معايير الاستبعاد والتضمين. وتوصلت نتائج الدراسة إلى أن الأدلة المتعلقة بالنتائج الصحية كانت إيجابية بشكل عام، وأن البوابات الرقمية للمرضى تمتلك القدرة على تعزيز العلاقة بين الطبيب والمريض، وتحسين الوعي بالحالة الصحية، وزيادة الالتزام بالعلاج، كما أن (15) دراسة من الدراسات المراجعة قيّمت أثر البوابات على استخدام الخدمات الصحية بنتائج متباينة. وأوصت الدراسة بضرورة توسيع نطاق تبنّي البوابات الرقمية للمرضى في المؤسسات الصحية، وتحسين تصميمها وسهولة استخدامها، وقياس الأثر طويل المدى لهذه البوابات على جودة الرعاية الصحية ورضا المستفيدين</w:t>
      </w:r>
      <w:r w:rsidRPr="004866BF">
        <w:rPr>
          <w:rFonts w:ascii="Simplified Arabic" w:eastAsia="Times New Roman" w:hAnsi="Simplified Arabic" w:cs="Simplified Arabic"/>
          <w:color w:val="000000" w:themeColor="text1"/>
          <w:kern w:val="0"/>
          <w:sz w:val="28"/>
          <w:szCs w:val="28"/>
          <w14:ligatures w14:val="none"/>
        </w:rPr>
        <w:t>.</w:t>
      </w:r>
    </w:p>
    <w:p w14:paraId="4C8B9A88" w14:textId="77777777" w:rsidR="00387DE1" w:rsidRPr="004866BF" w:rsidRDefault="00387DE1" w:rsidP="00387DE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t>دراسة</w:t>
      </w:r>
      <w:r w:rsidRPr="004866BF">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866BF">
        <w:rPr>
          <w:rFonts w:ascii="Simplified Arabic" w:eastAsia="Times New Roman" w:hAnsi="Simplified Arabic" w:cs="Simplified Arabic"/>
          <w:b/>
          <w:bCs/>
          <w:color w:val="000000" w:themeColor="text1"/>
          <w:kern w:val="0"/>
          <w:sz w:val="28"/>
          <w:szCs w:val="28"/>
          <w14:ligatures w14:val="none"/>
        </w:rPr>
        <w:t>Stoumpos</w:t>
      </w:r>
      <w:proofErr w:type="spellEnd"/>
      <w:r w:rsidRPr="004866BF">
        <w:rPr>
          <w:rFonts w:ascii="Simplified Arabic" w:eastAsia="Times New Roman" w:hAnsi="Simplified Arabic" w:cs="Simplified Arabic"/>
          <w:b/>
          <w:bCs/>
          <w:color w:val="000000" w:themeColor="text1"/>
          <w:kern w:val="0"/>
          <w:sz w:val="28"/>
          <w:szCs w:val="28"/>
          <w14:ligatures w14:val="none"/>
        </w:rPr>
        <w:t xml:space="preserve">, Kitsios &amp; </w:t>
      </w:r>
      <w:proofErr w:type="spellStart"/>
      <w:r w:rsidRPr="004866BF">
        <w:rPr>
          <w:rFonts w:ascii="Simplified Arabic" w:eastAsia="Times New Roman" w:hAnsi="Simplified Arabic" w:cs="Simplified Arabic"/>
          <w:b/>
          <w:bCs/>
          <w:color w:val="000000" w:themeColor="text1"/>
          <w:kern w:val="0"/>
          <w:sz w:val="28"/>
          <w:szCs w:val="28"/>
          <w14:ligatures w14:val="none"/>
        </w:rPr>
        <w:t>Talias</w:t>
      </w:r>
      <w:proofErr w:type="spellEnd"/>
      <w:r w:rsidRPr="004866BF">
        <w:rPr>
          <w:rFonts w:ascii="Simplified Arabic" w:eastAsia="Times New Roman" w:hAnsi="Simplified Arabic" w:cs="Simplified Arabic"/>
          <w:b/>
          <w:bCs/>
          <w:color w:val="000000" w:themeColor="text1"/>
          <w:kern w:val="0"/>
          <w:sz w:val="28"/>
          <w:szCs w:val="28"/>
          <w14:ligatures w14:val="none"/>
        </w:rPr>
        <w:t xml:space="preserve">, 2023): Digital Transformation in Healthcare: Technology Acceptance and Its Applications </w:t>
      </w:r>
      <w:r w:rsidRPr="004866BF">
        <w:rPr>
          <w:rFonts w:ascii="Simplified Arabic" w:eastAsia="Times New Roman" w:hAnsi="Simplified Arabic" w:cs="Simplified Arabic"/>
          <w:b/>
          <w:bCs/>
          <w:color w:val="000000" w:themeColor="text1"/>
          <w:kern w:val="0"/>
          <w:sz w:val="28"/>
          <w:szCs w:val="28"/>
          <w:rtl/>
          <w14:ligatures w14:val="none"/>
        </w:rPr>
        <w:t>التحول الرقمي في الرعاية الصحية: قبول التكنولوجيا وتطبيقاتها</w:t>
      </w:r>
    </w:p>
    <w:p w14:paraId="5796BADD" w14:textId="03788AA3" w:rsidR="00387DE1" w:rsidRPr="004866BF" w:rsidRDefault="00387DE1"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هدفت الدراسة إلى التعرف على التغيرات الحاصلة في مجال الرعاية الصحية نتيجة التحول الرقمي بأبعاده (التطبيب عن بُعد، والسجلات الصحية الإلكترونية، والذكاء الاصطناعي، وإنترنت الأشياء الطبية</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t xml:space="preserve">وعلاقتها بقبول التكنولوجيا وجودة الخدمات الصحية. واستخدمت الدراسة منهج المراجعة المنهجية </w:t>
      </w:r>
      <w:r w:rsidRPr="004866BF">
        <w:rPr>
          <w:rFonts w:ascii="Simplified Arabic" w:eastAsia="Times New Roman" w:hAnsi="Simplified Arabic" w:cs="Simplified Arabic"/>
          <w:color w:val="000000" w:themeColor="text1"/>
          <w:kern w:val="0"/>
          <w:sz w:val="28"/>
          <w:szCs w:val="28"/>
          <w:rtl/>
          <w14:ligatures w14:val="none"/>
        </w:rPr>
        <w:lastRenderedPageBreak/>
        <w:t>الببليوغرافية</w:t>
      </w:r>
      <w:r w:rsidRPr="004866BF">
        <w:rPr>
          <w:rFonts w:ascii="Simplified Arabic" w:eastAsia="Times New Roman" w:hAnsi="Simplified Arabic" w:cs="Simplified Arabic"/>
          <w:color w:val="000000" w:themeColor="text1"/>
          <w:kern w:val="0"/>
          <w:sz w:val="28"/>
          <w:szCs w:val="28"/>
          <w14:ligatures w14:val="none"/>
        </w:rPr>
        <w:t xml:space="preserve"> (Systematic Bibliographic Review) </w:t>
      </w:r>
      <w:r w:rsidRPr="004866BF">
        <w:rPr>
          <w:rFonts w:ascii="Simplified Arabic" w:eastAsia="Times New Roman" w:hAnsi="Simplified Arabic" w:cs="Simplified Arabic"/>
          <w:color w:val="000000" w:themeColor="text1"/>
          <w:kern w:val="0"/>
          <w:sz w:val="28"/>
          <w:szCs w:val="28"/>
          <w:rtl/>
          <w14:ligatures w14:val="none"/>
        </w:rPr>
        <w:t>بالاعتماد على قواعد بيانات</w:t>
      </w:r>
      <w:r w:rsidRPr="004866BF">
        <w:rPr>
          <w:rFonts w:ascii="Simplified Arabic" w:eastAsia="Times New Roman" w:hAnsi="Simplified Arabic" w:cs="Simplified Arabic"/>
          <w:color w:val="000000" w:themeColor="text1"/>
          <w:kern w:val="0"/>
          <w:sz w:val="28"/>
          <w:szCs w:val="28"/>
          <w14:ligatures w14:val="none"/>
        </w:rPr>
        <w:t xml:space="preserve"> Scopus </w:t>
      </w:r>
      <w:r w:rsidRPr="004866BF">
        <w:rPr>
          <w:rFonts w:ascii="Simplified Arabic" w:eastAsia="Times New Roman" w:hAnsi="Simplified Arabic" w:cs="Simplified Arabic"/>
          <w:color w:val="000000" w:themeColor="text1"/>
          <w:kern w:val="0"/>
          <w:sz w:val="28"/>
          <w:szCs w:val="28"/>
          <w:rtl/>
          <w14:ligatures w14:val="none"/>
        </w:rPr>
        <w:t>و</w:t>
      </w:r>
      <w:r w:rsidRPr="004866BF">
        <w:rPr>
          <w:rFonts w:ascii="Simplified Arabic" w:eastAsia="Times New Roman" w:hAnsi="Simplified Arabic" w:cs="Simplified Arabic"/>
          <w:color w:val="000000" w:themeColor="text1"/>
          <w:kern w:val="0"/>
          <w:sz w:val="28"/>
          <w:szCs w:val="28"/>
          <w14:ligatures w14:val="none"/>
        </w:rPr>
        <w:t xml:space="preserve">Science Direct </w:t>
      </w:r>
      <w:r w:rsidRPr="004866BF">
        <w:rPr>
          <w:rFonts w:ascii="Simplified Arabic" w:eastAsia="Times New Roman" w:hAnsi="Simplified Arabic" w:cs="Simplified Arabic"/>
          <w:color w:val="000000" w:themeColor="text1"/>
          <w:kern w:val="0"/>
          <w:sz w:val="28"/>
          <w:szCs w:val="28"/>
          <w:rtl/>
          <w14:ligatures w14:val="none"/>
        </w:rPr>
        <w:t>و</w:t>
      </w:r>
      <w:r w:rsidRPr="004866BF">
        <w:rPr>
          <w:rFonts w:ascii="Simplified Arabic" w:eastAsia="Times New Roman" w:hAnsi="Simplified Arabic" w:cs="Simplified Arabic"/>
          <w:color w:val="000000" w:themeColor="text1"/>
          <w:kern w:val="0"/>
          <w:sz w:val="28"/>
          <w:szCs w:val="28"/>
          <w14:ligatures w14:val="none"/>
        </w:rPr>
        <w:t>PubMed</w:t>
      </w:r>
      <w:r w:rsidRPr="004866BF">
        <w:rPr>
          <w:rFonts w:ascii="Simplified Arabic" w:eastAsia="Times New Roman" w:hAnsi="Simplified Arabic" w:cs="Simplified Arabic"/>
          <w:color w:val="000000" w:themeColor="text1"/>
          <w:kern w:val="0"/>
          <w:sz w:val="28"/>
          <w:szCs w:val="28"/>
          <w:rtl/>
          <w14:ligatures w14:val="none"/>
        </w:rPr>
        <w:t>، وتكونت العينة من تحليل ومراجعة مجموعة كبيرة من الدراسات والبحوث المنشورة ذات الصلة بالتحول الرقمي في الرعاية الصحية وقبول التكنولوجيا. وتوصلت نتائج الدراسة إلى أن التحول الرقمي يُحدث تغييرات جوهرية وعميقة في طريقة تقديم الرعاية الصحية، وأن تقنيات التطبيب عن بُعد والذكاء الاصطناعي تُسهم بشكل ملموس في تحسين جودة التشخيص وكفاءة العلاج وتجربة المريض، غير أن قبول التكنولوجيا من قبل مقدمي الخدمات الصحية والمرضى يظل عاملًا حاسمًا في نجاح مسيرة التحول الرقمي. وأوصت الدراسة بضرورة الاستثمار المكثف في تدريب الكوادر الصحية على استخدام التقنيات الرقمية، وتعزيز البنية التحتية التكنولوجية، والاهتمام بعوامل قبول التكنولوجيا وسهولة الاستخدام لضمان تحقيق الفوائد المرجوة من التحول الرقمي الصحي</w:t>
      </w:r>
      <w:r w:rsidRPr="004866BF">
        <w:rPr>
          <w:rFonts w:ascii="Simplified Arabic" w:eastAsia="Times New Roman" w:hAnsi="Simplified Arabic" w:cs="Simplified Arabic"/>
          <w:color w:val="000000" w:themeColor="text1"/>
          <w:kern w:val="0"/>
          <w:sz w:val="28"/>
          <w:szCs w:val="28"/>
          <w14:ligatures w14:val="none"/>
        </w:rPr>
        <w:t>.</w:t>
      </w:r>
    </w:p>
    <w:p w14:paraId="1EAE6D20" w14:textId="77777777" w:rsidR="00FD52D9" w:rsidRPr="004866BF" w:rsidRDefault="00FD52D9" w:rsidP="00387DE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t xml:space="preserve">دراسة (حسن وعبدالرحيم </w:t>
      </w:r>
      <w:proofErr w:type="spellStart"/>
      <w:r w:rsidRPr="004866BF">
        <w:rPr>
          <w:rFonts w:ascii="Simplified Arabic" w:eastAsia="Times New Roman" w:hAnsi="Simplified Arabic" w:cs="Simplified Arabic"/>
          <w:b/>
          <w:bCs/>
          <w:color w:val="000000" w:themeColor="text1"/>
          <w:kern w:val="0"/>
          <w:sz w:val="28"/>
          <w:szCs w:val="28"/>
          <w:rtl/>
          <w14:ligatures w14:val="none"/>
        </w:rPr>
        <w:t>وبليح</w:t>
      </w:r>
      <w:proofErr w:type="spellEnd"/>
      <w:r w:rsidRPr="004866BF">
        <w:rPr>
          <w:rFonts w:ascii="Simplified Arabic" w:eastAsia="Times New Roman" w:hAnsi="Simplified Arabic" w:cs="Simplified Arabic"/>
          <w:b/>
          <w:bCs/>
          <w:color w:val="000000" w:themeColor="text1"/>
          <w:kern w:val="0"/>
          <w:sz w:val="28"/>
          <w:szCs w:val="28"/>
          <w:rtl/>
          <w14:ligatures w14:val="none"/>
        </w:rPr>
        <w:t>، 2025)</w:t>
      </w:r>
      <w:r w:rsidRPr="004866BF">
        <w:rPr>
          <w:rFonts w:ascii="Simplified Arabic" w:eastAsia="Times New Roman" w:hAnsi="Simplified Arabic" w:cs="Simplified Arabic"/>
          <w:b/>
          <w:bCs/>
          <w:color w:val="000000" w:themeColor="text1"/>
          <w:kern w:val="0"/>
          <w:sz w:val="28"/>
          <w:szCs w:val="28"/>
          <w14:ligatures w14:val="none"/>
        </w:rPr>
        <w:t xml:space="preserve">: </w:t>
      </w:r>
      <w:r w:rsidRPr="004866BF">
        <w:rPr>
          <w:rFonts w:ascii="Simplified Arabic" w:eastAsia="Times New Roman" w:hAnsi="Simplified Arabic" w:cs="Simplified Arabic"/>
          <w:b/>
          <w:bCs/>
          <w:color w:val="000000" w:themeColor="text1"/>
          <w:kern w:val="0"/>
          <w:sz w:val="28"/>
          <w:szCs w:val="28"/>
          <w:rtl/>
          <w14:ligatures w14:val="none"/>
        </w:rPr>
        <w:t>متطلبات الثقة لتحقيق جودة خدمات الرعاية الصحية في المستشفيات العسكرية</w:t>
      </w:r>
      <w:r w:rsidRPr="004866BF">
        <w:rPr>
          <w:rFonts w:ascii="Simplified Arabic" w:eastAsia="Times New Roman" w:hAnsi="Simplified Arabic" w:cs="Simplified Arabic"/>
          <w:b/>
          <w:bCs/>
          <w:color w:val="000000" w:themeColor="text1"/>
          <w:kern w:val="0"/>
          <w:sz w:val="28"/>
          <w:szCs w:val="28"/>
          <w14:ligatures w14:val="none"/>
        </w:rPr>
        <w:t>.</w:t>
      </w:r>
    </w:p>
    <w:p w14:paraId="249D315B"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هدفت الدراسة إلى التعرف على متطلبات الثقة بأبعادها (الثقة في الكوادر الطبية، والثقة في البيئة المؤسسية، والثقة في الإجراءات والأنظمة الإدارية) وأثرها على تحقيق جودة خدمات الرعاية الصحية في المستشفيات العسكرية بجمهورية مصر العربية. واستخدمت الدراسة المنهج الوصفي التحليلي معتمدةً على استمارة استبيان كأداة لجمع البيانات، وتكونت العينة من (280) مفردة من المستفيدين من خدمات الرعاية الصحية في المستشفيات العسكرية بمصر. وتوصلت نتائج الدراسة إلى أن مستوى الثقة يُعدّ من أهم المتطلبات الأساسية لتحقيق جودة خدمات الرعاية الصحية، وأن هناك علاقة ارتباطية إيجابية ذات دلالة إحصائية بين أبعاد الثقة ومستوى جودة الخدمات الصحية المقدمة، كما أن بُعد الثقة في الكوادر الطبية جاء في المرتبة الأولى من حيث التأثير على جودة الخدمات. وأوصت الدراسة بضرورة تعزيز ثقة المرضى في الكوادر الطبية من خلال تحسين مهارات التواصل والتفاعل مع المستفيدين، والعمل على تطوير البيئة المؤسسية بما يُعزز شعور المستفيدين بالأمان، وتبسيط الإجراءات الإدارية وتحسين الأنظمة التنظيمية، والاهتمام ببناء سمعة مؤسسية إيجابية للمستشفيات</w:t>
      </w:r>
      <w:r w:rsidRPr="004866BF">
        <w:rPr>
          <w:rFonts w:ascii="Simplified Arabic" w:eastAsia="Times New Roman" w:hAnsi="Simplified Arabic" w:cs="Simplified Arabic"/>
          <w:color w:val="000000" w:themeColor="text1"/>
          <w:kern w:val="0"/>
          <w:sz w:val="28"/>
          <w:szCs w:val="28"/>
          <w14:ligatures w14:val="none"/>
        </w:rPr>
        <w:t>.</w:t>
      </w:r>
    </w:p>
    <w:p w14:paraId="1BD03103" w14:textId="26BF001D" w:rsidR="00387DE1" w:rsidRPr="004866BF" w:rsidRDefault="00387DE1" w:rsidP="00387DE1">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5" w:name="_Toc233424310"/>
      <w:bookmarkStart w:id="16" w:name="_Toc169790501"/>
      <w:bookmarkEnd w:id="13"/>
      <w:r w:rsidRPr="004866BF">
        <w:rPr>
          <w:rFonts w:ascii="Simplified Arabic" w:hAnsi="Simplified Arabic" w:cs="Simplified Arabic"/>
          <w:b/>
          <w:bCs/>
          <w:color w:val="000000" w:themeColor="text1"/>
          <w:sz w:val="36"/>
          <w:szCs w:val="36"/>
          <w:rtl/>
        </w:rPr>
        <w:t>8.1 الفجوة البحثية:</w:t>
      </w:r>
      <w:bookmarkEnd w:id="15"/>
    </w:p>
    <w:p w14:paraId="471C590B" w14:textId="77777777" w:rsidR="00FD52D9" w:rsidRPr="004866BF" w:rsidRDefault="00FD52D9" w:rsidP="00387DE1">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4866BF">
        <w:rPr>
          <w:rFonts w:ascii="Simplified Arabic" w:hAnsi="Simplified Arabic" w:cs="Simplified Arabic"/>
          <w:color w:val="000000" w:themeColor="text1"/>
          <w:sz w:val="28"/>
          <w:szCs w:val="28"/>
          <w:rtl/>
        </w:rPr>
        <w:lastRenderedPageBreak/>
        <w:t xml:space="preserve">من خلال استعراض الدراسات السابقة وتحليلها تحليلًا معمّقًا، يتبيّن وجود فجوة بحثية واضحة تسعى هذه الدراسة إلى سدّها. فمن حيث السياق الجغرافي، ركّزت معظم الدراسات الأجنبية على بيئات غير عربية؛ إذ تناولت دراسة </w:t>
      </w:r>
      <w:proofErr w:type="spellStart"/>
      <w:r w:rsidRPr="004866BF">
        <w:rPr>
          <w:rFonts w:ascii="Simplified Arabic" w:hAnsi="Simplified Arabic" w:cs="Simplified Arabic"/>
          <w:color w:val="000000" w:themeColor="text1"/>
          <w:sz w:val="28"/>
          <w:szCs w:val="28"/>
        </w:rPr>
        <w:t>Kwilinski</w:t>
      </w:r>
      <w:proofErr w:type="spellEnd"/>
      <w:r w:rsidRPr="004866BF">
        <w:rPr>
          <w:rFonts w:ascii="Simplified Arabic" w:hAnsi="Simplified Arabic" w:cs="Simplified Arabic"/>
          <w:color w:val="000000" w:themeColor="text1"/>
          <w:sz w:val="28"/>
          <w:szCs w:val="28"/>
        </w:rPr>
        <w:t xml:space="preserve"> et al. (2023) </w:t>
      </w:r>
      <w:r w:rsidRPr="004866BF">
        <w:rPr>
          <w:rFonts w:ascii="Simplified Arabic" w:hAnsi="Simplified Arabic" w:cs="Simplified Arabic"/>
          <w:color w:val="000000" w:themeColor="text1"/>
          <w:sz w:val="28"/>
          <w:szCs w:val="28"/>
          <w:rtl/>
        </w:rPr>
        <w:t>ودراسة</w:t>
      </w:r>
      <w:r w:rsidRPr="004866BF">
        <w:rPr>
          <w:rFonts w:ascii="Simplified Arabic" w:hAnsi="Simplified Arabic" w:cs="Simplified Arabic"/>
          <w:color w:val="000000" w:themeColor="text1"/>
          <w:sz w:val="28"/>
          <w:szCs w:val="28"/>
        </w:rPr>
        <w:t xml:space="preserve"> </w:t>
      </w:r>
      <w:proofErr w:type="spellStart"/>
      <w:r w:rsidRPr="004866BF">
        <w:rPr>
          <w:rFonts w:ascii="Simplified Arabic" w:hAnsi="Simplified Arabic" w:cs="Simplified Arabic"/>
          <w:color w:val="000000" w:themeColor="text1"/>
          <w:sz w:val="28"/>
          <w:szCs w:val="28"/>
        </w:rPr>
        <w:t>V</w:t>
      </w:r>
      <w:r w:rsidRPr="004866BF">
        <w:rPr>
          <w:rFonts w:ascii="Cambria" w:hAnsi="Cambria" w:cs="Cambria"/>
          <w:color w:val="000000" w:themeColor="text1"/>
          <w:sz w:val="28"/>
          <w:szCs w:val="28"/>
        </w:rPr>
        <w:t>ă</w:t>
      </w:r>
      <w:r w:rsidRPr="004866BF">
        <w:rPr>
          <w:rFonts w:ascii="Simplified Arabic" w:hAnsi="Simplified Arabic" w:cs="Simplified Arabic"/>
          <w:color w:val="000000" w:themeColor="text1"/>
          <w:sz w:val="28"/>
          <w:szCs w:val="28"/>
        </w:rPr>
        <w:t>rzaru</w:t>
      </w:r>
      <w:proofErr w:type="spellEnd"/>
      <w:r w:rsidRPr="004866BF">
        <w:rPr>
          <w:rFonts w:ascii="Simplified Arabic" w:hAnsi="Simplified Arabic" w:cs="Simplified Arabic"/>
          <w:color w:val="000000" w:themeColor="text1"/>
          <w:sz w:val="28"/>
          <w:szCs w:val="28"/>
        </w:rPr>
        <w:t xml:space="preserve"> &amp; </w:t>
      </w:r>
      <w:proofErr w:type="spellStart"/>
      <w:r w:rsidRPr="004866BF">
        <w:rPr>
          <w:rFonts w:ascii="Simplified Arabic" w:hAnsi="Simplified Arabic" w:cs="Simplified Arabic"/>
          <w:color w:val="000000" w:themeColor="text1"/>
          <w:sz w:val="28"/>
          <w:szCs w:val="28"/>
        </w:rPr>
        <w:t>Bocean</w:t>
      </w:r>
      <w:proofErr w:type="spellEnd"/>
      <w:r w:rsidRPr="004866BF">
        <w:rPr>
          <w:rFonts w:ascii="Simplified Arabic" w:hAnsi="Simplified Arabic" w:cs="Simplified Arabic"/>
          <w:color w:val="000000" w:themeColor="text1"/>
          <w:sz w:val="28"/>
          <w:szCs w:val="28"/>
        </w:rPr>
        <w:t xml:space="preserve"> (2024) </w:t>
      </w:r>
      <w:r w:rsidRPr="004866BF">
        <w:rPr>
          <w:rFonts w:ascii="Simplified Arabic" w:hAnsi="Simplified Arabic" w:cs="Simplified Arabic"/>
          <w:color w:val="000000" w:themeColor="text1"/>
          <w:sz w:val="28"/>
          <w:szCs w:val="28"/>
          <w:rtl/>
        </w:rPr>
        <w:t>السياق الأوروبي لـ 27 دولة، فيما اقتصرت دراسة</w:t>
      </w:r>
      <w:r w:rsidRPr="004866BF">
        <w:rPr>
          <w:rFonts w:ascii="Simplified Arabic" w:hAnsi="Simplified Arabic" w:cs="Simplified Arabic"/>
          <w:color w:val="000000" w:themeColor="text1"/>
          <w:sz w:val="28"/>
          <w:szCs w:val="28"/>
        </w:rPr>
        <w:t xml:space="preserve"> Carini et al. (2021) </w:t>
      </w:r>
      <w:r w:rsidRPr="004866BF">
        <w:rPr>
          <w:rFonts w:ascii="Simplified Arabic" w:hAnsi="Simplified Arabic" w:cs="Simplified Arabic"/>
          <w:color w:val="000000" w:themeColor="text1"/>
          <w:sz w:val="28"/>
          <w:szCs w:val="28"/>
          <w:rtl/>
        </w:rPr>
        <w:t xml:space="preserve">ودراسة </w:t>
      </w:r>
      <w:proofErr w:type="spellStart"/>
      <w:r w:rsidRPr="004866BF">
        <w:rPr>
          <w:rFonts w:ascii="Simplified Arabic" w:hAnsi="Simplified Arabic" w:cs="Simplified Arabic"/>
          <w:color w:val="000000" w:themeColor="text1"/>
          <w:sz w:val="28"/>
          <w:szCs w:val="28"/>
        </w:rPr>
        <w:t>Stoumpos</w:t>
      </w:r>
      <w:proofErr w:type="spellEnd"/>
      <w:r w:rsidRPr="004866BF">
        <w:rPr>
          <w:rFonts w:ascii="Simplified Arabic" w:hAnsi="Simplified Arabic" w:cs="Simplified Arabic"/>
          <w:color w:val="000000" w:themeColor="text1"/>
          <w:sz w:val="28"/>
          <w:szCs w:val="28"/>
        </w:rPr>
        <w:t xml:space="preserve"> et al. (2023) </w:t>
      </w:r>
      <w:r w:rsidRPr="004866BF">
        <w:rPr>
          <w:rFonts w:ascii="Simplified Arabic" w:hAnsi="Simplified Arabic" w:cs="Simplified Arabic"/>
          <w:color w:val="000000" w:themeColor="text1"/>
          <w:sz w:val="28"/>
          <w:szCs w:val="28"/>
          <w:rtl/>
        </w:rPr>
        <w:t xml:space="preserve">على المراجعات المنهجية للأدبيات الغربية، مما يجعل نتائجها غير قابلة للتعميم المباشر على السياق السعودي الذي يتميز بخصوصية ثقافية وتنظيمية واستراتيجية مرتبطة برؤية 2030. أما الدراسات العربية، فقد أُجريت في سياقات أردنية كدراسة </w:t>
      </w:r>
      <w:proofErr w:type="spellStart"/>
      <w:r w:rsidRPr="004866BF">
        <w:rPr>
          <w:rFonts w:ascii="Simplified Arabic" w:hAnsi="Simplified Arabic" w:cs="Simplified Arabic"/>
          <w:color w:val="000000" w:themeColor="text1"/>
          <w:sz w:val="28"/>
          <w:szCs w:val="28"/>
          <w:rtl/>
        </w:rPr>
        <w:t>القطاونة</w:t>
      </w:r>
      <w:proofErr w:type="spellEnd"/>
      <w:r w:rsidRPr="004866BF">
        <w:rPr>
          <w:rFonts w:ascii="Simplified Arabic" w:hAnsi="Simplified Arabic" w:cs="Simplified Arabic"/>
          <w:color w:val="000000" w:themeColor="text1"/>
          <w:sz w:val="28"/>
          <w:szCs w:val="28"/>
          <w:rtl/>
        </w:rPr>
        <w:t xml:space="preserve"> </w:t>
      </w:r>
      <w:proofErr w:type="spellStart"/>
      <w:r w:rsidRPr="004866BF">
        <w:rPr>
          <w:rFonts w:ascii="Simplified Arabic" w:hAnsi="Simplified Arabic" w:cs="Simplified Arabic"/>
          <w:color w:val="000000" w:themeColor="text1"/>
          <w:sz w:val="28"/>
          <w:szCs w:val="28"/>
          <w:rtl/>
        </w:rPr>
        <w:t>والربابعة</w:t>
      </w:r>
      <w:proofErr w:type="spellEnd"/>
      <w:r w:rsidRPr="004866BF">
        <w:rPr>
          <w:rFonts w:ascii="Simplified Arabic" w:hAnsi="Simplified Arabic" w:cs="Simplified Arabic"/>
          <w:color w:val="000000" w:themeColor="text1"/>
          <w:sz w:val="28"/>
          <w:szCs w:val="28"/>
          <w:rtl/>
        </w:rPr>
        <w:t xml:space="preserve"> (2023) ودراسة العمريين </w:t>
      </w:r>
      <w:proofErr w:type="spellStart"/>
      <w:r w:rsidRPr="004866BF">
        <w:rPr>
          <w:rFonts w:ascii="Simplified Arabic" w:hAnsi="Simplified Arabic" w:cs="Simplified Arabic"/>
          <w:color w:val="000000" w:themeColor="text1"/>
          <w:sz w:val="28"/>
          <w:szCs w:val="28"/>
          <w:rtl/>
        </w:rPr>
        <w:t>والربابعة</w:t>
      </w:r>
      <w:proofErr w:type="spellEnd"/>
      <w:r w:rsidRPr="004866BF">
        <w:rPr>
          <w:rFonts w:ascii="Simplified Arabic" w:hAnsi="Simplified Arabic" w:cs="Simplified Arabic"/>
          <w:color w:val="000000" w:themeColor="text1"/>
          <w:sz w:val="28"/>
          <w:szCs w:val="28"/>
          <w:rtl/>
        </w:rPr>
        <w:t xml:space="preserve"> (2023) ودراسة الجبور والزيديين (2022)، وهي بيئات تختلف في بنيتها التحتية الرقمية ومستوى الاستثمار الصحي عن البيئة السعودية. ومن حيث تناول المتغيرات، يُلاحظ أن الدراسات السابقة عالجت أبعاد التحول الرقمي بشكل مُجزّأ ومنفصل؛ فبعضها ركّز على الذكاء الاصطناعي فقط كدراسة الخلايلة والصمادي (2021)، وبعضها تناول البوابات الرقمية دون غيرها كدراسة</w:t>
      </w:r>
      <w:r w:rsidRPr="004866BF">
        <w:rPr>
          <w:rFonts w:ascii="Simplified Arabic" w:hAnsi="Simplified Arabic" w:cs="Simplified Arabic"/>
          <w:color w:val="000000" w:themeColor="text1"/>
          <w:sz w:val="28"/>
          <w:szCs w:val="28"/>
        </w:rPr>
        <w:t xml:space="preserve"> Carini et al. (2021)</w:t>
      </w:r>
      <w:r w:rsidRPr="004866BF">
        <w:rPr>
          <w:rFonts w:ascii="Simplified Arabic" w:hAnsi="Simplified Arabic" w:cs="Simplified Arabic"/>
          <w:color w:val="000000" w:themeColor="text1"/>
          <w:sz w:val="28"/>
          <w:szCs w:val="28"/>
          <w:rtl/>
        </w:rPr>
        <w:t>، في حين ركّزت دراسات أخرى على جودة الرعاية الصحية دون ربطها بأبعاد التحول الرقمي كدراسة الجهني</w:t>
      </w:r>
      <w:r w:rsidRPr="004866BF">
        <w:rPr>
          <w:rFonts w:ascii="Simplified Arabic" w:hAnsi="Simplified Arabic" w:cs="Simplified Arabic"/>
          <w:color w:val="000000" w:themeColor="text1"/>
          <w:sz w:val="28"/>
          <w:szCs w:val="28"/>
        </w:rPr>
        <w:t xml:space="preserve"> (2023) </w:t>
      </w:r>
      <w:r w:rsidRPr="004866BF">
        <w:rPr>
          <w:rFonts w:ascii="Simplified Arabic" w:hAnsi="Simplified Arabic" w:cs="Simplified Arabic"/>
          <w:color w:val="000000" w:themeColor="text1"/>
          <w:sz w:val="28"/>
          <w:szCs w:val="28"/>
          <w:rtl/>
        </w:rPr>
        <w:t>ودراسة أبو دية وآخرون (2021). وبناءً على ذلك، تتجلّى الفجوة البحثية في غياب دراسة عربية تتناول الأثر التكاملي لأبعاد التحول الرقمي الأربعة مجتمعةً — السجلات الصحية الإلكترونية والتطبيب عن بُعد والذكاء الاصطناعي الصحي والبنية التحتية الرقمية الصحية — على جودة الرعاية الصحية في السياق السعودي تحديدًا، وفي ضوء مستهدفات رؤية 2030 التي تُوفّر إطارًا استراتيجيًا فريدًا لم تتناوله الدراسات السابقة بالقدر الكافي، وهو ما تسعى هذه الدراسة إلى تحقيقه</w:t>
      </w:r>
      <w:r w:rsidRPr="004866BF">
        <w:rPr>
          <w:rFonts w:ascii="Simplified Arabic" w:hAnsi="Simplified Arabic" w:cs="Simplified Arabic"/>
          <w:color w:val="000000" w:themeColor="text1"/>
          <w:sz w:val="28"/>
          <w:szCs w:val="28"/>
        </w:rPr>
        <w:t>.</w:t>
      </w:r>
    </w:p>
    <w:p w14:paraId="2FE7A9AD" w14:textId="77777777" w:rsidR="00387DE1" w:rsidRPr="004866BF" w:rsidRDefault="00387DE1" w:rsidP="00387DE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233424311"/>
      <w:bookmarkStart w:id="18" w:name="_Toc169790502"/>
      <w:bookmarkEnd w:id="16"/>
      <w:r w:rsidRPr="004866BF">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7"/>
    </w:p>
    <w:p w14:paraId="77B1187A" w14:textId="65650CAB" w:rsidR="00387DE1" w:rsidRPr="004866BF" w:rsidRDefault="00387DE1" w:rsidP="00387DE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866BF">
        <w:rPr>
          <w:rFonts w:ascii="Simplified Arabic" w:eastAsia="Times New Roman" w:hAnsi="Simplified Arabic" w:cs="Simplified Arabic"/>
          <w:b/>
          <w:bCs/>
          <w:color w:val="000000" w:themeColor="text1"/>
          <w:kern w:val="0"/>
          <w:sz w:val="32"/>
          <w:szCs w:val="32"/>
          <w:rtl/>
          <w14:ligatures w14:val="none"/>
        </w:rPr>
        <w:t>أولًا: التحول الرقمي في القطاع الصحي (المتغير المستقل)</w:t>
      </w:r>
    </w:p>
    <w:p w14:paraId="20DD7508"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شهد مفهوم التحول الرقمي تطورًا ملحوظًا في الأدبيات الأكاديمية خلال العقدين الأخيرين، حيث تجاوز دلالته الأولى المرتبطة بمجرد أتمتة العمليات وتحويلها من الصيغة الورقية إلى الإلكترونية، ليُصبح مفهومًا شاملًا يُشير إلى التغييرات الجوهرية في أساليب العمل والأدوار المؤسسية ونماذج تقديم الخدمات الناتجة عن التبنّي المنهجي والتكاملي للتقنيات الرقمية الحديثة. وفي السياق الصحي تحديدًا، يُعرَّف التحول الرقمي بأنه التكامل الشامل للتقنيات الرقمية وتحليلات البيانات والعمليات المبتكرة في مختلف مراحل تقديم الرعاية </w:t>
      </w:r>
      <w:r w:rsidRPr="004866BF">
        <w:rPr>
          <w:rFonts w:ascii="Simplified Arabic" w:eastAsia="Times New Roman" w:hAnsi="Simplified Arabic" w:cs="Simplified Arabic"/>
          <w:color w:val="000000" w:themeColor="text1"/>
          <w:kern w:val="0"/>
          <w:sz w:val="28"/>
          <w:szCs w:val="28"/>
          <w:rtl/>
          <w14:ligatures w14:val="none"/>
        </w:rPr>
        <w:lastRenderedPageBreak/>
        <w:t>الصحية، بهدف تحسين جودة الخدمات وتعزيز كفاءة الأداء المؤسسي وتمكين المرضى من الوصول إلى الرعاية بيسر وفاعلية</w:t>
      </w:r>
      <w:r w:rsidRPr="004866BF">
        <w:rPr>
          <w:rFonts w:ascii="Simplified Arabic" w:eastAsia="Times New Roman" w:hAnsi="Simplified Arabic" w:cs="Simplified Arabic"/>
          <w:color w:val="000000" w:themeColor="text1"/>
          <w:kern w:val="0"/>
          <w:sz w:val="28"/>
          <w:szCs w:val="28"/>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14:ligatures w14:val="none"/>
        </w:rPr>
        <w:t>Kwilinski</w:t>
      </w:r>
      <w:proofErr w:type="spellEnd"/>
      <w:r w:rsidRPr="004866BF">
        <w:rPr>
          <w:rFonts w:ascii="Simplified Arabic" w:eastAsia="Times New Roman" w:hAnsi="Simplified Arabic" w:cs="Simplified Arabic"/>
          <w:color w:val="000000" w:themeColor="text1"/>
          <w:kern w:val="0"/>
          <w:sz w:val="28"/>
          <w:szCs w:val="28"/>
          <w14:ligatures w14:val="none"/>
        </w:rPr>
        <w:t xml:space="preserve"> et al., 2023). </w:t>
      </w:r>
      <w:r w:rsidRPr="004866BF">
        <w:rPr>
          <w:rFonts w:ascii="Simplified Arabic" w:eastAsia="Times New Roman" w:hAnsi="Simplified Arabic" w:cs="Simplified Arabic"/>
          <w:color w:val="000000" w:themeColor="text1"/>
          <w:kern w:val="0"/>
          <w:sz w:val="28"/>
          <w:szCs w:val="28"/>
          <w:rtl/>
          <w14:ligatures w14:val="none"/>
        </w:rPr>
        <w:t>ولا يقتصر هذا التحول على إدخال أدوات تقنية جديدة، بل يمتد إلى إعادة هندسة البيئة التنظيمية والثقافة المؤسسية والعلاقة بين مقدّم الخدمة والمستفيد بما يتوافق مع متطلبات العصر الرقمي</w:t>
      </w:r>
      <w:r w:rsidRPr="004866BF">
        <w:rPr>
          <w:rFonts w:ascii="Simplified Arabic" w:eastAsia="Times New Roman" w:hAnsi="Simplified Arabic" w:cs="Simplified Arabic"/>
          <w:color w:val="000000" w:themeColor="text1"/>
          <w:kern w:val="0"/>
          <w:sz w:val="28"/>
          <w:szCs w:val="28"/>
          <w14:ligatures w14:val="none"/>
        </w:rPr>
        <w:t>.</w:t>
      </w:r>
    </w:p>
    <w:p w14:paraId="6ADF6ECC" w14:textId="63CA1F26"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وقد تعددت الأبعاد التي تناولتها الدراسات السابقة للتحول الرقمي الصحي، إلا أن هذه الدراسة تتبنّى أربعة أبعاد رئيسية تتسق مع السياق السعودي والمبادرات الفعلية لبرنامج تحول القطاع الصحي ضمن رؤية 2030، وهي</w:t>
      </w:r>
      <w:r w:rsidRPr="004866BF">
        <w:rPr>
          <w:rFonts w:ascii="Simplified Arabic" w:eastAsia="Times New Roman" w:hAnsi="Simplified Arabic" w:cs="Simplified Arabic"/>
          <w:color w:val="000000" w:themeColor="text1"/>
          <w:kern w:val="0"/>
          <w:sz w:val="28"/>
          <w:szCs w:val="28"/>
          <w14:ligatures w14:val="none"/>
        </w:rPr>
        <w:t>:</w:t>
      </w:r>
    </w:p>
    <w:p w14:paraId="18AA7F79"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السجلات الصحية الإلكترونية</w:t>
      </w:r>
      <w:r w:rsidRPr="004866BF">
        <w:rPr>
          <w:rFonts w:ascii="Simplified Arabic" w:eastAsia="Times New Roman" w:hAnsi="Simplified Arabic" w:cs="Simplified Arabic"/>
          <w:color w:val="000000" w:themeColor="text1"/>
          <w:kern w:val="0"/>
          <w:sz w:val="28"/>
          <w:szCs w:val="28"/>
          <w14:ligatures w14:val="none"/>
        </w:rPr>
        <w:t xml:space="preserve"> (Electronic Health Records - EHR): </w:t>
      </w:r>
      <w:r w:rsidRPr="004866BF">
        <w:rPr>
          <w:rFonts w:ascii="Simplified Arabic" w:eastAsia="Times New Roman" w:hAnsi="Simplified Arabic" w:cs="Simplified Arabic"/>
          <w:color w:val="000000" w:themeColor="text1"/>
          <w:kern w:val="0"/>
          <w:sz w:val="28"/>
          <w:szCs w:val="28"/>
          <w:rtl/>
          <w14:ligatures w14:val="none"/>
        </w:rPr>
        <w:t>وتُعرَّف بأنها أنظمة رقمية مُصمّمة لتوثيق البيانات الصحية للمرضى وتخزينها واسترجاعها ومشاركتها بين مقدّمي الرعاية الصحية بشكل آمن وفوري عبر المنشآت الصحية المختلفة. وتُسهم هذه السجلات في تحسين التنسيق بين مقدّمي الخدمة والحدّ من الأخطاء الطبية وتسريع عمليات التشخيص واتخاذ القرار السريري، وقد أكدت دراسة</w:t>
      </w:r>
      <w:r w:rsidRPr="004866BF">
        <w:rPr>
          <w:rFonts w:ascii="Simplified Arabic" w:eastAsia="Times New Roman" w:hAnsi="Simplified Arabic" w:cs="Simplified Arabic"/>
          <w:color w:val="000000" w:themeColor="text1"/>
          <w:kern w:val="0"/>
          <w:sz w:val="28"/>
          <w:szCs w:val="28"/>
          <w14:ligatures w14:val="none"/>
        </w:rPr>
        <w:t xml:space="preserve"> Carini et al. (2021) </w:t>
      </w:r>
      <w:r w:rsidRPr="004866BF">
        <w:rPr>
          <w:rFonts w:ascii="Simplified Arabic" w:eastAsia="Times New Roman" w:hAnsi="Simplified Arabic" w:cs="Simplified Arabic"/>
          <w:color w:val="000000" w:themeColor="text1"/>
          <w:kern w:val="0"/>
          <w:sz w:val="28"/>
          <w:szCs w:val="28"/>
          <w:rtl/>
          <w14:ligatures w14:val="none"/>
        </w:rPr>
        <w:t>دورها في تحسين المخرجات الصحية من خلال تمكين المرضى من الوصول إلى بياناتهم الصحية عبر البوابات الرقمية. وتستهدف المملكة العربية السعودية ضمن برنامج تحول القطاع الصحي تعميم السجل الطبي الرقمي الموحد ليشمل 100% من السكان</w:t>
      </w:r>
      <w:r w:rsidRPr="004866BF">
        <w:rPr>
          <w:rFonts w:ascii="Simplified Arabic" w:eastAsia="Times New Roman" w:hAnsi="Simplified Arabic" w:cs="Simplified Arabic"/>
          <w:color w:val="000000" w:themeColor="text1"/>
          <w:kern w:val="0"/>
          <w:sz w:val="28"/>
          <w:szCs w:val="28"/>
          <w14:ligatures w14:val="none"/>
        </w:rPr>
        <w:t>.</w:t>
      </w:r>
    </w:p>
    <w:p w14:paraId="5FE90611"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التطبيب عن بُعد</w:t>
      </w:r>
      <w:r w:rsidRPr="004866BF">
        <w:rPr>
          <w:rFonts w:ascii="Simplified Arabic" w:eastAsia="Times New Roman" w:hAnsi="Simplified Arabic" w:cs="Simplified Arabic"/>
          <w:color w:val="000000" w:themeColor="text1"/>
          <w:kern w:val="0"/>
          <w:sz w:val="28"/>
          <w:szCs w:val="28"/>
          <w14:ligatures w14:val="none"/>
        </w:rPr>
        <w:t xml:space="preserve"> (Telemedicine): </w:t>
      </w:r>
      <w:r w:rsidRPr="004866BF">
        <w:rPr>
          <w:rFonts w:ascii="Simplified Arabic" w:eastAsia="Times New Roman" w:hAnsi="Simplified Arabic" w:cs="Simplified Arabic"/>
          <w:color w:val="000000" w:themeColor="text1"/>
          <w:kern w:val="0"/>
          <w:sz w:val="28"/>
          <w:szCs w:val="28"/>
          <w:rtl/>
          <w14:ligatures w14:val="none"/>
        </w:rPr>
        <w:t>ويُعرَّف بأنه استخدام تقنيات الاتصالات والمعلومات لتقديم الخدمات الصحية والاستشارات الطبية والمتابعات السريرية عن بُعد، دون الحاجة إلى التواجد الجسدي المشترك بين المريض ومقدّم الخدمة في المكان ذاته. ويُتيح هذا البُعد توسيع نطاق الوصول إلى الرعاية الصحية المتخصصة وتقليل الفجوة بين المناطق الحضرية والريفية وخفض أوقات الانتظار. وقد أشارت دراسة</w:t>
      </w:r>
      <w:r w:rsidRPr="004866BF">
        <w:rPr>
          <w:rFonts w:ascii="Simplified Arabic" w:eastAsia="Times New Roman" w:hAnsi="Simplified Arabic" w:cs="Simplified Arabic"/>
          <w:color w:val="000000" w:themeColor="text1"/>
          <w:kern w:val="0"/>
          <w:sz w:val="28"/>
          <w:szCs w:val="28"/>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14:ligatures w14:val="none"/>
        </w:rPr>
        <w:t>Stoumpos</w:t>
      </w:r>
      <w:proofErr w:type="spellEnd"/>
      <w:r w:rsidRPr="004866BF">
        <w:rPr>
          <w:rFonts w:ascii="Simplified Arabic" w:eastAsia="Times New Roman" w:hAnsi="Simplified Arabic" w:cs="Simplified Arabic"/>
          <w:color w:val="000000" w:themeColor="text1"/>
          <w:kern w:val="0"/>
          <w:sz w:val="28"/>
          <w:szCs w:val="28"/>
          <w14:ligatures w14:val="none"/>
        </w:rPr>
        <w:t xml:space="preserve"> et al. (2023) </w:t>
      </w:r>
      <w:r w:rsidRPr="004866BF">
        <w:rPr>
          <w:rFonts w:ascii="Simplified Arabic" w:eastAsia="Times New Roman" w:hAnsi="Simplified Arabic" w:cs="Simplified Arabic"/>
          <w:color w:val="000000" w:themeColor="text1"/>
          <w:kern w:val="0"/>
          <w:sz w:val="28"/>
          <w:szCs w:val="28"/>
          <w:rtl/>
          <w14:ligatures w14:val="none"/>
        </w:rPr>
        <w:t>إلى أن التطبيب عن بُعد يُعدّ من أبرز محركات التحول الرقمي الصحي الذي شهد تسارعًا ملحوظًا في أعقاب جائحة كوفيد-19. وفي السياق السعودي، يُجسّد مستشفى صحة الافتراضي وتطبيق "صحتي" نماذج رائدة في هذا المجال</w:t>
      </w:r>
      <w:r w:rsidRPr="004866BF">
        <w:rPr>
          <w:rFonts w:ascii="Simplified Arabic" w:eastAsia="Times New Roman" w:hAnsi="Simplified Arabic" w:cs="Simplified Arabic"/>
          <w:color w:val="000000" w:themeColor="text1"/>
          <w:kern w:val="0"/>
          <w:sz w:val="28"/>
          <w:szCs w:val="28"/>
          <w14:ligatures w14:val="none"/>
        </w:rPr>
        <w:t>.</w:t>
      </w:r>
    </w:p>
    <w:p w14:paraId="099AB476"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الذكاء الاصطناعي الصحي</w:t>
      </w:r>
      <w:r w:rsidRPr="004866BF">
        <w:rPr>
          <w:rFonts w:ascii="Simplified Arabic" w:eastAsia="Times New Roman" w:hAnsi="Simplified Arabic" w:cs="Simplified Arabic"/>
          <w:color w:val="000000" w:themeColor="text1"/>
          <w:kern w:val="0"/>
          <w:sz w:val="28"/>
          <w:szCs w:val="28"/>
          <w14:ligatures w14:val="none"/>
        </w:rPr>
        <w:t xml:space="preserve"> (Health Artificial Intelligence): </w:t>
      </w:r>
      <w:r w:rsidRPr="004866BF">
        <w:rPr>
          <w:rFonts w:ascii="Simplified Arabic" w:eastAsia="Times New Roman" w:hAnsi="Simplified Arabic" w:cs="Simplified Arabic"/>
          <w:color w:val="000000" w:themeColor="text1"/>
          <w:kern w:val="0"/>
          <w:sz w:val="28"/>
          <w:szCs w:val="28"/>
          <w:rtl/>
          <w14:ligatures w14:val="none"/>
        </w:rPr>
        <w:t xml:space="preserve">ويُعرَّف بأنه توظيف خوارزميات التعلم الآلي وتقنيات الذكاء الاصطناعي في تحليل البيانات الصحية الضخمة ودعم القرار السريري وتشخيص الأمراض والتنبؤ بالمخاطر الصحية وتخصيص خطط العلاج. وقد أوضحت دراسة الخلايلة </w:t>
      </w:r>
      <w:r w:rsidRPr="004866BF">
        <w:rPr>
          <w:rFonts w:ascii="Simplified Arabic" w:eastAsia="Times New Roman" w:hAnsi="Simplified Arabic" w:cs="Simplified Arabic"/>
          <w:color w:val="000000" w:themeColor="text1"/>
          <w:kern w:val="0"/>
          <w:sz w:val="28"/>
          <w:szCs w:val="28"/>
          <w:rtl/>
          <w14:ligatures w14:val="none"/>
        </w:rPr>
        <w:lastRenderedPageBreak/>
        <w:t xml:space="preserve">والصمادي </w:t>
      </w:r>
      <w:r w:rsidRPr="004866BF">
        <w:rPr>
          <w:rFonts w:ascii="Simplified Arabic" w:eastAsia="Times New Roman" w:hAnsi="Simplified Arabic" w:cs="Simplified Arabic"/>
          <w:color w:val="000000" w:themeColor="text1"/>
          <w:kern w:val="0"/>
          <w:sz w:val="28"/>
          <w:szCs w:val="28"/>
          <w14:ligatures w14:val="none"/>
        </w:rPr>
        <w:t xml:space="preserve">(2021) </w:t>
      </w:r>
      <w:r w:rsidRPr="004866BF">
        <w:rPr>
          <w:rFonts w:ascii="Simplified Arabic" w:eastAsia="Times New Roman" w:hAnsi="Simplified Arabic" w:cs="Simplified Arabic"/>
          <w:color w:val="000000" w:themeColor="text1"/>
          <w:kern w:val="0"/>
          <w:sz w:val="28"/>
          <w:szCs w:val="28"/>
          <w:rtl/>
          <w14:ligatures w14:val="none"/>
        </w:rPr>
        <w:t>أن أبعاد الذكاء الاصطناعي تُسهم بشكل دال إحصائيًا في تحسين جودة الرعاية الصحية. ويُوظّف الذكاء الاصطناعي في المملكة العربية السعودية في مجالات متعددة تشمل تفسير صور الأشعة والتنبؤ بمسارات الأمراض المزمنة والفحص المبكر، حيث حققت بعض الخوارزميات دقة تشخيصية بلغت 95% في بيئات محكّمة</w:t>
      </w:r>
      <w:r w:rsidRPr="004866BF">
        <w:rPr>
          <w:rFonts w:ascii="Simplified Arabic" w:eastAsia="Times New Roman" w:hAnsi="Simplified Arabic" w:cs="Simplified Arabic"/>
          <w:color w:val="000000" w:themeColor="text1"/>
          <w:kern w:val="0"/>
          <w:sz w:val="28"/>
          <w:szCs w:val="28"/>
          <w14:ligatures w14:val="none"/>
        </w:rPr>
        <w:t>.</w:t>
      </w:r>
    </w:p>
    <w:p w14:paraId="0F09D721"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البنية التحتية الرقمية الصحية</w:t>
      </w:r>
      <w:r w:rsidRPr="004866BF">
        <w:rPr>
          <w:rFonts w:ascii="Simplified Arabic" w:eastAsia="Times New Roman" w:hAnsi="Simplified Arabic" w:cs="Simplified Arabic"/>
          <w:color w:val="000000" w:themeColor="text1"/>
          <w:kern w:val="0"/>
          <w:sz w:val="28"/>
          <w:szCs w:val="28"/>
          <w14:ligatures w14:val="none"/>
        </w:rPr>
        <w:t xml:space="preserve"> (Digital Health Infrastructure): </w:t>
      </w:r>
      <w:r w:rsidRPr="004866BF">
        <w:rPr>
          <w:rFonts w:ascii="Simplified Arabic" w:eastAsia="Times New Roman" w:hAnsi="Simplified Arabic" w:cs="Simplified Arabic"/>
          <w:color w:val="000000" w:themeColor="text1"/>
          <w:kern w:val="0"/>
          <w:sz w:val="28"/>
          <w:szCs w:val="28"/>
          <w:rtl/>
          <w14:ligatures w14:val="none"/>
        </w:rPr>
        <w:t>وتُعرَّف بأنها المنظومة التقنية المتكاملة التي تتضمن الشبكات والخوادم والحوسبة السحابية وأنظمة أمن المعلومات ومنصات التشغيل البيني التي تُشكّل الأساس التقني اللازم لتشغيل التطبيقات الرقمية الصحية المختلفة وضمان استمراريتها وكفاءتها. وقد أكدت دراسة</w:t>
      </w:r>
      <w:r w:rsidRPr="004866BF">
        <w:rPr>
          <w:rFonts w:ascii="Simplified Arabic" w:eastAsia="Times New Roman" w:hAnsi="Simplified Arabic" w:cs="Simplified Arabic"/>
          <w:color w:val="000000" w:themeColor="text1"/>
          <w:kern w:val="0"/>
          <w:sz w:val="28"/>
          <w:szCs w:val="28"/>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14:ligatures w14:val="none"/>
        </w:rPr>
        <w:t>V</w:t>
      </w:r>
      <w:r w:rsidRPr="004866BF">
        <w:rPr>
          <w:rFonts w:ascii="Cambria" w:eastAsia="Times New Roman" w:hAnsi="Cambria" w:cs="Cambria"/>
          <w:color w:val="000000" w:themeColor="text1"/>
          <w:kern w:val="0"/>
          <w:sz w:val="28"/>
          <w:szCs w:val="28"/>
          <w14:ligatures w14:val="none"/>
        </w:rPr>
        <w:t>ă</w:t>
      </w:r>
      <w:r w:rsidRPr="004866BF">
        <w:rPr>
          <w:rFonts w:ascii="Simplified Arabic" w:eastAsia="Times New Roman" w:hAnsi="Simplified Arabic" w:cs="Simplified Arabic"/>
          <w:color w:val="000000" w:themeColor="text1"/>
          <w:kern w:val="0"/>
          <w:sz w:val="28"/>
          <w:szCs w:val="28"/>
          <w14:ligatures w14:val="none"/>
        </w:rPr>
        <w:t>rzaru</w:t>
      </w:r>
      <w:proofErr w:type="spellEnd"/>
      <w:r w:rsidRPr="004866BF">
        <w:rPr>
          <w:rFonts w:ascii="Simplified Arabic" w:eastAsia="Times New Roman" w:hAnsi="Simplified Arabic" w:cs="Simplified Arabic"/>
          <w:color w:val="000000" w:themeColor="text1"/>
          <w:kern w:val="0"/>
          <w:sz w:val="28"/>
          <w:szCs w:val="28"/>
          <w14:ligatures w14:val="none"/>
        </w:rPr>
        <w:t xml:space="preserve"> &amp; </w:t>
      </w:r>
      <w:proofErr w:type="spellStart"/>
      <w:r w:rsidRPr="004866BF">
        <w:rPr>
          <w:rFonts w:ascii="Simplified Arabic" w:eastAsia="Times New Roman" w:hAnsi="Simplified Arabic" w:cs="Simplified Arabic"/>
          <w:color w:val="000000" w:themeColor="text1"/>
          <w:kern w:val="0"/>
          <w:sz w:val="28"/>
          <w:szCs w:val="28"/>
          <w14:ligatures w14:val="none"/>
        </w:rPr>
        <w:t>Bocean</w:t>
      </w:r>
      <w:proofErr w:type="spellEnd"/>
      <w:r w:rsidRPr="004866BF">
        <w:rPr>
          <w:rFonts w:ascii="Simplified Arabic" w:eastAsia="Times New Roman" w:hAnsi="Simplified Arabic" w:cs="Simplified Arabic"/>
          <w:color w:val="000000" w:themeColor="text1"/>
          <w:kern w:val="0"/>
          <w:sz w:val="28"/>
          <w:szCs w:val="28"/>
          <w14:ligatures w14:val="none"/>
        </w:rPr>
        <w:t xml:space="preserve"> (2024) </w:t>
      </w:r>
      <w:r w:rsidRPr="004866BF">
        <w:rPr>
          <w:rFonts w:ascii="Simplified Arabic" w:eastAsia="Times New Roman" w:hAnsi="Simplified Arabic" w:cs="Simplified Arabic"/>
          <w:color w:val="000000" w:themeColor="text1"/>
          <w:kern w:val="0"/>
          <w:sz w:val="28"/>
          <w:szCs w:val="28"/>
          <w:rtl/>
          <w14:ligatures w14:val="none"/>
        </w:rPr>
        <w:t>أن الحوسبة السحابية وإنترنت الأشياء من أكثر مكونات البنية التحتية الرقمية تأثيرًا على الابتكار المؤسسي. وتُعدّ البنية التحتية الرقمية الركيزة التي تقوم عليها جميع الأبعاد الأخرى، إذ لا يمكن تفعيل السجلات الصحية الإلكترونية أو التطبيب عن بُعد أو الذكاء الاصطناعي دون بنية تحتية رقمية متينة وآمنة</w:t>
      </w:r>
      <w:r w:rsidRPr="004866BF">
        <w:rPr>
          <w:rFonts w:ascii="Simplified Arabic" w:eastAsia="Times New Roman" w:hAnsi="Simplified Arabic" w:cs="Simplified Arabic"/>
          <w:color w:val="000000" w:themeColor="text1"/>
          <w:kern w:val="0"/>
          <w:sz w:val="28"/>
          <w:szCs w:val="28"/>
          <w14:ligatures w14:val="none"/>
        </w:rPr>
        <w:t>.</w:t>
      </w:r>
    </w:p>
    <w:p w14:paraId="078ED2AD" w14:textId="77777777" w:rsidR="00FD52D9" w:rsidRPr="004866BF" w:rsidRDefault="00FD52D9" w:rsidP="00387DE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4107320"/>
      <w:r w:rsidRPr="004866BF">
        <w:rPr>
          <w:rFonts w:ascii="Simplified Arabic" w:eastAsia="Times New Roman" w:hAnsi="Simplified Arabic" w:cs="Simplified Arabic"/>
          <w:b/>
          <w:bCs/>
          <w:color w:val="000000" w:themeColor="text1"/>
          <w:kern w:val="0"/>
          <w:sz w:val="32"/>
          <w:szCs w:val="32"/>
          <w:rtl/>
          <w14:ligatures w14:val="none"/>
        </w:rPr>
        <w:t>ثانيًا: جودة الرعاية الصحية (المتغير التابع)</w:t>
      </w:r>
      <w:bookmarkEnd w:id="19"/>
    </w:p>
    <w:p w14:paraId="0D34E77B"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يُعدّ مفهوم جودة الرعاية الصحية من المفاهيم المحورية في أدبيات الإدارة الصحية، وقد تعددت التعريفات التي تناولته</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t>ويُعرّفه معهد الطب الأمريكي</w:t>
      </w:r>
      <w:r w:rsidRPr="004866BF">
        <w:rPr>
          <w:rFonts w:ascii="Simplified Arabic" w:eastAsia="Times New Roman" w:hAnsi="Simplified Arabic" w:cs="Simplified Arabic"/>
          <w:color w:val="000000" w:themeColor="text1"/>
          <w:kern w:val="0"/>
          <w:sz w:val="28"/>
          <w:szCs w:val="28"/>
          <w14:ligatures w14:val="none"/>
        </w:rPr>
        <w:t xml:space="preserve"> (Institute of Medicine - IOM) </w:t>
      </w:r>
      <w:r w:rsidRPr="004866BF">
        <w:rPr>
          <w:rFonts w:ascii="Simplified Arabic" w:eastAsia="Times New Roman" w:hAnsi="Simplified Arabic" w:cs="Simplified Arabic"/>
          <w:color w:val="000000" w:themeColor="text1"/>
          <w:kern w:val="0"/>
          <w:sz w:val="28"/>
          <w:szCs w:val="28"/>
          <w:rtl/>
          <w14:ligatures w14:val="none"/>
        </w:rPr>
        <w:t>بأنه "الدرجة التي تزيد بها الخدمات الصحية المقدّمة للأفراد والمجتمعات من احتمالية تحقيق النتائج الصحية المرجوّة، بما يتسق مع المعرفة المهنية المعاصرة</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t>ويتضمن هذا التعريف بُعدين جوهريين: الأول يتصل بالمخرجات الصحية التي ينبغي أن تتوافق مع توقعات المرضى واحتياجاتهم، والثاني يتصل بالالتزام بأحدث الممارسات الطبية القائمة على الأدلة. وقد حدّد معهد الطب الأمريكي ستة أبعاد أساسية لجودة الرعاية الصحية تشمل: السلامة والفاعلية والتمركز حول المريض والكفاءة والعدالة وحُسن التوقيت</w:t>
      </w:r>
      <w:r w:rsidRPr="004866BF">
        <w:rPr>
          <w:rFonts w:ascii="Simplified Arabic" w:eastAsia="Times New Roman" w:hAnsi="Simplified Arabic" w:cs="Simplified Arabic"/>
          <w:color w:val="000000" w:themeColor="text1"/>
          <w:kern w:val="0"/>
          <w:sz w:val="28"/>
          <w:szCs w:val="28"/>
          <w14:ligatures w14:val="none"/>
        </w:rPr>
        <w:t>.</w:t>
      </w:r>
    </w:p>
    <w:p w14:paraId="41A108BD"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وفي إطار هذه الدراسة، يُقاس مفهوم جودة الرعاية الصحية بوصفه متغيرًا أحاديّ المحور يعكس تقييم العاملين في المنشآت الصحية السعودية لمستوى جودة الرعاية المقدّمة من حيث دقة التشخيص وسرعة الاستجابة وسلامة المرضى ورضاهم وكفاءة التنسيق بين مقدّمي الخدمة</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t>وقد أشارت دراسة الجهني (2023) إلى أن جودة الرعاية الصحية تتضمن أبعادًا متعددة تشمل الاستجابة والاعتمادية والضمان والملموسية والتعاطف، وهي أبعاد تتأثر بشكل مباشر بمستوى التبنّي الرقمي في المنشآت الصحية</w:t>
      </w:r>
      <w:r w:rsidRPr="004866BF">
        <w:rPr>
          <w:rFonts w:ascii="Simplified Arabic" w:eastAsia="Times New Roman" w:hAnsi="Simplified Arabic" w:cs="Simplified Arabic"/>
          <w:color w:val="000000" w:themeColor="text1"/>
          <w:kern w:val="0"/>
          <w:sz w:val="28"/>
          <w:szCs w:val="28"/>
          <w14:ligatures w14:val="none"/>
        </w:rPr>
        <w:t>.</w:t>
      </w:r>
    </w:p>
    <w:p w14:paraId="59D91732" w14:textId="77777777" w:rsidR="00FD52D9" w:rsidRPr="004866BF" w:rsidRDefault="00FD52D9" w:rsidP="00387DE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4107321"/>
      <w:r w:rsidRPr="004866BF">
        <w:rPr>
          <w:rFonts w:ascii="Simplified Arabic" w:eastAsia="Times New Roman" w:hAnsi="Simplified Arabic" w:cs="Simplified Arabic"/>
          <w:b/>
          <w:bCs/>
          <w:color w:val="000000" w:themeColor="text1"/>
          <w:kern w:val="0"/>
          <w:sz w:val="32"/>
          <w:szCs w:val="32"/>
          <w:rtl/>
          <w14:ligatures w14:val="none"/>
        </w:rPr>
        <w:lastRenderedPageBreak/>
        <w:t>ثالثًا: رؤية المملكة العربية السعودية 2030 وبرنامج تحول القطاع الصحي</w:t>
      </w:r>
      <w:bookmarkEnd w:id="20"/>
    </w:p>
    <w:p w14:paraId="785BBF83"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تُمثّل رؤية المملكة العربية السعودية 2030 الإطار الاستراتيجي الشامل الذي أُطلق في أبريل 2016م بهدف تنويع الاقتصاد الوطني وتحسين جودة الحياة وتعزيز كفاءة الخدمات العامة. ويُعدّ برنامج تحول القطاع الصحي أحد البرامج التنفيذية الرئيسية لهذه الرؤية، ويهدف إلى إعادة هيكلة القطاع الصحي ليكون نظامًا صحيًا شاملًا وفعالًا ومتكاملًا يرتكز على صحة الإنسان. ويسعى البرنامج إلى تحقيق أربعة أهداف استراتيجية تشمل: تسهيل الحصول على الخدمات الصحية، وتحسين جودة الخدمات الصحية وكفاءتها، وتعزيز الوقاية ضد المخاطر الصحية، وتعزيز سلامة المرضى. وقد اعتمد البرنامج التحول الرقمي الصحي ركيزةً أساسيةً لتحقيق هذه الأهداف، من خلال مبادرات تشمل تعميم السجل الطبي الرقمي الموحد والتوسع في خدمات التطبيب عن بُعد وتوظيف الذكاء الاصطناعي في الممارسة السريرية وتطوير البنية التحتية الرقمية للمنشآت الصحية (</w:t>
      </w:r>
      <w:proofErr w:type="spellStart"/>
      <w:r w:rsidRPr="004866BF">
        <w:rPr>
          <w:rFonts w:ascii="Simplified Arabic" w:eastAsia="Times New Roman" w:hAnsi="Simplified Arabic" w:cs="Simplified Arabic"/>
          <w:color w:val="000000" w:themeColor="text1"/>
          <w:kern w:val="0"/>
          <w:sz w:val="28"/>
          <w:szCs w:val="28"/>
          <w:rtl/>
          <w14:ligatures w14:val="none"/>
        </w:rPr>
        <w:t>القطاونة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والربابعة</w:t>
      </w:r>
      <w:proofErr w:type="spellEnd"/>
      <w:r w:rsidRPr="004866BF">
        <w:rPr>
          <w:rFonts w:ascii="Simplified Arabic" w:eastAsia="Times New Roman" w:hAnsi="Simplified Arabic" w:cs="Simplified Arabic"/>
          <w:color w:val="000000" w:themeColor="text1"/>
          <w:kern w:val="0"/>
          <w:sz w:val="28"/>
          <w:szCs w:val="28"/>
          <w:rtl/>
          <w14:ligatures w14:val="none"/>
        </w:rPr>
        <w:t>، 2023)</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t>وتتقاطع هذه المبادرات مع أبعاد التحول الرقمي المُتبنّاة في هذه الدراسة، مما يُتيح فحص العلاقة بين التحول الرقمي وجودة الرعاية الصحية في سياق استراتيجي وطني محدد ومُوجَّه بأهداف قابلة للقياس</w:t>
      </w:r>
      <w:r w:rsidRPr="004866BF">
        <w:rPr>
          <w:rFonts w:ascii="Simplified Arabic" w:eastAsia="Times New Roman" w:hAnsi="Simplified Arabic" w:cs="Simplified Arabic"/>
          <w:color w:val="000000" w:themeColor="text1"/>
          <w:kern w:val="0"/>
          <w:sz w:val="28"/>
          <w:szCs w:val="28"/>
          <w14:ligatures w14:val="none"/>
        </w:rPr>
        <w:t>.</w:t>
      </w:r>
    </w:p>
    <w:p w14:paraId="16FFF12A" w14:textId="5974E155" w:rsidR="00387DE1" w:rsidRPr="004866BF" w:rsidRDefault="00387DE1" w:rsidP="00387DE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1" w:name="_Toc233424312"/>
      <w:bookmarkStart w:id="22" w:name="_Toc169790506"/>
      <w:bookmarkEnd w:id="18"/>
      <w:r w:rsidRPr="004866BF">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1"/>
    </w:p>
    <w:p w14:paraId="3CA72F37"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تسعى الدراسة الحالية إلى قياس أثر التحول الرقمي بأبعاده الأربعة على جودة الرعاية الصحية في المملكة العربية السعودية، وهو ما يستدعي اعتماد المنهج الوصفي التحليلي بوصفه المنهج الأنسب لتحقيق أهداف الدراسة والإجابة عن أسئلتها واختبار فروضها. ويُعدّ هذا المنهج من أكثر المناهج البحثية ملاءمةً للدراسات التي تهدف إلى وصف الظاهرة موضع الدراسة وصفًا دقيقًا، وتحليل العلاقات بين متغيراتها، والكشف عن الأثر بين المتغير المستقل والمتغير التابع استنادًا إلى بيانات كمية يتم جمعها من الميدان. وسيُمكّن هذا المنهج الباحث من رصد واقع التحول الرقمي ومستوى جودة الرعاية الصحية في المنشآت الصحية السعودية، ومن ثمّ تحليل طبيعة العلاقة الأثرية بينهما تحليلًا إحصائيًا معمّقًا</w:t>
      </w:r>
      <w:r w:rsidRPr="004866BF">
        <w:rPr>
          <w:rFonts w:ascii="Simplified Arabic" w:eastAsia="Times New Roman" w:hAnsi="Simplified Arabic" w:cs="Simplified Arabic"/>
          <w:color w:val="000000" w:themeColor="text1"/>
          <w:kern w:val="0"/>
          <w:sz w:val="28"/>
          <w:szCs w:val="28"/>
          <w14:ligatures w14:val="none"/>
        </w:rPr>
        <w:t>.</w:t>
      </w:r>
    </w:p>
    <w:p w14:paraId="74CB275F"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وفي إطار هذا المنهج، سيعتمد الباحث على أسلوب المسح الميداني باستخدام الاستبانة أداةً رئيسيةً لجمع البيانات الأولية من أفراد عيّنة الدراسة، إلى جانب المصادر الثانوية المتمثلة في الكتب والدوريات العلمية والرسائل الجامعية والتقارير الرسمية. وسيتم تحليل البيانات المُجمّعة باستخدام الأساليب الإحصائية </w:t>
      </w:r>
      <w:r w:rsidRPr="004866BF">
        <w:rPr>
          <w:rFonts w:ascii="Simplified Arabic" w:eastAsia="Times New Roman" w:hAnsi="Simplified Arabic" w:cs="Simplified Arabic"/>
          <w:color w:val="000000" w:themeColor="text1"/>
          <w:kern w:val="0"/>
          <w:sz w:val="28"/>
          <w:szCs w:val="28"/>
          <w:rtl/>
          <w14:ligatures w14:val="none"/>
        </w:rPr>
        <w:lastRenderedPageBreak/>
        <w:t>الوصفية والاستدلالية المناسبة، بما يُتيح اختبار الفروض واستخلاص النتائج بدرجة عالية من الموثوقية والدقة العلمية، وبما يتّسق مع طبيعة الدراسات الكمية في مجال الإدارة الصحية</w:t>
      </w:r>
      <w:r w:rsidRPr="004866BF">
        <w:rPr>
          <w:rFonts w:ascii="Simplified Arabic" w:eastAsia="Times New Roman" w:hAnsi="Simplified Arabic" w:cs="Simplified Arabic"/>
          <w:color w:val="000000" w:themeColor="text1"/>
          <w:kern w:val="0"/>
          <w:sz w:val="28"/>
          <w:szCs w:val="28"/>
          <w14:ligatures w14:val="none"/>
        </w:rPr>
        <w:t>.</w:t>
      </w:r>
    </w:p>
    <w:p w14:paraId="30B251E9" w14:textId="647415C5" w:rsidR="00FD52D9" w:rsidRPr="004866BF" w:rsidRDefault="00387DE1" w:rsidP="00387DE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3" w:name="_Toc233424313"/>
      <w:r w:rsidRPr="004866BF">
        <w:rPr>
          <w:rFonts w:ascii="Simplified Arabic" w:eastAsia="Times New Roman" w:hAnsi="Simplified Arabic" w:cs="Simplified Arabic"/>
          <w:b/>
          <w:bCs/>
          <w:color w:val="000000" w:themeColor="text1"/>
          <w:kern w:val="0"/>
          <w:sz w:val="36"/>
          <w:szCs w:val="36"/>
          <w:rtl/>
          <w14:ligatures w14:val="none"/>
        </w:rPr>
        <w:t>11.1 مجتمع الدراسة وعيّنتها</w:t>
      </w:r>
      <w:bookmarkEnd w:id="23"/>
    </w:p>
    <w:p w14:paraId="12411156"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المنشآت الصحية التابعة لوزارة الصحة في المملكة العربية السعودية، والذين يشملون الأطباء البشريين وأطباء الأسنان والممرضين والصيادلة والفنيين الصحيين والفئات الطبية المساعدة. ووفقًا لأحدث البيانات الصادرة عن الهيئة العامة للإحصاء ضمن نشرة إحصاءات المنشآت والقوى العاملة الصحية لعام </w:t>
      </w:r>
      <w:r w:rsidRPr="004866BF">
        <w:rPr>
          <w:rFonts w:ascii="Simplified Arabic" w:eastAsia="Times New Roman" w:hAnsi="Simplified Arabic" w:cs="Simplified Arabic"/>
          <w:color w:val="000000" w:themeColor="text1"/>
          <w:kern w:val="0"/>
          <w:sz w:val="28"/>
          <w:szCs w:val="28"/>
          <w14:ligatures w14:val="none"/>
        </w:rPr>
        <w:t>2024</w:t>
      </w:r>
      <w:r w:rsidRPr="004866BF">
        <w:rPr>
          <w:rFonts w:ascii="Simplified Arabic" w:eastAsia="Times New Roman" w:hAnsi="Simplified Arabic" w:cs="Simplified Arabic"/>
          <w:color w:val="000000" w:themeColor="text1"/>
          <w:kern w:val="0"/>
          <w:sz w:val="28"/>
          <w:szCs w:val="28"/>
          <w:rtl/>
          <w14:ligatures w14:val="none"/>
        </w:rPr>
        <w:t>م، فقد بلغ إجمالي عدد الممارسين الصحيين في المملكة (681,914) ممارسًا صحيًا يعملون في (516) مستشفى حكوميًا وخاصًا، فضلًا عن (5,779) مركز رعاية صحية أولية ومجمعًا طبيًا. ويُمثّل هذا المجتمع الكبير والمتنوع قاعدة واسعة تضم مختلف التخصصات الصحية والمستويات الوظيفية، مما يُعزّز من قابلية تعميم نتائج الدراسة</w:t>
      </w:r>
      <w:r w:rsidRPr="004866BF">
        <w:rPr>
          <w:rFonts w:ascii="Simplified Arabic" w:eastAsia="Times New Roman" w:hAnsi="Simplified Arabic" w:cs="Simplified Arabic"/>
          <w:color w:val="000000" w:themeColor="text1"/>
          <w:kern w:val="0"/>
          <w:sz w:val="28"/>
          <w:szCs w:val="28"/>
          <w14:ligatures w14:val="none"/>
        </w:rPr>
        <w:t>.</w:t>
      </w:r>
    </w:p>
    <w:p w14:paraId="6542DBB1"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ونظرًا لكبر حجم مجتمع الدراسة وتوزّعه على مناطق جغرافية متعددة، سيتم اختيار عيّنة عشوائية طبقية من العاملين في المنشآت الصحية بمدينة الرياض بوصفها أكبر المناطق من حيث عدد المنشآت الصحية (115 مستشفى). وسيتم تحديد حجم العيّنة وفقًا لمعادلة </w:t>
      </w:r>
      <w:proofErr w:type="spellStart"/>
      <w:r w:rsidRPr="004866BF">
        <w:rPr>
          <w:rFonts w:ascii="Simplified Arabic" w:eastAsia="Times New Roman" w:hAnsi="Simplified Arabic" w:cs="Simplified Arabic"/>
          <w:color w:val="000000" w:themeColor="text1"/>
          <w:kern w:val="0"/>
          <w:sz w:val="28"/>
          <w:szCs w:val="28"/>
          <w:rtl/>
          <w14:ligatures w14:val="none"/>
        </w:rPr>
        <w:t>كريجسي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ومورجان</w:t>
      </w:r>
      <w:r w:rsidRPr="004866BF">
        <w:rPr>
          <w:rFonts w:ascii="Simplified Arabic" w:eastAsia="Times New Roman" w:hAnsi="Simplified Arabic" w:cs="Simplified Arabic"/>
          <w:color w:val="000000" w:themeColor="text1"/>
          <w:kern w:val="0"/>
          <w:sz w:val="28"/>
          <w:szCs w:val="28"/>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14:ligatures w14:val="none"/>
        </w:rPr>
        <w:t>Krejcie</w:t>
      </w:r>
      <w:proofErr w:type="spellEnd"/>
      <w:r w:rsidRPr="004866BF">
        <w:rPr>
          <w:rFonts w:ascii="Simplified Arabic" w:eastAsia="Times New Roman" w:hAnsi="Simplified Arabic" w:cs="Simplified Arabic"/>
          <w:color w:val="000000" w:themeColor="text1"/>
          <w:kern w:val="0"/>
          <w:sz w:val="28"/>
          <w:szCs w:val="28"/>
          <w14:ligatures w14:val="none"/>
        </w:rPr>
        <w:t xml:space="preserve"> &amp; Morgan, 1970) </w:t>
      </w:r>
      <w:r w:rsidRPr="004866BF">
        <w:rPr>
          <w:rFonts w:ascii="Simplified Arabic" w:eastAsia="Times New Roman" w:hAnsi="Simplified Arabic" w:cs="Simplified Arabic"/>
          <w:color w:val="000000" w:themeColor="text1"/>
          <w:kern w:val="0"/>
          <w:sz w:val="28"/>
          <w:szCs w:val="28"/>
          <w:rtl/>
          <w14:ligatures w14:val="none"/>
        </w:rPr>
        <w:t>لتحديد الحد الأدنى لحجم العيّنة المناسب عند مستوى ثقة 95% وهامش خطأ 5%، وبالنظر إلى أن مجتمع الدراسة يتجاوز (100,000) فرد، فإن الحد الأدنى لحجم العيّنة وفقًا لهذه المعادلة يبلغ (384) مفردة. وسيقوم الباحث بتوزيع (450) استبانة لضمان تحقيق معدل استجابة كافٍ يُغطّي الحد الأدنى المطلوب، مع مراعاة التوزيع النسبي للعيّنة وفقًا للتخصصات الوظيفية (أطباء، ممرضون، فنيون صحيون، إداريون صحيون) لضمان تمثيل عادل لمختلف فئات مجتمع الدراسة</w:t>
      </w:r>
      <w:r w:rsidRPr="004866BF">
        <w:rPr>
          <w:rFonts w:ascii="Simplified Arabic" w:eastAsia="Times New Roman" w:hAnsi="Simplified Arabic" w:cs="Simplified Arabic"/>
          <w:color w:val="000000" w:themeColor="text1"/>
          <w:kern w:val="0"/>
          <w:sz w:val="28"/>
          <w:szCs w:val="28"/>
          <w14:ligatures w14:val="none"/>
        </w:rPr>
        <w:t>.</w:t>
      </w:r>
    </w:p>
    <w:p w14:paraId="180B6D5C" w14:textId="4A4DC5EE" w:rsidR="00FD52D9" w:rsidRPr="004866BF" w:rsidRDefault="00387DE1" w:rsidP="00387DE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4" w:name="_Toc224107324"/>
      <w:bookmarkStart w:id="25" w:name="_Toc233424314"/>
      <w:r w:rsidRPr="004866BF">
        <w:rPr>
          <w:rFonts w:ascii="Simplified Arabic" w:eastAsia="Times New Roman" w:hAnsi="Simplified Arabic" w:cs="Simplified Arabic" w:hint="cs"/>
          <w:b/>
          <w:bCs/>
          <w:color w:val="000000" w:themeColor="text1"/>
          <w:kern w:val="0"/>
          <w:sz w:val="36"/>
          <w:szCs w:val="36"/>
          <w:rtl/>
          <w14:ligatures w14:val="none"/>
        </w:rPr>
        <w:t xml:space="preserve">12.1 </w:t>
      </w:r>
      <w:r w:rsidR="00FD52D9" w:rsidRPr="004866BF">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4"/>
      <w:bookmarkEnd w:id="25"/>
    </w:p>
    <w:p w14:paraId="096F0F15"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سيعتمد الباحث في جمع بيانات الدراسة على نوعين من المصادر. أولًا، المصادر الثانوية: وتتضمن الكتب والمراجع العلمية المتخصصة في التحول الرقمي وإدارة الجودة الصحية، والدوريات والمجلات العلمية المحكّمة العربية والأجنبية، والرسائل الجامعية (ماجستير ودكتوراه)، والتقارير والوثائق الرسمية الصادرة عن وزارة الصحة السعودية والهيئة العامة للإحصاء وبرنامج تحول القطاع الصحي، إضافة إلى المواقع </w:t>
      </w:r>
      <w:r w:rsidRPr="004866BF">
        <w:rPr>
          <w:rFonts w:ascii="Simplified Arabic" w:eastAsia="Times New Roman" w:hAnsi="Simplified Arabic" w:cs="Simplified Arabic"/>
          <w:color w:val="000000" w:themeColor="text1"/>
          <w:kern w:val="0"/>
          <w:sz w:val="28"/>
          <w:szCs w:val="28"/>
          <w:rtl/>
          <w14:ligatures w14:val="none"/>
        </w:rPr>
        <w:lastRenderedPageBreak/>
        <w:t>الإلكترونية الرسمية وقواعد البيانات العلمية. وقد تم الاستعانة بهذه المصادر في بناء الإطار النظري واستعراض الدراسات السابقة وتحديد أبعاد متغيرات الدراسة. ثانيًا، المصادر الأولية: وتتمثل في الاستبانة التي سيتم تصميمها وتطويرها خصيصًا لأغراض هذه الدراسة، والتي ستُوزّع إلكترونيًا على أفراد عيّنة الدراسة لجمع بياناتهم واستجاباتهم حول واقع التحول الرقمي ومستوى جودة الرعاية الصحية في منشآتهم</w:t>
      </w:r>
      <w:r w:rsidRPr="004866BF">
        <w:rPr>
          <w:rFonts w:ascii="Simplified Arabic" w:eastAsia="Times New Roman" w:hAnsi="Simplified Arabic" w:cs="Simplified Arabic"/>
          <w:color w:val="000000" w:themeColor="text1"/>
          <w:kern w:val="0"/>
          <w:sz w:val="28"/>
          <w:szCs w:val="28"/>
          <w14:ligatures w14:val="none"/>
        </w:rPr>
        <w:t>.</w:t>
      </w:r>
    </w:p>
    <w:p w14:paraId="62C9E868" w14:textId="5FE32C2F" w:rsidR="00FD52D9" w:rsidRPr="004866BF" w:rsidRDefault="00387DE1" w:rsidP="00387DE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24107325"/>
      <w:bookmarkStart w:id="27" w:name="_Toc233424315"/>
      <w:r w:rsidRPr="004866BF">
        <w:rPr>
          <w:rFonts w:ascii="Simplified Arabic" w:eastAsia="Times New Roman" w:hAnsi="Simplified Arabic" w:cs="Simplified Arabic" w:hint="cs"/>
          <w:b/>
          <w:bCs/>
          <w:color w:val="000000" w:themeColor="text1"/>
          <w:kern w:val="0"/>
          <w:sz w:val="36"/>
          <w:szCs w:val="36"/>
          <w:rtl/>
          <w14:ligatures w14:val="none"/>
        </w:rPr>
        <w:t xml:space="preserve">13.1 </w:t>
      </w:r>
      <w:r w:rsidR="00FD52D9" w:rsidRPr="004866BF">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26"/>
      <w:bookmarkEnd w:id="27"/>
    </w:p>
    <w:p w14:paraId="76E5D6A3"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سيتم تصميم استبانة مُحكَّمة بوصفها الأداة الرئيسية لجمع البيانات الأولية، وستتكوّن من ثلاثة أقسام رئيسية</w:t>
      </w:r>
      <w:r w:rsidRPr="004866BF">
        <w:rPr>
          <w:rFonts w:ascii="Simplified Arabic" w:eastAsia="Times New Roman" w:hAnsi="Simplified Arabic" w:cs="Simplified Arabic"/>
          <w:color w:val="000000" w:themeColor="text1"/>
          <w:kern w:val="0"/>
          <w:sz w:val="28"/>
          <w:szCs w:val="28"/>
          <w14:ligatures w14:val="none"/>
        </w:rPr>
        <w:t>:</w:t>
      </w:r>
    </w:p>
    <w:p w14:paraId="6A682AE4"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t>القسم الأول</w:t>
      </w:r>
      <w:r w:rsidRPr="004866BF">
        <w:rPr>
          <w:rFonts w:ascii="Simplified Arabic" w:eastAsia="Times New Roman" w:hAnsi="Simplified Arabic" w:cs="Simplified Arabic"/>
          <w:color w:val="000000" w:themeColor="text1"/>
          <w:kern w:val="0"/>
          <w:sz w:val="28"/>
          <w:szCs w:val="28"/>
          <w:rtl/>
          <w14:ligatures w14:val="none"/>
        </w:rPr>
        <w:t>: البيانات الديموغرافية، ويتضمن المعلومات الشخصية والوظيفية لأفراد العيّنة (الجنس، المؤهل العلمي، سنوات الخبرة، طبيعة العمل)</w:t>
      </w:r>
      <w:r w:rsidRPr="004866BF">
        <w:rPr>
          <w:rFonts w:ascii="Simplified Arabic" w:eastAsia="Times New Roman" w:hAnsi="Simplified Arabic" w:cs="Simplified Arabic"/>
          <w:color w:val="000000" w:themeColor="text1"/>
          <w:kern w:val="0"/>
          <w:sz w:val="28"/>
          <w:szCs w:val="28"/>
          <w14:ligatures w14:val="none"/>
        </w:rPr>
        <w:t>.</w:t>
      </w:r>
    </w:p>
    <w:p w14:paraId="39425A73"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t>القسم الثاني</w:t>
      </w:r>
      <w:r w:rsidRPr="004866BF">
        <w:rPr>
          <w:rFonts w:ascii="Simplified Arabic" w:eastAsia="Times New Roman" w:hAnsi="Simplified Arabic" w:cs="Simplified Arabic"/>
          <w:color w:val="000000" w:themeColor="text1"/>
          <w:kern w:val="0"/>
          <w:sz w:val="28"/>
          <w:szCs w:val="28"/>
          <w:rtl/>
          <w14:ligatures w14:val="none"/>
        </w:rPr>
        <w:t>: المتغير المستقل (التحول الرقمي)، ويتكوّن من (4) أبعاد، يتضمن كل بُعد (4) فقرات، بإجمالي (16) فقرة، وذلك على النحو التالي</w:t>
      </w:r>
      <w:r w:rsidRPr="004866BF">
        <w:rPr>
          <w:rFonts w:ascii="Simplified Arabic" w:eastAsia="Times New Roman" w:hAnsi="Simplified Arabic" w:cs="Simplified Arabic"/>
          <w:color w:val="000000" w:themeColor="text1"/>
          <w:kern w:val="0"/>
          <w:sz w:val="28"/>
          <w:szCs w:val="28"/>
          <w14:ligatures w14:val="none"/>
        </w:rPr>
        <w:t>:</w:t>
      </w:r>
    </w:p>
    <w:p w14:paraId="4194BDA7" w14:textId="77777777" w:rsidR="00FD52D9" w:rsidRPr="004866BF" w:rsidRDefault="00FD52D9" w:rsidP="00387DE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البُعد الأول: السجلات الصحية الإلكترونية — (4) فقرات</w:t>
      </w:r>
    </w:p>
    <w:p w14:paraId="023C7B46" w14:textId="77777777" w:rsidR="00FD52D9" w:rsidRPr="004866BF" w:rsidRDefault="00FD52D9" w:rsidP="00387DE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البُعد الثاني: التطبيب عن بُعد — (4) فقرات</w:t>
      </w:r>
    </w:p>
    <w:p w14:paraId="6551EA78" w14:textId="77777777" w:rsidR="00FD52D9" w:rsidRPr="004866BF" w:rsidRDefault="00FD52D9" w:rsidP="00387DE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البُعد الثالث: الذكاء الاصطناعي الصحي — (4) فقرات</w:t>
      </w:r>
    </w:p>
    <w:p w14:paraId="129CE6B9" w14:textId="77777777" w:rsidR="00FD52D9" w:rsidRPr="004866BF" w:rsidRDefault="00FD52D9" w:rsidP="00387DE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البُعد الرابع: البنية التحتية الرقمية الصحية — (4) فقرات</w:t>
      </w:r>
    </w:p>
    <w:p w14:paraId="284C0B9E"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t>القسم الثالث</w:t>
      </w:r>
      <w:r w:rsidRPr="004866BF">
        <w:rPr>
          <w:rFonts w:ascii="Simplified Arabic" w:eastAsia="Times New Roman" w:hAnsi="Simplified Arabic" w:cs="Simplified Arabic"/>
          <w:color w:val="000000" w:themeColor="text1"/>
          <w:kern w:val="0"/>
          <w:sz w:val="28"/>
          <w:szCs w:val="28"/>
          <w:rtl/>
          <w14:ligatures w14:val="none"/>
        </w:rPr>
        <w:t>: المتغير التابع (جودة الرعاية الصحية)، وهو محور أحادي يتكوّن من (10) فقرات تقيس مستوى جودة الرعاية الصحية بشكل شامل</w:t>
      </w:r>
      <w:r w:rsidRPr="004866BF">
        <w:rPr>
          <w:rFonts w:ascii="Simplified Arabic" w:eastAsia="Times New Roman" w:hAnsi="Simplified Arabic" w:cs="Simplified Arabic"/>
          <w:color w:val="000000" w:themeColor="text1"/>
          <w:kern w:val="0"/>
          <w:sz w:val="28"/>
          <w:szCs w:val="28"/>
          <w14:ligatures w14:val="none"/>
        </w:rPr>
        <w:t>.</w:t>
      </w:r>
    </w:p>
    <w:p w14:paraId="08668006"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وبذلك يكون إجمالي فقرات الاستبانة (26) فقرة (16 فقرة للمتغير المستقل + 10 فقرات للمتغير التابع)، بالإضافة إلى البيانات الديموغرافية. وستُقاس جميع الفقرات وفق مقياس </w:t>
      </w:r>
      <w:proofErr w:type="spellStart"/>
      <w:r w:rsidRPr="004866BF">
        <w:rPr>
          <w:rFonts w:ascii="Simplified Arabic" w:eastAsia="Times New Roman" w:hAnsi="Simplified Arabic" w:cs="Simplified Arabic"/>
          <w:color w:val="000000" w:themeColor="text1"/>
          <w:kern w:val="0"/>
          <w:sz w:val="28"/>
          <w:szCs w:val="28"/>
          <w:rtl/>
          <w14:ligatures w14:val="none"/>
        </w:rPr>
        <w:t>ليكرت</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الخماسي </w:t>
      </w:r>
      <w:r w:rsidRPr="004866BF">
        <w:rPr>
          <w:rFonts w:ascii="Simplified Arabic" w:eastAsia="Times New Roman" w:hAnsi="Simplified Arabic" w:cs="Simplified Arabic"/>
          <w:color w:val="000000" w:themeColor="text1"/>
          <w:kern w:val="0"/>
          <w:sz w:val="28"/>
          <w:szCs w:val="28"/>
          <w14:ligatures w14:val="none"/>
        </w:rPr>
        <w:t>(</w:t>
      </w:r>
      <w:r w:rsidRPr="004866BF">
        <w:rPr>
          <w:rFonts w:ascii="Simplified Arabic" w:eastAsia="Times New Roman" w:hAnsi="Simplified Arabic" w:cs="Simplified Arabic"/>
          <w:color w:val="000000" w:themeColor="text1"/>
          <w:kern w:val="0"/>
          <w:sz w:val="28"/>
          <w:szCs w:val="28"/>
          <w:rtl/>
          <w14:ligatures w14:val="none"/>
        </w:rPr>
        <w:t>موافق بشدة = 5، موافق = 4، محايد = 3، غير موافق = 2، غير موافق بشدة</w:t>
      </w:r>
      <w:r w:rsidRPr="004866BF">
        <w:rPr>
          <w:rFonts w:ascii="Simplified Arabic" w:eastAsia="Times New Roman" w:hAnsi="Simplified Arabic" w:cs="Simplified Arabic"/>
          <w:color w:val="000000" w:themeColor="text1"/>
          <w:kern w:val="0"/>
          <w:sz w:val="28"/>
          <w:szCs w:val="28"/>
          <w14:ligatures w14:val="none"/>
        </w:rPr>
        <w:t xml:space="preserve"> = 1). </w:t>
      </w:r>
      <w:r w:rsidRPr="004866BF">
        <w:rPr>
          <w:rFonts w:ascii="Simplified Arabic" w:eastAsia="Times New Roman" w:hAnsi="Simplified Arabic" w:cs="Simplified Arabic"/>
          <w:color w:val="000000" w:themeColor="text1"/>
          <w:kern w:val="0"/>
          <w:sz w:val="28"/>
          <w:szCs w:val="28"/>
          <w:rtl/>
          <w14:ligatures w14:val="none"/>
        </w:rPr>
        <w:t xml:space="preserve">وسيتم التحقق من صدق الأداة عبر الصدق الظاهري بعرضها على مجموعة من المحكّمين المتخصصين، والصدق البنائي عبر </w:t>
      </w:r>
      <w:r w:rsidRPr="004866BF">
        <w:rPr>
          <w:rFonts w:ascii="Simplified Arabic" w:eastAsia="Times New Roman" w:hAnsi="Simplified Arabic" w:cs="Simplified Arabic"/>
          <w:color w:val="000000" w:themeColor="text1"/>
          <w:kern w:val="0"/>
          <w:sz w:val="28"/>
          <w:szCs w:val="28"/>
          <w:rtl/>
          <w14:ligatures w14:val="none"/>
        </w:rPr>
        <w:lastRenderedPageBreak/>
        <w:t xml:space="preserve">حساب معاملات الارتباط بين كل فقرة والدرجة الكلية للبُعد الذي تنتمي إليه. كما سيتم قياس ثبات الأداة باستخدام معامل ألفا </w:t>
      </w:r>
      <w:proofErr w:type="spellStart"/>
      <w:r w:rsidRPr="004866BF">
        <w:rPr>
          <w:rFonts w:ascii="Simplified Arabic" w:eastAsia="Times New Roman" w:hAnsi="Simplified Arabic" w:cs="Simplified Arabic"/>
          <w:color w:val="000000" w:themeColor="text1"/>
          <w:kern w:val="0"/>
          <w:sz w:val="28"/>
          <w:szCs w:val="28"/>
          <w:rtl/>
          <w14:ligatures w14:val="none"/>
        </w:rPr>
        <w:t>كرونباخ</w:t>
      </w:r>
      <w:proofErr w:type="spellEnd"/>
      <w:r w:rsidRPr="004866BF">
        <w:rPr>
          <w:rFonts w:ascii="Simplified Arabic" w:eastAsia="Times New Roman" w:hAnsi="Simplified Arabic" w:cs="Simplified Arabic"/>
          <w:color w:val="000000" w:themeColor="text1"/>
          <w:kern w:val="0"/>
          <w:sz w:val="28"/>
          <w:szCs w:val="28"/>
          <w14:ligatures w14:val="none"/>
        </w:rPr>
        <w:t xml:space="preserve"> (Cronbach's Alpha) </w:t>
      </w:r>
      <w:r w:rsidRPr="004866BF">
        <w:rPr>
          <w:rFonts w:ascii="Simplified Arabic" w:eastAsia="Times New Roman" w:hAnsi="Simplified Arabic" w:cs="Simplified Arabic"/>
          <w:color w:val="000000" w:themeColor="text1"/>
          <w:kern w:val="0"/>
          <w:sz w:val="28"/>
          <w:szCs w:val="28"/>
          <w:rtl/>
          <w14:ligatures w14:val="none"/>
        </w:rPr>
        <w:t>للتأكد من الاتساق الداخلي لفقرات الاستبانة</w:t>
      </w:r>
      <w:r w:rsidRPr="004866BF">
        <w:rPr>
          <w:rFonts w:ascii="Simplified Arabic" w:eastAsia="Times New Roman" w:hAnsi="Simplified Arabic" w:cs="Simplified Arabic"/>
          <w:color w:val="000000" w:themeColor="text1"/>
          <w:kern w:val="0"/>
          <w:sz w:val="28"/>
          <w:szCs w:val="28"/>
          <w14:ligatures w14:val="none"/>
        </w:rPr>
        <w:t>.</w:t>
      </w:r>
    </w:p>
    <w:p w14:paraId="371DA6D8" w14:textId="13A84748" w:rsidR="00FD52D9" w:rsidRPr="004866BF" w:rsidRDefault="00387DE1" w:rsidP="00387DE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8" w:name="_Toc224107326"/>
      <w:bookmarkStart w:id="29" w:name="_Toc233424316"/>
      <w:r w:rsidRPr="004866BF">
        <w:rPr>
          <w:rFonts w:ascii="Simplified Arabic" w:eastAsia="Times New Roman" w:hAnsi="Simplified Arabic" w:cs="Simplified Arabic" w:hint="cs"/>
          <w:b/>
          <w:bCs/>
          <w:color w:val="000000" w:themeColor="text1"/>
          <w:kern w:val="0"/>
          <w:sz w:val="36"/>
          <w:szCs w:val="36"/>
          <w:rtl/>
          <w14:ligatures w14:val="none"/>
        </w:rPr>
        <w:t xml:space="preserve">14.1 </w:t>
      </w:r>
      <w:r w:rsidR="00FD52D9" w:rsidRPr="004866BF">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28"/>
      <w:bookmarkEnd w:id="29"/>
    </w:p>
    <w:p w14:paraId="079681F7" w14:textId="77777777" w:rsidR="00FD52D9" w:rsidRPr="004866BF" w:rsidRDefault="00FD52D9" w:rsidP="00387D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color w:val="000000" w:themeColor="text1"/>
          <w:kern w:val="0"/>
          <w:sz w:val="28"/>
          <w:szCs w:val="28"/>
          <w:rtl/>
          <w14:ligatures w14:val="none"/>
        </w:rPr>
        <w:t>سيتم تحليل بيانات الدراسة باستخدام برنامج الحزمة الإحصائية للعلوم الاجتماعية</w:t>
      </w:r>
      <w:r w:rsidRPr="004866BF">
        <w:rPr>
          <w:rFonts w:ascii="Simplified Arabic" w:eastAsia="Times New Roman" w:hAnsi="Simplified Arabic" w:cs="Simplified Arabic"/>
          <w:color w:val="000000" w:themeColor="text1"/>
          <w:kern w:val="0"/>
          <w:sz w:val="28"/>
          <w:szCs w:val="28"/>
          <w14:ligatures w14:val="none"/>
        </w:rPr>
        <w:t xml:space="preserve"> (SPSS)</w:t>
      </w:r>
      <w:r w:rsidRPr="004866BF">
        <w:rPr>
          <w:rFonts w:ascii="Simplified Arabic" w:eastAsia="Times New Roman" w:hAnsi="Simplified Arabic" w:cs="Simplified Arabic"/>
          <w:color w:val="000000" w:themeColor="text1"/>
          <w:kern w:val="0"/>
          <w:sz w:val="28"/>
          <w:szCs w:val="28"/>
          <w:rtl/>
          <w14:ligatures w14:val="none"/>
        </w:rPr>
        <w:t xml:space="preserve">، وسيتم توظيف مجموعة من الأساليب الإحصائية الوصفية والاستدلالية تتضمن: معامل ألفا </w:t>
      </w:r>
      <w:proofErr w:type="spellStart"/>
      <w:r w:rsidRPr="004866BF">
        <w:rPr>
          <w:rFonts w:ascii="Simplified Arabic" w:eastAsia="Times New Roman" w:hAnsi="Simplified Arabic" w:cs="Simplified Arabic"/>
          <w:color w:val="000000" w:themeColor="text1"/>
          <w:kern w:val="0"/>
          <w:sz w:val="28"/>
          <w:szCs w:val="28"/>
          <w:rtl/>
          <w14:ligatures w14:val="none"/>
        </w:rPr>
        <w:t>كرونباخ</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r w:rsidRPr="004866BF">
        <w:rPr>
          <w:rFonts w:ascii="Simplified Arabic" w:eastAsia="Times New Roman" w:hAnsi="Simplified Arabic" w:cs="Simplified Arabic"/>
          <w:color w:val="000000" w:themeColor="text1"/>
          <w:kern w:val="0"/>
          <w:sz w:val="28"/>
          <w:szCs w:val="28"/>
          <w14:ligatures w14:val="none"/>
        </w:rPr>
        <w:t xml:space="preserve">(Cronbach's Alpha) </w:t>
      </w:r>
      <w:r w:rsidRPr="004866BF">
        <w:rPr>
          <w:rFonts w:ascii="Simplified Arabic" w:eastAsia="Times New Roman" w:hAnsi="Simplified Arabic" w:cs="Simplified Arabic"/>
          <w:color w:val="000000" w:themeColor="text1"/>
          <w:kern w:val="0"/>
          <w:sz w:val="28"/>
          <w:szCs w:val="28"/>
          <w:rtl/>
          <w14:ligatures w14:val="none"/>
        </w:rPr>
        <w:t>لقياس ثبات أداة الدراسة، والتكرارات والنسب المئوية لوصف خصائص عيّنة الدراسة الديموغرافية، والمتوسطات الحسابية والانحرافات المعيارية لتحديد مستوى استجابات أفراد العيّنة على محاور الاستبانة وترتيب الفقرات والأبعاد، ومعامل ارتباط بيرسون</w:t>
      </w:r>
      <w:r w:rsidRPr="004866BF">
        <w:rPr>
          <w:rFonts w:ascii="Simplified Arabic" w:eastAsia="Times New Roman" w:hAnsi="Simplified Arabic" w:cs="Simplified Arabic"/>
          <w:color w:val="000000" w:themeColor="text1"/>
          <w:kern w:val="0"/>
          <w:sz w:val="28"/>
          <w:szCs w:val="28"/>
          <w14:ligatures w14:val="none"/>
        </w:rPr>
        <w:t xml:space="preserve"> (Pearson Correlation) </w:t>
      </w:r>
      <w:r w:rsidRPr="004866BF">
        <w:rPr>
          <w:rFonts w:ascii="Simplified Arabic" w:eastAsia="Times New Roman" w:hAnsi="Simplified Arabic" w:cs="Simplified Arabic"/>
          <w:color w:val="000000" w:themeColor="text1"/>
          <w:kern w:val="0"/>
          <w:sz w:val="28"/>
          <w:szCs w:val="28"/>
          <w:rtl/>
          <w14:ligatures w14:val="none"/>
        </w:rPr>
        <w:t>للتحقق من صدق الاتساق الداخلي لأداة الدراسة ولقياس العلاقة بين المتغيرات، وتحليل الانحدار البسيط</w:t>
      </w:r>
      <w:r w:rsidRPr="004866BF">
        <w:rPr>
          <w:rFonts w:ascii="Simplified Arabic" w:eastAsia="Times New Roman" w:hAnsi="Simplified Arabic" w:cs="Simplified Arabic"/>
          <w:color w:val="000000" w:themeColor="text1"/>
          <w:kern w:val="0"/>
          <w:sz w:val="28"/>
          <w:szCs w:val="28"/>
          <w14:ligatures w14:val="none"/>
        </w:rPr>
        <w:t xml:space="preserve"> (Simple Regression) </w:t>
      </w:r>
      <w:r w:rsidRPr="004866BF">
        <w:rPr>
          <w:rFonts w:ascii="Simplified Arabic" w:eastAsia="Times New Roman" w:hAnsi="Simplified Arabic" w:cs="Simplified Arabic"/>
          <w:color w:val="000000" w:themeColor="text1"/>
          <w:kern w:val="0"/>
          <w:sz w:val="28"/>
          <w:szCs w:val="28"/>
          <w:rtl/>
          <w14:ligatures w14:val="none"/>
        </w:rPr>
        <w:t>لقياس أثر كل بُعد من أبعاد التحول الرقمي على جودة الرعاية الصحية، وتحليل الانحدار المتعدد</w:t>
      </w:r>
      <w:r w:rsidRPr="004866BF">
        <w:rPr>
          <w:rFonts w:ascii="Simplified Arabic" w:eastAsia="Times New Roman" w:hAnsi="Simplified Arabic" w:cs="Simplified Arabic"/>
          <w:color w:val="000000" w:themeColor="text1"/>
          <w:kern w:val="0"/>
          <w:sz w:val="28"/>
          <w:szCs w:val="28"/>
          <w14:ligatures w14:val="none"/>
        </w:rPr>
        <w:t xml:space="preserve"> (Multiple Regression) </w:t>
      </w:r>
      <w:r w:rsidRPr="004866BF">
        <w:rPr>
          <w:rFonts w:ascii="Simplified Arabic" w:eastAsia="Times New Roman" w:hAnsi="Simplified Arabic" w:cs="Simplified Arabic"/>
          <w:color w:val="000000" w:themeColor="text1"/>
          <w:kern w:val="0"/>
          <w:sz w:val="28"/>
          <w:szCs w:val="28"/>
          <w:rtl/>
          <w14:ligatures w14:val="none"/>
        </w:rPr>
        <w:t>لقياس الأثر المشترك لأبعاد التحول الرقمي مجتمعةً على جودة الرعاية الصحية وتحديد الأهمية النسبية لكل بُعد، واختبار</w:t>
      </w:r>
      <w:r w:rsidRPr="004866BF">
        <w:rPr>
          <w:rFonts w:ascii="Simplified Arabic" w:eastAsia="Times New Roman" w:hAnsi="Simplified Arabic" w:cs="Simplified Arabic"/>
          <w:color w:val="000000" w:themeColor="text1"/>
          <w:kern w:val="0"/>
          <w:sz w:val="28"/>
          <w:szCs w:val="28"/>
          <w14:ligatures w14:val="none"/>
        </w:rPr>
        <w:t xml:space="preserve"> (T-Test) </w:t>
      </w:r>
      <w:r w:rsidRPr="004866BF">
        <w:rPr>
          <w:rFonts w:ascii="Simplified Arabic" w:eastAsia="Times New Roman" w:hAnsi="Simplified Arabic" w:cs="Simplified Arabic"/>
          <w:color w:val="000000" w:themeColor="text1"/>
          <w:kern w:val="0"/>
          <w:sz w:val="28"/>
          <w:szCs w:val="28"/>
          <w:rtl/>
          <w14:ligatures w14:val="none"/>
        </w:rPr>
        <w:t>للعيّنات المستقلة للكشف عن الفروق في استجابات أفراد العيّنة وفقًا لمتغير الجنس، وتحليل التباين الأحادي</w:t>
      </w:r>
      <w:r w:rsidRPr="004866BF">
        <w:rPr>
          <w:rFonts w:ascii="Simplified Arabic" w:eastAsia="Times New Roman" w:hAnsi="Simplified Arabic" w:cs="Simplified Arabic"/>
          <w:color w:val="000000" w:themeColor="text1"/>
          <w:kern w:val="0"/>
          <w:sz w:val="28"/>
          <w:szCs w:val="28"/>
          <w14:ligatures w14:val="none"/>
        </w:rPr>
        <w:t xml:space="preserve"> (One-Way ANOVA) </w:t>
      </w:r>
      <w:r w:rsidRPr="004866BF">
        <w:rPr>
          <w:rFonts w:ascii="Simplified Arabic" w:eastAsia="Times New Roman" w:hAnsi="Simplified Arabic" w:cs="Simplified Arabic"/>
          <w:color w:val="000000" w:themeColor="text1"/>
          <w:kern w:val="0"/>
          <w:sz w:val="28"/>
          <w:szCs w:val="28"/>
          <w:rtl/>
          <w14:ligatures w14:val="none"/>
        </w:rPr>
        <w:t>للكشف عن الفروق في الاستجابات وفقًا للمتغيرات الديموغرافية متعددة الفئات (المؤهل العلمي، سنوات الخبرة، طبيعة العمل)، واختبار شيفيه</w:t>
      </w:r>
      <w:r w:rsidRPr="004866BF">
        <w:rPr>
          <w:rFonts w:ascii="Simplified Arabic" w:eastAsia="Times New Roman" w:hAnsi="Simplified Arabic" w:cs="Simplified Arabic"/>
          <w:color w:val="000000" w:themeColor="text1"/>
          <w:kern w:val="0"/>
          <w:sz w:val="28"/>
          <w:szCs w:val="28"/>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14:ligatures w14:val="none"/>
        </w:rPr>
        <w:t>Scheffé</w:t>
      </w:r>
      <w:proofErr w:type="spellEnd"/>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t>للمقارنات البعدية في حال وجود فروق دالة إحصائيًا</w:t>
      </w:r>
      <w:r w:rsidRPr="004866BF">
        <w:rPr>
          <w:rFonts w:ascii="Simplified Arabic" w:eastAsia="Times New Roman" w:hAnsi="Simplified Arabic" w:cs="Simplified Arabic"/>
          <w:color w:val="000000" w:themeColor="text1"/>
          <w:kern w:val="0"/>
          <w:sz w:val="28"/>
          <w:szCs w:val="28"/>
          <w14:ligatures w14:val="none"/>
        </w:rPr>
        <w:t>.</w:t>
      </w:r>
    </w:p>
    <w:p w14:paraId="3029563E" w14:textId="1546E483" w:rsidR="00FD52D9" w:rsidRPr="004866BF" w:rsidRDefault="00387DE1" w:rsidP="00387DE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0" w:name="_Toc224107327"/>
      <w:bookmarkStart w:id="31" w:name="_Toc233424317"/>
      <w:r w:rsidRPr="004866BF">
        <w:rPr>
          <w:rFonts w:ascii="Simplified Arabic" w:eastAsia="Times New Roman" w:hAnsi="Simplified Arabic" w:cs="Simplified Arabic" w:hint="cs"/>
          <w:b/>
          <w:bCs/>
          <w:color w:val="000000" w:themeColor="text1"/>
          <w:kern w:val="0"/>
          <w:sz w:val="36"/>
          <w:szCs w:val="36"/>
          <w:rtl/>
          <w14:ligatures w14:val="none"/>
        </w:rPr>
        <w:t xml:space="preserve">15.1 </w:t>
      </w:r>
      <w:r w:rsidR="00FD52D9" w:rsidRPr="004866BF">
        <w:rPr>
          <w:rFonts w:ascii="Simplified Arabic" w:eastAsia="Times New Roman" w:hAnsi="Simplified Arabic" w:cs="Simplified Arabic"/>
          <w:b/>
          <w:bCs/>
          <w:color w:val="000000" w:themeColor="text1"/>
          <w:kern w:val="0"/>
          <w:sz w:val="36"/>
          <w:szCs w:val="36"/>
          <w:rtl/>
          <w14:ligatures w14:val="none"/>
        </w:rPr>
        <w:t>حدود الدراسة</w:t>
      </w:r>
      <w:bookmarkEnd w:id="30"/>
      <w:bookmarkEnd w:id="31"/>
    </w:p>
    <w:p w14:paraId="3CDE6762" w14:textId="77777777" w:rsidR="00FD52D9" w:rsidRPr="004866BF" w:rsidRDefault="00FD52D9" w:rsidP="00387DE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t>الحدود الموضوعية</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t>ستقتصر الدراسة على دراسة أثر التحول الرقمي بأبعاده الأربعة (السجلات الصحية الإلكترونية، التطبيب عن بُعد، الذكاء الاصطناعي الصحي، البنية التحتية الرقمية الصحية) على جودة الرعاية الصحية في المملكة العربية السعودية تحقيقًا لمستهدفات رؤية 2030</w:t>
      </w:r>
      <w:r w:rsidRPr="004866BF">
        <w:rPr>
          <w:rFonts w:ascii="Simplified Arabic" w:eastAsia="Times New Roman" w:hAnsi="Simplified Arabic" w:cs="Simplified Arabic"/>
          <w:color w:val="000000" w:themeColor="text1"/>
          <w:kern w:val="0"/>
          <w:sz w:val="28"/>
          <w:szCs w:val="28"/>
          <w14:ligatures w14:val="none"/>
        </w:rPr>
        <w:t>.</w:t>
      </w:r>
    </w:p>
    <w:p w14:paraId="3B30F2CB" w14:textId="77777777" w:rsidR="00FD52D9" w:rsidRPr="004866BF" w:rsidRDefault="00FD52D9" w:rsidP="00387DE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t>الحدود المكانية</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t>ستُطبّق الدراسة على المنشآت الصحية التابعة لوزارة الصحة في مدينة الرياض بالمملكة العربية السعودية</w:t>
      </w:r>
      <w:r w:rsidRPr="004866BF">
        <w:rPr>
          <w:rFonts w:ascii="Simplified Arabic" w:eastAsia="Times New Roman" w:hAnsi="Simplified Arabic" w:cs="Simplified Arabic"/>
          <w:color w:val="000000" w:themeColor="text1"/>
          <w:kern w:val="0"/>
          <w:sz w:val="28"/>
          <w:szCs w:val="28"/>
          <w14:ligatures w14:val="none"/>
        </w:rPr>
        <w:t>.</w:t>
      </w:r>
    </w:p>
    <w:p w14:paraId="5FDF2791" w14:textId="77777777" w:rsidR="00FD52D9" w:rsidRPr="004866BF" w:rsidRDefault="00FD52D9" w:rsidP="00387DE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t>الحدود الزمانية</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t>سيتم إجراء الدراسة الميدانية وجمع البيانات خلال الفصل الدراسي الثاني من العام الجامعي 1447/1446هـ الموافق 2025/2026م</w:t>
      </w:r>
      <w:r w:rsidRPr="004866BF">
        <w:rPr>
          <w:rFonts w:ascii="Simplified Arabic" w:eastAsia="Times New Roman" w:hAnsi="Simplified Arabic" w:cs="Simplified Arabic"/>
          <w:color w:val="000000" w:themeColor="text1"/>
          <w:kern w:val="0"/>
          <w:sz w:val="28"/>
          <w:szCs w:val="28"/>
          <w14:ligatures w14:val="none"/>
        </w:rPr>
        <w:t>.</w:t>
      </w:r>
    </w:p>
    <w:p w14:paraId="0EFDCD01" w14:textId="77777777" w:rsidR="00FD52D9" w:rsidRPr="004866BF" w:rsidRDefault="00FD52D9" w:rsidP="00387DE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866BF">
        <w:rPr>
          <w:rFonts w:ascii="Simplified Arabic" w:eastAsia="Times New Roman" w:hAnsi="Simplified Arabic" w:cs="Simplified Arabic"/>
          <w:b/>
          <w:bCs/>
          <w:color w:val="000000" w:themeColor="text1"/>
          <w:kern w:val="0"/>
          <w:sz w:val="28"/>
          <w:szCs w:val="28"/>
          <w:rtl/>
          <w14:ligatures w14:val="none"/>
        </w:rPr>
        <w:lastRenderedPageBreak/>
        <w:t>الحدود البشرية</w:t>
      </w:r>
      <w:r w:rsidRPr="004866BF">
        <w:rPr>
          <w:rFonts w:ascii="Simplified Arabic" w:eastAsia="Times New Roman" w:hAnsi="Simplified Arabic" w:cs="Simplified Arabic"/>
          <w:color w:val="000000" w:themeColor="text1"/>
          <w:kern w:val="0"/>
          <w:sz w:val="28"/>
          <w:szCs w:val="28"/>
          <w14:ligatures w14:val="none"/>
        </w:rPr>
        <w:t xml:space="preserve">: </w:t>
      </w:r>
      <w:r w:rsidRPr="004866BF">
        <w:rPr>
          <w:rFonts w:ascii="Simplified Arabic" w:eastAsia="Times New Roman" w:hAnsi="Simplified Arabic" w:cs="Simplified Arabic"/>
          <w:color w:val="000000" w:themeColor="text1"/>
          <w:kern w:val="0"/>
          <w:sz w:val="28"/>
          <w:szCs w:val="28"/>
          <w:rtl/>
          <w14:ligatures w14:val="none"/>
        </w:rPr>
        <w:t>ستقتصر الدراسة على العاملين في المنشآت الصحية التابعة لوزارة الصحة بمدينة الرياض من أطباء وممرضين وفنيين صحيين وإداريين صحيين</w:t>
      </w:r>
    </w:p>
    <w:p w14:paraId="1C46A6EB" w14:textId="233EE799" w:rsidR="00793491" w:rsidRPr="004866BF" w:rsidRDefault="00387DE1" w:rsidP="00A229FA">
      <w:pPr>
        <w:jc w:val="center"/>
        <w:outlineLvl w:val="0"/>
        <w:rPr>
          <w:rFonts w:ascii="Simplified Arabic" w:eastAsia="Times New Roman" w:hAnsi="Simplified Arabic" w:cs="Simplified Arabic"/>
          <w:b/>
          <w:bCs/>
          <w:color w:val="000000" w:themeColor="text1"/>
          <w:kern w:val="0"/>
          <w:sz w:val="40"/>
          <w:szCs w:val="40"/>
          <w:rtl/>
          <w14:ligatures w14:val="none"/>
        </w:rPr>
      </w:pPr>
      <w:r w:rsidRPr="004866BF">
        <w:rPr>
          <w:rFonts w:ascii="Simplified Arabic" w:eastAsia="Times New Roman" w:hAnsi="Simplified Arabic" w:cs="Simplified Arabic"/>
          <w:b/>
          <w:bCs/>
          <w:color w:val="000000" w:themeColor="text1"/>
          <w:kern w:val="0"/>
          <w:sz w:val="40"/>
          <w:szCs w:val="40"/>
          <w:rtl/>
          <w14:ligatures w14:val="none"/>
        </w:rPr>
        <w:br w:type="page"/>
      </w:r>
      <w:bookmarkStart w:id="32" w:name="_Toc233424318"/>
      <w:r w:rsidRPr="004866BF">
        <w:rPr>
          <w:rFonts w:ascii="Simplified Arabic" w:eastAsia="Times New Roman" w:hAnsi="Simplified Arabic" w:cs="Simplified Arabic" w:hint="cs"/>
          <w:b/>
          <w:bCs/>
          <w:color w:val="000000" w:themeColor="text1"/>
          <w:kern w:val="0"/>
          <w:sz w:val="40"/>
          <w:szCs w:val="40"/>
          <w:rtl/>
          <w14:ligatures w14:val="none"/>
        </w:rPr>
        <w:lastRenderedPageBreak/>
        <w:t>الفصل الثاني: الإطار النظري</w:t>
      </w:r>
      <w:bookmarkEnd w:id="32"/>
    </w:p>
    <w:p w14:paraId="0BDE94B0" w14:textId="60C6DACC" w:rsidR="00793491" w:rsidRPr="004866BF" w:rsidRDefault="00793491" w:rsidP="00A229FA">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rtl/>
          <w14:ligatures w14:val="none"/>
        </w:rPr>
      </w:pPr>
      <w:bookmarkStart w:id="33" w:name="_Toc233424319"/>
      <w:r w:rsidRPr="004866BF">
        <w:rPr>
          <w:rFonts w:ascii="Simplified Arabic" w:eastAsia="Times New Roman" w:hAnsi="Simplified Arabic" w:cs="Simplified Arabic"/>
          <w:b/>
          <w:bCs/>
          <w:color w:val="000000" w:themeColor="text1"/>
          <w:kern w:val="0"/>
          <w:sz w:val="36"/>
          <w:szCs w:val="36"/>
          <w:rtl/>
          <w14:ligatures w14:val="none"/>
        </w:rPr>
        <w:t>المبحث الأول: التحوّل الرقمي</w:t>
      </w:r>
      <w:bookmarkEnd w:id="33"/>
    </w:p>
    <w:p w14:paraId="54F8FCC2" w14:textId="2BE26BB7" w:rsidR="00793491" w:rsidRPr="004866BF" w:rsidRDefault="00A229FA" w:rsidP="00A229F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34" w:name="_Toc233424320"/>
      <w:r w:rsidRPr="004866BF">
        <w:rPr>
          <w:rFonts w:ascii="Simplified Arabic" w:eastAsia="Times New Roman" w:hAnsi="Simplified Arabic" w:cs="Simplified Arabic" w:hint="cs"/>
          <w:b/>
          <w:bCs/>
          <w:color w:val="000000" w:themeColor="text1"/>
          <w:kern w:val="0"/>
          <w:sz w:val="32"/>
          <w:szCs w:val="32"/>
          <w:rtl/>
          <w14:ligatures w14:val="none"/>
        </w:rPr>
        <w:t xml:space="preserve">1.1.2 </w:t>
      </w:r>
      <w:r w:rsidR="00793491" w:rsidRPr="004866BF">
        <w:rPr>
          <w:rFonts w:ascii="Simplified Arabic" w:eastAsia="Times New Roman" w:hAnsi="Simplified Arabic" w:cs="Simplified Arabic"/>
          <w:b/>
          <w:bCs/>
          <w:color w:val="000000" w:themeColor="text1"/>
          <w:kern w:val="0"/>
          <w:sz w:val="32"/>
          <w:szCs w:val="32"/>
          <w:rtl/>
          <w14:ligatures w14:val="none"/>
        </w:rPr>
        <w:t>تمهيد</w:t>
      </w:r>
      <w:bookmarkEnd w:id="34"/>
    </w:p>
    <w:p w14:paraId="5657E662" w14:textId="65A72F2D"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شهد العقد الأخير تحوّلات جوهرية في بنية المنظمات المعاصرة بفعل التسارع المتلاحق في تقنيات المعلومات والاتصالات، إذ لم يعد التعامل مع التكنولوجيا الرقمية ترفًا إداريًا أو خيارًا تشغيليًا، بل غدا ضرورة استراتيجية تفرضها متطلبات البقاء والتنافس في بيئة أعمال متقلبة ومعقّدة. وقد انعكس هذا التحول بصورة لافتة على القطاع الصحي تحديدًا، بوصفه قطاعًا حيويًا يتقاطع فيه البعد الإنساني مع البعد التقني، وتتداخل فيه متطلبات الكفاءة التشغيلية مع متطلبات السلامة وجودة الخدمة. ومن هنا برز مفهوم التحول الرقمي بوصفه إطارًا جامعًا يصف عملية إعادة تشكيل النماذج التشغيلية والإدارية للمنظمات الصحية اعتمادًا على الأدوات الرقمية وال</w:t>
      </w:r>
      <w:r w:rsidR="00A229FA" w:rsidRPr="004866BF">
        <w:rPr>
          <w:rFonts w:ascii="Simplified Arabic" w:eastAsia="Times New Roman" w:hAnsi="Simplified Arabic" w:cs="Simplified Arabic"/>
          <w:color w:val="000000" w:themeColor="text1"/>
          <w:kern w:val="0"/>
          <w:sz w:val="28"/>
          <w:szCs w:val="28"/>
          <w:rtl/>
          <w14:ligatures w14:val="none"/>
        </w:rPr>
        <w:t>منصات الذكية وتحليلات البيانات.</w:t>
      </w:r>
    </w:p>
    <w:p w14:paraId="548838BF" w14:textId="2A2071F2"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ولم يقتصر التحول الرقمي في القطاع الصحي على إدخال أجهزة أو أنظمة معلوماتية معزولة، بل امتد ليطال البنى التحتية، وآليات صنع القرار الإكلينيكي، وطرق التواصل بين مقدم الخدمة والمنتفع منها، فضلًا عن إعادة هندسة العمليات الإدارية والمالية. وقد أشار </w:t>
      </w:r>
      <w:proofErr w:type="spellStart"/>
      <w:r w:rsidRPr="004866BF">
        <w:rPr>
          <w:rFonts w:ascii="Simplified Arabic" w:eastAsia="Times New Roman" w:hAnsi="Simplified Arabic" w:cs="Simplified Arabic"/>
          <w:color w:val="000000" w:themeColor="text1"/>
          <w:kern w:val="0"/>
          <w:sz w:val="28"/>
          <w:szCs w:val="28"/>
          <w:rtl/>
          <w14:ligatures w14:val="none"/>
        </w:rPr>
        <w:t>ستومبوس</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وكيتسيوس</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وتاليس (</w:t>
      </w:r>
      <w:proofErr w:type="spellStart"/>
      <w:r w:rsidRPr="004866BF">
        <w:rPr>
          <w:rFonts w:ascii="Simplified Arabic" w:eastAsia="Times New Roman" w:hAnsi="Simplified Arabic" w:cs="Simplified Arabic"/>
          <w:color w:val="000000" w:themeColor="text1"/>
          <w:kern w:val="0"/>
          <w:sz w:val="28"/>
          <w:szCs w:val="28"/>
          <w14:ligatures w14:val="none"/>
        </w:rPr>
        <w:t>Stoumpos</w:t>
      </w:r>
      <w:proofErr w:type="spellEnd"/>
      <w:r w:rsidRPr="004866BF">
        <w:rPr>
          <w:rFonts w:ascii="Simplified Arabic" w:eastAsia="Times New Roman" w:hAnsi="Simplified Arabic" w:cs="Simplified Arabic"/>
          <w:color w:val="000000" w:themeColor="text1"/>
          <w:kern w:val="0"/>
          <w:sz w:val="28"/>
          <w:szCs w:val="28"/>
          <w14:ligatures w14:val="none"/>
        </w:rPr>
        <w:t xml:space="preserve"> et al., 2023</w:t>
      </w:r>
      <w:r w:rsidRPr="004866BF">
        <w:rPr>
          <w:rFonts w:ascii="Simplified Arabic" w:eastAsia="Times New Roman" w:hAnsi="Simplified Arabic" w:cs="Simplified Arabic"/>
          <w:color w:val="000000" w:themeColor="text1"/>
          <w:kern w:val="0"/>
          <w:sz w:val="28"/>
          <w:szCs w:val="28"/>
          <w:rtl/>
          <w14:ligatures w14:val="none"/>
        </w:rPr>
        <w:t>) إلى أن هذا التحول يمثّل نقلة نوعية لا تقتصر على إحلال التقنية محل العمل اليدوي، بل تتجاوزه إلى إعادة تعريف العلاقة بين العناصر الفاعلة داخل المنظومة الصحية في ضوء منطق التشبيك والتكامل</w:t>
      </w:r>
      <w:r w:rsidR="00A229FA" w:rsidRPr="004866BF">
        <w:rPr>
          <w:rFonts w:ascii="Simplified Arabic" w:eastAsia="Times New Roman" w:hAnsi="Simplified Arabic" w:cs="Simplified Arabic"/>
          <w:color w:val="000000" w:themeColor="text1"/>
          <w:kern w:val="0"/>
          <w:sz w:val="28"/>
          <w:szCs w:val="28"/>
          <w:rtl/>
          <w14:ligatures w14:val="none"/>
        </w:rPr>
        <w:t xml:space="preserve"> الرقمي.</w:t>
      </w:r>
    </w:p>
    <w:p w14:paraId="08F5E516"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وتنبع أهمية تناول التحول الرقمي بوصفه متغيرًا مستقلًا في الدراسة الحالية من كونه يمثّل رافعة استراتيجية تسعى المنشآت الصحية السعودية إلى توظيفها انسجامًا مع التوجهات الكبرى لرؤية المملكة 2030، التي جعلت من تطوير المنظومة الصحية ركيزة مركزية. كما أن دراسة هذا المتغير في بيئة عربية وخليجية تكتسب قيمة معرفية مضافة، نظرًا لخصوصية البيئة المؤسسية وما تتطلبه من معالجات نظرية تتجاوز النقل الحرفي للأدبيات الغربية. ويسعى هذا المبحث إلى تقديم تأصيل نظري متكامل للتحول الرقمي من خلال استعراض مفهومه، ثم بيان أهميته، فأهدافه، ثم تفصيل أبعاده الأربعة المعتمدة في الدراسة، وصولًا إلى استراتيجيات تنفيذه في القطاع الصحي.</w:t>
      </w:r>
    </w:p>
    <w:p w14:paraId="233CA778" w14:textId="6373C4AF" w:rsidR="00793491" w:rsidRPr="004866BF" w:rsidRDefault="00A229FA" w:rsidP="00A229F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35" w:name="_Toc233424321"/>
      <w:r w:rsidRPr="004866BF">
        <w:rPr>
          <w:rFonts w:ascii="Simplified Arabic" w:eastAsia="Times New Roman" w:hAnsi="Simplified Arabic" w:cs="Simplified Arabic" w:hint="cs"/>
          <w:b/>
          <w:bCs/>
          <w:color w:val="000000" w:themeColor="text1"/>
          <w:kern w:val="0"/>
          <w:sz w:val="32"/>
          <w:szCs w:val="32"/>
          <w:rtl/>
          <w14:ligatures w14:val="none"/>
        </w:rPr>
        <w:lastRenderedPageBreak/>
        <w:t xml:space="preserve">2.1.2 </w:t>
      </w:r>
      <w:r w:rsidRPr="004866BF">
        <w:rPr>
          <w:rFonts w:ascii="Simplified Arabic" w:eastAsia="Times New Roman" w:hAnsi="Simplified Arabic" w:cs="Simplified Arabic"/>
          <w:b/>
          <w:bCs/>
          <w:color w:val="000000" w:themeColor="text1"/>
          <w:kern w:val="0"/>
          <w:sz w:val="32"/>
          <w:szCs w:val="32"/>
          <w:rtl/>
          <w14:ligatures w14:val="none"/>
        </w:rPr>
        <w:t xml:space="preserve"> مفهوم التحول الرقمي</w:t>
      </w:r>
      <w:bookmarkEnd w:id="35"/>
    </w:p>
    <w:p w14:paraId="0FDC81E9" w14:textId="36461E1A"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تعدّدت المعالجات النظرية لمفهوم التحول الرقمي تبعًا لاختلاف المداخل التحليلية التي ينطلق منها الباحثون، فبينما يتجه فريق إلى تعريفه من زاوية تقنية محضة تركّز على الأدوات والبنى التحتية، يميل فريق آخر إلى تعريفه من زاوية استراتيجية شاملة تستوعب الأبعاد التنظيمية والثقافية والإنسانية. وقد عرّفه ليمنا (</w:t>
      </w:r>
      <w:r w:rsidRPr="004866BF">
        <w:rPr>
          <w:rFonts w:ascii="Simplified Arabic" w:eastAsia="Times New Roman" w:hAnsi="Simplified Arabic" w:cs="Simplified Arabic"/>
          <w:color w:val="000000" w:themeColor="text1"/>
          <w:kern w:val="0"/>
          <w:sz w:val="28"/>
          <w:szCs w:val="28"/>
          <w14:ligatures w14:val="none"/>
        </w:rPr>
        <w:t>Limna, 2023</w:t>
      </w:r>
      <w:r w:rsidRPr="004866BF">
        <w:rPr>
          <w:rFonts w:ascii="Simplified Arabic" w:eastAsia="Times New Roman" w:hAnsi="Simplified Arabic" w:cs="Simplified Arabic"/>
          <w:color w:val="000000" w:themeColor="text1"/>
          <w:kern w:val="0"/>
          <w:sz w:val="28"/>
          <w:szCs w:val="28"/>
          <w:rtl/>
          <w14:ligatures w14:val="none"/>
        </w:rPr>
        <w:t>) بوصفه عملية ممنهجة تستهدف توظيف التقنيات الرقمية الحديثة من أجل إعادة تشكيل النموذج التشغيلي للمنظمات الصحية، بحيث ينتقل العمل من نمط تقليدي يعتمد على الإجراءات الورقية والتفاعل الميداني المباشر، إلى نمط مدمج يتيح إدارة المعلومات وتدفّقها بصورة آنية ومرنة عبر منصات متكاملة.</w:t>
      </w:r>
    </w:p>
    <w:p w14:paraId="0BE53DCA" w14:textId="3AFDA1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ومن منظور أكثر شمولًا، قدّم </w:t>
      </w:r>
      <w:proofErr w:type="spellStart"/>
      <w:r w:rsidRPr="004866BF">
        <w:rPr>
          <w:rFonts w:ascii="Simplified Arabic" w:eastAsia="Times New Roman" w:hAnsi="Simplified Arabic" w:cs="Simplified Arabic"/>
          <w:color w:val="000000" w:themeColor="text1"/>
          <w:kern w:val="0"/>
          <w:sz w:val="28"/>
          <w:szCs w:val="28"/>
          <w:rtl/>
          <w14:ligatures w14:val="none"/>
        </w:rPr>
        <w:t>ستومبوس</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وآخرون (</w:t>
      </w:r>
      <w:proofErr w:type="spellStart"/>
      <w:r w:rsidRPr="004866BF">
        <w:rPr>
          <w:rFonts w:ascii="Simplified Arabic" w:eastAsia="Times New Roman" w:hAnsi="Simplified Arabic" w:cs="Simplified Arabic"/>
          <w:color w:val="000000" w:themeColor="text1"/>
          <w:kern w:val="0"/>
          <w:sz w:val="28"/>
          <w:szCs w:val="28"/>
          <w14:ligatures w14:val="none"/>
        </w:rPr>
        <w:t>Stoumpos</w:t>
      </w:r>
      <w:proofErr w:type="spellEnd"/>
      <w:r w:rsidRPr="004866BF">
        <w:rPr>
          <w:rFonts w:ascii="Simplified Arabic" w:eastAsia="Times New Roman" w:hAnsi="Simplified Arabic" w:cs="Simplified Arabic"/>
          <w:color w:val="000000" w:themeColor="text1"/>
          <w:kern w:val="0"/>
          <w:sz w:val="28"/>
          <w:szCs w:val="28"/>
          <w14:ligatures w14:val="none"/>
        </w:rPr>
        <w:t xml:space="preserve"> et al., 2023</w:t>
      </w:r>
      <w:r w:rsidRPr="004866BF">
        <w:rPr>
          <w:rFonts w:ascii="Simplified Arabic" w:eastAsia="Times New Roman" w:hAnsi="Simplified Arabic" w:cs="Simplified Arabic"/>
          <w:color w:val="000000" w:themeColor="text1"/>
          <w:kern w:val="0"/>
          <w:sz w:val="28"/>
          <w:szCs w:val="28"/>
          <w:rtl/>
          <w14:ligatures w14:val="none"/>
        </w:rPr>
        <w:t xml:space="preserve">) تعريفًا يصف التحول الرقمي بأنه منظومة متكاملة من التغييرات الاستراتيجية والتنظيمية التي تُحدثها التقنية في المنظمة، إذ لا يقف الأمر عند حدود إدخال أجهزة وبرمجيات، بل يمتد إلى تغيير في طريقة التفكير الإداري وفي بنية العمليات وثقافة العاملين. أما كاريني </w:t>
      </w:r>
      <w:proofErr w:type="spellStart"/>
      <w:r w:rsidRPr="004866BF">
        <w:rPr>
          <w:rFonts w:ascii="Simplified Arabic" w:eastAsia="Times New Roman" w:hAnsi="Simplified Arabic" w:cs="Simplified Arabic"/>
          <w:color w:val="000000" w:themeColor="text1"/>
          <w:kern w:val="0"/>
          <w:sz w:val="28"/>
          <w:szCs w:val="28"/>
          <w:rtl/>
          <w14:ligatures w14:val="none"/>
        </w:rPr>
        <w:t>وفياني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وبيزولّو</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وآخرون (</w:t>
      </w:r>
      <w:r w:rsidRPr="004866BF">
        <w:rPr>
          <w:rFonts w:ascii="Simplified Arabic" w:eastAsia="Times New Roman" w:hAnsi="Simplified Arabic" w:cs="Simplified Arabic"/>
          <w:color w:val="000000" w:themeColor="text1"/>
          <w:kern w:val="0"/>
          <w:sz w:val="28"/>
          <w:szCs w:val="28"/>
          <w14:ligatures w14:val="none"/>
        </w:rPr>
        <w:t>Carini et al., 2021</w:t>
      </w:r>
      <w:r w:rsidRPr="004866BF">
        <w:rPr>
          <w:rFonts w:ascii="Simplified Arabic" w:eastAsia="Times New Roman" w:hAnsi="Simplified Arabic" w:cs="Simplified Arabic"/>
          <w:color w:val="000000" w:themeColor="text1"/>
          <w:kern w:val="0"/>
          <w:sz w:val="28"/>
          <w:szCs w:val="28"/>
          <w:rtl/>
          <w14:ligatures w14:val="none"/>
        </w:rPr>
        <w:t>) فقد قاربوه من زاوية تطبيقية تعنى بتفعيل البوابات الإلكترونية وقنوات التفاعل الرقمي بين مقدّمي الرعاية والمرضى، باعتبار هذه القنوات وسيلة لتعزيز الشفافية ودعم مشاركة المريض في إدارة حالته الصحية.</w:t>
      </w:r>
    </w:p>
    <w:p w14:paraId="73E497FA" w14:textId="30721FC5"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ومن جهة أخرى، أبرز </w:t>
      </w:r>
      <w:proofErr w:type="spellStart"/>
      <w:r w:rsidRPr="004866BF">
        <w:rPr>
          <w:rFonts w:ascii="Simplified Arabic" w:eastAsia="Times New Roman" w:hAnsi="Simplified Arabic" w:cs="Simplified Arabic"/>
          <w:color w:val="000000" w:themeColor="text1"/>
          <w:kern w:val="0"/>
          <w:sz w:val="28"/>
          <w:szCs w:val="28"/>
          <w:rtl/>
          <w14:ligatures w14:val="none"/>
        </w:rPr>
        <w:t>كويلنسكي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وليولوف</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وبيمونينكو</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14:ligatures w14:val="none"/>
        </w:rPr>
        <w:t>Kwilinski</w:t>
      </w:r>
      <w:proofErr w:type="spellEnd"/>
      <w:r w:rsidRPr="004866BF">
        <w:rPr>
          <w:rFonts w:ascii="Simplified Arabic" w:eastAsia="Times New Roman" w:hAnsi="Simplified Arabic" w:cs="Simplified Arabic"/>
          <w:color w:val="000000" w:themeColor="text1"/>
          <w:kern w:val="0"/>
          <w:sz w:val="28"/>
          <w:szCs w:val="28"/>
          <w14:ligatures w14:val="none"/>
        </w:rPr>
        <w:t xml:space="preserve"> et al., 2023</w:t>
      </w:r>
      <w:r w:rsidRPr="004866BF">
        <w:rPr>
          <w:rFonts w:ascii="Simplified Arabic" w:eastAsia="Times New Roman" w:hAnsi="Simplified Arabic" w:cs="Simplified Arabic"/>
          <w:color w:val="000000" w:themeColor="text1"/>
          <w:kern w:val="0"/>
          <w:sz w:val="28"/>
          <w:szCs w:val="28"/>
          <w:rtl/>
          <w14:ligatures w14:val="none"/>
        </w:rPr>
        <w:t xml:space="preserve">) البعد </w:t>
      </w:r>
      <w:proofErr w:type="spellStart"/>
      <w:r w:rsidRPr="004866BF">
        <w:rPr>
          <w:rFonts w:ascii="Simplified Arabic" w:eastAsia="Times New Roman" w:hAnsi="Simplified Arabic" w:cs="Simplified Arabic"/>
          <w:color w:val="000000" w:themeColor="text1"/>
          <w:kern w:val="0"/>
          <w:sz w:val="28"/>
          <w:szCs w:val="28"/>
          <w:rtl/>
          <w14:ligatures w14:val="none"/>
        </w:rPr>
        <w:t>الاستدامي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للتحول الرقمي، فعرّفوه باعتباره مسارًا يربط الاستثمار في التقنية بتحقيق أهداف الأداء البيئي والاجتماعي </w:t>
      </w:r>
      <w:proofErr w:type="spellStart"/>
      <w:r w:rsidRPr="004866BF">
        <w:rPr>
          <w:rFonts w:ascii="Simplified Arabic" w:eastAsia="Times New Roman" w:hAnsi="Simplified Arabic" w:cs="Simplified Arabic"/>
          <w:color w:val="000000" w:themeColor="text1"/>
          <w:kern w:val="0"/>
          <w:sz w:val="28"/>
          <w:szCs w:val="28"/>
          <w:rtl/>
          <w14:ligatures w14:val="none"/>
        </w:rPr>
        <w:t>والحوكمي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بما يجعل منه أداة لخلق القيمة المستدامة لا مجرد رفع للكفاءة الآنية. وفي السياق ذاته، أشار </w:t>
      </w:r>
      <w:proofErr w:type="spellStart"/>
      <w:r w:rsidRPr="004866BF">
        <w:rPr>
          <w:rFonts w:ascii="Simplified Arabic" w:eastAsia="Times New Roman" w:hAnsi="Simplified Arabic" w:cs="Simplified Arabic"/>
          <w:color w:val="000000" w:themeColor="text1"/>
          <w:kern w:val="0"/>
          <w:sz w:val="28"/>
          <w:szCs w:val="28"/>
          <w:rtl/>
          <w14:ligatures w14:val="none"/>
        </w:rPr>
        <w:t>فارزارو</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وبوسيان</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14:ligatures w14:val="none"/>
        </w:rPr>
        <w:t>V</w:t>
      </w:r>
      <w:r w:rsidRPr="004866BF">
        <w:rPr>
          <w:rFonts w:ascii="Cambria" w:eastAsia="Times New Roman" w:hAnsi="Cambria" w:cs="Cambria"/>
          <w:color w:val="000000" w:themeColor="text1"/>
          <w:kern w:val="0"/>
          <w:sz w:val="28"/>
          <w:szCs w:val="28"/>
          <w14:ligatures w14:val="none"/>
        </w:rPr>
        <w:t>ă</w:t>
      </w:r>
      <w:r w:rsidRPr="004866BF">
        <w:rPr>
          <w:rFonts w:ascii="Simplified Arabic" w:eastAsia="Times New Roman" w:hAnsi="Simplified Arabic" w:cs="Simplified Arabic"/>
          <w:color w:val="000000" w:themeColor="text1"/>
          <w:kern w:val="0"/>
          <w:sz w:val="28"/>
          <w:szCs w:val="28"/>
          <w14:ligatures w14:val="none"/>
        </w:rPr>
        <w:t>rzaru</w:t>
      </w:r>
      <w:proofErr w:type="spellEnd"/>
      <w:r w:rsidRPr="004866BF">
        <w:rPr>
          <w:rFonts w:ascii="Simplified Arabic" w:eastAsia="Times New Roman" w:hAnsi="Simplified Arabic" w:cs="Simplified Arabic"/>
          <w:color w:val="000000" w:themeColor="text1"/>
          <w:kern w:val="0"/>
          <w:sz w:val="28"/>
          <w:szCs w:val="28"/>
          <w14:ligatures w14:val="none"/>
        </w:rPr>
        <w:t xml:space="preserve"> &amp; </w:t>
      </w:r>
      <w:proofErr w:type="spellStart"/>
      <w:r w:rsidRPr="004866BF">
        <w:rPr>
          <w:rFonts w:ascii="Simplified Arabic" w:eastAsia="Times New Roman" w:hAnsi="Simplified Arabic" w:cs="Simplified Arabic"/>
          <w:color w:val="000000" w:themeColor="text1"/>
          <w:kern w:val="0"/>
          <w:sz w:val="28"/>
          <w:szCs w:val="28"/>
          <w14:ligatures w14:val="none"/>
        </w:rPr>
        <w:t>Bocean</w:t>
      </w:r>
      <w:proofErr w:type="spellEnd"/>
      <w:r w:rsidRPr="004866BF">
        <w:rPr>
          <w:rFonts w:ascii="Simplified Arabic" w:eastAsia="Times New Roman" w:hAnsi="Simplified Arabic" w:cs="Simplified Arabic"/>
          <w:color w:val="000000" w:themeColor="text1"/>
          <w:kern w:val="0"/>
          <w:sz w:val="28"/>
          <w:szCs w:val="28"/>
          <w14:ligatures w14:val="none"/>
        </w:rPr>
        <w:t>, 2024</w:t>
      </w:r>
      <w:r w:rsidRPr="004866BF">
        <w:rPr>
          <w:rFonts w:ascii="Simplified Arabic" w:eastAsia="Times New Roman" w:hAnsi="Simplified Arabic" w:cs="Simplified Arabic"/>
          <w:color w:val="000000" w:themeColor="text1"/>
          <w:kern w:val="0"/>
          <w:sz w:val="28"/>
          <w:szCs w:val="28"/>
          <w:rtl/>
          <w14:ligatures w14:val="none"/>
        </w:rPr>
        <w:t>) إلى أن التحول الرقمي ينبغي أن يُفهم بوصفه محرّكًا للابتكار التنظيمي، إذ يفتح الأبواب أمام أنماط جديدة من الإنتاج وتقديم الخدمات، ويعيد رسم حدود ما يمكن للمنظمة تقديمه لج</w:t>
      </w:r>
      <w:r w:rsidR="00A229FA" w:rsidRPr="004866BF">
        <w:rPr>
          <w:rFonts w:ascii="Simplified Arabic" w:eastAsia="Times New Roman" w:hAnsi="Simplified Arabic" w:cs="Simplified Arabic"/>
          <w:color w:val="000000" w:themeColor="text1"/>
          <w:kern w:val="0"/>
          <w:sz w:val="28"/>
          <w:szCs w:val="28"/>
          <w:rtl/>
          <w14:ligatures w14:val="none"/>
        </w:rPr>
        <w:t>مهور المستفيدين.</w:t>
      </w:r>
    </w:p>
    <w:p w14:paraId="64280BC1" w14:textId="573F632E"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أما على الصعيد التطبيقي في القطاع الصحي العربي، فقد عرّفه الفارس وبني خالد (الفارس وبني خالد، 2022) بأنه عملية انتقال مؤسسي من النموذج الإداري التقليدي إلى نموذج رقمي متكامل يقوم على التشبيك بين الوحدات الصحية وتوظيف تكنولوجيا المعلومات في دعم القرار الإكلينيكي والإداري. ويقترب من هذا الفهم خنوف </w:t>
      </w:r>
      <w:proofErr w:type="spellStart"/>
      <w:r w:rsidRPr="004866BF">
        <w:rPr>
          <w:rFonts w:ascii="Simplified Arabic" w:eastAsia="Times New Roman" w:hAnsi="Simplified Arabic" w:cs="Simplified Arabic"/>
          <w:color w:val="000000" w:themeColor="text1"/>
          <w:kern w:val="0"/>
          <w:sz w:val="28"/>
          <w:szCs w:val="28"/>
          <w:rtl/>
          <w14:ligatures w14:val="none"/>
        </w:rPr>
        <w:t>وبولقصيبات</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(خنوف </w:t>
      </w:r>
      <w:proofErr w:type="spellStart"/>
      <w:r w:rsidRPr="004866BF">
        <w:rPr>
          <w:rFonts w:ascii="Simplified Arabic" w:eastAsia="Times New Roman" w:hAnsi="Simplified Arabic" w:cs="Simplified Arabic"/>
          <w:color w:val="000000" w:themeColor="text1"/>
          <w:kern w:val="0"/>
          <w:sz w:val="28"/>
          <w:szCs w:val="28"/>
          <w:rtl/>
          <w14:ligatures w14:val="none"/>
        </w:rPr>
        <w:t>وبولقصيبات</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2024) اللذان رأيا أن التحول الرقمي في </w:t>
      </w:r>
      <w:r w:rsidRPr="004866BF">
        <w:rPr>
          <w:rFonts w:ascii="Simplified Arabic" w:eastAsia="Times New Roman" w:hAnsi="Simplified Arabic" w:cs="Simplified Arabic"/>
          <w:color w:val="000000" w:themeColor="text1"/>
          <w:kern w:val="0"/>
          <w:sz w:val="28"/>
          <w:szCs w:val="28"/>
          <w:rtl/>
          <w14:ligatures w14:val="none"/>
        </w:rPr>
        <w:lastRenderedPageBreak/>
        <w:t xml:space="preserve">المستشفيات يجسّد عملية إعادة هندسة شاملة للممارسات الإدارية بحيث تصبح المعلومة الرقمية هي العصب المحوري لجميع الأنشطة، من التخطيط </w:t>
      </w:r>
      <w:r w:rsidR="00A229FA" w:rsidRPr="004866BF">
        <w:rPr>
          <w:rFonts w:ascii="Simplified Arabic" w:eastAsia="Times New Roman" w:hAnsi="Simplified Arabic" w:cs="Simplified Arabic"/>
          <w:color w:val="000000" w:themeColor="text1"/>
          <w:kern w:val="0"/>
          <w:sz w:val="28"/>
          <w:szCs w:val="28"/>
          <w:rtl/>
          <w14:ligatures w14:val="none"/>
        </w:rPr>
        <w:t>إلى التنفيذ إلى الرقابة.</w:t>
      </w:r>
    </w:p>
    <w:p w14:paraId="17172033" w14:textId="098875F2"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ومن منظور مغاير يركّز على بُعد العنصر البشري والكفاءات، عرّفه الوحيدي والساعد (الوحيدي والساعد، 2024) بأنه تبنٍّ منهجي للتقنيات الرقمية في بيئة العمل الصحي بما يستلزم تطوير جدارات الموظفين ومهاراتهم الرقمية لتكون موائمة لطبيعة الأدوات الجديدة. في حين قاربه قدوري وسعداوي (قدوري وسعداوي، 2025) من زاوية متابعة الملف الطبي للمريض، فاعتبراه أداة تتيح الانتقال من السجل الورقي </w:t>
      </w:r>
      <w:proofErr w:type="spellStart"/>
      <w:r w:rsidRPr="004866BF">
        <w:rPr>
          <w:rFonts w:ascii="Simplified Arabic" w:eastAsia="Times New Roman" w:hAnsi="Simplified Arabic" w:cs="Simplified Arabic"/>
          <w:color w:val="000000" w:themeColor="text1"/>
          <w:kern w:val="0"/>
          <w:sz w:val="28"/>
          <w:szCs w:val="28"/>
          <w:rtl/>
          <w14:ligatures w14:val="none"/>
        </w:rPr>
        <w:t>المتشظّي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إلى سجل إلكتروني موحّد يضمن تكامل المعلومات الصحية للمن</w:t>
      </w:r>
      <w:r w:rsidR="00A229FA" w:rsidRPr="004866BF">
        <w:rPr>
          <w:rFonts w:ascii="Simplified Arabic" w:eastAsia="Times New Roman" w:hAnsi="Simplified Arabic" w:cs="Simplified Arabic"/>
          <w:color w:val="000000" w:themeColor="text1"/>
          <w:kern w:val="0"/>
          <w:sz w:val="28"/>
          <w:szCs w:val="28"/>
          <w:rtl/>
          <w14:ligatures w14:val="none"/>
        </w:rPr>
        <w:t>تفع عبر مراحل الرعاية المختلفة.</w:t>
      </w:r>
    </w:p>
    <w:p w14:paraId="0DDB26EA" w14:textId="761CF5DD"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ويتّضح من استعراض هذه التعريفات أن ثمة مدارس متعددة في فهم التحول الرقمي؛ فمنها ما يغلّب البعد التقني، ومنها ما يغلّب البعد الاستراتيجي التنظيمي، ومنها ما يربطه بالاستدامة والابتكار، ومنها ما يقاربه من زاوية إنسانية تركّز على المريض أو الموظف. ويرى الباحث في ضوء ما سبق أن التحول الرقمي في القطاع الصحي يمكن تعريفه إجرائيًا بوصفه عملية استراتيجية ممنهجة تتبنّاها المنشآت الصحية لإعادة تشكيل عملياتها التشغيلية والإدارية والإكلينيكية من خلال التوظيف المتكامل للسجلات الصحية الإلكترونية، والتطبيب عن بُعد، وتطبيقات الذكاء الاصطناعي الصحي، والبنية التحتية الرقمية الصحية، بما يضمن تدفّقًا سلسًا للمعلومات، ويرفع كفاءة اتخاذ القرار، ويحقق قيمة مضافة للمريض والمنظمة على حدّ سواء. ويتميّز هذا التعريف بكونه لا يحصر التحول في بُعد واحد، بل يستوعب الأبعاد الفنية والتنظيمية والإنسانية في نسي</w:t>
      </w:r>
      <w:r w:rsidR="00A229FA" w:rsidRPr="004866BF">
        <w:rPr>
          <w:rFonts w:ascii="Simplified Arabic" w:eastAsia="Times New Roman" w:hAnsi="Simplified Arabic" w:cs="Simplified Arabic"/>
          <w:color w:val="000000" w:themeColor="text1"/>
          <w:kern w:val="0"/>
          <w:sz w:val="28"/>
          <w:szCs w:val="28"/>
          <w:rtl/>
          <w14:ligatures w14:val="none"/>
        </w:rPr>
        <w:t>ج واحد متفاعل.</w:t>
      </w:r>
    </w:p>
    <w:p w14:paraId="17B37C1A" w14:textId="447D93E5" w:rsidR="00793491" w:rsidRPr="004866BF" w:rsidRDefault="00A229FA" w:rsidP="00A229F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36" w:name="_Toc233424322"/>
      <w:r w:rsidRPr="004866BF">
        <w:rPr>
          <w:rFonts w:ascii="Simplified Arabic" w:eastAsia="Times New Roman" w:hAnsi="Simplified Arabic" w:cs="Simplified Arabic" w:hint="cs"/>
          <w:b/>
          <w:bCs/>
          <w:color w:val="000000" w:themeColor="text1"/>
          <w:kern w:val="0"/>
          <w:sz w:val="32"/>
          <w:szCs w:val="32"/>
          <w:rtl/>
          <w14:ligatures w14:val="none"/>
        </w:rPr>
        <w:t>3.1.2</w:t>
      </w:r>
      <w:r w:rsidR="00793491" w:rsidRPr="004866BF">
        <w:rPr>
          <w:rFonts w:ascii="Simplified Arabic" w:eastAsia="Times New Roman" w:hAnsi="Simplified Arabic" w:cs="Simplified Arabic"/>
          <w:b/>
          <w:bCs/>
          <w:color w:val="000000" w:themeColor="text1"/>
          <w:kern w:val="0"/>
          <w:sz w:val="32"/>
          <w:szCs w:val="32"/>
          <w:rtl/>
          <w14:ligatures w14:val="none"/>
        </w:rPr>
        <w:t xml:space="preserve"> أهمية التحول الرقمي</w:t>
      </w:r>
      <w:bookmarkEnd w:id="36"/>
    </w:p>
    <w:p w14:paraId="0BC9662F" w14:textId="53194218"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تنبع أهمية التحول الرقمي في القطاع الصحي من كونه يمثّل المسار الذي تنتقل من خلاله المنظمات الصحية من نموذج إداري وتشغيلي يعتمد على الإجراءات اليدوية والوثائق الورقية إلى نموذج معلوماتي مرن يستجيب لتعقيد البيئة المعاصرة وتسارع متطلباتها. ولا تقتصر هذه الأهمية على البُعد التقني المباشر، بل تمتد لتشمل أبعادًا استراتيجية ومالية واجتماعية وإنسانية تتقاطع جميعًا عند الهدف الأسمى المتمثّل في رفع كفاءة المنظومة الصحية وتحقيق جودة الخدمة المقدّمة. وفي ضوء ما تطرحه الأدبيات، يمكن مقاربة هذه الأهمية من زوايا متعددة تكشف عمق الأثر الذي يحدثه التحول الرقمي في المنظومة الصحية.</w:t>
      </w:r>
    </w:p>
    <w:p w14:paraId="6947A208" w14:textId="0B097840"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lastRenderedPageBreak/>
        <w:t xml:space="preserve">ويشير العمريين </w:t>
      </w:r>
      <w:proofErr w:type="spellStart"/>
      <w:r w:rsidRPr="004866BF">
        <w:rPr>
          <w:rFonts w:ascii="Simplified Arabic" w:eastAsia="Times New Roman" w:hAnsi="Simplified Arabic" w:cs="Simplified Arabic"/>
          <w:color w:val="000000" w:themeColor="text1"/>
          <w:kern w:val="0"/>
          <w:sz w:val="28"/>
          <w:szCs w:val="28"/>
          <w:rtl/>
          <w14:ligatures w14:val="none"/>
        </w:rPr>
        <w:t>والربابعة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(العمريين </w:t>
      </w:r>
      <w:proofErr w:type="spellStart"/>
      <w:r w:rsidRPr="004866BF">
        <w:rPr>
          <w:rFonts w:ascii="Simplified Arabic" w:eastAsia="Times New Roman" w:hAnsi="Simplified Arabic" w:cs="Simplified Arabic"/>
          <w:color w:val="000000" w:themeColor="text1"/>
          <w:kern w:val="0"/>
          <w:sz w:val="28"/>
          <w:szCs w:val="28"/>
          <w:rtl/>
          <w14:ligatures w14:val="none"/>
        </w:rPr>
        <w:t>والربابعة</w:t>
      </w:r>
      <w:proofErr w:type="spellEnd"/>
      <w:r w:rsidRPr="004866BF">
        <w:rPr>
          <w:rFonts w:ascii="Simplified Arabic" w:eastAsia="Times New Roman" w:hAnsi="Simplified Arabic" w:cs="Simplified Arabic"/>
          <w:color w:val="000000" w:themeColor="text1"/>
          <w:kern w:val="0"/>
          <w:sz w:val="28"/>
          <w:szCs w:val="28"/>
          <w:rtl/>
          <w14:ligatures w14:val="none"/>
        </w:rPr>
        <w:t>، 2023) إلى أن أهمية التحول الرقمي تتجلّى في عدة محاور، أولها: أنه يمثّل أداة استراتيجية لرفع الأداء العالي للمنظمات من خلال تمكينها من التكيّف مع المتغيرات البيئية المتسارعة، وثانيها: أنه يعزّز قدرة المنظمة على بناء ميزة تنافسية مستدامة عبر إعادة تشكيل سلاسل القيمة الداخلية بما يحقق كفاءة في استثمار الموارد، وثالثها: أنه يدعم التكيّف الاستراتيجي ويهيّئ المنظمة لتغيير نماذج عملها استجابةً لتحوّلات السوق ومتطلبات المستفيدين، ورابعها: أنه يوفّر بيئة معرفية ثرية تتيح للقيادات اتخاذ قرارات مبنية على بيانات دقيقة لا على انطباعات تقديرية.</w:t>
      </w:r>
    </w:p>
    <w:p w14:paraId="73FD0457" w14:textId="0556E773"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ويرى الجبور والزيديين (الجبور والزيديين، 2022) أن للتحول الرقمي أهمية محورية في تطوير الأداء المؤسسي تتمثّل في: تقديم خدمات أسرع وأكثر دقّة للمستفيدين، وتقليص الفجوة بين التخطيط والتنفيذ من خلال إتاحة معلومات لحظية لصنّاع القرار، وتعزيز الشفافية والمساءلة عبر توثيق العمليات إلكترونيًا، وتمكين المنظمة من قياس مؤشرات أدائها بصورة منهجية ومستمرة. وقد عمّق مياس والزيديين (مياس والزيديين، 2022) هذه النظرة بربط أهمية التحول الرقمي بمنهجية التحسين المستمر، إذ اعتبرا أن المنظمات لا تستطيع تطبيق مفهوم التحسين بفاعلية ما لم تمتلك بنية رقمية تتيح رصد الانحرافات وتحليلها والاستجابة لها في الوقت المناسب.</w:t>
      </w:r>
    </w:p>
    <w:p w14:paraId="2BD53177" w14:textId="408FBE96"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وفي السياق الصحي تحديدًا، يبيّن الزهراني ومجلد (الزهراني ومجلد، 2024) أن أهمية التحول الرقمي تتمظهر في كونه: يرفع من إنتاجية الكوادر الصحية ويخفّض من العبء الإداري الواقع عليها، ويهيّئ بيئة عمل أكثر تنظيمًا تسهم في تعزيز الرضا الوظيفي، ويتيح آليات تواصل مرنة بين الإدارات الطبية والإدارية، ويوفّر منصات للتعلّم المستمر للعاملين. ومن زاوية مكمّلة، يطرح الوحيدي والساعد (الوحيدي والساعد، 2024) أن أهمية التحول الرقمي ترتبط بتنمية جدارات الموظفين، إذ إن إدخال الأدوات الرقمية يفرض موجة من التطوير المهاري الذي ينعكس بدوره على نوعية الأداء الفردي والجماعي داخل المنشأة الصحية.</w:t>
      </w:r>
    </w:p>
    <w:p w14:paraId="5CCBE93E" w14:textId="094E21C9"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ويذهب كاريني وآخرون (</w:t>
      </w:r>
      <w:r w:rsidRPr="004866BF">
        <w:rPr>
          <w:rFonts w:ascii="Simplified Arabic" w:eastAsia="Times New Roman" w:hAnsi="Simplified Arabic" w:cs="Simplified Arabic"/>
          <w:color w:val="000000" w:themeColor="text1"/>
          <w:kern w:val="0"/>
          <w:sz w:val="28"/>
          <w:szCs w:val="28"/>
          <w14:ligatures w14:val="none"/>
        </w:rPr>
        <w:t>Carini et al., 2021</w:t>
      </w:r>
      <w:r w:rsidRPr="004866BF">
        <w:rPr>
          <w:rFonts w:ascii="Simplified Arabic" w:eastAsia="Times New Roman" w:hAnsi="Simplified Arabic" w:cs="Simplified Arabic"/>
          <w:color w:val="000000" w:themeColor="text1"/>
          <w:kern w:val="0"/>
          <w:sz w:val="28"/>
          <w:szCs w:val="28"/>
          <w:rtl/>
          <w14:ligatures w14:val="none"/>
        </w:rPr>
        <w:t xml:space="preserve">) إلى أن أهمية التحول الرقمي تتركّز في تمكين المريض ذاته من المشاركة الفاعلة في إدارة رحلته العلاجية من خلال البوابات الإلكترونية، وفي توفير معلومات أكثر شفافية تحدّ من فجوة المعرفة بين مقدّم الخدمة والمنتفع، وفي تعزيز كفاءة المنظومة الصحية بتقليص الزيارات غير الضرورية وتبسيط المسار العلاجي. ويضيف </w:t>
      </w:r>
      <w:proofErr w:type="spellStart"/>
      <w:r w:rsidRPr="004866BF">
        <w:rPr>
          <w:rFonts w:ascii="Simplified Arabic" w:eastAsia="Times New Roman" w:hAnsi="Simplified Arabic" w:cs="Simplified Arabic"/>
          <w:color w:val="000000" w:themeColor="text1"/>
          <w:kern w:val="0"/>
          <w:sz w:val="28"/>
          <w:szCs w:val="28"/>
          <w:rtl/>
          <w14:ligatures w14:val="none"/>
        </w:rPr>
        <w:t>ستومبوس</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وآخرون (</w:t>
      </w:r>
      <w:proofErr w:type="spellStart"/>
      <w:r w:rsidRPr="004866BF">
        <w:rPr>
          <w:rFonts w:ascii="Simplified Arabic" w:eastAsia="Times New Roman" w:hAnsi="Simplified Arabic" w:cs="Simplified Arabic"/>
          <w:color w:val="000000" w:themeColor="text1"/>
          <w:kern w:val="0"/>
          <w:sz w:val="28"/>
          <w:szCs w:val="28"/>
          <w14:ligatures w14:val="none"/>
        </w:rPr>
        <w:t>Stoumpos</w:t>
      </w:r>
      <w:proofErr w:type="spellEnd"/>
      <w:r w:rsidRPr="004866BF">
        <w:rPr>
          <w:rFonts w:ascii="Simplified Arabic" w:eastAsia="Times New Roman" w:hAnsi="Simplified Arabic" w:cs="Simplified Arabic"/>
          <w:color w:val="000000" w:themeColor="text1"/>
          <w:kern w:val="0"/>
          <w:sz w:val="28"/>
          <w:szCs w:val="28"/>
          <w14:ligatures w14:val="none"/>
        </w:rPr>
        <w:t xml:space="preserve"> et al., 2023</w:t>
      </w:r>
      <w:r w:rsidRPr="004866BF">
        <w:rPr>
          <w:rFonts w:ascii="Simplified Arabic" w:eastAsia="Times New Roman" w:hAnsi="Simplified Arabic" w:cs="Simplified Arabic"/>
          <w:color w:val="000000" w:themeColor="text1"/>
          <w:kern w:val="0"/>
          <w:sz w:val="28"/>
          <w:szCs w:val="28"/>
          <w:rtl/>
          <w14:ligatures w14:val="none"/>
        </w:rPr>
        <w:t>) أن للتحول الرقمي أهمية معرفية تتمثّل في توليد قاعدة بيانات صحية ضخمة تشكّل موردًا استراتيجيًا للبحث العلمي ولصياغة السياسات الصحية على المستويين المؤسسي والوطني.</w:t>
      </w:r>
    </w:p>
    <w:p w14:paraId="7BB08E87" w14:textId="706F6E3A"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lastRenderedPageBreak/>
        <w:t xml:space="preserve">كما يُبرز الفارس وبني خالد (الفارس وبني خالد، 2022) أن للتحول الرقمي أهمية تنظيمية تتعلّق بإعادة هندسة العلاقات بين الوحدات داخل المستشفى، بحيث يصبح تدفّق المعلومة بينها سلسًا، مما يخفّض زمن الاستجابة ويرفع من تكامل الخدمات المقدّمة. ومن منظور كلّي، يرى </w:t>
      </w:r>
      <w:proofErr w:type="spellStart"/>
      <w:r w:rsidRPr="004866BF">
        <w:rPr>
          <w:rFonts w:ascii="Simplified Arabic" w:eastAsia="Times New Roman" w:hAnsi="Simplified Arabic" w:cs="Simplified Arabic"/>
          <w:color w:val="000000" w:themeColor="text1"/>
          <w:kern w:val="0"/>
          <w:sz w:val="28"/>
          <w:szCs w:val="28"/>
          <w:rtl/>
          <w14:ligatures w14:val="none"/>
        </w:rPr>
        <w:t>كويلنسكي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وآخرون (</w:t>
      </w:r>
      <w:proofErr w:type="spellStart"/>
      <w:r w:rsidRPr="004866BF">
        <w:rPr>
          <w:rFonts w:ascii="Simplified Arabic" w:eastAsia="Times New Roman" w:hAnsi="Simplified Arabic" w:cs="Simplified Arabic"/>
          <w:color w:val="000000" w:themeColor="text1"/>
          <w:kern w:val="0"/>
          <w:sz w:val="28"/>
          <w:szCs w:val="28"/>
          <w14:ligatures w14:val="none"/>
        </w:rPr>
        <w:t>Kwilinski</w:t>
      </w:r>
      <w:proofErr w:type="spellEnd"/>
      <w:r w:rsidRPr="004866BF">
        <w:rPr>
          <w:rFonts w:ascii="Simplified Arabic" w:eastAsia="Times New Roman" w:hAnsi="Simplified Arabic" w:cs="Simplified Arabic"/>
          <w:color w:val="000000" w:themeColor="text1"/>
          <w:kern w:val="0"/>
          <w:sz w:val="28"/>
          <w:szCs w:val="28"/>
          <w14:ligatures w14:val="none"/>
        </w:rPr>
        <w:t xml:space="preserve"> et al., 2023</w:t>
      </w:r>
      <w:r w:rsidRPr="004866BF">
        <w:rPr>
          <w:rFonts w:ascii="Simplified Arabic" w:eastAsia="Times New Roman" w:hAnsi="Simplified Arabic" w:cs="Simplified Arabic"/>
          <w:color w:val="000000" w:themeColor="text1"/>
          <w:kern w:val="0"/>
          <w:sz w:val="28"/>
          <w:szCs w:val="28"/>
          <w:rtl/>
          <w14:ligatures w14:val="none"/>
        </w:rPr>
        <w:t xml:space="preserve">) أن أهمية التحول الرقمي تكتسب بُعدًا استراتيجيًا أوسع حين يُنظر إليه بوصفه أداة لتحقيق الاستدامة المؤسسية وتعزيز الأداء وفق معايير </w:t>
      </w:r>
      <w:r w:rsidRPr="004866BF">
        <w:rPr>
          <w:rFonts w:ascii="Simplified Arabic" w:eastAsia="Times New Roman" w:hAnsi="Simplified Arabic" w:cs="Simplified Arabic"/>
          <w:color w:val="000000" w:themeColor="text1"/>
          <w:kern w:val="0"/>
          <w:sz w:val="28"/>
          <w:szCs w:val="28"/>
          <w14:ligatures w14:val="none"/>
        </w:rPr>
        <w:t>ESG</w:t>
      </w:r>
      <w:r w:rsidRPr="004866BF">
        <w:rPr>
          <w:rFonts w:ascii="Simplified Arabic" w:eastAsia="Times New Roman" w:hAnsi="Simplified Arabic" w:cs="Simplified Arabic"/>
          <w:color w:val="000000" w:themeColor="text1"/>
          <w:kern w:val="0"/>
          <w:sz w:val="28"/>
          <w:szCs w:val="28"/>
          <w:rtl/>
          <w14:ligatures w14:val="none"/>
        </w:rPr>
        <w:t>، إذ يربط بين الكفاءة الاقتصادية والمسؤ</w:t>
      </w:r>
      <w:r w:rsidR="00A229FA" w:rsidRPr="004866BF">
        <w:rPr>
          <w:rFonts w:ascii="Simplified Arabic" w:eastAsia="Times New Roman" w:hAnsi="Simplified Arabic" w:cs="Simplified Arabic"/>
          <w:color w:val="000000" w:themeColor="text1"/>
          <w:kern w:val="0"/>
          <w:sz w:val="28"/>
          <w:szCs w:val="28"/>
          <w:rtl/>
          <w14:ligatures w14:val="none"/>
        </w:rPr>
        <w:t>ولية الاجتماعية وحوكمة المنظمة.</w:t>
      </w:r>
    </w:p>
    <w:p w14:paraId="3F58D5AB"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ويتّضح من تكامل هذه الرؤى أن أهمية التحول الرقمي تنتظم في مستويات متدرّجة؛ فعلى مستوى الفرد العامل يُسهم في تطوير الكفاءات وتحسين بيئة العمل، وعلى مستوى المريض يدعم تمكينه ومشاركته، وعلى مستوى المنظمة يرفع كفاءة العمليات ويعزّز قدرتها التنافسية، وعلى مستوى المنظومة الكلية يوفّر قاعدة معرفية لصياغة السياسات الصحية الرشيدة.</w:t>
      </w:r>
    </w:p>
    <w:p w14:paraId="0072D994" w14:textId="32A82780" w:rsidR="00793491" w:rsidRPr="004866BF" w:rsidRDefault="00A229FA" w:rsidP="00A229F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37" w:name="_Toc233424323"/>
      <w:r w:rsidRPr="004866BF">
        <w:rPr>
          <w:rFonts w:ascii="Simplified Arabic" w:eastAsia="Times New Roman" w:hAnsi="Simplified Arabic" w:cs="Simplified Arabic" w:hint="cs"/>
          <w:b/>
          <w:bCs/>
          <w:color w:val="000000" w:themeColor="text1"/>
          <w:kern w:val="0"/>
          <w:sz w:val="32"/>
          <w:szCs w:val="32"/>
          <w:rtl/>
          <w14:ligatures w14:val="none"/>
        </w:rPr>
        <w:t xml:space="preserve">4.1.2 </w:t>
      </w:r>
      <w:r w:rsidR="00793491" w:rsidRPr="004866BF">
        <w:rPr>
          <w:rFonts w:ascii="Simplified Arabic" w:eastAsia="Times New Roman" w:hAnsi="Simplified Arabic" w:cs="Simplified Arabic"/>
          <w:b/>
          <w:bCs/>
          <w:color w:val="000000" w:themeColor="text1"/>
          <w:kern w:val="0"/>
          <w:sz w:val="32"/>
          <w:szCs w:val="32"/>
          <w:rtl/>
          <w14:ligatures w14:val="none"/>
        </w:rPr>
        <w:t>أهداف التحول الرقمي</w:t>
      </w:r>
      <w:bookmarkEnd w:id="37"/>
    </w:p>
    <w:p w14:paraId="30E50A8D" w14:textId="3ACFB881"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تتنوّع الأهداف التي تسعى المنظمات الصحية إلى تحقيقها عبر تبنّيها للتحول الرقمي، وهو تنوّع يعكس تعدّد المداخل التي ينظر منها الباحثون إلى هذه الظاهرة. وتتوزّع هذه الأهداف بين ما هو تشغيلي مباشر وما هو استراتيجي بعيد المدى، وبين ما يخدم المنظمة وما</w:t>
      </w:r>
      <w:r w:rsidR="00A229FA" w:rsidRPr="004866BF">
        <w:rPr>
          <w:rFonts w:ascii="Simplified Arabic" w:eastAsia="Times New Roman" w:hAnsi="Simplified Arabic" w:cs="Simplified Arabic"/>
          <w:color w:val="000000" w:themeColor="text1"/>
          <w:kern w:val="0"/>
          <w:sz w:val="28"/>
          <w:szCs w:val="28"/>
          <w:rtl/>
          <w14:ligatures w14:val="none"/>
        </w:rPr>
        <w:t xml:space="preserve"> يصبّ في مصلحة المريض والمجتمع.</w:t>
      </w:r>
    </w:p>
    <w:p w14:paraId="5DD281C9"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ويحدّد </w:t>
      </w:r>
      <w:proofErr w:type="spellStart"/>
      <w:r w:rsidRPr="004866BF">
        <w:rPr>
          <w:rFonts w:ascii="Simplified Arabic" w:eastAsia="Times New Roman" w:hAnsi="Simplified Arabic" w:cs="Simplified Arabic"/>
          <w:color w:val="000000" w:themeColor="text1"/>
          <w:kern w:val="0"/>
          <w:sz w:val="28"/>
          <w:szCs w:val="28"/>
          <w:rtl/>
          <w14:ligatures w14:val="none"/>
        </w:rPr>
        <w:t>القطاونة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والربابعة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القطاونة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والربابعة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2023) جملة من الأهداف الجوهرية للتحول الرقمي تتمثّل في: السعي إلى تجويد الخدمة المقدّمة من خلال أتمتة الإجراءات وتقليص هامش الخطأ البشري، وتعزيز قدرة المنظمة على المقارنة المرجعية مع نظيراتها من خلال توفير بيانات قابلة للقياس، وتمكين القيادات من بناء قرارات مدعومة بالأدلة، ورفع مستوى رضا المستفيدين عن الخدمات من خلال تبسيط مسار الحصول عليها. ويُكمل ذلك خنوف </w:t>
      </w:r>
      <w:proofErr w:type="spellStart"/>
      <w:r w:rsidRPr="004866BF">
        <w:rPr>
          <w:rFonts w:ascii="Simplified Arabic" w:eastAsia="Times New Roman" w:hAnsi="Simplified Arabic" w:cs="Simplified Arabic"/>
          <w:color w:val="000000" w:themeColor="text1"/>
          <w:kern w:val="0"/>
          <w:sz w:val="28"/>
          <w:szCs w:val="28"/>
          <w:rtl/>
          <w14:ligatures w14:val="none"/>
        </w:rPr>
        <w:t>وبولقصيبات</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(خنوف </w:t>
      </w:r>
      <w:proofErr w:type="spellStart"/>
      <w:r w:rsidRPr="004866BF">
        <w:rPr>
          <w:rFonts w:ascii="Simplified Arabic" w:eastAsia="Times New Roman" w:hAnsi="Simplified Arabic" w:cs="Simplified Arabic"/>
          <w:color w:val="000000" w:themeColor="text1"/>
          <w:kern w:val="0"/>
          <w:sz w:val="28"/>
          <w:szCs w:val="28"/>
          <w:rtl/>
          <w14:ligatures w14:val="none"/>
        </w:rPr>
        <w:t>وبولقصيبات</w:t>
      </w:r>
      <w:proofErr w:type="spellEnd"/>
      <w:r w:rsidRPr="004866BF">
        <w:rPr>
          <w:rFonts w:ascii="Simplified Arabic" w:eastAsia="Times New Roman" w:hAnsi="Simplified Arabic" w:cs="Simplified Arabic"/>
          <w:color w:val="000000" w:themeColor="text1"/>
          <w:kern w:val="0"/>
          <w:sz w:val="28"/>
          <w:szCs w:val="28"/>
          <w:rtl/>
          <w14:ligatures w14:val="none"/>
        </w:rPr>
        <w:t>، 2024) بإبراز أهداف إضافية ترتبط بالأداء الإداري، منها: تخفيض زمن إنجاز المعاملات داخل المستشفى، وتحقيق التكامل بين الأقسام الطبية والإدارية، وتطوير منظومة الرقابة الداخلية، ورفع مستوى الشفافية في التعامل مع الملفات الطبية والإدارية.</w:t>
      </w:r>
    </w:p>
    <w:p w14:paraId="30F81E3C"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ويذهب قدوري وسعداوي (قدوري وسعداوي، 2025) إلى أن من أهداف التحول الرقمي الجوهرية في المستشفيات: ضمان استمرارية متابعة السجل الطبي للمريض عبر مراحل العلاج المختلفة، وتقليص فقدان </w:t>
      </w:r>
      <w:r w:rsidRPr="004866BF">
        <w:rPr>
          <w:rFonts w:ascii="Simplified Arabic" w:eastAsia="Times New Roman" w:hAnsi="Simplified Arabic" w:cs="Simplified Arabic"/>
          <w:color w:val="000000" w:themeColor="text1"/>
          <w:kern w:val="0"/>
          <w:sz w:val="28"/>
          <w:szCs w:val="28"/>
          <w:rtl/>
          <w14:ligatures w14:val="none"/>
        </w:rPr>
        <w:lastRenderedPageBreak/>
        <w:t>المعلومات الصحية الناتج عن الاعتماد على الملفات الورقية، وتوفير قاعدة موحّدة للبيانات الصحية تمكّن الفريق المعالج من اتخاذ قرارات إكلينيكية متّسقة، ورفع مستوى الأمان المعلوماتي في حفظ بيانات المرضى. وفي ذات السياق، يرى الزهراني ومجلد (الزهراني ومجلد، 2024) أن أهداف التحول الرقمي تشمل تحسين الأداء الوظيفي للعاملين من خلال توفير أدوات تساعدهم على إنجاز مهامهم بكفاءة أعلى، وتنمية مهاراتهم التقنية، وتعزيز قدرتهم على التعامل مع كميات كبيرة من البيانات بصورة ممنهجة.</w:t>
      </w:r>
    </w:p>
    <w:p w14:paraId="326E64C4" w14:textId="7AC95C90"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ومن منظور دولي، يطرح ليمنا (</w:t>
      </w:r>
      <w:r w:rsidRPr="004866BF">
        <w:rPr>
          <w:rFonts w:ascii="Simplified Arabic" w:eastAsia="Times New Roman" w:hAnsi="Simplified Arabic" w:cs="Simplified Arabic"/>
          <w:color w:val="000000" w:themeColor="text1"/>
          <w:kern w:val="0"/>
          <w:sz w:val="28"/>
          <w:szCs w:val="28"/>
          <w14:ligatures w14:val="none"/>
        </w:rPr>
        <w:t>Limna, 2023</w:t>
      </w:r>
      <w:r w:rsidRPr="004866BF">
        <w:rPr>
          <w:rFonts w:ascii="Simplified Arabic" w:eastAsia="Times New Roman" w:hAnsi="Simplified Arabic" w:cs="Simplified Arabic"/>
          <w:color w:val="000000" w:themeColor="text1"/>
          <w:kern w:val="0"/>
          <w:sz w:val="28"/>
          <w:szCs w:val="28"/>
          <w:rtl/>
          <w14:ligatures w14:val="none"/>
        </w:rPr>
        <w:t xml:space="preserve">) جملة من الأهداف منها: تعظيم القيمة الاقتصادية للخدمات الصحية، ورفع كفاءة استثمار الموارد المتاحة، وتقليص الفجوات الجغرافية في الوصول إلى الرعاية الصحية، وتمكين المنظومة الصحية من الاستجابة السريعة للأزمات الوبائية والصحية الطارئة. ويضيف </w:t>
      </w:r>
      <w:proofErr w:type="spellStart"/>
      <w:r w:rsidRPr="004866BF">
        <w:rPr>
          <w:rFonts w:ascii="Simplified Arabic" w:eastAsia="Times New Roman" w:hAnsi="Simplified Arabic" w:cs="Simplified Arabic"/>
          <w:color w:val="000000" w:themeColor="text1"/>
          <w:kern w:val="0"/>
          <w:sz w:val="28"/>
          <w:szCs w:val="28"/>
          <w:rtl/>
          <w14:ligatures w14:val="none"/>
        </w:rPr>
        <w:t>فارزارو</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وبوسيان</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14:ligatures w14:val="none"/>
        </w:rPr>
        <w:t>V</w:t>
      </w:r>
      <w:r w:rsidRPr="004866BF">
        <w:rPr>
          <w:rFonts w:ascii="Cambria" w:eastAsia="Times New Roman" w:hAnsi="Cambria" w:cs="Cambria"/>
          <w:color w:val="000000" w:themeColor="text1"/>
          <w:kern w:val="0"/>
          <w:sz w:val="28"/>
          <w:szCs w:val="28"/>
          <w14:ligatures w14:val="none"/>
        </w:rPr>
        <w:t>ă</w:t>
      </w:r>
      <w:r w:rsidRPr="004866BF">
        <w:rPr>
          <w:rFonts w:ascii="Simplified Arabic" w:eastAsia="Times New Roman" w:hAnsi="Simplified Arabic" w:cs="Simplified Arabic"/>
          <w:color w:val="000000" w:themeColor="text1"/>
          <w:kern w:val="0"/>
          <w:sz w:val="28"/>
          <w:szCs w:val="28"/>
          <w14:ligatures w14:val="none"/>
        </w:rPr>
        <w:t>rzaru</w:t>
      </w:r>
      <w:proofErr w:type="spellEnd"/>
      <w:r w:rsidRPr="004866BF">
        <w:rPr>
          <w:rFonts w:ascii="Simplified Arabic" w:eastAsia="Times New Roman" w:hAnsi="Simplified Arabic" w:cs="Simplified Arabic"/>
          <w:color w:val="000000" w:themeColor="text1"/>
          <w:kern w:val="0"/>
          <w:sz w:val="28"/>
          <w:szCs w:val="28"/>
          <w14:ligatures w14:val="none"/>
        </w:rPr>
        <w:t xml:space="preserve"> &amp; </w:t>
      </w:r>
      <w:proofErr w:type="spellStart"/>
      <w:r w:rsidRPr="004866BF">
        <w:rPr>
          <w:rFonts w:ascii="Simplified Arabic" w:eastAsia="Times New Roman" w:hAnsi="Simplified Arabic" w:cs="Simplified Arabic"/>
          <w:color w:val="000000" w:themeColor="text1"/>
          <w:kern w:val="0"/>
          <w:sz w:val="28"/>
          <w:szCs w:val="28"/>
          <w14:ligatures w14:val="none"/>
        </w:rPr>
        <w:t>Bocean</w:t>
      </w:r>
      <w:proofErr w:type="spellEnd"/>
      <w:r w:rsidRPr="004866BF">
        <w:rPr>
          <w:rFonts w:ascii="Simplified Arabic" w:eastAsia="Times New Roman" w:hAnsi="Simplified Arabic" w:cs="Simplified Arabic"/>
          <w:color w:val="000000" w:themeColor="text1"/>
          <w:kern w:val="0"/>
          <w:sz w:val="28"/>
          <w:szCs w:val="28"/>
          <w14:ligatures w14:val="none"/>
        </w:rPr>
        <w:t>, 2024</w:t>
      </w:r>
      <w:r w:rsidRPr="004866BF">
        <w:rPr>
          <w:rFonts w:ascii="Simplified Arabic" w:eastAsia="Times New Roman" w:hAnsi="Simplified Arabic" w:cs="Simplified Arabic"/>
          <w:color w:val="000000" w:themeColor="text1"/>
          <w:kern w:val="0"/>
          <w:sz w:val="28"/>
          <w:szCs w:val="28"/>
          <w:rtl/>
          <w14:ligatures w14:val="none"/>
        </w:rPr>
        <w:t>) أن للتحول الرقمي أهدافًا ابتكارية تتمثّل في: إطلاق نماذج خدمية جديدة لم تكن ممكنة في ظل النموذج التقليدي، وتوسيع نطاق التغطية الخدمية، وتطوير حلول مخصّصة تلبّي احتياجات شرائح متنوعة من المستفيدين، وتعزيز قدرة المنظمة على ت</w:t>
      </w:r>
      <w:r w:rsidR="00A229FA" w:rsidRPr="004866BF">
        <w:rPr>
          <w:rFonts w:ascii="Simplified Arabic" w:eastAsia="Times New Roman" w:hAnsi="Simplified Arabic" w:cs="Simplified Arabic"/>
          <w:color w:val="000000" w:themeColor="text1"/>
          <w:kern w:val="0"/>
          <w:sz w:val="28"/>
          <w:szCs w:val="28"/>
          <w:rtl/>
          <w14:ligatures w14:val="none"/>
        </w:rPr>
        <w:t>وليد الإيرادات من أنشطة مبتكرة.</w:t>
      </w:r>
    </w:p>
    <w:p w14:paraId="501C76CA"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ويبيّن الخلايلة والصمادي (الخلايلة والصمادي، 2021) أن من أهداف التحول الرقمي في المستشفيات: تحسين دقة التشخيص الإكلينيكي عبر توظيف تطبيقات الذكاء الاصطناعي، وتسريع اتخاذ القرار الطبي في الحالات الحرجة، ودعم الكوادر الطبية بأدوات تحليلية تعزّز كفاءتها المهنية، وتقليل الأخطاء الطبية الناتجة عن العامل البشري في الحالات المعقّدة. ويُضاف إلى ذلك ما يطرحه </w:t>
      </w:r>
      <w:proofErr w:type="spellStart"/>
      <w:r w:rsidRPr="004866BF">
        <w:rPr>
          <w:rFonts w:ascii="Simplified Arabic" w:eastAsia="Times New Roman" w:hAnsi="Simplified Arabic" w:cs="Simplified Arabic"/>
          <w:color w:val="000000" w:themeColor="text1"/>
          <w:kern w:val="0"/>
          <w:sz w:val="28"/>
          <w:szCs w:val="28"/>
          <w:rtl/>
          <w14:ligatures w14:val="none"/>
        </w:rPr>
        <w:t>بوفاتح</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بوفاتح</w:t>
      </w:r>
      <w:proofErr w:type="spellEnd"/>
      <w:r w:rsidRPr="004866BF">
        <w:rPr>
          <w:rFonts w:ascii="Simplified Arabic" w:eastAsia="Times New Roman" w:hAnsi="Simplified Arabic" w:cs="Simplified Arabic"/>
          <w:color w:val="000000" w:themeColor="text1"/>
          <w:kern w:val="0"/>
          <w:sz w:val="28"/>
          <w:szCs w:val="28"/>
          <w:rtl/>
          <w14:ligatures w14:val="none"/>
        </w:rPr>
        <w:t>، 2021) من أن التحول الرقمي يهدف إلى توفير ثروة معلوماتية موثوقة تشكّل الأساس الذي تُبنى عليه السياسات الصحية، وتمكّن المنظومة من تتبّع المؤشرات الوبائية بصورة لحظية، وتدعم بناء خرائط معرفية للحالة الصحية للمجتمع.</w:t>
      </w:r>
    </w:p>
    <w:p w14:paraId="52E48FFC"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ويبرز كاريني وآخرون (</w:t>
      </w:r>
      <w:r w:rsidRPr="004866BF">
        <w:rPr>
          <w:rFonts w:ascii="Simplified Arabic" w:eastAsia="Times New Roman" w:hAnsi="Simplified Arabic" w:cs="Simplified Arabic"/>
          <w:color w:val="000000" w:themeColor="text1"/>
          <w:kern w:val="0"/>
          <w:sz w:val="28"/>
          <w:szCs w:val="28"/>
          <w14:ligatures w14:val="none"/>
        </w:rPr>
        <w:t>Carini et al., 2021</w:t>
      </w:r>
      <w:r w:rsidRPr="004866BF">
        <w:rPr>
          <w:rFonts w:ascii="Simplified Arabic" w:eastAsia="Times New Roman" w:hAnsi="Simplified Arabic" w:cs="Simplified Arabic"/>
          <w:color w:val="000000" w:themeColor="text1"/>
          <w:kern w:val="0"/>
          <w:sz w:val="28"/>
          <w:szCs w:val="28"/>
          <w:rtl/>
          <w14:ligatures w14:val="none"/>
        </w:rPr>
        <w:t xml:space="preserve">) من جانبهم هدفًا محوريًا يتمثّل في تمكين المريض من التفاعل مع منظومة الرعاية الصحية عبر منصات إلكترونية تتيح له الاطلاع على ملفه الصحي وحجز مواعيده ومتابعة وصفاته العلاجية، بما يحوّله من متلقٍّ سلبي للخدمة إلى شريك فاعل في إدارة رحلته العلاجية. ويُكمل </w:t>
      </w:r>
      <w:proofErr w:type="spellStart"/>
      <w:r w:rsidRPr="004866BF">
        <w:rPr>
          <w:rFonts w:ascii="Simplified Arabic" w:eastAsia="Times New Roman" w:hAnsi="Simplified Arabic" w:cs="Simplified Arabic"/>
          <w:color w:val="000000" w:themeColor="text1"/>
          <w:kern w:val="0"/>
          <w:sz w:val="28"/>
          <w:szCs w:val="28"/>
          <w:rtl/>
          <w14:ligatures w14:val="none"/>
        </w:rPr>
        <w:t>كويلنسكي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وآخرون (</w:t>
      </w:r>
      <w:proofErr w:type="spellStart"/>
      <w:r w:rsidRPr="004866BF">
        <w:rPr>
          <w:rFonts w:ascii="Simplified Arabic" w:eastAsia="Times New Roman" w:hAnsi="Simplified Arabic" w:cs="Simplified Arabic"/>
          <w:color w:val="000000" w:themeColor="text1"/>
          <w:kern w:val="0"/>
          <w:sz w:val="28"/>
          <w:szCs w:val="28"/>
          <w14:ligatures w14:val="none"/>
        </w:rPr>
        <w:t>Kwilinski</w:t>
      </w:r>
      <w:proofErr w:type="spellEnd"/>
      <w:r w:rsidRPr="004866BF">
        <w:rPr>
          <w:rFonts w:ascii="Simplified Arabic" w:eastAsia="Times New Roman" w:hAnsi="Simplified Arabic" w:cs="Simplified Arabic"/>
          <w:color w:val="000000" w:themeColor="text1"/>
          <w:kern w:val="0"/>
          <w:sz w:val="28"/>
          <w:szCs w:val="28"/>
          <w14:ligatures w14:val="none"/>
        </w:rPr>
        <w:t xml:space="preserve"> et al., 2023</w:t>
      </w:r>
      <w:r w:rsidRPr="004866BF">
        <w:rPr>
          <w:rFonts w:ascii="Simplified Arabic" w:eastAsia="Times New Roman" w:hAnsi="Simplified Arabic" w:cs="Simplified Arabic"/>
          <w:color w:val="000000" w:themeColor="text1"/>
          <w:kern w:val="0"/>
          <w:sz w:val="28"/>
          <w:szCs w:val="28"/>
          <w:rtl/>
          <w14:ligatures w14:val="none"/>
        </w:rPr>
        <w:t xml:space="preserve">) هذا التصوّر بإبراز أهداف </w:t>
      </w:r>
      <w:proofErr w:type="spellStart"/>
      <w:r w:rsidRPr="004866BF">
        <w:rPr>
          <w:rFonts w:ascii="Simplified Arabic" w:eastAsia="Times New Roman" w:hAnsi="Simplified Arabic" w:cs="Simplified Arabic"/>
          <w:color w:val="000000" w:themeColor="text1"/>
          <w:kern w:val="0"/>
          <w:sz w:val="28"/>
          <w:szCs w:val="28"/>
          <w:rtl/>
          <w14:ligatures w14:val="none"/>
        </w:rPr>
        <w:t>استدامية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أوسع تتمثّل في: مواءمة المنظمة مع معايير الحوكمة الرشيدة، وتقليل البصمة البيئية للممارسات التقليدية كاستخدام الورق، وتعزيز المسؤولية الاجتماعية للمنظمات الصحية تجاه مجتمعاتها.</w:t>
      </w:r>
    </w:p>
    <w:p w14:paraId="02A90517" w14:textId="783298A7" w:rsidR="00793491" w:rsidRPr="004866BF" w:rsidRDefault="00A229FA" w:rsidP="00A229F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38" w:name="_Toc233424324"/>
      <w:r w:rsidRPr="004866BF">
        <w:rPr>
          <w:rFonts w:ascii="Simplified Arabic" w:eastAsia="Times New Roman" w:hAnsi="Simplified Arabic" w:cs="Simplified Arabic" w:hint="cs"/>
          <w:b/>
          <w:bCs/>
          <w:color w:val="000000" w:themeColor="text1"/>
          <w:kern w:val="0"/>
          <w:sz w:val="32"/>
          <w:szCs w:val="32"/>
          <w:rtl/>
          <w14:ligatures w14:val="none"/>
        </w:rPr>
        <w:lastRenderedPageBreak/>
        <w:t xml:space="preserve">5.1.2 </w:t>
      </w:r>
      <w:r w:rsidR="00793491" w:rsidRPr="004866BF">
        <w:rPr>
          <w:rFonts w:ascii="Simplified Arabic" w:eastAsia="Times New Roman" w:hAnsi="Simplified Arabic" w:cs="Simplified Arabic"/>
          <w:b/>
          <w:bCs/>
          <w:color w:val="000000" w:themeColor="text1"/>
          <w:kern w:val="0"/>
          <w:sz w:val="32"/>
          <w:szCs w:val="32"/>
          <w:rtl/>
          <w14:ligatures w14:val="none"/>
        </w:rPr>
        <w:t>أبعاد التحول الرقمي</w:t>
      </w:r>
      <w:bookmarkEnd w:id="38"/>
    </w:p>
    <w:p w14:paraId="70D9D072"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تم تحديد أبعاد التحول الرقمي في الدراسة الحالية بناءً على ما طرحه الزهراني ومجلد (الزهراني ومجلد، 2024) وقدوري وسعداوي (قدوري وسعداوي، 2025) </w:t>
      </w:r>
      <w:proofErr w:type="spellStart"/>
      <w:r w:rsidRPr="004866BF">
        <w:rPr>
          <w:rFonts w:ascii="Simplified Arabic" w:eastAsia="Times New Roman" w:hAnsi="Simplified Arabic" w:cs="Simplified Arabic"/>
          <w:color w:val="000000" w:themeColor="text1"/>
          <w:kern w:val="0"/>
          <w:sz w:val="28"/>
          <w:szCs w:val="28"/>
          <w:rtl/>
          <w14:ligatures w14:val="none"/>
        </w:rPr>
        <w:t>وستومبوس</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وآخرون (</w:t>
      </w:r>
      <w:proofErr w:type="spellStart"/>
      <w:r w:rsidRPr="004866BF">
        <w:rPr>
          <w:rFonts w:ascii="Simplified Arabic" w:eastAsia="Times New Roman" w:hAnsi="Simplified Arabic" w:cs="Simplified Arabic"/>
          <w:color w:val="000000" w:themeColor="text1"/>
          <w:kern w:val="0"/>
          <w:sz w:val="28"/>
          <w:szCs w:val="28"/>
          <w14:ligatures w14:val="none"/>
        </w:rPr>
        <w:t>Stoumpos</w:t>
      </w:r>
      <w:proofErr w:type="spellEnd"/>
      <w:r w:rsidRPr="004866BF">
        <w:rPr>
          <w:rFonts w:ascii="Simplified Arabic" w:eastAsia="Times New Roman" w:hAnsi="Simplified Arabic" w:cs="Simplified Arabic"/>
          <w:color w:val="000000" w:themeColor="text1"/>
          <w:kern w:val="0"/>
          <w:sz w:val="28"/>
          <w:szCs w:val="28"/>
          <w14:ligatures w14:val="none"/>
        </w:rPr>
        <w:t xml:space="preserve"> et al., 2023</w:t>
      </w:r>
      <w:r w:rsidRPr="004866BF">
        <w:rPr>
          <w:rFonts w:ascii="Simplified Arabic" w:eastAsia="Times New Roman" w:hAnsi="Simplified Arabic" w:cs="Simplified Arabic"/>
          <w:color w:val="000000" w:themeColor="text1"/>
          <w:kern w:val="0"/>
          <w:sz w:val="28"/>
          <w:szCs w:val="28"/>
          <w:rtl/>
          <w14:ligatures w14:val="none"/>
        </w:rPr>
        <w:t>)، فضلًا عن مواءمة هذه الأبعاد مع طبيعة بيئة التطبيق في المنشآت الصحية السعودية ومتطلبات رؤية المملكة 2030. وقد استقرّت الدراسة على أربعة أبعاد رئيسية تمثّل في مجموعها المحاور التي يدور حولها التحول الرقمي في القطاع الصحي، وهي: السجلات الصحية الإلكترونية، والتطبيب عن بُعد، والذكاء الاصطناعي الصحي، والبنية التحتية الرقمية الصحية.</w:t>
      </w:r>
    </w:p>
    <w:p w14:paraId="047F9ED7" w14:textId="6732D531" w:rsidR="00793491" w:rsidRPr="004866BF" w:rsidRDefault="00793491" w:rsidP="00C0245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4866BF">
        <w:rPr>
          <w:rFonts w:ascii="Simplified Arabic" w:eastAsia="Times New Roman" w:hAnsi="Simplified Arabic" w:cs="Simplified Arabic"/>
          <w:b/>
          <w:bCs/>
          <w:color w:val="000000" w:themeColor="text1"/>
          <w:kern w:val="0"/>
          <w:sz w:val="28"/>
          <w:szCs w:val="28"/>
          <w:rtl/>
          <w14:ligatures w14:val="none"/>
        </w:rPr>
        <w:t>البُعد الأول: السجلات الصحية الإلكترونية</w:t>
      </w:r>
    </w:p>
    <w:p w14:paraId="079C104B" w14:textId="7C38CCEE"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تمثّل السجلات الصحية الإلكترونية البنية المعلوماتية التي يقوم عليها التحول الرقمي في القطاع الصحي، إذ تُعد القاعدة التي تتدفّق منها سائر العمليات الإكلينيكية والإدارية. ويوضّح قدوري وسعداوي (قدوري وسعداوي، 2025) أن السجل الصحي الإلكتروني يمثّل تحوّلًا جوهريًا عن نمط الملف الورقي الذي يعاني من التشتّت وفقدان المعلومة وصعوبة الاسترجاع، إلى نمط رقمي موحّد يجمع تاريخ المريض الصحي في وثيقة واحدة قابلة للوصول والتحديث المستمر من قبل الأطراف المخوّلة. وتتيح هذه السجلات تكامل المعلومات بين الأقسام داخل المنشأة الواحدة، بل وبين المنشآت المختلفة</w:t>
      </w:r>
      <w:r w:rsidR="00A229FA" w:rsidRPr="004866BF">
        <w:rPr>
          <w:rFonts w:ascii="Simplified Arabic" w:eastAsia="Times New Roman" w:hAnsi="Simplified Arabic" w:cs="Simplified Arabic"/>
          <w:color w:val="000000" w:themeColor="text1"/>
          <w:kern w:val="0"/>
          <w:sz w:val="28"/>
          <w:szCs w:val="28"/>
          <w:rtl/>
          <w14:ligatures w14:val="none"/>
        </w:rPr>
        <w:t xml:space="preserve"> عند توفّر بيئة </w:t>
      </w:r>
      <w:proofErr w:type="spellStart"/>
      <w:r w:rsidR="00A229FA" w:rsidRPr="004866BF">
        <w:rPr>
          <w:rFonts w:ascii="Simplified Arabic" w:eastAsia="Times New Roman" w:hAnsi="Simplified Arabic" w:cs="Simplified Arabic"/>
          <w:color w:val="000000" w:themeColor="text1"/>
          <w:kern w:val="0"/>
          <w:sz w:val="28"/>
          <w:szCs w:val="28"/>
          <w:rtl/>
          <w14:ligatures w14:val="none"/>
        </w:rPr>
        <w:t>تشبيكية</w:t>
      </w:r>
      <w:proofErr w:type="spellEnd"/>
      <w:r w:rsidR="00A229FA" w:rsidRPr="004866BF">
        <w:rPr>
          <w:rFonts w:ascii="Simplified Arabic" w:eastAsia="Times New Roman" w:hAnsi="Simplified Arabic" w:cs="Simplified Arabic"/>
          <w:color w:val="000000" w:themeColor="text1"/>
          <w:kern w:val="0"/>
          <w:sz w:val="28"/>
          <w:szCs w:val="28"/>
          <w:rtl/>
          <w14:ligatures w14:val="none"/>
        </w:rPr>
        <w:t xml:space="preserve"> مناسبة.</w:t>
      </w:r>
    </w:p>
    <w:p w14:paraId="22BC2068" w14:textId="3E78A254"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ويبرز الفارس وبني خالد (الفارس وبني خالد، 2022) أن أهمية هذا البُعد تتمثّل في كونه يدعم اتخاذ القرار الإكلينيكي عبر توفير صورة شاملة لتاريخ المريض، تتضمّن تشخيصاته السابقة، والأدوية الموصوفة له، والحساسيات المسجّلة، والفحوصات المخبرية، مما يقلّل من احتمالات الأخطاء الناجمة عن نقص المعلومات. كما تسهم هذه السجلات في تيسير عمليات التدقيق الطبي والمحاسبة الإكلينيكية، وتعز</w:t>
      </w:r>
      <w:r w:rsidR="00A229FA" w:rsidRPr="004866BF">
        <w:rPr>
          <w:rFonts w:ascii="Simplified Arabic" w:eastAsia="Times New Roman" w:hAnsi="Simplified Arabic" w:cs="Simplified Arabic"/>
          <w:color w:val="000000" w:themeColor="text1"/>
          <w:kern w:val="0"/>
          <w:sz w:val="28"/>
          <w:szCs w:val="28"/>
          <w:rtl/>
          <w14:ligatures w14:val="none"/>
        </w:rPr>
        <w:t>يز الشفافية في توثيق الإجراءات.</w:t>
      </w:r>
    </w:p>
    <w:p w14:paraId="322EE7A3" w14:textId="34F84D5A" w:rsidR="00793491" w:rsidRPr="004866BF" w:rsidRDefault="00A229FA" w:rsidP="00A229F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4866BF">
        <w:rPr>
          <w:rFonts w:ascii="Simplified Arabic" w:eastAsia="Times New Roman" w:hAnsi="Simplified Arabic" w:cs="Simplified Arabic"/>
          <w:b/>
          <w:bCs/>
          <w:color w:val="000000" w:themeColor="text1"/>
          <w:kern w:val="0"/>
          <w:sz w:val="28"/>
          <w:szCs w:val="28"/>
          <w:rtl/>
          <w14:ligatures w14:val="none"/>
        </w:rPr>
        <w:t>البُعد الثاني: التطبيب عن بُعد</w:t>
      </w:r>
    </w:p>
    <w:p w14:paraId="61A467B2" w14:textId="3791A8F3"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يمثّل التطبيب عن بُعد أحد أبرز ملامح التحول الرقمي في القطاع الصحي، إذ يكسر الحاجز الجغرافي بين مقدّم الخدمة والمنتفع منها، ويتيح تقديم الاستشارات الطبية والمتابعة الإكلينيكية عبر منصات اتصال إلكترونية. ويبيّن </w:t>
      </w:r>
      <w:proofErr w:type="spellStart"/>
      <w:r w:rsidRPr="004866BF">
        <w:rPr>
          <w:rFonts w:ascii="Simplified Arabic" w:eastAsia="Times New Roman" w:hAnsi="Simplified Arabic" w:cs="Simplified Arabic"/>
          <w:color w:val="000000" w:themeColor="text1"/>
          <w:kern w:val="0"/>
          <w:sz w:val="28"/>
          <w:szCs w:val="28"/>
          <w:rtl/>
          <w14:ligatures w14:val="none"/>
        </w:rPr>
        <w:t>ستومبوس</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وآخرون (</w:t>
      </w:r>
      <w:proofErr w:type="spellStart"/>
      <w:r w:rsidRPr="004866BF">
        <w:rPr>
          <w:rFonts w:ascii="Simplified Arabic" w:eastAsia="Times New Roman" w:hAnsi="Simplified Arabic" w:cs="Simplified Arabic"/>
          <w:color w:val="000000" w:themeColor="text1"/>
          <w:kern w:val="0"/>
          <w:sz w:val="28"/>
          <w:szCs w:val="28"/>
          <w14:ligatures w14:val="none"/>
        </w:rPr>
        <w:t>Stoumpos</w:t>
      </w:r>
      <w:proofErr w:type="spellEnd"/>
      <w:r w:rsidRPr="004866BF">
        <w:rPr>
          <w:rFonts w:ascii="Simplified Arabic" w:eastAsia="Times New Roman" w:hAnsi="Simplified Arabic" w:cs="Simplified Arabic"/>
          <w:color w:val="000000" w:themeColor="text1"/>
          <w:kern w:val="0"/>
          <w:sz w:val="28"/>
          <w:szCs w:val="28"/>
          <w14:ligatures w14:val="none"/>
        </w:rPr>
        <w:t xml:space="preserve"> et al., 2023</w:t>
      </w:r>
      <w:r w:rsidRPr="004866BF">
        <w:rPr>
          <w:rFonts w:ascii="Simplified Arabic" w:eastAsia="Times New Roman" w:hAnsi="Simplified Arabic" w:cs="Simplified Arabic"/>
          <w:color w:val="000000" w:themeColor="text1"/>
          <w:kern w:val="0"/>
          <w:sz w:val="28"/>
          <w:szCs w:val="28"/>
          <w:rtl/>
          <w14:ligatures w14:val="none"/>
        </w:rPr>
        <w:t xml:space="preserve">) أن التطبيب عن بُعد يستوعب طيفًا </w:t>
      </w:r>
      <w:r w:rsidRPr="004866BF">
        <w:rPr>
          <w:rFonts w:ascii="Simplified Arabic" w:eastAsia="Times New Roman" w:hAnsi="Simplified Arabic" w:cs="Simplified Arabic"/>
          <w:color w:val="000000" w:themeColor="text1"/>
          <w:kern w:val="0"/>
          <w:sz w:val="28"/>
          <w:szCs w:val="28"/>
          <w:rtl/>
          <w14:ligatures w14:val="none"/>
        </w:rPr>
        <w:lastRenderedPageBreak/>
        <w:t>واسعًا من الخدمات تمتد من الاستشارة المرئية البسيطة إلى المتابعة المستمرة للحالات المزمنة عبر أجهزة استشعار قابلة للارتداء ترسل بيانات</w:t>
      </w:r>
      <w:r w:rsidR="00A229FA" w:rsidRPr="004866BF">
        <w:rPr>
          <w:rFonts w:ascii="Simplified Arabic" w:eastAsia="Times New Roman" w:hAnsi="Simplified Arabic" w:cs="Simplified Arabic"/>
          <w:color w:val="000000" w:themeColor="text1"/>
          <w:kern w:val="0"/>
          <w:sz w:val="28"/>
          <w:szCs w:val="28"/>
          <w:rtl/>
          <w14:ligatures w14:val="none"/>
        </w:rPr>
        <w:t xml:space="preserve"> صحية لحظية إلى الطبيب المعالج.</w:t>
      </w:r>
    </w:p>
    <w:p w14:paraId="3A4BCA5B" w14:textId="1CC0477A"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ويوضّح ليمنا (</w:t>
      </w:r>
      <w:r w:rsidRPr="004866BF">
        <w:rPr>
          <w:rFonts w:ascii="Simplified Arabic" w:eastAsia="Times New Roman" w:hAnsi="Simplified Arabic" w:cs="Simplified Arabic"/>
          <w:color w:val="000000" w:themeColor="text1"/>
          <w:kern w:val="0"/>
          <w:sz w:val="28"/>
          <w:szCs w:val="28"/>
          <w14:ligatures w14:val="none"/>
        </w:rPr>
        <w:t>Limna, 2023</w:t>
      </w:r>
      <w:r w:rsidRPr="004866BF">
        <w:rPr>
          <w:rFonts w:ascii="Simplified Arabic" w:eastAsia="Times New Roman" w:hAnsi="Simplified Arabic" w:cs="Simplified Arabic"/>
          <w:color w:val="000000" w:themeColor="text1"/>
          <w:kern w:val="0"/>
          <w:sz w:val="28"/>
          <w:szCs w:val="28"/>
          <w:rtl/>
          <w14:ligatures w14:val="none"/>
        </w:rPr>
        <w:t>) أن هذا البُعد يكتسب أهمية مضاعفة في البيئات ذات الامتداد الجغرافي الواسع كالمملكة العربية السعودية، إذ يتيح وصول الخدمة الصحية إلى المناطق النائية التي تعاني من شحّ الكوادر المتخصصة، ويخفّض من العبء الواقع على المستشفيات المركزية عبر استيعاب جزء من الحالات افتراضيًا. كما يسهم التطبيب عن بُعد في رفع كفاءة استخدام أوقات الكوادر الطبية، إذ تتيح المنصات الإلكترونية تقديم الاستشارة من دون الحاجة إلى الانتقال المكاني، مما يضاعف من عدد المرضى الذين يمكن تقديم الخد</w:t>
      </w:r>
      <w:r w:rsidR="00A229FA" w:rsidRPr="004866BF">
        <w:rPr>
          <w:rFonts w:ascii="Simplified Arabic" w:eastAsia="Times New Roman" w:hAnsi="Simplified Arabic" w:cs="Simplified Arabic"/>
          <w:color w:val="000000" w:themeColor="text1"/>
          <w:kern w:val="0"/>
          <w:sz w:val="28"/>
          <w:szCs w:val="28"/>
          <w:rtl/>
          <w14:ligatures w14:val="none"/>
        </w:rPr>
        <w:t>مة لهم في الفترة الزمنية ذاتها.</w:t>
      </w:r>
    </w:p>
    <w:p w14:paraId="4E30D963" w14:textId="0EF772F3" w:rsidR="00793491" w:rsidRPr="004866BF" w:rsidRDefault="00793491" w:rsidP="00A229F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4866BF">
        <w:rPr>
          <w:rFonts w:ascii="Simplified Arabic" w:eastAsia="Times New Roman" w:hAnsi="Simplified Arabic" w:cs="Simplified Arabic"/>
          <w:b/>
          <w:bCs/>
          <w:color w:val="000000" w:themeColor="text1"/>
          <w:kern w:val="0"/>
          <w:sz w:val="28"/>
          <w:szCs w:val="28"/>
          <w:rtl/>
          <w14:ligatures w14:val="none"/>
        </w:rPr>
        <w:t>البُعد</w:t>
      </w:r>
      <w:r w:rsidR="00A229FA" w:rsidRPr="004866BF">
        <w:rPr>
          <w:rFonts w:ascii="Simplified Arabic" w:eastAsia="Times New Roman" w:hAnsi="Simplified Arabic" w:cs="Simplified Arabic"/>
          <w:b/>
          <w:bCs/>
          <w:color w:val="000000" w:themeColor="text1"/>
          <w:kern w:val="0"/>
          <w:sz w:val="28"/>
          <w:szCs w:val="28"/>
          <w:rtl/>
          <w14:ligatures w14:val="none"/>
        </w:rPr>
        <w:t xml:space="preserve"> الثالث: الذكاء الاصطناعي الصحي</w:t>
      </w:r>
    </w:p>
    <w:p w14:paraId="6BCF23FD" w14:textId="437FABC2"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يمثّل الذكاء الاصطناعي الصحي البُعد الأكثر تقدّمًا في منظومة التحول الرقمي، إذ ينتقل بالأدوات الرقمية من مرحلة الحفظ والاسترجاع إلى مرحلة التحليل والتنبؤ ودعم القرار. ويوضّح الخلايلة والصمادي (الخلايلة والصمادي، 2021) أن تطبيقات الذكاء الاصطناعي في القطاع الصحي تشمل أنظمة دعم القرار الإكلينيكي التي تساعد الأطباء في تشخيص الحالات المعقّدة، وأدوات تحليل الصور الطبية كالأشعّة والرنين المغناطيسي بكفاءة قد تفوق الفحص اليدوي، ونماذج التنبؤ </w:t>
      </w:r>
      <w:proofErr w:type="spellStart"/>
      <w:r w:rsidRPr="004866BF">
        <w:rPr>
          <w:rFonts w:ascii="Simplified Arabic" w:eastAsia="Times New Roman" w:hAnsi="Simplified Arabic" w:cs="Simplified Arabic"/>
          <w:color w:val="000000" w:themeColor="text1"/>
          <w:kern w:val="0"/>
          <w:sz w:val="28"/>
          <w:szCs w:val="28"/>
          <w:rtl/>
          <w14:ligatures w14:val="none"/>
        </w:rPr>
        <w:t>بمآلات</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الحالات الحرجة، فضلًا عن منظومات إدارة الأدوية واك</w:t>
      </w:r>
      <w:r w:rsidR="00A229FA" w:rsidRPr="004866BF">
        <w:rPr>
          <w:rFonts w:ascii="Simplified Arabic" w:eastAsia="Times New Roman" w:hAnsi="Simplified Arabic" w:cs="Simplified Arabic"/>
          <w:color w:val="000000" w:themeColor="text1"/>
          <w:kern w:val="0"/>
          <w:sz w:val="28"/>
          <w:szCs w:val="28"/>
          <w:rtl/>
          <w14:ligatures w14:val="none"/>
        </w:rPr>
        <w:t>تشاف التفاعلات الدوائية الخطرة.</w:t>
      </w:r>
    </w:p>
    <w:p w14:paraId="383C0483" w14:textId="25D58681"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ويُضيف </w:t>
      </w:r>
      <w:proofErr w:type="spellStart"/>
      <w:r w:rsidRPr="004866BF">
        <w:rPr>
          <w:rFonts w:ascii="Simplified Arabic" w:eastAsia="Times New Roman" w:hAnsi="Simplified Arabic" w:cs="Simplified Arabic"/>
          <w:color w:val="000000" w:themeColor="text1"/>
          <w:kern w:val="0"/>
          <w:sz w:val="28"/>
          <w:szCs w:val="28"/>
          <w:rtl/>
          <w14:ligatures w14:val="none"/>
        </w:rPr>
        <w:t>فارزارو</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وبوسيان</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14:ligatures w14:val="none"/>
        </w:rPr>
        <w:t>V</w:t>
      </w:r>
      <w:r w:rsidRPr="004866BF">
        <w:rPr>
          <w:rFonts w:ascii="Cambria" w:eastAsia="Times New Roman" w:hAnsi="Cambria" w:cs="Cambria"/>
          <w:color w:val="000000" w:themeColor="text1"/>
          <w:kern w:val="0"/>
          <w:sz w:val="28"/>
          <w:szCs w:val="28"/>
          <w14:ligatures w14:val="none"/>
        </w:rPr>
        <w:t>ă</w:t>
      </w:r>
      <w:r w:rsidRPr="004866BF">
        <w:rPr>
          <w:rFonts w:ascii="Simplified Arabic" w:eastAsia="Times New Roman" w:hAnsi="Simplified Arabic" w:cs="Simplified Arabic"/>
          <w:color w:val="000000" w:themeColor="text1"/>
          <w:kern w:val="0"/>
          <w:sz w:val="28"/>
          <w:szCs w:val="28"/>
          <w14:ligatures w14:val="none"/>
        </w:rPr>
        <w:t>rzaru</w:t>
      </w:r>
      <w:proofErr w:type="spellEnd"/>
      <w:r w:rsidRPr="004866BF">
        <w:rPr>
          <w:rFonts w:ascii="Simplified Arabic" w:eastAsia="Times New Roman" w:hAnsi="Simplified Arabic" w:cs="Simplified Arabic"/>
          <w:color w:val="000000" w:themeColor="text1"/>
          <w:kern w:val="0"/>
          <w:sz w:val="28"/>
          <w:szCs w:val="28"/>
          <w14:ligatures w14:val="none"/>
        </w:rPr>
        <w:t xml:space="preserve"> &amp; </w:t>
      </w:r>
      <w:proofErr w:type="spellStart"/>
      <w:r w:rsidRPr="004866BF">
        <w:rPr>
          <w:rFonts w:ascii="Simplified Arabic" w:eastAsia="Times New Roman" w:hAnsi="Simplified Arabic" w:cs="Simplified Arabic"/>
          <w:color w:val="000000" w:themeColor="text1"/>
          <w:kern w:val="0"/>
          <w:sz w:val="28"/>
          <w:szCs w:val="28"/>
          <w14:ligatures w14:val="none"/>
        </w:rPr>
        <w:t>Bocean</w:t>
      </w:r>
      <w:proofErr w:type="spellEnd"/>
      <w:r w:rsidRPr="004866BF">
        <w:rPr>
          <w:rFonts w:ascii="Simplified Arabic" w:eastAsia="Times New Roman" w:hAnsi="Simplified Arabic" w:cs="Simplified Arabic"/>
          <w:color w:val="000000" w:themeColor="text1"/>
          <w:kern w:val="0"/>
          <w:sz w:val="28"/>
          <w:szCs w:val="28"/>
          <w14:ligatures w14:val="none"/>
        </w:rPr>
        <w:t>, 2024</w:t>
      </w:r>
      <w:r w:rsidRPr="004866BF">
        <w:rPr>
          <w:rFonts w:ascii="Simplified Arabic" w:eastAsia="Times New Roman" w:hAnsi="Simplified Arabic" w:cs="Simplified Arabic"/>
          <w:color w:val="000000" w:themeColor="text1"/>
          <w:kern w:val="0"/>
          <w:sz w:val="28"/>
          <w:szCs w:val="28"/>
          <w:rtl/>
          <w14:ligatures w14:val="none"/>
        </w:rPr>
        <w:t>) أن الذكاء الاصطناعي الصحي يفتح أفقًا للابتكار في تقديم الخدمات، إذ يتيح بناء نماذج طب مخصّص تأخذ بعين الاعتبار الخصائص الفردية للمريض، كما يسهم في إعادة هندسة العمليات داخل المستشفى عبر أتمتة المهام المتكرّرة وتحرير الكوادر الطبية للتركيز على المهام ذات القيمة المضافة العالية. ويتطلّب توظيف هذا البُعد توفّر قاعدة بيانات صحية ضخمة ومنظّمة، وكفاءات بشرية قادرة على التعامل مع الأدوات الذكية، ومنظومة أخلاقية وتنظيمية تضمن حماية بيانات المرضى وع</w:t>
      </w:r>
      <w:r w:rsidR="00A229FA" w:rsidRPr="004866BF">
        <w:rPr>
          <w:rFonts w:ascii="Simplified Arabic" w:eastAsia="Times New Roman" w:hAnsi="Simplified Arabic" w:cs="Simplified Arabic"/>
          <w:color w:val="000000" w:themeColor="text1"/>
          <w:kern w:val="0"/>
          <w:sz w:val="28"/>
          <w:szCs w:val="28"/>
          <w:rtl/>
          <w14:ligatures w14:val="none"/>
        </w:rPr>
        <w:t>دم التحيّز في خوارزميات القرار.</w:t>
      </w:r>
    </w:p>
    <w:p w14:paraId="3711A53C" w14:textId="0D244F61" w:rsidR="00793491" w:rsidRPr="004866BF" w:rsidRDefault="00793491" w:rsidP="00A229F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4866BF">
        <w:rPr>
          <w:rFonts w:ascii="Simplified Arabic" w:eastAsia="Times New Roman" w:hAnsi="Simplified Arabic" w:cs="Simplified Arabic"/>
          <w:b/>
          <w:bCs/>
          <w:color w:val="000000" w:themeColor="text1"/>
          <w:kern w:val="0"/>
          <w:sz w:val="28"/>
          <w:szCs w:val="28"/>
          <w:rtl/>
          <w14:ligatures w14:val="none"/>
        </w:rPr>
        <w:t>البُعد الرابع: البنية التحت</w:t>
      </w:r>
      <w:r w:rsidR="00A229FA" w:rsidRPr="004866BF">
        <w:rPr>
          <w:rFonts w:ascii="Simplified Arabic" w:eastAsia="Times New Roman" w:hAnsi="Simplified Arabic" w:cs="Simplified Arabic"/>
          <w:b/>
          <w:bCs/>
          <w:color w:val="000000" w:themeColor="text1"/>
          <w:kern w:val="0"/>
          <w:sz w:val="28"/>
          <w:szCs w:val="28"/>
          <w:rtl/>
          <w14:ligatures w14:val="none"/>
        </w:rPr>
        <w:t>ية الرقمية الصحية</w:t>
      </w:r>
    </w:p>
    <w:p w14:paraId="0B290F3D" w14:textId="10D84500"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lastRenderedPageBreak/>
        <w:t xml:space="preserve">تمثّل البنية التحتية الرقمية الصحية الإطار المادي والتقني الذي تتأسّس عليه سائر أبعاد التحول الرقمي، إذ لا يمكن للسجلات الإلكترونية أو منصات التطبيب عن بُعد أو تطبيقات الذكاء الاصطناعي أن تعمل بكفاءة من دون بنية تحتية متينة. ويُبرز الجهني (الجهني، 2023) أن هذه البنية تستوعب الشبكات الرقمية، والخوادم وأنظمة التخزين </w:t>
      </w:r>
      <w:proofErr w:type="spellStart"/>
      <w:r w:rsidRPr="004866BF">
        <w:rPr>
          <w:rFonts w:ascii="Simplified Arabic" w:eastAsia="Times New Roman" w:hAnsi="Simplified Arabic" w:cs="Simplified Arabic"/>
          <w:color w:val="000000" w:themeColor="text1"/>
          <w:kern w:val="0"/>
          <w:sz w:val="28"/>
          <w:szCs w:val="28"/>
          <w:rtl/>
          <w14:ligatures w14:val="none"/>
        </w:rPr>
        <w:t>السحابي</w:t>
      </w:r>
      <w:proofErr w:type="spellEnd"/>
      <w:r w:rsidRPr="004866BF">
        <w:rPr>
          <w:rFonts w:ascii="Simplified Arabic" w:eastAsia="Times New Roman" w:hAnsi="Simplified Arabic" w:cs="Simplified Arabic"/>
          <w:color w:val="000000" w:themeColor="text1"/>
          <w:kern w:val="0"/>
          <w:sz w:val="28"/>
          <w:szCs w:val="28"/>
          <w:rtl/>
          <w14:ligatures w14:val="none"/>
        </w:rPr>
        <w:t>، ومنظومات الأمن السيبراني، وأجهزة الحوسبة الطرفية، إلى جانب البرمجيات التشغ</w:t>
      </w:r>
      <w:r w:rsidR="00A229FA" w:rsidRPr="004866BF">
        <w:rPr>
          <w:rFonts w:ascii="Simplified Arabic" w:eastAsia="Times New Roman" w:hAnsi="Simplified Arabic" w:cs="Simplified Arabic"/>
          <w:color w:val="000000" w:themeColor="text1"/>
          <w:kern w:val="0"/>
          <w:sz w:val="28"/>
          <w:szCs w:val="28"/>
          <w:rtl/>
          <w14:ligatures w14:val="none"/>
        </w:rPr>
        <w:t>يلية وتطبيقات إدارة المستشفيات.</w:t>
      </w:r>
    </w:p>
    <w:p w14:paraId="1DB75A82" w14:textId="77777777" w:rsidR="00A229FA"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ويُكمل النشوي (النشوي، 2026) هذه الصورة بالإشارة إلى أن البنية التحتية الرقمية تتجاوز البُعد المادي إلى البُعد التنظيمي، إذ تتطلّب وجود سياسات حوكمة معلوماتية، وبروتوكولات تشغيل قياسية، ومنظومة تكامل بين الأنظمة المختلفة. وتتميّز البنية التحتية الجيدة بقدرتها على التوسّع المرن استجابةً للنمو في حجم البيانات والمستفيدين، وبموثوقيتها العالية التي تضمن استمرارية العمل دون انقطاع، وبأمنها المعلوماتي الذي يحمي البيانات الصحية الحسّاسة. وتمثّل هذه البنية في النهاية شرطًا </w:t>
      </w:r>
      <w:proofErr w:type="spellStart"/>
      <w:r w:rsidRPr="004866BF">
        <w:rPr>
          <w:rFonts w:ascii="Simplified Arabic" w:eastAsia="Times New Roman" w:hAnsi="Simplified Arabic" w:cs="Simplified Arabic"/>
          <w:color w:val="000000" w:themeColor="text1"/>
          <w:kern w:val="0"/>
          <w:sz w:val="28"/>
          <w:szCs w:val="28"/>
          <w:rtl/>
          <w14:ligatures w14:val="none"/>
        </w:rPr>
        <w:t>تمكينيًا</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لا غنى عنه لنجاح أي مبادرة</w:t>
      </w:r>
      <w:r w:rsidR="00A229FA" w:rsidRPr="004866BF">
        <w:rPr>
          <w:rFonts w:ascii="Simplified Arabic" w:eastAsia="Times New Roman" w:hAnsi="Simplified Arabic" w:cs="Simplified Arabic"/>
          <w:color w:val="000000" w:themeColor="text1"/>
          <w:kern w:val="0"/>
          <w:sz w:val="28"/>
          <w:szCs w:val="28"/>
          <w:rtl/>
          <w14:ligatures w14:val="none"/>
        </w:rPr>
        <w:t xml:space="preserve"> للتحول الرقمي في القطاع الصحي.</w:t>
      </w:r>
    </w:p>
    <w:p w14:paraId="174735A6" w14:textId="1E17E606"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ويمكن إضافة عناصر مكمّلة لهذه الأبعاد تتمثّل في: ثقافة التحول الرقمي السائدة داخل المنظمة، ومستوى استعداد القيادات لتبنّي التغيير، ومدى توافر كفاءات بشرية رقمية، وهي عناصر تتقاطع مع الأبعاد الأربعة الرئيسية وتؤثّر في نجاح تطبيقها.</w:t>
      </w:r>
    </w:p>
    <w:p w14:paraId="70EEBFD7" w14:textId="2F98FD95" w:rsidR="00793491" w:rsidRPr="004866BF" w:rsidRDefault="00A229FA" w:rsidP="00A229F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39" w:name="_Toc233424325"/>
      <w:r w:rsidRPr="004866BF">
        <w:rPr>
          <w:rFonts w:ascii="Simplified Arabic" w:eastAsia="Times New Roman" w:hAnsi="Simplified Arabic" w:cs="Simplified Arabic" w:hint="cs"/>
          <w:b/>
          <w:bCs/>
          <w:color w:val="000000" w:themeColor="text1"/>
          <w:kern w:val="0"/>
          <w:sz w:val="32"/>
          <w:szCs w:val="32"/>
          <w:rtl/>
          <w14:ligatures w14:val="none"/>
        </w:rPr>
        <w:t xml:space="preserve">6.1.2 </w:t>
      </w:r>
      <w:r w:rsidR="00793491" w:rsidRPr="004866BF">
        <w:rPr>
          <w:rFonts w:ascii="Simplified Arabic" w:eastAsia="Times New Roman" w:hAnsi="Simplified Arabic" w:cs="Simplified Arabic"/>
          <w:b/>
          <w:bCs/>
          <w:color w:val="000000" w:themeColor="text1"/>
          <w:kern w:val="0"/>
          <w:sz w:val="32"/>
          <w:szCs w:val="32"/>
          <w:rtl/>
          <w14:ligatures w14:val="none"/>
        </w:rPr>
        <w:t>استراتيجيات التحول الرقمي في القطاع الصحي</w:t>
      </w:r>
      <w:bookmarkEnd w:id="39"/>
    </w:p>
    <w:p w14:paraId="49B0972D" w14:textId="441EFB5C"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تتعدّد الاستراتيجيات التي يمكن للمنظمات الصحية اعتمادها لتنفيذ تحوّلها الرقمي، وتتفاوت هذه الاستراتيجيات تبعًا لطبيعة المنظمة وحجمها والمرحلة التطويرية التي تمرّ بها. ويطرح إمران وسالم والحوني (</w:t>
      </w:r>
      <w:r w:rsidRPr="004866BF">
        <w:rPr>
          <w:rFonts w:ascii="Simplified Arabic" w:eastAsia="Times New Roman" w:hAnsi="Simplified Arabic" w:cs="Simplified Arabic"/>
          <w:color w:val="000000" w:themeColor="text1"/>
          <w:kern w:val="0"/>
          <w:sz w:val="28"/>
          <w:szCs w:val="28"/>
          <w14:ligatures w14:val="none"/>
        </w:rPr>
        <w:t>Emran et al., 2025</w:t>
      </w:r>
      <w:r w:rsidRPr="004866BF">
        <w:rPr>
          <w:rFonts w:ascii="Simplified Arabic" w:eastAsia="Times New Roman" w:hAnsi="Simplified Arabic" w:cs="Simplified Arabic"/>
          <w:color w:val="000000" w:themeColor="text1"/>
          <w:kern w:val="0"/>
          <w:sz w:val="28"/>
          <w:szCs w:val="28"/>
          <w:rtl/>
          <w14:ligatures w14:val="none"/>
        </w:rPr>
        <w:t>) جملة من الاستراتيجيات الموجّهة لرفع جودة الخدمات الصحية عبر التحول الرقمي، تتضمّن بناء خارطة طريق متدرّجة تنتقل بالمنظمة من الأتمتة الأساسية إلى التكامل الكامل ثم إلى الذكاء التشغيلي، مع ضمان التوازن بين الاستثمار في التقنية والاس</w:t>
      </w:r>
      <w:r w:rsidR="00A229FA" w:rsidRPr="004866BF">
        <w:rPr>
          <w:rFonts w:ascii="Simplified Arabic" w:eastAsia="Times New Roman" w:hAnsi="Simplified Arabic" w:cs="Simplified Arabic"/>
          <w:color w:val="000000" w:themeColor="text1"/>
          <w:kern w:val="0"/>
          <w:sz w:val="28"/>
          <w:szCs w:val="28"/>
          <w:rtl/>
          <w14:ligatures w14:val="none"/>
        </w:rPr>
        <w:t>تثمار في تنمية الكوادر البشرية.</w:t>
      </w:r>
    </w:p>
    <w:p w14:paraId="400BB147" w14:textId="654F870F"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ويُكمل ذلك </w:t>
      </w:r>
      <w:proofErr w:type="spellStart"/>
      <w:r w:rsidRPr="004866BF">
        <w:rPr>
          <w:rFonts w:ascii="Simplified Arabic" w:eastAsia="Times New Roman" w:hAnsi="Simplified Arabic" w:cs="Simplified Arabic"/>
          <w:color w:val="000000" w:themeColor="text1"/>
          <w:kern w:val="0"/>
          <w:sz w:val="28"/>
          <w:szCs w:val="28"/>
          <w:rtl/>
          <w14:ligatures w14:val="none"/>
        </w:rPr>
        <w:t>كوالسكي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ونواك (</w:t>
      </w:r>
      <w:r w:rsidRPr="004866BF">
        <w:rPr>
          <w:rFonts w:ascii="Simplified Arabic" w:eastAsia="Times New Roman" w:hAnsi="Simplified Arabic" w:cs="Simplified Arabic"/>
          <w:color w:val="000000" w:themeColor="text1"/>
          <w:kern w:val="0"/>
          <w:sz w:val="28"/>
          <w:szCs w:val="28"/>
          <w14:ligatures w14:val="none"/>
        </w:rPr>
        <w:t>Kowalski &amp; Nowak, 2024</w:t>
      </w:r>
      <w:r w:rsidRPr="004866BF">
        <w:rPr>
          <w:rFonts w:ascii="Simplified Arabic" w:eastAsia="Times New Roman" w:hAnsi="Simplified Arabic" w:cs="Simplified Arabic"/>
          <w:color w:val="000000" w:themeColor="text1"/>
          <w:kern w:val="0"/>
          <w:sz w:val="28"/>
          <w:szCs w:val="28"/>
          <w:rtl/>
          <w14:ligatures w14:val="none"/>
        </w:rPr>
        <w:t xml:space="preserve">) باستراتيجية تركّز على ضمان الجودة عبر التحول الرقمي، إذ تتأسّس على إدماج معايير الجودة في تصميم الأنظمة الرقمية ذاتها، بحيث تصبح المنظومة الرقمية أداة للتحقق المستمر من الالتزام بالمعايير وليس مجرد وسيط تشغيلي. وفي السياق ذاته، تطرح </w:t>
      </w:r>
      <w:proofErr w:type="spellStart"/>
      <w:r w:rsidRPr="004866BF">
        <w:rPr>
          <w:rFonts w:ascii="Simplified Arabic" w:eastAsia="Times New Roman" w:hAnsi="Simplified Arabic" w:cs="Simplified Arabic"/>
          <w:color w:val="000000" w:themeColor="text1"/>
          <w:kern w:val="0"/>
          <w:sz w:val="28"/>
          <w:szCs w:val="28"/>
          <w:rtl/>
          <w14:ligatures w14:val="none"/>
        </w:rPr>
        <w:t>زانغ</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وحسين وعلي (</w:t>
      </w:r>
      <w:r w:rsidRPr="004866BF">
        <w:rPr>
          <w:rFonts w:ascii="Simplified Arabic" w:eastAsia="Times New Roman" w:hAnsi="Simplified Arabic" w:cs="Simplified Arabic"/>
          <w:color w:val="000000" w:themeColor="text1"/>
          <w:kern w:val="0"/>
          <w:sz w:val="28"/>
          <w:szCs w:val="28"/>
          <w14:ligatures w14:val="none"/>
        </w:rPr>
        <w:t>Zhang et al., 2025</w:t>
      </w:r>
      <w:r w:rsidRPr="004866BF">
        <w:rPr>
          <w:rFonts w:ascii="Simplified Arabic" w:eastAsia="Times New Roman" w:hAnsi="Simplified Arabic" w:cs="Simplified Arabic"/>
          <w:color w:val="000000" w:themeColor="text1"/>
          <w:kern w:val="0"/>
          <w:sz w:val="28"/>
          <w:szCs w:val="28"/>
          <w:rtl/>
          <w14:ligatures w14:val="none"/>
        </w:rPr>
        <w:t xml:space="preserve">) مدخل التأثير المكاني للتحول الرقمي، الذي يستدعي </w:t>
      </w:r>
      <w:r w:rsidRPr="004866BF">
        <w:rPr>
          <w:rFonts w:ascii="Simplified Arabic" w:eastAsia="Times New Roman" w:hAnsi="Simplified Arabic" w:cs="Simplified Arabic"/>
          <w:color w:val="000000" w:themeColor="text1"/>
          <w:kern w:val="0"/>
          <w:sz w:val="28"/>
          <w:szCs w:val="28"/>
          <w:rtl/>
          <w14:ligatures w14:val="none"/>
        </w:rPr>
        <w:lastRenderedPageBreak/>
        <w:t>بناء استراتيجيات تشبيك إقليمي بين المنشآت الصحية بحيث يمتد أثر التحول من المنشأة الواحدة إلى المنظومة الإقليمية، فيُحدث ما يمكن تسميته بال</w:t>
      </w:r>
      <w:r w:rsidR="00A229FA" w:rsidRPr="004866BF">
        <w:rPr>
          <w:rFonts w:ascii="Simplified Arabic" w:eastAsia="Times New Roman" w:hAnsi="Simplified Arabic" w:cs="Simplified Arabic"/>
          <w:color w:val="000000" w:themeColor="text1"/>
          <w:kern w:val="0"/>
          <w:sz w:val="28"/>
          <w:szCs w:val="28"/>
          <w:rtl/>
          <w14:ligatures w14:val="none"/>
        </w:rPr>
        <w:t>تأثير الانتشاري للخدمة الرقمية.</w:t>
      </w:r>
    </w:p>
    <w:p w14:paraId="6B2D2277" w14:textId="290F94ED"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ويُضيف العسّاف وبحرون وأحمد (</w:t>
      </w:r>
      <w:r w:rsidRPr="004866BF">
        <w:rPr>
          <w:rFonts w:ascii="Simplified Arabic" w:eastAsia="Times New Roman" w:hAnsi="Simplified Arabic" w:cs="Simplified Arabic"/>
          <w:color w:val="000000" w:themeColor="text1"/>
          <w:kern w:val="0"/>
          <w:sz w:val="28"/>
          <w:szCs w:val="28"/>
          <w14:ligatures w14:val="none"/>
        </w:rPr>
        <w:t>Al-Assaf et al., 2024</w:t>
      </w:r>
      <w:r w:rsidRPr="004866BF">
        <w:rPr>
          <w:rFonts w:ascii="Simplified Arabic" w:eastAsia="Times New Roman" w:hAnsi="Simplified Arabic" w:cs="Simplified Arabic"/>
          <w:color w:val="000000" w:themeColor="text1"/>
          <w:kern w:val="0"/>
          <w:sz w:val="28"/>
          <w:szCs w:val="28"/>
          <w:rtl/>
          <w14:ligatures w14:val="none"/>
        </w:rPr>
        <w:t xml:space="preserve">) من خلال مدخل الرعاية الصحية 4.0 استراتيجية شاملة تربط بين التحول الرقمي وجودة الخدمة، عبر تبنّي إطار متكامل يجمع إنترنت الأشياء الطبية، وتحليلات البيانات الضخمة، والذكاء الاصطناعي، والروبوتات الجراحية، ضمن منظومة موحّدة. وتقتضي هذه الاستراتيجية إعادة هندسة شاملة لعمليات المستشفى، وتطوير قدرات الكوادر، وبناء شراكات مع </w:t>
      </w:r>
      <w:r w:rsidR="00A229FA" w:rsidRPr="004866BF">
        <w:rPr>
          <w:rFonts w:ascii="Simplified Arabic" w:eastAsia="Times New Roman" w:hAnsi="Simplified Arabic" w:cs="Simplified Arabic"/>
          <w:color w:val="000000" w:themeColor="text1"/>
          <w:kern w:val="0"/>
          <w:sz w:val="28"/>
          <w:szCs w:val="28"/>
          <w:rtl/>
          <w14:ligatures w14:val="none"/>
        </w:rPr>
        <w:t>مزوّدي التقنية وشركاء الابتكار.</w:t>
      </w:r>
    </w:p>
    <w:p w14:paraId="240DEF40" w14:textId="77777777" w:rsidR="00A229FA"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ويتقاطع مع ذلك ما يطرحه عودة </w:t>
      </w:r>
      <w:proofErr w:type="spellStart"/>
      <w:r w:rsidRPr="004866BF">
        <w:rPr>
          <w:rFonts w:ascii="Simplified Arabic" w:eastAsia="Times New Roman" w:hAnsi="Simplified Arabic" w:cs="Simplified Arabic"/>
          <w:color w:val="000000" w:themeColor="text1"/>
          <w:kern w:val="0"/>
          <w:sz w:val="28"/>
          <w:szCs w:val="28"/>
          <w:rtl/>
          <w14:ligatures w14:val="none"/>
        </w:rPr>
        <w:t>والخشالي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(عودة </w:t>
      </w:r>
      <w:proofErr w:type="spellStart"/>
      <w:r w:rsidRPr="004866BF">
        <w:rPr>
          <w:rFonts w:ascii="Simplified Arabic" w:eastAsia="Times New Roman" w:hAnsi="Simplified Arabic" w:cs="Simplified Arabic"/>
          <w:color w:val="000000" w:themeColor="text1"/>
          <w:kern w:val="0"/>
          <w:sz w:val="28"/>
          <w:szCs w:val="28"/>
          <w:rtl/>
          <w14:ligatures w14:val="none"/>
        </w:rPr>
        <w:t>والخشالي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2025) من استراتيجية الرشاقة المرتبطة بإدارة المخاطر، التي تستدعي بناء قدرة تنظيمية على الاستجابة السريعة للمتغيرات وإدارة المخاطر المصاحبة للتحول الرقمي، كمخاطر الأمن السيبراني، ومخاطر مقاومة التغيير، ومخاطر الاعتماد على مزوّد واحد للتقنية. ويُكمل ذلك حسن وعبدالرحيم </w:t>
      </w:r>
      <w:proofErr w:type="spellStart"/>
      <w:r w:rsidRPr="004866BF">
        <w:rPr>
          <w:rFonts w:ascii="Simplified Arabic" w:eastAsia="Times New Roman" w:hAnsi="Simplified Arabic" w:cs="Simplified Arabic"/>
          <w:color w:val="000000" w:themeColor="text1"/>
          <w:kern w:val="0"/>
          <w:sz w:val="28"/>
          <w:szCs w:val="28"/>
          <w:rtl/>
          <w14:ligatures w14:val="none"/>
        </w:rPr>
        <w:t>وبليح</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(حسن وآخرون، 2025) بطرح استراتيجية بناء الثقة بوصفها متطلبًا جوهريًا لنجاح التحول الرقمي، إذ تتطلّب المنظومة الرقمية ثقة من المرضى في حماية بياناتهم، وثقة من العاملين في قدرة الأدوات الجديدة، وثقة من الإدارة ا</w:t>
      </w:r>
      <w:r w:rsidR="00A229FA" w:rsidRPr="004866BF">
        <w:rPr>
          <w:rFonts w:ascii="Simplified Arabic" w:eastAsia="Times New Roman" w:hAnsi="Simplified Arabic" w:cs="Simplified Arabic"/>
          <w:color w:val="000000" w:themeColor="text1"/>
          <w:kern w:val="0"/>
          <w:sz w:val="28"/>
          <w:szCs w:val="28"/>
          <w:rtl/>
          <w14:ligatures w14:val="none"/>
        </w:rPr>
        <w:t>لعليا في جدوى الاستثمار التقني.</w:t>
      </w:r>
    </w:p>
    <w:p w14:paraId="4BA56E00" w14:textId="77777777" w:rsidR="00A229FA"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ومن منظور تطويري، تطرح غواري (غواري، 2021) استراتيجية التدريب المستمر بوصفها ركيزة لاستراتيجيات التحول الرقمي، إذ إن أي استثمار تقني لا </w:t>
      </w:r>
      <w:proofErr w:type="spellStart"/>
      <w:r w:rsidRPr="004866BF">
        <w:rPr>
          <w:rFonts w:ascii="Simplified Arabic" w:eastAsia="Times New Roman" w:hAnsi="Simplified Arabic" w:cs="Simplified Arabic"/>
          <w:color w:val="000000" w:themeColor="text1"/>
          <w:kern w:val="0"/>
          <w:sz w:val="28"/>
          <w:szCs w:val="28"/>
          <w:rtl/>
          <w14:ligatures w14:val="none"/>
        </w:rPr>
        <w:t>تواكبه</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استراتيجية تدريبية ممنهجة يظل قاصرًا عن تحقيق أهدافه. وتتكامل مع هذه الرؤية ما تطرحه محمد (محمد، 2024) من ضرورة إدراج التحول الرقمي ضمن استراتيجيات تحسين جودة الخدمات الصحية الوقائية، إذ يتجاوز التحول الرقمي إطار الرعاية العلاجية ليشمل الجوانب الوقائية والتثقيف الصحي ورص</w:t>
      </w:r>
      <w:r w:rsidR="00A229FA" w:rsidRPr="004866BF">
        <w:rPr>
          <w:rFonts w:ascii="Simplified Arabic" w:eastAsia="Times New Roman" w:hAnsi="Simplified Arabic" w:cs="Simplified Arabic"/>
          <w:color w:val="000000" w:themeColor="text1"/>
          <w:kern w:val="0"/>
          <w:sz w:val="28"/>
          <w:szCs w:val="28"/>
          <w:rtl/>
          <w14:ligatures w14:val="none"/>
        </w:rPr>
        <w:t>د المؤشرات الوبائية في المجتمع</w:t>
      </w:r>
    </w:p>
    <w:p w14:paraId="11505F00" w14:textId="2479CA99"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ويتّضح من تكامل هذه الاستراتيجيات أن التحول الرقمي الناجح في القطاع الصحي لا يمكن أن يقوم على استراتيجية أحادية، بل يتطلّب توليفة متناغمة من الاستراتيجيات التي تستوعب الأبعاد التقنية والتنظيمية والبشرية، وتؤسّس لمسار متدرّج ومستدام يحقق التوازن بين طموحات التحول ومتطلبات الاستقرار التشغيلي.</w:t>
      </w:r>
    </w:p>
    <w:p w14:paraId="68D88558" w14:textId="28CE7A45" w:rsidR="00793491" w:rsidRPr="004866BF" w:rsidRDefault="00A229FA" w:rsidP="00A229FA">
      <w:pPr>
        <w:jc w:val="center"/>
        <w:outlineLvl w:val="1"/>
        <w:rPr>
          <w:rFonts w:ascii="Simplified Arabic" w:eastAsia="Times New Roman" w:hAnsi="Simplified Arabic" w:cs="Simplified Arabic"/>
          <w:b/>
          <w:bCs/>
          <w:color w:val="000000" w:themeColor="text1"/>
          <w:kern w:val="0"/>
          <w:sz w:val="40"/>
          <w:szCs w:val="40"/>
          <w:rtl/>
          <w14:ligatures w14:val="none"/>
        </w:rPr>
      </w:pPr>
      <w:r w:rsidRPr="004866BF">
        <w:rPr>
          <w:rFonts w:ascii="Simplified Arabic" w:eastAsia="Times New Roman" w:hAnsi="Simplified Arabic" w:cs="Simplified Arabic"/>
          <w:b/>
          <w:bCs/>
          <w:color w:val="000000" w:themeColor="text1"/>
          <w:kern w:val="0"/>
          <w:sz w:val="40"/>
          <w:szCs w:val="40"/>
          <w:rtl/>
          <w14:ligatures w14:val="none"/>
        </w:rPr>
        <w:br w:type="page"/>
      </w:r>
      <w:bookmarkStart w:id="40" w:name="_Toc233424326"/>
      <w:r w:rsidR="00793491" w:rsidRPr="004866BF">
        <w:rPr>
          <w:rFonts w:ascii="Simplified Arabic" w:eastAsia="Times New Roman" w:hAnsi="Simplified Arabic" w:cs="Simplified Arabic"/>
          <w:b/>
          <w:bCs/>
          <w:color w:val="000000" w:themeColor="text1"/>
          <w:kern w:val="0"/>
          <w:sz w:val="40"/>
          <w:szCs w:val="40"/>
          <w:rtl/>
          <w14:ligatures w14:val="none"/>
        </w:rPr>
        <w:lastRenderedPageBreak/>
        <w:t>المبحث الثاني: جودة الرعاية الصحية</w:t>
      </w:r>
      <w:bookmarkEnd w:id="40"/>
    </w:p>
    <w:p w14:paraId="3D5E4CDD" w14:textId="38232341" w:rsidR="00793491" w:rsidRPr="004866BF" w:rsidRDefault="00A229FA" w:rsidP="00A229F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1" w:name="_Toc233424327"/>
      <w:r w:rsidRPr="004866BF">
        <w:rPr>
          <w:rFonts w:ascii="Simplified Arabic" w:eastAsia="Times New Roman" w:hAnsi="Simplified Arabic" w:cs="Simplified Arabic" w:hint="cs"/>
          <w:b/>
          <w:bCs/>
          <w:color w:val="000000" w:themeColor="text1"/>
          <w:kern w:val="0"/>
          <w:sz w:val="32"/>
          <w:szCs w:val="32"/>
          <w:rtl/>
          <w14:ligatures w14:val="none"/>
        </w:rPr>
        <w:t xml:space="preserve">1.2.2 </w:t>
      </w:r>
      <w:r w:rsidR="00793491" w:rsidRPr="004866BF">
        <w:rPr>
          <w:rFonts w:ascii="Simplified Arabic" w:eastAsia="Times New Roman" w:hAnsi="Simplified Arabic" w:cs="Simplified Arabic"/>
          <w:b/>
          <w:bCs/>
          <w:color w:val="000000" w:themeColor="text1"/>
          <w:kern w:val="0"/>
          <w:sz w:val="32"/>
          <w:szCs w:val="32"/>
          <w:rtl/>
          <w14:ligatures w14:val="none"/>
        </w:rPr>
        <w:t>تمهيد</w:t>
      </w:r>
      <w:bookmarkEnd w:id="41"/>
    </w:p>
    <w:p w14:paraId="4F8F17BA"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تحتلّ جودة الرعاية الصحية مكانة محورية في أدبيات إدارة المنظمات الصحية، بوصفها المعيار الذي تُقاس به فاعلية المنظومة الصحية وقدرتها على الوفاء بالتزاماتها تجاه المرضى والمجتمع. ولم يعد الحديث عن الجودة في القطاع الصحي ترفًا إداريًا أو شعارًا تسويقيًا، بل أصبح متطلبًا جوهريًا يفرضه تعاظم الوعي المجتمعي بالحقوق الصحية، وتنامي تكاليف الخدمات، وتزايد التحدّيات الوبائية، فضلًا عن التطوّرات التقنية المتسارعة التي رفعت سقف توقّعات المستفيدين بشأن مستوى الخدمة وتجربة الرعاية.</w:t>
      </w:r>
    </w:p>
    <w:p w14:paraId="48EB4F3B"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وتتميّز جودة الرعاية الصحية بأنها مفهوم متعدّد الأبعاد ومركّب، يتشكّل من تقاطع جوانب فنية وإكلينيكية وإدارية وإنسانية، ويتأثّر بمتغيرات داخلية ترتبط بالمنشأة الصحية ذاتها، وأخرى خارجية ترتبط بالبيئة التشريعية والاقتصادية والاجتماعية. وتطرح الأدبيات تنوّعًا في المعالجات النظرية لهذا المفهوم، إذ يتعامل معه بعض الباحثين بوصفه نتاجًا للعمليات الفنية داخل المستشفى، بينما يقاربه آخرون من زاوية تجربة المريض الكلّية، ويوسّعه فريق ثالث ليشمل المسؤولية المجتمعية للمنظومة الصحية.</w:t>
      </w:r>
    </w:p>
    <w:p w14:paraId="1466EDB6"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ويسعى هذا المبحث إلى تقديم تأصيل نظري متكامل لجودة الرعاية الصحية، من خلال استعراض مفهومها وتعريفاتها وفق تعدّد المداخل، ثم بيان أهميتها ودلالاتها الاستراتيجية، فأهدافها التي تتطلّع إلى تحقيقها المنظمات الصحية، ثم تفصيل أبعادها التي تشكّل الإطار التحليلي لقياسها، وصولًا إلى استراتيجيات تطبيقها وتطويرها في البيئة الصحية المعاصرة.</w:t>
      </w:r>
    </w:p>
    <w:p w14:paraId="3B3D3057" w14:textId="07B62B3F" w:rsidR="00793491" w:rsidRPr="004866BF" w:rsidRDefault="00A229FA" w:rsidP="00A229F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2" w:name="_Toc233424328"/>
      <w:r w:rsidRPr="004866BF">
        <w:rPr>
          <w:rFonts w:ascii="Simplified Arabic" w:eastAsia="Times New Roman" w:hAnsi="Simplified Arabic" w:cs="Simplified Arabic" w:hint="cs"/>
          <w:b/>
          <w:bCs/>
          <w:color w:val="000000" w:themeColor="text1"/>
          <w:kern w:val="0"/>
          <w:sz w:val="32"/>
          <w:szCs w:val="32"/>
          <w:rtl/>
          <w14:ligatures w14:val="none"/>
        </w:rPr>
        <w:t xml:space="preserve">2.2.2 </w:t>
      </w:r>
      <w:r w:rsidR="00793491" w:rsidRPr="004866BF">
        <w:rPr>
          <w:rFonts w:ascii="Simplified Arabic" w:eastAsia="Times New Roman" w:hAnsi="Simplified Arabic" w:cs="Simplified Arabic"/>
          <w:b/>
          <w:bCs/>
          <w:color w:val="000000" w:themeColor="text1"/>
          <w:kern w:val="0"/>
          <w:sz w:val="32"/>
          <w:szCs w:val="32"/>
          <w:rtl/>
          <w14:ligatures w14:val="none"/>
        </w:rPr>
        <w:t>مفهوم جودة الرعاية الصحية</w:t>
      </w:r>
      <w:bookmarkEnd w:id="42"/>
    </w:p>
    <w:p w14:paraId="4B9DC37B"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تباينت معالجات الباحثين لمفهوم جودة الرعاية الصحية تبعًا للزاوية التي يتمّ النظر منها إلى الظاهرة، إذ تتقاطع في هذا المفهوم اعتبارات إكلينيكية وإدارية وتجريبية وحقوقية. وقد عرّفه النشوي (النشوي، 2026) بوصفه المستوى الذي ترتقي إليه الخدمات الصحية المقدّمة في تلبية الاحتياجات الصحية للأفراد وفق المعايير المهنية المعتمدة، بحيث تنعكس على نتائج صحية إيجابية، وعلى تجربة منتفع تتّسم بالكرامة والاحترام والاطمئنان. ويُبرز هذا التعريف أن الجودة لا تقاس فقط بالنتيجة الإكلينيكية، بل تستوعب أيضًا تجربة المريض في رحلته العلاجية بأكملها.</w:t>
      </w:r>
    </w:p>
    <w:p w14:paraId="700B9D73"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lastRenderedPageBreak/>
        <w:t>ويقاربه أبو دية وقاسم ورضوان (أبو دية وآخرون، 2021) من زاوية تنظيمية تربط الجودة بالثقافة التنظيمية السائدة في المنشأة الصحية، فيعرّفونها بأنها مجموعة الخصائص والسمات التي تتميّز بها الخدمات الصحية حين تُقدَّم في بيئة تنظيمية ترتكز على قيم الإتقان والمسؤولية والمشاركة، بحيث تكون قادرة على إشباع توقّعات المرضى ومتطلباتهم. ويتميّز هذا التعريف بربطه بين البُعد التنظيمي والبُعد الخدمي، فيكشف أن جودة الرعاية ليست مجرد محصّلة لإجراءات إكلينيكية، بل ثمرة لمنظومة قيم ومعايير راسخة في ثقافة المنظمة.</w:t>
      </w:r>
    </w:p>
    <w:p w14:paraId="6DCBFCE6" w14:textId="77777777" w:rsidR="00A229FA"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ومن منظور أداء وظيفي، يعرّفها الجهني (الجهني، 2023) بأنها انعكاس لتقييم الأداء الوظيفي للكوادر الصحية، إذ ترتبط مستويات الجودة ارتباطًا مباشرًا بكفاءة العاملين ومدى التزامهم بالمعايير المهنية والأخلاقية، فالجودة في هذا التصوّر ليست منفصلة عن الأداء البشري الذي يُنتجها. أما </w:t>
      </w:r>
      <w:proofErr w:type="spellStart"/>
      <w:r w:rsidRPr="004866BF">
        <w:rPr>
          <w:rFonts w:ascii="Simplified Arabic" w:eastAsia="Times New Roman" w:hAnsi="Simplified Arabic" w:cs="Simplified Arabic"/>
          <w:color w:val="000000" w:themeColor="text1"/>
          <w:kern w:val="0"/>
          <w:sz w:val="28"/>
          <w:szCs w:val="28"/>
          <w:rtl/>
          <w14:ligatures w14:val="none"/>
        </w:rPr>
        <w:t>بوفاتح</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بوفاتح</w:t>
      </w:r>
      <w:proofErr w:type="spellEnd"/>
      <w:r w:rsidRPr="004866BF">
        <w:rPr>
          <w:rFonts w:ascii="Simplified Arabic" w:eastAsia="Times New Roman" w:hAnsi="Simplified Arabic" w:cs="Simplified Arabic"/>
          <w:color w:val="000000" w:themeColor="text1"/>
          <w:kern w:val="0"/>
          <w:sz w:val="28"/>
          <w:szCs w:val="28"/>
          <w:rtl/>
          <w14:ligatures w14:val="none"/>
        </w:rPr>
        <w:t>، 2021) فتعرّفها انطلاقًا من مفهوم ثروة المعلومات، بوصفها قدرة المنظومة الصحية على توفير خدمات شاملة ودقيقة تستند إلى قاعدة معلوماتية موثوقة تتيح اتخاذ قرارات إكلينيكية وإدارية رشيدة، فالمعلومة الصحية في هذا المنظور هي ال</w:t>
      </w:r>
      <w:r w:rsidR="00A229FA" w:rsidRPr="004866BF">
        <w:rPr>
          <w:rFonts w:ascii="Simplified Arabic" w:eastAsia="Times New Roman" w:hAnsi="Simplified Arabic" w:cs="Simplified Arabic"/>
          <w:color w:val="000000" w:themeColor="text1"/>
          <w:kern w:val="0"/>
          <w:sz w:val="28"/>
          <w:szCs w:val="28"/>
          <w:rtl/>
          <w14:ligatures w14:val="none"/>
        </w:rPr>
        <w:t>ركيزة التي تتأسّس عليها الجودة.</w:t>
      </w:r>
    </w:p>
    <w:p w14:paraId="2C6C98F9" w14:textId="77777777" w:rsidR="00A229FA"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ويعرّفها حسن وعبدالرحيم </w:t>
      </w:r>
      <w:proofErr w:type="spellStart"/>
      <w:r w:rsidRPr="004866BF">
        <w:rPr>
          <w:rFonts w:ascii="Simplified Arabic" w:eastAsia="Times New Roman" w:hAnsi="Simplified Arabic" w:cs="Simplified Arabic"/>
          <w:color w:val="000000" w:themeColor="text1"/>
          <w:kern w:val="0"/>
          <w:sz w:val="28"/>
          <w:szCs w:val="28"/>
          <w:rtl/>
          <w14:ligatures w14:val="none"/>
        </w:rPr>
        <w:t>وبليح</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(حسن وآخرون، 2025) من زاوية الثقة، باعتبارها مستوى الخدمة الذي يولّد في نفوس المرضى ثقة في الأطقم الصحية وفي المنظومة الصحية ككل، بحيث تصبح هذه الثقة معيارًا داخليًا لقياس الجودة من منظور المنتفع. ويُكمل هذه الصورة محمد (محمد، 2024) بتعريف يربط جودة الرعاية بالبُعد الوقائي، فيقدّمها بوصفها مدى نجاح المنظومة الصحية في توفير خدمات تحول دون وقوع المرض وتعزّز صحة المجتمع،</w:t>
      </w:r>
      <w:r w:rsidR="00A229FA" w:rsidRPr="004866BF">
        <w:rPr>
          <w:rFonts w:ascii="Simplified Arabic" w:eastAsia="Times New Roman" w:hAnsi="Simplified Arabic" w:cs="Simplified Arabic"/>
          <w:color w:val="000000" w:themeColor="text1"/>
          <w:kern w:val="0"/>
          <w:sz w:val="28"/>
          <w:szCs w:val="28"/>
          <w:rtl/>
          <w14:ligatures w14:val="none"/>
        </w:rPr>
        <w:t xml:space="preserve"> لا فقط معالجة المرض بعد وقوعه.</w:t>
      </w:r>
    </w:p>
    <w:p w14:paraId="7DBC1E42" w14:textId="77777777" w:rsidR="00A229FA"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ومن جانب آخر، يقاربها العسّاف وبحرون وأحمد (</w:t>
      </w:r>
      <w:r w:rsidRPr="004866BF">
        <w:rPr>
          <w:rFonts w:ascii="Simplified Arabic" w:eastAsia="Times New Roman" w:hAnsi="Simplified Arabic" w:cs="Simplified Arabic"/>
          <w:color w:val="000000" w:themeColor="text1"/>
          <w:kern w:val="0"/>
          <w:sz w:val="28"/>
          <w:szCs w:val="28"/>
          <w14:ligatures w14:val="none"/>
        </w:rPr>
        <w:t>Al-Assaf et al., 2024</w:t>
      </w:r>
      <w:r w:rsidRPr="004866BF">
        <w:rPr>
          <w:rFonts w:ascii="Simplified Arabic" w:eastAsia="Times New Roman" w:hAnsi="Simplified Arabic" w:cs="Simplified Arabic"/>
          <w:color w:val="000000" w:themeColor="text1"/>
          <w:kern w:val="0"/>
          <w:sz w:val="28"/>
          <w:szCs w:val="28"/>
          <w:rtl/>
          <w14:ligatures w14:val="none"/>
        </w:rPr>
        <w:t xml:space="preserve">) في ضوء مدخل الرعاية الصحية 4.0، فيعرّفونها بأنها المستوى الذي تبلغه الخدمات الصحية حين تتكامل مع التقنيات الذكية بحيث تصبح أكثر دقّة وتخصّصًا واستجابة للاحتياجات الفردية للمرضى. ويوسّع </w:t>
      </w:r>
      <w:proofErr w:type="spellStart"/>
      <w:r w:rsidRPr="004866BF">
        <w:rPr>
          <w:rFonts w:ascii="Simplified Arabic" w:eastAsia="Times New Roman" w:hAnsi="Simplified Arabic" w:cs="Simplified Arabic"/>
          <w:color w:val="000000" w:themeColor="text1"/>
          <w:kern w:val="0"/>
          <w:sz w:val="28"/>
          <w:szCs w:val="28"/>
          <w:rtl/>
          <w14:ligatures w14:val="none"/>
        </w:rPr>
        <w:t>كوالسكي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ونواك (</w:t>
      </w:r>
      <w:r w:rsidRPr="004866BF">
        <w:rPr>
          <w:rFonts w:ascii="Simplified Arabic" w:eastAsia="Times New Roman" w:hAnsi="Simplified Arabic" w:cs="Simplified Arabic"/>
          <w:color w:val="000000" w:themeColor="text1"/>
          <w:kern w:val="0"/>
          <w:sz w:val="28"/>
          <w:szCs w:val="28"/>
          <w14:ligatures w14:val="none"/>
        </w:rPr>
        <w:t>Kowalski &amp; Nowak, 2024</w:t>
      </w:r>
      <w:r w:rsidRPr="004866BF">
        <w:rPr>
          <w:rFonts w:ascii="Simplified Arabic" w:eastAsia="Times New Roman" w:hAnsi="Simplified Arabic" w:cs="Simplified Arabic"/>
          <w:color w:val="000000" w:themeColor="text1"/>
          <w:kern w:val="0"/>
          <w:sz w:val="28"/>
          <w:szCs w:val="28"/>
          <w:rtl/>
          <w14:ligatures w14:val="none"/>
        </w:rPr>
        <w:t>) هذا الفهم بربط الجودة بضمان الجودة الرقمي، إذ يعرّفونها بوصفها منظومة من المعايير القابلة للقياس الرقمي التي تضمن اتساق الخدمة الصحية</w:t>
      </w:r>
      <w:r w:rsidR="00A229FA" w:rsidRPr="004866BF">
        <w:rPr>
          <w:rFonts w:ascii="Simplified Arabic" w:eastAsia="Times New Roman" w:hAnsi="Simplified Arabic" w:cs="Simplified Arabic"/>
          <w:color w:val="000000" w:themeColor="text1"/>
          <w:kern w:val="0"/>
          <w:sz w:val="28"/>
          <w:szCs w:val="28"/>
          <w:rtl/>
          <w14:ligatures w14:val="none"/>
        </w:rPr>
        <w:t xml:space="preserve"> وموثوقيتها عبر الزمان والمكان.</w:t>
      </w:r>
    </w:p>
    <w:p w14:paraId="376C13BF" w14:textId="77777777" w:rsidR="00A229FA"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lastRenderedPageBreak/>
        <w:t xml:space="preserve">وتقدّم </w:t>
      </w:r>
      <w:proofErr w:type="spellStart"/>
      <w:r w:rsidRPr="004866BF">
        <w:rPr>
          <w:rFonts w:ascii="Simplified Arabic" w:eastAsia="Times New Roman" w:hAnsi="Simplified Arabic" w:cs="Simplified Arabic"/>
          <w:color w:val="000000" w:themeColor="text1"/>
          <w:kern w:val="0"/>
          <w:sz w:val="28"/>
          <w:szCs w:val="28"/>
          <w:rtl/>
          <w14:ligatures w14:val="none"/>
        </w:rPr>
        <w:t>زانغ</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وحسين وعلي (</w:t>
      </w:r>
      <w:r w:rsidRPr="004866BF">
        <w:rPr>
          <w:rFonts w:ascii="Simplified Arabic" w:eastAsia="Times New Roman" w:hAnsi="Simplified Arabic" w:cs="Simplified Arabic"/>
          <w:color w:val="000000" w:themeColor="text1"/>
          <w:kern w:val="0"/>
          <w:sz w:val="28"/>
          <w:szCs w:val="28"/>
          <w14:ligatures w14:val="none"/>
        </w:rPr>
        <w:t>Zhang et al., 2025</w:t>
      </w:r>
      <w:r w:rsidRPr="004866BF">
        <w:rPr>
          <w:rFonts w:ascii="Simplified Arabic" w:eastAsia="Times New Roman" w:hAnsi="Simplified Arabic" w:cs="Simplified Arabic"/>
          <w:color w:val="000000" w:themeColor="text1"/>
          <w:kern w:val="0"/>
          <w:sz w:val="28"/>
          <w:szCs w:val="28"/>
          <w:rtl/>
          <w14:ligatures w14:val="none"/>
        </w:rPr>
        <w:t>) تعريفًا ذا بُعد مكاني، إذ يعرّفون جودة الرعاية بوصفها متغيرًا يستجيب للتفاعلات بين المنشآت الصحية في الفضاء الجغرافي الواحد، بحيث يمكن أن تنتقل تحسينات الجودة من منشأة إلى أخرى عبر آليات التشبيك والتعلّم المؤسسي المتبادل. أما إمران وسالم والحوني (</w:t>
      </w:r>
      <w:r w:rsidRPr="004866BF">
        <w:rPr>
          <w:rFonts w:ascii="Simplified Arabic" w:eastAsia="Times New Roman" w:hAnsi="Simplified Arabic" w:cs="Simplified Arabic"/>
          <w:color w:val="000000" w:themeColor="text1"/>
          <w:kern w:val="0"/>
          <w:sz w:val="28"/>
          <w:szCs w:val="28"/>
          <w14:ligatures w14:val="none"/>
        </w:rPr>
        <w:t>Emran et al., 2025</w:t>
      </w:r>
      <w:r w:rsidRPr="004866BF">
        <w:rPr>
          <w:rFonts w:ascii="Simplified Arabic" w:eastAsia="Times New Roman" w:hAnsi="Simplified Arabic" w:cs="Simplified Arabic"/>
          <w:color w:val="000000" w:themeColor="text1"/>
          <w:kern w:val="0"/>
          <w:sz w:val="28"/>
          <w:szCs w:val="28"/>
          <w:rtl/>
          <w14:ligatures w14:val="none"/>
        </w:rPr>
        <w:t>) فيعرّفون جودة الخدمات الصحية بأنها محصلة قابلة للقياس تعكس مدى فاعلية الاستراتيجيات الإدارية المعتمدة في المنشأة في تحقيق نتائج صحية م</w:t>
      </w:r>
      <w:r w:rsidR="00A229FA" w:rsidRPr="004866BF">
        <w:rPr>
          <w:rFonts w:ascii="Simplified Arabic" w:eastAsia="Times New Roman" w:hAnsi="Simplified Arabic" w:cs="Simplified Arabic"/>
          <w:color w:val="000000" w:themeColor="text1"/>
          <w:kern w:val="0"/>
          <w:sz w:val="28"/>
          <w:szCs w:val="28"/>
          <w:rtl/>
          <w14:ligatures w14:val="none"/>
        </w:rPr>
        <w:t>رغوبة وتجارب إيجابية للمنتفعين.</w:t>
      </w:r>
    </w:p>
    <w:p w14:paraId="544F4052" w14:textId="77777777" w:rsidR="00A229FA"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ويُكمل عودة </w:t>
      </w:r>
      <w:proofErr w:type="spellStart"/>
      <w:r w:rsidRPr="004866BF">
        <w:rPr>
          <w:rFonts w:ascii="Simplified Arabic" w:eastAsia="Times New Roman" w:hAnsi="Simplified Arabic" w:cs="Simplified Arabic"/>
          <w:color w:val="000000" w:themeColor="text1"/>
          <w:kern w:val="0"/>
          <w:sz w:val="28"/>
          <w:szCs w:val="28"/>
          <w:rtl/>
          <w14:ligatures w14:val="none"/>
        </w:rPr>
        <w:t>والخشالي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(عودة </w:t>
      </w:r>
      <w:proofErr w:type="spellStart"/>
      <w:r w:rsidRPr="004866BF">
        <w:rPr>
          <w:rFonts w:ascii="Simplified Arabic" w:eastAsia="Times New Roman" w:hAnsi="Simplified Arabic" w:cs="Simplified Arabic"/>
          <w:color w:val="000000" w:themeColor="text1"/>
          <w:kern w:val="0"/>
          <w:sz w:val="28"/>
          <w:szCs w:val="28"/>
          <w:rtl/>
          <w14:ligatures w14:val="none"/>
        </w:rPr>
        <w:t>والخشالي</w:t>
      </w:r>
      <w:proofErr w:type="spellEnd"/>
      <w:r w:rsidRPr="004866BF">
        <w:rPr>
          <w:rFonts w:ascii="Simplified Arabic" w:eastAsia="Times New Roman" w:hAnsi="Simplified Arabic" w:cs="Simplified Arabic"/>
          <w:color w:val="000000" w:themeColor="text1"/>
          <w:kern w:val="0"/>
          <w:sz w:val="28"/>
          <w:szCs w:val="28"/>
          <w:rtl/>
          <w14:ligatures w14:val="none"/>
        </w:rPr>
        <w:t>، 2025) هذا المشهد بتعريف يربط الجودة بالرشاقة الاستراتيجية وإدارة المخاطر، فيعرّفها بأنها قدرة المنشأة الصحية على المحافظة على مستوى متميّز من الخدمة في ظل بيئة متقلّبة تكتنفها مخاطر متعدّدة، ومن خلال آليات استجابة سريعة وقدرة تكيّفية عالية. وتتميّز هذه المعالجة بأنها تخرج بمفهوم الجودة من إطاره الساكن إلى إطار ديناميكي يستوعب التحوّلات والتقلّبات في</w:t>
      </w:r>
      <w:r w:rsidR="00A229FA" w:rsidRPr="004866BF">
        <w:rPr>
          <w:rFonts w:ascii="Simplified Arabic" w:eastAsia="Times New Roman" w:hAnsi="Simplified Arabic" w:cs="Simplified Arabic"/>
          <w:color w:val="000000" w:themeColor="text1"/>
          <w:kern w:val="0"/>
          <w:sz w:val="28"/>
          <w:szCs w:val="28"/>
          <w:rtl/>
          <w14:ligatures w14:val="none"/>
        </w:rPr>
        <w:t xml:space="preserve"> البيئة الصحية.</w:t>
      </w:r>
    </w:p>
    <w:p w14:paraId="297D6E03" w14:textId="7F637130"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ويتّضح من هذا الاستعراض أن مفهوم جودة الرعاية الصحية يتقاطع فيه عدد من المداخل النظرية؛ مدخل يركّز على المطابقة للمعايير المهنية، ومدخل يركّز على تجربة المريض وتوقعاته، ومدخل يربطها بالأداء البشري والثقافة التنظيمية، ومدخل يربطها بالبنية المعلوماتية والتقنية، ومدخل يربطها بالاستراتيجية الإدارية وإدارة المخاطر. ويرى الباحث في ضوء ذلك أن جودة الرعاية الصحية يمكن تعريفها إجرائيًا بأنها المستوى الذي تبلغه الخدمات الصحية المقدّمة في المنشآت الصحية حين تتكامل في جوانبها الفنية والإنسانية والإدارية والمعلوماتية بصورة تستجيب لتوقعات المنتفعين، وتلتزم بالمعايير المهنية المعتمدة، وتحقّق نتائج صحية إيجابية في ظل بيئة تنظيمية رشيدة وبنية تحتية رقمية متطوّرة. ويتميّز هذا التعريف بكونه يستوعب الأبعاد المتعدّدة للمفهوم، ويربطه بالسياق الذي تجري فيه الدراسة الحالية.</w:t>
      </w:r>
    </w:p>
    <w:p w14:paraId="254115B1" w14:textId="5B17F87E" w:rsidR="00793491" w:rsidRPr="004866BF" w:rsidRDefault="00A229FA" w:rsidP="00A229F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3" w:name="_Toc233424329"/>
      <w:r w:rsidRPr="004866BF">
        <w:rPr>
          <w:rFonts w:ascii="Simplified Arabic" w:eastAsia="Times New Roman" w:hAnsi="Simplified Arabic" w:cs="Simplified Arabic" w:hint="cs"/>
          <w:b/>
          <w:bCs/>
          <w:color w:val="000000" w:themeColor="text1"/>
          <w:kern w:val="0"/>
          <w:sz w:val="32"/>
          <w:szCs w:val="32"/>
          <w:rtl/>
          <w14:ligatures w14:val="none"/>
        </w:rPr>
        <w:t xml:space="preserve">3.2.2 </w:t>
      </w:r>
      <w:r w:rsidR="00793491" w:rsidRPr="004866BF">
        <w:rPr>
          <w:rFonts w:ascii="Simplified Arabic" w:eastAsia="Times New Roman" w:hAnsi="Simplified Arabic" w:cs="Simplified Arabic"/>
          <w:b/>
          <w:bCs/>
          <w:color w:val="000000" w:themeColor="text1"/>
          <w:kern w:val="0"/>
          <w:sz w:val="32"/>
          <w:szCs w:val="32"/>
          <w:rtl/>
          <w14:ligatures w14:val="none"/>
        </w:rPr>
        <w:t>أهمية جودة الرعاية الصحية</w:t>
      </w:r>
      <w:bookmarkEnd w:id="43"/>
    </w:p>
    <w:p w14:paraId="6D7D6EF7" w14:textId="24E763B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تكتسب جودة الرعاية الصحية أهمية استثنائية تنبع من الطبيعة الخاصة للخدمة الصحية بوصفها خدمة تمسّ صلب الحقّ الإنساني في الحياة والكرامة، ومن كونها تتعامل مع المنتفع في أكثر لحظاته هشاشة وحاجة. ولا تقتصر هذه الأهمية على البُعد الإكلينيكي المباشر، بل تمتد إلى أبعاد اقتصادية واجتماعية وتنظيمية تتشابك جميعها لتجعل من الجودة محورًا استراتي</w:t>
      </w:r>
      <w:r w:rsidR="00A229FA" w:rsidRPr="004866BF">
        <w:rPr>
          <w:rFonts w:ascii="Simplified Arabic" w:eastAsia="Times New Roman" w:hAnsi="Simplified Arabic" w:cs="Simplified Arabic"/>
          <w:color w:val="000000" w:themeColor="text1"/>
          <w:kern w:val="0"/>
          <w:sz w:val="28"/>
          <w:szCs w:val="28"/>
          <w:rtl/>
          <w14:ligatures w14:val="none"/>
        </w:rPr>
        <w:t>جيًا في إدارة المنظومات الصحية.</w:t>
      </w:r>
    </w:p>
    <w:p w14:paraId="74F7C15C" w14:textId="77777777" w:rsidR="00A229FA"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lastRenderedPageBreak/>
        <w:t>ويشير النشوي (النشوي، 2026) إلى أن أهمية جودة الرعاية الصحية تتمظهر في جوانب متعدّدة، أولها: أنها تمثّل ضمانة لحقّ المريض في الحصول على خدمة آمنة تحفظ سلامته وكرامته، وثانيها: أنها تعزّز ثقة المجتمع في المنظومة الصحية وتدعم شرعيتها المؤسسية، وثالثها: أنها تسهم في تحسين المؤشرات الصحية الكلّية على المستوى الوطني، ورابعها: أنها تشكّل عنصرًا حاسمًا في التنافسية بين المنشآت الصحية، وخامسها: أنها أداة لترشيد الإنفاق الصحي عبر تقليل الأخطاء الطبية</w:t>
      </w:r>
      <w:r w:rsidR="00A229FA" w:rsidRPr="004866BF">
        <w:rPr>
          <w:rFonts w:ascii="Simplified Arabic" w:eastAsia="Times New Roman" w:hAnsi="Simplified Arabic" w:cs="Simplified Arabic"/>
          <w:color w:val="000000" w:themeColor="text1"/>
          <w:kern w:val="0"/>
          <w:sz w:val="28"/>
          <w:szCs w:val="28"/>
          <w:rtl/>
          <w14:ligatures w14:val="none"/>
        </w:rPr>
        <w:t xml:space="preserve"> وما يترتب عليها من إعادة علاج.</w:t>
      </w:r>
    </w:p>
    <w:p w14:paraId="3C126A68" w14:textId="77777777" w:rsidR="00A229FA"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ويرى أبو دية وآخرون (أبو دية وآخرون، 2021) أن أهمية جودة الرعاية الصحية تتجلّى في كونها: تعكس مدى نضج الثقافة التنظيمية داخل المنشأة الصحية، وتمثّل مؤشرًا على قدرة المنظمة على ترجمة قيمها إلى ممارسات يومية، وتعزّز الانتماء الوظيفي للعاملين عبر إشعارهم بأنهم جزء من منظومة تسعى للتميّز، وتُحدث تأثيرًا إيجابيًا على ولاء المرضى وتفضيلهم للمنشأة في تجارب لاحقة. وفي السياق ذاته، يبيّن الجهني (الجهني، 2023) أن لجودة الرعاية أهمية ترتبط بتقييم الأداء الوظيفي، إذ تتيح وضع معايير موضوعية يمكن من خلالها قياس مساهمة كل عضو في الفريق الصحي، وتوفير قاعدة لتحفيز الأداء المتمي</w:t>
      </w:r>
      <w:r w:rsidR="00A229FA" w:rsidRPr="004866BF">
        <w:rPr>
          <w:rFonts w:ascii="Simplified Arabic" w:eastAsia="Times New Roman" w:hAnsi="Simplified Arabic" w:cs="Simplified Arabic"/>
          <w:color w:val="000000" w:themeColor="text1"/>
          <w:kern w:val="0"/>
          <w:sz w:val="28"/>
          <w:szCs w:val="28"/>
          <w:rtl/>
          <w14:ligatures w14:val="none"/>
        </w:rPr>
        <w:t>ّز ومعالجة مواطن القصور.</w:t>
      </w:r>
    </w:p>
    <w:p w14:paraId="7B805838" w14:textId="77777777" w:rsidR="00A229FA"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ويُكمل ذلك حسن وآخرون (حسن وآخرون، 2025) بإبراز أن جودة الرعاية الصحية تشكّل ركيزة لبناء الثقة بين المرضى والمؤسسات الصحية، وهي ثقة لا تقتصر آثارها على العلاقة الفردية بين المريض ومقدّم الخدمة، بل تمتد إلى صورة المنظومة الصحية في الوعي الجمعي للمجتمع. وتتلاقى مع هذه الرؤية ما يطرحه غواري (غواري، 2021) من أن جودة الرعاية تكتسب أهميتها أيضًا من خلال ارتباطها بفاعلية برامج التدريب التي تستثمرها المنظمة في تأهيل كوادرها، إذ تعدّ الجودة المؤشر</w:t>
      </w:r>
      <w:r w:rsidR="00A229FA" w:rsidRPr="004866BF">
        <w:rPr>
          <w:rFonts w:ascii="Simplified Arabic" w:eastAsia="Times New Roman" w:hAnsi="Simplified Arabic" w:cs="Simplified Arabic"/>
          <w:color w:val="000000" w:themeColor="text1"/>
          <w:kern w:val="0"/>
          <w:sz w:val="28"/>
          <w:szCs w:val="28"/>
          <w:rtl/>
          <w14:ligatures w14:val="none"/>
        </w:rPr>
        <w:t xml:space="preserve"> الفعلي على عائد هذا الاستثمار.</w:t>
      </w:r>
    </w:p>
    <w:p w14:paraId="03641FF8" w14:textId="77777777" w:rsidR="00A229FA"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ومن منظور إداري شامل، يطرح </w:t>
      </w:r>
      <w:proofErr w:type="spellStart"/>
      <w:r w:rsidRPr="004866BF">
        <w:rPr>
          <w:rFonts w:ascii="Simplified Arabic" w:eastAsia="Times New Roman" w:hAnsi="Simplified Arabic" w:cs="Simplified Arabic"/>
          <w:color w:val="000000" w:themeColor="text1"/>
          <w:kern w:val="0"/>
          <w:sz w:val="28"/>
          <w:szCs w:val="28"/>
          <w:rtl/>
          <w14:ligatures w14:val="none"/>
        </w:rPr>
        <w:t>القطاونة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والربابعة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القطاونة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والربابعة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2023) أن لجودة الخدمات في القطاع الصحي أهمية تتمثّل في: تحقيق المواءمة بين الموارد المستثمرة والنتائج المتحققة، ودعم قدرة المنظمة على ممارسة المقارنة المرجعية مع أفضل النماذج المتاحة، وتعزيز قدرتها على تطوير عملياتها عبر التغذية الراجعة من المنتفعين، وبناء سمعة مؤسسية إيجابية تنعكس على قدرة المنظمة في استقطاب الكوادر والشراكات. وفي ذات الاتجاه، يضيف عودة </w:t>
      </w:r>
      <w:proofErr w:type="spellStart"/>
      <w:r w:rsidRPr="004866BF">
        <w:rPr>
          <w:rFonts w:ascii="Simplified Arabic" w:eastAsia="Times New Roman" w:hAnsi="Simplified Arabic" w:cs="Simplified Arabic"/>
          <w:color w:val="000000" w:themeColor="text1"/>
          <w:kern w:val="0"/>
          <w:sz w:val="28"/>
          <w:szCs w:val="28"/>
          <w:rtl/>
          <w14:ligatures w14:val="none"/>
        </w:rPr>
        <w:t>والخشالي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(عودة </w:t>
      </w:r>
      <w:proofErr w:type="spellStart"/>
      <w:r w:rsidRPr="004866BF">
        <w:rPr>
          <w:rFonts w:ascii="Simplified Arabic" w:eastAsia="Times New Roman" w:hAnsi="Simplified Arabic" w:cs="Simplified Arabic"/>
          <w:color w:val="000000" w:themeColor="text1"/>
          <w:kern w:val="0"/>
          <w:sz w:val="28"/>
          <w:szCs w:val="28"/>
          <w:rtl/>
          <w14:ligatures w14:val="none"/>
        </w:rPr>
        <w:t>والخشالي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2025) أن لجودة الرعاية </w:t>
      </w:r>
      <w:r w:rsidRPr="004866BF">
        <w:rPr>
          <w:rFonts w:ascii="Simplified Arabic" w:eastAsia="Times New Roman" w:hAnsi="Simplified Arabic" w:cs="Simplified Arabic"/>
          <w:color w:val="000000" w:themeColor="text1"/>
          <w:kern w:val="0"/>
          <w:sz w:val="28"/>
          <w:szCs w:val="28"/>
          <w:rtl/>
          <w14:ligatures w14:val="none"/>
        </w:rPr>
        <w:lastRenderedPageBreak/>
        <w:t>الصحية أهمية ترتبط بقدرة المنظمة على التعامل مع المخاطر، فالجودة العالية تتضمّن منظومة وقائية تحول دون وقوع الأخطاء، وتتيح في الوقت ذاته ال</w:t>
      </w:r>
      <w:r w:rsidR="00A229FA" w:rsidRPr="004866BF">
        <w:rPr>
          <w:rFonts w:ascii="Simplified Arabic" w:eastAsia="Times New Roman" w:hAnsi="Simplified Arabic" w:cs="Simplified Arabic"/>
          <w:color w:val="000000" w:themeColor="text1"/>
          <w:kern w:val="0"/>
          <w:sz w:val="28"/>
          <w:szCs w:val="28"/>
          <w:rtl/>
          <w14:ligatures w14:val="none"/>
        </w:rPr>
        <w:t>استجابة السريعة لها عند وقوعها.</w:t>
      </w:r>
    </w:p>
    <w:p w14:paraId="60A120B3" w14:textId="77777777" w:rsidR="00A229FA"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ويبيّن العسّاف وآخرون (</w:t>
      </w:r>
      <w:r w:rsidRPr="004866BF">
        <w:rPr>
          <w:rFonts w:ascii="Simplified Arabic" w:eastAsia="Times New Roman" w:hAnsi="Simplified Arabic" w:cs="Simplified Arabic"/>
          <w:color w:val="000000" w:themeColor="text1"/>
          <w:kern w:val="0"/>
          <w:sz w:val="28"/>
          <w:szCs w:val="28"/>
          <w14:ligatures w14:val="none"/>
        </w:rPr>
        <w:t>Al-Assaf et al., 2024</w:t>
      </w:r>
      <w:r w:rsidRPr="004866BF">
        <w:rPr>
          <w:rFonts w:ascii="Simplified Arabic" w:eastAsia="Times New Roman" w:hAnsi="Simplified Arabic" w:cs="Simplified Arabic"/>
          <w:color w:val="000000" w:themeColor="text1"/>
          <w:kern w:val="0"/>
          <w:sz w:val="28"/>
          <w:szCs w:val="28"/>
          <w:rtl/>
          <w14:ligatures w14:val="none"/>
        </w:rPr>
        <w:t xml:space="preserve">) أن أهمية جودة الرعاية الصحية في عصر الرعاية الصحية 4.0 تتعاظم لكونها: تمثّل المعيار الذي يقاس به العائد على الاستثمار في التقنيات الذكية، وتشكّل المحدّد الأساسي لقبول المرضى للأدوات الجديدة، وتسهم في توجيه الابتكار الصحي نحو ما يلامس فعلًا احتياجات المنتفعين. وتُكمل ذلك </w:t>
      </w:r>
      <w:proofErr w:type="spellStart"/>
      <w:r w:rsidRPr="004866BF">
        <w:rPr>
          <w:rFonts w:ascii="Simplified Arabic" w:eastAsia="Times New Roman" w:hAnsi="Simplified Arabic" w:cs="Simplified Arabic"/>
          <w:color w:val="000000" w:themeColor="text1"/>
          <w:kern w:val="0"/>
          <w:sz w:val="28"/>
          <w:szCs w:val="28"/>
          <w:rtl/>
          <w14:ligatures w14:val="none"/>
        </w:rPr>
        <w:t>زانغ</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وآخرون (</w:t>
      </w:r>
      <w:r w:rsidRPr="004866BF">
        <w:rPr>
          <w:rFonts w:ascii="Simplified Arabic" w:eastAsia="Times New Roman" w:hAnsi="Simplified Arabic" w:cs="Simplified Arabic"/>
          <w:color w:val="000000" w:themeColor="text1"/>
          <w:kern w:val="0"/>
          <w:sz w:val="28"/>
          <w:szCs w:val="28"/>
          <w14:ligatures w14:val="none"/>
        </w:rPr>
        <w:t>Zhang et al., 2025</w:t>
      </w:r>
      <w:r w:rsidRPr="004866BF">
        <w:rPr>
          <w:rFonts w:ascii="Simplified Arabic" w:eastAsia="Times New Roman" w:hAnsi="Simplified Arabic" w:cs="Simplified Arabic"/>
          <w:color w:val="000000" w:themeColor="text1"/>
          <w:kern w:val="0"/>
          <w:sz w:val="28"/>
          <w:szCs w:val="28"/>
          <w:rtl/>
          <w14:ligatures w14:val="none"/>
        </w:rPr>
        <w:t>) بإبراز أن جودة الرعاية تكتسب أهمية متجاوزة للمنشأة الواحدة، إذ تتأثّر بها وتؤثّر في المنشآت المجاورة ع</w:t>
      </w:r>
      <w:r w:rsidR="00A229FA" w:rsidRPr="004866BF">
        <w:rPr>
          <w:rFonts w:ascii="Simplified Arabic" w:eastAsia="Times New Roman" w:hAnsi="Simplified Arabic" w:cs="Simplified Arabic"/>
          <w:color w:val="000000" w:themeColor="text1"/>
          <w:kern w:val="0"/>
          <w:sz w:val="28"/>
          <w:szCs w:val="28"/>
          <w:rtl/>
          <w14:ligatures w14:val="none"/>
        </w:rPr>
        <w:t xml:space="preserve">بر الانتشار المعرفي </w:t>
      </w:r>
      <w:proofErr w:type="spellStart"/>
      <w:r w:rsidR="00A229FA" w:rsidRPr="004866BF">
        <w:rPr>
          <w:rFonts w:ascii="Simplified Arabic" w:eastAsia="Times New Roman" w:hAnsi="Simplified Arabic" w:cs="Simplified Arabic"/>
          <w:color w:val="000000" w:themeColor="text1"/>
          <w:kern w:val="0"/>
          <w:sz w:val="28"/>
          <w:szCs w:val="28"/>
          <w:rtl/>
          <w14:ligatures w14:val="none"/>
        </w:rPr>
        <w:t>والمعاييري</w:t>
      </w:r>
      <w:proofErr w:type="spellEnd"/>
      <w:r w:rsidR="00A229FA" w:rsidRPr="004866BF">
        <w:rPr>
          <w:rFonts w:ascii="Simplified Arabic" w:eastAsia="Times New Roman" w:hAnsi="Simplified Arabic" w:cs="Simplified Arabic"/>
          <w:color w:val="000000" w:themeColor="text1"/>
          <w:kern w:val="0"/>
          <w:sz w:val="28"/>
          <w:szCs w:val="28"/>
          <w:rtl/>
          <w14:ligatures w14:val="none"/>
        </w:rPr>
        <w:t>.</w:t>
      </w:r>
    </w:p>
    <w:p w14:paraId="629638EB" w14:textId="20705B1B"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ويختتم إمران وآخرون (</w:t>
      </w:r>
      <w:r w:rsidRPr="004866BF">
        <w:rPr>
          <w:rFonts w:ascii="Simplified Arabic" w:eastAsia="Times New Roman" w:hAnsi="Simplified Arabic" w:cs="Simplified Arabic"/>
          <w:color w:val="000000" w:themeColor="text1"/>
          <w:kern w:val="0"/>
          <w:sz w:val="28"/>
          <w:szCs w:val="28"/>
          <w14:ligatures w14:val="none"/>
        </w:rPr>
        <w:t>Emran et al., 2025</w:t>
      </w:r>
      <w:r w:rsidRPr="004866BF">
        <w:rPr>
          <w:rFonts w:ascii="Simplified Arabic" w:eastAsia="Times New Roman" w:hAnsi="Simplified Arabic" w:cs="Simplified Arabic"/>
          <w:color w:val="000000" w:themeColor="text1"/>
          <w:kern w:val="0"/>
          <w:sz w:val="28"/>
          <w:szCs w:val="28"/>
          <w:rtl/>
          <w14:ligatures w14:val="none"/>
        </w:rPr>
        <w:t>) هذه الصورة بالإشارة إلى أن جودة الخدمات الصحية تمثّل المؤشر الأمثل لقياس فاعلية الاستراتيجيات الإدارية في القطاع الصحي، فهي بمثابة المحصّلة النهائية التي تنعكس فيها كل القرارات الاستراتيجية والتشغيلية. ويتّضح من هذا الاستعراض أن أهمية جودة الرعاية الصحية تتدرّج عبر مستويات الفرد المريض، ومقدّم الخدمة، والمنشأة الصحية، والمنظومة الصحية الوطنية، بل تمتد لتشمل الأبعاد الاقتصادية والاجتماعية الكلّية للمجتمع.</w:t>
      </w:r>
    </w:p>
    <w:p w14:paraId="35890C39" w14:textId="5D815501" w:rsidR="00793491" w:rsidRPr="004866BF" w:rsidRDefault="00A229FA" w:rsidP="00A229F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4" w:name="_Toc233424330"/>
      <w:r w:rsidRPr="004866BF">
        <w:rPr>
          <w:rFonts w:ascii="Simplified Arabic" w:eastAsia="Times New Roman" w:hAnsi="Simplified Arabic" w:cs="Simplified Arabic" w:hint="cs"/>
          <w:b/>
          <w:bCs/>
          <w:color w:val="000000" w:themeColor="text1"/>
          <w:kern w:val="0"/>
          <w:sz w:val="32"/>
          <w:szCs w:val="32"/>
          <w:rtl/>
          <w14:ligatures w14:val="none"/>
        </w:rPr>
        <w:t xml:space="preserve">4.2.2 </w:t>
      </w:r>
      <w:r w:rsidR="00793491" w:rsidRPr="004866BF">
        <w:rPr>
          <w:rFonts w:ascii="Simplified Arabic" w:eastAsia="Times New Roman" w:hAnsi="Simplified Arabic" w:cs="Simplified Arabic"/>
          <w:b/>
          <w:bCs/>
          <w:color w:val="000000" w:themeColor="text1"/>
          <w:kern w:val="0"/>
          <w:sz w:val="32"/>
          <w:szCs w:val="32"/>
          <w:rtl/>
          <w14:ligatures w14:val="none"/>
        </w:rPr>
        <w:t>أهداف جودة الرعاية الصحية</w:t>
      </w:r>
      <w:bookmarkEnd w:id="44"/>
    </w:p>
    <w:p w14:paraId="0B7E63B1" w14:textId="5DCDD5A5"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تتمحور أهداف جودة الرعاية الصحية حول تحقيق نتائج صحية إيجابية للمنتفعين في إطار منظومة تشغيلية كفؤة وعادلة. ويطرح النشوي (النشوي، 2026) جملة من الأهداف الجوهرية تتمثّل في: ضمان سلامة المرضى وحمايتهم من الأخطاء الطبية، وتحقيق نتائج إكلينيكية مرغوبة تستجيب لطبيعة الحالات المعالَجة، وتعزيز رضا المنتفعين عن تجربتهم الصحية بأكملها، وضمان عدالة الوصول إلى الخدمة بصرف النظر عن العوامل الاجتماعية والاقتصادية، ورفع كفاءة استخدام الموارد الصحية المتاحة، وتطوير قدرة المنظومة الصحية على الاستجا</w:t>
      </w:r>
      <w:r w:rsidR="00A229FA" w:rsidRPr="004866BF">
        <w:rPr>
          <w:rFonts w:ascii="Simplified Arabic" w:eastAsia="Times New Roman" w:hAnsi="Simplified Arabic" w:cs="Simplified Arabic"/>
          <w:color w:val="000000" w:themeColor="text1"/>
          <w:kern w:val="0"/>
          <w:sz w:val="28"/>
          <w:szCs w:val="28"/>
          <w:rtl/>
          <w14:ligatures w14:val="none"/>
        </w:rPr>
        <w:t>بة لاحتياجات المجتمع المتغيّرة.</w:t>
      </w:r>
    </w:p>
    <w:p w14:paraId="7D7530FD" w14:textId="120F230E"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ويرى محمد (محمد، 2024) أن أهداف جودة الرعاية الصحية الوقائية تتمثّل في: الحدّ من انتشار الأمراض في المجتمع، وتعزيز الوعي الصحي لدى الأفراد، وبناء عادات صحية سليمة تقلّل من الحاجة إلى الخدمات العلاجية، واستهداف الفئات الأكثر هشاشة في المجتمع ببرامج وقائية مخصّصة، وبناء قواعد بيانات وبائية تدعم السياسات الصحية. ومن منظور مكمّل، يطرح أبو دية وآخرون (أبو دية وآخرون، </w:t>
      </w:r>
      <w:r w:rsidRPr="004866BF">
        <w:rPr>
          <w:rFonts w:ascii="Simplified Arabic" w:eastAsia="Times New Roman" w:hAnsi="Simplified Arabic" w:cs="Simplified Arabic"/>
          <w:color w:val="000000" w:themeColor="text1"/>
          <w:kern w:val="0"/>
          <w:sz w:val="28"/>
          <w:szCs w:val="28"/>
          <w:rtl/>
          <w14:ligatures w14:val="none"/>
        </w:rPr>
        <w:lastRenderedPageBreak/>
        <w:t>2021) أهدافًا ترتبط بالبيئة التنظيمية تتمثّل في: إرساء ثقافة الإتقان داخل المنشأة، وتطوير منظومة قيم تحفّز الكوادر على تقديم الأفضل، وبناء آليات تواصل فعّالة بين أعضاء الفريق الصحي، وتعزيز المشاركة في صناعة القرار التشغيلي.</w:t>
      </w:r>
    </w:p>
    <w:p w14:paraId="5DF8DC26" w14:textId="1D5B10C2"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ويبيّن الجهني (الجهني، 2023) أن أهداف الجودة تتقاطع مع أهداف تقييم الأداء الوظيفي، إذ تشمل: تطوير أداء الكوادر الصحية باستمرار، وتحديد الفجوات المهارية والمعرفية ومعالجتها، وإيجاد منظومة تحفيز عادلة، وبناء مسار وظيفي مرتبط بمؤشرات الأداء. ويُكمل ذلك غواري (غواري، 2021) بإبراز أن من أهداف الجودة المرتبطة بالتدريب: ضمان أن تكون البرامج التدريبية مستجيبة للاحتياجات الفعلية للكوادر، وتطوير كفاءات تنعكس مباشرة على نوعية الخدمة، ورفع مس</w:t>
      </w:r>
      <w:r w:rsidR="00A229FA" w:rsidRPr="004866BF">
        <w:rPr>
          <w:rFonts w:ascii="Simplified Arabic" w:eastAsia="Times New Roman" w:hAnsi="Simplified Arabic" w:cs="Simplified Arabic"/>
          <w:color w:val="000000" w:themeColor="text1"/>
          <w:kern w:val="0"/>
          <w:sz w:val="28"/>
          <w:szCs w:val="28"/>
          <w:rtl/>
          <w14:ligatures w14:val="none"/>
        </w:rPr>
        <w:t>توى الالتزام بالمعايير المهنية.</w:t>
      </w:r>
    </w:p>
    <w:p w14:paraId="5B544415" w14:textId="7F85C579"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ومن منظور تقني، يطرح الخلايلة والصمادي (الخلايلة والصمادي، 2021) أهدافًا ترتبط بتوظيف الذكاء الاصطناعي في خدمة الجودة، تتضمّن: رفع دقّة التشخيص، وتسريع اتخاذ القرار الإكلينيكي، وتقليل الأخطاء البشرية في الإجراءات المعقّدة، وتمكين الكوادر من التعامل مع كميات متنامية من الحالات بكفاءة عالية. ويتلاقى مع ذلك ما يطرحه الفارس وبني خالد (الفارس وبني خالد، 2022) من أن أهداف الجودة تتضمّن إعادة هندسة العمليات داخل المستشفى بحيث تتدفّق الخدمة بصورة سلسة، وتقليص أوقات الانتظار، وت</w:t>
      </w:r>
      <w:r w:rsidR="00A229FA" w:rsidRPr="004866BF">
        <w:rPr>
          <w:rFonts w:ascii="Simplified Arabic" w:eastAsia="Times New Roman" w:hAnsi="Simplified Arabic" w:cs="Simplified Arabic"/>
          <w:color w:val="000000" w:themeColor="text1"/>
          <w:kern w:val="0"/>
          <w:sz w:val="28"/>
          <w:szCs w:val="28"/>
          <w:rtl/>
          <w14:ligatures w14:val="none"/>
        </w:rPr>
        <w:t>حسين تكامل الخدمات بين الأقسام.</w:t>
      </w:r>
    </w:p>
    <w:p w14:paraId="78E91FF5" w14:textId="7032114C"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ويُضيف </w:t>
      </w:r>
      <w:proofErr w:type="spellStart"/>
      <w:r w:rsidRPr="004866BF">
        <w:rPr>
          <w:rFonts w:ascii="Simplified Arabic" w:eastAsia="Times New Roman" w:hAnsi="Simplified Arabic" w:cs="Simplified Arabic"/>
          <w:color w:val="000000" w:themeColor="text1"/>
          <w:kern w:val="0"/>
          <w:sz w:val="28"/>
          <w:szCs w:val="28"/>
          <w:rtl/>
          <w14:ligatures w14:val="none"/>
        </w:rPr>
        <w:t>بوفاتح</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بوفاتح</w:t>
      </w:r>
      <w:proofErr w:type="spellEnd"/>
      <w:r w:rsidRPr="004866BF">
        <w:rPr>
          <w:rFonts w:ascii="Simplified Arabic" w:eastAsia="Times New Roman" w:hAnsi="Simplified Arabic" w:cs="Simplified Arabic"/>
          <w:color w:val="000000" w:themeColor="text1"/>
          <w:kern w:val="0"/>
          <w:sz w:val="28"/>
          <w:szCs w:val="28"/>
          <w:rtl/>
          <w14:ligatures w14:val="none"/>
        </w:rPr>
        <w:t>، 2021) أهدافًا ترتبط بثروة المعلومات تتمثّل في: ضمان توفّر معلومة صحية دقيقة في الوقت المناسب، وتطوير قاعدة معرفية تدعم السياسات الصحية، وتمكين الباحثين والمخططين من بناء قراراتهم على أدلة موثوقة. أما حسن وآخرون (حسن وآخرون، 2025) فيرون أن من أهداف الجودة بناء منظومة ثقة متبادلة بين المرضى والمقدّمين للخدمة، تستوعب: حماية بيانات المرضى، وضمان شفافية التواصل، وإشراك المريض في قرارات علاجه، وتقد</w:t>
      </w:r>
      <w:r w:rsidR="00A229FA" w:rsidRPr="004866BF">
        <w:rPr>
          <w:rFonts w:ascii="Simplified Arabic" w:eastAsia="Times New Roman" w:hAnsi="Simplified Arabic" w:cs="Simplified Arabic"/>
          <w:color w:val="000000" w:themeColor="text1"/>
          <w:kern w:val="0"/>
          <w:sz w:val="28"/>
          <w:szCs w:val="28"/>
          <w:rtl/>
          <w14:ligatures w14:val="none"/>
        </w:rPr>
        <w:t>يم خدمة تليق بكرامته الإنسانية.</w:t>
      </w:r>
    </w:p>
    <w:p w14:paraId="227BFEEE"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ومن منظور دولي، يطرح </w:t>
      </w:r>
      <w:proofErr w:type="spellStart"/>
      <w:r w:rsidRPr="004866BF">
        <w:rPr>
          <w:rFonts w:ascii="Simplified Arabic" w:eastAsia="Times New Roman" w:hAnsi="Simplified Arabic" w:cs="Simplified Arabic"/>
          <w:color w:val="000000" w:themeColor="text1"/>
          <w:kern w:val="0"/>
          <w:sz w:val="28"/>
          <w:szCs w:val="28"/>
          <w:rtl/>
          <w14:ligatures w14:val="none"/>
        </w:rPr>
        <w:t>كوالسكي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ونواك (</w:t>
      </w:r>
      <w:r w:rsidRPr="004866BF">
        <w:rPr>
          <w:rFonts w:ascii="Simplified Arabic" w:eastAsia="Times New Roman" w:hAnsi="Simplified Arabic" w:cs="Simplified Arabic"/>
          <w:color w:val="000000" w:themeColor="text1"/>
          <w:kern w:val="0"/>
          <w:sz w:val="28"/>
          <w:szCs w:val="28"/>
          <w14:ligatures w14:val="none"/>
        </w:rPr>
        <w:t>Kowalski &amp; Nowak, 2024</w:t>
      </w:r>
      <w:r w:rsidRPr="004866BF">
        <w:rPr>
          <w:rFonts w:ascii="Simplified Arabic" w:eastAsia="Times New Roman" w:hAnsi="Simplified Arabic" w:cs="Simplified Arabic"/>
          <w:color w:val="000000" w:themeColor="text1"/>
          <w:kern w:val="0"/>
          <w:sz w:val="28"/>
          <w:szCs w:val="28"/>
          <w:rtl/>
          <w14:ligatures w14:val="none"/>
        </w:rPr>
        <w:t>) أهدافًا تتعلّق بضمان الجودة في عصر التحول الرقمي، تتمحور حول: بناء معايير قابلة للقياس الرقمي، وتطوير أنظمة رصد آنية لمؤشرات الجودة، وتمكين المنظمة من الاستجابة السريعة لأي انحراف، وتعزيز الشفافية أمام الجهات الرقابية والمنتفعين. ويوسّع العسّاف وآخرون (</w:t>
      </w:r>
      <w:r w:rsidRPr="004866BF">
        <w:rPr>
          <w:rFonts w:ascii="Simplified Arabic" w:eastAsia="Times New Roman" w:hAnsi="Simplified Arabic" w:cs="Simplified Arabic"/>
          <w:color w:val="000000" w:themeColor="text1"/>
          <w:kern w:val="0"/>
          <w:sz w:val="28"/>
          <w:szCs w:val="28"/>
          <w14:ligatures w14:val="none"/>
        </w:rPr>
        <w:t>Al-Assaf et al., 2024</w:t>
      </w:r>
      <w:r w:rsidRPr="004866BF">
        <w:rPr>
          <w:rFonts w:ascii="Simplified Arabic" w:eastAsia="Times New Roman" w:hAnsi="Simplified Arabic" w:cs="Simplified Arabic"/>
          <w:color w:val="000000" w:themeColor="text1"/>
          <w:kern w:val="0"/>
          <w:sz w:val="28"/>
          <w:szCs w:val="28"/>
          <w:rtl/>
          <w14:ligatures w14:val="none"/>
        </w:rPr>
        <w:t xml:space="preserve">) هذه الأهداف لتشمل: تحقيق </w:t>
      </w:r>
      <w:r w:rsidRPr="004866BF">
        <w:rPr>
          <w:rFonts w:ascii="Simplified Arabic" w:eastAsia="Times New Roman" w:hAnsi="Simplified Arabic" w:cs="Simplified Arabic"/>
          <w:color w:val="000000" w:themeColor="text1"/>
          <w:kern w:val="0"/>
          <w:sz w:val="28"/>
          <w:szCs w:val="28"/>
          <w:rtl/>
          <w14:ligatures w14:val="none"/>
        </w:rPr>
        <w:lastRenderedPageBreak/>
        <w:t>تخصيص أعمق للخدمة بحيث تستجيب لخصائص كل مريض، وبناء تجربة منتفع متكاملة عبر مراحل الرعاية، ورفع مستوى الابتكار في تقديم الخدمات.</w:t>
      </w:r>
    </w:p>
    <w:p w14:paraId="4AC9F057" w14:textId="4F95E890" w:rsidR="00793491" w:rsidRPr="004866BF" w:rsidRDefault="00A229FA" w:rsidP="00A229F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5" w:name="_Toc233424331"/>
      <w:r w:rsidRPr="004866BF">
        <w:rPr>
          <w:rFonts w:ascii="Simplified Arabic" w:eastAsia="Times New Roman" w:hAnsi="Simplified Arabic" w:cs="Simplified Arabic" w:hint="cs"/>
          <w:b/>
          <w:bCs/>
          <w:color w:val="000000" w:themeColor="text1"/>
          <w:kern w:val="0"/>
          <w:sz w:val="32"/>
          <w:szCs w:val="32"/>
          <w:rtl/>
          <w14:ligatures w14:val="none"/>
        </w:rPr>
        <w:t xml:space="preserve">5.2.2 </w:t>
      </w:r>
      <w:r w:rsidR="00793491" w:rsidRPr="004866BF">
        <w:rPr>
          <w:rFonts w:ascii="Simplified Arabic" w:eastAsia="Times New Roman" w:hAnsi="Simplified Arabic" w:cs="Simplified Arabic"/>
          <w:b/>
          <w:bCs/>
          <w:color w:val="000000" w:themeColor="text1"/>
          <w:kern w:val="0"/>
          <w:sz w:val="32"/>
          <w:szCs w:val="32"/>
          <w:rtl/>
          <w14:ligatures w14:val="none"/>
        </w:rPr>
        <w:t>أبعاد جودة الرعاية الصحية</w:t>
      </w:r>
      <w:bookmarkEnd w:id="45"/>
    </w:p>
    <w:p w14:paraId="2A84879F"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تم تحديد أبعاد جودة الرعاية الصحية في الإطار النظري الحالي بناءً على ما طرحه النشوي (النشوي، 2026) والعسّاف وآخرون (</w:t>
      </w:r>
      <w:r w:rsidRPr="004866BF">
        <w:rPr>
          <w:rFonts w:ascii="Simplified Arabic" w:eastAsia="Times New Roman" w:hAnsi="Simplified Arabic" w:cs="Simplified Arabic"/>
          <w:color w:val="000000" w:themeColor="text1"/>
          <w:kern w:val="0"/>
          <w:sz w:val="28"/>
          <w:szCs w:val="28"/>
          <w14:ligatures w14:val="none"/>
        </w:rPr>
        <w:t>Al-Assaf et al., 2024</w:t>
      </w:r>
      <w:r w:rsidRPr="004866BF">
        <w:rPr>
          <w:rFonts w:ascii="Simplified Arabic" w:eastAsia="Times New Roman" w:hAnsi="Simplified Arabic" w:cs="Simplified Arabic"/>
          <w:color w:val="000000" w:themeColor="text1"/>
          <w:kern w:val="0"/>
          <w:sz w:val="28"/>
          <w:szCs w:val="28"/>
          <w:rtl/>
          <w14:ligatures w14:val="none"/>
        </w:rPr>
        <w:t xml:space="preserve">) ومحمد (محمد، 2024) </w:t>
      </w:r>
      <w:proofErr w:type="spellStart"/>
      <w:r w:rsidRPr="004866BF">
        <w:rPr>
          <w:rFonts w:ascii="Simplified Arabic" w:eastAsia="Times New Roman" w:hAnsi="Simplified Arabic" w:cs="Simplified Arabic"/>
          <w:color w:val="000000" w:themeColor="text1"/>
          <w:kern w:val="0"/>
          <w:sz w:val="28"/>
          <w:szCs w:val="28"/>
          <w:rtl/>
          <w14:ligatures w14:val="none"/>
        </w:rPr>
        <w:t>وكوالسكي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ونواك (</w:t>
      </w:r>
      <w:r w:rsidRPr="004866BF">
        <w:rPr>
          <w:rFonts w:ascii="Simplified Arabic" w:eastAsia="Times New Roman" w:hAnsi="Simplified Arabic" w:cs="Simplified Arabic"/>
          <w:color w:val="000000" w:themeColor="text1"/>
          <w:kern w:val="0"/>
          <w:sz w:val="28"/>
          <w:szCs w:val="28"/>
          <w14:ligatures w14:val="none"/>
        </w:rPr>
        <w:t>Kowalski &amp; Nowak, 2024</w:t>
      </w:r>
      <w:r w:rsidRPr="004866BF">
        <w:rPr>
          <w:rFonts w:ascii="Simplified Arabic" w:eastAsia="Times New Roman" w:hAnsi="Simplified Arabic" w:cs="Simplified Arabic"/>
          <w:color w:val="000000" w:themeColor="text1"/>
          <w:kern w:val="0"/>
          <w:sz w:val="28"/>
          <w:szCs w:val="28"/>
          <w:rtl/>
          <w14:ligatures w14:val="none"/>
        </w:rPr>
        <w:t>)، إذ تتلاقى أدبيات هؤلاء الباحثين على أن جودة الرعاية الصحية مفهوم متعدّد الأبعاد لا يمكن قياسه من زاوية واحدة. وعلى الرغم من أن قياس المتغير التابع في هذه الدراسة يأتي بصورة أحادية شاملة، فإن استعراض أبعاده النظرية يثري الفهم النظري للمفهوم ويوضّح المكوّنات التي يستوعبها القياس الشامل.</w:t>
      </w:r>
    </w:p>
    <w:p w14:paraId="59AA56F7" w14:textId="25ABC0B9"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ومن أبرز هذه الأبعاد ما يمكن تسميته بُعد الفاعلية الإكلينيكية، الذي يشير إلى مدى تحقيق الخدمة الصحية للنتائج العلاجية المرغوبة وفق المعايير المهنية المعتمدة. ويُبرز الجهني (الجهني، 2023) أن هذا البُعد يتطلّب توفّر كوادر مؤهّلة، وبروتوكولات علاجية واضحة، ومنظومة تقييم مستمر للأداء الإكلينيكي. وتتمحور أهمية هذا البُعد حول كونه يمثّل الجوهر المهني للخدمة الصحية، إذ لا يمكن الحديث عن جودة في غياب الفاعلية العلاجية.</w:t>
      </w:r>
    </w:p>
    <w:p w14:paraId="3588BEDE" w14:textId="1B58E6FD"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ويُمثّل بُعد سلامة المريض ركيزة محورية في أبعاد الجودة، ويوضّح عودة </w:t>
      </w:r>
      <w:proofErr w:type="spellStart"/>
      <w:r w:rsidRPr="004866BF">
        <w:rPr>
          <w:rFonts w:ascii="Simplified Arabic" w:eastAsia="Times New Roman" w:hAnsi="Simplified Arabic" w:cs="Simplified Arabic"/>
          <w:color w:val="000000" w:themeColor="text1"/>
          <w:kern w:val="0"/>
          <w:sz w:val="28"/>
          <w:szCs w:val="28"/>
          <w:rtl/>
          <w14:ligatures w14:val="none"/>
        </w:rPr>
        <w:t>والخشالي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(عودة </w:t>
      </w:r>
      <w:proofErr w:type="spellStart"/>
      <w:r w:rsidRPr="004866BF">
        <w:rPr>
          <w:rFonts w:ascii="Simplified Arabic" w:eastAsia="Times New Roman" w:hAnsi="Simplified Arabic" w:cs="Simplified Arabic"/>
          <w:color w:val="000000" w:themeColor="text1"/>
          <w:kern w:val="0"/>
          <w:sz w:val="28"/>
          <w:szCs w:val="28"/>
          <w:rtl/>
          <w14:ligatures w14:val="none"/>
        </w:rPr>
        <w:t>والخشالي</w:t>
      </w:r>
      <w:proofErr w:type="spellEnd"/>
      <w:r w:rsidRPr="004866BF">
        <w:rPr>
          <w:rFonts w:ascii="Simplified Arabic" w:eastAsia="Times New Roman" w:hAnsi="Simplified Arabic" w:cs="Simplified Arabic"/>
          <w:color w:val="000000" w:themeColor="text1"/>
          <w:kern w:val="0"/>
          <w:sz w:val="28"/>
          <w:szCs w:val="28"/>
          <w:rtl/>
          <w14:ligatures w14:val="none"/>
        </w:rPr>
        <w:t>، 2025) أن هذا البُعد يستوعب منظومة من الإجراءات الوقائية والتصحيحية التي تحول دون وقوع الأخطاء الطبية أو الإصابات المكتسبة داخل المنشأة الصحية، ويتضمّن إدارة المخاطر، وحوكمة الأدوية، ومكافحة العدوى، وتوثيق الحوادث وتحليلها. ويكتسب هذا البُعد أهمية متزايدة في ظل تنامي تعقيد الإجراءات الطبية وتعدّد الأطراف المشاركة في رعاية المريض الواحد.</w:t>
      </w:r>
    </w:p>
    <w:p w14:paraId="0FCFB9EA" w14:textId="35A9382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ويُضاف إلى ذلك بُعد محورية المريض، الذي يضع المريض في مركز منظومة الرعاية بدلًا من معاملته بوصفه متلقيًا سلبيًا للخدمة. ويشير حسن وآخرون (حسن وآخرون، 2025) إلى أن هذا البُعد يتجلّى في احترام كرامة المريض، وإشراكه في قرارات علاجه، ومراعاة خصوصيته الثقافية، وضمان شفافية المعلومات المقدّمة له. ويتقاطع مع هذا البُعد ما يطرحه كاريني وآخرون (</w:t>
      </w:r>
      <w:r w:rsidRPr="004866BF">
        <w:rPr>
          <w:rFonts w:ascii="Simplified Arabic" w:eastAsia="Times New Roman" w:hAnsi="Simplified Arabic" w:cs="Simplified Arabic"/>
          <w:color w:val="000000" w:themeColor="text1"/>
          <w:kern w:val="0"/>
          <w:sz w:val="28"/>
          <w:szCs w:val="28"/>
          <w14:ligatures w14:val="none"/>
        </w:rPr>
        <w:t>Carini et al., 2021</w:t>
      </w:r>
      <w:r w:rsidRPr="004866BF">
        <w:rPr>
          <w:rFonts w:ascii="Simplified Arabic" w:eastAsia="Times New Roman" w:hAnsi="Simplified Arabic" w:cs="Simplified Arabic"/>
          <w:color w:val="000000" w:themeColor="text1"/>
          <w:kern w:val="0"/>
          <w:sz w:val="28"/>
          <w:szCs w:val="28"/>
          <w:rtl/>
          <w14:ligatures w14:val="none"/>
        </w:rPr>
        <w:t>) من أهمية البوابات الإلكترونية في تمكين المريض ومنحه قدرة فعلية على المشاركة في إدارة حالته الصحية.</w:t>
      </w:r>
    </w:p>
    <w:p w14:paraId="62C5731C" w14:textId="0F39833F"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lastRenderedPageBreak/>
        <w:t xml:space="preserve">ويبرز بُعد كفاءة الخدمة بوصفه أحد المحاور الرئيسية للجودة، ويوضّح </w:t>
      </w:r>
      <w:proofErr w:type="spellStart"/>
      <w:r w:rsidRPr="004866BF">
        <w:rPr>
          <w:rFonts w:ascii="Simplified Arabic" w:eastAsia="Times New Roman" w:hAnsi="Simplified Arabic" w:cs="Simplified Arabic"/>
          <w:color w:val="000000" w:themeColor="text1"/>
          <w:kern w:val="0"/>
          <w:sz w:val="28"/>
          <w:szCs w:val="28"/>
          <w:rtl/>
          <w14:ligatures w14:val="none"/>
        </w:rPr>
        <w:t>القطاونة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والربابعة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القطاونة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والربابعة</w:t>
      </w:r>
      <w:proofErr w:type="spellEnd"/>
      <w:r w:rsidRPr="004866BF">
        <w:rPr>
          <w:rFonts w:ascii="Simplified Arabic" w:eastAsia="Times New Roman" w:hAnsi="Simplified Arabic" w:cs="Simplified Arabic"/>
          <w:color w:val="000000" w:themeColor="text1"/>
          <w:kern w:val="0"/>
          <w:sz w:val="28"/>
          <w:szCs w:val="28"/>
          <w:rtl/>
          <w14:ligatures w14:val="none"/>
        </w:rPr>
        <w:t>، 2023) أن هذا البُعد يستوعب الاستخدام الأمثل للموارد الصحية، وتقليص الهدر في الوقت والإجراءات، وتحسين سلاسة تدفّق المرضى داخل المنشأة، وضمان التناسب بين التكلفة والنتيجة. وتتلاقى مع هذا البُعد رؤية الفارس وبني خالد (الفارس وبني خالد، 2022) في إعادة هندسة العمليات بحيث تصبح أكثر انسيابية وأقل تعقيدًا.</w:t>
      </w:r>
    </w:p>
    <w:p w14:paraId="19705AB1" w14:textId="6462192D"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ويتجلّى بُعد عدالة الوصول إلى الخدمة بوصفه بُعدًا اجتماعيًا للجودة، ويطرحه محمد (محمد، 2024) باعتباره يستوعب: تكافؤ الفرص في الحصول على الرعاية، وعدم التمييز على أساس اجتماعي أو اقتصادي أو جغرافي، وتيسير وصول الفئات الهشّة إلى الخدمات. ويتعزّز هذا البُعد عبر مبادرات التطبيب عن بُعد التي تتيح الوصول الجغرافي الموسّع، كما يبيّن ليمنا (</w:t>
      </w:r>
      <w:r w:rsidRPr="004866BF">
        <w:rPr>
          <w:rFonts w:ascii="Simplified Arabic" w:eastAsia="Times New Roman" w:hAnsi="Simplified Arabic" w:cs="Simplified Arabic"/>
          <w:color w:val="000000" w:themeColor="text1"/>
          <w:kern w:val="0"/>
          <w:sz w:val="28"/>
          <w:szCs w:val="28"/>
          <w14:ligatures w14:val="none"/>
        </w:rPr>
        <w:t>Limna, 2023</w:t>
      </w:r>
      <w:r w:rsidRPr="004866BF">
        <w:rPr>
          <w:rFonts w:ascii="Simplified Arabic" w:eastAsia="Times New Roman" w:hAnsi="Simplified Arabic" w:cs="Simplified Arabic"/>
          <w:color w:val="000000" w:themeColor="text1"/>
          <w:kern w:val="0"/>
          <w:sz w:val="28"/>
          <w:szCs w:val="28"/>
          <w:rtl/>
          <w14:ligatures w14:val="none"/>
        </w:rPr>
        <w:t>).</w:t>
      </w:r>
    </w:p>
    <w:p w14:paraId="612F0D6C" w14:textId="41FCF0EA"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ومن الأبعاد المهمة كذلك بُعد التكامل والاستمرارية، الذي يُبرزه قدوري وسعداوي (قدوري وسعداوي، 2025) بوصفه يستوعب قدرة المنظومة الصحية على توفير رعاية متّسقة عبر مراحل العلاج المختلفة، ودون انقطاع في تدفّق المعلومة الصحية، وبتنسيق فعّال بين مقدّمي الخدمة في مختلف المستويات الصحية. ويشكّل السجل الصحي الإلكتروني الأداة المركزية التي تحقّق هذا البُعد في البيئة الرقمية المعاصرة.</w:t>
      </w:r>
    </w:p>
    <w:p w14:paraId="04730270" w14:textId="35BAC143"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ويتكامل مع ما سبق بُعد الاستجابة وحُسن التواصل، إذ يبيّن أبو دية وآخرون (أبو دية وآخرون، 2021) أن هذا البُعد يتمظهر في سرعة الاستجابة لاحتياجات المرضى، وجودة التواصل اللفظي وغير اللفظي بين الكوادر والمرضى، وتوفير معلومات واضحة ومفهومة عن المسار العلاجي، والحرص على بناء علاقة إنسانية تتجاوز الإجراء التقني. ويُكمل ذلك غواري (غواري، 2021) بربط هذا البُعد بمستوى التدريب الذي تتلقّاه الكوادر في مهارات التواصل والتعامل مع المرضى.</w:t>
      </w:r>
    </w:p>
    <w:p w14:paraId="37D59381"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ويمكن إضافة عناصر مكمّلة لهذه الأبعاد تشمل: البُعد البيئي المتعلّق بمواصفات المرافق الصحية، والبُعد المعلوماتي المتعلّق بدقة البيانات الصحية وشموليتها، والبُعد الابتكاري المرتبط بقدرة المنظومة على تطوير خدمات جديدة، وهي عناصر تتفاعل مع الأبعاد الرئيسية لتشكّل مفهومًا متكاملًا للجودة.</w:t>
      </w:r>
    </w:p>
    <w:p w14:paraId="6A6E93E4" w14:textId="4882D7E9" w:rsidR="00793491" w:rsidRPr="004866BF" w:rsidRDefault="00A229FA" w:rsidP="00A229F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6" w:name="_Toc233424332"/>
      <w:r w:rsidRPr="004866BF">
        <w:rPr>
          <w:rFonts w:ascii="Simplified Arabic" w:eastAsia="Times New Roman" w:hAnsi="Simplified Arabic" w:cs="Simplified Arabic" w:hint="cs"/>
          <w:b/>
          <w:bCs/>
          <w:color w:val="000000" w:themeColor="text1"/>
          <w:kern w:val="0"/>
          <w:sz w:val="32"/>
          <w:szCs w:val="32"/>
          <w:rtl/>
          <w14:ligatures w14:val="none"/>
        </w:rPr>
        <w:t xml:space="preserve">6.2.2 </w:t>
      </w:r>
      <w:r w:rsidR="00793491" w:rsidRPr="004866BF">
        <w:rPr>
          <w:rFonts w:ascii="Simplified Arabic" w:eastAsia="Times New Roman" w:hAnsi="Simplified Arabic" w:cs="Simplified Arabic"/>
          <w:b/>
          <w:bCs/>
          <w:color w:val="000000" w:themeColor="text1"/>
          <w:kern w:val="0"/>
          <w:sz w:val="32"/>
          <w:szCs w:val="32"/>
          <w:rtl/>
          <w14:ligatures w14:val="none"/>
        </w:rPr>
        <w:t>استراتيجيات تحقيق جودة الرعاية الصحية</w:t>
      </w:r>
      <w:bookmarkEnd w:id="46"/>
    </w:p>
    <w:p w14:paraId="5C5849AA"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lastRenderedPageBreak/>
        <w:t>تتعدّد الاستراتيجيات التي تنتهجها المنظمات الصحية لتحقيق جودة الرعاية، وتتفاوت هذه الاستراتيجيات في توجّهاتها بين ما هو وقائي وما هو تطويري وما هو ابتكاري. ويطرح محمد (محمد، 2024) استراتيجية الرعاية الصحية الوقائية بوصفها مدخلًا استباقيًا لتحقيق الجودة، إذ تتحوّل المنظومة من الاكتفاء بمعالجة المرض إلى الاستثمار في تعزيز الصحة والوقاية، مما يقلّل من العبء الواقع على الخدمات العلاجية ويرفع المؤشرات الصحية الكلّية.</w:t>
      </w:r>
    </w:p>
    <w:p w14:paraId="4E0E3D76"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ويُكمل غواري (غواري، 2021) ذلك باستراتيجية التدريب المستمر، التي تجعل من التطوير المهاري للكوادر ركيزة دائمة لتحقيق الجودة. وتتأسّس هذه الاستراتيجية على بناء برامج تدريبية موائمة للاحتياجات الفعلية، وربط التدريب بمؤشرات أداء قابلة للقياس، وتوفير بيئة تعلّم تنظيمي تشجّع على تبادل المعرفة بين الكوادر. ويتلاقى مع هذا الاتجاه ما يطرحه أبو دية وآخرون (أبو دية وآخرون، 2021) من استراتيجية بناء الثقافة التنظيمية الداعمة للجودة، إذ تصبح القيم والمعايير التنظيمية محرّكًا داخليًا للسلوك المؤسسي بدلًا من الاعتماد الحصري على الرقابة الخارجية.</w:t>
      </w:r>
    </w:p>
    <w:p w14:paraId="4D7AF4DB"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ومن منظور تقييمي، يطرح الجهني (الجهني، 2023) استراتيجية تقييم الأداء الوظيفي بوصفها أداة مركزية لتحقيق الجودة، إذ تتيح الكشف عن مواطن القوة والضعف في أداء الكوادر، وبناء خطط تطوير فردية، وربط الحوافز بالأداء الفعلي. ويُكمل ذلك </w:t>
      </w:r>
      <w:proofErr w:type="spellStart"/>
      <w:r w:rsidRPr="004866BF">
        <w:rPr>
          <w:rFonts w:ascii="Simplified Arabic" w:eastAsia="Times New Roman" w:hAnsi="Simplified Arabic" w:cs="Simplified Arabic"/>
          <w:color w:val="000000" w:themeColor="text1"/>
          <w:kern w:val="0"/>
          <w:sz w:val="28"/>
          <w:szCs w:val="28"/>
          <w:rtl/>
          <w14:ligatures w14:val="none"/>
        </w:rPr>
        <w:t>القطاونة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والربابعة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القطاونة</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والربابعة</w:t>
      </w:r>
      <w:proofErr w:type="spellEnd"/>
      <w:r w:rsidRPr="004866BF">
        <w:rPr>
          <w:rFonts w:ascii="Simplified Arabic" w:eastAsia="Times New Roman" w:hAnsi="Simplified Arabic" w:cs="Simplified Arabic"/>
          <w:color w:val="000000" w:themeColor="text1"/>
          <w:kern w:val="0"/>
          <w:sz w:val="28"/>
          <w:szCs w:val="28"/>
          <w:rtl/>
          <w14:ligatures w14:val="none"/>
        </w:rPr>
        <w:t>، 2023) باستراتيجية المقارنة المرجعية التي تُمكّن المنظمة من رصد الفجوات بينها وبين المنظمات المتميّزة، واستلهام أفضل الممارسات، وبناء أهداف تطويرية واقعية.</w:t>
      </w:r>
    </w:p>
    <w:p w14:paraId="69FC4B23"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ومن منظور إداري شامل، يطرح عودة </w:t>
      </w:r>
      <w:proofErr w:type="spellStart"/>
      <w:r w:rsidRPr="004866BF">
        <w:rPr>
          <w:rFonts w:ascii="Simplified Arabic" w:eastAsia="Times New Roman" w:hAnsi="Simplified Arabic" w:cs="Simplified Arabic"/>
          <w:color w:val="000000" w:themeColor="text1"/>
          <w:kern w:val="0"/>
          <w:sz w:val="28"/>
          <w:szCs w:val="28"/>
          <w:rtl/>
          <w14:ligatures w14:val="none"/>
        </w:rPr>
        <w:t>والخشالي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(عودة </w:t>
      </w:r>
      <w:proofErr w:type="spellStart"/>
      <w:r w:rsidRPr="004866BF">
        <w:rPr>
          <w:rFonts w:ascii="Simplified Arabic" w:eastAsia="Times New Roman" w:hAnsi="Simplified Arabic" w:cs="Simplified Arabic"/>
          <w:color w:val="000000" w:themeColor="text1"/>
          <w:kern w:val="0"/>
          <w:sz w:val="28"/>
          <w:szCs w:val="28"/>
          <w:rtl/>
          <w14:ligatures w14:val="none"/>
        </w:rPr>
        <w:t>والخشالي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2025) استراتيجية الرشاقة الاستراتيجية المرتبطة بإدارة المخاطر، إذ تستوعب هذه الاستراتيجية بناء قدرة تنظيمية على الاستجابة السريعة للمتغيّرات وإدارة المخاطر الصحية بصورة استباقية. ويتقاطع مع ذلك ما يطرحه </w:t>
      </w:r>
      <w:proofErr w:type="spellStart"/>
      <w:r w:rsidRPr="004866BF">
        <w:rPr>
          <w:rFonts w:ascii="Simplified Arabic" w:eastAsia="Times New Roman" w:hAnsi="Simplified Arabic" w:cs="Simplified Arabic"/>
          <w:color w:val="000000" w:themeColor="text1"/>
          <w:kern w:val="0"/>
          <w:sz w:val="28"/>
          <w:szCs w:val="28"/>
          <w:rtl/>
          <w14:ligatures w14:val="none"/>
        </w:rPr>
        <w:t>بوفاتح</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w:t>
      </w:r>
      <w:proofErr w:type="spellStart"/>
      <w:r w:rsidRPr="004866BF">
        <w:rPr>
          <w:rFonts w:ascii="Simplified Arabic" w:eastAsia="Times New Roman" w:hAnsi="Simplified Arabic" w:cs="Simplified Arabic"/>
          <w:color w:val="000000" w:themeColor="text1"/>
          <w:kern w:val="0"/>
          <w:sz w:val="28"/>
          <w:szCs w:val="28"/>
          <w:rtl/>
          <w14:ligatures w14:val="none"/>
        </w:rPr>
        <w:t>بوفاتح</w:t>
      </w:r>
      <w:proofErr w:type="spellEnd"/>
      <w:r w:rsidRPr="004866BF">
        <w:rPr>
          <w:rFonts w:ascii="Simplified Arabic" w:eastAsia="Times New Roman" w:hAnsi="Simplified Arabic" w:cs="Simplified Arabic"/>
          <w:color w:val="000000" w:themeColor="text1"/>
          <w:kern w:val="0"/>
          <w:sz w:val="28"/>
          <w:szCs w:val="28"/>
          <w:rtl/>
          <w14:ligatures w14:val="none"/>
        </w:rPr>
        <w:t>، 2021) من استراتيجية ثروة المعلومات، التي تتأسّس على بناء قاعدة معرفية متينة تُغذّي اتخاذ القرار في مختلف مستويات المنظمة.</w:t>
      </w:r>
    </w:p>
    <w:p w14:paraId="148EC81D"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 xml:space="preserve">ويُبرز حسن وآخرون (حسن وآخرون، 2025) استراتيجية بناء الثقة بوصفها مدخلًا إنسانيًا لتحقيق الجودة، تتأسّس على ضمان شفافية التعامل، واحترام كرامة المريض، وحماية بياناته، وإشراكه في القرارات. ويُكمل ذلك الفارس وبني خالد (الفارس وبني خالد، 2022) باستراتيجية القيادة الرقمية، التي تنطلق من أن </w:t>
      </w:r>
      <w:r w:rsidRPr="004866BF">
        <w:rPr>
          <w:rFonts w:ascii="Simplified Arabic" w:eastAsia="Times New Roman" w:hAnsi="Simplified Arabic" w:cs="Simplified Arabic"/>
          <w:color w:val="000000" w:themeColor="text1"/>
          <w:kern w:val="0"/>
          <w:sz w:val="28"/>
          <w:szCs w:val="28"/>
          <w:rtl/>
          <w14:ligatures w14:val="none"/>
        </w:rPr>
        <w:lastRenderedPageBreak/>
        <w:t>القيادات الرشيدة الواعية بمتطلبات العصر الرقمي هي المحرّك الذي يقود المنظمة نحو الجودة في ظل التحولات التقنية.</w:t>
      </w:r>
    </w:p>
    <w:p w14:paraId="412AE1D6"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ومن منظور دولي، يطرح إمران وآخرون (</w:t>
      </w:r>
      <w:r w:rsidRPr="004866BF">
        <w:rPr>
          <w:rFonts w:ascii="Simplified Arabic" w:eastAsia="Times New Roman" w:hAnsi="Simplified Arabic" w:cs="Simplified Arabic"/>
          <w:color w:val="000000" w:themeColor="text1"/>
          <w:kern w:val="0"/>
          <w:sz w:val="28"/>
          <w:szCs w:val="28"/>
          <w14:ligatures w14:val="none"/>
        </w:rPr>
        <w:t>Emran et al., 2025</w:t>
      </w:r>
      <w:r w:rsidRPr="004866BF">
        <w:rPr>
          <w:rFonts w:ascii="Simplified Arabic" w:eastAsia="Times New Roman" w:hAnsi="Simplified Arabic" w:cs="Simplified Arabic"/>
          <w:color w:val="000000" w:themeColor="text1"/>
          <w:kern w:val="0"/>
          <w:sz w:val="28"/>
          <w:szCs w:val="28"/>
          <w:rtl/>
          <w14:ligatures w14:val="none"/>
        </w:rPr>
        <w:t xml:space="preserve">) استراتيجيات التحول الرقمي بوصفها مدخلًا فعّالًا لتحقيق جودة الخدمات الصحية، إذ تتأسّس على دمج التقنية في صلب العمليات بصورة تخدم الجودة لا أن تنفصل عنها. ويُكمل </w:t>
      </w:r>
      <w:proofErr w:type="spellStart"/>
      <w:r w:rsidRPr="004866BF">
        <w:rPr>
          <w:rFonts w:ascii="Simplified Arabic" w:eastAsia="Times New Roman" w:hAnsi="Simplified Arabic" w:cs="Simplified Arabic"/>
          <w:color w:val="000000" w:themeColor="text1"/>
          <w:kern w:val="0"/>
          <w:sz w:val="28"/>
          <w:szCs w:val="28"/>
          <w:rtl/>
          <w14:ligatures w14:val="none"/>
        </w:rPr>
        <w:t>كوالسكي</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ونواك (</w:t>
      </w:r>
      <w:r w:rsidRPr="004866BF">
        <w:rPr>
          <w:rFonts w:ascii="Simplified Arabic" w:eastAsia="Times New Roman" w:hAnsi="Simplified Arabic" w:cs="Simplified Arabic"/>
          <w:color w:val="000000" w:themeColor="text1"/>
          <w:kern w:val="0"/>
          <w:sz w:val="28"/>
          <w:szCs w:val="28"/>
          <w14:ligatures w14:val="none"/>
        </w:rPr>
        <w:t>Kowalski &amp; Nowak, 2024</w:t>
      </w:r>
      <w:r w:rsidRPr="004866BF">
        <w:rPr>
          <w:rFonts w:ascii="Simplified Arabic" w:eastAsia="Times New Roman" w:hAnsi="Simplified Arabic" w:cs="Simplified Arabic"/>
          <w:color w:val="000000" w:themeColor="text1"/>
          <w:kern w:val="0"/>
          <w:sz w:val="28"/>
          <w:szCs w:val="28"/>
          <w:rtl/>
          <w14:ligatures w14:val="none"/>
        </w:rPr>
        <w:t>) ذلك باستراتيجية ضمان الجودة الرقمي التي تستثمر التقنية في بناء أنظمة رصد وتحليل آنية لمؤشرات الجودة، وتتيح الاستجابة السريعة لأي انحراف.</w:t>
      </w:r>
    </w:p>
    <w:p w14:paraId="552164B1"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ويُضيف العسّاف وآخرون (</w:t>
      </w:r>
      <w:r w:rsidRPr="004866BF">
        <w:rPr>
          <w:rFonts w:ascii="Simplified Arabic" w:eastAsia="Times New Roman" w:hAnsi="Simplified Arabic" w:cs="Simplified Arabic"/>
          <w:color w:val="000000" w:themeColor="text1"/>
          <w:kern w:val="0"/>
          <w:sz w:val="28"/>
          <w:szCs w:val="28"/>
          <w14:ligatures w14:val="none"/>
        </w:rPr>
        <w:t>Al-Assaf et al., 2024</w:t>
      </w:r>
      <w:r w:rsidRPr="004866BF">
        <w:rPr>
          <w:rFonts w:ascii="Simplified Arabic" w:eastAsia="Times New Roman" w:hAnsi="Simplified Arabic" w:cs="Simplified Arabic"/>
          <w:color w:val="000000" w:themeColor="text1"/>
          <w:kern w:val="0"/>
          <w:sz w:val="28"/>
          <w:szCs w:val="28"/>
          <w:rtl/>
          <w14:ligatures w14:val="none"/>
        </w:rPr>
        <w:t xml:space="preserve">) استراتيجية الرعاية الصحية 4.0، التي تتأسّس على التكامل بين الذكاء الاصطناعي وإنترنت الأشياء الطبية وتحليلات البيانات الضخمة، بحيث تتحوّل الرعاية الصحية إلى منظومة ذكية متفاعلة. وتُكمل </w:t>
      </w:r>
      <w:proofErr w:type="spellStart"/>
      <w:r w:rsidRPr="004866BF">
        <w:rPr>
          <w:rFonts w:ascii="Simplified Arabic" w:eastAsia="Times New Roman" w:hAnsi="Simplified Arabic" w:cs="Simplified Arabic"/>
          <w:color w:val="000000" w:themeColor="text1"/>
          <w:kern w:val="0"/>
          <w:sz w:val="28"/>
          <w:szCs w:val="28"/>
          <w:rtl/>
          <w14:ligatures w14:val="none"/>
        </w:rPr>
        <w:t>زانغ</w:t>
      </w:r>
      <w:proofErr w:type="spellEnd"/>
      <w:r w:rsidRPr="004866BF">
        <w:rPr>
          <w:rFonts w:ascii="Simplified Arabic" w:eastAsia="Times New Roman" w:hAnsi="Simplified Arabic" w:cs="Simplified Arabic"/>
          <w:color w:val="000000" w:themeColor="text1"/>
          <w:kern w:val="0"/>
          <w:sz w:val="28"/>
          <w:szCs w:val="28"/>
          <w:rtl/>
          <w14:ligatures w14:val="none"/>
        </w:rPr>
        <w:t xml:space="preserve"> وآخرون (</w:t>
      </w:r>
      <w:r w:rsidRPr="004866BF">
        <w:rPr>
          <w:rFonts w:ascii="Simplified Arabic" w:eastAsia="Times New Roman" w:hAnsi="Simplified Arabic" w:cs="Simplified Arabic"/>
          <w:color w:val="000000" w:themeColor="text1"/>
          <w:kern w:val="0"/>
          <w:sz w:val="28"/>
          <w:szCs w:val="28"/>
          <w14:ligatures w14:val="none"/>
        </w:rPr>
        <w:t>Zhang et al., 2025</w:t>
      </w:r>
      <w:r w:rsidRPr="004866BF">
        <w:rPr>
          <w:rFonts w:ascii="Simplified Arabic" w:eastAsia="Times New Roman" w:hAnsi="Simplified Arabic" w:cs="Simplified Arabic"/>
          <w:color w:val="000000" w:themeColor="text1"/>
          <w:kern w:val="0"/>
          <w:sz w:val="28"/>
          <w:szCs w:val="28"/>
          <w:rtl/>
          <w14:ligatures w14:val="none"/>
        </w:rPr>
        <w:t>) ذلك باستراتيجية التشبيك الإقليمي، التي تنطلق من أن جودة الرعاية لا تتحقّق في معزل عن البيئة المحيطة، بل تستوعب التفاعل بين المنشآت في الفضاء الجغرافي الواحد عبر آليات التعلّم المتبادل ونقل أفضل الممارسات.</w:t>
      </w:r>
    </w:p>
    <w:p w14:paraId="6AAE7A9E" w14:textId="77777777" w:rsidR="00793491" w:rsidRPr="004866BF" w:rsidRDefault="00793491" w:rsidP="00A229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866BF">
        <w:rPr>
          <w:rFonts w:ascii="Simplified Arabic" w:eastAsia="Times New Roman" w:hAnsi="Simplified Arabic" w:cs="Simplified Arabic"/>
          <w:color w:val="000000" w:themeColor="text1"/>
          <w:kern w:val="0"/>
          <w:sz w:val="28"/>
          <w:szCs w:val="28"/>
          <w:rtl/>
          <w14:ligatures w14:val="none"/>
        </w:rPr>
        <w:t>ويتّضح من تكامل هذه الاستراتيجيات أن تحقيق جودة الرعاية الصحية يستلزم توليفة متناغمة تستوعب البُعد البشري، والبُعد التنظيمي، والبُعد المعلوماتي، والبُعد التقني، والبُعد المجتمعي. وفي ضوء طبيعة الدراسة الحالية، فإن استراتيجيات التحول الرقمي تشكّل مدخلًا محوريًا لتحقيق الجودة في المنشآت الصحية السعودية، إذ تتقاطع فيها الأدوات التقنية مع متطلبات الجودة في منظومة واحدة متفاعلة، تنعكس على تجربة المريض، وكفاءة الكوادر، وأداء المنظمة، وفاعلية المنظومة الصحية ككل.</w:t>
      </w:r>
    </w:p>
    <w:p w14:paraId="3129D7AE" w14:textId="0726E619" w:rsidR="00AA4A10" w:rsidRPr="004866BF" w:rsidRDefault="00A229FA" w:rsidP="006D449F">
      <w:pPr>
        <w:jc w:val="center"/>
        <w:outlineLvl w:val="0"/>
        <w:rPr>
          <w:rFonts w:ascii="Simplified Arabic" w:hAnsi="Simplified Arabic" w:cs="Times New Roman"/>
          <w:b/>
          <w:bCs/>
          <w:color w:val="000000" w:themeColor="text1"/>
          <w:szCs w:val="28"/>
          <w:rtl/>
        </w:rPr>
        <w:sectPr w:rsidR="00AA4A10" w:rsidRPr="004866BF" w:rsidSect="00C02452">
          <w:footerReference w:type="default" r:id="rId10"/>
          <w:pgSz w:w="11906" w:h="16838" w:code="9"/>
          <w:pgMar w:top="1134" w:right="1701" w:bottom="1134" w:left="1134" w:header="720" w:footer="720" w:gutter="0"/>
          <w:pgNumType w:start="1"/>
          <w:cols w:space="708"/>
          <w:bidi/>
          <w:rtlGutter/>
          <w:docGrid w:linePitch="360"/>
        </w:sectPr>
      </w:pPr>
      <w:r w:rsidRPr="004866BF">
        <w:rPr>
          <w:rFonts w:ascii="Simplified Arabic" w:eastAsia="Times New Roman" w:hAnsi="Simplified Arabic" w:cs="Simplified Arabic"/>
          <w:b/>
          <w:bCs/>
          <w:color w:val="000000" w:themeColor="text1"/>
          <w:kern w:val="0"/>
          <w:sz w:val="40"/>
          <w:szCs w:val="40"/>
          <w:rtl/>
          <w14:ligatures w14:val="none"/>
        </w:rPr>
        <w:br w:type="page"/>
      </w:r>
      <w:bookmarkEnd w:id="22"/>
    </w:p>
    <w:p w14:paraId="29D4231B" w14:textId="6B3A547A" w:rsidR="0081623B" w:rsidRPr="004866BF" w:rsidRDefault="00E27D3B" w:rsidP="00AA4A1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4866BF">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56AC6FD3">
            <wp:simplePos x="0" y="0"/>
            <wp:positionH relativeFrom="column">
              <wp:posOffset>4057650</wp:posOffset>
            </wp:positionH>
            <wp:positionV relativeFrom="paragraph">
              <wp:posOffset>0</wp:posOffset>
            </wp:positionV>
            <wp:extent cx="1583055" cy="1466215"/>
            <wp:effectExtent l="0" t="0" r="0" b="635"/>
            <wp:wrapTight wrapText="bothSides">
              <wp:wrapPolygon edited="0">
                <wp:start x="0" y="0"/>
                <wp:lineTo x="0" y="21329"/>
                <wp:lineTo x="21314" y="21329"/>
                <wp:lineTo x="2131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3055" cy="146621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4866BF">
        <w:rPr>
          <w:rFonts w:asciiTheme="majorBidi" w:eastAsia="Calibri" w:hAnsiTheme="majorBidi" w:cstheme="majorBidi"/>
          <w:b/>
          <w:bCs/>
          <w:color w:val="000000" w:themeColor="text1"/>
          <w:kern w:val="0"/>
          <w:sz w:val="32"/>
          <w:szCs w:val="32"/>
          <w:lang w:bidi="ar-EG"/>
          <w14:ligatures w14:val="none"/>
        </w:rPr>
        <w:t>Mid</w:t>
      </w:r>
      <w:r w:rsidR="000D353F" w:rsidRPr="004866BF">
        <w:rPr>
          <w:rFonts w:asciiTheme="majorBidi" w:eastAsia="Calibri" w:hAnsiTheme="majorBidi" w:cstheme="majorBidi"/>
          <w:b/>
          <w:bCs/>
          <w:color w:val="000000" w:themeColor="text1"/>
          <w:kern w:val="0"/>
          <w:sz w:val="32"/>
          <w:szCs w:val="32"/>
          <w:lang w:bidi="ar-EG"/>
          <w14:ligatures w14:val="none"/>
        </w:rPr>
        <w:t xml:space="preserve"> </w:t>
      </w:r>
      <w:r w:rsidR="0081623B" w:rsidRPr="004866BF">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4866BF" w:rsidRDefault="0081623B" w:rsidP="00C0245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4866BF">
        <w:rPr>
          <w:rFonts w:asciiTheme="majorBidi" w:eastAsia="Calibri" w:hAnsiTheme="majorBidi" w:cstheme="majorBidi"/>
          <w:b/>
          <w:bCs/>
          <w:color w:val="000000" w:themeColor="text1"/>
          <w:kern w:val="0"/>
          <w:sz w:val="32"/>
          <w:szCs w:val="32"/>
          <w:lang w:bidi="ar-EG"/>
          <w14:ligatures w14:val="none"/>
        </w:rPr>
        <w:t>College of Management</w:t>
      </w:r>
    </w:p>
    <w:p w14:paraId="2326BE1C" w14:textId="304AD5C2" w:rsidR="00734767" w:rsidRPr="004866BF" w:rsidRDefault="00734767" w:rsidP="00AA4A1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14:ligatures w14:val="none"/>
        </w:rPr>
      </w:pPr>
      <w:r w:rsidRPr="004866BF">
        <w:rPr>
          <w:rFonts w:asciiTheme="majorBidi" w:eastAsia="Calibri" w:hAnsiTheme="majorBidi" w:cstheme="majorBidi"/>
          <w:b/>
          <w:bCs/>
          <w:color w:val="000000" w:themeColor="text1"/>
          <w:kern w:val="0"/>
          <w:sz w:val="32"/>
          <w:szCs w:val="32"/>
          <w:lang w:bidi="ar-EG"/>
          <w14:ligatures w14:val="none"/>
        </w:rPr>
        <w:t>Master of Healthcare Administration</w:t>
      </w:r>
    </w:p>
    <w:p w14:paraId="68E9861C" w14:textId="77777777" w:rsidR="00734767" w:rsidRPr="004866BF" w:rsidRDefault="00734767" w:rsidP="00C02452">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14:ligatures w14:val="none"/>
        </w:rPr>
      </w:pPr>
    </w:p>
    <w:p w14:paraId="4751C963" w14:textId="2057F1F2" w:rsidR="00734767" w:rsidRPr="004866BF" w:rsidRDefault="00734767" w:rsidP="00AA4A10">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14:ligatures w14:val="none"/>
        </w:rPr>
      </w:pPr>
      <w:r w:rsidRPr="004866BF">
        <w:rPr>
          <w:rFonts w:asciiTheme="majorBidi" w:eastAsia="Calibri" w:hAnsiTheme="majorBidi" w:cstheme="majorBidi"/>
          <w:b/>
          <w:bCs/>
          <w:color w:val="000000" w:themeColor="text1"/>
          <w:kern w:val="0"/>
          <w:sz w:val="40"/>
          <w:szCs w:val="40"/>
          <w14:ligatures w14:val="none"/>
        </w:rPr>
        <w:t>The Impact of Digital Transformation on Developing Healthcare Quality in the Kingdom of Saudi Arabia in Fulfillment of Vision 2030 Objectives</w:t>
      </w:r>
    </w:p>
    <w:p w14:paraId="0C68AED7" w14:textId="77777777" w:rsidR="00AA4A10" w:rsidRPr="004866BF" w:rsidRDefault="00AA4A10" w:rsidP="00C02452">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4532F5F" w14:textId="57076D83" w:rsidR="000D353F" w:rsidRDefault="000D353F" w:rsidP="00AA4A10">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4866BF">
        <w:rPr>
          <w:rFonts w:ascii="Simplified Arabic" w:eastAsia="Calibri" w:hAnsi="Simplified Arabic" w:cs="Simplified Arabic"/>
          <w:b/>
          <w:bCs/>
          <w:color w:val="000000" w:themeColor="text1"/>
          <w:kern w:val="0"/>
          <w:sz w:val="36"/>
          <w:szCs w:val="36"/>
          <w:lang w:bidi="ar-EG"/>
          <w14:ligatures w14:val="none"/>
        </w:rPr>
        <w:t>Prepared by:</w:t>
      </w:r>
    </w:p>
    <w:p w14:paraId="2C45BDD8" w14:textId="29B567B1" w:rsidR="00810824" w:rsidRDefault="00810824" w:rsidP="00810824">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Pr>
          <w:rFonts w:ascii="Simplified Arabic" w:eastAsia="Calibri" w:hAnsi="Simplified Arabic" w:cs="Simplified Arabic"/>
          <w:b/>
          <w:bCs/>
          <w:color w:val="000000" w:themeColor="text1"/>
          <w:kern w:val="0"/>
          <w:sz w:val="36"/>
          <w:szCs w:val="36"/>
          <w:lang w:bidi="ar-EG"/>
          <w14:ligatures w14:val="none"/>
        </w:rPr>
        <w:t>Reem Mansour Aljubran</w:t>
      </w:r>
    </w:p>
    <w:p w14:paraId="5358B56F" w14:textId="203C3EEC" w:rsidR="00810824" w:rsidRPr="004866BF" w:rsidRDefault="00810824" w:rsidP="00810824">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r>
        <w:rPr>
          <w:rFonts w:ascii="Simplified Arabic" w:eastAsia="Calibri" w:hAnsi="Simplified Arabic" w:cs="Simplified Arabic"/>
          <w:b/>
          <w:bCs/>
          <w:color w:val="000000" w:themeColor="text1"/>
          <w:kern w:val="0"/>
          <w:sz w:val="36"/>
          <w:szCs w:val="36"/>
          <w:lang w:bidi="ar-EG"/>
          <w14:ligatures w14:val="none"/>
        </w:rPr>
        <w:t>253000236</w:t>
      </w:r>
    </w:p>
    <w:p w14:paraId="115CA6B5" w14:textId="77777777" w:rsidR="00AA4A10" w:rsidRPr="004866BF" w:rsidRDefault="00AA4A10" w:rsidP="00AA4A10">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866BF" w:rsidRPr="004866BF" w14:paraId="4E743D0D" w14:textId="77777777" w:rsidTr="0021075D">
        <w:tc>
          <w:tcPr>
            <w:tcW w:w="4530" w:type="dxa"/>
          </w:tcPr>
          <w:p w14:paraId="4702E563" w14:textId="77777777" w:rsidR="00AA4A10" w:rsidRPr="004866BF" w:rsidRDefault="00AA4A10" w:rsidP="0021075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866BF">
              <w:rPr>
                <w:rFonts w:asciiTheme="majorBidi" w:eastAsia="Calibri" w:hAnsiTheme="majorBidi" w:cstheme="majorBidi"/>
                <w:b/>
                <w:bCs/>
                <w:color w:val="000000" w:themeColor="text1"/>
                <w:kern w:val="0"/>
                <w:sz w:val="36"/>
                <w:szCs w:val="36"/>
                <w:lang w:bidi="ar-EG"/>
                <w14:ligatures w14:val="none"/>
              </w:rPr>
              <w:t>Main supervisor</w:t>
            </w:r>
            <w:r w:rsidRPr="004866BF">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5526D989" w14:textId="77777777" w:rsidR="00AA4A10" w:rsidRPr="004866BF" w:rsidRDefault="00AA4A10" w:rsidP="0021075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866BF">
              <w:rPr>
                <w:rFonts w:asciiTheme="majorBidi" w:eastAsia="Calibri" w:hAnsiTheme="majorBidi" w:cstheme="majorBidi"/>
                <w:b/>
                <w:bCs/>
                <w:color w:val="000000" w:themeColor="text1"/>
                <w:kern w:val="0"/>
                <w:sz w:val="36"/>
                <w:szCs w:val="36"/>
                <w:lang w:bidi="ar-EG"/>
                <w14:ligatures w14:val="none"/>
              </w:rPr>
              <w:t>Second supervisor</w:t>
            </w:r>
            <w:r w:rsidRPr="004866BF">
              <w:rPr>
                <w:rFonts w:asciiTheme="majorBidi" w:eastAsia="Calibri" w:hAnsiTheme="majorBidi" w:cstheme="majorBidi"/>
                <w:b/>
                <w:bCs/>
                <w:color w:val="000000" w:themeColor="text1"/>
                <w:kern w:val="0"/>
                <w:sz w:val="36"/>
                <w:szCs w:val="36"/>
                <w:rtl/>
                <w:lang w:bidi="ar-EG"/>
                <w14:ligatures w14:val="none"/>
              </w:rPr>
              <w:t>/</w:t>
            </w:r>
          </w:p>
        </w:tc>
      </w:tr>
      <w:tr w:rsidR="004866BF" w:rsidRPr="004866BF" w14:paraId="17531E16" w14:textId="77777777" w:rsidTr="0021075D">
        <w:tc>
          <w:tcPr>
            <w:tcW w:w="4530" w:type="dxa"/>
          </w:tcPr>
          <w:p w14:paraId="5C570538" w14:textId="77777777" w:rsidR="00AA4A10" w:rsidRPr="004866BF" w:rsidRDefault="00AA4A10" w:rsidP="0021075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866BF">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0F50D7BA" w14:textId="77777777" w:rsidR="00AA4A10" w:rsidRDefault="00AA4A10" w:rsidP="0021075D">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4866BF">
              <w:rPr>
                <w:rFonts w:asciiTheme="majorBidi" w:eastAsia="Calibri" w:hAnsiTheme="majorBidi" w:cstheme="majorBidi"/>
                <w:color w:val="000000" w:themeColor="text1"/>
                <w:kern w:val="0"/>
                <w:sz w:val="36"/>
                <w:szCs w:val="36"/>
                <w:lang w:bidi="ar-EG"/>
                <w14:ligatures w14:val="none"/>
              </w:rPr>
              <w:t>Dr. Fayez Jarad</w:t>
            </w:r>
          </w:p>
          <w:p w14:paraId="1CAF5596" w14:textId="77777777" w:rsidR="00810824" w:rsidRDefault="00810824" w:rsidP="0081082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13AA3F68" w14:textId="77777777" w:rsidR="00810824" w:rsidRDefault="00810824" w:rsidP="0081082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0F259C79" w14:textId="77777777" w:rsidR="00810824" w:rsidRDefault="00810824" w:rsidP="0081082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11702BF5" w14:textId="77777777" w:rsidR="00810824" w:rsidRPr="004866BF" w:rsidRDefault="00810824" w:rsidP="00810824">
            <w:pPr>
              <w:bidi w:val="0"/>
              <w:spacing w:before="100" w:beforeAutospacing="1" w:after="100" w:afterAutospacing="1" w:line="276" w:lineRule="auto"/>
              <w:rPr>
                <w:rFonts w:asciiTheme="majorBidi" w:eastAsia="Calibri" w:hAnsiTheme="majorBidi" w:cstheme="majorBidi"/>
                <w:b/>
                <w:bCs/>
                <w:color w:val="000000" w:themeColor="text1"/>
                <w:kern w:val="0"/>
                <w:sz w:val="36"/>
                <w:szCs w:val="36"/>
                <w:lang w:bidi="ar-EG"/>
                <w14:ligatures w14:val="none"/>
              </w:rPr>
            </w:pPr>
          </w:p>
        </w:tc>
      </w:tr>
    </w:tbl>
    <w:p w14:paraId="6E52896B" w14:textId="75665753" w:rsidR="009125CE" w:rsidRPr="00810824" w:rsidRDefault="00AA4A10" w:rsidP="00810824">
      <w:pPr>
        <w:bidi w:val="0"/>
        <w:spacing w:before="100" w:beforeAutospacing="1" w:after="100" w:afterAutospacing="1" w:line="276" w:lineRule="auto"/>
        <w:jc w:val="center"/>
        <w:rPr>
          <w:rFonts w:asciiTheme="majorBidi" w:hAnsiTheme="majorBidi" w:cstheme="majorBidi"/>
          <w:color w:val="000000" w:themeColor="text1"/>
          <w:sz w:val="36"/>
          <w:szCs w:val="36"/>
        </w:rPr>
      </w:pPr>
      <w:r w:rsidRPr="004866BF">
        <w:rPr>
          <w:rFonts w:asciiTheme="majorBidi" w:eastAsia="Calibri" w:hAnsiTheme="majorBidi" w:cstheme="majorBidi"/>
          <w:color w:val="000000" w:themeColor="text1"/>
          <w:kern w:val="0"/>
          <w:sz w:val="36"/>
          <w:szCs w:val="36"/>
          <w:rtl/>
          <w:lang w:bidi="ar-EG"/>
          <w14:ligatures w14:val="none"/>
        </w:rPr>
        <w:t>1448 – 2026</w:t>
      </w:r>
    </w:p>
    <w:sectPr w:rsidR="009125CE" w:rsidRPr="00810824" w:rsidSect="00C02452">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7FB0755" w14:textId="77777777" w:rsidR="00D576A1" w:rsidRDefault="00D576A1" w:rsidP="009125CE">
      <w:pPr>
        <w:spacing w:after="0" w:line="240" w:lineRule="auto"/>
      </w:pPr>
      <w:r>
        <w:separator/>
      </w:r>
    </w:p>
  </w:endnote>
  <w:endnote w:type="continuationSeparator" w:id="0">
    <w:p w14:paraId="74B5B694" w14:textId="77777777" w:rsidR="00D576A1" w:rsidRDefault="00D576A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298496851"/>
      <w:docPartObj>
        <w:docPartGallery w:val="Page Numbers (Bottom of Page)"/>
        <w:docPartUnique/>
      </w:docPartObj>
    </w:sdtPr>
    <w:sdtEndPr>
      <w:rPr>
        <w:rFonts w:ascii="Simplified Arabic" w:hAnsi="Simplified Arabic" w:cs="Simplified Arabic"/>
        <w:b/>
        <w:bCs/>
        <w:noProof/>
        <w:sz w:val="24"/>
        <w:szCs w:val="24"/>
      </w:rPr>
    </w:sdtEndPr>
    <w:sdtContent>
      <w:p w14:paraId="09E0D17A" w14:textId="33951C04" w:rsidR="00C02452" w:rsidRDefault="00C02452">
        <w:pPr>
          <w:pStyle w:val="Footer"/>
          <w:jc w:val="center"/>
        </w:pPr>
      </w:p>
      <w:p w14:paraId="13047AE1" w14:textId="2028460D" w:rsidR="00C02452" w:rsidRPr="00C02452" w:rsidRDefault="00000000" w:rsidP="00C02452">
        <w:pPr>
          <w:pStyle w:val="Footer"/>
          <w:jc w:val="center"/>
          <w:rPr>
            <w:rFonts w:ascii="Simplified Arabic" w:hAnsi="Simplified Arabic" w:cs="Simplified Arabic"/>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736780823"/>
      <w:docPartObj>
        <w:docPartGallery w:val="Page Numbers (Bottom of Page)"/>
        <w:docPartUnique/>
      </w:docPartObj>
    </w:sdtPr>
    <w:sdtEndPr>
      <w:rPr>
        <w:rFonts w:ascii="Simplified Arabic" w:hAnsi="Simplified Arabic" w:cs="Simplified Arabic"/>
        <w:b/>
        <w:bCs/>
        <w:noProof/>
        <w:sz w:val="24"/>
        <w:szCs w:val="24"/>
      </w:rPr>
    </w:sdtEndPr>
    <w:sdtContent>
      <w:p w14:paraId="54FF2B03" w14:textId="77777777" w:rsidR="00C02452" w:rsidRDefault="00C02452">
        <w:pPr>
          <w:pStyle w:val="Footer"/>
          <w:jc w:val="center"/>
        </w:pPr>
        <w:r>
          <w:rPr>
            <w:noProof/>
          </w:rPr>
          <mc:AlternateContent>
            <mc:Choice Requires="wps">
              <w:drawing>
                <wp:inline distT="0" distB="0" distL="0" distR="0" wp14:anchorId="1D1FB2BB" wp14:editId="641863A2">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A2B9C28"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5C21F0CC" w14:textId="77777777" w:rsidR="00C02452" w:rsidRPr="00C02452" w:rsidRDefault="00C02452" w:rsidP="00C02452">
        <w:pPr>
          <w:pStyle w:val="Footer"/>
          <w:jc w:val="center"/>
          <w:rPr>
            <w:rFonts w:ascii="Simplified Arabic" w:hAnsi="Simplified Arabic" w:cs="Simplified Arabic"/>
            <w:b/>
            <w:bCs/>
            <w:sz w:val="24"/>
            <w:szCs w:val="24"/>
          </w:rPr>
        </w:pPr>
        <w:r w:rsidRPr="00C02452">
          <w:rPr>
            <w:rFonts w:ascii="Simplified Arabic" w:hAnsi="Simplified Arabic" w:cs="Simplified Arabic"/>
            <w:b/>
            <w:bCs/>
            <w:sz w:val="24"/>
            <w:szCs w:val="24"/>
          </w:rPr>
          <w:fldChar w:fldCharType="begin"/>
        </w:r>
        <w:r w:rsidRPr="00C02452">
          <w:rPr>
            <w:rFonts w:ascii="Simplified Arabic" w:hAnsi="Simplified Arabic" w:cs="Simplified Arabic"/>
            <w:b/>
            <w:bCs/>
            <w:sz w:val="24"/>
            <w:szCs w:val="24"/>
          </w:rPr>
          <w:instrText xml:space="preserve"> PAGE    \* MERGEFORMAT </w:instrText>
        </w:r>
        <w:r w:rsidRPr="00C02452">
          <w:rPr>
            <w:rFonts w:ascii="Simplified Arabic" w:hAnsi="Simplified Arabic" w:cs="Simplified Arabic"/>
            <w:b/>
            <w:bCs/>
            <w:sz w:val="24"/>
            <w:szCs w:val="24"/>
          </w:rPr>
          <w:fldChar w:fldCharType="separate"/>
        </w:r>
        <w:r w:rsidR="006D449F">
          <w:rPr>
            <w:rFonts w:ascii="Simplified Arabic" w:hAnsi="Simplified Arabic" w:cs="Simplified Arabic"/>
            <w:b/>
            <w:bCs/>
            <w:noProof/>
            <w:sz w:val="24"/>
            <w:szCs w:val="24"/>
            <w:rtl/>
          </w:rPr>
          <w:t>41</w:t>
        </w:r>
        <w:r w:rsidRPr="00C02452">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0F13AA" w14:textId="70C8AFC4" w:rsidR="00AA4A10" w:rsidRPr="00C02452" w:rsidRDefault="00AA4A10" w:rsidP="00AA4A10">
    <w:pPr>
      <w:pStyle w:val="Footer"/>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2C0727D" w14:textId="77777777" w:rsidR="00D576A1" w:rsidRDefault="00D576A1" w:rsidP="009125CE">
      <w:pPr>
        <w:spacing w:after="0" w:line="240" w:lineRule="auto"/>
      </w:pPr>
      <w:r>
        <w:separator/>
      </w:r>
    </w:p>
  </w:footnote>
  <w:footnote w:type="continuationSeparator" w:id="0">
    <w:p w14:paraId="5557D93A" w14:textId="77777777" w:rsidR="00D576A1" w:rsidRDefault="00D576A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1026FB"/>
    <w:multiLevelType w:val="multilevel"/>
    <w:tmpl w:val="2BEAF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80355F"/>
    <w:multiLevelType w:val="hybridMultilevel"/>
    <w:tmpl w:val="889405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974EB9"/>
    <w:multiLevelType w:val="multilevel"/>
    <w:tmpl w:val="C21AF7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0D18A0"/>
    <w:multiLevelType w:val="multilevel"/>
    <w:tmpl w:val="F2A8B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F1270B"/>
    <w:multiLevelType w:val="hybridMultilevel"/>
    <w:tmpl w:val="2CF4F71E"/>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9A6728"/>
    <w:multiLevelType w:val="multilevel"/>
    <w:tmpl w:val="7CC6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B47B86"/>
    <w:multiLevelType w:val="multilevel"/>
    <w:tmpl w:val="3FB0C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DF0FB6"/>
    <w:multiLevelType w:val="multilevel"/>
    <w:tmpl w:val="C21AF7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BD63EE"/>
    <w:multiLevelType w:val="multilevel"/>
    <w:tmpl w:val="C21AF7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E054A4"/>
    <w:multiLevelType w:val="hybridMultilevel"/>
    <w:tmpl w:val="DB2A92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592417"/>
    <w:multiLevelType w:val="hybridMultilevel"/>
    <w:tmpl w:val="7C2E52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DEA5D7B"/>
    <w:multiLevelType w:val="multilevel"/>
    <w:tmpl w:val="C21AF7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66414D"/>
    <w:multiLevelType w:val="hybridMultilevel"/>
    <w:tmpl w:val="D6CE49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F750EB3"/>
    <w:multiLevelType w:val="hybridMultilevel"/>
    <w:tmpl w:val="7D7A4AF2"/>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730911"/>
    <w:multiLevelType w:val="hybridMultilevel"/>
    <w:tmpl w:val="F2A420F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9031B3B"/>
    <w:multiLevelType w:val="multilevel"/>
    <w:tmpl w:val="99CE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1E0118"/>
    <w:multiLevelType w:val="multilevel"/>
    <w:tmpl w:val="33D6F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9" w15:restartNumberingAfterBreak="0">
    <w:nsid w:val="6FAC5641"/>
    <w:multiLevelType w:val="hybridMultilevel"/>
    <w:tmpl w:val="F118A73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25151C0"/>
    <w:multiLevelType w:val="hybridMultilevel"/>
    <w:tmpl w:val="CDD04D1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4F6466A"/>
    <w:multiLevelType w:val="hybridMultilevel"/>
    <w:tmpl w:val="456EE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FF1519"/>
    <w:multiLevelType w:val="hybridMultilevel"/>
    <w:tmpl w:val="14FC79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AD5190B"/>
    <w:multiLevelType w:val="hybridMultilevel"/>
    <w:tmpl w:val="F4B2E038"/>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063727"/>
    <w:multiLevelType w:val="multilevel"/>
    <w:tmpl w:val="20F2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273483"/>
    <w:multiLevelType w:val="hybridMultilevel"/>
    <w:tmpl w:val="967A57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C4947BC"/>
    <w:multiLevelType w:val="hybridMultilevel"/>
    <w:tmpl w:val="81948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5852007">
    <w:abstractNumId w:val="19"/>
  </w:num>
  <w:num w:numId="2" w16cid:durableId="29962545">
    <w:abstractNumId w:val="3"/>
  </w:num>
  <w:num w:numId="3" w16cid:durableId="609052783">
    <w:abstractNumId w:val="5"/>
  </w:num>
  <w:num w:numId="4" w16cid:durableId="1317413097">
    <w:abstractNumId w:val="0"/>
  </w:num>
  <w:num w:numId="5" w16cid:durableId="1336835662">
    <w:abstractNumId w:val="2"/>
  </w:num>
  <w:num w:numId="6" w16cid:durableId="918247141">
    <w:abstractNumId w:val="7"/>
  </w:num>
  <w:num w:numId="7" w16cid:durableId="636644689">
    <w:abstractNumId w:val="21"/>
  </w:num>
  <w:num w:numId="8" w16cid:durableId="1242106118">
    <w:abstractNumId w:val="26"/>
  </w:num>
  <w:num w:numId="9" w16cid:durableId="1880044264">
    <w:abstractNumId w:val="24"/>
  </w:num>
  <w:num w:numId="10" w16cid:durableId="1461413367">
    <w:abstractNumId w:val="17"/>
  </w:num>
  <w:num w:numId="11" w16cid:durableId="42678905">
    <w:abstractNumId w:val="16"/>
  </w:num>
  <w:num w:numId="12" w16cid:durableId="1370446732">
    <w:abstractNumId w:val="10"/>
  </w:num>
  <w:num w:numId="13" w16cid:durableId="1171406083">
    <w:abstractNumId w:val="1"/>
  </w:num>
  <w:num w:numId="14" w16cid:durableId="1838882685">
    <w:abstractNumId w:val="11"/>
  </w:num>
  <w:num w:numId="15" w16cid:durableId="2013022332">
    <w:abstractNumId w:val="8"/>
  </w:num>
  <w:num w:numId="16" w16cid:durableId="2097971165">
    <w:abstractNumId w:val="9"/>
  </w:num>
  <w:num w:numId="17" w16cid:durableId="386612766">
    <w:abstractNumId w:val="12"/>
  </w:num>
  <w:num w:numId="18" w16cid:durableId="1034385113">
    <w:abstractNumId w:val="14"/>
  </w:num>
  <w:num w:numId="19" w16cid:durableId="144931225">
    <w:abstractNumId w:val="23"/>
  </w:num>
  <w:num w:numId="20" w16cid:durableId="1799444577">
    <w:abstractNumId w:val="4"/>
  </w:num>
  <w:num w:numId="21" w16cid:durableId="1924794962">
    <w:abstractNumId w:val="22"/>
  </w:num>
  <w:num w:numId="22" w16cid:durableId="63602539">
    <w:abstractNumId w:val="15"/>
  </w:num>
  <w:num w:numId="23" w16cid:durableId="1021315766">
    <w:abstractNumId w:val="20"/>
  </w:num>
  <w:num w:numId="24" w16cid:durableId="1936086825">
    <w:abstractNumId w:val="25"/>
  </w:num>
  <w:num w:numId="25" w16cid:durableId="1122263118">
    <w:abstractNumId w:val="13"/>
  </w:num>
  <w:num w:numId="26" w16cid:durableId="817456949">
    <w:abstractNumId w:val="6"/>
  </w:num>
  <w:num w:numId="27" w16cid:durableId="1345547413">
    <w:abstractNumId w:val="18"/>
  </w:num>
  <w:numIdMacAtCleanup w:val="1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2AB0"/>
    <w:rsid w:val="00053122"/>
    <w:rsid w:val="000543EF"/>
    <w:rsid w:val="000602CA"/>
    <w:rsid w:val="000610C9"/>
    <w:rsid w:val="00061FA2"/>
    <w:rsid w:val="00064FF1"/>
    <w:rsid w:val="00067938"/>
    <w:rsid w:val="0007370A"/>
    <w:rsid w:val="000769E1"/>
    <w:rsid w:val="000837BE"/>
    <w:rsid w:val="000842EB"/>
    <w:rsid w:val="00092C10"/>
    <w:rsid w:val="00093973"/>
    <w:rsid w:val="00094E98"/>
    <w:rsid w:val="000A06E6"/>
    <w:rsid w:val="000A2ED4"/>
    <w:rsid w:val="000A2F2C"/>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05810"/>
    <w:rsid w:val="0021718D"/>
    <w:rsid w:val="00217ADA"/>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0D"/>
    <w:rsid w:val="002E36BC"/>
    <w:rsid w:val="002E4629"/>
    <w:rsid w:val="002F54F4"/>
    <w:rsid w:val="002F5FA3"/>
    <w:rsid w:val="00301731"/>
    <w:rsid w:val="00303BF8"/>
    <w:rsid w:val="00304304"/>
    <w:rsid w:val="00306594"/>
    <w:rsid w:val="0031075C"/>
    <w:rsid w:val="00310B47"/>
    <w:rsid w:val="00311651"/>
    <w:rsid w:val="00314324"/>
    <w:rsid w:val="00323FD3"/>
    <w:rsid w:val="00333A26"/>
    <w:rsid w:val="0033775D"/>
    <w:rsid w:val="00341565"/>
    <w:rsid w:val="0034173E"/>
    <w:rsid w:val="00341900"/>
    <w:rsid w:val="00343EE8"/>
    <w:rsid w:val="00347ADE"/>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87DE1"/>
    <w:rsid w:val="00396510"/>
    <w:rsid w:val="003A5312"/>
    <w:rsid w:val="003A757C"/>
    <w:rsid w:val="003B30A9"/>
    <w:rsid w:val="003B45FF"/>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215C5"/>
    <w:rsid w:val="004260FE"/>
    <w:rsid w:val="00433FD4"/>
    <w:rsid w:val="0043649D"/>
    <w:rsid w:val="00446ED1"/>
    <w:rsid w:val="004475C8"/>
    <w:rsid w:val="00450CB3"/>
    <w:rsid w:val="004613E8"/>
    <w:rsid w:val="00461DB2"/>
    <w:rsid w:val="00464637"/>
    <w:rsid w:val="00464AF1"/>
    <w:rsid w:val="004708AB"/>
    <w:rsid w:val="00470A2D"/>
    <w:rsid w:val="00473631"/>
    <w:rsid w:val="00474A1C"/>
    <w:rsid w:val="00475C10"/>
    <w:rsid w:val="00476ADB"/>
    <w:rsid w:val="0047707D"/>
    <w:rsid w:val="00482056"/>
    <w:rsid w:val="00482616"/>
    <w:rsid w:val="004866BF"/>
    <w:rsid w:val="00491EAB"/>
    <w:rsid w:val="004A035D"/>
    <w:rsid w:val="004A1755"/>
    <w:rsid w:val="004B118D"/>
    <w:rsid w:val="004B1EF3"/>
    <w:rsid w:val="004B352F"/>
    <w:rsid w:val="004C0303"/>
    <w:rsid w:val="004C3BAD"/>
    <w:rsid w:val="004C4331"/>
    <w:rsid w:val="004D23E7"/>
    <w:rsid w:val="004D6581"/>
    <w:rsid w:val="004D6B08"/>
    <w:rsid w:val="004E439C"/>
    <w:rsid w:val="004E4F78"/>
    <w:rsid w:val="004F1444"/>
    <w:rsid w:val="004F2475"/>
    <w:rsid w:val="004F3AF6"/>
    <w:rsid w:val="00513B3A"/>
    <w:rsid w:val="005146DA"/>
    <w:rsid w:val="0051585E"/>
    <w:rsid w:val="00522010"/>
    <w:rsid w:val="00523E13"/>
    <w:rsid w:val="0052581D"/>
    <w:rsid w:val="005423FA"/>
    <w:rsid w:val="00544E3F"/>
    <w:rsid w:val="00545455"/>
    <w:rsid w:val="005459E0"/>
    <w:rsid w:val="00545E45"/>
    <w:rsid w:val="00550EC8"/>
    <w:rsid w:val="005527F0"/>
    <w:rsid w:val="00557A05"/>
    <w:rsid w:val="00557B85"/>
    <w:rsid w:val="005632BD"/>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36F27"/>
    <w:rsid w:val="00642229"/>
    <w:rsid w:val="006450DB"/>
    <w:rsid w:val="00647482"/>
    <w:rsid w:val="0066147C"/>
    <w:rsid w:val="0066191A"/>
    <w:rsid w:val="00663FD3"/>
    <w:rsid w:val="00666183"/>
    <w:rsid w:val="00667140"/>
    <w:rsid w:val="006716C2"/>
    <w:rsid w:val="0068067A"/>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49F"/>
    <w:rsid w:val="006D4C88"/>
    <w:rsid w:val="006E4126"/>
    <w:rsid w:val="006E41F3"/>
    <w:rsid w:val="006E65A3"/>
    <w:rsid w:val="006F162C"/>
    <w:rsid w:val="006F29F1"/>
    <w:rsid w:val="0070333D"/>
    <w:rsid w:val="00705AF7"/>
    <w:rsid w:val="00706E7F"/>
    <w:rsid w:val="00714D8B"/>
    <w:rsid w:val="0071504C"/>
    <w:rsid w:val="007178EE"/>
    <w:rsid w:val="007301E5"/>
    <w:rsid w:val="00731DC0"/>
    <w:rsid w:val="007323CE"/>
    <w:rsid w:val="00734767"/>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93491"/>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0824"/>
    <w:rsid w:val="00811E32"/>
    <w:rsid w:val="008156EA"/>
    <w:rsid w:val="0081623B"/>
    <w:rsid w:val="00821534"/>
    <w:rsid w:val="0083081C"/>
    <w:rsid w:val="00831F14"/>
    <w:rsid w:val="008332E4"/>
    <w:rsid w:val="00833D98"/>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3FA"/>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753B"/>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1436"/>
    <w:rsid w:val="009E2C47"/>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29FA"/>
    <w:rsid w:val="00A23992"/>
    <w:rsid w:val="00A23F5C"/>
    <w:rsid w:val="00A2564F"/>
    <w:rsid w:val="00A30D10"/>
    <w:rsid w:val="00A31A25"/>
    <w:rsid w:val="00A348C1"/>
    <w:rsid w:val="00A3547E"/>
    <w:rsid w:val="00A35B21"/>
    <w:rsid w:val="00A40ADE"/>
    <w:rsid w:val="00A44EBE"/>
    <w:rsid w:val="00A4659A"/>
    <w:rsid w:val="00A50745"/>
    <w:rsid w:val="00A548D8"/>
    <w:rsid w:val="00A55EF3"/>
    <w:rsid w:val="00A57461"/>
    <w:rsid w:val="00A65828"/>
    <w:rsid w:val="00A71BCE"/>
    <w:rsid w:val="00A74F76"/>
    <w:rsid w:val="00A823EC"/>
    <w:rsid w:val="00A840CF"/>
    <w:rsid w:val="00A86E11"/>
    <w:rsid w:val="00A97576"/>
    <w:rsid w:val="00AA005F"/>
    <w:rsid w:val="00AA4A10"/>
    <w:rsid w:val="00AA79E9"/>
    <w:rsid w:val="00AB0A70"/>
    <w:rsid w:val="00AB3E18"/>
    <w:rsid w:val="00AB41F1"/>
    <w:rsid w:val="00AB5A3B"/>
    <w:rsid w:val="00AB6A7C"/>
    <w:rsid w:val="00AD0E94"/>
    <w:rsid w:val="00AD722B"/>
    <w:rsid w:val="00AE3C7A"/>
    <w:rsid w:val="00AE69D0"/>
    <w:rsid w:val="00AF24F6"/>
    <w:rsid w:val="00AF31BE"/>
    <w:rsid w:val="00AF46DF"/>
    <w:rsid w:val="00B04BD9"/>
    <w:rsid w:val="00B05F9C"/>
    <w:rsid w:val="00B134E7"/>
    <w:rsid w:val="00B15A9E"/>
    <w:rsid w:val="00B16D15"/>
    <w:rsid w:val="00B346DF"/>
    <w:rsid w:val="00B36FBC"/>
    <w:rsid w:val="00B4018A"/>
    <w:rsid w:val="00B4269F"/>
    <w:rsid w:val="00B44182"/>
    <w:rsid w:val="00B467CC"/>
    <w:rsid w:val="00B5443B"/>
    <w:rsid w:val="00B5614E"/>
    <w:rsid w:val="00B570EB"/>
    <w:rsid w:val="00B57582"/>
    <w:rsid w:val="00B63B0F"/>
    <w:rsid w:val="00B653F7"/>
    <w:rsid w:val="00B72304"/>
    <w:rsid w:val="00B72A08"/>
    <w:rsid w:val="00B74A10"/>
    <w:rsid w:val="00B74FF2"/>
    <w:rsid w:val="00B75E84"/>
    <w:rsid w:val="00B7678A"/>
    <w:rsid w:val="00B801FA"/>
    <w:rsid w:val="00B9286F"/>
    <w:rsid w:val="00BA0E1B"/>
    <w:rsid w:val="00BA1572"/>
    <w:rsid w:val="00BA3D6A"/>
    <w:rsid w:val="00BA4778"/>
    <w:rsid w:val="00BA5817"/>
    <w:rsid w:val="00BB1144"/>
    <w:rsid w:val="00BB3514"/>
    <w:rsid w:val="00BC24EE"/>
    <w:rsid w:val="00BC454D"/>
    <w:rsid w:val="00BC61BD"/>
    <w:rsid w:val="00BD03D1"/>
    <w:rsid w:val="00BD590D"/>
    <w:rsid w:val="00BE2024"/>
    <w:rsid w:val="00BF20EA"/>
    <w:rsid w:val="00BF35D5"/>
    <w:rsid w:val="00C01C2B"/>
    <w:rsid w:val="00C01E57"/>
    <w:rsid w:val="00C02452"/>
    <w:rsid w:val="00C032FE"/>
    <w:rsid w:val="00C1175F"/>
    <w:rsid w:val="00C14286"/>
    <w:rsid w:val="00C16713"/>
    <w:rsid w:val="00C16D65"/>
    <w:rsid w:val="00C20A1C"/>
    <w:rsid w:val="00C23616"/>
    <w:rsid w:val="00C23A70"/>
    <w:rsid w:val="00C32E49"/>
    <w:rsid w:val="00C35B07"/>
    <w:rsid w:val="00C35BBA"/>
    <w:rsid w:val="00C43D61"/>
    <w:rsid w:val="00C45767"/>
    <w:rsid w:val="00C46354"/>
    <w:rsid w:val="00C6142A"/>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CEC"/>
    <w:rsid w:val="00D043D4"/>
    <w:rsid w:val="00D07D1F"/>
    <w:rsid w:val="00D1053F"/>
    <w:rsid w:val="00D10F38"/>
    <w:rsid w:val="00D1454F"/>
    <w:rsid w:val="00D16AF6"/>
    <w:rsid w:val="00D216C5"/>
    <w:rsid w:val="00D22171"/>
    <w:rsid w:val="00D274B5"/>
    <w:rsid w:val="00D27AED"/>
    <w:rsid w:val="00D30845"/>
    <w:rsid w:val="00D3210F"/>
    <w:rsid w:val="00D32470"/>
    <w:rsid w:val="00D32C83"/>
    <w:rsid w:val="00D417B5"/>
    <w:rsid w:val="00D47EDC"/>
    <w:rsid w:val="00D5653F"/>
    <w:rsid w:val="00D576A1"/>
    <w:rsid w:val="00D57D04"/>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304F"/>
    <w:rsid w:val="00F450D5"/>
    <w:rsid w:val="00F510D4"/>
    <w:rsid w:val="00F540A1"/>
    <w:rsid w:val="00F546CE"/>
    <w:rsid w:val="00F563E2"/>
    <w:rsid w:val="00F62EF8"/>
    <w:rsid w:val="00F642A4"/>
    <w:rsid w:val="00F66109"/>
    <w:rsid w:val="00F72CBB"/>
    <w:rsid w:val="00F733B2"/>
    <w:rsid w:val="00F76D8F"/>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2D9"/>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A65828"/>
    <w:rPr>
      <w:i/>
      <w:iCs/>
    </w:rPr>
  </w:style>
  <w:style w:type="paragraph" w:styleId="TOC3">
    <w:name w:val="toc 3"/>
    <w:basedOn w:val="Normal"/>
    <w:next w:val="Normal"/>
    <w:autoRedefine/>
    <w:uiPriority w:val="39"/>
    <w:unhideWhenUsed/>
    <w:rsid w:val="00714D8B"/>
    <w:pPr>
      <w:spacing w:after="100"/>
      <w:ind w:left="440"/>
    </w:pPr>
  </w:style>
  <w:style w:type="table" w:styleId="PlainTable5">
    <w:name w:val="Plain Table 5"/>
    <w:basedOn w:val="TableNormal"/>
    <w:uiPriority w:val="45"/>
    <w:rsid w:val="00C0245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6">
    <w:name w:val="Grid Table 6 Colorful Accent 6"/>
    <w:basedOn w:val="TableNormal"/>
    <w:uiPriority w:val="51"/>
    <w:rsid w:val="00C02452"/>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5">
    <w:name w:val="Grid Table 6 Colorful Accent 5"/>
    <w:basedOn w:val="TableNormal"/>
    <w:uiPriority w:val="51"/>
    <w:rsid w:val="00A229FA"/>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AA4A10"/>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8333735">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99489968">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450481">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36136806">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469947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2625829">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1936238">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7256613">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1209654">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4622207">
      <w:bodyDiv w:val="1"/>
      <w:marLeft w:val="0"/>
      <w:marRight w:val="0"/>
      <w:marTop w:val="0"/>
      <w:marBottom w:val="0"/>
      <w:divBdr>
        <w:top w:val="none" w:sz="0" w:space="0" w:color="auto"/>
        <w:left w:val="none" w:sz="0" w:space="0" w:color="auto"/>
        <w:bottom w:val="none" w:sz="0" w:space="0" w:color="auto"/>
        <w:right w:val="none" w:sz="0" w:space="0" w:color="auto"/>
      </w:divBdr>
      <w:divsChild>
        <w:div w:id="1528904403">
          <w:marLeft w:val="0"/>
          <w:marRight w:val="0"/>
          <w:marTop w:val="0"/>
          <w:marBottom w:val="0"/>
          <w:divBdr>
            <w:top w:val="none" w:sz="0" w:space="0" w:color="auto"/>
            <w:left w:val="none" w:sz="0" w:space="0" w:color="auto"/>
            <w:bottom w:val="none" w:sz="0" w:space="0" w:color="auto"/>
            <w:right w:val="none" w:sz="0" w:space="0" w:color="auto"/>
          </w:divBdr>
        </w:div>
        <w:div w:id="242103017">
          <w:marLeft w:val="0"/>
          <w:marRight w:val="0"/>
          <w:marTop w:val="0"/>
          <w:marBottom w:val="0"/>
          <w:divBdr>
            <w:top w:val="none" w:sz="0" w:space="0" w:color="auto"/>
            <w:left w:val="none" w:sz="0" w:space="0" w:color="auto"/>
            <w:bottom w:val="none" w:sz="0" w:space="0" w:color="auto"/>
            <w:right w:val="none" w:sz="0" w:space="0" w:color="auto"/>
          </w:divBdr>
        </w:div>
        <w:div w:id="1219584533">
          <w:marLeft w:val="0"/>
          <w:marRight w:val="0"/>
          <w:marTop w:val="0"/>
          <w:marBottom w:val="0"/>
          <w:divBdr>
            <w:top w:val="none" w:sz="0" w:space="0" w:color="auto"/>
            <w:left w:val="none" w:sz="0" w:space="0" w:color="auto"/>
            <w:bottom w:val="none" w:sz="0" w:space="0" w:color="auto"/>
            <w:right w:val="none" w:sz="0" w:space="0" w:color="auto"/>
          </w:divBdr>
        </w:div>
      </w:divsChild>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889211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39933587">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2858284">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394220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5451979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58562892">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09BD499-2E90-4EBE-9630-726D0F143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44</Pages>
  <Words>11617</Words>
  <Characters>66453</Characters>
  <Application>Microsoft Office Word</Application>
  <DocSecurity>0</DocSecurity>
  <Lines>1126</Lines>
  <Paragraphs>392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Reem Aljubran</cp:lastModifiedBy>
  <cp:revision>4</cp:revision>
  <cp:lastPrinted>2026-06-27T00:49:00Z</cp:lastPrinted>
  <dcterms:created xsi:type="dcterms:W3CDTF">2026-06-27T00:48:00Z</dcterms:created>
  <dcterms:modified xsi:type="dcterms:W3CDTF">2026-07-07T17:56:00Z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