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Pr>
        <w:jc w:val="center"/>
      </w:pPr>
      <w:r>
        <w:rPr>
          <w:rFonts w:ascii="Tinos" w:hAnsi="Tinos" w:eastAsia="Tinos"/>
          <w:b/>
          <w:sz w:val="36"/>
        </w:rPr>
        <w:t>Midocean University</w:t>
      </w:r>
    </w:p>
    <w:p>
      <w:pPr>
        <w:jc w:val="center"/>
      </w:pPr>
      <w:r>
        <w:rPr>
          <w:rFonts w:ascii="Tinos" w:hAnsi="Tinos" w:eastAsia="Tinos"/>
          <w:b/>
          <w:sz w:val="30"/>
        </w:rPr>
        <w:t>College of Business Administration</w:t>
      </w:r>
    </w:p>
    <w:p>
      <w:pPr>
        <w:jc w:val="center"/>
      </w:pPr>
      <w:r>
        <w:rPr>
          <w:rFonts w:ascii="Tinos" w:hAnsi="Tinos" w:eastAsia="Tinos"/>
          <w:sz w:val="27"/>
        </w:rPr>
        <w:t>MBA Program - Healthcare Management</w:t>
      </w:r>
    </w:p>
    <w:p/>
    <w:p/>
    <w:p/>
    <w:p>
      <w:pPr>
        <w:jc w:val="center"/>
      </w:pPr>
      <w:r>
        <w:rPr>
          <w:rFonts w:ascii="Tinos" w:hAnsi="Tinos" w:eastAsia="Tinos"/>
          <w:b/>
          <w:sz w:val="40"/>
        </w:rPr>
        <w:t>The Effect of Clinical Resource Optimization on Cost Efficiency</w:t>
        <w:br/>
        <w:t>in Intensive Care Units:</w:t>
      </w:r>
    </w:p>
    <w:p>
      <w:pPr>
        <w:jc w:val="center"/>
      </w:pPr>
      <w:r>
        <w:rPr>
          <w:rFonts w:ascii="Tinos" w:hAnsi="Tinos" w:eastAsia="Tinos"/>
          <w:b/>
          <w:sz w:val="32"/>
        </w:rPr>
        <w:t>A Field Study in Saudi Public Hospitals</w:t>
      </w:r>
    </w:p>
    <w:p>
      <w:pPr>
        <w:jc w:val="center"/>
      </w:pPr>
      <w:r>
        <w:rPr>
          <w:rFonts w:ascii="Tinos" w:hAnsi="Tinos" w:eastAsia="Tinos"/>
          <w:i/>
          <w:color w:val="555555"/>
          <w:sz w:val="25"/>
        </w:rPr>
        <w:t>Secondary Analysis of Published Saudi Field Evidence</w:t>
      </w:r>
    </w:p>
    <w:p/>
    <w:p/>
    <w:p>
      <w:pPr>
        <w:jc w:val="center"/>
      </w:pPr>
      <w:r>
        <w:rPr>
          <w:rFonts w:ascii="Tinos" w:hAnsi="Tinos" w:eastAsia="Tinos"/>
          <w:sz w:val="24"/>
        </w:rPr>
        <w:t>Final Graduation Project Submitted in Partial Fulfillment of the Requirements</w:t>
        <w:br/>
        <w:t>for the Degree of Master of Business Administration</w:t>
      </w:r>
    </w:p>
    <w:p/>
    <w:p/>
    <w:p>
      <w:pPr>
        <w:jc w:val="center"/>
      </w:pPr>
      <w:r>
        <w:rPr>
          <w:rFonts w:ascii="Tinos" w:hAnsi="Tinos" w:eastAsia="Tinos"/>
          <w:b/>
          <w:sz w:val="24"/>
        </w:rPr>
        <w:t>Prepared by: Mohammed Almesned</w:t>
      </w:r>
    </w:p>
    <w:p>
      <w:pPr>
        <w:jc w:val="center"/>
      </w:pPr>
      <w:r>
        <w:rPr>
          <w:rFonts w:ascii="Tinos" w:hAnsi="Tinos" w:eastAsia="Tinos"/>
          <w:b w:val="0"/>
          <w:sz w:val="24"/>
        </w:rPr>
        <w:t>Student ID: 253002045</w:t>
      </w:r>
    </w:p>
    <w:p>
      <w:pPr>
        <w:jc w:val="center"/>
      </w:pPr>
      <w:r>
        <w:rPr>
          <w:rFonts w:ascii="Tinos" w:hAnsi="Tinos" w:eastAsia="Tinos"/>
          <w:b/>
          <w:sz w:val="24"/>
        </w:rPr>
        <w:t>Supervised by: Dr. Fayez Jrad</w:t>
      </w:r>
    </w:p>
    <w:p>
      <w:pPr>
        <w:jc w:val="center"/>
      </w:pPr>
      <w:r>
        <w:rPr>
          <w:rFonts w:ascii="Tinos" w:hAnsi="Tinos" w:eastAsia="Tinos"/>
          <w:b w:val="0"/>
          <w:sz w:val="24"/>
        </w:rPr>
        <w:t>Academic Year: 2025-2026</w:t>
      </w:r>
    </w:p>
    <w:p>
      <w:pPr>
        <w:jc w:val="center"/>
      </w:pPr>
      <w:r>
        <w:rPr>
          <w:rFonts w:ascii="Tinos" w:hAnsi="Tinos" w:eastAsia="Tinos"/>
          <w:b w:val="0"/>
          <w:sz w:val="24"/>
        </w:rPr>
        <w:t>Second Semester</w:t>
      </w:r>
    </w:p>
    <w:p>
      <w:r>
        <w:br w:type="page"/>
      </w:r>
    </w:p>
    <w:p/>
    <w:p/>
    <w:p>
      <w:pPr>
        <w:spacing w:line="336" w:lineRule="auto" w:after="100"/>
        <w:jc w:val="center"/>
        <w:bidi w:val="1"/>
      </w:pPr>
      <w:r>
        <w:rPr>
          <w:rFonts w:ascii="Amiri" w:hAnsi="Amiri" w:eastAsia="Amiri"/>
          <w:b/>
          <w:sz w:val="40"/>
        </w:rPr>
        <w:t>جامعة ميدأوشن</w:t>
      </w:r>
    </w:p>
    <w:p>
      <w:pPr>
        <w:spacing w:line="336" w:lineRule="auto" w:after="100"/>
        <w:jc w:val="center"/>
        <w:bidi w:val="1"/>
      </w:pPr>
      <w:r>
        <w:rPr>
          <w:rFonts w:ascii="Amiri" w:hAnsi="Amiri" w:eastAsia="Amiri"/>
          <w:b/>
          <w:sz w:val="34"/>
        </w:rPr>
        <w:t>كلية إدارة الأعمال</w:t>
      </w:r>
    </w:p>
    <w:p>
      <w:pPr>
        <w:spacing w:line="336" w:lineRule="auto" w:after="100"/>
        <w:jc w:val="center"/>
        <w:bidi w:val="1"/>
      </w:pPr>
      <w:r>
        <w:rPr>
          <w:rFonts w:ascii="Amiri" w:hAnsi="Amiri" w:eastAsia="Amiri"/>
          <w:b w:val="0"/>
          <w:sz w:val="29"/>
        </w:rPr>
        <w:t>برنامج ماجستير إدارة الأعمال - إدارة الرعاية الصحية</w:t>
      </w:r>
    </w:p>
    <w:p/>
    <w:p/>
    <w:p/>
    <w:p>
      <w:pPr>
        <w:spacing w:line="336" w:lineRule="auto" w:after="100"/>
        <w:jc w:val="center"/>
        <w:bidi w:val="1"/>
      </w:pPr>
      <w:r>
        <w:rPr>
          <w:rFonts w:ascii="Amiri" w:hAnsi="Amiri" w:eastAsia="Amiri"/>
          <w:b/>
          <w:sz w:val="42"/>
        </w:rPr>
        <w:t>أثر تحسين استخدام الموارد السريرية على كفاءة التكلفة</w:t>
        <w:br/>
        <w:t>في وحدات العناية المركزة</w:t>
      </w:r>
    </w:p>
    <w:p>
      <w:pPr>
        <w:spacing w:line="336" w:lineRule="auto" w:after="100"/>
        <w:jc w:val="center"/>
        <w:bidi w:val="1"/>
      </w:pPr>
      <w:r>
        <w:rPr>
          <w:rFonts w:ascii="Amiri" w:hAnsi="Amiri" w:eastAsia="Amiri"/>
          <w:b/>
          <w:sz w:val="32"/>
        </w:rPr>
        <w:t>دراسة ميدانية في المستشفيات الحكومية السعودية</w:t>
      </w:r>
    </w:p>
    <w:p>
      <w:pPr>
        <w:spacing w:line="336" w:lineRule="auto" w:after="100"/>
        <w:jc w:val="center"/>
        <w:bidi w:val="1"/>
      </w:pPr>
      <w:r>
        <w:rPr>
          <w:rFonts w:ascii="Amiri" w:hAnsi="Amiri" w:eastAsia="Amiri"/>
          <w:b w:val="0"/>
          <w:sz w:val="26"/>
        </w:rPr>
        <w:t>تحليل ثانوي لنتائج دراسات ميدانية سعودية منشورة</w:t>
      </w:r>
    </w:p>
    <w:p/>
    <w:p/>
    <w:p>
      <w:pPr>
        <w:spacing w:line="336" w:lineRule="auto" w:after="100"/>
        <w:jc w:val="center"/>
        <w:bidi w:val="1"/>
      </w:pPr>
      <w:r>
        <w:rPr>
          <w:rFonts w:ascii="Amiri" w:hAnsi="Amiri" w:eastAsia="Amiri"/>
          <w:b w:val="0"/>
          <w:sz w:val="28"/>
        </w:rPr>
        <w:t>مشروع تخرج نهائي مقدم استكمالاً لمتطلبات الحصول على درجة</w:t>
        <w:br/>
        <w:t>ماجستير إدارة الأعمال</w:t>
      </w:r>
    </w:p>
    <w:p/>
    <w:p/>
    <w:p>
      <w:pPr>
        <w:spacing w:line="336" w:lineRule="auto" w:after="100"/>
        <w:jc w:val="center"/>
        <w:bidi w:val="1"/>
      </w:pPr>
      <w:r>
        <w:rPr>
          <w:rFonts w:ascii="Amiri" w:hAnsi="Amiri" w:eastAsia="Amiri"/>
          <w:b/>
          <w:sz w:val="28"/>
        </w:rPr>
        <w:t>إعداد الطالب: محمد المسند</w:t>
      </w:r>
    </w:p>
    <w:p>
      <w:pPr>
        <w:spacing w:line="336" w:lineRule="auto" w:after="100"/>
        <w:jc w:val="center"/>
        <w:bidi w:val="1"/>
      </w:pPr>
      <w:r>
        <w:rPr>
          <w:rFonts w:ascii="Amiri" w:hAnsi="Amiri" w:eastAsia="Amiri"/>
          <w:b w:val="0"/>
          <w:sz w:val="28"/>
        </w:rPr>
        <w:t>الرقم الجامعي: 253002045</w:t>
      </w:r>
    </w:p>
    <w:p>
      <w:pPr>
        <w:spacing w:line="336" w:lineRule="auto" w:after="100"/>
        <w:jc w:val="center"/>
        <w:bidi w:val="1"/>
      </w:pPr>
      <w:r>
        <w:rPr>
          <w:rFonts w:ascii="Amiri" w:hAnsi="Amiri" w:eastAsia="Amiri"/>
          <w:b/>
          <w:sz w:val="28"/>
        </w:rPr>
        <w:t>إشراف: د. فايز جراد</w:t>
      </w:r>
    </w:p>
    <w:p>
      <w:pPr>
        <w:spacing w:line="336" w:lineRule="auto" w:after="100"/>
        <w:jc w:val="center"/>
        <w:bidi w:val="1"/>
      </w:pPr>
      <w:r>
        <w:rPr>
          <w:rFonts w:ascii="Amiri" w:hAnsi="Amiri" w:eastAsia="Amiri"/>
          <w:b w:val="0"/>
          <w:sz w:val="28"/>
        </w:rPr>
        <w:t>العام الدراسي: ٢٠٢٥-٢٠٢٦</w:t>
      </w:r>
    </w:p>
    <w:p>
      <w:pPr>
        <w:spacing w:line="336" w:lineRule="auto" w:after="100"/>
        <w:jc w:val="center"/>
        <w:bidi w:val="1"/>
      </w:pPr>
      <w:r>
        <w:rPr>
          <w:rFonts w:ascii="Amiri" w:hAnsi="Amiri" w:eastAsia="Amiri"/>
          <w:b w:val="0"/>
          <w:sz w:val="28"/>
        </w:rPr>
        <w:t>الفصل الدراسي الثاني</w:t>
      </w:r>
    </w:p>
    <w:p>
      <w:r>
        <w:br w:type="page"/>
      </w:r>
    </w:p>
    <w:p>
      <w:pPr>
        <w:pStyle w:val="Heading1"/>
      </w:pPr>
      <w:r>
        <w:t>Acknowledgments</w:t>
      </w:r>
    </w:p>
    <w:p>
      <w:pPr>
        <w:spacing w:line="312" w:lineRule="auto" w:after="100"/>
        <w:jc w:val="both"/>
      </w:pPr>
      <w:r>
        <w:rPr>
          <w:rFonts w:ascii="Tinos" w:hAnsi="Tinos" w:eastAsia="Tinos"/>
        </w:rPr>
        <w:t>I would like to thank my supervisor, Dr. Fayez Jrad, for his guidance and comments during this project. His feedback helped me keep the study focused on healthcare management and on the real work of intensive care units.</w:t>
      </w:r>
    </w:p>
    <w:p>
      <w:pPr>
        <w:spacing w:line="312" w:lineRule="auto" w:after="100"/>
        <w:jc w:val="both"/>
      </w:pPr>
      <w:r>
        <w:rPr>
          <w:rFonts w:ascii="Tinos" w:hAnsi="Tinos" w:eastAsia="Tinos"/>
        </w:rPr>
        <w:t>I also thank the Saudi researchers and healthcare teams whose published studies were used in this project. Their work made this analysis possible. Finally, I am grateful to my family for their patience and support during my MBA studies.</w:t>
      </w:r>
    </w:p>
    <w:p>
      <w:r>
        <w:br w:type="page"/>
      </w:r>
    </w:p>
    <w:p>
      <w:pPr>
        <w:pStyle w:val="Heading1"/>
      </w:pPr>
      <w:r>
        <w:t>Arabic Abstract</w:t>
      </w:r>
    </w:p>
    <w:p>
      <w:pPr>
        <w:spacing w:line="336" w:lineRule="auto" w:after="100"/>
        <w:jc w:val="center"/>
        <w:bidi w:val="1"/>
      </w:pPr>
      <w:r>
        <w:rPr>
          <w:rFonts w:ascii="Amiri" w:hAnsi="Amiri" w:eastAsia="Amiri"/>
          <w:b/>
          <w:sz w:val="32"/>
        </w:rPr>
        <w:t>الملخص العربي</w:t>
      </w:r>
    </w:p>
    <w:p>
      <w:pPr>
        <w:spacing w:line="336" w:lineRule="auto" w:after="100"/>
        <w:jc w:val="right"/>
        <w:bidi w:val="1"/>
      </w:pPr>
      <w:r>
        <w:rPr>
          <w:rFonts w:ascii="Amiri" w:hAnsi="Amiri" w:eastAsia="Amiri"/>
          <w:b w:val="0"/>
          <w:sz w:val="26"/>
        </w:rPr>
        <w:t>هدفت الدراسة إلى تحليل أثر تحسين استخدام الموارد السريرية على كفاءة التكلفة في وحدات العناية المركزة بالمستشفيات الحكومية السعودية. احتفظ البحث بعنوانه الأصلي، إلا أن جمع البيانات تم بطريقة التحليل الثانوي لنتائج دراسات ميدانية سعودية منشورة، وذلك بدلاً من استخدام الاستبانة أو الادعاء بجمع بيانات مباشرة من المستشفيات. شملت العينة ست دراسات كمية تناولت تحسين استخدام الأدوية، وممارسات العناية بالمرضى على أجهزة التنفس الصناعي، وكفاءة تشغيل المستشفيات ووحدات العناية المركزة.</w:t>
      </w:r>
    </w:p>
    <w:p>
      <w:pPr>
        <w:spacing w:line="336" w:lineRule="auto" w:after="100"/>
        <w:jc w:val="right"/>
        <w:bidi w:val="1"/>
      </w:pPr>
      <w:r>
        <w:rPr>
          <w:rFonts w:ascii="Amiri" w:hAnsi="Amiri" w:eastAsia="Amiri"/>
          <w:b w:val="0"/>
          <w:sz w:val="26"/>
        </w:rPr>
        <w:t>أظهرت النتائج أن برنامج ترشيد المضادات الحيوية في عناية مركزة حكومية خفض الاستهلاك الكلي للمضادات بنسبة تقارب ٢٥٪، وخفض استخدام المضادات الوريدية بنسبة تقارب ٤٤٪. وعند استبعاد دواء لينيزوليد الذي أضيف حديثاً، انخفضت تكلفة المضادات من ٣٨٬٧٢٣٫٧٢ إلى ٢٥٬٢٩٩٫٢٤ ريالاً لكل ١٠٠ يوم سرير، مع وجود اختلاف بين قيمة الدلالة المذكورة في النص والجدول بالمصدر الأصلي. كما بينت دراسة أخرى أن ٤١٫٦٪ من تدخلات الصيدلي السريري ارتبطت بتوفير محتمل في التكلفة، من دون حساب قيمة مالية نهائية.</w:t>
      </w:r>
    </w:p>
    <w:p>
      <w:pPr>
        <w:spacing w:line="336" w:lineRule="auto" w:after="100"/>
        <w:jc w:val="right"/>
        <w:bidi w:val="1"/>
      </w:pPr>
      <w:r>
        <w:rPr>
          <w:rFonts w:ascii="Amiri" w:hAnsi="Amiri" w:eastAsia="Amiri"/>
          <w:b w:val="0"/>
          <w:sz w:val="26"/>
        </w:rPr>
        <w:t>وفي مجال الموارد التنفسية، ارتبط تطبيق حزمة الوقاية من الالتهاب الرئوي المصاحب للتنفس الصناعي بانخفاض معدل الإصابة بنحو ٤١٫٦٪ وتوفير سنوي مقدر بلغ ١٥٤٬٩٣٠ دولاراً. كما أدى مشروع وطني شمل ٤٢ وحدة عناية مركزة إلى تحسن شهري في ممارسات الفطام والرعاية اليومية وانخفاض شهري في الوفيات بنسبة ١٫٦٪، رغم عدم حدوث انخفاض في أحداث التنفس الصناعي أو مدة التهوية. وعلى المستوى التنظيمي، أظهرت بيانات ٩١ مستشفى حكومياً أن ٧٥٫٨٪ منها كانت غير كفؤة فنياً، بينما ارتبط نموذج العناية المختلطة بانخفاض ذي دلالة إحصائية في نسبة إشغال الأسرة، مع تحسنات أخرى لم تصل إلى الدلالة الإحصائية.</w:t>
      </w:r>
    </w:p>
    <w:p>
      <w:pPr>
        <w:spacing w:line="336" w:lineRule="auto" w:after="100"/>
        <w:jc w:val="right"/>
        <w:bidi w:val="1"/>
      </w:pPr>
      <w:r>
        <w:rPr>
          <w:rFonts w:ascii="Amiri" w:hAnsi="Amiri" w:eastAsia="Amiri"/>
          <w:b w:val="0"/>
          <w:sz w:val="26"/>
        </w:rPr>
        <w:t>خلصت الدراسة إلى أن تحسين استخدام الأدوية، وتطبيق حزم الرعاية التنفسية، والمراجعة والتغذية الراجعة، وتنظيم العمليات التشغيلية يمكن أن يدعم كفاءة التكلفة، لكن النتائج لا تمثل تحليلاً موحداً أو دليلاً سببياً قاطعاً بسبب اختلاف تصاميم الدراسات ومقاييسها. وتوصي الدراسة بتوحيد مؤشرات التكلفة لكل يوم مريض، وتوسيع خدمات الصيدلة السريرية، ومتابعة الالتزام بممارسات الفطام والوقاية، وإنشاء لوحات مؤشرات تشغيلية تربط التكلفة بالجودة والسلامة.</w:t>
      </w:r>
    </w:p>
    <w:p>
      <w:pPr>
        <w:spacing w:line="336" w:lineRule="auto" w:after="100"/>
        <w:jc w:val="right"/>
        <w:bidi w:val="1"/>
      </w:pPr>
      <w:r>
        <w:rPr>
          <w:rFonts w:ascii="Amiri" w:hAnsi="Amiri" w:eastAsia="Amiri"/>
          <w:b w:val="0"/>
          <w:sz w:val="26"/>
        </w:rPr>
        <w:t>الكلمات المفتاحية: تحسين الموارد السريرية، كفاءة التكلفة، العناية المركزة، ترشيد المضادات الحيوية، التهوية الميكانيكية، المستشفيات الحكومية السعودية.</w:t>
      </w:r>
    </w:p>
    <w:p>
      <w:r>
        <w:br w:type="page"/>
      </w:r>
    </w:p>
    <w:p>
      <w:pPr>
        <w:pStyle w:val="Heading1"/>
      </w:pPr>
      <w:r>
        <w:t>English Abstract</w:t>
      </w:r>
    </w:p>
    <w:p>
      <w:pPr>
        <w:spacing w:line="312" w:lineRule="auto" w:after="100"/>
        <w:jc w:val="both"/>
      </w:pPr>
      <w:r>
        <w:rPr>
          <w:rFonts w:ascii="Tinos" w:hAnsi="Tinos" w:eastAsia="Tinos"/>
        </w:rPr>
        <w:t>This project examines whether using clinical resources more carefully can improve cost efficiency in intensive care units in Saudi public hospitals. The approved title remains unchanged, but the analysis is based on published Saudi field studies rather than a questionnaire or hospital data collected by the student. Six quantitative studies were selected. Together, they cover medication use, ventilator and respiratory care, and the organization of hospitals and ICUs.</w:t>
      </w:r>
    </w:p>
    <w:p>
      <w:pPr>
        <w:spacing w:line="312" w:lineRule="auto" w:after="100"/>
        <w:jc w:val="both"/>
      </w:pPr>
      <w:r>
        <w:rPr>
          <w:rFonts w:ascii="Tinos" w:hAnsi="Tinos" w:eastAsia="Tinos"/>
        </w:rPr>
        <w:t>The medication studies produced several practical findings. In one ICU, an antimicrobial stewardship program reduced total antimicrobial use by about 25% and intravenous use by about 44%. After linezolid, a newly introduced drug, was removed from the calculation, the reported cost fell from SAR 38,723.72 to SAR 25,299.24 per 100 bed-days. Because the article gives two different p-values for this result, the present project reports the size of the change but does not describe it as statistically significant. A second study found that 169 of 404 pharmacist interventions (41.6%) had the potential to save cost, although no final monetary value was calculated.</w:t>
      </w:r>
    </w:p>
    <w:p>
      <w:pPr>
        <w:spacing w:line="312" w:lineRule="auto" w:after="100"/>
        <w:jc w:val="both"/>
      </w:pPr>
      <w:r>
        <w:rPr>
          <w:rFonts w:ascii="Tinos" w:hAnsi="Tinos" w:eastAsia="Tinos"/>
        </w:rPr>
        <w:t>The respiratory-care evidence was also encouraging, although the results were mixed. A ventilator-care bundle was associated with a fall in ventilator-associated pneumonia from an estimated 3.39 to 1.98 cases per 1,000 ventilator-days, together with an estimated annual saving of USD 154,930. A national project involving 42 ICUs improved several daily ventilator-care practices, and mortality declined by 1.6% each month. Even so, ventilator-associated events, ventilation duration, and ICU length of stay did not improve. At the organizational level, 69 of 91 public hospitals were technically inefficient and the average efficiency score was 0.76. A separate ICU study reported a significant reduction in bed occupancy, while changes in several other indicators were not statistically significant.</w:t>
      </w:r>
    </w:p>
    <w:p>
      <w:pPr>
        <w:spacing w:line="312" w:lineRule="auto" w:after="100"/>
        <w:jc w:val="both"/>
      </w:pPr>
      <w:r>
        <w:rPr>
          <w:rFonts w:ascii="Tinos" w:hAnsi="Tinos" w:eastAsia="Tinos"/>
        </w:rPr>
        <w:t>Taken together, the evidence suggests that structured medication review, respiratory-care bundles, audit and feedback, and better operational planning can support more efficient resource use. The studies, however, used different designs and outcome measures. Their results should therefore be understood as a comparison of published evidence, not as a new national dataset or definite proof of cause and effect.</w:t>
      </w:r>
    </w:p>
    <w:p>
      <w:r>
        <w:rPr>
          <w:rFonts w:ascii="Tinos" w:hAnsi="Tinos" w:eastAsia="Tinos"/>
          <w:b/>
          <w:sz w:val="23"/>
        </w:rPr>
        <w:t xml:space="preserve">Keywords: </w:t>
      </w:r>
      <w:r>
        <w:rPr>
          <w:rFonts w:ascii="Tinos" w:hAnsi="Tinos" w:eastAsia="Tinos"/>
          <w:sz w:val="23"/>
        </w:rPr>
        <w:t>clinical resource optimization, cost efficiency, intensive care, antimicrobial stewardship, mechanical ventilation, Saudi public hospitals.</w:t>
      </w:r>
    </w:p>
    <w:p>
      <w:r>
        <w:br w:type="page"/>
      </w:r>
    </w:p>
    <w:p>
      <w:pPr>
        <w:pStyle w:val="Heading1"/>
      </w:pPr>
      <w:r>
        <w:t>Table of Contents</w:t>
      </w:r>
    </w:p>
    <w:tbl>
      <w:tblPr>
        <w:tblW w:type="auto" w:w="0"/>
        <w:jc w:val="center"/>
        <w:tblLayout w:type="fixed"/>
        <w:tblLook w:firstColumn="1" w:firstRow="1" w:lastColumn="0" w:lastRow="0" w:noHBand="0" w:noVBand="1" w:val="04A0"/>
        <w:tblBorders>
          <w:top w:val="single" w:sz="4" w:color="9EADBA"/>
          <w:left w:val="single" w:sz="4" w:color="9EADBA"/>
          <w:bottom w:val="single" w:sz="4" w:color="9EADBA"/>
          <w:right w:val="single" w:sz="4" w:color="9EADBA"/>
          <w:insideH w:val="single" w:sz="4" w:color="9EADBA"/>
          <w:insideV w:val="single" w:sz="4" w:color="9EADBA"/>
        </w:tblBorders>
      </w:tblPr>
      <w:tblGrid>
        <w:gridCol w:w="4592"/>
        <w:gridCol w:w="4592"/>
      </w:tblGrid>
      <w:tr>
        <w:trPr>
          <w:tblHeader w:val="true"/>
          <w:cantSplit/>
        </w:trPr>
        <w:tc>
          <w:tcPr>
            <w:tcW w:type="dxa" w:w="8050"/>
            <w:shd w:fill="D9EAF7"/>
            <w:tcMar>
              <w:top w:w="65" w:type="dxa"/>
              <w:start w:w="75" w:type="dxa"/>
              <w:bottom w:w="65" w:type="dxa"/>
              <w:end w:w="75" w:type="dxa"/>
            </w:tcMar>
            <w:vAlign w:val="center"/>
          </w:tcPr>
          <w:p>
            <w:pPr>
              <w:spacing w:after="0"/>
              <w:jc w:val="center"/>
            </w:pPr>
            <w:r>
              <w:rPr>
                <w:rFonts w:ascii="Tinos" w:hAnsi="Tinos" w:eastAsia="Tinos"/>
                <w:b/>
                <w:sz w:val="20"/>
              </w:rPr>
              <w:t>Section</w:t>
            </w:r>
          </w:p>
        </w:tc>
        <w:tc>
          <w:tcPr>
            <w:tcW w:type="dxa" w:w="1134"/>
            <w:shd w:fill="D9EAF7"/>
            <w:tcMar>
              <w:top w:w="65" w:type="dxa"/>
              <w:start w:w="75" w:type="dxa"/>
              <w:bottom w:w="65" w:type="dxa"/>
              <w:end w:w="75" w:type="dxa"/>
            </w:tcMar>
            <w:vAlign w:val="center"/>
          </w:tcPr>
          <w:p>
            <w:pPr>
              <w:spacing w:after="0"/>
              <w:jc w:val="center"/>
            </w:pPr>
            <w:r>
              <w:rPr>
                <w:rFonts w:ascii="Tinos" w:hAnsi="Tinos" w:eastAsia="Tinos"/>
                <w:b/>
                <w:sz w:val="20"/>
              </w:rPr>
              <w:t>Page</w:t>
            </w:r>
          </w:p>
        </w:tc>
      </w:tr>
      <w:tr>
        <w:trPr>
          <w:cantSplit/>
        </w:trPr>
        <w:tc>
          <w:tcPr>
            <w:tcW w:type="dxa" w:w="8050"/>
            <w:tcMar>
              <w:top w:w="65" w:type="dxa"/>
              <w:start w:w="75" w:type="dxa"/>
              <w:bottom w:w="65" w:type="dxa"/>
              <w:end w:w="75" w:type="dxa"/>
            </w:tcMar>
            <w:vAlign w:val="top"/>
          </w:tcPr>
          <w:p>
            <w:pPr>
              <w:spacing w:line="240" w:lineRule="auto" w:after="0"/>
              <w:jc w:val="left"/>
            </w:pPr>
            <w:r>
              <w:rPr>
                <w:rFonts w:ascii="Tinos" w:hAnsi="Tinos" w:eastAsia="Tinos"/>
                <w:sz w:val="20"/>
              </w:rPr>
              <w:t>Acknowledgments</w:t>
            </w:r>
          </w:p>
        </w:tc>
        <w:tc>
          <w:tcPr>
            <w:tcW w:type="dxa" w:w="1134"/>
            <w:tcMar>
              <w:top w:w="65" w:type="dxa"/>
              <w:start w:w="75" w:type="dxa"/>
              <w:bottom w:w="65" w:type="dxa"/>
              <w:end w:w="75" w:type="dxa"/>
            </w:tcMar>
            <w:vAlign w:val="top"/>
          </w:tcPr>
          <w:p>
            <w:pPr>
              <w:spacing w:line="240" w:lineRule="auto" w:after="0"/>
              <w:jc w:val="left"/>
            </w:pPr>
            <w:r>
              <w:rPr>
                <w:rFonts w:ascii="Tinos" w:hAnsi="Tinos" w:eastAsia="Tinos"/>
                <w:sz w:val="20"/>
              </w:rPr>
              <w:t>3</w:t>
            </w:r>
          </w:p>
        </w:tc>
      </w:tr>
      <w:tr>
        <w:trPr>
          <w:cantSplit/>
        </w:trPr>
        <w:tc>
          <w:tcPr>
            <w:tcW w:type="dxa" w:w="8050"/>
            <w:tcMar>
              <w:top w:w="65" w:type="dxa"/>
              <w:start w:w="75" w:type="dxa"/>
              <w:bottom w:w="65" w:type="dxa"/>
              <w:end w:w="75" w:type="dxa"/>
            </w:tcMar>
            <w:vAlign w:val="top"/>
          </w:tcPr>
          <w:p>
            <w:pPr>
              <w:spacing w:line="240" w:lineRule="auto" w:after="0"/>
              <w:jc w:val="left"/>
            </w:pPr>
            <w:r>
              <w:rPr>
                <w:rFonts w:ascii="Tinos" w:hAnsi="Tinos" w:eastAsia="Tinos"/>
                <w:sz w:val="20"/>
              </w:rPr>
              <w:t>Arabic Abstract</w:t>
            </w:r>
          </w:p>
        </w:tc>
        <w:tc>
          <w:tcPr>
            <w:tcW w:type="dxa" w:w="1134"/>
            <w:tcMar>
              <w:top w:w="65" w:type="dxa"/>
              <w:start w:w="75" w:type="dxa"/>
              <w:bottom w:w="65" w:type="dxa"/>
              <w:end w:w="75" w:type="dxa"/>
            </w:tcMar>
            <w:vAlign w:val="top"/>
          </w:tcPr>
          <w:p>
            <w:pPr>
              <w:spacing w:line="240" w:lineRule="auto" w:after="0"/>
              <w:jc w:val="left"/>
            </w:pPr>
            <w:r>
              <w:rPr>
                <w:rFonts w:ascii="Tinos" w:hAnsi="Tinos" w:eastAsia="Tinos"/>
                <w:sz w:val="20"/>
              </w:rPr>
              <w:t>4</w:t>
            </w:r>
          </w:p>
        </w:tc>
      </w:tr>
      <w:tr>
        <w:trPr>
          <w:cantSplit/>
        </w:trPr>
        <w:tc>
          <w:tcPr>
            <w:tcW w:type="dxa" w:w="8050"/>
            <w:tcMar>
              <w:top w:w="65" w:type="dxa"/>
              <w:start w:w="75" w:type="dxa"/>
              <w:bottom w:w="65" w:type="dxa"/>
              <w:end w:w="75" w:type="dxa"/>
            </w:tcMar>
            <w:vAlign w:val="top"/>
          </w:tcPr>
          <w:p>
            <w:pPr>
              <w:spacing w:line="240" w:lineRule="auto" w:after="0"/>
              <w:jc w:val="left"/>
            </w:pPr>
            <w:r>
              <w:rPr>
                <w:rFonts w:ascii="Tinos" w:hAnsi="Tinos" w:eastAsia="Tinos"/>
                <w:sz w:val="20"/>
              </w:rPr>
              <w:t>English Abstract</w:t>
            </w:r>
          </w:p>
        </w:tc>
        <w:tc>
          <w:tcPr>
            <w:tcW w:type="dxa" w:w="1134"/>
            <w:tcMar>
              <w:top w:w="65" w:type="dxa"/>
              <w:start w:w="75" w:type="dxa"/>
              <w:bottom w:w="65" w:type="dxa"/>
              <w:end w:w="75" w:type="dxa"/>
            </w:tcMar>
            <w:vAlign w:val="top"/>
          </w:tcPr>
          <w:p>
            <w:pPr>
              <w:spacing w:line="240" w:lineRule="auto" w:after="0"/>
              <w:jc w:val="left"/>
            </w:pPr>
            <w:r>
              <w:rPr>
                <w:rFonts w:ascii="Tinos" w:hAnsi="Tinos" w:eastAsia="Tinos"/>
                <w:sz w:val="20"/>
              </w:rPr>
              <w:t>5</w:t>
            </w:r>
          </w:p>
        </w:tc>
      </w:tr>
      <w:tr>
        <w:trPr>
          <w:cantSplit/>
        </w:trPr>
        <w:tc>
          <w:tcPr>
            <w:tcW w:type="dxa" w:w="8050"/>
            <w:tcMar>
              <w:top w:w="65" w:type="dxa"/>
              <w:start w:w="75" w:type="dxa"/>
              <w:bottom w:w="65" w:type="dxa"/>
              <w:end w:w="75" w:type="dxa"/>
            </w:tcMar>
            <w:vAlign w:val="top"/>
          </w:tcPr>
          <w:p>
            <w:pPr>
              <w:spacing w:line="240" w:lineRule="auto" w:after="0"/>
              <w:jc w:val="left"/>
            </w:pPr>
            <w:r>
              <w:rPr>
                <w:rFonts w:ascii="Tinos" w:hAnsi="Tinos" w:eastAsia="Tinos"/>
                <w:sz w:val="20"/>
              </w:rPr>
              <w:t>Chapter One: Introduction</w:t>
            </w:r>
          </w:p>
        </w:tc>
        <w:tc>
          <w:tcPr>
            <w:tcW w:type="dxa" w:w="1134"/>
            <w:tcMar>
              <w:top w:w="65" w:type="dxa"/>
              <w:start w:w="75" w:type="dxa"/>
              <w:bottom w:w="65" w:type="dxa"/>
              <w:end w:w="75" w:type="dxa"/>
            </w:tcMar>
            <w:vAlign w:val="top"/>
          </w:tcPr>
          <w:p>
            <w:pPr>
              <w:spacing w:line="240" w:lineRule="auto" w:after="0"/>
              <w:jc w:val="left"/>
            </w:pPr>
            <w:r>
              <w:rPr>
                <w:rFonts w:ascii="Tinos" w:hAnsi="Tinos" w:eastAsia="Tinos"/>
                <w:sz w:val="20"/>
              </w:rPr>
              <w:t>7</w:t>
            </w:r>
          </w:p>
        </w:tc>
      </w:tr>
      <w:tr>
        <w:trPr>
          <w:cantSplit/>
        </w:trPr>
        <w:tc>
          <w:tcPr>
            <w:tcW w:type="dxa" w:w="8050"/>
            <w:tcMar>
              <w:top w:w="65" w:type="dxa"/>
              <w:start w:w="75" w:type="dxa"/>
              <w:bottom w:w="65" w:type="dxa"/>
              <w:end w:w="75" w:type="dxa"/>
            </w:tcMar>
            <w:vAlign w:val="top"/>
          </w:tcPr>
          <w:p>
            <w:pPr>
              <w:spacing w:line="240" w:lineRule="auto" w:after="0"/>
              <w:jc w:val="left"/>
            </w:pPr>
            <w:r>
              <w:rPr>
                <w:rFonts w:ascii="Tinos" w:hAnsi="Tinos" w:eastAsia="Tinos"/>
                <w:sz w:val="20"/>
              </w:rPr>
              <w:t>Chapter Two: Literature Review</w:t>
            </w:r>
          </w:p>
        </w:tc>
        <w:tc>
          <w:tcPr>
            <w:tcW w:type="dxa" w:w="1134"/>
            <w:tcMar>
              <w:top w:w="65" w:type="dxa"/>
              <w:start w:w="75" w:type="dxa"/>
              <w:bottom w:w="65" w:type="dxa"/>
              <w:end w:w="75" w:type="dxa"/>
            </w:tcMar>
            <w:vAlign w:val="top"/>
          </w:tcPr>
          <w:p>
            <w:pPr>
              <w:spacing w:line="240" w:lineRule="auto" w:after="0"/>
              <w:jc w:val="left"/>
            </w:pPr>
            <w:r>
              <w:rPr>
                <w:rFonts w:ascii="Tinos" w:hAnsi="Tinos" w:eastAsia="Tinos"/>
                <w:sz w:val="20"/>
              </w:rPr>
              <w:t>11</w:t>
            </w:r>
          </w:p>
        </w:tc>
      </w:tr>
      <w:tr>
        <w:trPr>
          <w:cantSplit/>
        </w:trPr>
        <w:tc>
          <w:tcPr>
            <w:tcW w:type="dxa" w:w="8050"/>
            <w:tcMar>
              <w:top w:w="65" w:type="dxa"/>
              <w:start w:w="75" w:type="dxa"/>
              <w:bottom w:w="65" w:type="dxa"/>
              <w:end w:w="75" w:type="dxa"/>
            </w:tcMar>
            <w:vAlign w:val="top"/>
          </w:tcPr>
          <w:p>
            <w:pPr>
              <w:spacing w:line="240" w:lineRule="auto" w:after="0"/>
              <w:jc w:val="left"/>
            </w:pPr>
            <w:r>
              <w:rPr>
                <w:rFonts w:ascii="Tinos" w:hAnsi="Tinos" w:eastAsia="Tinos"/>
                <w:sz w:val="20"/>
              </w:rPr>
              <w:t>Chapter Three: Research Methodology</w:t>
            </w:r>
          </w:p>
        </w:tc>
        <w:tc>
          <w:tcPr>
            <w:tcW w:type="dxa" w:w="1134"/>
            <w:tcMar>
              <w:top w:w="65" w:type="dxa"/>
              <w:start w:w="75" w:type="dxa"/>
              <w:bottom w:w="65" w:type="dxa"/>
              <w:end w:w="75" w:type="dxa"/>
            </w:tcMar>
            <w:vAlign w:val="top"/>
          </w:tcPr>
          <w:p>
            <w:pPr>
              <w:spacing w:line="240" w:lineRule="auto" w:after="0"/>
              <w:jc w:val="left"/>
            </w:pPr>
            <w:r>
              <w:rPr>
                <w:rFonts w:ascii="Tinos" w:hAnsi="Tinos" w:eastAsia="Tinos"/>
                <w:sz w:val="20"/>
              </w:rPr>
              <w:t>15</w:t>
            </w:r>
          </w:p>
        </w:tc>
      </w:tr>
      <w:tr>
        <w:trPr>
          <w:cantSplit/>
        </w:trPr>
        <w:tc>
          <w:tcPr>
            <w:tcW w:type="dxa" w:w="8050"/>
            <w:tcMar>
              <w:top w:w="65" w:type="dxa"/>
              <w:start w:w="75" w:type="dxa"/>
              <w:bottom w:w="65" w:type="dxa"/>
              <w:end w:w="75" w:type="dxa"/>
            </w:tcMar>
            <w:vAlign w:val="top"/>
          </w:tcPr>
          <w:p>
            <w:pPr>
              <w:spacing w:line="240" w:lineRule="auto" w:after="0"/>
              <w:jc w:val="left"/>
            </w:pPr>
            <w:r>
              <w:rPr>
                <w:rFonts w:ascii="Tinos" w:hAnsi="Tinos" w:eastAsia="Tinos"/>
                <w:sz w:val="20"/>
              </w:rPr>
              <w:t>Chapter Four: Data Analysis, Findings, and Discussion</w:t>
            </w:r>
          </w:p>
        </w:tc>
        <w:tc>
          <w:tcPr>
            <w:tcW w:type="dxa" w:w="1134"/>
            <w:tcMar>
              <w:top w:w="65" w:type="dxa"/>
              <w:start w:w="75" w:type="dxa"/>
              <w:bottom w:w="65" w:type="dxa"/>
              <w:end w:w="75" w:type="dxa"/>
            </w:tcMar>
            <w:vAlign w:val="top"/>
          </w:tcPr>
          <w:p>
            <w:pPr>
              <w:spacing w:line="240" w:lineRule="auto" w:after="0"/>
              <w:jc w:val="left"/>
            </w:pPr>
            <w:r>
              <w:rPr>
                <w:rFonts w:ascii="Tinos" w:hAnsi="Tinos" w:eastAsia="Tinos"/>
                <w:sz w:val="20"/>
              </w:rPr>
              <w:t>19</w:t>
            </w:r>
          </w:p>
        </w:tc>
      </w:tr>
      <w:tr>
        <w:trPr>
          <w:cantSplit/>
        </w:trPr>
        <w:tc>
          <w:tcPr>
            <w:tcW w:type="dxa" w:w="8050"/>
            <w:tcMar>
              <w:top w:w="65" w:type="dxa"/>
              <w:start w:w="75" w:type="dxa"/>
              <w:bottom w:w="65" w:type="dxa"/>
              <w:end w:w="75" w:type="dxa"/>
            </w:tcMar>
            <w:vAlign w:val="top"/>
          </w:tcPr>
          <w:p>
            <w:pPr>
              <w:spacing w:line="240" w:lineRule="auto" w:after="0"/>
              <w:jc w:val="left"/>
            </w:pPr>
            <w:r>
              <w:rPr>
                <w:rFonts w:ascii="Tinos" w:hAnsi="Tinos" w:eastAsia="Tinos"/>
                <w:sz w:val="20"/>
              </w:rPr>
              <w:t>References</w:t>
            </w:r>
          </w:p>
        </w:tc>
        <w:tc>
          <w:tcPr>
            <w:tcW w:type="dxa" w:w="1134"/>
            <w:tcMar>
              <w:top w:w="65" w:type="dxa"/>
              <w:start w:w="75" w:type="dxa"/>
              <w:bottom w:w="65" w:type="dxa"/>
              <w:end w:w="75" w:type="dxa"/>
            </w:tcMar>
            <w:vAlign w:val="top"/>
          </w:tcPr>
          <w:p>
            <w:pPr>
              <w:spacing w:line="240" w:lineRule="auto" w:after="0"/>
              <w:jc w:val="left"/>
            </w:pPr>
            <w:r>
              <w:rPr>
                <w:rFonts w:ascii="Tinos" w:hAnsi="Tinos" w:eastAsia="Tinos"/>
                <w:sz w:val="20"/>
              </w:rPr>
              <w:t>25</w:t>
            </w:r>
          </w:p>
        </w:tc>
      </w:tr>
      <w:tr>
        <w:trPr>
          <w:cantSplit/>
        </w:trPr>
        <w:tc>
          <w:tcPr>
            <w:tcW w:type="dxa" w:w="8050"/>
            <w:tcMar>
              <w:top w:w="65" w:type="dxa"/>
              <w:start w:w="75" w:type="dxa"/>
              <w:bottom w:w="65" w:type="dxa"/>
              <w:end w:w="75" w:type="dxa"/>
            </w:tcMar>
            <w:vAlign w:val="top"/>
          </w:tcPr>
          <w:p>
            <w:pPr>
              <w:spacing w:line="240" w:lineRule="auto" w:after="0"/>
              <w:jc w:val="left"/>
            </w:pPr>
            <w:r>
              <w:rPr>
                <w:rFonts w:ascii="Tinos" w:hAnsi="Tinos" w:eastAsia="Tinos"/>
                <w:sz w:val="20"/>
              </w:rPr>
              <w:t>Appendices</w:t>
            </w:r>
          </w:p>
        </w:tc>
        <w:tc>
          <w:tcPr>
            <w:tcW w:type="dxa" w:w="1134"/>
            <w:tcMar>
              <w:top w:w="65" w:type="dxa"/>
              <w:start w:w="75" w:type="dxa"/>
              <w:bottom w:w="65" w:type="dxa"/>
              <w:end w:w="75" w:type="dxa"/>
            </w:tcMar>
            <w:vAlign w:val="top"/>
          </w:tcPr>
          <w:p>
            <w:pPr>
              <w:spacing w:line="240" w:lineRule="auto" w:after="0"/>
              <w:jc w:val="left"/>
            </w:pPr>
            <w:r>
              <w:rPr>
                <w:rFonts w:ascii="Tinos" w:hAnsi="Tinos" w:eastAsia="Tinos"/>
                <w:sz w:val="20"/>
              </w:rPr>
              <w:t>26</w:t>
            </w:r>
          </w:p>
        </w:tc>
      </w:tr>
    </w:tbl>
    <w:p>
      <w:pPr>
        <w:pStyle w:val="Heading2"/>
      </w:pPr>
      <w:r>
        <w:t>List of Tables</w:t>
      </w:r>
    </w:p>
    <w:p>
      <w:pPr>
        <w:spacing w:line="312" w:lineRule="auto" w:after="40"/>
        <w:jc w:val="left"/>
      </w:pPr>
      <w:r>
        <w:rPr>
          <w:rFonts w:ascii="Tinos" w:hAnsi="Tinos" w:eastAsia="Tinos"/>
          <w:sz w:val="21"/>
        </w:rPr>
        <w:t>Table 1.1 Alignment of objectives, questions, and hypotheses</w:t>
      </w:r>
    </w:p>
    <w:p>
      <w:pPr>
        <w:spacing w:line="312" w:lineRule="auto" w:after="40"/>
        <w:jc w:val="left"/>
      </w:pPr>
      <w:r>
        <w:rPr>
          <w:rFonts w:ascii="Tinos" w:hAnsi="Tinos" w:eastAsia="Tinos"/>
          <w:sz w:val="21"/>
        </w:rPr>
        <w:t>Table 1.2 Operational definitions</w:t>
      </w:r>
    </w:p>
    <w:p>
      <w:pPr>
        <w:spacing w:line="312" w:lineRule="auto" w:after="40"/>
        <w:jc w:val="left"/>
      </w:pPr>
      <w:r>
        <w:rPr>
          <w:rFonts w:ascii="Tinos" w:hAnsi="Tinos" w:eastAsia="Tinos"/>
          <w:sz w:val="21"/>
        </w:rPr>
        <w:t>Table 2.1 Summary of selected Saudi empirical studies</w:t>
      </w:r>
    </w:p>
    <w:p>
      <w:pPr>
        <w:spacing w:line="312" w:lineRule="auto" w:after="40"/>
        <w:jc w:val="left"/>
      </w:pPr>
      <w:r>
        <w:rPr>
          <w:rFonts w:ascii="Tinos" w:hAnsi="Tinos" w:eastAsia="Tinos"/>
          <w:sz w:val="21"/>
        </w:rPr>
        <w:t>Table 2.2 Comparison of the evidence domains</w:t>
      </w:r>
    </w:p>
    <w:p>
      <w:pPr>
        <w:spacing w:line="312" w:lineRule="auto" w:after="40"/>
        <w:jc w:val="left"/>
      </w:pPr>
      <w:r>
        <w:rPr>
          <w:rFonts w:ascii="Tinos" w:hAnsi="Tinos" w:eastAsia="Tinos"/>
          <w:sz w:val="21"/>
        </w:rPr>
        <w:t>Table 3.1 Eligibility criteria</w:t>
      </w:r>
    </w:p>
    <w:p>
      <w:pPr>
        <w:spacing w:line="312" w:lineRule="auto" w:after="40"/>
        <w:jc w:val="left"/>
      </w:pPr>
      <w:r>
        <w:rPr>
          <w:rFonts w:ascii="Tinos" w:hAnsi="Tinos" w:eastAsia="Tinos"/>
          <w:sz w:val="21"/>
        </w:rPr>
        <w:t>Table 3.2 Data items extracted from each study</w:t>
      </w:r>
    </w:p>
    <w:p>
      <w:pPr>
        <w:spacing w:line="312" w:lineRule="auto" w:after="40"/>
        <w:jc w:val="left"/>
      </w:pPr>
      <w:r>
        <w:rPr>
          <w:rFonts w:ascii="Tinos" w:hAnsi="Tinos" w:eastAsia="Tinos"/>
          <w:sz w:val="21"/>
        </w:rPr>
        <w:t>Table 3.3 Quality and interpretation checks</w:t>
      </w:r>
    </w:p>
    <w:p>
      <w:pPr>
        <w:spacing w:line="312" w:lineRule="auto" w:after="40"/>
        <w:jc w:val="left"/>
      </w:pPr>
      <w:r>
        <w:rPr>
          <w:rFonts w:ascii="Tinos" w:hAnsi="Tinos" w:eastAsia="Tinos"/>
          <w:sz w:val="21"/>
        </w:rPr>
        <w:t>Table 4.1 Characteristics of included studies</w:t>
      </w:r>
    </w:p>
    <w:p>
      <w:pPr>
        <w:spacing w:line="312" w:lineRule="auto" w:after="40"/>
        <w:jc w:val="left"/>
      </w:pPr>
      <w:r>
        <w:rPr>
          <w:rFonts w:ascii="Tinos" w:hAnsi="Tinos" w:eastAsia="Tinos"/>
          <w:sz w:val="21"/>
        </w:rPr>
        <w:t>Table 4.2 Medication optimization findings</w:t>
      </w:r>
    </w:p>
    <w:p>
      <w:pPr>
        <w:spacing w:line="312" w:lineRule="auto" w:after="40"/>
        <w:jc w:val="left"/>
      </w:pPr>
      <w:r>
        <w:rPr>
          <w:rFonts w:ascii="Tinos" w:hAnsi="Tinos" w:eastAsia="Tinos"/>
          <w:sz w:val="21"/>
        </w:rPr>
        <w:t>Table 4.3 Respiratory resource optimization findings</w:t>
      </w:r>
    </w:p>
    <w:p>
      <w:pPr>
        <w:spacing w:line="312" w:lineRule="auto" w:after="40"/>
        <w:jc w:val="left"/>
      </w:pPr>
      <w:r>
        <w:rPr>
          <w:rFonts w:ascii="Tinos" w:hAnsi="Tinos" w:eastAsia="Tinos"/>
          <w:sz w:val="21"/>
        </w:rPr>
        <w:t>Table 4.4 Organizational and efficiency findings</w:t>
      </w:r>
    </w:p>
    <w:p>
      <w:pPr>
        <w:spacing w:line="312" w:lineRule="auto" w:after="40"/>
        <w:jc w:val="left"/>
      </w:pPr>
      <w:r>
        <w:rPr>
          <w:rFonts w:ascii="Tinos" w:hAnsi="Tinos" w:eastAsia="Tinos"/>
          <w:sz w:val="21"/>
        </w:rPr>
        <w:t>Table 4.5 Synthesis of hypotheses</w:t>
      </w:r>
    </w:p>
    <w:p>
      <w:pPr>
        <w:spacing w:line="312" w:lineRule="auto" w:after="40"/>
        <w:jc w:val="left"/>
      </w:pPr>
      <w:r>
        <w:rPr>
          <w:rFonts w:ascii="Tinos" w:hAnsi="Tinos" w:eastAsia="Tinos"/>
          <w:sz w:val="21"/>
        </w:rPr>
        <w:t>Appendix Table A1 Data-extraction form</w:t>
      </w:r>
    </w:p>
    <w:p>
      <w:pPr>
        <w:spacing w:line="312" w:lineRule="auto" w:after="40"/>
        <w:jc w:val="left"/>
      </w:pPr>
      <w:r>
        <w:rPr>
          <w:rFonts w:ascii="Tinos" w:hAnsi="Tinos" w:eastAsia="Tinos"/>
          <w:sz w:val="21"/>
        </w:rPr>
        <w:t>Appendix Table A2 Derived percentage-change calculations</w:t>
      </w:r>
    </w:p>
    <w:p>
      <w:pPr>
        <w:pStyle w:val="Heading2"/>
      </w:pPr>
      <w:r>
        <w:t>List of Figures</w:t>
      </w:r>
    </w:p>
    <w:p>
      <w:pPr>
        <w:spacing w:line="312" w:lineRule="auto" w:after="40"/>
        <w:jc w:val="left"/>
      </w:pPr>
      <w:r>
        <w:rPr>
          <w:rFonts w:ascii="Tinos" w:hAnsi="Tinos" w:eastAsia="Tinos"/>
          <w:sz w:val="21"/>
        </w:rPr>
        <w:t>Figure 1.1 Conceptual model</w:t>
      </w:r>
    </w:p>
    <w:p>
      <w:pPr>
        <w:spacing w:line="312" w:lineRule="auto" w:after="40"/>
        <w:jc w:val="left"/>
      </w:pPr>
      <w:r>
        <w:rPr>
          <w:rFonts w:ascii="Tinos" w:hAnsi="Tinos" w:eastAsia="Tinos"/>
          <w:sz w:val="21"/>
        </w:rPr>
        <w:t>Figure 3.1 Evidence-selection process</w:t>
      </w:r>
    </w:p>
    <w:p>
      <w:pPr>
        <w:spacing w:line="312" w:lineRule="auto" w:after="40"/>
        <w:jc w:val="left"/>
      </w:pPr>
      <w:r>
        <w:rPr>
          <w:rFonts w:ascii="Tinos" w:hAnsi="Tinos" w:eastAsia="Tinos"/>
          <w:sz w:val="21"/>
        </w:rPr>
        <w:t>Figure 4.1 Selected reported reductions in included Saudi studies</w:t>
      </w:r>
    </w:p>
    <w:p>
      <w:r>
        <w:br w:type="page"/>
      </w:r>
    </w:p>
    <w:p>
      <w:pPr>
        <w:pStyle w:val="Heading1"/>
      </w:pPr>
      <w:r>
        <w:t>Chapter One: Introduction</w:t>
      </w:r>
    </w:p>
    <w:p>
      <w:pPr>
        <w:pStyle w:val="Heading2"/>
      </w:pPr>
      <w:r>
        <w:t>1.1 Introduction</w:t>
      </w:r>
    </w:p>
    <w:p>
      <w:pPr>
        <w:spacing w:line="312" w:lineRule="auto" w:after="100"/>
        <w:ind w:firstLine="369"/>
        <w:jc w:val="both"/>
      </w:pPr>
      <w:r>
        <w:rPr>
          <w:rFonts w:ascii="Tinos" w:hAnsi="Tinos" w:eastAsia="Tinos"/>
        </w:rPr>
        <w:t>An intensive care unit relies on many resources at once, including staff, medication, medical devices, laboratory testing, monitoring, and disposable supplies. This level of support is necessary because ICU patients can deteriorate quickly and may need immediate treatment. At the same time, small inefficiencies become expensive when they are repeated every day. Duplicate medication, avoidable device days, delayed treatment reduction, and weak coordination between teams are common examples.</w:t>
      </w:r>
    </w:p>
    <w:p>
      <w:pPr>
        <w:spacing w:line="312" w:lineRule="auto" w:after="100"/>
        <w:ind w:firstLine="369"/>
        <w:jc w:val="both"/>
      </w:pPr>
      <w:r>
        <w:rPr>
          <w:rFonts w:ascii="Tinos" w:hAnsi="Tinos" w:eastAsia="Tinos"/>
        </w:rPr>
        <w:t>Optimizing clinical resources is not the same as cutting care. The goal is to use a resource when it is needed, then review that need regularly. In an ICU, this may involve antimicrobial stewardship, pharmacist review, daily ventilator assessment, prevention bundles, audit and feedback, and better planning for beds and staff. Used properly, these approaches can reduce waste while protecting quality and patient safety.</w:t>
      </w:r>
    </w:p>
    <w:p>
      <w:pPr>
        <w:spacing w:line="312" w:lineRule="auto" w:after="100"/>
        <w:ind w:firstLine="369"/>
        <w:jc w:val="both"/>
      </w:pPr>
      <w:r>
        <w:rPr>
          <w:rFonts w:ascii="Tinos" w:hAnsi="Tinos" w:eastAsia="Tinos"/>
        </w:rPr>
        <w:t>Several Saudi studies have examined these issues in real hospitals. Haseeb et al. (2021) studied an antimicrobial stewardship program in an adult ICU in Makkah. Bukhari et al. (2012) studied a ventilator-care bundle in a public hospital ICU. Arabi et al. (2023) examined a national improvement project that included 42 ICUs in 26 hospitals. Other studies looked at pharmacist interventions, hospital technical efficiency, and changes in ICU operating models (Alatawi et al., 2020; Althomali et al., 2022; Alarifi et al., 2024).</w:t>
      </w:r>
    </w:p>
    <w:p>
      <w:pPr>
        <w:spacing w:line="312" w:lineRule="auto" w:after="100"/>
        <w:ind w:firstLine="369"/>
        <w:jc w:val="both"/>
      </w:pPr>
      <w:r>
        <w:rPr>
          <w:rFonts w:ascii="Tinos" w:hAnsi="Tinos" w:eastAsia="Tinos"/>
        </w:rPr>
        <w:t>Although these studies all come from Saudi healthcare settings, they do not measure the same outcomes. Some report direct costs, while others focus on medication use, safety, or operational performance. This project compares their findings around one main question: is improved management of clinical resources associated with better cost efficiency in Saudi public-hospital ICUs?</w:t>
      </w:r>
    </w:p>
    <w:p>
      <w:pPr>
        <w:pStyle w:val="Heading2"/>
      </w:pPr>
      <w:r>
        <w:t>1.2 Problem Statement</w:t>
      </w:r>
    </w:p>
    <w:p>
      <w:pPr>
        <w:spacing w:line="312" w:lineRule="auto" w:after="100"/>
        <w:ind w:firstLine="369"/>
        <w:jc w:val="both"/>
      </w:pPr>
      <w:r>
        <w:rPr>
          <w:rFonts w:ascii="Tinos" w:hAnsi="Tinos" w:eastAsia="Tinos"/>
        </w:rPr>
        <w:t>Saudi public hospitals are under pressure to improve efficiency without weakening access, safety, or clinical outcomes. The issue is particularly important in intensive care, where equipment is expensive, medication use is high, and continuous staffing is essential. Existing Saudi evidence is divided across several topics. Medication studies examine antimicrobial use or pharmacist activities, respiratory studies focus on ventilator bundles and daily care, and management studies assess technical efficiency, occupancy, or ICU organization. Looking at each area separately makes the overall effect on ICU efficiency difficult to see.</w:t>
      </w:r>
    </w:p>
    <w:p>
      <w:pPr>
        <w:spacing w:line="312" w:lineRule="auto" w:after="100"/>
        <w:ind w:firstLine="369"/>
        <w:jc w:val="both"/>
      </w:pPr>
      <w:r>
        <w:rPr>
          <w:rFonts w:ascii="Tinos" w:hAnsi="Tinos" w:eastAsia="Tinos"/>
        </w:rPr>
        <w:t>The project was originally planned around new hospital data, but comparable clinical and financial records were not available to the student. Creating results, or presenting published figures as original data, would not be acceptable. The design was therefore changed to a secondary analysis of published Saudi field studies. The original title remains, while the methodology clearly identifies the source of every result.</w:t>
      </w:r>
    </w:p>
    <w:p>
      <w:pPr>
        <w:spacing w:line="312" w:lineRule="auto" w:after="100"/>
        <w:ind w:firstLine="369"/>
        <w:jc w:val="both"/>
      </w:pPr>
      <w:r>
        <w:rPr>
          <w:rFonts w:ascii="Tinos" w:hAnsi="Tinos" w:eastAsia="Tinos"/>
        </w:rPr>
        <w:t>The main problem addressed in this study is the lack of one clear picture showing how medication management, respiratory-care standardization, and hospital organization are related to cost efficiency in Saudi public hospitals.</w:t>
      </w:r>
    </w:p>
    <w:p>
      <w:pPr>
        <w:pStyle w:val="Heading2"/>
      </w:pPr>
      <w:r>
        <w:t>1.3 Importance of the Study</w:t>
      </w:r>
    </w:p>
    <w:p>
      <w:pPr>
        <w:pStyle w:val="Heading3"/>
      </w:pPr>
      <w:r>
        <w:t>1.3.1 Scientific Importance</w:t>
      </w:r>
    </w:p>
    <w:p>
      <w:pPr>
        <w:spacing w:line="312" w:lineRule="auto" w:after="100"/>
        <w:ind w:firstLine="369"/>
        <w:jc w:val="both"/>
      </w:pPr>
      <w:r>
        <w:rPr>
          <w:rFonts w:ascii="Tinos" w:hAnsi="Tinos" w:eastAsia="Tinos"/>
        </w:rPr>
        <w:t>The scientific value of this project comes from bringing together evidence that is usually discussed in separate fields. Medication, respiratory, and organizational interventions are compared through one framework. The analysis also distinguishes direct financial savings from lower resource use, technical efficiency, and clinical outcomes. This distinction matters because reduced resource use cannot be considered efficient if patient safety becomes worse.</w:t>
      </w:r>
    </w:p>
    <w:p>
      <w:pPr>
        <w:pStyle w:val="Heading3"/>
      </w:pPr>
      <w:r>
        <w:t>1.3.2 Practical Importance</w:t>
      </w:r>
    </w:p>
    <w:p>
      <w:pPr>
        <w:spacing w:line="312" w:lineRule="auto" w:after="100"/>
        <w:ind w:firstLine="369"/>
        <w:jc w:val="both"/>
      </w:pPr>
      <w:r>
        <w:rPr>
          <w:rFonts w:ascii="Tinos" w:hAnsi="Tinos" w:eastAsia="Tinos"/>
        </w:rPr>
        <w:t>The study gives hospital managers a list of measures that can be followed using routine data. These include antimicrobial use per 100 bed-days, pharmacist interventions, ventilator-bundle compliance, VAP per 1,000 ventilator-days, bed occupancy, delayed discharge, and hospital efficiency scores. The results may help hospitals design dashboards and choose improvement priorities. They also show the importance of cooperation between physicians, respiratory therapists, nurses, pharmacists, quality staff, and finance teams.</w:t>
      </w:r>
    </w:p>
    <w:p>
      <w:pPr>
        <w:pStyle w:val="Heading2"/>
      </w:pPr>
      <w:r>
        <w:t>1.4 Objectives of the Study</w:t>
      </w:r>
    </w:p>
    <w:p>
      <w:pPr>
        <w:spacing w:line="312" w:lineRule="auto" w:after="100"/>
        <w:jc w:val="both"/>
      </w:pPr>
      <w:r>
        <w:rPr>
          <w:rFonts w:ascii="Tinos" w:hAnsi="Tinos" w:eastAsia="Tinos"/>
        </w:rPr>
        <w:t>Main objective: To study the relationship between clinical resource optimization and cost efficiency in Saudi public-hospital ICUs by analyzing published Saudi field studies.</w:t>
      </w:r>
    </w:p>
    <w:p>
      <w:pPr>
        <w:spacing w:line="300" w:lineRule="auto" w:after="60"/>
        <w:ind w:left="425" w:hanging="425"/>
        <w:jc w:val="both"/>
      </w:pPr>
      <w:r>
        <w:rPr>
          <w:rFonts w:ascii="Tinos" w:hAnsi="Tinos" w:eastAsia="Tinos"/>
        </w:rPr>
        <w:t>1. To describe Saudi evidence about medication optimization in critical care and its effect on resource use or cost.</w:t>
      </w:r>
    </w:p>
    <w:p>
      <w:pPr>
        <w:spacing w:line="300" w:lineRule="auto" w:after="60"/>
        <w:ind w:left="425" w:hanging="425"/>
        <w:jc w:val="both"/>
      </w:pPr>
      <w:r>
        <w:rPr>
          <w:rFonts w:ascii="Tinos" w:hAnsi="Tinos" w:eastAsia="Tinos"/>
        </w:rPr>
        <w:t>2. To review the reported effects of respiratory and ventilator-care programs on infection, care processes, and cost.</w:t>
      </w:r>
    </w:p>
    <w:p>
      <w:pPr>
        <w:spacing w:line="300" w:lineRule="auto" w:after="60"/>
        <w:ind w:left="425" w:hanging="425"/>
        <w:jc w:val="both"/>
      </w:pPr>
      <w:r>
        <w:rPr>
          <w:rFonts w:ascii="Tinos" w:hAnsi="Tinos" w:eastAsia="Tinos"/>
        </w:rPr>
        <w:t>3. To examine Saudi evidence about hospital organization and technical efficiency.</w:t>
      </w:r>
    </w:p>
    <w:p>
      <w:pPr>
        <w:spacing w:line="300" w:lineRule="auto" w:after="60"/>
        <w:ind w:left="425" w:hanging="425"/>
        <w:jc w:val="both"/>
      </w:pPr>
      <w:r>
        <w:rPr>
          <w:rFonts w:ascii="Tinos" w:hAnsi="Tinos" w:eastAsia="Tinos"/>
        </w:rPr>
        <w:t>4. To compare the direction, size, and statistical strength of the reported results.</w:t>
      </w:r>
    </w:p>
    <w:p>
      <w:pPr>
        <w:spacing w:line="300" w:lineRule="auto" w:after="60"/>
        <w:ind w:left="425" w:hanging="425"/>
        <w:jc w:val="both"/>
      </w:pPr>
      <w:r>
        <w:rPr>
          <w:rFonts w:ascii="Tinos" w:hAnsi="Tinos" w:eastAsia="Tinos"/>
        </w:rPr>
        <w:t>5. To suggest practical ways to measure and improve ICU resource efficiency.</w:t>
      </w:r>
    </w:p>
    <w:p>
      <w:pPr>
        <w:pStyle w:val="Heading2"/>
      </w:pPr>
      <w:r>
        <w:t>1.5 Research Questions</w:t>
      </w:r>
    </w:p>
    <w:p>
      <w:pPr>
        <w:spacing w:line="300" w:lineRule="auto" w:after="60"/>
        <w:ind w:left="425" w:hanging="425"/>
        <w:jc w:val="both"/>
      </w:pPr>
      <w:r>
        <w:rPr>
          <w:rFonts w:ascii="Tinos" w:hAnsi="Tinos" w:eastAsia="Tinos"/>
        </w:rPr>
        <w:t>1. What changes in medication use and cost were reported after ICU medication-optimization programs?</w:t>
      </w:r>
    </w:p>
    <w:p>
      <w:pPr>
        <w:spacing w:line="300" w:lineRule="auto" w:after="60"/>
        <w:ind w:left="425" w:hanging="425"/>
        <w:jc w:val="both"/>
      </w:pPr>
      <w:r>
        <w:rPr>
          <w:rFonts w:ascii="Tinos" w:hAnsi="Tinos" w:eastAsia="Tinos"/>
        </w:rPr>
        <w:t>2. What changes in respiratory care, ventilator outcomes, and cost were reported after structured programs?</w:t>
      </w:r>
    </w:p>
    <w:p>
      <w:pPr>
        <w:spacing w:line="300" w:lineRule="auto" w:after="60"/>
        <w:ind w:left="425" w:hanging="425"/>
        <w:jc w:val="both"/>
      </w:pPr>
      <w:r>
        <w:rPr>
          <w:rFonts w:ascii="Tinos" w:hAnsi="Tinos" w:eastAsia="Tinos"/>
        </w:rPr>
        <w:t>3. What do Saudi studies report about hospital and ICU operational efficiency?</w:t>
      </w:r>
    </w:p>
    <w:p>
      <w:pPr>
        <w:spacing w:line="300" w:lineRule="auto" w:after="60"/>
        <w:ind w:left="425" w:hanging="425"/>
        <w:jc w:val="both"/>
      </w:pPr>
      <w:r>
        <w:rPr>
          <w:rFonts w:ascii="Tinos" w:hAnsi="Tinos" w:eastAsia="Tinos"/>
        </w:rPr>
        <w:t>4. Do the selected studies show a similar relationship between resource optimization and cost efficiency?</w:t>
      </w:r>
    </w:p>
    <w:p>
      <w:pPr>
        <w:spacing w:line="300" w:lineRule="auto" w:after="60"/>
        <w:ind w:left="425" w:hanging="425"/>
        <w:jc w:val="both"/>
      </w:pPr>
      <w:r>
        <w:rPr>
          <w:rFonts w:ascii="Tinos" w:hAnsi="Tinos" w:eastAsia="Tinos"/>
        </w:rPr>
        <w:t>5. What measures should Saudi public hospitals follow when they start ICU resource-optimization programs?</w:t>
      </w:r>
    </w:p>
    <w:p>
      <w:pPr>
        <w:pStyle w:val="Heading2"/>
      </w:pPr>
      <w:r>
        <w:t>1.6 Research Hypotheses</w:t>
      </w:r>
    </w:p>
    <w:p>
      <w:pPr>
        <w:spacing w:line="312" w:lineRule="auto" w:after="100"/>
        <w:jc w:val="both"/>
      </w:pPr>
      <w:r>
        <w:rPr>
          <w:rFonts w:ascii="Tinos" w:hAnsi="Tinos" w:eastAsia="Tinos"/>
        </w:rPr>
        <w:t>Because the selected studies reported different outcomes, the hypotheses were assessed by comparing the direction and strength of their findings. The data were not suitable for a meta-analysis.</w:t>
      </w:r>
    </w:p>
    <w:p>
      <w:pPr>
        <w:spacing w:after="80"/>
        <w:ind w:left="227"/>
      </w:pPr>
      <w:r>
        <w:rPr>
          <w:rFonts w:ascii="Tinos" w:hAnsi="Tinos" w:eastAsia="Tinos"/>
        </w:rPr>
        <w:t>H1: Clinical resource optimization is linked with better cost or resource efficiency in Saudi public-hospital ICUs.</w:t>
      </w:r>
    </w:p>
    <w:p>
      <w:pPr>
        <w:spacing w:after="80"/>
        <w:ind w:left="227"/>
      </w:pPr>
      <w:r>
        <w:rPr>
          <w:rFonts w:ascii="Tinos" w:hAnsi="Tinos" w:eastAsia="Tinos"/>
        </w:rPr>
        <w:t>H1a: Medication-optimization programs are linked with lower medication use, lower medication cost, or more cost-saving interventions.</w:t>
      </w:r>
    </w:p>
    <w:p>
      <w:pPr>
        <w:spacing w:after="80"/>
        <w:ind w:left="227"/>
      </w:pPr>
      <w:r>
        <w:rPr>
          <w:rFonts w:ascii="Tinos" w:hAnsi="Tinos" w:eastAsia="Tinos"/>
        </w:rPr>
        <w:t>H1b: Respiratory resource-optimization programs are linked with better ventilator-care practices, fewer preventable complications, or lower related cost.</w:t>
      </w:r>
    </w:p>
    <w:p>
      <w:pPr>
        <w:spacing w:after="80"/>
        <w:ind w:left="227"/>
      </w:pPr>
      <w:r>
        <w:rPr>
          <w:rFonts w:ascii="Tinos" w:hAnsi="Tinos" w:eastAsia="Tinos"/>
        </w:rPr>
        <w:t>H1c: Governance and organizational changes are linked with better hospital or ICU efficiency indicators.</w:t>
      </w:r>
    </w:p>
    <w:p>
      <w:pPr>
        <w:spacing w:after="80"/>
        <w:ind w:left="227"/>
      </w:pPr>
      <w:r>
        <w:rPr>
          <w:rFonts w:ascii="Tinos" w:hAnsi="Tinos" w:eastAsia="Tinos"/>
        </w:rPr>
        <w:t>H0: Saudi field studies do not show a clear relationship between clinical resource optimization and efficiency outcomes.</w:t>
      </w:r>
    </w:p>
    <w:tbl>
      <w:tblPr>
        <w:tblW w:type="auto" w:w="0"/>
        <w:jc w:val="center"/>
        <w:tblLayout w:type="fixed"/>
        <w:tblLook w:firstColumn="1" w:firstRow="1" w:lastColumn="0" w:lastRow="0" w:noHBand="0" w:noVBand="1" w:val="04A0"/>
        <w:tblBorders>
          <w:top w:val="single" w:sz="4" w:color="9EADBA"/>
          <w:left w:val="single" w:sz="4" w:color="9EADBA"/>
          <w:bottom w:val="single" w:sz="4" w:color="9EADBA"/>
          <w:right w:val="single" w:sz="4" w:color="9EADBA"/>
          <w:insideH w:val="single" w:sz="4" w:color="9EADBA"/>
          <w:insideV w:val="single" w:sz="4" w:color="9EADBA"/>
        </w:tblBorders>
      </w:tblPr>
      <w:tblGrid>
        <w:gridCol w:w="2296"/>
        <w:gridCol w:w="2296"/>
        <w:gridCol w:w="2296"/>
        <w:gridCol w:w="2296"/>
      </w:tblGrid>
      <w:tr>
        <w:trPr>
          <w:tblHeader w:val="true"/>
          <w:cantSplit/>
        </w:trPr>
        <w:tc>
          <w:tcPr>
            <w:tcW w:type="dxa" w:w="3175"/>
            <w:shd w:fill="D9EAF7"/>
            <w:tcMar>
              <w:top w:w="65" w:type="dxa"/>
              <w:start w:w="75" w:type="dxa"/>
              <w:bottom w:w="65" w:type="dxa"/>
              <w:end w:w="75" w:type="dxa"/>
            </w:tcMar>
            <w:vAlign w:val="center"/>
          </w:tcPr>
          <w:p>
            <w:pPr>
              <w:spacing w:after="0"/>
              <w:jc w:val="center"/>
            </w:pPr>
            <w:r>
              <w:rPr>
                <w:rFonts w:ascii="Tinos" w:hAnsi="Tinos" w:eastAsia="Tinos"/>
                <w:b/>
                <w:sz w:val="18"/>
              </w:rPr>
              <w:t>Study area</w:t>
            </w:r>
          </w:p>
        </w:tc>
        <w:tc>
          <w:tcPr>
            <w:tcW w:type="dxa" w:w="2098"/>
            <w:shd w:fill="D9EAF7"/>
            <w:tcMar>
              <w:top w:w="65" w:type="dxa"/>
              <w:start w:w="75" w:type="dxa"/>
              <w:bottom w:w="65" w:type="dxa"/>
              <w:end w:w="75" w:type="dxa"/>
            </w:tcMar>
            <w:vAlign w:val="center"/>
          </w:tcPr>
          <w:p>
            <w:pPr>
              <w:spacing w:after="0"/>
              <w:jc w:val="center"/>
            </w:pPr>
            <w:r>
              <w:rPr>
                <w:rFonts w:ascii="Tinos" w:hAnsi="Tinos" w:eastAsia="Tinos"/>
                <w:b/>
                <w:sz w:val="18"/>
              </w:rPr>
              <w:t>Objective</w:t>
            </w:r>
          </w:p>
        </w:tc>
        <w:tc>
          <w:tcPr>
            <w:tcW w:type="dxa" w:w="2098"/>
            <w:shd w:fill="D9EAF7"/>
            <w:tcMar>
              <w:top w:w="65" w:type="dxa"/>
              <w:start w:w="75" w:type="dxa"/>
              <w:bottom w:w="65" w:type="dxa"/>
              <w:end w:w="75" w:type="dxa"/>
            </w:tcMar>
            <w:vAlign w:val="center"/>
          </w:tcPr>
          <w:p>
            <w:pPr>
              <w:spacing w:after="0"/>
              <w:jc w:val="center"/>
            </w:pPr>
            <w:r>
              <w:rPr>
                <w:rFonts w:ascii="Tinos" w:hAnsi="Tinos" w:eastAsia="Tinos"/>
                <w:b/>
                <w:sz w:val="18"/>
              </w:rPr>
              <w:t>Question</w:t>
            </w:r>
          </w:p>
        </w:tc>
        <w:tc>
          <w:tcPr>
            <w:tcW w:type="dxa" w:w="1474"/>
            <w:shd w:fill="D9EAF7"/>
            <w:tcMar>
              <w:top w:w="65" w:type="dxa"/>
              <w:start w:w="75" w:type="dxa"/>
              <w:bottom w:w="65" w:type="dxa"/>
              <w:end w:w="75" w:type="dxa"/>
            </w:tcMar>
            <w:vAlign w:val="center"/>
          </w:tcPr>
          <w:p>
            <w:pPr>
              <w:spacing w:after="0"/>
              <w:jc w:val="center"/>
            </w:pPr>
            <w:r>
              <w:rPr>
                <w:rFonts w:ascii="Tinos" w:hAnsi="Tinos" w:eastAsia="Tinos"/>
                <w:b/>
                <w:sz w:val="18"/>
              </w:rPr>
              <w:t>Hypothesis</w:t>
            </w:r>
          </w:p>
        </w:tc>
      </w:tr>
      <w:tr>
        <w:trPr>
          <w:cantSplit/>
        </w:trPr>
        <w:tc>
          <w:tcPr>
            <w:tcW w:type="dxa" w:w="3175"/>
            <w:tcMar>
              <w:top w:w="65" w:type="dxa"/>
              <w:start w:w="75" w:type="dxa"/>
              <w:bottom w:w="65" w:type="dxa"/>
              <w:end w:w="75" w:type="dxa"/>
            </w:tcMar>
            <w:vAlign w:val="top"/>
          </w:tcPr>
          <w:p>
            <w:pPr>
              <w:spacing w:line="240" w:lineRule="auto" w:after="0"/>
              <w:jc w:val="left"/>
            </w:pPr>
            <w:r>
              <w:rPr>
                <w:rFonts w:ascii="Tinos" w:hAnsi="Tinos" w:eastAsia="Tinos"/>
                <w:sz w:val="18"/>
              </w:rPr>
              <w:t>Medication optimization</w:t>
            </w:r>
          </w:p>
        </w:tc>
        <w:tc>
          <w:tcPr>
            <w:tcW w:type="dxa" w:w="2098"/>
            <w:tcMar>
              <w:top w:w="65" w:type="dxa"/>
              <w:start w:w="75" w:type="dxa"/>
              <w:bottom w:w="65" w:type="dxa"/>
              <w:end w:w="75" w:type="dxa"/>
            </w:tcMar>
            <w:vAlign w:val="top"/>
          </w:tcPr>
          <w:p>
            <w:pPr>
              <w:spacing w:line="240" w:lineRule="auto" w:after="0"/>
              <w:jc w:val="left"/>
            </w:pPr>
            <w:r>
              <w:rPr>
                <w:rFonts w:ascii="Tinos" w:hAnsi="Tinos" w:eastAsia="Tinos"/>
                <w:sz w:val="18"/>
              </w:rPr>
              <w:t>Objective 1</w:t>
            </w:r>
          </w:p>
        </w:tc>
        <w:tc>
          <w:tcPr>
            <w:tcW w:type="dxa" w:w="2098"/>
            <w:tcMar>
              <w:top w:w="65" w:type="dxa"/>
              <w:start w:w="75" w:type="dxa"/>
              <w:bottom w:w="65" w:type="dxa"/>
              <w:end w:w="75" w:type="dxa"/>
            </w:tcMar>
            <w:vAlign w:val="top"/>
          </w:tcPr>
          <w:p>
            <w:pPr>
              <w:spacing w:line="240" w:lineRule="auto" w:after="0"/>
              <w:jc w:val="left"/>
            </w:pPr>
            <w:r>
              <w:rPr>
                <w:rFonts w:ascii="Tinos" w:hAnsi="Tinos" w:eastAsia="Tinos"/>
                <w:sz w:val="18"/>
              </w:rPr>
              <w:t>Question 1</w:t>
            </w:r>
          </w:p>
        </w:tc>
        <w:tc>
          <w:tcPr>
            <w:tcW w:type="dxa" w:w="1474"/>
            <w:tcMar>
              <w:top w:w="65" w:type="dxa"/>
              <w:start w:w="75" w:type="dxa"/>
              <w:bottom w:w="65" w:type="dxa"/>
              <w:end w:w="75" w:type="dxa"/>
            </w:tcMar>
            <w:vAlign w:val="top"/>
          </w:tcPr>
          <w:p>
            <w:pPr>
              <w:spacing w:line="240" w:lineRule="auto" w:after="0"/>
              <w:jc w:val="left"/>
            </w:pPr>
            <w:r>
              <w:rPr>
                <w:rFonts w:ascii="Tinos" w:hAnsi="Tinos" w:eastAsia="Tinos"/>
                <w:sz w:val="18"/>
              </w:rPr>
              <w:t>H1a</w:t>
            </w:r>
          </w:p>
        </w:tc>
      </w:tr>
      <w:tr>
        <w:trPr>
          <w:cantSplit/>
        </w:trPr>
        <w:tc>
          <w:tcPr>
            <w:tcW w:type="dxa" w:w="3175"/>
            <w:tcMar>
              <w:top w:w="65" w:type="dxa"/>
              <w:start w:w="75" w:type="dxa"/>
              <w:bottom w:w="65" w:type="dxa"/>
              <w:end w:w="75" w:type="dxa"/>
            </w:tcMar>
            <w:vAlign w:val="top"/>
          </w:tcPr>
          <w:p>
            <w:pPr>
              <w:spacing w:line="240" w:lineRule="auto" w:after="0"/>
              <w:jc w:val="left"/>
            </w:pPr>
            <w:r>
              <w:rPr>
                <w:rFonts w:ascii="Tinos" w:hAnsi="Tinos" w:eastAsia="Tinos"/>
                <w:sz w:val="18"/>
              </w:rPr>
              <w:t>Respiratory optimization</w:t>
            </w:r>
          </w:p>
        </w:tc>
        <w:tc>
          <w:tcPr>
            <w:tcW w:type="dxa" w:w="2098"/>
            <w:tcMar>
              <w:top w:w="65" w:type="dxa"/>
              <w:start w:w="75" w:type="dxa"/>
              <w:bottom w:w="65" w:type="dxa"/>
              <w:end w:w="75" w:type="dxa"/>
            </w:tcMar>
            <w:vAlign w:val="top"/>
          </w:tcPr>
          <w:p>
            <w:pPr>
              <w:spacing w:line="240" w:lineRule="auto" w:after="0"/>
              <w:jc w:val="left"/>
            </w:pPr>
            <w:r>
              <w:rPr>
                <w:rFonts w:ascii="Tinos" w:hAnsi="Tinos" w:eastAsia="Tinos"/>
                <w:sz w:val="18"/>
              </w:rPr>
              <w:t>Objective 2</w:t>
            </w:r>
          </w:p>
        </w:tc>
        <w:tc>
          <w:tcPr>
            <w:tcW w:type="dxa" w:w="2098"/>
            <w:tcMar>
              <w:top w:w="65" w:type="dxa"/>
              <w:start w:w="75" w:type="dxa"/>
              <w:bottom w:w="65" w:type="dxa"/>
              <w:end w:w="75" w:type="dxa"/>
            </w:tcMar>
            <w:vAlign w:val="top"/>
          </w:tcPr>
          <w:p>
            <w:pPr>
              <w:spacing w:line="240" w:lineRule="auto" w:after="0"/>
              <w:jc w:val="left"/>
            </w:pPr>
            <w:r>
              <w:rPr>
                <w:rFonts w:ascii="Tinos" w:hAnsi="Tinos" w:eastAsia="Tinos"/>
                <w:sz w:val="18"/>
              </w:rPr>
              <w:t>Question 2</w:t>
            </w:r>
          </w:p>
        </w:tc>
        <w:tc>
          <w:tcPr>
            <w:tcW w:type="dxa" w:w="1474"/>
            <w:tcMar>
              <w:top w:w="65" w:type="dxa"/>
              <w:start w:w="75" w:type="dxa"/>
              <w:bottom w:w="65" w:type="dxa"/>
              <w:end w:w="75" w:type="dxa"/>
            </w:tcMar>
            <w:vAlign w:val="top"/>
          </w:tcPr>
          <w:p>
            <w:pPr>
              <w:spacing w:line="240" w:lineRule="auto" w:after="0"/>
              <w:jc w:val="left"/>
            </w:pPr>
            <w:r>
              <w:rPr>
                <w:rFonts w:ascii="Tinos" w:hAnsi="Tinos" w:eastAsia="Tinos"/>
                <w:sz w:val="18"/>
              </w:rPr>
              <w:t>H1b</w:t>
            </w:r>
          </w:p>
        </w:tc>
      </w:tr>
      <w:tr>
        <w:trPr>
          <w:cantSplit/>
        </w:trPr>
        <w:tc>
          <w:tcPr>
            <w:tcW w:type="dxa" w:w="3175"/>
            <w:tcMar>
              <w:top w:w="65" w:type="dxa"/>
              <w:start w:w="75" w:type="dxa"/>
              <w:bottom w:w="65" w:type="dxa"/>
              <w:end w:w="75" w:type="dxa"/>
            </w:tcMar>
            <w:vAlign w:val="top"/>
          </w:tcPr>
          <w:p>
            <w:pPr>
              <w:spacing w:line="240" w:lineRule="auto" w:after="0"/>
              <w:jc w:val="left"/>
            </w:pPr>
            <w:r>
              <w:rPr>
                <w:rFonts w:ascii="Tinos" w:hAnsi="Tinos" w:eastAsia="Tinos"/>
                <w:sz w:val="18"/>
              </w:rPr>
              <w:t>Organization and governance</w:t>
            </w:r>
          </w:p>
        </w:tc>
        <w:tc>
          <w:tcPr>
            <w:tcW w:type="dxa" w:w="2098"/>
            <w:tcMar>
              <w:top w:w="65" w:type="dxa"/>
              <w:start w:w="75" w:type="dxa"/>
              <w:bottom w:w="65" w:type="dxa"/>
              <w:end w:w="75" w:type="dxa"/>
            </w:tcMar>
            <w:vAlign w:val="top"/>
          </w:tcPr>
          <w:p>
            <w:pPr>
              <w:spacing w:line="240" w:lineRule="auto" w:after="0"/>
              <w:jc w:val="left"/>
            </w:pPr>
            <w:r>
              <w:rPr>
                <w:rFonts w:ascii="Tinos" w:hAnsi="Tinos" w:eastAsia="Tinos"/>
                <w:sz w:val="18"/>
              </w:rPr>
              <w:t>Objective 3</w:t>
            </w:r>
          </w:p>
        </w:tc>
        <w:tc>
          <w:tcPr>
            <w:tcW w:type="dxa" w:w="2098"/>
            <w:tcMar>
              <w:top w:w="65" w:type="dxa"/>
              <w:start w:w="75" w:type="dxa"/>
              <w:bottom w:w="65" w:type="dxa"/>
              <w:end w:w="75" w:type="dxa"/>
            </w:tcMar>
            <w:vAlign w:val="top"/>
          </w:tcPr>
          <w:p>
            <w:pPr>
              <w:spacing w:line="240" w:lineRule="auto" w:after="0"/>
              <w:jc w:val="left"/>
            </w:pPr>
            <w:r>
              <w:rPr>
                <w:rFonts w:ascii="Tinos" w:hAnsi="Tinos" w:eastAsia="Tinos"/>
                <w:sz w:val="18"/>
              </w:rPr>
              <w:t>Question 3</w:t>
            </w:r>
          </w:p>
        </w:tc>
        <w:tc>
          <w:tcPr>
            <w:tcW w:type="dxa" w:w="1474"/>
            <w:tcMar>
              <w:top w:w="65" w:type="dxa"/>
              <w:start w:w="75" w:type="dxa"/>
              <w:bottom w:w="65" w:type="dxa"/>
              <w:end w:w="75" w:type="dxa"/>
            </w:tcMar>
            <w:vAlign w:val="top"/>
          </w:tcPr>
          <w:p>
            <w:pPr>
              <w:spacing w:line="240" w:lineRule="auto" w:after="0"/>
              <w:jc w:val="left"/>
            </w:pPr>
            <w:r>
              <w:rPr>
                <w:rFonts w:ascii="Tinos" w:hAnsi="Tinos" w:eastAsia="Tinos"/>
                <w:sz w:val="18"/>
              </w:rPr>
              <w:t>H1c</w:t>
            </w:r>
          </w:p>
        </w:tc>
      </w:tr>
      <w:tr>
        <w:trPr>
          <w:cantSplit/>
        </w:trPr>
        <w:tc>
          <w:tcPr>
            <w:tcW w:type="dxa" w:w="3175"/>
            <w:tcMar>
              <w:top w:w="65" w:type="dxa"/>
              <w:start w:w="75" w:type="dxa"/>
              <w:bottom w:w="65" w:type="dxa"/>
              <w:end w:w="75" w:type="dxa"/>
            </w:tcMar>
            <w:vAlign w:val="top"/>
          </w:tcPr>
          <w:p>
            <w:pPr>
              <w:spacing w:line="240" w:lineRule="auto" w:after="0"/>
              <w:jc w:val="left"/>
            </w:pPr>
            <w:r>
              <w:rPr>
                <w:rFonts w:ascii="Tinos" w:hAnsi="Tinos" w:eastAsia="Tinos"/>
                <w:sz w:val="18"/>
              </w:rPr>
              <w:t>Integrated effect</w:t>
            </w:r>
          </w:p>
        </w:tc>
        <w:tc>
          <w:tcPr>
            <w:tcW w:type="dxa" w:w="2098"/>
            <w:tcMar>
              <w:top w:w="65" w:type="dxa"/>
              <w:start w:w="75" w:type="dxa"/>
              <w:bottom w:w="65" w:type="dxa"/>
              <w:end w:w="75" w:type="dxa"/>
            </w:tcMar>
            <w:vAlign w:val="top"/>
          </w:tcPr>
          <w:p>
            <w:pPr>
              <w:spacing w:line="240" w:lineRule="auto" w:after="0"/>
              <w:jc w:val="left"/>
            </w:pPr>
            <w:r>
              <w:rPr>
                <w:rFonts w:ascii="Tinos" w:hAnsi="Tinos" w:eastAsia="Tinos"/>
                <w:sz w:val="18"/>
              </w:rPr>
              <w:t>Objectives 4-5</w:t>
            </w:r>
          </w:p>
        </w:tc>
        <w:tc>
          <w:tcPr>
            <w:tcW w:type="dxa" w:w="2098"/>
            <w:tcMar>
              <w:top w:w="65" w:type="dxa"/>
              <w:start w:w="75" w:type="dxa"/>
              <w:bottom w:w="65" w:type="dxa"/>
              <w:end w:w="75" w:type="dxa"/>
            </w:tcMar>
            <w:vAlign w:val="top"/>
          </w:tcPr>
          <w:p>
            <w:pPr>
              <w:spacing w:line="240" w:lineRule="auto" w:after="0"/>
              <w:jc w:val="left"/>
            </w:pPr>
            <w:r>
              <w:rPr>
                <w:rFonts w:ascii="Tinos" w:hAnsi="Tinos" w:eastAsia="Tinos"/>
                <w:sz w:val="18"/>
              </w:rPr>
              <w:t>Questions 4-5</w:t>
            </w:r>
          </w:p>
        </w:tc>
        <w:tc>
          <w:tcPr>
            <w:tcW w:type="dxa" w:w="1474"/>
            <w:tcMar>
              <w:top w:w="65" w:type="dxa"/>
              <w:start w:w="75" w:type="dxa"/>
              <w:bottom w:w="65" w:type="dxa"/>
              <w:end w:w="75" w:type="dxa"/>
            </w:tcMar>
            <w:vAlign w:val="top"/>
          </w:tcPr>
          <w:p>
            <w:pPr>
              <w:spacing w:line="240" w:lineRule="auto" w:after="0"/>
              <w:jc w:val="left"/>
            </w:pPr>
            <w:r>
              <w:rPr>
                <w:rFonts w:ascii="Tinos" w:hAnsi="Tinos" w:eastAsia="Tinos"/>
                <w:sz w:val="18"/>
              </w:rPr>
              <w:t>H1 / H0</w:t>
            </w:r>
          </w:p>
        </w:tc>
      </w:tr>
    </w:tbl>
    <w:p>
      <w:pPr>
        <w:spacing w:before="60" w:after="140"/>
        <w:jc w:val="center"/>
      </w:pPr>
      <w:r>
        <w:rPr>
          <w:rFonts w:ascii="Tinos" w:hAnsi="Tinos" w:eastAsia="Tinos"/>
          <w:b/>
          <w:sz w:val="20"/>
        </w:rPr>
        <w:t>Table 1.1  Alignment of objectives, questions, and hypotheses</w:t>
      </w:r>
    </w:p>
    <w:p>
      <w:pPr>
        <w:pStyle w:val="Heading2"/>
      </w:pPr>
      <w:r>
        <w:t>1.7 Operational Definitions</w:t>
      </w:r>
    </w:p>
    <w:tbl>
      <w:tblPr>
        <w:tblW w:type="auto" w:w="0"/>
        <w:jc w:val="center"/>
        <w:tblLayout w:type="fixed"/>
        <w:tblLook w:firstColumn="1" w:firstRow="1" w:lastColumn="0" w:lastRow="0" w:noHBand="0" w:noVBand="1" w:val="04A0"/>
        <w:tblBorders>
          <w:top w:val="single" w:sz="4" w:color="9EADBA"/>
          <w:left w:val="single" w:sz="4" w:color="9EADBA"/>
          <w:bottom w:val="single" w:sz="4" w:color="9EADBA"/>
          <w:right w:val="single" w:sz="4" w:color="9EADBA"/>
          <w:insideH w:val="single" w:sz="4" w:color="9EADBA"/>
          <w:insideV w:val="single" w:sz="4" w:color="9EADBA"/>
        </w:tblBorders>
      </w:tblPr>
      <w:tblGrid>
        <w:gridCol w:w="4592"/>
        <w:gridCol w:w="4592"/>
      </w:tblGrid>
      <w:tr>
        <w:trPr>
          <w:tblHeader w:val="true"/>
          <w:cantSplit/>
        </w:trPr>
        <w:tc>
          <w:tcPr>
            <w:tcW w:type="dxa" w:w="2835"/>
            <w:shd w:fill="D9EAF7"/>
            <w:tcMar>
              <w:top w:w="65" w:type="dxa"/>
              <w:start w:w="75" w:type="dxa"/>
              <w:bottom w:w="65" w:type="dxa"/>
              <w:end w:w="75" w:type="dxa"/>
            </w:tcMar>
            <w:vAlign w:val="center"/>
          </w:tcPr>
          <w:p>
            <w:pPr>
              <w:spacing w:after="0"/>
              <w:jc w:val="center"/>
            </w:pPr>
            <w:r>
              <w:rPr>
                <w:rFonts w:ascii="Tinos" w:hAnsi="Tinos" w:eastAsia="Tinos"/>
                <w:b/>
                <w:sz w:val="18"/>
              </w:rPr>
              <w:t>Term</w:t>
            </w:r>
          </w:p>
        </w:tc>
        <w:tc>
          <w:tcPr>
            <w:tcW w:type="dxa" w:w="6350"/>
            <w:shd w:fill="D9EAF7"/>
            <w:tcMar>
              <w:top w:w="65" w:type="dxa"/>
              <w:start w:w="75" w:type="dxa"/>
              <w:bottom w:w="65" w:type="dxa"/>
              <w:end w:w="75" w:type="dxa"/>
            </w:tcMar>
            <w:vAlign w:val="center"/>
          </w:tcPr>
          <w:p>
            <w:pPr>
              <w:spacing w:after="0"/>
              <w:jc w:val="center"/>
            </w:pPr>
            <w:r>
              <w:rPr>
                <w:rFonts w:ascii="Tinos" w:hAnsi="Tinos" w:eastAsia="Tinos"/>
                <w:b/>
                <w:sz w:val="18"/>
              </w:rPr>
              <w:t>Definition used in this study</w:t>
            </w:r>
          </w:p>
        </w:tc>
      </w:tr>
      <w:tr>
        <w:trPr>
          <w:cantSplit/>
        </w:trPr>
        <w:tc>
          <w:tcPr>
            <w:tcW w:type="dxa" w:w="2835"/>
            <w:tcMar>
              <w:top w:w="65" w:type="dxa"/>
              <w:start w:w="75" w:type="dxa"/>
              <w:bottom w:w="65" w:type="dxa"/>
              <w:end w:w="75" w:type="dxa"/>
            </w:tcMar>
            <w:vAlign w:val="top"/>
          </w:tcPr>
          <w:p>
            <w:pPr>
              <w:spacing w:line="240" w:lineRule="auto" w:after="0"/>
              <w:jc w:val="left"/>
            </w:pPr>
            <w:r>
              <w:rPr>
                <w:rFonts w:ascii="Tinos" w:hAnsi="Tinos" w:eastAsia="Tinos"/>
                <w:sz w:val="18"/>
              </w:rPr>
              <w:t>Clinical resource optimization</w:t>
            </w:r>
          </w:p>
        </w:tc>
        <w:tc>
          <w:tcPr>
            <w:tcW w:type="dxa" w:w="6350"/>
            <w:tcMar>
              <w:top w:w="65" w:type="dxa"/>
              <w:start w:w="75" w:type="dxa"/>
              <w:bottom w:w="65" w:type="dxa"/>
              <w:end w:w="75" w:type="dxa"/>
            </w:tcMar>
            <w:vAlign w:val="top"/>
          </w:tcPr>
          <w:p>
            <w:pPr>
              <w:spacing w:line="240" w:lineRule="auto" w:after="0"/>
              <w:jc w:val="left"/>
            </w:pPr>
            <w:r>
              <w:rPr>
                <w:rFonts w:ascii="Tinos" w:hAnsi="Tinos" w:eastAsia="Tinos"/>
                <w:sz w:val="18"/>
              </w:rPr>
              <w:t>A structured process that improves how medications, respiratory equipment, staff practices, and hospital capacity are used. In this study it is represented by stewardship, pharmacist review, ventilator-care bundles, audit and feedback, and organizational redesign.</w:t>
            </w:r>
          </w:p>
        </w:tc>
      </w:tr>
      <w:tr>
        <w:trPr>
          <w:cantSplit/>
        </w:trPr>
        <w:tc>
          <w:tcPr>
            <w:tcW w:type="dxa" w:w="2835"/>
            <w:tcMar>
              <w:top w:w="65" w:type="dxa"/>
              <w:start w:w="75" w:type="dxa"/>
              <w:bottom w:w="65" w:type="dxa"/>
              <w:end w:w="75" w:type="dxa"/>
            </w:tcMar>
            <w:vAlign w:val="top"/>
          </w:tcPr>
          <w:p>
            <w:pPr>
              <w:spacing w:line="240" w:lineRule="auto" w:after="0"/>
              <w:jc w:val="left"/>
            </w:pPr>
            <w:r>
              <w:rPr>
                <w:rFonts w:ascii="Tinos" w:hAnsi="Tinos" w:eastAsia="Tinos"/>
                <w:sz w:val="18"/>
              </w:rPr>
              <w:t>Cost efficiency</w:t>
            </w:r>
          </w:p>
        </w:tc>
        <w:tc>
          <w:tcPr>
            <w:tcW w:type="dxa" w:w="6350"/>
            <w:tcMar>
              <w:top w:w="65" w:type="dxa"/>
              <w:start w:w="75" w:type="dxa"/>
              <w:bottom w:w="65" w:type="dxa"/>
              <w:end w:w="75" w:type="dxa"/>
            </w:tcMar>
            <w:vAlign w:val="top"/>
          </w:tcPr>
          <w:p>
            <w:pPr>
              <w:spacing w:line="240" w:lineRule="auto" w:after="0"/>
              <w:jc w:val="left"/>
            </w:pPr>
            <w:r>
              <w:rPr>
                <w:rFonts w:ascii="Tinos" w:hAnsi="Tinos" w:eastAsia="Tinos"/>
                <w:sz w:val="18"/>
              </w:rPr>
              <w:t>Achieving the same or better service and outcomes with lower or more appropriate resource input. Measures include reported monetary savings, medication cost, technical-efficiency scores, occupancy, and avoidable complication-related cost.</w:t>
            </w:r>
          </w:p>
        </w:tc>
      </w:tr>
      <w:tr>
        <w:trPr>
          <w:cantSplit/>
        </w:trPr>
        <w:tc>
          <w:tcPr>
            <w:tcW w:type="dxa" w:w="2835"/>
            <w:tcMar>
              <w:top w:w="65" w:type="dxa"/>
              <w:start w:w="75" w:type="dxa"/>
              <w:bottom w:w="65" w:type="dxa"/>
              <w:end w:w="75" w:type="dxa"/>
            </w:tcMar>
            <w:vAlign w:val="top"/>
          </w:tcPr>
          <w:p>
            <w:pPr>
              <w:spacing w:line="240" w:lineRule="auto" w:after="0"/>
              <w:jc w:val="left"/>
            </w:pPr>
            <w:r>
              <w:rPr>
                <w:rFonts w:ascii="Tinos" w:hAnsi="Tinos" w:eastAsia="Tinos"/>
                <w:sz w:val="18"/>
              </w:rPr>
              <w:t>Medication optimization</w:t>
            </w:r>
          </w:p>
        </w:tc>
        <w:tc>
          <w:tcPr>
            <w:tcW w:type="dxa" w:w="6350"/>
            <w:tcMar>
              <w:top w:w="65" w:type="dxa"/>
              <w:start w:w="75" w:type="dxa"/>
              <w:bottom w:w="65" w:type="dxa"/>
              <w:end w:w="75" w:type="dxa"/>
            </w:tcMar>
            <w:vAlign w:val="top"/>
          </w:tcPr>
          <w:p>
            <w:pPr>
              <w:spacing w:line="240" w:lineRule="auto" w:after="0"/>
              <w:jc w:val="left"/>
            </w:pPr>
            <w:r>
              <w:rPr>
                <w:rFonts w:ascii="Tinos" w:hAnsi="Tinos" w:eastAsia="Tinos"/>
                <w:sz w:val="18"/>
              </w:rPr>
              <w:t>Review and control of medication selection, dose, route, duration, duplication, and de-escalation.</w:t>
            </w:r>
          </w:p>
        </w:tc>
      </w:tr>
      <w:tr>
        <w:trPr>
          <w:cantSplit/>
        </w:trPr>
        <w:tc>
          <w:tcPr>
            <w:tcW w:type="dxa" w:w="2835"/>
            <w:tcMar>
              <w:top w:w="65" w:type="dxa"/>
              <w:start w:w="75" w:type="dxa"/>
              <w:bottom w:w="65" w:type="dxa"/>
              <w:end w:w="75" w:type="dxa"/>
            </w:tcMar>
            <w:vAlign w:val="top"/>
          </w:tcPr>
          <w:p>
            <w:pPr>
              <w:spacing w:line="240" w:lineRule="auto" w:after="0"/>
              <w:jc w:val="left"/>
            </w:pPr>
            <w:r>
              <w:rPr>
                <w:rFonts w:ascii="Tinos" w:hAnsi="Tinos" w:eastAsia="Tinos"/>
                <w:sz w:val="18"/>
              </w:rPr>
              <w:t>Respiratory resource optimization</w:t>
            </w:r>
          </w:p>
        </w:tc>
        <w:tc>
          <w:tcPr>
            <w:tcW w:type="dxa" w:w="6350"/>
            <w:tcMar>
              <w:top w:w="65" w:type="dxa"/>
              <w:start w:w="75" w:type="dxa"/>
              <w:bottom w:w="65" w:type="dxa"/>
              <w:end w:w="75" w:type="dxa"/>
            </w:tcMar>
            <w:vAlign w:val="top"/>
          </w:tcPr>
          <w:p>
            <w:pPr>
              <w:spacing w:line="240" w:lineRule="auto" w:after="0"/>
              <w:jc w:val="left"/>
            </w:pPr>
            <w:r>
              <w:rPr>
                <w:rFonts w:ascii="Tinos" w:hAnsi="Tinos" w:eastAsia="Tinos"/>
                <w:sz w:val="18"/>
              </w:rPr>
              <w:t>Standardized care for mechanically ventilated patients, including prevention bundles, spontaneous awakening and breathing trials, and avoidance of unnecessary treatment.</w:t>
            </w:r>
          </w:p>
        </w:tc>
      </w:tr>
      <w:tr>
        <w:trPr>
          <w:cantSplit/>
        </w:trPr>
        <w:tc>
          <w:tcPr>
            <w:tcW w:type="dxa" w:w="2835"/>
            <w:tcMar>
              <w:top w:w="65" w:type="dxa"/>
              <w:start w:w="75" w:type="dxa"/>
              <w:bottom w:w="65" w:type="dxa"/>
              <w:end w:w="75" w:type="dxa"/>
            </w:tcMar>
            <w:vAlign w:val="top"/>
          </w:tcPr>
          <w:p>
            <w:pPr>
              <w:spacing w:line="240" w:lineRule="auto" w:after="0"/>
              <w:jc w:val="left"/>
            </w:pPr>
            <w:r>
              <w:rPr>
                <w:rFonts w:ascii="Tinos" w:hAnsi="Tinos" w:eastAsia="Tinos"/>
                <w:sz w:val="18"/>
              </w:rPr>
              <w:t>Secondary field-data analysis</w:t>
            </w:r>
          </w:p>
        </w:tc>
        <w:tc>
          <w:tcPr>
            <w:tcW w:type="dxa" w:w="6350"/>
            <w:tcMar>
              <w:top w:w="65" w:type="dxa"/>
              <w:start w:w="75" w:type="dxa"/>
              <w:bottom w:w="65" w:type="dxa"/>
              <w:end w:w="75" w:type="dxa"/>
            </w:tcMar>
            <w:vAlign w:val="top"/>
          </w:tcPr>
          <w:p>
            <w:pPr>
              <w:spacing w:line="240" w:lineRule="auto" w:after="0"/>
              <w:jc w:val="left"/>
            </w:pPr>
            <w:r>
              <w:rPr>
                <w:rFonts w:ascii="Tinos" w:hAnsi="Tinos" w:eastAsia="Tinos"/>
                <w:sz w:val="18"/>
              </w:rPr>
              <w:t>Analysis of quantitative results already collected in empirical Saudi hospital studies. No new patient or staff data were collected for this project.</w:t>
            </w:r>
          </w:p>
        </w:tc>
      </w:tr>
    </w:tbl>
    <w:p>
      <w:pPr>
        <w:spacing w:before="60" w:after="140"/>
        <w:jc w:val="center"/>
      </w:pPr>
      <w:r>
        <w:rPr>
          <w:rFonts w:ascii="Tinos" w:hAnsi="Tinos" w:eastAsia="Tinos"/>
          <w:b/>
          <w:sz w:val="20"/>
        </w:rPr>
        <w:t>Table 1.2  Operational definitions</w:t>
      </w:r>
    </w:p>
    <w:p>
      <w:pPr>
        <w:pStyle w:val="Heading2"/>
      </w:pPr>
      <w:r>
        <w:t>1.8 Conceptual Framework</w:t>
      </w:r>
    </w:p>
    <w:p>
      <w:pPr>
        <w:spacing w:line="312" w:lineRule="auto" w:after="100"/>
        <w:ind w:firstLine="369"/>
        <w:jc w:val="both"/>
      </w:pPr>
      <w:r>
        <w:rPr>
          <w:rFonts w:ascii="Tinos" w:hAnsi="Tinos" w:eastAsia="Tinos"/>
        </w:rPr>
        <w:t>The framework groups clinical resource optimization into three areas: medication management, respiratory resource management, and organizational governance. Evidence from each area is considered against cost, resource use, technical efficiency, and operational performance, while patient outcomes remain part of the interpretation. A lower cost, by itself, is not evidence of efficiency if the quality of care declines.</w:t>
      </w:r>
    </w:p>
    <w:p>
      <w:pPr>
        <w:jc w:val="center"/>
      </w:pPr>
      <w:r>
        <w:drawing>
          <wp:inline xmlns:a="http://schemas.openxmlformats.org/drawingml/2006/main" xmlns:pic="http://schemas.openxmlformats.org/drawingml/2006/picture">
            <wp:extent cx="5832000" cy="3175200"/>
            <wp:docPr id="1" name="Picture 1"/>
            <wp:cNvGraphicFramePr>
              <a:graphicFrameLocks noChangeAspect="1"/>
            </wp:cNvGraphicFramePr>
            <a:graphic>
              <a:graphicData uri="http://schemas.openxmlformats.org/drawingml/2006/picture">
                <pic:pic>
                  <pic:nvPicPr>
                    <pic:cNvPr id="0" name="secondary_conceptual_model.png"/>
                    <pic:cNvPicPr/>
                  </pic:nvPicPr>
                  <pic:blipFill>
                    <a:blip r:embed="rId11"/>
                    <a:stretch>
                      <a:fillRect/>
                    </a:stretch>
                  </pic:blipFill>
                  <pic:spPr>
                    <a:xfrm>
                      <a:off x="0" y="0"/>
                      <a:ext cx="5832000" cy="3175200"/>
                    </a:xfrm>
                    <a:prstGeom prst="rect"/>
                  </pic:spPr>
                </pic:pic>
              </a:graphicData>
            </a:graphic>
          </wp:inline>
        </w:drawing>
      </w:r>
    </w:p>
    <w:p>
      <w:pPr>
        <w:spacing w:before="60" w:after="140"/>
        <w:jc w:val="center"/>
      </w:pPr>
      <w:r>
        <w:rPr>
          <w:rFonts w:ascii="Tinos" w:hAnsi="Tinos" w:eastAsia="Tinos"/>
          <w:b/>
          <w:sz w:val="20"/>
        </w:rPr>
        <w:t>Figure 1.1  Conceptual model</w:t>
      </w:r>
    </w:p>
    <w:p>
      <w:pPr>
        <w:pStyle w:val="Heading2"/>
      </w:pPr>
      <w:r>
        <w:t>1.9 Scope of the Study</w:t>
      </w:r>
    </w:p>
    <w:p>
      <w:pPr>
        <w:spacing w:line="312" w:lineRule="auto" w:after="100"/>
        <w:ind w:firstLine="369"/>
        <w:jc w:val="both"/>
      </w:pPr>
      <w:r>
        <w:rPr>
          <w:rFonts w:ascii="Tinos" w:hAnsi="Tinos" w:eastAsia="Tinos"/>
        </w:rPr>
        <w:t>The study includes quantitative research from Saudi public, governmental, university, and national collaborative hospital settings. Its main focus is adult intensive care and related evidence about public-hospital efficiency. Studies published up to July 2026 were considered. International sources are used only to explain basic concepts. The numerical results in Chapter Four come from Saudi field studies.</w:t>
      </w:r>
    </w:p>
    <w:p>
      <w:r>
        <w:br w:type="page"/>
      </w:r>
    </w:p>
    <w:p>
      <w:pPr>
        <w:pStyle w:val="Heading1"/>
      </w:pPr>
      <w:r>
        <w:t>Chapter Two: Literature Review</w:t>
      </w:r>
    </w:p>
    <w:p>
      <w:pPr>
        <w:pStyle w:val="Heading2"/>
      </w:pPr>
      <w:r>
        <w:t>2.1 Introduction</w:t>
      </w:r>
    </w:p>
    <w:p>
      <w:pPr>
        <w:spacing w:line="312" w:lineRule="auto" w:after="100"/>
        <w:ind w:firstLine="369"/>
        <w:jc w:val="both"/>
      </w:pPr>
      <w:r>
        <w:rPr>
          <w:rFonts w:ascii="Tinos" w:hAnsi="Tinos" w:eastAsia="Tinos"/>
        </w:rPr>
        <w:t>This chapter looks at the management ideas that support the study and then reviews the Saudi research that was chosen for it. The review is organized around cost efficiency and the three areas of resource optimization this project focuses on: medication management, respiratory care, and organizational governance.</w:t>
      </w:r>
    </w:p>
    <w:p>
      <w:pPr>
        <w:pStyle w:val="Heading2"/>
      </w:pPr>
      <w:r>
        <w:t>2.2 Cost Efficiency in Healthcare</w:t>
      </w:r>
    </w:p>
    <w:p>
      <w:pPr>
        <w:spacing w:line="312" w:lineRule="auto" w:after="100"/>
        <w:ind w:firstLine="369"/>
        <w:jc w:val="both"/>
      </w:pPr>
      <w:r>
        <w:rPr>
          <w:rFonts w:ascii="Tinos" w:hAnsi="Tinos" w:eastAsia="Tinos"/>
        </w:rPr>
        <w:t>Cost efficiency does not simply mean spending less. A hospital can lower its spending by treating fewer patients, transferring complicated cases elsewhere, or cutting back on services, and none of that actually makes it more efficient. Real efficiency is about the relationship between what a hospital puts in and what it gets out. The inputs are things like beds, staff, medication, devices, and time, while the outputs are the patients treated, the procedures performed, the quality of care, survival, and how quickly patients are discharged. Alatawi et al. (2020) applied data envelopment analysis to examine how effectively Saudi public hospitals converted these inputs into services.</w:t>
      </w:r>
    </w:p>
    <w:p>
      <w:pPr>
        <w:spacing w:line="312" w:lineRule="auto" w:after="100"/>
        <w:ind w:firstLine="369"/>
        <w:jc w:val="both"/>
      </w:pPr>
      <w:r>
        <w:rPr>
          <w:rFonts w:ascii="Tinos" w:hAnsi="Tinos" w:eastAsia="Tinos"/>
        </w:rPr>
        <w:t>Inside the ICU specifically, cost tends to be tied to patient-days, ventilator-days, medication use, and complications that could have been prevented. Not every study reviewed here reported a full financial figure. Some gave cost per 100 bed-days, some estimated the cost avoided through infection prevention, and others relied on operational indicators instead. Because these are not the same type of measurement, this study does not attempt to combine them into a single overall total.</w:t>
      </w:r>
    </w:p>
    <w:p>
      <w:pPr>
        <w:pStyle w:val="Heading2"/>
      </w:pPr>
      <w:r>
        <w:t>2.3 Theoretical Foundations</w:t>
      </w:r>
    </w:p>
    <w:p>
      <w:pPr>
        <w:pStyle w:val="Heading3"/>
      </w:pPr>
      <w:r>
        <w:t>2.3.1 Resource-Based View</w:t>
      </w:r>
    </w:p>
    <w:p>
      <w:pPr>
        <w:spacing w:line="312" w:lineRule="auto" w:after="100"/>
        <w:ind w:firstLine="369"/>
        <w:jc w:val="both"/>
      </w:pPr>
      <w:r>
        <w:rPr>
          <w:rFonts w:ascii="Tinos" w:hAnsi="Tinos" w:eastAsia="Tinos"/>
        </w:rPr>
        <w:t>The resource-based view argues that an organization's performance comes down to how well it manages its resources, not just how many resources it has (Barney, 1991). Two ICUs could be equipped with almost identical beds and machines and still end up with very different results. What usually explains the gap is not the equipment itself, but things like stronger protocols, better teamwork among staff, and more consistent review of how care is actually being delivered.</w:t>
      </w:r>
    </w:p>
    <w:p>
      <w:pPr>
        <w:pStyle w:val="Heading3"/>
      </w:pPr>
      <w:r>
        <w:t>2.3.2 Donabedian Structure-Process-Outcome Model</w:t>
      </w:r>
    </w:p>
    <w:p>
      <w:pPr>
        <w:spacing w:line="312" w:lineRule="auto" w:after="100"/>
        <w:ind w:firstLine="369"/>
        <w:jc w:val="both"/>
      </w:pPr>
      <w:r>
        <w:rPr>
          <w:rFonts w:ascii="Tinos" w:hAnsi="Tinos" w:eastAsia="Tinos"/>
        </w:rPr>
        <w:t>Donabedian's model breaks quality down into three linked parts: structure, process, and outcome. Structure covers the staff, policies, beds, and equipment already in place. Process is what actually happens day to day, things like stewardship rounds, ventilator checks, and how closely staff follow care bundles. Outcome is the result of all that, reflected in cost, infection rates, mortality, and length of stay. The point this model makes is that simply having a policy on paper is not enough; the policy only matters once it changes what staff actually do every day.</w:t>
      </w:r>
    </w:p>
    <w:p>
      <w:pPr>
        <w:pStyle w:val="Heading3"/>
      </w:pPr>
      <w:r>
        <w:t>2.3.3 Value and Cost Efficiency</w:t>
      </w:r>
    </w:p>
    <w:p>
      <w:pPr>
        <w:spacing w:line="312" w:lineRule="auto" w:after="100"/>
        <w:ind w:firstLine="369"/>
        <w:jc w:val="both"/>
      </w:pPr>
      <w:r>
        <w:rPr>
          <w:rFonts w:ascii="Tinos" w:hAnsi="Tinos" w:eastAsia="Tinos"/>
        </w:rPr>
        <w:t>The value-based view compares the outcomes patients get against the resources it took to get there. In an ICU, a drop in medication cost is only a good sign if care is still safe and delivered on time. The same logic applies to bed occupancy: lower occupancy might mean patients are moving through the unit more smoothly, but it could also just mean beds are sitting empty. That is why cost figures need to be read alongside quality and access measures, not on their own.</w:t>
      </w:r>
    </w:p>
    <w:p>
      <w:pPr>
        <w:pStyle w:val="Heading2"/>
      </w:pPr>
      <w:r>
        <w:t>2.4 Medication Optimization Evidence</w:t>
      </w:r>
    </w:p>
    <w:p>
      <w:pPr>
        <w:pStyle w:val="Heading3"/>
      </w:pPr>
      <w:r>
        <w:t>2.4.1 Antimicrobial Stewardship in a Saudi Critical Care Unit</w:t>
      </w:r>
    </w:p>
    <w:p>
      <w:pPr>
        <w:spacing w:line="312" w:lineRule="auto" w:after="100"/>
        <w:ind w:firstLine="369"/>
        <w:jc w:val="both"/>
      </w:pPr>
      <w:r>
        <w:rPr>
          <w:rFonts w:ascii="Tinos" w:hAnsi="Tinos" w:eastAsia="Tinos"/>
        </w:rPr>
        <w:t>Haseeb et al. (2021) looked at a multidisciplinary antimicrobial stewardship program run in a 20-bed adult ICU at Ajyad Emergency Hospital in Makkah. They compared the nine months before the program started with the nine months after. The program itself combined leadership support, prescribing guidance, staff education, and audit and feedback during ward rounds. Because medication use and cost were both reported per 100 bed-days, the two periods could be compared in a fairly direct way.</w:t>
      </w:r>
    </w:p>
    <w:p>
      <w:pPr>
        <w:spacing w:line="312" w:lineRule="auto" w:after="100"/>
        <w:ind w:firstLine="369"/>
        <w:jc w:val="both"/>
      </w:pPr>
      <w:r>
        <w:rPr>
          <w:rFonts w:ascii="Tinos" w:hAnsi="Tinos" w:eastAsia="Tinos"/>
        </w:rPr>
        <w:t>Total antimicrobial use fell from 742.86 to 555.33 defined daily doses per 100 bed-days, roughly a 25% drop. The intravenous figure dropped even more sharply, from 293.43 to 164.41, close to 44%, and this change was statistically significant. Several individual drugs showed the same downward pattern. One complication was that linezolid was introduced partway through the study and pushed the total cost up. Once linezolid was taken out of the calculation, cost fell from SAR 38,723.72 to SAR 25,299.24 per 100 bed-days.</w:t>
      </w:r>
    </w:p>
    <w:p>
      <w:pPr>
        <w:spacing w:line="312" w:lineRule="auto" w:after="100"/>
        <w:ind w:firstLine="369"/>
        <w:jc w:val="both"/>
      </w:pPr>
      <w:r>
        <w:rPr>
          <w:rFonts w:ascii="Tinos" w:hAnsi="Tinos" w:eastAsia="Tinos"/>
        </w:rPr>
        <w:t>One thing worth flagging is that the article itself gives two different p-values for this linezolid-adjusted cost result: the text says p = 0.008, but the table says p = 0.086. Given that mismatch, this study reports the reduction as a finding without calling it statistically significant. Separately, ICU length of stay did not show a meaningful change.</w:t>
      </w:r>
    </w:p>
    <w:p>
      <w:pPr>
        <w:pStyle w:val="Heading3"/>
      </w:pPr>
      <w:r>
        <w:t>2.4.2 Clinical Pharmacist Interventions</w:t>
      </w:r>
    </w:p>
    <w:p>
      <w:pPr>
        <w:spacing w:line="312" w:lineRule="auto" w:after="100"/>
        <w:ind w:firstLine="369"/>
        <w:jc w:val="both"/>
      </w:pPr>
      <w:r>
        <w:rPr>
          <w:rFonts w:ascii="Tinos" w:hAnsi="Tinos" w:eastAsia="Tinos"/>
        </w:rPr>
        <w:t>Althomali et al. (2022) looked at six months of clinical pharmacist interventions in the ICU at King Faisal Medical Complex in Taif, covering 165 patients and 404 interventions in total. According to the results table, 370 of these were accepted, which works out to 91.5%. Interestingly, another part of the article quotes 98.5% instead. This study goes with 91.5%, since that figure is the one that actually matches the reported numbers.</w:t>
      </w:r>
    </w:p>
    <w:p>
      <w:pPr>
        <w:spacing w:line="312" w:lineRule="auto" w:after="100"/>
        <w:ind w:firstLine="369"/>
        <w:jc w:val="both"/>
      </w:pPr>
      <w:r>
        <w:rPr>
          <w:rFonts w:ascii="Tinos" w:hAnsi="Tinos" w:eastAsia="Tinos"/>
        </w:rPr>
        <w:t>Of the 404 interventions, 169 (41.6%) were judged likely to save cost. The interventions themselves were fairly practical: stopping a drug once it had run unnecessarily long, adjusting a dose for kidney function, stopping a drug that had no clear reason to be prescribed, catching duplicate therapy, and managing drug interactions. What the authors did not do was work out an actual dollar figure for the savings, so this study can point to pharmacist review as valuable without being able to attach a specific financial number to it.</w:t>
      </w:r>
    </w:p>
    <w:p>
      <w:pPr>
        <w:pStyle w:val="Heading2"/>
      </w:pPr>
      <w:r>
        <w:t>2.5 Respiratory Resource Optimization Evidence</w:t>
      </w:r>
    </w:p>
    <w:p>
      <w:pPr>
        <w:pStyle w:val="Heading3"/>
      </w:pPr>
      <w:r>
        <w:t>2.5.1 Ventilator-Care Bundle and VAP Cost</w:t>
      </w:r>
    </w:p>
    <w:p>
      <w:pPr>
        <w:spacing w:line="312" w:lineRule="auto" w:after="100"/>
        <w:ind w:firstLine="369"/>
        <w:jc w:val="both"/>
      </w:pPr>
      <w:r>
        <w:rPr>
          <w:rFonts w:ascii="Tinos" w:hAnsi="Tinos" w:eastAsia="Tinos"/>
        </w:rPr>
        <w:t>Bukhari et al. (2012) ran a prospective study in the adult ICU at Hera General Hospital in Makkah, covering 2,747 patients. The ventilator-care bundle they used combined raising the head of the bed, a daily sedation interruption paired with a weaning-readiness check, peptic-ulcer prevention, and deep-vein-thrombosis prevention. Compliance with the bundle averaged 78.9% overall, but it climbed steadily over the year, starting at 30% in January and reaching 100% by December.</w:t>
      </w:r>
    </w:p>
    <w:p>
      <w:pPr>
        <w:spacing w:line="312" w:lineRule="auto" w:after="100"/>
        <w:ind w:firstLine="369"/>
        <w:jc w:val="both"/>
      </w:pPr>
      <w:r>
        <w:rPr>
          <w:rFonts w:ascii="Tinos" w:hAnsi="Tinos" w:eastAsia="Tinos"/>
        </w:rPr>
        <w:t>By 2010, the VAP rate had come down to 1.98 per 1,000 ventilator-days, which the authors describe as 1.41 lower than the 2009 rate, putting the 2009 figure at roughly 3.39 and the overall reduction at about 41.6%. Alongside this, the study estimated a one-year cost saving of USD 154,930, and higher bundle compliance was significantly linked to the lower VAP rate (p = 0.001). It is worth keeping in mind that this cost figure comes from a single hospital in 2010, so it should be read as one data point rather than a current national estimate.</w:t>
      </w:r>
    </w:p>
    <w:p>
      <w:pPr>
        <w:pStyle w:val="Heading3"/>
      </w:pPr>
      <w:r>
        <w:t>2.5.2 National Mechanical-Ventilation Improvement Collaborative</w:t>
      </w:r>
    </w:p>
    <w:p>
      <w:pPr>
        <w:spacing w:line="312" w:lineRule="auto" w:after="100"/>
        <w:ind w:firstLine="369"/>
        <w:jc w:val="both"/>
      </w:pPr>
      <w:r>
        <w:rPr>
          <w:rFonts w:ascii="Tinos" w:hAnsi="Tinos" w:eastAsia="Tinos"/>
        </w:rPr>
        <w:t>Arabi et al. (2023) describe a much larger, national-scale project aimed at improving care for mechanically ventilated patients, spanning 42 ICUs across 26 Saudi hospitals, more than 83,000 ventilator-days, and 8,523 patients. Month over month, compliance improved across several practices: subglottic suctioning rose by 3.5%, spontaneous awakening trials by 2.1%, and spontaneous breathing trials by 1.9%, while use of neuromuscular blockers fell by 2.5% a month.</w:t>
      </w:r>
    </w:p>
    <w:p>
      <w:pPr>
        <w:spacing w:line="312" w:lineRule="auto" w:after="100"/>
        <w:ind w:firstLine="369"/>
        <w:jc w:val="both"/>
      </w:pPr>
      <w:r>
        <w:rPr>
          <w:rFonts w:ascii="Tinos" w:hAnsi="Tinos" w:eastAsia="Tinos"/>
        </w:rPr>
        <w:t>Mortality started at 30.4% and dropped by 1.6% each month, which is a meaningful trend. That said, not everything moved in the expected direction: ventilator-associated events did not decrease, and neither ventilation duration nor ICU length of stay changed. Taken together, this is a useful reminder that day-to-day care practices can genuinely improve even while some of the resource outcomes you would expect to follow don't shift within the study period.</w:t>
      </w:r>
    </w:p>
    <w:p>
      <w:pPr>
        <w:pStyle w:val="Heading2"/>
      </w:pPr>
      <w:r>
        <w:t>2.6 Organizational and Hospital Efficiency Evidence</w:t>
      </w:r>
    </w:p>
    <w:p>
      <w:pPr>
        <w:pStyle w:val="Heading3"/>
      </w:pPr>
      <w:r>
        <w:t>2.6.1 Technical Efficiency of Saudi Public Hospitals</w:t>
      </w:r>
    </w:p>
    <w:p>
      <w:pPr>
        <w:spacing w:line="312" w:lineRule="auto" w:after="100"/>
        <w:ind w:firstLine="369"/>
        <w:jc w:val="both"/>
      </w:pPr>
      <w:r>
        <w:rPr>
          <w:rFonts w:ascii="Tinos" w:hAnsi="Tinos" w:eastAsia="Tinos"/>
        </w:rPr>
        <w:t>Alatawi et al. (2020) used 2017 Ministry of Health data and data envelopment analysis to evaluate 91 Saudi public hospitals. The finding that stands out is that 69 of them, or 75.8%, were technically inefficient, with an average efficiency score of 0.76 under constant returns to scale. Put simply, the model suggests the average hospital could cut its inputs by around 24% and still produce the same output, if it operated the way the most efficient hospitals do.</w:t>
      </w:r>
    </w:p>
    <w:p>
      <w:pPr>
        <w:spacing w:line="312" w:lineRule="auto" w:after="100"/>
        <w:ind w:firstLine="369"/>
        <w:jc w:val="both"/>
      </w:pPr>
      <w:r>
        <w:rPr>
          <w:rFonts w:ascii="Tinos" w:hAnsi="Tinos" w:eastAsia="Tinos"/>
        </w:rPr>
        <w:t>Just 22 hospitals reached both technical and scale efficiency. Smaller hospitals tended to score better than larger ones, and hospitals in the central region outperformed those in the western region. The study does not point to any single ICU practice as the fix, but it does make clear that how beds, staff, and other resources get used varies a lot from one public hospital to another.</w:t>
      </w:r>
    </w:p>
    <w:p>
      <w:pPr>
        <w:pStyle w:val="Heading3"/>
      </w:pPr>
      <w:r>
        <w:t>2.6.2 ICU Operating Model and Key Performance Indicators</w:t>
      </w:r>
    </w:p>
    <w:p>
      <w:pPr>
        <w:spacing w:line="312" w:lineRule="auto" w:after="100"/>
        <w:ind w:firstLine="369"/>
        <w:jc w:val="both"/>
      </w:pPr>
      <w:r>
        <w:rPr>
          <w:rFonts w:ascii="Tinos" w:hAnsi="Tinos" w:eastAsia="Tinos"/>
        </w:rPr>
        <w:t>Alarifi et al. (2024) compared a medical/surgical ICU model against a later mixed ICU model, using 2018-2022 data from King Khalid University Hospital in Riyadh. Across the two periods, the standardized mortality ratio dropped from 0.575 to 0.399, ICU length of stay fell from 4.989 to 4.481 days, occupancy dropped from 91.00% to 72.08%, and delayed discharge decreased from 34.59% to 23.31%. Of these, only the change in occupancy reached statistical significance.</w:t>
      </w:r>
    </w:p>
    <w:p>
      <w:pPr>
        <w:spacing w:line="312" w:lineRule="auto" w:after="100"/>
        <w:ind w:firstLine="369"/>
        <w:jc w:val="both"/>
      </w:pPr>
      <w:r>
        <w:rPr>
          <w:rFonts w:ascii="Tinos" w:hAnsi="Tinos" w:eastAsia="Tinos"/>
        </w:rPr>
        <w:t>These numbers need to be read carefully rather than taken at face value. Lower occupancy could mean better access and less pressure on the unit, but it could just as easily mean beds are going unused. The safest approach is to look at occupancy alongside mortality, length of stay, delayed discharge, and admission activity, rather than on its own.</w:t>
      </w:r>
    </w:p>
    <w:tbl>
      <w:tblPr>
        <w:tblW w:type="auto" w:w="0"/>
        <w:jc w:val="center"/>
        <w:tblLayout w:type="fixed"/>
        <w:tblLook w:firstColumn="1" w:firstRow="1" w:lastColumn="0" w:lastRow="0" w:noHBand="0" w:noVBand="1" w:val="04A0"/>
        <w:tblBorders>
          <w:top w:val="single" w:sz="4" w:color="9EADBA"/>
          <w:left w:val="single" w:sz="4" w:color="9EADBA"/>
          <w:bottom w:val="single" w:sz="4" w:color="9EADBA"/>
          <w:right w:val="single" w:sz="4" w:color="9EADBA"/>
          <w:insideH w:val="single" w:sz="4" w:color="9EADBA"/>
          <w:insideV w:val="single" w:sz="4" w:color="9EADBA"/>
        </w:tblBorders>
      </w:tblPr>
      <w:tblGrid>
        <w:gridCol w:w="2296"/>
        <w:gridCol w:w="2296"/>
        <w:gridCol w:w="2296"/>
        <w:gridCol w:w="2296"/>
      </w:tblGrid>
      <w:tr>
        <w:trPr>
          <w:tblHeader w:val="true"/>
          <w:cantSplit/>
        </w:trPr>
        <w:tc>
          <w:tcPr>
            <w:tcW w:type="dxa" w:w="1928"/>
            <w:shd w:fill="D9EAF7"/>
            <w:tcMar>
              <w:top w:w="65" w:type="dxa"/>
              <w:start w:w="75" w:type="dxa"/>
              <w:bottom w:w="65" w:type="dxa"/>
              <w:end w:w="75" w:type="dxa"/>
            </w:tcMar>
            <w:vAlign w:val="center"/>
          </w:tcPr>
          <w:p>
            <w:pPr>
              <w:spacing w:after="0"/>
              <w:jc w:val="center"/>
            </w:pPr>
            <w:r>
              <w:rPr>
                <w:rFonts w:ascii="Tinos" w:hAnsi="Tinos" w:eastAsia="Tinos"/>
                <w:b/>
                <w:sz w:val="16"/>
              </w:rPr>
              <w:t>Study</w:t>
            </w:r>
          </w:p>
        </w:tc>
        <w:tc>
          <w:tcPr>
            <w:tcW w:type="dxa" w:w="2324"/>
            <w:shd w:fill="D9EAF7"/>
            <w:tcMar>
              <w:top w:w="65" w:type="dxa"/>
              <w:start w:w="75" w:type="dxa"/>
              <w:bottom w:w="65" w:type="dxa"/>
              <w:end w:w="75" w:type="dxa"/>
            </w:tcMar>
            <w:vAlign w:val="center"/>
          </w:tcPr>
          <w:p>
            <w:pPr>
              <w:spacing w:after="0"/>
              <w:jc w:val="center"/>
            </w:pPr>
            <w:r>
              <w:rPr>
                <w:rFonts w:ascii="Tinos" w:hAnsi="Tinos" w:eastAsia="Tinos"/>
                <w:b/>
                <w:sz w:val="16"/>
              </w:rPr>
              <w:t>Setting</w:t>
            </w:r>
          </w:p>
        </w:tc>
        <w:tc>
          <w:tcPr>
            <w:tcW w:type="dxa" w:w="2665"/>
            <w:shd w:fill="D9EAF7"/>
            <w:tcMar>
              <w:top w:w="65" w:type="dxa"/>
              <w:start w:w="75" w:type="dxa"/>
              <w:bottom w:w="65" w:type="dxa"/>
              <w:end w:w="75" w:type="dxa"/>
            </w:tcMar>
            <w:vAlign w:val="center"/>
          </w:tcPr>
          <w:p>
            <w:pPr>
              <w:spacing w:after="0"/>
              <w:jc w:val="center"/>
            </w:pPr>
            <w:r>
              <w:rPr>
                <w:rFonts w:ascii="Tinos" w:hAnsi="Tinos" w:eastAsia="Tinos"/>
                <w:b/>
                <w:sz w:val="16"/>
              </w:rPr>
              <w:t>Design/sample</w:t>
            </w:r>
          </w:p>
        </w:tc>
        <w:tc>
          <w:tcPr>
            <w:tcW w:type="dxa" w:w="2381"/>
            <w:shd w:fill="D9EAF7"/>
            <w:tcMar>
              <w:top w:w="65" w:type="dxa"/>
              <w:start w:w="75" w:type="dxa"/>
              <w:bottom w:w="65" w:type="dxa"/>
              <w:end w:w="75" w:type="dxa"/>
            </w:tcMar>
            <w:vAlign w:val="center"/>
          </w:tcPr>
          <w:p>
            <w:pPr>
              <w:spacing w:after="0"/>
              <w:jc w:val="center"/>
            </w:pPr>
            <w:r>
              <w:rPr>
                <w:rFonts w:ascii="Tinos" w:hAnsi="Tinos" w:eastAsia="Tinos"/>
                <w:b/>
                <w:sz w:val="16"/>
              </w:rPr>
              <w:t>Main outcomes</w:t>
            </w:r>
          </w:p>
        </w:tc>
      </w:tr>
      <w:tr>
        <w:trPr>
          <w:cantSplit/>
        </w:trPr>
        <w:tc>
          <w:tcPr>
            <w:tcW w:type="dxa" w:w="1928"/>
            <w:tcMar>
              <w:top w:w="65" w:type="dxa"/>
              <w:start w:w="75" w:type="dxa"/>
              <w:bottom w:w="65" w:type="dxa"/>
              <w:end w:w="75" w:type="dxa"/>
            </w:tcMar>
            <w:vAlign w:val="top"/>
          </w:tcPr>
          <w:p>
            <w:pPr>
              <w:spacing w:line="240" w:lineRule="auto" w:after="0"/>
              <w:jc w:val="left"/>
            </w:pPr>
            <w:r>
              <w:rPr>
                <w:rFonts w:ascii="Tinos" w:hAnsi="Tinos" w:eastAsia="Tinos"/>
                <w:sz w:val="16"/>
              </w:rPr>
              <w:t>Bukhari et al. (2012)</w:t>
            </w:r>
          </w:p>
        </w:tc>
        <w:tc>
          <w:tcPr>
            <w:tcW w:type="dxa" w:w="2324"/>
            <w:tcMar>
              <w:top w:w="65" w:type="dxa"/>
              <w:start w:w="75" w:type="dxa"/>
              <w:bottom w:w="65" w:type="dxa"/>
              <w:end w:w="75" w:type="dxa"/>
            </w:tcMar>
            <w:vAlign w:val="top"/>
          </w:tcPr>
          <w:p>
            <w:pPr>
              <w:spacing w:line="240" w:lineRule="auto" w:after="0"/>
              <w:jc w:val="left"/>
            </w:pPr>
            <w:r>
              <w:rPr>
                <w:rFonts w:ascii="Tinos" w:hAnsi="Tinos" w:eastAsia="Tinos"/>
                <w:sz w:val="16"/>
              </w:rPr>
              <w:t>Hera General Hospital, Makkah</w:t>
            </w:r>
          </w:p>
        </w:tc>
        <w:tc>
          <w:tcPr>
            <w:tcW w:type="dxa" w:w="2665"/>
            <w:tcMar>
              <w:top w:w="65" w:type="dxa"/>
              <w:start w:w="75" w:type="dxa"/>
              <w:bottom w:w="65" w:type="dxa"/>
              <w:end w:w="75" w:type="dxa"/>
            </w:tcMar>
            <w:vAlign w:val="top"/>
          </w:tcPr>
          <w:p>
            <w:pPr>
              <w:spacing w:line="240" w:lineRule="auto" w:after="0"/>
              <w:jc w:val="left"/>
            </w:pPr>
            <w:r>
              <w:rPr>
                <w:rFonts w:ascii="Tinos" w:hAnsi="Tinos" w:eastAsia="Tinos"/>
                <w:sz w:val="16"/>
              </w:rPr>
              <w:t>Prospective ICU field study; 2,747 patients</w:t>
            </w:r>
          </w:p>
        </w:tc>
        <w:tc>
          <w:tcPr>
            <w:tcW w:type="dxa" w:w="2381"/>
            <w:tcMar>
              <w:top w:w="65" w:type="dxa"/>
              <w:start w:w="75" w:type="dxa"/>
              <w:bottom w:w="65" w:type="dxa"/>
              <w:end w:w="75" w:type="dxa"/>
            </w:tcMar>
            <w:vAlign w:val="top"/>
          </w:tcPr>
          <w:p>
            <w:pPr>
              <w:spacing w:line="240" w:lineRule="auto" w:after="0"/>
              <w:jc w:val="left"/>
            </w:pPr>
            <w:r>
              <w:rPr>
                <w:rFonts w:ascii="Tinos" w:hAnsi="Tinos" w:eastAsia="Tinos"/>
                <w:sz w:val="16"/>
              </w:rPr>
              <w:t>Ventilator bundle compliance, VAP, estimated cost</w:t>
            </w:r>
          </w:p>
        </w:tc>
      </w:tr>
      <w:tr>
        <w:trPr>
          <w:cantSplit/>
        </w:trPr>
        <w:tc>
          <w:tcPr>
            <w:tcW w:type="dxa" w:w="1928"/>
            <w:tcMar>
              <w:top w:w="65" w:type="dxa"/>
              <w:start w:w="75" w:type="dxa"/>
              <w:bottom w:w="65" w:type="dxa"/>
              <w:end w:w="75" w:type="dxa"/>
            </w:tcMar>
            <w:vAlign w:val="top"/>
          </w:tcPr>
          <w:p>
            <w:pPr>
              <w:spacing w:line="240" w:lineRule="auto" w:after="0"/>
              <w:jc w:val="left"/>
            </w:pPr>
            <w:r>
              <w:rPr>
                <w:rFonts w:ascii="Tinos" w:hAnsi="Tinos" w:eastAsia="Tinos"/>
                <w:sz w:val="16"/>
              </w:rPr>
              <w:t>Alatawi et al. (2020)</w:t>
            </w:r>
          </w:p>
        </w:tc>
        <w:tc>
          <w:tcPr>
            <w:tcW w:type="dxa" w:w="2324"/>
            <w:tcMar>
              <w:top w:w="65" w:type="dxa"/>
              <w:start w:w="75" w:type="dxa"/>
              <w:bottom w:w="65" w:type="dxa"/>
              <w:end w:w="75" w:type="dxa"/>
            </w:tcMar>
            <w:vAlign w:val="top"/>
          </w:tcPr>
          <w:p>
            <w:pPr>
              <w:spacing w:line="240" w:lineRule="auto" w:after="0"/>
              <w:jc w:val="left"/>
            </w:pPr>
            <w:r>
              <w:rPr>
                <w:rFonts w:ascii="Tinos" w:hAnsi="Tinos" w:eastAsia="Tinos"/>
                <w:sz w:val="16"/>
              </w:rPr>
              <w:t>91 MOH public hospitals</w:t>
            </w:r>
          </w:p>
        </w:tc>
        <w:tc>
          <w:tcPr>
            <w:tcW w:type="dxa" w:w="2665"/>
            <w:tcMar>
              <w:top w:w="65" w:type="dxa"/>
              <w:start w:w="75" w:type="dxa"/>
              <w:bottom w:w="65" w:type="dxa"/>
              <w:end w:w="75" w:type="dxa"/>
            </w:tcMar>
            <w:vAlign w:val="top"/>
          </w:tcPr>
          <w:p>
            <w:pPr>
              <w:spacing w:line="240" w:lineRule="auto" w:after="0"/>
              <w:jc w:val="left"/>
            </w:pPr>
            <w:r>
              <w:rPr>
                <w:rFonts w:ascii="Tinos" w:hAnsi="Tinos" w:eastAsia="Tinos"/>
                <w:sz w:val="16"/>
              </w:rPr>
              <w:t>Data envelopment analysis using 2017 official data</w:t>
            </w:r>
          </w:p>
        </w:tc>
        <w:tc>
          <w:tcPr>
            <w:tcW w:type="dxa" w:w="2381"/>
            <w:tcMar>
              <w:top w:w="65" w:type="dxa"/>
              <w:start w:w="75" w:type="dxa"/>
              <w:bottom w:w="65" w:type="dxa"/>
              <w:end w:w="75" w:type="dxa"/>
            </w:tcMar>
            <w:vAlign w:val="top"/>
          </w:tcPr>
          <w:p>
            <w:pPr>
              <w:spacing w:line="240" w:lineRule="auto" w:after="0"/>
              <w:jc w:val="left"/>
            </w:pPr>
            <w:r>
              <w:rPr>
                <w:rFonts w:ascii="Tinos" w:hAnsi="Tinos" w:eastAsia="Tinos"/>
                <w:sz w:val="16"/>
              </w:rPr>
              <w:t>Technical and scale efficiency</w:t>
            </w:r>
          </w:p>
        </w:tc>
      </w:tr>
      <w:tr>
        <w:trPr>
          <w:cantSplit/>
        </w:trPr>
        <w:tc>
          <w:tcPr>
            <w:tcW w:type="dxa" w:w="1928"/>
            <w:tcMar>
              <w:top w:w="65" w:type="dxa"/>
              <w:start w:w="75" w:type="dxa"/>
              <w:bottom w:w="65" w:type="dxa"/>
              <w:end w:w="75" w:type="dxa"/>
            </w:tcMar>
            <w:vAlign w:val="top"/>
          </w:tcPr>
          <w:p>
            <w:pPr>
              <w:spacing w:line="240" w:lineRule="auto" w:after="0"/>
              <w:jc w:val="left"/>
            </w:pPr>
            <w:r>
              <w:rPr>
                <w:rFonts w:ascii="Tinos" w:hAnsi="Tinos" w:eastAsia="Tinos"/>
                <w:sz w:val="16"/>
              </w:rPr>
              <w:t>Haseeb et al. (2021)</w:t>
            </w:r>
          </w:p>
        </w:tc>
        <w:tc>
          <w:tcPr>
            <w:tcW w:type="dxa" w:w="2324"/>
            <w:tcMar>
              <w:top w:w="65" w:type="dxa"/>
              <w:start w:w="75" w:type="dxa"/>
              <w:bottom w:w="65" w:type="dxa"/>
              <w:end w:w="75" w:type="dxa"/>
            </w:tcMar>
            <w:vAlign w:val="top"/>
          </w:tcPr>
          <w:p>
            <w:pPr>
              <w:spacing w:line="240" w:lineRule="auto" w:after="0"/>
              <w:jc w:val="left"/>
            </w:pPr>
            <w:r>
              <w:rPr>
                <w:rFonts w:ascii="Tinos" w:hAnsi="Tinos" w:eastAsia="Tinos"/>
                <w:sz w:val="16"/>
              </w:rPr>
              <w:t>Ajyad Emergency Hospital ICU, Makkah</w:t>
            </w:r>
          </w:p>
        </w:tc>
        <w:tc>
          <w:tcPr>
            <w:tcW w:type="dxa" w:w="2665"/>
            <w:tcMar>
              <w:top w:w="65" w:type="dxa"/>
              <w:start w:w="75" w:type="dxa"/>
              <w:bottom w:w="65" w:type="dxa"/>
              <w:end w:w="75" w:type="dxa"/>
            </w:tcMar>
            <w:vAlign w:val="top"/>
          </w:tcPr>
          <w:p>
            <w:pPr>
              <w:spacing w:line="240" w:lineRule="auto" w:after="0"/>
              <w:jc w:val="left"/>
            </w:pPr>
            <w:r>
              <w:rPr>
                <w:rFonts w:ascii="Tinos" w:hAnsi="Tinos" w:eastAsia="Tinos"/>
                <w:sz w:val="16"/>
              </w:rPr>
              <w:t>Quasi-experimental, 9 months before/after</w:t>
            </w:r>
          </w:p>
        </w:tc>
        <w:tc>
          <w:tcPr>
            <w:tcW w:type="dxa" w:w="2381"/>
            <w:tcMar>
              <w:top w:w="65" w:type="dxa"/>
              <w:start w:w="75" w:type="dxa"/>
              <w:bottom w:w="65" w:type="dxa"/>
              <w:end w:w="75" w:type="dxa"/>
            </w:tcMar>
            <w:vAlign w:val="top"/>
          </w:tcPr>
          <w:p>
            <w:pPr>
              <w:spacing w:line="240" w:lineRule="auto" w:after="0"/>
              <w:jc w:val="left"/>
            </w:pPr>
            <w:r>
              <w:rPr>
                <w:rFonts w:ascii="Tinos" w:hAnsi="Tinos" w:eastAsia="Tinos"/>
                <w:sz w:val="16"/>
              </w:rPr>
              <w:t>Antimicrobial use, cost, LOS</w:t>
            </w:r>
          </w:p>
        </w:tc>
      </w:tr>
      <w:tr>
        <w:trPr>
          <w:cantSplit/>
        </w:trPr>
        <w:tc>
          <w:tcPr>
            <w:tcW w:type="dxa" w:w="1928"/>
            <w:tcMar>
              <w:top w:w="65" w:type="dxa"/>
              <w:start w:w="75" w:type="dxa"/>
              <w:bottom w:w="65" w:type="dxa"/>
              <w:end w:w="75" w:type="dxa"/>
            </w:tcMar>
            <w:vAlign w:val="top"/>
          </w:tcPr>
          <w:p>
            <w:pPr>
              <w:spacing w:line="240" w:lineRule="auto" w:after="0"/>
              <w:jc w:val="left"/>
            </w:pPr>
            <w:r>
              <w:rPr>
                <w:rFonts w:ascii="Tinos" w:hAnsi="Tinos" w:eastAsia="Tinos"/>
                <w:sz w:val="16"/>
              </w:rPr>
              <w:t>Althomali et al. (2022)</w:t>
            </w:r>
          </w:p>
        </w:tc>
        <w:tc>
          <w:tcPr>
            <w:tcW w:type="dxa" w:w="2324"/>
            <w:tcMar>
              <w:top w:w="65" w:type="dxa"/>
              <w:start w:w="75" w:type="dxa"/>
              <w:bottom w:w="65" w:type="dxa"/>
              <w:end w:w="75" w:type="dxa"/>
            </w:tcMar>
            <w:vAlign w:val="top"/>
          </w:tcPr>
          <w:p>
            <w:pPr>
              <w:spacing w:line="240" w:lineRule="auto" w:after="0"/>
              <w:jc w:val="left"/>
            </w:pPr>
            <w:r>
              <w:rPr>
                <w:rFonts w:ascii="Tinos" w:hAnsi="Tinos" w:eastAsia="Tinos"/>
                <w:sz w:val="16"/>
              </w:rPr>
              <w:t>King Faisal Medical Complex ICU, Taif</w:t>
            </w:r>
          </w:p>
        </w:tc>
        <w:tc>
          <w:tcPr>
            <w:tcW w:type="dxa" w:w="2665"/>
            <w:tcMar>
              <w:top w:w="65" w:type="dxa"/>
              <w:start w:w="75" w:type="dxa"/>
              <w:bottom w:w="65" w:type="dxa"/>
              <w:end w:w="75" w:type="dxa"/>
            </w:tcMar>
            <w:vAlign w:val="top"/>
          </w:tcPr>
          <w:p>
            <w:pPr>
              <w:spacing w:line="240" w:lineRule="auto" w:after="0"/>
              <w:jc w:val="left"/>
            </w:pPr>
            <w:r>
              <w:rPr>
                <w:rFonts w:ascii="Tinos" w:hAnsi="Tinos" w:eastAsia="Tinos"/>
                <w:sz w:val="16"/>
              </w:rPr>
              <w:t>Retrospective; 165 patients, 404 interventions</w:t>
            </w:r>
          </w:p>
        </w:tc>
        <w:tc>
          <w:tcPr>
            <w:tcW w:type="dxa" w:w="2381"/>
            <w:tcMar>
              <w:top w:w="65" w:type="dxa"/>
              <w:start w:w="75" w:type="dxa"/>
              <w:bottom w:w="65" w:type="dxa"/>
              <w:end w:w="75" w:type="dxa"/>
            </w:tcMar>
            <w:vAlign w:val="top"/>
          </w:tcPr>
          <w:p>
            <w:pPr>
              <w:spacing w:line="240" w:lineRule="auto" w:after="0"/>
              <w:jc w:val="left"/>
            </w:pPr>
            <w:r>
              <w:rPr>
                <w:rFonts w:ascii="Tinos" w:hAnsi="Tinos" w:eastAsia="Tinos"/>
                <w:sz w:val="16"/>
              </w:rPr>
              <w:t>Pharmacist interventions and potential cost saving</w:t>
            </w:r>
          </w:p>
        </w:tc>
      </w:tr>
      <w:tr>
        <w:trPr>
          <w:cantSplit/>
        </w:trPr>
        <w:tc>
          <w:tcPr>
            <w:tcW w:type="dxa" w:w="1928"/>
            <w:tcMar>
              <w:top w:w="65" w:type="dxa"/>
              <w:start w:w="75" w:type="dxa"/>
              <w:bottom w:w="65" w:type="dxa"/>
              <w:end w:w="75" w:type="dxa"/>
            </w:tcMar>
            <w:vAlign w:val="top"/>
          </w:tcPr>
          <w:p>
            <w:pPr>
              <w:spacing w:line="240" w:lineRule="auto" w:after="0"/>
              <w:jc w:val="left"/>
            </w:pPr>
            <w:r>
              <w:rPr>
                <w:rFonts w:ascii="Tinos" w:hAnsi="Tinos" w:eastAsia="Tinos"/>
                <w:sz w:val="16"/>
              </w:rPr>
              <w:t>Arabi et al. (2023)</w:t>
            </w:r>
          </w:p>
        </w:tc>
        <w:tc>
          <w:tcPr>
            <w:tcW w:type="dxa" w:w="2324"/>
            <w:tcMar>
              <w:top w:w="65" w:type="dxa"/>
              <w:start w:w="75" w:type="dxa"/>
              <w:bottom w:w="65" w:type="dxa"/>
              <w:end w:w="75" w:type="dxa"/>
            </w:tcMar>
            <w:vAlign w:val="top"/>
          </w:tcPr>
          <w:p>
            <w:pPr>
              <w:spacing w:line="240" w:lineRule="auto" w:after="0"/>
              <w:jc w:val="left"/>
            </w:pPr>
            <w:r>
              <w:rPr>
                <w:rFonts w:ascii="Tinos" w:hAnsi="Tinos" w:eastAsia="Tinos"/>
                <w:sz w:val="16"/>
              </w:rPr>
              <w:t>42 ICUs in 26 Saudi hospitals</w:t>
            </w:r>
          </w:p>
        </w:tc>
        <w:tc>
          <w:tcPr>
            <w:tcW w:type="dxa" w:w="2665"/>
            <w:tcMar>
              <w:top w:w="65" w:type="dxa"/>
              <w:start w:w="75" w:type="dxa"/>
              <w:bottom w:w="65" w:type="dxa"/>
              <w:end w:w="75" w:type="dxa"/>
            </w:tcMar>
            <w:vAlign w:val="top"/>
          </w:tcPr>
          <w:p>
            <w:pPr>
              <w:spacing w:line="240" w:lineRule="auto" w:after="0"/>
              <w:jc w:val="left"/>
            </w:pPr>
            <w:r>
              <w:rPr>
                <w:rFonts w:ascii="Tinos" w:hAnsi="Tinos" w:eastAsia="Tinos"/>
                <w:sz w:val="16"/>
              </w:rPr>
              <w:t>National prospective quality-improvement collaborative</w:t>
            </w:r>
          </w:p>
        </w:tc>
        <w:tc>
          <w:tcPr>
            <w:tcW w:type="dxa" w:w="2381"/>
            <w:tcMar>
              <w:top w:w="65" w:type="dxa"/>
              <w:start w:w="75" w:type="dxa"/>
              <w:bottom w:w="65" w:type="dxa"/>
              <w:end w:w="75" w:type="dxa"/>
            </w:tcMar>
            <w:vAlign w:val="top"/>
          </w:tcPr>
          <w:p>
            <w:pPr>
              <w:spacing w:line="240" w:lineRule="auto" w:after="0"/>
              <w:jc w:val="left"/>
            </w:pPr>
            <w:r>
              <w:rPr>
                <w:rFonts w:ascii="Tinos" w:hAnsi="Tinos" w:eastAsia="Tinos"/>
                <w:sz w:val="16"/>
              </w:rPr>
              <w:t>Ventilator-care processes, VAE, mortality, LOS</w:t>
            </w:r>
          </w:p>
        </w:tc>
      </w:tr>
      <w:tr>
        <w:trPr>
          <w:cantSplit/>
        </w:trPr>
        <w:tc>
          <w:tcPr>
            <w:tcW w:type="dxa" w:w="1928"/>
            <w:tcMar>
              <w:top w:w="65" w:type="dxa"/>
              <w:start w:w="75" w:type="dxa"/>
              <w:bottom w:w="65" w:type="dxa"/>
              <w:end w:w="75" w:type="dxa"/>
            </w:tcMar>
            <w:vAlign w:val="top"/>
          </w:tcPr>
          <w:p>
            <w:pPr>
              <w:spacing w:line="240" w:lineRule="auto" w:after="0"/>
              <w:jc w:val="left"/>
            </w:pPr>
            <w:r>
              <w:rPr>
                <w:rFonts w:ascii="Tinos" w:hAnsi="Tinos" w:eastAsia="Tinos"/>
                <w:sz w:val="16"/>
              </w:rPr>
              <w:t>Alarifi et al. (2024)</w:t>
            </w:r>
          </w:p>
        </w:tc>
        <w:tc>
          <w:tcPr>
            <w:tcW w:type="dxa" w:w="2324"/>
            <w:tcMar>
              <w:top w:w="65" w:type="dxa"/>
              <w:start w:w="75" w:type="dxa"/>
              <w:bottom w:w="65" w:type="dxa"/>
              <w:end w:w="75" w:type="dxa"/>
            </w:tcMar>
            <w:vAlign w:val="top"/>
          </w:tcPr>
          <w:p>
            <w:pPr>
              <w:spacing w:line="240" w:lineRule="auto" w:after="0"/>
              <w:jc w:val="left"/>
            </w:pPr>
            <w:r>
              <w:rPr>
                <w:rFonts w:ascii="Tinos" w:hAnsi="Tinos" w:eastAsia="Tinos"/>
                <w:sz w:val="16"/>
              </w:rPr>
              <w:t>King Khalid University Hospital, Riyadh</w:t>
            </w:r>
          </w:p>
        </w:tc>
        <w:tc>
          <w:tcPr>
            <w:tcW w:type="dxa" w:w="2665"/>
            <w:tcMar>
              <w:top w:w="65" w:type="dxa"/>
              <w:start w:w="75" w:type="dxa"/>
              <w:bottom w:w="65" w:type="dxa"/>
              <w:end w:w="75" w:type="dxa"/>
            </w:tcMar>
            <w:vAlign w:val="top"/>
          </w:tcPr>
          <w:p>
            <w:pPr>
              <w:spacing w:line="240" w:lineRule="auto" w:after="0"/>
              <w:jc w:val="left"/>
            </w:pPr>
            <w:r>
              <w:rPr>
                <w:rFonts w:ascii="Tinos" w:hAnsi="Tinos" w:eastAsia="Tinos"/>
                <w:sz w:val="16"/>
              </w:rPr>
              <w:t>Retrospective comparison, 2018-2022</w:t>
            </w:r>
          </w:p>
        </w:tc>
        <w:tc>
          <w:tcPr>
            <w:tcW w:type="dxa" w:w="2381"/>
            <w:tcMar>
              <w:top w:w="65" w:type="dxa"/>
              <w:start w:w="75" w:type="dxa"/>
              <w:bottom w:w="65" w:type="dxa"/>
              <w:end w:w="75" w:type="dxa"/>
            </w:tcMar>
            <w:vAlign w:val="top"/>
          </w:tcPr>
          <w:p>
            <w:pPr>
              <w:spacing w:line="240" w:lineRule="auto" w:after="0"/>
              <w:jc w:val="left"/>
            </w:pPr>
            <w:r>
              <w:rPr>
                <w:rFonts w:ascii="Tinos" w:hAnsi="Tinos" w:eastAsia="Tinos"/>
                <w:sz w:val="16"/>
              </w:rPr>
              <w:t>SMR, LOS, occupancy, delayed discharge</w:t>
            </w:r>
          </w:p>
        </w:tc>
      </w:tr>
    </w:tbl>
    <w:p>
      <w:pPr>
        <w:spacing w:before="60" w:after="140"/>
        <w:jc w:val="center"/>
      </w:pPr>
      <w:r>
        <w:rPr>
          <w:rFonts w:ascii="Tinos" w:hAnsi="Tinos" w:eastAsia="Tinos"/>
          <w:b/>
          <w:sz w:val="20"/>
        </w:rPr>
        <w:t>Table 2.1  Summary of selected Saudi empirical studies</w:t>
      </w:r>
    </w:p>
    <w:p>
      <w:pPr>
        <w:pStyle w:val="Heading2"/>
      </w:pPr>
      <w:r>
        <w:t>2.7 Comparison of the Evidence Domains</w:t>
      </w:r>
    </w:p>
    <w:tbl>
      <w:tblPr>
        <w:tblW w:type="auto" w:w="0"/>
        <w:jc w:val="center"/>
        <w:tblLayout w:type="fixed"/>
        <w:tblLook w:firstColumn="1" w:firstRow="1" w:lastColumn="0" w:lastRow="0" w:noHBand="0" w:noVBand="1" w:val="04A0"/>
        <w:tblBorders>
          <w:top w:val="single" w:sz="4" w:color="9EADBA"/>
          <w:left w:val="single" w:sz="4" w:color="9EADBA"/>
          <w:bottom w:val="single" w:sz="4" w:color="9EADBA"/>
          <w:right w:val="single" w:sz="4" w:color="9EADBA"/>
          <w:insideH w:val="single" w:sz="4" w:color="9EADBA"/>
          <w:insideV w:val="single" w:sz="4" w:color="9EADBA"/>
        </w:tblBorders>
      </w:tblPr>
      <w:tblGrid>
        <w:gridCol w:w="2296"/>
        <w:gridCol w:w="2296"/>
        <w:gridCol w:w="2296"/>
        <w:gridCol w:w="2296"/>
      </w:tblGrid>
      <w:tr>
        <w:trPr>
          <w:tblHeader w:val="true"/>
          <w:cantSplit/>
        </w:trPr>
        <w:tc>
          <w:tcPr>
            <w:tcW w:type="dxa" w:w="1701"/>
            <w:shd w:fill="D9EAF7"/>
            <w:tcMar>
              <w:top w:w="65" w:type="dxa"/>
              <w:start w:w="75" w:type="dxa"/>
              <w:bottom w:w="65" w:type="dxa"/>
              <w:end w:w="75" w:type="dxa"/>
            </w:tcMar>
            <w:vAlign w:val="center"/>
          </w:tcPr>
          <w:p>
            <w:pPr>
              <w:spacing w:after="0"/>
              <w:jc w:val="center"/>
            </w:pPr>
            <w:r>
              <w:rPr>
                <w:rFonts w:ascii="Tinos" w:hAnsi="Tinos" w:eastAsia="Tinos"/>
                <w:b/>
                <w:sz w:val="17"/>
              </w:rPr>
              <w:t>Domain</w:t>
            </w:r>
          </w:p>
        </w:tc>
        <w:tc>
          <w:tcPr>
            <w:tcW w:type="dxa" w:w="2551"/>
            <w:shd w:fill="D9EAF7"/>
            <w:tcMar>
              <w:top w:w="65" w:type="dxa"/>
              <w:start w:w="75" w:type="dxa"/>
              <w:bottom w:w="65" w:type="dxa"/>
              <w:end w:w="75" w:type="dxa"/>
            </w:tcMar>
            <w:vAlign w:val="center"/>
          </w:tcPr>
          <w:p>
            <w:pPr>
              <w:spacing w:after="0"/>
              <w:jc w:val="center"/>
            </w:pPr>
            <w:r>
              <w:rPr>
                <w:rFonts w:ascii="Tinos" w:hAnsi="Tinos" w:eastAsia="Tinos"/>
                <w:b/>
                <w:sz w:val="17"/>
              </w:rPr>
              <w:t>Measures</w:t>
            </w:r>
          </w:p>
        </w:tc>
        <w:tc>
          <w:tcPr>
            <w:tcW w:type="dxa" w:w="2551"/>
            <w:shd w:fill="D9EAF7"/>
            <w:tcMar>
              <w:top w:w="65" w:type="dxa"/>
              <w:start w:w="75" w:type="dxa"/>
              <w:bottom w:w="65" w:type="dxa"/>
              <w:end w:w="75" w:type="dxa"/>
            </w:tcMar>
            <w:vAlign w:val="center"/>
          </w:tcPr>
          <w:p>
            <w:pPr>
              <w:spacing w:after="0"/>
              <w:jc w:val="center"/>
            </w:pPr>
            <w:r>
              <w:rPr>
                <w:rFonts w:ascii="Tinos" w:hAnsi="Tinos" w:eastAsia="Tinos"/>
                <w:b/>
                <w:sz w:val="17"/>
              </w:rPr>
              <w:t>Strength</w:t>
            </w:r>
          </w:p>
        </w:tc>
        <w:tc>
          <w:tcPr>
            <w:tcW w:type="dxa" w:w="2494"/>
            <w:shd w:fill="D9EAF7"/>
            <w:tcMar>
              <w:top w:w="65" w:type="dxa"/>
              <w:start w:w="75" w:type="dxa"/>
              <w:bottom w:w="65" w:type="dxa"/>
              <w:end w:w="75" w:type="dxa"/>
            </w:tcMar>
            <w:vAlign w:val="center"/>
          </w:tcPr>
          <w:p>
            <w:pPr>
              <w:spacing w:after="0"/>
              <w:jc w:val="center"/>
            </w:pPr>
            <w:r>
              <w:rPr>
                <w:rFonts w:ascii="Tinos" w:hAnsi="Tinos" w:eastAsia="Tinos"/>
                <w:b/>
                <w:sz w:val="17"/>
              </w:rPr>
              <w:t>Main limitation</w:t>
            </w:r>
          </w:p>
        </w:tc>
      </w:tr>
      <w:tr>
        <w:trPr>
          <w:cantSplit/>
        </w:trPr>
        <w:tc>
          <w:tcPr>
            <w:tcW w:type="dxa" w:w="1701"/>
            <w:tcMar>
              <w:top w:w="65" w:type="dxa"/>
              <w:start w:w="75" w:type="dxa"/>
              <w:bottom w:w="65" w:type="dxa"/>
              <w:end w:w="75" w:type="dxa"/>
            </w:tcMar>
            <w:vAlign w:val="top"/>
          </w:tcPr>
          <w:p>
            <w:pPr>
              <w:spacing w:line="240" w:lineRule="auto" w:after="0"/>
              <w:jc w:val="left"/>
            </w:pPr>
            <w:r>
              <w:rPr>
                <w:rFonts w:ascii="Tinos" w:hAnsi="Tinos" w:eastAsia="Tinos"/>
                <w:sz w:val="17"/>
              </w:rPr>
              <w:t>Medication</w:t>
            </w:r>
          </w:p>
        </w:tc>
        <w:tc>
          <w:tcPr>
            <w:tcW w:type="dxa" w:w="2551"/>
            <w:tcMar>
              <w:top w:w="65" w:type="dxa"/>
              <w:start w:w="75" w:type="dxa"/>
              <w:bottom w:w="65" w:type="dxa"/>
              <w:end w:w="75" w:type="dxa"/>
            </w:tcMar>
            <w:vAlign w:val="top"/>
          </w:tcPr>
          <w:p>
            <w:pPr>
              <w:spacing w:line="240" w:lineRule="auto" w:after="0"/>
              <w:jc w:val="left"/>
            </w:pPr>
            <w:r>
              <w:rPr>
                <w:rFonts w:ascii="Tinos" w:hAnsi="Tinos" w:eastAsia="Tinos"/>
                <w:sz w:val="17"/>
              </w:rPr>
              <w:t>Direct use and some cost measures</w:t>
            </w:r>
          </w:p>
        </w:tc>
        <w:tc>
          <w:tcPr>
            <w:tcW w:type="dxa" w:w="2551"/>
            <w:tcMar>
              <w:top w:w="65" w:type="dxa"/>
              <w:start w:w="75" w:type="dxa"/>
              <w:bottom w:w="65" w:type="dxa"/>
              <w:end w:w="75" w:type="dxa"/>
            </w:tcMar>
            <w:vAlign w:val="top"/>
          </w:tcPr>
          <w:p>
            <w:pPr>
              <w:spacing w:line="240" w:lineRule="auto" w:after="0"/>
              <w:jc w:val="left"/>
            </w:pPr>
            <w:r>
              <w:rPr>
                <w:rFonts w:ascii="Tinos" w:hAnsi="Tinos" w:eastAsia="Tinos"/>
              </w:rPr>
              <w:t>Clear reduction in use, but financial saving was only partly measured</w:t>
            </w:r>
          </w:p>
        </w:tc>
        <w:tc>
          <w:tcPr>
            <w:tcW w:type="dxa" w:w="2494"/>
            <w:tcMar>
              <w:top w:w="65" w:type="dxa"/>
              <w:start w:w="75" w:type="dxa"/>
              <w:bottom w:w="65" w:type="dxa"/>
              <w:end w:w="75" w:type="dxa"/>
            </w:tcMar>
            <w:vAlign w:val="top"/>
          </w:tcPr>
          <w:p>
            <w:pPr>
              <w:spacing w:line="240" w:lineRule="auto" w:after="0"/>
              <w:jc w:val="left"/>
            </w:pPr>
            <w:r>
              <w:rPr>
                <w:rFonts w:ascii="Tinos" w:hAnsi="Tinos" w:eastAsia="Tinos"/>
              </w:rPr>
              <w:t>Mostly single-center studies, with inconsistent reporting in one article</w:t>
            </w:r>
          </w:p>
        </w:tc>
      </w:tr>
      <w:tr>
        <w:trPr>
          <w:cantSplit/>
        </w:trPr>
        <w:tc>
          <w:tcPr>
            <w:tcW w:type="dxa" w:w="1701"/>
            <w:tcMar>
              <w:top w:w="65" w:type="dxa"/>
              <w:start w:w="75" w:type="dxa"/>
              <w:bottom w:w="65" w:type="dxa"/>
              <w:end w:w="75" w:type="dxa"/>
            </w:tcMar>
            <w:vAlign w:val="top"/>
          </w:tcPr>
          <w:p>
            <w:pPr>
              <w:spacing w:line="240" w:lineRule="auto" w:after="0"/>
              <w:jc w:val="left"/>
            </w:pPr>
            <w:r>
              <w:rPr>
                <w:rFonts w:ascii="Tinos" w:hAnsi="Tinos" w:eastAsia="Tinos"/>
                <w:sz w:val="17"/>
              </w:rPr>
              <w:t>Respiratory care</w:t>
            </w:r>
          </w:p>
        </w:tc>
        <w:tc>
          <w:tcPr>
            <w:tcW w:type="dxa" w:w="2551"/>
            <w:tcMar>
              <w:top w:w="65" w:type="dxa"/>
              <w:start w:w="75" w:type="dxa"/>
              <w:bottom w:w="65" w:type="dxa"/>
              <w:end w:w="75" w:type="dxa"/>
            </w:tcMar>
            <w:vAlign w:val="top"/>
          </w:tcPr>
          <w:p>
            <w:pPr>
              <w:spacing w:line="240" w:lineRule="auto" w:after="0"/>
              <w:jc w:val="left"/>
            </w:pPr>
            <w:r>
              <w:rPr>
                <w:rFonts w:ascii="Tinos" w:hAnsi="Tinos" w:eastAsia="Tinos"/>
                <w:sz w:val="17"/>
              </w:rPr>
              <w:t>Process compliance, VAP, cost estimate, mortality</w:t>
            </w:r>
          </w:p>
        </w:tc>
        <w:tc>
          <w:tcPr>
            <w:tcW w:type="dxa" w:w="2551"/>
            <w:tcMar>
              <w:top w:w="65" w:type="dxa"/>
              <w:start w:w="75" w:type="dxa"/>
              <w:bottom w:w="65" w:type="dxa"/>
              <w:end w:w="75" w:type="dxa"/>
            </w:tcMar>
            <w:vAlign w:val="top"/>
          </w:tcPr>
          <w:p>
            <w:pPr>
              <w:spacing w:line="240" w:lineRule="auto" w:after="0"/>
              <w:jc w:val="left"/>
            </w:pPr>
            <w:r>
              <w:rPr>
                <w:rFonts w:ascii="Tinos" w:hAnsi="Tinos" w:eastAsia="Tinos"/>
              </w:rPr>
              <w:t>Large improvement projects with important clinical outcomes</w:t>
            </w:r>
          </w:p>
        </w:tc>
        <w:tc>
          <w:tcPr>
            <w:tcW w:type="dxa" w:w="2494"/>
            <w:tcMar>
              <w:top w:w="65" w:type="dxa"/>
              <w:start w:w="75" w:type="dxa"/>
              <w:bottom w:w="65" w:type="dxa"/>
              <w:end w:w="75" w:type="dxa"/>
            </w:tcMar>
            <w:vAlign w:val="top"/>
          </w:tcPr>
          <w:p>
            <w:pPr>
              <w:spacing w:line="240" w:lineRule="auto" w:after="0"/>
              <w:jc w:val="left"/>
            </w:pPr>
            <w:r>
              <w:rPr>
                <w:rFonts w:ascii="Tinos" w:hAnsi="Tinos" w:eastAsia="Tinos"/>
              </w:rPr>
              <w:t>Some outcomes did not improve, and the cost evidence came from an older local study</w:t>
            </w:r>
          </w:p>
        </w:tc>
      </w:tr>
      <w:tr>
        <w:trPr>
          <w:cantSplit/>
        </w:trPr>
        <w:tc>
          <w:tcPr>
            <w:tcW w:type="dxa" w:w="1701"/>
            <w:tcMar>
              <w:top w:w="65" w:type="dxa"/>
              <w:start w:w="75" w:type="dxa"/>
              <w:bottom w:w="65" w:type="dxa"/>
              <w:end w:w="75" w:type="dxa"/>
            </w:tcMar>
            <w:vAlign w:val="top"/>
          </w:tcPr>
          <w:p>
            <w:pPr>
              <w:spacing w:line="240" w:lineRule="auto" w:after="0"/>
              <w:jc w:val="left"/>
            </w:pPr>
            <w:r>
              <w:rPr>
                <w:rFonts w:ascii="Tinos" w:hAnsi="Tinos" w:eastAsia="Tinos"/>
                <w:sz w:val="17"/>
              </w:rPr>
              <w:t>Organization</w:t>
            </w:r>
          </w:p>
        </w:tc>
        <w:tc>
          <w:tcPr>
            <w:tcW w:type="dxa" w:w="2551"/>
            <w:tcMar>
              <w:top w:w="65" w:type="dxa"/>
              <w:start w:w="75" w:type="dxa"/>
              <w:bottom w:w="65" w:type="dxa"/>
              <w:end w:w="75" w:type="dxa"/>
            </w:tcMar>
            <w:vAlign w:val="top"/>
          </w:tcPr>
          <w:p>
            <w:pPr>
              <w:spacing w:line="240" w:lineRule="auto" w:after="0"/>
              <w:jc w:val="left"/>
            </w:pPr>
            <w:r>
              <w:rPr>
                <w:rFonts w:ascii="Tinos" w:hAnsi="Tinos" w:eastAsia="Tinos"/>
                <w:sz w:val="17"/>
              </w:rPr>
              <w:t>Technical efficiency, occupancy, LOS, delayed discharge</w:t>
            </w:r>
          </w:p>
        </w:tc>
        <w:tc>
          <w:tcPr>
            <w:tcW w:type="dxa" w:w="2551"/>
            <w:tcMar>
              <w:top w:w="65" w:type="dxa"/>
              <w:start w:w="75" w:type="dxa"/>
              <w:bottom w:w="65" w:type="dxa"/>
              <w:end w:w="75" w:type="dxa"/>
            </w:tcMar>
            <w:vAlign w:val="top"/>
          </w:tcPr>
          <w:p>
            <w:pPr>
              <w:spacing w:line="240" w:lineRule="auto" w:after="0"/>
              <w:jc w:val="left"/>
            </w:pPr>
            <w:r>
              <w:rPr>
                <w:rFonts w:ascii="Tinos" w:hAnsi="Tinos" w:eastAsia="Tinos"/>
              </w:rPr>
              <w:t>Shows opportunities for better hospital operations</w:t>
            </w:r>
          </w:p>
        </w:tc>
        <w:tc>
          <w:tcPr>
            <w:tcW w:type="dxa" w:w="2494"/>
            <w:tcMar>
              <w:top w:w="65" w:type="dxa"/>
              <w:start w:w="75" w:type="dxa"/>
              <w:bottom w:w="65" w:type="dxa"/>
              <w:end w:w="75" w:type="dxa"/>
            </w:tcMar>
            <w:vAlign w:val="top"/>
          </w:tcPr>
          <w:p>
            <w:pPr>
              <w:spacing w:line="240" w:lineRule="auto" w:after="0"/>
              <w:jc w:val="left"/>
            </w:pPr>
            <w:r>
              <w:rPr>
                <w:rFonts w:ascii="Tinos" w:hAnsi="Tinos" w:eastAsia="Tinos"/>
              </w:rPr>
              <w:t>One study was not limited to ICUs, and cause and effect cannot be confirmed</w:t>
            </w:r>
          </w:p>
        </w:tc>
      </w:tr>
    </w:tbl>
    <w:p>
      <w:pPr>
        <w:spacing w:before="60" w:after="140"/>
        <w:jc w:val="center"/>
      </w:pPr>
      <w:r>
        <w:rPr>
          <w:rFonts w:ascii="Tinos" w:hAnsi="Tinos" w:eastAsia="Tinos"/>
          <w:b/>
          <w:sz w:val="20"/>
        </w:rPr>
        <w:t>Table 2.2  Comparison of the evidence domains</w:t>
      </w:r>
    </w:p>
    <w:p>
      <w:pPr>
        <w:pStyle w:val="Heading2"/>
      </w:pPr>
      <w:r>
        <w:t>2.8 Research Gap</w:t>
      </w:r>
    </w:p>
    <w:p>
      <w:pPr>
        <w:spacing w:line="312" w:lineRule="auto" w:after="100"/>
        <w:ind w:firstLine="369"/>
        <w:jc w:val="both"/>
      </w:pPr>
      <w:r>
        <w:rPr>
          <w:rFonts w:ascii="Tinos" w:hAnsi="Tinos" w:eastAsia="Tinos"/>
        </w:rPr>
        <w:t>Saudi research provides useful field evidence, but no single study combines medication, respiratory, and organizational resource management in one national model of ICU cost. The studies also use different units and cover different periods, which limits direct comparison. This project addresses part of that gap by placing the findings side by side, retaining the original units, and stating clearly when statistical significance, financial value, or cause and effect cannot be confirmed.</w:t>
      </w:r>
    </w:p>
    <w:p>
      <w:pPr>
        <w:pStyle w:val="Heading2"/>
      </w:pPr>
      <w:r>
        <w:t>2.9 Chapter Summary</w:t>
      </w:r>
    </w:p>
    <w:p>
      <w:pPr>
        <w:spacing w:line="312" w:lineRule="auto" w:after="100"/>
        <w:ind w:firstLine="369"/>
        <w:jc w:val="both"/>
      </w:pPr>
      <w:r>
        <w:rPr>
          <w:rFonts w:ascii="Tinos" w:hAnsi="Tinos" w:eastAsia="Tinos"/>
        </w:rPr>
        <w:t>The literature points to three practical routes to greater efficiency: better medication decisions, standardized respiratory care, and stronger organizational control. The general direction of the evidence is positive, but the size and statistical strength of the effects are not consistent. A structured secondary analysis is therefore more appropriate than reducing the experience of Saudi ICUs to a single percentage.</w:t>
      </w:r>
    </w:p>
    <w:p>
      <w:r>
        <w:br w:type="page"/>
      </w:r>
    </w:p>
    <w:p>
      <w:pPr>
        <w:pStyle w:val="Heading1"/>
      </w:pPr>
      <w:r>
        <w:t>Chapter Three: Research Methodology</w:t>
      </w:r>
    </w:p>
    <w:p>
      <w:pPr>
        <w:pStyle w:val="Heading2"/>
      </w:pPr>
      <w:r>
        <w:t>3.1 Introduction</w:t>
      </w:r>
    </w:p>
    <w:p>
      <w:pPr>
        <w:spacing w:line="312" w:lineRule="auto" w:after="100"/>
        <w:ind w:firstLine="369"/>
        <w:jc w:val="both"/>
      </w:pPr>
      <w:r>
        <w:rPr>
          <w:rFonts w:ascii="Tinos" w:hAnsi="Tinos" w:eastAsia="Tinos"/>
        </w:rPr>
        <w:t>This chapter sets out how the Saudi studies were identified, selected, checked, and compared. A secondary-data approach was chosen because the project did not require a questionnaire and direct hospital records were unavailable. It also ensures that published findings are not presented as data collected by the student.</w:t>
      </w:r>
    </w:p>
    <w:p>
      <w:pPr>
        <w:pStyle w:val="Heading2"/>
      </w:pPr>
      <w:r>
        <w:t>3.2 Research Design</w:t>
      </w:r>
    </w:p>
    <w:p>
      <w:pPr>
        <w:spacing w:line="312" w:lineRule="auto" w:after="100"/>
        <w:ind w:firstLine="369"/>
        <w:jc w:val="both"/>
      </w:pPr>
      <w:r>
        <w:rPr>
          <w:rFonts w:ascii="Tinos" w:hAnsi="Tinos" w:eastAsia="Tinos"/>
        </w:rPr>
        <w:t>The research design was a structured secondary analysis of quantitative findings from Saudi hospital studies. It was not treated as a full systematic review or meta-analysis because the outcomes were too different to pool statistically. The work involved defining the research question, locating relevant studies, applying the eligibility criteria, extracting the required data, calculating transparent percentage changes, and comparing results across the three topic areas.</w:t>
      </w:r>
    </w:p>
    <w:tbl>
      <w:tblPr>
        <w:tblW w:type="auto" w:w="0"/>
        <w:jc w:val="center"/>
        <w:tblLook w:firstColumn="1" w:firstRow="1" w:lastColumn="0" w:lastRow="0" w:noHBand="0" w:noVBand="1" w:val="04A0"/>
        <w:tblBorders>
          <w:top w:val="single" w:sz="6" w:color="7E9AB0"/>
          <w:left w:val="single" w:sz="6" w:color="7E9AB0"/>
          <w:bottom w:val="single" w:sz="6" w:color="7E9AB0"/>
          <w:right w:val="single" w:sz="6" w:color="7E9AB0"/>
          <w:insideH w:val="single" w:sz="6" w:color="7E9AB0"/>
          <w:insideV w:val="single" w:sz="6" w:color="7E9AB0"/>
        </w:tblBorders>
      </w:tblPr>
      <w:tblGrid>
        <w:gridCol w:w="9184"/>
      </w:tblGrid>
      <w:tr>
        <w:tc>
          <w:tcPr>
            <w:tcW w:type="dxa" w:w="9184"/>
            <w:shd w:fill="F4F7FA"/>
            <w:tcMar>
              <w:top w:w="110" w:type="dxa"/>
              <w:start w:w="130" w:type="dxa"/>
              <w:bottom w:w="110" w:type="dxa"/>
              <w:end w:w="130" w:type="dxa"/>
            </w:tcMar>
          </w:tcPr>
          <w:p>
            <w:pPr>
              <w:spacing w:after="80"/>
            </w:pPr>
            <w:r>
              <w:rPr>
                <w:rFonts w:ascii="Tinos" w:hAnsi="Tinos" w:eastAsia="Tinos"/>
                <w:b/>
                <w:sz w:val="21"/>
              </w:rPr>
              <w:t xml:space="preserve">Methodological disclosure: </w:t>
            </w:r>
            <w:r>
              <w:rPr>
                <w:rFonts w:ascii="Tinos" w:hAnsi="Tinos" w:eastAsia="Tinos"/>
                <w:sz w:val="21"/>
              </w:rPr>
              <w:t>All numerical results in Chapter Four were reported in the cited original studies or were calculated directly from their published values. No new patients, staff responses, or hospital financial records were collected by the student.</w:t>
            </w:r>
          </w:p>
        </w:tc>
      </w:tr>
    </w:tbl>
    <w:p>
      <w:pPr>
        <w:pStyle w:val="Heading2"/>
      </w:pPr>
      <w:r>
        <w:t>3.3 Research Community</w:t>
      </w:r>
    </w:p>
    <w:p>
      <w:pPr>
        <w:spacing w:line="312" w:lineRule="auto" w:after="100"/>
        <w:ind w:firstLine="369"/>
        <w:jc w:val="both"/>
      </w:pPr>
      <w:r>
        <w:rPr>
          <w:rFonts w:ascii="Tinos" w:hAnsi="Tinos" w:eastAsia="Tinos"/>
        </w:rPr>
        <w:t>The research community included quantitative studies from Saudi public, governmental, university, and national collaborative hospitals. The studies had to report information about clinical resource use, cost, efficiency, or ICU operational outcomes.</w:t>
      </w:r>
    </w:p>
    <w:p>
      <w:pPr>
        <w:pStyle w:val="Heading2"/>
      </w:pPr>
      <w:r>
        <w:t>3.4 Study Sample and Sample Determination</w:t>
      </w:r>
    </w:p>
    <w:p>
      <w:pPr>
        <w:spacing w:line="312" w:lineRule="auto" w:after="100"/>
        <w:ind w:firstLine="369"/>
        <w:jc w:val="both"/>
      </w:pPr>
      <w:r>
        <w:rPr>
          <w:rFonts w:ascii="Tinos" w:hAnsi="Tinos" w:eastAsia="Tinos"/>
        </w:rPr>
        <w:t>Six studies were selected purposively because each provided evidence relevant to the framework. Two examined medication management, two examined respiratory care, and two examined hospital or ICU organization. No patient sample-size formula was applied because the unit of analysis was the published study rather than an individual patient.</w:t>
      </w:r>
    </w:p>
    <w:p>
      <w:pPr>
        <w:pStyle w:val="Heading2"/>
      </w:pPr>
      <w:r>
        <w:t>3.5 Search and Selection Process</w:t>
      </w:r>
    </w:p>
    <w:p>
      <w:pPr>
        <w:spacing w:line="312" w:lineRule="auto" w:after="100"/>
        <w:ind w:firstLine="369"/>
        <w:jc w:val="both"/>
      </w:pPr>
      <w:r>
        <w:rPr>
          <w:rFonts w:ascii="Tinos" w:hAnsi="Tinos" w:eastAsia="Tinos"/>
        </w:rPr>
        <w:t>Searches used terms such as Saudi Arabia, intensive care, public hospital, resource use, cost, antimicrobial stewardship, clinical pharmacist, mechanical ventilation, ventilator bundle, efficiency, occupancy, and delayed discharge. Journal websites, PubMed records, and open full-text sources were used to check the study details. Ministry of Health reports were used for background information, but they were not included as intervention studies unless they contained an empirical analysis.</w:t>
      </w:r>
    </w:p>
    <w:p>
      <w:pPr>
        <w:jc w:val="center"/>
      </w:pPr>
      <w:r>
        <w:drawing>
          <wp:inline xmlns:a="http://schemas.openxmlformats.org/drawingml/2006/main" xmlns:pic="http://schemas.openxmlformats.org/drawingml/2006/picture">
            <wp:extent cx="5652000" cy="3249900"/>
            <wp:docPr id="2" name="Picture 2"/>
            <wp:cNvGraphicFramePr>
              <a:graphicFrameLocks noChangeAspect="1"/>
            </wp:cNvGraphicFramePr>
            <a:graphic>
              <a:graphicData uri="http://schemas.openxmlformats.org/drawingml/2006/picture">
                <pic:pic>
                  <pic:nvPicPr>
                    <pic:cNvPr id="0" name="secondary_evidence_flow.png"/>
                    <pic:cNvPicPr/>
                  </pic:nvPicPr>
                  <pic:blipFill>
                    <a:blip r:embed="rId12"/>
                    <a:stretch>
                      <a:fillRect/>
                    </a:stretch>
                  </pic:blipFill>
                  <pic:spPr>
                    <a:xfrm>
                      <a:off x="0" y="0"/>
                      <a:ext cx="5652000" cy="3249900"/>
                    </a:xfrm>
                    <a:prstGeom prst="rect"/>
                  </pic:spPr>
                </pic:pic>
              </a:graphicData>
            </a:graphic>
          </wp:inline>
        </w:drawing>
      </w:r>
    </w:p>
    <w:p>
      <w:pPr>
        <w:spacing w:before="60" w:after="140"/>
        <w:jc w:val="center"/>
      </w:pPr>
      <w:r>
        <w:rPr>
          <w:rFonts w:ascii="Tinos" w:hAnsi="Tinos" w:eastAsia="Tinos"/>
          <w:b/>
          <w:sz w:val="20"/>
        </w:rPr>
        <w:t>Figure 3.1  Evidence-selection process</w:t>
      </w:r>
    </w:p>
    <w:p>
      <w:pPr>
        <w:pStyle w:val="Heading2"/>
      </w:pPr>
      <w:r>
        <w:t>3.6 Eligibility Criteria</w:t>
      </w:r>
    </w:p>
    <w:tbl>
      <w:tblPr>
        <w:tblW w:type="auto" w:w="0"/>
        <w:jc w:val="center"/>
        <w:tblLayout w:type="fixed"/>
        <w:tblLook w:firstColumn="1" w:firstRow="1" w:lastColumn="0" w:lastRow="0" w:noHBand="0" w:noVBand="1" w:val="04A0"/>
        <w:tblBorders>
          <w:top w:val="single" w:sz="4" w:color="9EADBA"/>
          <w:left w:val="single" w:sz="4" w:color="9EADBA"/>
          <w:bottom w:val="single" w:sz="4" w:color="9EADBA"/>
          <w:right w:val="single" w:sz="4" w:color="9EADBA"/>
          <w:insideH w:val="single" w:sz="4" w:color="9EADBA"/>
          <w:insideV w:val="single" w:sz="4" w:color="9EADBA"/>
        </w:tblBorders>
      </w:tblPr>
      <w:tblGrid>
        <w:gridCol w:w="3061"/>
        <w:gridCol w:w="3061"/>
        <w:gridCol w:w="3061"/>
      </w:tblGrid>
      <w:tr>
        <w:trPr>
          <w:tblHeader w:val="true"/>
          <w:cantSplit/>
        </w:trPr>
        <w:tc>
          <w:tcPr>
            <w:tcW w:type="dxa" w:w="1814"/>
            <w:shd w:fill="D9EAF7"/>
            <w:tcMar>
              <w:top w:w="65" w:type="dxa"/>
              <w:start w:w="75" w:type="dxa"/>
              <w:bottom w:w="65" w:type="dxa"/>
              <w:end w:w="75" w:type="dxa"/>
            </w:tcMar>
            <w:vAlign w:val="center"/>
          </w:tcPr>
          <w:p>
            <w:pPr>
              <w:spacing w:after="0"/>
              <w:jc w:val="center"/>
            </w:pPr>
            <w:r>
              <w:rPr>
                <w:rFonts w:ascii="Tinos" w:hAnsi="Tinos" w:eastAsia="Tinos"/>
                <w:b/>
                <w:sz w:val="17"/>
              </w:rPr>
              <w:t>Criterion</w:t>
            </w:r>
          </w:p>
        </w:tc>
        <w:tc>
          <w:tcPr>
            <w:tcW w:type="dxa" w:w="3685"/>
            <w:shd w:fill="D9EAF7"/>
            <w:tcMar>
              <w:top w:w="65" w:type="dxa"/>
              <w:start w:w="75" w:type="dxa"/>
              <w:bottom w:w="65" w:type="dxa"/>
              <w:end w:w="75" w:type="dxa"/>
            </w:tcMar>
            <w:vAlign w:val="center"/>
          </w:tcPr>
          <w:p>
            <w:pPr>
              <w:spacing w:after="0"/>
              <w:jc w:val="center"/>
            </w:pPr>
            <w:r>
              <w:rPr>
                <w:rFonts w:ascii="Tinos" w:hAnsi="Tinos" w:eastAsia="Tinos"/>
                <w:b/>
                <w:sz w:val="17"/>
              </w:rPr>
              <w:t>Included</w:t>
            </w:r>
          </w:p>
        </w:tc>
        <w:tc>
          <w:tcPr>
            <w:tcW w:type="dxa" w:w="3685"/>
            <w:shd w:fill="D9EAF7"/>
            <w:tcMar>
              <w:top w:w="65" w:type="dxa"/>
              <w:start w:w="75" w:type="dxa"/>
              <w:bottom w:w="65" w:type="dxa"/>
              <w:end w:w="75" w:type="dxa"/>
            </w:tcMar>
            <w:vAlign w:val="center"/>
          </w:tcPr>
          <w:p>
            <w:pPr>
              <w:spacing w:after="0"/>
              <w:jc w:val="center"/>
            </w:pPr>
            <w:r>
              <w:rPr>
                <w:rFonts w:ascii="Tinos" w:hAnsi="Tinos" w:eastAsia="Tinos"/>
                <w:b/>
                <w:sz w:val="17"/>
              </w:rPr>
              <w:t>Excluded</w:t>
            </w:r>
          </w:p>
        </w:tc>
      </w:tr>
      <w:tr>
        <w:trPr>
          <w:cantSplit/>
        </w:trPr>
        <w:tc>
          <w:tcPr>
            <w:tcW w:type="dxa" w:w="1814"/>
            <w:tcMar>
              <w:top w:w="65" w:type="dxa"/>
              <w:start w:w="75" w:type="dxa"/>
              <w:bottom w:w="65" w:type="dxa"/>
              <w:end w:w="75" w:type="dxa"/>
            </w:tcMar>
            <w:vAlign w:val="top"/>
          </w:tcPr>
          <w:p>
            <w:pPr>
              <w:spacing w:line="240" w:lineRule="auto" w:after="0"/>
              <w:jc w:val="left"/>
            </w:pPr>
            <w:r>
              <w:rPr>
                <w:rFonts w:ascii="Tinos" w:hAnsi="Tinos" w:eastAsia="Tinos"/>
                <w:sz w:val="17"/>
              </w:rPr>
              <w:t>Country/setting</w:t>
            </w:r>
          </w:p>
        </w:tc>
        <w:tc>
          <w:tcPr>
            <w:tcW w:type="dxa" w:w="3685"/>
            <w:tcMar>
              <w:top w:w="65" w:type="dxa"/>
              <w:start w:w="75" w:type="dxa"/>
              <w:bottom w:w="65" w:type="dxa"/>
              <w:end w:w="75" w:type="dxa"/>
            </w:tcMar>
            <w:vAlign w:val="top"/>
          </w:tcPr>
          <w:p>
            <w:pPr>
              <w:spacing w:line="240" w:lineRule="auto" w:after="0"/>
              <w:jc w:val="left"/>
            </w:pPr>
            <w:r>
              <w:rPr>
                <w:rFonts w:ascii="Tinos" w:hAnsi="Tinos" w:eastAsia="Tinos"/>
                <w:sz w:val="17"/>
              </w:rPr>
              <w:t>Saudi hospital setting; public, governmental, university, or national public-sector collaborative</w:t>
            </w:r>
          </w:p>
        </w:tc>
        <w:tc>
          <w:tcPr>
            <w:tcW w:type="dxa" w:w="3685"/>
            <w:tcMar>
              <w:top w:w="65" w:type="dxa"/>
              <w:start w:w="75" w:type="dxa"/>
              <w:bottom w:w="65" w:type="dxa"/>
              <w:end w:w="75" w:type="dxa"/>
            </w:tcMar>
            <w:vAlign w:val="top"/>
          </w:tcPr>
          <w:p>
            <w:pPr>
              <w:spacing w:line="240" w:lineRule="auto" w:after="0"/>
              <w:jc w:val="left"/>
            </w:pPr>
            <w:r>
              <w:rPr>
                <w:rFonts w:ascii="Tinos" w:hAnsi="Tinos" w:eastAsia="Tinos"/>
                <w:sz w:val="17"/>
              </w:rPr>
              <w:t>Non-Saudi study; private-only setting without relevance to public hospitals</w:t>
            </w:r>
          </w:p>
        </w:tc>
      </w:tr>
      <w:tr>
        <w:trPr>
          <w:cantSplit/>
        </w:trPr>
        <w:tc>
          <w:tcPr>
            <w:tcW w:type="dxa" w:w="1814"/>
            <w:tcMar>
              <w:top w:w="65" w:type="dxa"/>
              <w:start w:w="75" w:type="dxa"/>
              <w:bottom w:w="65" w:type="dxa"/>
              <w:end w:w="75" w:type="dxa"/>
            </w:tcMar>
            <w:vAlign w:val="top"/>
          </w:tcPr>
          <w:p>
            <w:pPr>
              <w:spacing w:line="240" w:lineRule="auto" w:after="0"/>
              <w:jc w:val="left"/>
            </w:pPr>
            <w:r>
              <w:rPr>
                <w:rFonts w:ascii="Tinos" w:hAnsi="Tinos" w:eastAsia="Tinos"/>
                <w:sz w:val="17"/>
              </w:rPr>
              <w:t>Design</w:t>
            </w:r>
          </w:p>
        </w:tc>
        <w:tc>
          <w:tcPr>
            <w:tcW w:type="dxa" w:w="3685"/>
            <w:tcMar>
              <w:top w:w="65" w:type="dxa"/>
              <w:start w:w="75" w:type="dxa"/>
              <w:bottom w:w="65" w:type="dxa"/>
              <w:end w:w="75" w:type="dxa"/>
            </w:tcMar>
            <w:vAlign w:val="top"/>
          </w:tcPr>
          <w:p>
            <w:pPr>
              <w:spacing w:line="240" w:lineRule="auto" w:after="0"/>
              <w:jc w:val="left"/>
            </w:pPr>
            <w:r>
              <w:rPr>
                <w:rFonts w:ascii="Tinos" w:hAnsi="Tinos" w:eastAsia="Tinos"/>
                <w:sz w:val="17"/>
              </w:rPr>
              <w:t>Primary quantitative empirical study or quality-improvement evaluation</w:t>
            </w:r>
          </w:p>
        </w:tc>
        <w:tc>
          <w:tcPr>
            <w:tcW w:type="dxa" w:w="3685"/>
            <w:tcMar>
              <w:top w:w="65" w:type="dxa"/>
              <w:start w:w="75" w:type="dxa"/>
              <w:bottom w:w="65" w:type="dxa"/>
              <w:end w:w="75" w:type="dxa"/>
            </w:tcMar>
            <w:vAlign w:val="top"/>
          </w:tcPr>
          <w:p>
            <w:pPr>
              <w:spacing w:line="240" w:lineRule="auto" w:after="0"/>
              <w:jc w:val="left"/>
            </w:pPr>
            <w:r>
              <w:rPr>
                <w:rFonts w:ascii="Tinos" w:hAnsi="Tinos" w:eastAsia="Tinos"/>
                <w:sz w:val="17"/>
              </w:rPr>
              <w:t>Review, editorial, opinion, or purely qualitative study used as a data source</w:t>
            </w:r>
          </w:p>
        </w:tc>
      </w:tr>
      <w:tr>
        <w:trPr>
          <w:cantSplit/>
        </w:trPr>
        <w:tc>
          <w:tcPr>
            <w:tcW w:type="dxa" w:w="1814"/>
            <w:tcMar>
              <w:top w:w="65" w:type="dxa"/>
              <w:start w:w="75" w:type="dxa"/>
              <w:bottom w:w="65" w:type="dxa"/>
              <w:end w:w="75" w:type="dxa"/>
            </w:tcMar>
            <w:vAlign w:val="top"/>
          </w:tcPr>
          <w:p>
            <w:pPr>
              <w:spacing w:line="240" w:lineRule="auto" w:after="0"/>
              <w:jc w:val="left"/>
            </w:pPr>
            <w:r>
              <w:rPr>
                <w:rFonts w:ascii="Tinos" w:hAnsi="Tinos" w:eastAsia="Tinos"/>
                <w:sz w:val="17"/>
              </w:rPr>
              <w:t>Topic</w:t>
            </w:r>
          </w:p>
        </w:tc>
        <w:tc>
          <w:tcPr>
            <w:tcW w:type="dxa" w:w="3685"/>
            <w:tcMar>
              <w:top w:w="65" w:type="dxa"/>
              <w:start w:w="75" w:type="dxa"/>
              <w:bottom w:w="65" w:type="dxa"/>
              <w:end w:w="75" w:type="dxa"/>
            </w:tcMar>
            <w:vAlign w:val="top"/>
          </w:tcPr>
          <w:p>
            <w:pPr>
              <w:spacing w:line="240" w:lineRule="auto" w:after="0"/>
              <w:jc w:val="left"/>
            </w:pPr>
            <w:r>
              <w:rPr>
                <w:rFonts w:ascii="Tinos" w:hAnsi="Tinos" w:eastAsia="Tinos"/>
                <w:sz w:val="17"/>
              </w:rPr>
              <w:t>Medication, respiratory, organizational, cost, or efficiency outcome related to ICU or public-hospital resource use</w:t>
            </w:r>
          </w:p>
        </w:tc>
        <w:tc>
          <w:tcPr>
            <w:tcW w:type="dxa" w:w="3685"/>
            <w:tcMar>
              <w:top w:w="65" w:type="dxa"/>
              <w:start w:w="75" w:type="dxa"/>
              <w:bottom w:w="65" w:type="dxa"/>
              <w:end w:w="75" w:type="dxa"/>
            </w:tcMar>
            <w:vAlign w:val="top"/>
          </w:tcPr>
          <w:p>
            <w:pPr>
              <w:spacing w:line="240" w:lineRule="auto" w:after="0"/>
              <w:jc w:val="left"/>
            </w:pPr>
            <w:r>
              <w:rPr>
                <w:rFonts w:ascii="Tinos" w:hAnsi="Tinos" w:eastAsia="Tinos"/>
                <w:sz w:val="17"/>
              </w:rPr>
              <w:t>No measurable resource, efficiency, cost, or operational outcome</w:t>
            </w:r>
          </w:p>
        </w:tc>
      </w:tr>
      <w:tr>
        <w:trPr>
          <w:cantSplit/>
        </w:trPr>
        <w:tc>
          <w:tcPr>
            <w:tcW w:type="dxa" w:w="1814"/>
            <w:tcMar>
              <w:top w:w="65" w:type="dxa"/>
              <w:start w:w="75" w:type="dxa"/>
              <w:bottom w:w="65" w:type="dxa"/>
              <w:end w:w="75" w:type="dxa"/>
            </w:tcMar>
            <w:vAlign w:val="top"/>
          </w:tcPr>
          <w:p>
            <w:pPr>
              <w:spacing w:line="240" w:lineRule="auto" w:after="0"/>
              <w:jc w:val="left"/>
            </w:pPr>
            <w:r>
              <w:rPr>
                <w:rFonts w:ascii="Tinos" w:hAnsi="Tinos" w:eastAsia="Tinos"/>
                <w:sz w:val="17"/>
              </w:rPr>
              <w:t>Reporting</w:t>
            </w:r>
          </w:p>
        </w:tc>
        <w:tc>
          <w:tcPr>
            <w:tcW w:type="dxa" w:w="3685"/>
            <w:tcMar>
              <w:top w:w="65" w:type="dxa"/>
              <w:start w:w="75" w:type="dxa"/>
              <w:bottom w:w="65" w:type="dxa"/>
              <w:end w:w="75" w:type="dxa"/>
            </w:tcMar>
            <w:vAlign w:val="top"/>
          </w:tcPr>
          <w:p>
            <w:pPr>
              <w:spacing w:line="240" w:lineRule="auto" w:after="0"/>
              <w:jc w:val="left"/>
            </w:pPr>
            <w:r>
              <w:rPr>
                <w:rFonts w:ascii="Tinos" w:hAnsi="Tinos" w:eastAsia="Tinos"/>
                <w:sz w:val="17"/>
              </w:rPr>
              <w:t>Sufficient numerical information to extract a result</w:t>
            </w:r>
          </w:p>
        </w:tc>
        <w:tc>
          <w:tcPr>
            <w:tcW w:type="dxa" w:w="3685"/>
            <w:tcMar>
              <w:top w:w="65" w:type="dxa"/>
              <w:start w:w="75" w:type="dxa"/>
              <w:bottom w:w="65" w:type="dxa"/>
              <w:end w:w="75" w:type="dxa"/>
            </w:tcMar>
            <w:vAlign w:val="top"/>
          </w:tcPr>
          <w:p>
            <w:pPr>
              <w:spacing w:line="240" w:lineRule="auto" w:after="0"/>
              <w:jc w:val="left"/>
            </w:pPr>
            <w:r>
              <w:rPr>
                <w:rFonts w:ascii="Tinos" w:hAnsi="Tinos" w:eastAsia="Tinos"/>
                <w:sz w:val="17"/>
              </w:rPr>
              <w:t>Only general statements without extractable data</w:t>
            </w:r>
          </w:p>
        </w:tc>
      </w:tr>
      <w:tr>
        <w:trPr>
          <w:cantSplit/>
        </w:trPr>
        <w:tc>
          <w:tcPr>
            <w:tcW w:type="dxa" w:w="1814"/>
            <w:tcMar>
              <w:top w:w="65" w:type="dxa"/>
              <w:start w:w="75" w:type="dxa"/>
              <w:bottom w:w="65" w:type="dxa"/>
              <w:end w:w="75" w:type="dxa"/>
            </w:tcMar>
            <w:vAlign w:val="top"/>
          </w:tcPr>
          <w:p>
            <w:pPr>
              <w:spacing w:line="240" w:lineRule="auto" w:after="0"/>
              <w:jc w:val="left"/>
            </w:pPr>
            <w:r>
              <w:rPr>
                <w:rFonts w:ascii="Tinos" w:hAnsi="Tinos" w:eastAsia="Tinos"/>
                <w:sz w:val="17"/>
              </w:rPr>
              <w:t>Population</w:t>
            </w:r>
          </w:p>
        </w:tc>
        <w:tc>
          <w:tcPr>
            <w:tcW w:type="dxa" w:w="3685"/>
            <w:tcMar>
              <w:top w:w="65" w:type="dxa"/>
              <w:start w:w="75" w:type="dxa"/>
              <w:bottom w:w="65" w:type="dxa"/>
              <w:end w:w="75" w:type="dxa"/>
            </w:tcMar>
            <w:vAlign w:val="top"/>
          </w:tcPr>
          <w:p>
            <w:pPr>
              <w:spacing w:line="240" w:lineRule="auto" w:after="0"/>
              <w:jc w:val="left"/>
            </w:pPr>
            <w:r>
              <w:rPr>
                <w:rFonts w:ascii="Tinos" w:hAnsi="Tinos" w:eastAsia="Tinos"/>
                <w:sz w:val="17"/>
              </w:rPr>
              <w:t>Adult ICU or broader public-hospital efficiency evidence relevant to ICU management</w:t>
            </w:r>
          </w:p>
        </w:tc>
        <w:tc>
          <w:tcPr>
            <w:tcW w:type="dxa" w:w="3685"/>
            <w:tcMar>
              <w:top w:w="65" w:type="dxa"/>
              <w:start w:w="75" w:type="dxa"/>
              <w:bottom w:w="65" w:type="dxa"/>
              <w:end w:w="75" w:type="dxa"/>
            </w:tcMar>
            <w:vAlign w:val="top"/>
          </w:tcPr>
          <w:p>
            <w:pPr>
              <w:spacing w:line="240" w:lineRule="auto" w:after="0"/>
              <w:jc w:val="left"/>
            </w:pPr>
            <w:r>
              <w:rPr>
                <w:rFonts w:ascii="Tinos" w:hAnsi="Tinos" w:eastAsia="Tinos"/>
                <w:sz w:val="17"/>
              </w:rPr>
              <w:t>Pediatric-only evidence unless directly necessary for context</w:t>
            </w:r>
          </w:p>
        </w:tc>
      </w:tr>
    </w:tbl>
    <w:p>
      <w:pPr>
        <w:spacing w:before="60" w:after="140"/>
        <w:jc w:val="center"/>
      </w:pPr>
      <w:r>
        <w:rPr>
          <w:rFonts w:ascii="Tinos" w:hAnsi="Tinos" w:eastAsia="Tinos"/>
          <w:b/>
          <w:sz w:val="20"/>
        </w:rPr>
        <w:t>Table 3.1  Eligibility criteria</w:t>
      </w:r>
    </w:p>
    <w:p>
      <w:pPr>
        <w:pStyle w:val="Heading2"/>
      </w:pPr>
      <w:r>
        <w:t>3.7 Data Collection Procedures</w:t>
      </w:r>
    </w:p>
    <w:p>
      <w:pPr>
        <w:spacing w:line="312" w:lineRule="auto" w:after="100"/>
        <w:ind w:firstLine="369"/>
        <w:jc w:val="both"/>
      </w:pPr>
      <w:r>
        <w:rPr>
          <w:rFonts w:ascii="Tinos" w:hAnsi="Tinos" w:eastAsia="Tinos"/>
        </w:rPr>
        <w:t>A standard data-extraction sheet was used for all studies. It recorded the author and year, hospital and city, study design, study period, sample size or data volume, intervention, outcome definition, baseline and follow-up values, statistical results, currency, and main limitations. When possible, the numbers were checked against the tables in the original article.</w:t>
      </w:r>
    </w:p>
    <w:tbl>
      <w:tblPr>
        <w:tblW w:type="auto" w:w="0"/>
        <w:jc w:val="center"/>
        <w:tblLayout w:type="fixed"/>
        <w:tblLook w:firstColumn="1" w:firstRow="1" w:lastColumn="0" w:lastRow="0" w:noHBand="0" w:noVBand="1" w:val="04A0"/>
        <w:tblBorders>
          <w:top w:val="single" w:sz="4" w:color="9EADBA"/>
          <w:left w:val="single" w:sz="4" w:color="9EADBA"/>
          <w:bottom w:val="single" w:sz="4" w:color="9EADBA"/>
          <w:right w:val="single" w:sz="4" w:color="9EADBA"/>
          <w:insideH w:val="single" w:sz="4" w:color="9EADBA"/>
          <w:insideV w:val="single" w:sz="4" w:color="9EADBA"/>
        </w:tblBorders>
      </w:tblPr>
      <w:tblGrid>
        <w:gridCol w:w="4592"/>
        <w:gridCol w:w="4592"/>
      </w:tblGrid>
      <w:tr>
        <w:trPr>
          <w:tblHeader w:val="true"/>
          <w:cantSplit/>
        </w:trPr>
        <w:tc>
          <w:tcPr>
            <w:tcW w:type="dxa" w:w="2608"/>
            <w:shd w:fill="D9EAF7"/>
            <w:tcMar>
              <w:top w:w="65" w:type="dxa"/>
              <w:start w:w="75" w:type="dxa"/>
              <w:bottom w:w="65" w:type="dxa"/>
              <w:end w:w="75" w:type="dxa"/>
            </w:tcMar>
            <w:vAlign w:val="center"/>
          </w:tcPr>
          <w:p>
            <w:pPr>
              <w:spacing w:after="0"/>
              <w:jc w:val="center"/>
            </w:pPr>
            <w:r>
              <w:rPr>
                <w:rFonts w:ascii="Tinos" w:hAnsi="Tinos" w:eastAsia="Tinos"/>
                <w:b/>
                <w:sz w:val="18"/>
              </w:rPr>
              <w:t>Data group</w:t>
            </w:r>
          </w:p>
        </w:tc>
        <w:tc>
          <w:tcPr>
            <w:tcW w:type="dxa" w:w="6576"/>
            <w:shd w:fill="D9EAF7"/>
            <w:tcMar>
              <w:top w:w="65" w:type="dxa"/>
              <w:start w:w="75" w:type="dxa"/>
              <w:bottom w:w="65" w:type="dxa"/>
              <w:end w:w="75" w:type="dxa"/>
            </w:tcMar>
            <w:vAlign w:val="center"/>
          </w:tcPr>
          <w:p>
            <w:pPr>
              <w:spacing w:after="0"/>
              <w:jc w:val="center"/>
            </w:pPr>
            <w:r>
              <w:rPr>
                <w:rFonts w:ascii="Tinos" w:hAnsi="Tinos" w:eastAsia="Tinos"/>
                <w:b/>
                <w:sz w:val="18"/>
              </w:rPr>
              <w:t>Items extracted</w:t>
            </w:r>
          </w:p>
        </w:tc>
      </w:tr>
      <w:tr>
        <w:trPr>
          <w:cantSplit/>
        </w:trPr>
        <w:tc>
          <w:tcPr>
            <w:tcW w:type="dxa" w:w="2608"/>
            <w:tcMar>
              <w:top w:w="65" w:type="dxa"/>
              <w:start w:w="75" w:type="dxa"/>
              <w:bottom w:w="65" w:type="dxa"/>
              <w:end w:w="75" w:type="dxa"/>
            </w:tcMar>
            <w:vAlign w:val="top"/>
          </w:tcPr>
          <w:p>
            <w:pPr>
              <w:spacing w:line="240" w:lineRule="auto" w:after="0"/>
              <w:jc w:val="left"/>
            </w:pPr>
            <w:r>
              <w:rPr>
                <w:rFonts w:ascii="Tinos" w:hAnsi="Tinos" w:eastAsia="Tinos"/>
                <w:sz w:val="18"/>
              </w:rPr>
              <w:t>Study identification</w:t>
            </w:r>
          </w:p>
        </w:tc>
        <w:tc>
          <w:tcPr>
            <w:tcW w:type="dxa" w:w="6576"/>
            <w:tcMar>
              <w:top w:w="65" w:type="dxa"/>
              <w:start w:w="75" w:type="dxa"/>
              <w:bottom w:w="65" w:type="dxa"/>
              <w:end w:w="75" w:type="dxa"/>
            </w:tcMar>
            <w:vAlign w:val="top"/>
          </w:tcPr>
          <w:p>
            <w:pPr>
              <w:spacing w:line="240" w:lineRule="auto" w:after="0"/>
              <w:jc w:val="left"/>
            </w:pPr>
            <w:r>
              <w:rPr>
                <w:rFonts w:ascii="Tinos" w:hAnsi="Tinos" w:eastAsia="Tinos"/>
                <w:sz w:val="18"/>
              </w:rPr>
              <w:t>Author, year, title, journal, DOI</w:t>
            </w:r>
          </w:p>
        </w:tc>
      </w:tr>
      <w:tr>
        <w:trPr>
          <w:cantSplit/>
        </w:trPr>
        <w:tc>
          <w:tcPr>
            <w:tcW w:type="dxa" w:w="2608"/>
            <w:tcMar>
              <w:top w:w="65" w:type="dxa"/>
              <w:start w:w="75" w:type="dxa"/>
              <w:bottom w:w="65" w:type="dxa"/>
              <w:end w:w="75" w:type="dxa"/>
            </w:tcMar>
            <w:vAlign w:val="top"/>
          </w:tcPr>
          <w:p>
            <w:pPr>
              <w:spacing w:line="240" w:lineRule="auto" w:after="0"/>
              <w:jc w:val="left"/>
            </w:pPr>
            <w:r>
              <w:rPr>
                <w:rFonts w:ascii="Tinos" w:hAnsi="Tinos" w:eastAsia="Tinos"/>
                <w:sz w:val="18"/>
              </w:rPr>
              <w:t>Setting</w:t>
            </w:r>
          </w:p>
        </w:tc>
        <w:tc>
          <w:tcPr>
            <w:tcW w:type="dxa" w:w="6576"/>
            <w:tcMar>
              <w:top w:w="65" w:type="dxa"/>
              <w:start w:w="75" w:type="dxa"/>
              <w:bottom w:w="65" w:type="dxa"/>
              <w:end w:w="75" w:type="dxa"/>
            </w:tcMar>
            <w:vAlign w:val="top"/>
          </w:tcPr>
          <w:p>
            <w:pPr>
              <w:spacing w:line="240" w:lineRule="auto" w:after="0"/>
              <w:jc w:val="left"/>
            </w:pPr>
            <w:r>
              <w:rPr>
                <w:rFonts w:ascii="Tinos" w:hAnsi="Tinos" w:eastAsia="Tinos"/>
                <w:sz w:val="18"/>
              </w:rPr>
              <w:t>Hospital, city, ICU type, public-sector status</w:t>
            </w:r>
          </w:p>
        </w:tc>
      </w:tr>
      <w:tr>
        <w:trPr>
          <w:cantSplit/>
        </w:trPr>
        <w:tc>
          <w:tcPr>
            <w:tcW w:type="dxa" w:w="2608"/>
            <w:tcMar>
              <w:top w:w="65" w:type="dxa"/>
              <w:start w:w="75" w:type="dxa"/>
              <w:bottom w:w="65" w:type="dxa"/>
              <w:end w:w="75" w:type="dxa"/>
            </w:tcMar>
            <w:vAlign w:val="top"/>
          </w:tcPr>
          <w:p>
            <w:pPr>
              <w:spacing w:line="240" w:lineRule="auto" w:after="0"/>
              <w:jc w:val="left"/>
            </w:pPr>
            <w:r>
              <w:rPr>
                <w:rFonts w:ascii="Tinos" w:hAnsi="Tinos" w:eastAsia="Tinos"/>
                <w:sz w:val="18"/>
              </w:rPr>
              <w:t>Design</w:t>
            </w:r>
          </w:p>
        </w:tc>
        <w:tc>
          <w:tcPr>
            <w:tcW w:type="dxa" w:w="6576"/>
            <w:tcMar>
              <w:top w:w="65" w:type="dxa"/>
              <w:start w:w="75" w:type="dxa"/>
              <w:bottom w:w="65" w:type="dxa"/>
              <w:end w:w="75" w:type="dxa"/>
            </w:tcMar>
            <w:vAlign w:val="top"/>
          </w:tcPr>
          <w:p>
            <w:pPr>
              <w:spacing w:line="240" w:lineRule="auto" w:after="0"/>
              <w:jc w:val="left"/>
            </w:pPr>
            <w:r>
              <w:rPr>
                <w:rFonts w:ascii="Tinos" w:hAnsi="Tinos" w:eastAsia="Tinos"/>
                <w:sz w:val="18"/>
              </w:rPr>
              <w:t>Prospective, retrospective, quasi-experimental, DEA, or comparative</w:t>
            </w:r>
          </w:p>
        </w:tc>
      </w:tr>
      <w:tr>
        <w:trPr>
          <w:cantSplit/>
        </w:trPr>
        <w:tc>
          <w:tcPr>
            <w:tcW w:type="dxa" w:w="2608"/>
            <w:tcMar>
              <w:top w:w="65" w:type="dxa"/>
              <w:start w:w="75" w:type="dxa"/>
              <w:bottom w:w="65" w:type="dxa"/>
              <w:end w:w="75" w:type="dxa"/>
            </w:tcMar>
            <w:vAlign w:val="top"/>
          </w:tcPr>
          <w:p>
            <w:pPr>
              <w:spacing w:line="240" w:lineRule="auto" w:after="0"/>
              <w:jc w:val="left"/>
            </w:pPr>
            <w:r>
              <w:rPr>
                <w:rFonts w:ascii="Tinos" w:hAnsi="Tinos" w:eastAsia="Tinos"/>
                <w:sz w:val="18"/>
              </w:rPr>
              <w:t>Sample</w:t>
            </w:r>
          </w:p>
        </w:tc>
        <w:tc>
          <w:tcPr>
            <w:tcW w:type="dxa" w:w="6576"/>
            <w:tcMar>
              <w:top w:w="65" w:type="dxa"/>
              <w:start w:w="75" w:type="dxa"/>
              <w:bottom w:w="65" w:type="dxa"/>
              <w:end w:w="75" w:type="dxa"/>
            </w:tcMar>
            <w:vAlign w:val="top"/>
          </w:tcPr>
          <w:p>
            <w:pPr>
              <w:spacing w:line="240" w:lineRule="auto" w:after="0"/>
              <w:jc w:val="left"/>
            </w:pPr>
            <w:r>
              <w:rPr>
                <w:rFonts w:ascii="Tinos" w:hAnsi="Tinos" w:eastAsia="Tinos"/>
                <w:sz w:val="18"/>
              </w:rPr>
              <w:t>Patients, interventions, hospitals, ventilator-days, or study years</w:t>
            </w:r>
          </w:p>
        </w:tc>
      </w:tr>
      <w:tr>
        <w:trPr>
          <w:cantSplit/>
        </w:trPr>
        <w:tc>
          <w:tcPr>
            <w:tcW w:type="dxa" w:w="2608"/>
            <w:tcMar>
              <w:top w:w="65" w:type="dxa"/>
              <w:start w:w="75" w:type="dxa"/>
              <w:bottom w:w="65" w:type="dxa"/>
              <w:end w:w="75" w:type="dxa"/>
            </w:tcMar>
            <w:vAlign w:val="top"/>
          </w:tcPr>
          <w:p>
            <w:pPr>
              <w:spacing w:line="240" w:lineRule="auto" w:after="0"/>
              <w:jc w:val="left"/>
            </w:pPr>
            <w:r>
              <w:rPr>
                <w:rFonts w:ascii="Tinos" w:hAnsi="Tinos" w:eastAsia="Tinos"/>
                <w:sz w:val="18"/>
              </w:rPr>
              <w:t>Optimization domain</w:t>
            </w:r>
          </w:p>
        </w:tc>
        <w:tc>
          <w:tcPr>
            <w:tcW w:type="dxa" w:w="6576"/>
            <w:tcMar>
              <w:top w:w="65" w:type="dxa"/>
              <w:start w:w="75" w:type="dxa"/>
              <w:bottom w:w="65" w:type="dxa"/>
              <w:end w:w="75" w:type="dxa"/>
            </w:tcMar>
            <w:vAlign w:val="top"/>
          </w:tcPr>
          <w:p>
            <w:pPr>
              <w:spacing w:line="240" w:lineRule="auto" w:after="0"/>
              <w:jc w:val="left"/>
            </w:pPr>
            <w:r>
              <w:rPr>
                <w:rFonts w:ascii="Tinos" w:hAnsi="Tinos" w:eastAsia="Tinos"/>
                <w:sz w:val="18"/>
              </w:rPr>
              <w:t>Medication, respiratory care, or organization</w:t>
            </w:r>
          </w:p>
        </w:tc>
      </w:tr>
      <w:tr>
        <w:trPr>
          <w:cantSplit/>
        </w:trPr>
        <w:tc>
          <w:tcPr>
            <w:tcW w:type="dxa" w:w="2608"/>
            <w:tcMar>
              <w:top w:w="65" w:type="dxa"/>
              <w:start w:w="75" w:type="dxa"/>
              <w:bottom w:w="65" w:type="dxa"/>
              <w:end w:w="75" w:type="dxa"/>
            </w:tcMar>
            <w:vAlign w:val="top"/>
          </w:tcPr>
          <w:p>
            <w:pPr>
              <w:spacing w:line="240" w:lineRule="auto" w:after="0"/>
              <w:jc w:val="left"/>
            </w:pPr>
            <w:r>
              <w:rPr>
                <w:rFonts w:ascii="Tinos" w:hAnsi="Tinos" w:eastAsia="Tinos"/>
                <w:sz w:val="18"/>
              </w:rPr>
              <w:t>Outcome</w:t>
            </w:r>
          </w:p>
        </w:tc>
        <w:tc>
          <w:tcPr>
            <w:tcW w:type="dxa" w:w="6576"/>
            <w:tcMar>
              <w:top w:w="65" w:type="dxa"/>
              <w:start w:w="75" w:type="dxa"/>
              <w:bottom w:w="65" w:type="dxa"/>
              <w:end w:w="75" w:type="dxa"/>
            </w:tcMar>
            <w:vAlign w:val="top"/>
          </w:tcPr>
          <w:p>
            <w:pPr>
              <w:spacing w:line="240" w:lineRule="auto" w:after="0"/>
              <w:jc w:val="left"/>
            </w:pPr>
            <w:r>
              <w:rPr>
                <w:rFonts w:ascii="Tinos" w:hAnsi="Tinos" w:eastAsia="Tinos"/>
                <w:sz w:val="18"/>
              </w:rPr>
              <w:t>Cost, consumption, infection, mortality, LOS, occupancy, technical efficiency</w:t>
            </w:r>
          </w:p>
        </w:tc>
      </w:tr>
      <w:tr>
        <w:trPr>
          <w:cantSplit/>
        </w:trPr>
        <w:tc>
          <w:tcPr>
            <w:tcW w:type="dxa" w:w="2608"/>
            <w:tcMar>
              <w:top w:w="65" w:type="dxa"/>
              <w:start w:w="75" w:type="dxa"/>
              <w:bottom w:w="65" w:type="dxa"/>
              <w:end w:w="75" w:type="dxa"/>
            </w:tcMar>
            <w:vAlign w:val="top"/>
          </w:tcPr>
          <w:p>
            <w:pPr>
              <w:spacing w:line="240" w:lineRule="auto" w:after="0"/>
              <w:jc w:val="left"/>
            </w:pPr>
            <w:r>
              <w:rPr>
                <w:rFonts w:ascii="Tinos" w:hAnsi="Tinos" w:eastAsia="Tinos"/>
                <w:sz w:val="18"/>
              </w:rPr>
              <w:t>Statistics</w:t>
            </w:r>
          </w:p>
        </w:tc>
        <w:tc>
          <w:tcPr>
            <w:tcW w:type="dxa" w:w="6576"/>
            <w:tcMar>
              <w:top w:w="65" w:type="dxa"/>
              <w:start w:w="75" w:type="dxa"/>
              <w:bottom w:w="65" w:type="dxa"/>
              <w:end w:w="75" w:type="dxa"/>
            </w:tcMar>
            <w:vAlign w:val="top"/>
          </w:tcPr>
          <w:p>
            <w:pPr>
              <w:spacing w:line="240" w:lineRule="auto" w:after="0"/>
              <w:jc w:val="left"/>
            </w:pPr>
            <w:r>
              <w:rPr>
                <w:rFonts w:ascii="Tinos" w:hAnsi="Tinos" w:eastAsia="Tinos"/>
                <w:sz w:val="18"/>
              </w:rPr>
              <w:t>Baseline, follow-up, relative change, p-value or confidence interval</w:t>
            </w:r>
          </w:p>
        </w:tc>
      </w:tr>
      <w:tr>
        <w:trPr>
          <w:cantSplit/>
        </w:trPr>
        <w:tc>
          <w:tcPr>
            <w:tcW w:type="dxa" w:w="2608"/>
            <w:tcMar>
              <w:top w:w="65" w:type="dxa"/>
              <w:start w:w="75" w:type="dxa"/>
              <w:bottom w:w="65" w:type="dxa"/>
              <w:end w:w="75" w:type="dxa"/>
            </w:tcMar>
            <w:vAlign w:val="top"/>
          </w:tcPr>
          <w:p>
            <w:pPr>
              <w:spacing w:line="240" w:lineRule="auto" w:after="0"/>
              <w:jc w:val="left"/>
            </w:pPr>
            <w:r>
              <w:rPr>
                <w:rFonts w:ascii="Tinos" w:hAnsi="Tinos" w:eastAsia="Tinos"/>
                <w:sz w:val="18"/>
              </w:rPr>
              <w:t>Interpretation notes</w:t>
            </w:r>
          </w:p>
        </w:tc>
        <w:tc>
          <w:tcPr>
            <w:tcW w:type="dxa" w:w="6576"/>
            <w:tcMar>
              <w:top w:w="65" w:type="dxa"/>
              <w:start w:w="75" w:type="dxa"/>
              <w:bottom w:w="65" w:type="dxa"/>
              <w:end w:w="75" w:type="dxa"/>
            </w:tcMar>
            <w:vAlign w:val="top"/>
          </w:tcPr>
          <w:p>
            <w:pPr>
              <w:spacing w:line="240" w:lineRule="auto" w:after="0"/>
              <w:jc w:val="left"/>
            </w:pPr>
            <w:r>
              <w:rPr>
                <w:rFonts w:ascii="Tinos" w:hAnsi="Tinos" w:eastAsia="Tinos"/>
                <w:sz w:val="18"/>
              </w:rPr>
              <w:t>Internal inconsistencies, missing monetary values, and limits on causality</w:t>
            </w:r>
          </w:p>
        </w:tc>
      </w:tr>
    </w:tbl>
    <w:p>
      <w:pPr>
        <w:spacing w:before="60" w:after="140"/>
        <w:jc w:val="center"/>
      </w:pPr>
      <w:r>
        <w:rPr>
          <w:rFonts w:ascii="Tinos" w:hAnsi="Tinos" w:eastAsia="Tinos"/>
          <w:b/>
          <w:sz w:val="20"/>
        </w:rPr>
        <w:t>Table 3.2  Data items extracted from each study</w:t>
      </w:r>
    </w:p>
    <w:p>
      <w:pPr>
        <w:pStyle w:val="Heading2"/>
      </w:pPr>
      <w:r>
        <w:t>3.8 Data Analysis</w:t>
      </w:r>
    </w:p>
    <w:p>
      <w:pPr>
        <w:spacing w:line="312" w:lineRule="auto" w:after="100"/>
        <w:ind w:firstLine="369"/>
        <w:jc w:val="both"/>
      </w:pPr>
      <w:r>
        <w:rPr>
          <w:rFonts w:ascii="Tinos" w:hAnsi="Tinos" w:eastAsia="Tinos"/>
        </w:rPr>
        <w:t>The findings were compared descriptively because the outcomes could not be combined in one statistical analysis. When a study reported a baseline and a follow-up value, the percentage change was calculated using the following formula:</w:t>
      </w:r>
    </w:p>
    <w:p>
      <w:pPr>
        <w:jc w:val="center"/>
      </w:pPr>
      <w:r>
        <w:rPr>
          <w:rFonts w:ascii="Tinos" w:hAnsi="Tinos" w:eastAsia="Tinos"/>
          <w:b/>
          <w:sz w:val="22"/>
        </w:rPr>
        <w:t>Percentage change = ((follow-up value - baseline value) / baseline value) x 100</w:t>
      </w:r>
    </w:p>
    <w:p>
      <w:pPr>
        <w:spacing w:line="312" w:lineRule="auto" w:after="100"/>
        <w:ind w:firstLine="369"/>
        <w:jc w:val="both"/>
      </w:pPr>
      <w:r>
        <w:rPr>
          <w:rFonts w:ascii="Tinos" w:hAnsi="Tinos" w:eastAsia="Tinos"/>
        </w:rPr>
        <w:t>A negative value indicates a decrease. Where helpful, Chapter Four presents the same result as a percentage reduction. All p-values and confidence intervals come from the original articles. No additional significance tests were carried out because patient-level and monthly source data were unavailable.</w:t>
      </w:r>
    </w:p>
    <w:p>
      <w:pPr>
        <w:spacing w:line="312" w:lineRule="auto" w:after="100"/>
        <w:ind w:firstLine="369"/>
        <w:jc w:val="both"/>
      </w:pPr>
      <w:r>
        <w:rPr>
          <w:rFonts w:ascii="Tinos" w:hAnsi="Tinos" w:eastAsia="Tinos"/>
        </w:rPr>
        <w:t>Each hypothesis was classified as supported, partly supported, or not supported. Support required a generally positive pattern within the relevant studies and at least one direct measure of cost or efficiency. Partial support was assigned when care processes improved but the evidence on cost or resource use remained mixed or incomplete.</w:t>
      </w:r>
    </w:p>
    <w:p>
      <w:pPr>
        <w:pStyle w:val="Heading2"/>
      </w:pPr>
      <w:r>
        <w:t>3.9 Quality and Interpretation Checks</w:t>
      </w:r>
    </w:p>
    <w:tbl>
      <w:tblPr>
        <w:tblW w:type="auto" w:w="0"/>
        <w:jc w:val="center"/>
        <w:tblLayout w:type="fixed"/>
        <w:tblLook w:firstColumn="1" w:firstRow="1" w:lastColumn="0" w:lastRow="0" w:noHBand="0" w:noVBand="1" w:val="04A0"/>
        <w:tblBorders>
          <w:top w:val="single" w:sz="4" w:color="9EADBA"/>
          <w:left w:val="single" w:sz="4" w:color="9EADBA"/>
          <w:bottom w:val="single" w:sz="4" w:color="9EADBA"/>
          <w:right w:val="single" w:sz="4" w:color="9EADBA"/>
          <w:insideH w:val="single" w:sz="4" w:color="9EADBA"/>
          <w:insideV w:val="single" w:sz="4" w:color="9EADBA"/>
        </w:tblBorders>
      </w:tblPr>
      <w:tblGrid>
        <w:gridCol w:w="4592"/>
        <w:gridCol w:w="4592"/>
      </w:tblGrid>
      <w:tr>
        <w:trPr>
          <w:tblHeader w:val="true"/>
          <w:cantSplit/>
        </w:trPr>
        <w:tc>
          <w:tcPr>
            <w:tcW w:type="dxa" w:w="2268"/>
            <w:shd w:fill="D9EAF7"/>
            <w:tcMar>
              <w:top w:w="65" w:type="dxa"/>
              <w:start w:w="75" w:type="dxa"/>
              <w:bottom w:w="65" w:type="dxa"/>
              <w:end w:w="75" w:type="dxa"/>
            </w:tcMar>
            <w:vAlign w:val="center"/>
          </w:tcPr>
          <w:p>
            <w:pPr>
              <w:spacing w:after="0"/>
              <w:jc w:val="center"/>
            </w:pPr>
            <w:r>
              <w:rPr>
                <w:rFonts w:ascii="Tinos" w:hAnsi="Tinos" w:eastAsia="Tinos"/>
                <w:b/>
                <w:sz w:val="18"/>
              </w:rPr>
              <w:t>Check</w:t>
            </w:r>
          </w:p>
        </w:tc>
        <w:tc>
          <w:tcPr>
            <w:tcW w:type="dxa" w:w="6917"/>
            <w:shd w:fill="D9EAF7"/>
            <w:tcMar>
              <w:top w:w="65" w:type="dxa"/>
              <w:start w:w="75" w:type="dxa"/>
              <w:bottom w:w="65" w:type="dxa"/>
              <w:end w:w="75" w:type="dxa"/>
            </w:tcMar>
            <w:vAlign w:val="center"/>
          </w:tcPr>
          <w:p>
            <w:pPr>
              <w:spacing w:after="0"/>
              <w:jc w:val="center"/>
            </w:pPr>
            <w:r>
              <w:rPr>
                <w:rFonts w:ascii="Tinos" w:hAnsi="Tinos" w:eastAsia="Tinos"/>
                <w:b/>
                <w:sz w:val="18"/>
              </w:rPr>
              <w:t>Application</w:t>
            </w:r>
          </w:p>
        </w:tc>
      </w:tr>
      <w:tr>
        <w:trPr>
          <w:cantSplit/>
        </w:trPr>
        <w:tc>
          <w:tcPr>
            <w:tcW w:type="dxa" w:w="2268"/>
            <w:tcMar>
              <w:top w:w="65" w:type="dxa"/>
              <w:start w:w="75" w:type="dxa"/>
              <w:bottom w:w="65" w:type="dxa"/>
              <w:end w:w="75" w:type="dxa"/>
            </w:tcMar>
            <w:vAlign w:val="top"/>
          </w:tcPr>
          <w:p>
            <w:pPr>
              <w:spacing w:line="240" w:lineRule="auto" w:after="0"/>
              <w:jc w:val="left"/>
            </w:pPr>
            <w:r>
              <w:rPr>
                <w:rFonts w:ascii="Tinos" w:hAnsi="Tinos" w:eastAsia="Tinos"/>
                <w:sz w:val="18"/>
              </w:rPr>
              <w:t>Source authenticity</w:t>
            </w:r>
          </w:p>
        </w:tc>
        <w:tc>
          <w:tcPr>
            <w:tcW w:type="dxa" w:w="6917"/>
            <w:tcMar>
              <w:top w:w="65" w:type="dxa"/>
              <w:start w:w="75" w:type="dxa"/>
              <w:bottom w:w="65" w:type="dxa"/>
              <w:end w:w="75" w:type="dxa"/>
            </w:tcMar>
            <w:vAlign w:val="top"/>
          </w:tcPr>
          <w:p>
            <w:pPr>
              <w:spacing w:line="240" w:lineRule="auto" w:after="0"/>
              <w:jc w:val="left"/>
            </w:pPr>
            <w:r>
              <w:rPr>
                <w:rFonts w:ascii="Tinos" w:hAnsi="Tinos" w:eastAsia="Tinos"/>
              </w:rPr>
              <w:t>Check the original journal page, article table, DOI, or official record.</w:t>
            </w:r>
          </w:p>
        </w:tc>
      </w:tr>
      <w:tr>
        <w:trPr>
          <w:cantSplit/>
        </w:trPr>
        <w:tc>
          <w:tcPr>
            <w:tcW w:type="dxa" w:w="2268"/>
            <w:tcMar>
              <w:top w:w="65" w:type="dxa"/>
              <w:start w:w="75" w:type="dxa"/>
              <w:bottom w:w="65" w:type="dxa"/>
              <w:end w:w="75" w:type="dxa"/>
            </w:tcMar>
            <w:vAlign w:val="top"/>
          </w:tcPr>
          <w:p>
            <w:pPr>
              <w:spacing w:line="240" w:lineRule="auto" w:after="0"/>
              <w:jc w:val="left"/>
            </w:pPr>
            <w:r>
              <w:rPr>
                <w:rFonts w:ascii="Tinos" w:hAnsi="Tinos" w:eastAsia="Tinos"/>
                <w:sz w:val="18"/>
              </w:rPr>
              <w:t>No double counting</w:t>
            </w:r>
          </w:p>
        </w:tc>
        <w:tc>
          <w:tcPr>
            <w:tcW w:type="dxa" w:w="6917"/>
            <w:tcMar>
              <w:top w:w="65" w:type="dxa"/>
              <w:start w:w="75" w:type="dxa"/>
              <w:bottom w:w="65" w:type="dxa"/>
              <w:end w:w="75" w:type="dxa"/>
            </w:tcMar>
            <w:vAlign w:val="top"/>
          </w:tcPr>
          <w:p>
            <w:pPr>
              <w:spacing w:line="240" w:lineRule="auto" w:after="0"/>
              <w:jc w:val="left"/>
            </w:pPr>
            <w:r>
              <w:rPr>
                <w:rFonts w:ascii="Tinos" w:hAnsi="Tinos" w:eastAsia="Tinos"/>
              </w:rPr>
              <w:t>Count repeated reports of the same project only once.</w:t>
            </w:r>
          </w:p>
        </w:tc>
      </w:tr>
      <w:tr>
        <w:trPr>
          <w:cantSplit/>
        </w:trPr>
        <w:tc>
          <w:tcPr>
            <w:tcW w:type="dxa" w:w="2268"/>
            <w:tcMar>
              <w:top w:w="65" w:type="dxa"/>
              <w:start w:w="75" w:type="dxa"/>
              <w:bottom w:w="65" w:type="dxa"/>
              <w:end w:w="75" w:type="dxa"/>
            </w:tcMar>
            <w:vAlign w:val="top"/>
          </w:tcPr>
          <w:p>
            <w:pPr>
              <w:spacing w:line="240" w:lineRule="auto" w:after="0"/>
              <w:jc w:val="left"/>
            </w:pPr>
            <w:r>
              <w:rPr>
                <w:rFonts w:ascii="Tinos" w:hAnsi="Tinos" w:eastAsia="Tinos"/>
                <w:sz w:val="18"/>
              </w:rPr>
              <w:t>Unit preservation</w:t>
            </w:r>
          </w:p>
        </w:tc>
        <w:tc>
          <w:tcPr>
            <w:tcW w:type="dxa" w:w="6917"/>
            <w:tcMar>
              <w:top w:w="65" w:type="dxa"/>
              <w:start w:w="75" w:type="dxa"/>
              <w:bottom w:w="65" w:type="dxa"/>
              <w:end w:w="75" w:type="dxa"/>
            </w:tcMar>
            <w:vAlign w:val="top"/>
          </w:tcPr>
          <w:p>
            <w:pPr>
              <w:spacing w:line="240" w:lineRule="auto" w:after="0"/>
              <w:jc w:val="left"/>
            </w:pPr>
            <w:r>
              <w:rPr>
                <w:rFonts w:ascii="Tinos" w:hAnsi="Tinos" w:eastAsia="Tinos"/>
              </w:rPr>
              <w:t>Keep each result in its original unit, such as SAR, USD, DDD/100 bed-days, or VAP/1,000 ventilator-days.</w:t>
            </w:r>
          </w:p>
        </w:tc>
      </w:tr>
      <w:tr>
        <w:trPr>
          <w:cantSplit/>
        </w:trPr>
        <w:tc>
          <w:tcPr>
            <w:tcW w:type="dxa" w:w="2268"/>
            <w:tcMar>
              <w:top w:w="65" w:type="dxa"/>
              <w:start w:w="75" w:type="dxa"/>
              <w:bottom w:w="65" w:type="dxa"/>
              <w:end w:w="75" w:type="dxa"/>
            </w:tcMar>
            <w:vAlign w:val="top"/>
          </w:tcPr>
          <w:p>
            <w:pPr>
              <w:spacing w:line="240" w:lineRule="auto" w:after="0"/>
              <w:jc w:val="left"/>
            </w:pPr>
            <w:r>
              <w:rPr>
                <w:rFonts w:ascii="Tinos" w:hAnsi="Tinos" w:eastAsia="Tinos"/>
                <w:sz w:val="18"/>
              </w:rPr>
              <w:t>No false pooling</w:t>
            </w:r>
          </w:p>
        </w:tc>
        <w:tc>
          <w:tcPr>
            <w:tcW w:type="dxa" w:w="6917"/>
            <w:tcMar>
              <w:top w:w="65" w:type="dxa"/>
              <w:start w:w="75" w:type="dxa"/>
              <w:bottom w:w="65" w:type="dxa"/>
              <w:end w:w="75" w:type="dxa"/>
            </w:tcMar>
            <w:vAlign w:val="top"/>
          </w:tcPr>
          <w:p>
            <w:pPr>
              <w:spacing w:line="240" w:lineRule="auto" w:after="0"/>
              <w:jc w:val="left"/>
            </w:pPr>
            <w:r>
              <w:rPr>
                <w:rFonts w:ascii="Tinos" w:hAnsi="Tinos" w:eastAsia="Tinos"/>
              </w:rPr>
              <w:t>Do not average different outcomes or create one national saving figure.</w:t>
            </w:r>
          </w:p>
        </w:tc>
      </w:tr>
      <w:tr>
        <w:trPr>
          <w:cantSplit/>
        </w:trPr>
        <w:tc>
          <w:tcPr>
            <w:tcW w:type="dxa" w:w="2268"/>
            <w:tcMar>
              <w:top w:w="65" w:type="dxa"/>
              <w:start w:w="75" w:type="dxa"/>
              <w:bottom w:w="65" w:type="dxa"/>
              <w:end w:w="75" w:type="dxa"/>
            </w:tcMar>
            <w:vAlign w:val="top"/>
          </w:tcPr>
          <w:p>
            <w:pPr>
              <w:spacing w:line="240" w:lineRule="auto" w:after="0"/>
              <w:jc w:val="left"/>
            </w:pPr>
            <w:r>
              <w:rPr>
                <w:rFonts w:ascii="Tinos" w:hAnsi="Tinos" w:eastAsia="Tinos"/>
                <w:sz w:val="18"/>
              </w:rPr>
              <w:t>Balance outcomes</w:t>
            </w:r>
          </w:p>
        </w:tc>
        <w:tc>
          <w:tcPr>
            <w:tcW w:type="dxa" w:w="6917"/>
            <w:tcMar>
              <w:top w:w="65" w:type="dxa"/>
              <w:start w:w="75" w:type="dxa"/>
              <w:bottom w:w="65" w:type="dxa"/>
              <w:end w:w="75" w:type="dxa"/>
            </w:tcMar>
            <w:vAlign w:val="top"/>
          </w:tcPr>
          <w:p>
            <w:pPr>
              <w:spacing w:line="240" w:lineRule="auto" w:after="0"/>
              <w:jc w:val="left"/>
            </w:pPr>
            <w:r>
              <w:rPr>
                <w:rFonts w:ascii="Tinos" w:hAnsi="Tinos" w:eastAsia="Tinos"/>
              </w:rPr>
              <w:t>Report mortality, VAE, length of stay, and other quality outcomes when available.</w:t>
            </w:r>
          </w:p>
        </w:tc>
      </w:tr>
      <w:tr>
        <w:trPr>
          <w:cantSplit/>
        </w:trPr>
        <w:tc>
          <w:tcPr>
            <w:tcW w:type="dxa" w:w="2268"/>
            <w:tcMar>
              <w:top w:w="65" w:type="dxa"/>
              <w:start w:w="75" w:type="dxa"/>
              <w:bottom w:w="65" w:type="dxa"/>
              <w:end w:w="75" w:type="dxa"/>
            </w:tcMar>
            <w:vAlign w:val="top"/>
          </w:tcPr>
          <w:p>
            <w:pPr>
              <w:spacing w:line="240" w:lineRule="auto" w:after="0"/>
              <w:jc w:val="left"/>
            </w:pPr>
            <w:r>
              <w:rPr>
                <w:rFonts w:ascii="Tinos" w:hAnsi="Tinos" w:eastAsia="Tinos"/>
                <w:sz w:val="18"/>
              </w:rPr>
              <w:t>Inconsistency disclosure</w:t>
            </w:r>
          </w:p>
        </w:tc>
        <w:tc>
          <w:tcPr>
            <w:tcW w:type="dxa" w:w="6917"/>
            <w:tcMar>
              <w:top w:w="65" w:type="dxa"/>
              <w:start w:w="75" w:type="dxa"/>
              <w:bottom w:w="65" w:type="dxa"/>
              <w:end w:w="75" w:type="dxa"/>
            </w:tcMar>
            <w:vAlign w:val="top"/>
          </w:tcPr>
          <w:p>
            <w:pPr>
              <w:spacing w:line="240" w:lineRule="auto" w:after="0"/>
              <w:jc w:val="left"/>
            </w:pPr>
            <w:r>
              <w:rPr>
                <w:rFonts w:ascii="Tinos" w:hAnsi="Tinos" w:eastAsia="Tinos"/>
              </w:rPr>
              <w:t>Report differences between the article text and tables instead of choosing the more favorable value.</w:t>
            </w:r>
          </w:p>
        </w:tc>
      </w:tr>
      <w:tr>
        <w:trPr>
          <w:cantSplit/>
        </w:trPr>
        <w:tc>
          <w:tcPr>
            <w:tcW w:type="dxa" w:w="2268"/>
            <w:tcMar>
              <w:top w:w="65" w:type="dxa"/>
              <w:start w:w="75" w:type="dxa"/>
              <w:bottom w:w="65" w:type="dxa"/>
              <w:end w:w="75" w:type="dxa"/>
            </w:tcMar>
            <w:vAlign w:val="top"/>
          </w:tcPr>
          <w:p>
            <w:pPr>
              <w:spacing w:line="240" w:lineRule="auto" w:after="0"/>
              <w:jc w:val="left"/>
            </w:pPr>
            <w:r>
              <w:rPr>
                <w:rFonts w:ascii="Tinos" w:hAnsi="Tinos" w:eastAsia="Tinos"/>
                <w:sz w:val="18"/>
              </w:rPr>
              <w:t>Causal caution</w:t>
            </w:r>
          </w:p>
        </w:tc>
        <w:tc>
          <w:tcPr>
            <w:tcW w:type="dxa" w:w="6917"/>
            <w:tcMar>
              <w:top w:w="65" w:type="dxa"/>
              <w:start w:w="75" w:type="dxa"/>
              <w:bottom w:w="65" w:type="dxa"/>
              <w:end w:w="75" w:type="dxa"/>
            </w:tcMar>
            <w:vAlign w:val="top"/>
          </w:tcPr>
          <w:p>
            <w:pPr>
              <w:spacing w:line="240" w:lineRule="auto" w:after="0"/>
              <w:jc w:val="left"/>
            </w:pPr>
            <w:r>
              <w:rPr>
                <w:rFonts w:ascii="Tinos" w:hAnsi="Tinos" w:eastAsia="Tinos"/>
              </w:rPr>
              <w:t>Use cautious wording unless the original study design supports a stronger conclusion.</w:t>
            </w:r>
          </w:p>
        </w:tc>
      </w:tr>
    </w:tbl>
    <w:p>
      <w:pPr>
        <w:spacing w:before="60" w:after="140"/>
        <w:jc w:val="center"/>
      </w:pPr>
      <w:r>
        <w:rPr>
          <w:rFonts w:ascii="Tinos" w:hAnsi="Tinos" w:eastAsia="Tinos"/>
          <w:b/>
          <w:sz w:val="20"/>
        </w:rPr>
        <w:t>Table 3.3  Quality and interpretation checks</w:t>
      </w:r>
    </w:p>
    <w:p>
      <w:pPr>
        <w:pStyle w:val="Heading2"/>
      </w:pPr>
      <w:r>
        <w:t>3.10 Study Scope and Limitations</w:t>
      </w:r>
    </w:p>
    <w:p>
      <w:pPr>
        <w:spacing w:line="312" w:lineRule="auto" w:after="100"/>
        <w:ind w:firstLine="369"/>
        <w:jc w:val="both"/>
      </w:pPr>
      <w:r>
        <w:rPr>
          <w:rFonts w:ascii="Tinos" w:hAnsi="Tinos" w:eastAsia="Tinos"/>
        </w:rPr>
        <w:t>Focusing on Saudi evidence improves the project's relevance to the local healthcare system, but the scope has clear limits. Only six studies were included, and their methods and measures differed. Study periods ranged from 2010 to 2022, while reported costs were not adjusted for inflation. Some evidence came from a single hospital, one study covered public hospitals rather than ICUs alone, and several outcomes measured processes instead of direct cost. As a result, the studies cannot support one national estimate of cost savings.</w:t>
      </w:r>
    </w:p>
    <w:p>
      <w:pPr>
        <w:pStyle w:val="Heading2"/>
      </w:pPr>
      <w:r>
        <w:t>3.11 Ethical Considerations</w:t>
      </w:r>
    </w:p>
    <w:p>
      <w:pPr>
        <w:spacing w:line="312" w:lineRule="auto" w:after="100"/>
        <w:ind w:firstLine="369"/>
        <w:jc w:val="both"/>
      </w:pPr>
      <w:r>
        <w:rPr>
          <w:rFonts w:ascii="Tinos" w:hAnsi="Tinos" w:eastAsia="Tinos"/>
        </w:rPr>
        <w:t>The study used published results that were already available to the public. It did not use patient names, identifiable information, or confidential hospital records. Each original study was responsible for its own ethics approval. This project focused on correct citation, clear calculations, and avoiding invented data.</w:t>
      </w:r>
    </w:p>
    <w:p>
      <w:r>
        <w:br w:type="page"/>
      </w:r>
    </w:p>
    <w:p>
      <w:pPr>
        <w:pStyle w:val="Heading1"/>
      </w:pPr>
      <w:r>
        <w:t>Chapter Four: Data Analysis, Findings, and Discussion</w:t>
      </w:r>
    </w:p>
    <w:p>
      <w:pPr>
        <w:pStyle w:val="Heading2"/>
      </w:pPr>
      <w:r>
        <w:t>4.1 Introduction</w:t>
      </w:r>
    </w:p>
    <w:p>
      <w:pPr>
        <w:spacing w:line="312" w:lineRule="auto" w:after="100"/>
        <w:ind w:firstLine="369"/>
        <w:jc w:val="both"/>
      </w:pPr>
      <w:r>
        <w:rPr>
          <w:rFonts w:ascii="Tinos" w:hAnsi="Tinos" w:eastAsia="Tinos"/>
        </w:rPr>
        <w:t>This chapter reports the findings from the six selected Saudi studies. Results are organized under medication management, respiratory care, and organizational efficiency, followed by an assessment of the hypotheses and a comparison of the main patterns.</w:t>
      </w:r>
    </w:p>
    <w:p>
      <w:pPr>
        <w:pStyle w:val="Heading2"/>
      </w:pPr>
      <w:r>
        <w:t>4.2 Characteristics of the Included Evidence</w:t>
      </w:r>
    </w:p>
    <w:tbl>
      <w:tblPr>
        <w:tblW w:type="auto" w:w="0"/>
        <w:jc w:val="center"/>
        <w:tblLayout w:type="fixed"/>
        <w:tblLook w:firstColumn="1" w:firstRow="1" w:lastColumn="0" w:lastRow="0" w:noHBand="0" w:noVBand="1" w:val="04A0"/>
        <w:tblBorders>
          <w:top w:val="single" w:sz="4" w:color="9EADBA"/>
          <w:left w:val="single" w:sz="4" w:color="9EADBA"/>
          <w:bottom w:val="single" w:sz="4" w:color="9EADBA"/>
          <w:right w:val="single" w:sz="4" w:color="9EADBA"/>
          <w:insideH w:val="single" w:sz="4" w:color="9EADBA"/>
          <w:insideV w:val="single" w:sz="4" w:color="9EADBA"/>
        </w:tblBorders>
      </w:tblPr>
      <w:tblGrid>
        <w:gridCol w:w="1837"/>
        <w:gridCol w:w="1837"/>
        <w:gridCol w:w="1837"/>
        <w:gridCol w:w="1837"/>
        <w:gridCol w:w="1837"/>
      </w:tblGrid>
      <w:tr>
        <w:trPr>
          <w:tblHeader w:val="true"/>
          <w:cantSplit/>
        </w:trPr>
        <w:tc>
          <w:tcPr>
            <w:tcW w:type="dxa" w:w="1701"/>
            <w:shd w:fill="D9EAF7"/>
            <w:tcMar>
              <w:top w:w="65" w:type="dxa"/>
              <w:start w:w="75" w:type="dxa"/>
              <w:bottom w:w="65" w:type="dxa"/>
              <w:end w:w="75" w:type="dxa"/>
            </w:tcMar>
            <w:vAlign w:val="center"/>
          </w:tcPr>
          <w:p>
            <w:pPr>
              <w:spacing w:after="0"/>
              <w:jc w:val="center"/>
            </w:pPr>
            <w:r>
              <w:rPr>
                <w:rFonts w:ascii="Tinos" w:hAnsi="Tinos" w:eastAsia="Tinos"/>
                <w:b/>
                <w:sz w:val="16"/>
              </w:rPr>
              <w:t>Study</w:t>
            </w:r>
          </w:p>
        </w:tc>
        <w:tc>
          <w:tcPr>
            <w:tcW w:type="dxa" w:w="2494"/>
            <w:shd w:fill="D9EAF7"/>
            <w:tcMar>
              <w:top w:w="65" w:type="dxa"/>
              <w:start w:w="75" w:type="dxa"/>
              <w:bottom w:w="65" w:type="dxa"/>
              <w:end w:w="75" w:type="dxa"/>
            </w:tcMar>
            <w:vAlign w:val="center"/>
          </w:tcPr>
          <w:p>
            <w:pPr>
              <w:spacing w:after="0"/>
              <w:jc w:val="center"/>
            </w:pPr>
            <w:r>
              <w:rPr>
                <w:rFonts w:ascii="Tinos" w:hAnsi="Tinos" w:eastAsia="Tinos"/>
                <w:b/>
                <w:sz w:val="16"/>
              </w:rPr>
              <w:t>Setting</w:t>
            </w:r>
          </w:p>
        </w:tc>
        <w:tc>
          <w:tcPr>
            <w:tcW w:type="dxa" w:w="1757"/>
            <w:shd w:fill="D9EAF7"/>
            <w:tcMar>
              <w:top w:w="65" w:type="dxa"/>
              <w:start w:w="75" w:type="dxa"/>
              <w:bottom w:w="65" w:type="dxa"/>
              <w:end w:w="75" w:type="dxa"/>
            </w:tcMar>
            <w:vAlign w:val="center"/>
          </w:tcPr>
          <w:p>
            <w:pPr>
              <w:spacing w:after="0"/>
              <w:jc w:val="center"/>
            </w:pPr>
            <w:r>
              <w:rPr>
                <w:rFonts w:ascii="Tinos" w:hAnsi="Tinos" w:eastAsia="Tinos"/>
                <w:b/>
                <w:sz w:val="16"/>
              </w:rPr>
              <w:t>Design</w:t>
            </w:r>
          </w:p>
        </w:tc>
        <w:tc>
          <w:tcPr>
            <w:tcW w:type="dxa" w:w="2154"/>
            <w:shd w:fill="D9EAF7"/>
            <w:tcMar>
              <w:top w:w="65" w:type="dxa"/>
              <w:start w:w="75" w:type="dxa"/>
              <w:bottom w:w="65" w:type="dxa"/>
              <w:end w:w="75" w:type="dxa"/>
            </w:tcMar>
            <w:vAlign w:val="center"/>
          </w:tcPr>
          <w:p>
            <w:pPr>
              <w:spacing w:after="0"/>
              <w:jc w:val="center"/>
            </w:pPr>
            <w:r>
              <w:rPr>
                <w:rFonts w:ascii="Tinos" w:hAnsi="Tinos" w:eastAsia="Tinos"/>
                <w:b/>
                <w:sz w:val="16"/>
              </w:rPr>
              <w:t>Sample/data volume</w:t>
            </w:r>
          </w:p>
        </w:tc>
        <w:tc>
          <w:tcPr>
            <w:tcW w:type="dxa" w:w="1304"/>
            <w:shd w:fill="D9EAF7"/>
            <w:tcMar>
              <w:top w:w="65" w:type="dxa"/>
              <w:start w:w="75" w:type="dxa"/>
              <w:bottom w:w="65" w:type="dxa"/>
              <w:end w:w="75" w:type="dxa"/>
            </w:tcMar>
            <w:vAlign w:val="center"/>
          </w:tcPr>
          <w:p>
            <w:pPr>
              <w:spacing w:after="0"/>
              <w:jc w:val="center"/>
            </w:pPr>
            <w:r>
              <w:rPr>
                <w:rFonts w:ascii="Tinos" w:hAnsi="Tinos" w:eastAsia="Tinos"/>
                <w:b/>
                <w:sz w:val="16"/>
              </w:rPr>
              <w:t>Domain</w:t>
            </w:r>
          </w:p>
        </w:tc>
      </w:tr>
      <w:tr>
        <w:trPr>
          <w:cantSplit/>
        </w:trPr>
        <w:tc>
          <w:tcPr>
            <w:tcW w:type="dxa" w:w="1701"/>
            <w:tcMar>
              <w:top w:w="65" w:type="dxa"/>
              <w:start w:w="75" w:type="dxa"/>
              <w:bottom w:w="65" w:type="dxa"/>
              <w:end w:w="75" w:type="dxa"/>
            </w:tcMar>
            <w:vAlign w:val="top"/>
          </w:tcPr>
          <w:p>
            <w:pPr>
              <w:spacing w:line="240" w:lineRule="auto" w:after="0"/>
              <w:jc w:val="left"/>
            </w:pPr>
            <w:r>
              <w:rPr>
                <w:rFonts w:ascii="Tinos" w:hAnsi="Tinos" w:eastAsia="Tinos"/>
                <w:sz w:val="16"/>
              </w:rPr>
              <w:t>Bukhari et al., 2012</w:t>
            </w:r>
          </w:p>
        </w:tc>
        <w:tc>
          <w:tcPr>
            <w:tcW w:type="dxa" w:w="2494"/>
            <w:tcMar>
              <w:top w:w="65" w:type="dxa"/>
              <w:start w:w="75" w:type="dxa"/>
              <w:bottom w:w="65" w:type="dxa"/>
              <w:end w:w="75" w:type="dxa"/>
            </w:tcMar>
            <w:vAlign w:val="top"/>
          </w:tcPr>
          <w:p>
            <w:pPr>
              <w:spacing w:line="240" w:lineRule="auto" w:after="0"/>
              <w:jc w:val="left"/>
            </w:pPr>
            <w:r>
              <w:rPr>
                <w:rFonts w:ascii="Tinos" w:hAnsi="Tinos" w:eastAsia="Tinos"/>
                <w:sz w:val="16"/>
              </w:rPr>
              <w:t>Adult ICU, Hera General Hospital, Makkah</w:t>
            </w:r>
          </w:p>
        </w:tc>
        <w:tc>
          <w:tcPr>
            <w:tcW w:type="dxa" w:w="1757"/>
            <w:tcMar>
              <w:top w:w="65" w:type="dxa"/>
              <w:start w:w="75" w:type="dxa"/>
              <w:bottom w:w="65" w:type="dxa"/>
              <w:end w:w="75" w:type="dxa"/>
            </w:tcMar>
            <w:vAlign w:val="top"/>
          </w:tcPr>
          <w:p>
            <w:pPr>
              <w:spacing w:line="240" w:lineRule="auto" w:after="0"/>
              <w:jc w:val="left"/>
            </w:pPr>
            <w:r>
              <w:rPr>
                <w:rFonts w:ascii="Tinos" w:hAnsi="Tinos" w:eastAsia="Tinos"/>
                <w:sz w:val="16"/>
              </w:rPr>
              <w:t>Prospective longitudinal</w:t>
            </w:r>
          </w:p>
        </w:tc>
        <w:tc>
          <w:tcPr>
            <w:tcW w:type="dxa" w:w="2154"/>
            <w:tcMar>
              <w:top w:w="65" w:type="dxa"/>
              <w:start w:w="75" w:type="dxa"/>
              <w:bottom w:w="65" w:type="dxa"/>
              <w:end w:w="75" w:type="dxa"/>
            </w:tcMar>
            <w:vAlign w:val="top"/>
          </w:tcPr>
          <w:p>
            <w:pPr>
              <w:spacing w:line="240" w:lineRule="auto" w:after="0"/>
              <w:jc w:val="left"/>
            </w:pPr>
            <w:r>
              <w:rPr>
                <w:rFonts w:ascii="Tinos" w:hAnsi="Tinos" w:eastAsia="Tinos"/>
                <w:sz w:val="16"/>
              </w:rPr>
              <w:t>2,747 patients; 12 months</w:t>
            </w:r>
          </w:p>
        </w:tc>
        <w:tc>
          <w:tcPr>
            <w:tcW w:type="dxa" w:w="1304"/>
            <w:tcMar>
              <w:top w:w="65" w:type="dxa"/>
              <w:start w:w="75" w:type="dxa"/>
              <w:bottom w:w="65" w:type="dxa"/>
              <w:end w:w="75" w:type="dxa"/>
            </w:tcMar>
            <w:vAlign w:val="top"/>
          </w:tcPr>
          <w:p>
            <w:pPr>
              <w:spacing w:line="240" w:lineRule="auto" w:after="0"/>
              <w:jc w:val="left"/>
            </w:pPr>
            <w:r>
              <w:rPr>
                <w:rFonts w:ascii="Tinos" w:hAnsi="Tinos" w:eastAsia="Tinos"/>
                <w:sz w:val="16"/>
              </w:rPr>
              <w:t>Respiratory</w:t>
            </w:r>
          </w:p>
        </w:tc>
      </w:tr>
      <w:tr>
        <w:trPr>
          <w:cantSplit/>
        </w:trPr>
        <w:tc>
          <w:tcPr>
            <w:tcW w:type="dxa" w:w="1701"/>
            <w:tcMar>
              <w:top w:w="65" w:type="dxa"/>
              <w:start w:w="75" w:type="dxa"/>
              <w:bottom w:w="65" w:type="dxa"/>
              <w:end w:w="75" w:type="dxa"/>
            </w:tcMar>
            <w:vAlign w:val="top"/>
          </w:tcPr>
          <w:p>
            <w:pPr>
              <w:spacing w:line="240" w:lineRule="auto" w:after="0"/>
              <w:jc w:val="left"/>
            </w:pPr>
            <w:r>
              <w:rPr>
                <w:rFonts w:ascii="Tinos" w:hAnsi="Tinos" w:eastAsia="Tinos"/>
                <w:sz w:val="16"/>
              </w:rPr>
              <w:t>Alatawi et al., 2020</w:t>
            </w:r>
          </w:p>
        </w:tc>
        <w:tc>
          <w:tcPr>
            <w:tcW w:type="dxa" w:w="2494"/>
            <w:tcMar>
              <w:top w:w="65" w:type="dxa"/>
              <w:start w:w="75" w:type="dxa"/>
              <w:bottom w:w="65" w:type="dxa"/>
              <w:end w:w="75" w:type="dxa"/>
            </w:tcMar>
            <w:vAlign w:val="top"/>
          </w:tcPr>
          <w:p>
            <w:pPr>
              <w:spacing w:line="240" w:lineRule="auto" w:after="0"/>
              <w:jc w:val="left"/>
            </w:pPr>
            <w:r>
              <w:rPr>
                <w:rFonts w:ascii="Tinos" w:hAnsi="Tinos" w:eastAsia="Tinos"/>
                <w:sz w:val="16"/>
              </w:rPr>
              <w:t>Saudi MOH public hospitals</w:t>
            </w:r>
          </w:p>
        </w:tc>
        <w:tc>
          <w:tcPr>
            <w:tcW w:type="dxa" w:w="1757"/>
            <w:tcMar>
              <w:top w:w="65" w:type="dxa"/>
              <w:start w:w="75" w:type="dxa"/>
              <w:bottom w:w="65" w:type="dxa"/>
              <w:end w:w="75" w:type="dxa"/>
            </w:tcMar>
            <w:vAlign w:val="top"/>
          </w:tcPr>
          <w:p>
            <w:pPr>
              <w:spacing w:line="240" w:lineRule="auto" w:after="0"/>
              <w:jc w:val="left"/>
            </w:pPr>
            <w:r>
              <w:rPr>
                <w:rFonts w:ascii="Tinos" w:hAnsi="Tinos" w:eastAsia="Tinos"/>
                <w:sz w:val="16"/>
              </w:rPr>
              <w:t>DEA, official 2017 data</w:t>
            </w:r>
          </w:p>
        </w:tc>
        <w:tc>
          <w:tcPr>
            <w:tcW w:type="dxa" w:w="2154"/>
            <w:tcMar>
              <w:top w:w="65" w:type="dxa"/>
              <w:start w:w="75" w:type="dxa"/>
              <w:bottom w:w="65" w:type="dxa"/>
              <w:end w:w="75" w:type="dxa"/>
            </w:tcMar>
            <w:vAlign w:val="top"/>
          </w:tcPr>
          <w:p>
            <w:pPr>
              <w:spacing w:line="240" w:lineRule="auto" w:after="0"/>
              <w:jc w:val="left"/>
            </w:pPr>
            <w:r>
              <w:rPr>
                <w:rFonts w:ascii="Tinos" w:hAnsi="Tinos" w:eastAsia="Tinos"/>
                <w:sz w:val="16"/>
              </w:rPr>
              <w:t>91 hospitals</w:t>
            </w:r>
          </w:p>
        </w:tc>
        <w:tc>
          <w:tcPr>
            <w:tcW w:type="dxa" w:w="1304"/>
            <w:tcMar>
              <w:top w:w="65" w:type="dxa"/>
              <w:start w:w="75" w:type="dxa"/>
              <w:bottom w:w="65" w:type="dxa"/>
              <w:end w:w="75" w:type="dxa"/>
            </w:tcMar>
            <w:vAlign w:val="top"/>
          </w:tcPr>
          <w:p>
            <w:pPr>
              <w:spacing w:line="240" w:lineRule="auto" w:after="0"/>
              <w:jc w:val="left"/>
            </w:pPr>
            <w:r>
              <w:rPr>
                <w:rFonts w:ascii="Tinos" w:hAnsi="Tinos" w:eastAsia="Tinos"/>
                <w:sz w:val="16"/>
              </w:rPr>
              <w:t>Organization</w:t>
            </w:r>
          </w:p>
        </w:tc>
      </w:tr>
      <w:tr>
        <w:trPr>
          <w:cantSplit/>
        </w:trPr>
        <w:tc>
          <w:tcPr>
            <w:tcW w:type="dxa" w:w="1701"/>
            <w:tcMar>
              <w:top w:w="65" w:type="dxa"/>
              <w:start w:w="75" w:type="dxa"/>
              <w:bottom w:w="65" w:type="dxa"/>
              <w:end w:w="75" w:type="dxa"/>
            </w:tcMar>
            <w:vAlign w:val="top"/>
          </w:tcPr>
          <w:p>
            <w:pPr>
              <w:spacing w:line="240" w:lineRule="auto" w:after="0"/>
              <w:jc w:val="left"/>
            </w:pPr>
            <w:r>
              <w:rPr>
                <w:rFonts w:ascii="Tinos" w:hAnsi="Tinos" w:eastAsia="Tinos"/>
                <w:sz w:val="16"/>
              </w:rPr>
              <w:t>Haseeb et al., 2021</w:t>
            </w:r>
          </w:p>
        </w:tc>
        <w:tc>
          <w:tcPr>
            <w:tcW w:type="dxa" w:w="2494"/>
            <w:tcMar>
              <w:top w:w="65" w:type="dxa"/>
              <w:start w:w="75" w:type="dxa"/>
              <w:bottom w:w="65" w:type="dxa"/>
              <w:end w:w="75" w:type="dxa"/>
            </w:tcMar>
            <w:vAlign w:val="top"/>
          </w:tcPr>
          <w:p>
            <w:pPr>
              <w:spacing w:line="240" w:lineRule="auto" w:after="0"/>
              <w:jc w:val="left"/>
            </w:pPr>
            <w:r>
              <w:rPr>
                <w:rFonts w:ascii="Tinos" w:hAnsi="Tinos" w:eastAsia="Tinos"/>
                <w:sz w:val="16"/>
              </w:rPr>
              <w:t>20-bed adult ICU, Ajyad Emergency Hospital, Makkah</w:t>
            </w:r>
          </w:p>
        </w:tc>
        <w:tc>
          <w:tcPr>
            <w:tcW w:type="dxa" w:w="1757"/>
            <w:tcMar>
              <w:top w:w="65" w:type="dxa"/>
              <w:start w:w="75" w:type="dxa"/>
              <w:bottom w:w="65" w:type="dxa"/>
              <w:end w:w="75" w:type="dxa"/>
            </w:tcMar>
            <w:vAlign w:val="top"/>
          </w:tcPr>
          <w:p>
            <w:pPr>
              <w:spacing w:line="240" w:lineRule="auto" w:after="0"/>
              <w:jc w:val="left"/>
            </w:pPr>
            <w:r>
              <w:rPr>
                <w:rFonts w:ascii="Tinos" w:hAnsi="Tinos" w:eastAsia="Tinos"/>
                <w:sz w:val="16"/>
              </w:rPr>
              <w:t>Quasi-experimental</w:t>
            </w:r>
          </w:p>
        </w:tc>
        <w:tc>
          <w:tcPr>
            <w:tcW w:type="dxa" w:w="2154"/>
            <w:tcMar>
              <w:top w:w="65" w:type="dxa"/>
              <w:start w:w="75" w:type="dxa"/>
              <w:bottom w:w="65" w:type="dxa"/>
              <w:end w:w="75" w:type="dxa"/>
            </w:tcMar>
            <w:vAlign w:val="top"/>
          </w:tcPr>
          <w:p>
            <w:pPr>
              <w:spacing w:line="240" w:lineRule="auto" w:after="0"/>
              <w:jc w:val="left"/>
            </w:pPr>
            <w:r>
              <w:rPr>
                <w:rFonts w:ascii="Tinos" w:hAnsi="Tinos" w:eastAsia="Tinos"/>
                <w:sz w:val="16"/>
              </w:rPr>
              <w:t>684 pre admissions; 623 post admissions</w:t>
            </w:r>
          </w:p>
        </w:tc>
        <w:tc>
          <w:tcPr>
            <w:tcW w:type="dxa" w:w="1304"/>
            <w:tcMar>
              <w:top w:w="65" w:type="dxa"/>
              <w:start w:w="75" w:type="dxa"/>
              <w:bottom w:w="65" w:type="dxa"/>
              <w:end w:w="75" w:type="dxa"/>
            </w:tcMar>
            <w:vAlign w:val="top"/>
          </w:tcPr>
          <w:p>
            <w:pPr>
              <w:spacing w:line="240" w:lineRule="auto" w:after="0"/>
              <w:jc w:val="left"/>
            </w:pPr>
            <w:r>
              <w:rPr>
                <w:rFonts w:ascii="Tinos" w:hAnsi="Tinos" w:eastAsia="Tinos"/>
                <w:sz w:val="16"/>
              </w:rPr>
              <w:t>Medication</w:t>
            </w:r>
          </w:p>
        </w:tc>
      </w:tr>
      <w:tr>
        <w:trPr>
          <w:cantSplit/>
        </w:trPr>
        <w:tc>
          <w:tcPr>
            <w:tcW w:type="dxa" w:w="1701"/>
            <w:tcMar>
              <w:top w:w="65" w:type="dxa"/>
              <w:start w:w="75" w:type="dxa"/>
              <w:bottom w:w="65" w:type="dxa"/>
              <w:end w:w="75" w:type="dxa"/>
            </w:tcMar>
            <w:vAlign w:val="top"/>
          </w:tcPr>
          <w:p>
            <w:pPr>
              <w:spacing w:line="240" w:lineRule="auto" w:after="0"/>
              <w:jc w:val="left"/>
            </w:pPr>
            <w:r>
              <w:rPr>
                <w:rFonts w:ascii="Tinos" w:hAnsi="Tinos" w:eastAsia="Tinos"/>
                <w:sz w:val="16"/>
              </w:rPr>
              <w:t>Althomali et al., 2022</w:t>
            </w:r>
          </w:p>
        </w:tc>
        <w:tc>
          <w:tcPr>
            <w:tcW w:type="dxa" w:w="2494"/>
            <w:tcMar>
              <w:top w:w="65" w:type="dxa"/>
              <w:start w:w="75" w:type="dxa"/>
              <w:bottom w:w="65" w:type="dxa"/>
              <w:end w:w="75" w:type="dxa"/>
            </w:tcMar>
            <w:vAlign w:val="top"/>
          </w:tcPr>
          <w:p>
            <w:pPr>
              <w:spacing w:line="240" w:lineRule="auto" w:after="0"/>
              <w:jc w:val="left"/>
            </w:pPr>
            <w:r>
              <w:rPr>
                <w:rFonts w:ascii="Tinos" w:hAnsi="Tinos" w:eastAsia="Tinos"/>
                <w:sz w:val="16"/>
              </w:rPr>
              <w:t>ICU, King Faisal Medical Complex, Taif</w:t>
            </w:r>
          </w:p>
        </w:tc>
        <w:tc>
          <w:tcPr>
            <w:tcW w:type="dxa" w:w="1757"/>
            <w:tcMar>
              <w:top w:w="65" w:type="dxa"/>
              <w:start w:w="75" w:type="dxa"/>
              <w:bottom w:w="65" w:type="dxa"/>
              <w:end w:w="75" w:type="dxa"/>
            </w:tcMar>
            <w:vAlign w:val="top"/>
          </w:tcPr>
          <w:p>
            <w:pPr>
              <w:spacing w:line="240" w:lineRule="auto" w:after="0"/>
              <w:jc w:val="left"/>
            </w:pPr>
            <w:r>
              <w:rPr>
                <w:rFonts w:ascii="Tinos" w:hAnsi="Tinos" w:eastAsia="Tinos"/>
                <w:sz w:val="16"/>
              </w:rPr>
              <w:t>Retrospective</w:t>
            </w:r>
          </w:p>
        </w:tc>
        <w:tc>
          <w:tcPr>
            <w:tcW w:type="dxa" w:w="2154"/>
            <w:tcMar>
              <w:top w:w="65" w:type="dxa"/>
              <w:start w:w="75" w:type="dxa"/>
              <w:bottom w:w="65" w:type="dxa"/>
              <w:end w:w="75" w:type="dxa"/>
            </w:tcMar>
            <w:vAlign w:val="top"/>
          </w:tcPr>
          <w:p>
            <w:pPr>
              <w:spacing w:line="240" w:lineRule="auto" w:after="0"/>
              <w:jc w:val="left"/>
            </w:pPr>
            <w:r>
              <w:rPr>
                <w:rFonts w:ascii="Tinos" w:hAnsi="Tinos" w:eastAsia="Tinos"/>
                <w:sz w:val="16"/>
              </w:rPr>
              <w:t>165 patients; 404 interventions</w:t>
            </w:r>
          </w:p>
        </w:tc>
        <w:tc>
          <w:tcPr>
            <w:tcW w:type="dxa" w:w="1304"/>
            <w:tcMar>
              <w:top w:w="65" w:type="dxa"/>
              <w:start w:w="75" w:type="dxa"/>
              <w:bottom w:w="65" w:type="dxa"/>
              <w:end w:w="75" w:type="dxa"/>
            </w:tcMar>
            <w:vAlign w:val="top"/>
          </w:tcPr>
          <w:p>
            <w:pPr>
              <w:spacing w:line="240" w:lineRule="auto" w:after="0"/>
              <w:jc w:val="left"/>
            </w:pPr>
            <w:r>
              <w:rPr>
                <w:rFonts w:ascii="Tinos" w:hAnsi="Tinos" w:eastAsia="Tinos"/>
                <w:sz w:val="16"/>
              </w:rPr>
              <w:t>Medication</w:t>
            </w:r>
          </w:p>
        </w:tc>
      </w:tr>
      <w:tr>
        <w:trPr>
          <w:cantSplit/>
        </w:trPr>
        <w:tc>
          <w:tcPr>
            <w:tcW w:type="dxa" w:w="1701"/>
            <w:tcMar>
              <w:top w:w="65" w:type="dxa"/>
              <w:start w:w="75" w:type="dxa"/>
              <w:bottom w:w="65" w:type="dxa"/>
              <w:end w:w="75" w:type="dxa"/>
            </w:tcMar>
            <w:vAlign w:val="top"/>
          </w:tcPr>
          <w:p>
            <w:pPr>
              <w:spacing w:line="240" w:lineRule="auto" w:after="0"/>
              <w:jc w:val="left"/>
            </w:pPr>
            <w:r>
              <w:rPr>
                <w:rFonts w:ascii="Tinos" w:hAnsi="Tinos" w:eastAsia="Tinos"/>
                <w:sz w:val="16"/>
              </w:rPr>
              <w:t>Arabi et al., 2023</w:t>
            </w:r>
          </w:p>
        </w:tc>
        <w:tc>
          <w:tcPr>
            <w:tcW w:type="dxa" w:w="2494"/>
            <w:tcMar>
              <w:top w:w="65" w:type="dxa"/>
              <w:start w:w="75" w:type="dxa"/>
              <w:bottom w:w="65" w:type="dxa"/>
              <w:end w:w="75" w:type="dxa"/>
            </w:tcMar>
            <w:vAlign w:val="top"/>
          </w:tcPr>
          <w:p>
            <w:pPr>
              <w:spacing w:line="240" w:lineRule="auto" w:after="0"/>
              <w:jc w:val="left"/>
            </w:pPr>
            <w:r>
              <w:rPr>
                <w:rFonts w:ascii="Tinos" w:hAnsi="Tinos" w:eastAsia="Tinos"/>
                <w:sz w:val="16"/>
              </w:rPr>
              <w:t>42 ICUs in 26 Saudi hospitals</w:t>
            </w:r>
          </w:p>
        </w:tc>
        <w:tc>
          <w:tcPr>
            <w:tcW w:type="dxa" w:w="1757"/>
            <w:tcMar>
              <w:top w:w="65" w:type="dxa"/>
              <w:start w:w="75" w:type="dxa"/>
              <w:bottom w:w="65" w:type="dxa"/>
              <w:end w:w="75" w:type="dxa"/>
            </w:tcMar>
            <w:vAlign w:val="top"/>
          </w:tcPr>
          <w:p>
            <w:pPr>
              <w:spacing w:line="240" w:lineRule="auto" w:after="0"/>
              <w:jc w:val="left"/>
            </w:pPr>
            <w:r>
              <w:rPr>
                <w:rFonts w:ascii="Tinos" w:hAnsi="Tinos" w:eastAsia="Tinos"/>
                <w:sz w:val="16"/>
              </w:rPr>
              <w:t>Prospective national QI collaborative</w:t>
            </w:r>
          </w:p>
        </w:tc>
        <w:tc>
          <w:tcPr>
            <w:tcW w:type="dxa" w:w="2154"/>
            <w:tcMar>
              <w:top w:w="65" w:type="dxa"/>
              <w:start w:w="75" w:type="dxa"/>
              <w:bottom w:w="65" w:type="dxa"/>
              <w:end w:w="75" w:type="dxa"/>
            </w:tcMar>
            <w:vAlign w:val="top"/>
          </w:tcPr>
          <w:p>
            <w:pPr>
              <w:spacing w:line="240" w:lineRule="auto" w:after="0"/>
              <w:jc w:val="left"/>
            </w:pPr>
            <w:r>
              <w:rPr>
                <w:rFonts w:ascii="Tinos" w:hAnsi="Tinos" w:eastAsia="Tinos"/>
                <w:sz w:val="16"/>
              </w:rPr>
              <w:t>83,153 ventilator-days; 8,523 patients</w:t>
            </w:r>
          </w:p>
        </w:tc>
        <w:tc>
          <w:tcPr>
            <w:tcW w:type="dxa" w:w="1304"/>
            <w:tcMar>
              <w:top w:w="65" w:type="dxa"/>
              <w:start w:w="75" w:type="dxa"/>
              <w:bottom w:w="65" w:type="dxa"/>
              <w:end w:w="75" w:type="dxa"/>
            </w:tcMar>
            <w:vAlign w:val="top"/>
          </w:tcPr>
          <w:p>
            <w:pPr>
              <w:spacing w:line="240" w:lineRule="auto" w:after="0"/>
              <w:jc w:val="left"/>
            </w:pPr>
            <w:r>
              <w:rPr>
                <w:rFonts w:ascii="Tinos" w:hAnsi="Tinos" w:eastAsia="Tinos"/>
                <w:sz w:val="16"/>
              </w:rPr>
              <w:t>Respiratory</w:t>
            </w:r>
          </w:p>
        </w:tc>
      </w:tr>
      <w:tr>
        <w:trPr>
          <w:cantSplit/>
        </w:trPr>
        <w:tc>
          <w:tcPr>
            <w:tcW w:type="dxa" w:w="1701"/>
            <w:tcMar>
              <w:top w:w="65" w:type="dxa"/>
              <w:start w:w="75" w:type="dxa"/>
              <w:bottom w:w="65" w:type="dxa"/>
              <w:end w:w="75" w:type="dxa"/>
            </w:tcMar>
            <w:vAlign w:val="top"/>
          </w:tcPr>
          <w:p>
            <w:pPr>
              <w:spacing w:line="240" w:lineRule="auto" w:after="0"/>
              <w:jc w:val="left"/>
            </w:pPr>
            <w:r>
              <w:rPr>
                <w:rFonts w:ascii="Tinos" w:hAnsi="Tinos" w:eastAsia="Tinos"/>
                <w:sz w:val="16"/>
              </w:rPr>
              <w:t>Alarifi et al., 2024</w:t>
            </w:r>
          </w:p>
        </w:tc>
        <w:tc>
          <w:tcPr>
            <w:tcW w:type="dxa" w:w="2494"/>
            <w:tcMar>
              <w:top w:w="65" w:type="dxa"/>
              <w:start w:w="75" w:type="dxa"/>
              <w:bottom w:w="65" w:type="dxa"/>
              <w:end w:w="75" w:type="dxa"/>
            </w:tcMar>
            <w:vAlign w:val="top"/>
          </w:tcPr>
          <w:p>
            <w:pPr>
              <w:spacing w:line="240" w:lineRule="auto" w:after="0"/>
              <w:jc w:val="left"/>
            </w:pPr>
            <w:r>
              <w:rPr>
                <w:rFonts w:ascii="Tinos" w:hAnsi="Tinos" w:eastAsia="Tinos"/>
                <w:sz w:val="16"/>
              </w:rPr>
              <w:t>King Khalid University Hospital, Riyadh</w:t>
            </w:r>
          </w:p>
        </w:tc>
        <w:tc>
          <w:tcPr>
            <w:tcW w:type="dxa" w:w="1757"/>
            <w:tcMar>
              <w:top w:w="65" w:type="dxa"/>
              <w:start w:w="75" w:type="dxa"/>
              <w:bottom w:w="65" w:type="dxa"/>
              <w:end w:w="75" w:type="dxa"/>
            </w:tcMar>
            <w:vAlign w:val="top"/>
          </w:tcPr>
          <w:p>
            <w:pPr>
              <w:spacing w:line="240" w:lineRule="auto" w:after="0"/>
              <w:jc w:val="left"/>
            </w:pPr>
            <w:r>
              <w:rPr>
                <w:rFonts w:ascii="Tinos" w:hAnsi="Tinos" w:eastAsia="Tinos"/>
                <w:sz w:val="16"/>
              </w:rPr>
              <w:t>Retrospective comparative</w:t>
            </w:r>
          </w:p>
        </w:tc>
        <w:tc>
          <w:tcPr>
            <w:tcW w:type="dxa" w:w="2154"/>
            <w:tcMar>
              <w:top w:w="65" w:type="dxa"/>
              <w:start w:w="75" w:type="dxa"/>
              <w:bottom w:w="65" w:type="dxa"/>
              <w:end w:w="75" w:type="dxa"/>
            </w:tcMar>
            <w:vAlign w:val="top"/>
          </w:tcPr>
          <w:p>
            <w:pPr>
              <w:spacing w:line="240" w:lineRule="auto" w:after="0"/>
              <w:jc w:val="left"/>
            </w:pPr>
            <w:r>
              <w:rPr>
                <w:rFonts w:ascii="Tinos" w:hAnsi="Tinos" w:eastAsia="Tinos"/>
                <w:sz w:val="16"/>
              </w:rPr>
              <w:t>2018-2022 KPI data</w:t>
            </w:r>
          </w:p>
        </w:tc>
        <w:tc>
          <w:tcPr>
            <w:tcW w:type="dxa" w:w="1304"/>
            <w:tcMar>
              <w:top w:w="65" w:type="dxa"/>
              <w:start w:w="75" w:type="dxa"/>
              <w:bottom w:w="65" w:type="dxa"/>
              <w:end w:w="75" w:type="dxa"/>
            </w:tcMar>
            <w:vAlign w:val="top"/>
          </w:tcPr>
          <w:p>
            <w:pPr>
              <w:spacing w:line="240" w:lineRule="auto" w:after="0"/>
              <w:jc w:val="left"/>
            </w:pPr>
            <w:r>
              <w:rPr>
                <w:rFonts w:ascii="Tinos" w:hAnsi="Tinos" w:eastAsia="Tinos"/>
                <w:sz w:val="16"/>
              </w:rPr>
              <w:t>Organization</w:t>
            </w:r>
          </w:p>
        </w:tc>
      </w:tr>
    </w:tbl>
    <w:p>
      <w:pPr>
        <w:spacing w:before="60" w:after="140"/>
        <w:jc w:val="center"/>
      </w:pPr>
      <w:r>
        <w:rPr>
          <w:rFonts w:ascii="Tinos" w:hAnsi="Tinos" w:eastAsia="Tinos"/>
          <w:b/>
          <w:sz w:val="20"/>
        </w:rPr>
        <w:t>Table 4.1  Characteristics of included studies</w:t>
      </w:r>
    </w:p>
    <w:p>
      <w:pPr>
        <w:spacing w:line="312" w:lineRule="auto" w:after="100"/>
        <w:ind w:firstLine="369"/>
        <w:jc w:val="both"/>
      </w:pPr>
      <w:r>
        <w:rPr>
          <w:rFonts w:ascii="Tinos" w:hAnsi="Tinos" w:eastAsia="Tinos"/>
        </w:rPr>
        <w:t>The evidence varied considerably in scale. Four studies were conducted in one center or hospital, one examined 91 public hospitals, and one national project included 42 ICUs. This provides a broader picture of the Saudi setting, but the differences also prevent the findings from being combined into a single pooled result.</w:t>
      </w:r>
    </w:p>
    <w:p>
      <w:pPr>
        <w:pStyle w:val="Heading2"/>
      </w:pPr>
      <w:r>
        <w:t>4.3 Medication Optimization Findings</w:t>
      </w:r>
    </w:p>
    <w:tbl>
      <w:tblPr>
        <w:tblW w:type="auto" w:w="0"/>
        <w:jc w:val="center"/>
        <w:tblLayout w:type="fixed"/>
        <w:tblLook w:firstColumn="1" w:firstRow="1" w:lastColumn="0" w:lastRow="0" w:noHBand="0" w:noVBand="1" w:val="04A0"/>
        <w:tblBorders>
          <w:top w:val="single" w:sz="4" w:color="9EADBA"/>
          <w:left w:val="single" w:sz="4" w:color="9EADBA"/>
          <w:bottom w:val="single" w:sz="4" w:color="9EADBA"/>
          <w:right w:val="single" w:sz="4" w:color="9EADBA"/>
          <w:insideH w:val="single" w:sz="4" w:color="9EADBA"/>
          <w:insideV w:val="single" w:sz="4" w:color="9EADBA"/>
        </w:tblBorders>
      </w:tblPr>
      <w:tblGrid>
        <w:gridCol w:w="1837"/>
        <w:gridCol w:w="1837"/>
        <w:gridCol w:w="1837"/>
        <w:gridCol w:w="1837"/>
        <w:gridCol w:w="1837"/>
      </w:tblGrid>
      <w:tr>
        <w:trPr>
          <w:tblHeader w:val="true"/>
          <w:cantSplit/>
        </w:trPr>
        <w:tc>
          <w:tcPr>
            <w:tcW w:type="dxa" w:w="2268"/>
            <w:shd w:fill="D9EAF7"/>
            <w:tcMar>
              <w:top w:w="65" w:type="dxa"/>
              <w:start w:w="75" w:type="dxa"/>
              <w:bottom w:w="65" w:type="dxa"/>
              <w:end w:w="75" w:type="dxa"/>
            </w:tcMar>
            <w:vAlign w:val="center"/>
          </w:tcPr>
          <w:p>
            <w:pPr>
              <w:spacing w:after="0"/>
              <w:jc w:val="center"/>
            </w:pPr>
            <w:r>
              <w:rPr>
                <w:rFonts w:ascii="Tinos" w:hAnsi="Tinos" w:eastAsia="Tinos"/>
                <w:b/>
                <w:sz w:val="15"/>
              </w:rPr>
              <w:t>Outcome</w:t>
            </w:r>
          </w:p>
        </w:tc>
        <w:tc>
          <w:tcPr>
            <w:tcW w:type="dxa" w:w="2608"/>
            <w:shd w:fill="D9EAF7"/>
            <w:tcMar>
              <w:top w:w="65" w:type="dxa"/>
              <w:start w:w="75" w:type="dxa"/>
              <w:bottom w:w="65" w:type="dxa"/>
              <w:end w:w="75" w:type="dxa"/>
            </w:tcMar>
            <w:vAlign w:val="center"/>
          </w:tcPr>
          <w:p>
            <w:pPr>
              <w:spacing w:after="0"/>
              <w:jc w:val="center"/>
            </w:pPr>
            <w:r>
              <w:rPr>
                <w:rFonts w:ascii="Tinos" w:hAnsi="Tinos" w:eastAsia="Tinos"/>
                <w:b/>
                <w:sz w:val="15"/>
              </w:rPr>
              <w:t>Reported values</w:t>
            </w:r>
          </w:p>
        </w:tc>
        <w:tc>
          <w:tcPr>
            <w:tcW w:type="dxa" w:w="1701"/>
            <w:shd w:fill="D9EAF7"/>
            <w:tcMar>
              <w:top w:w="65" w:type="dxa"/>
              <w:start w:w="75" w:type="dxa"/>
              <w:bottom w:w="65" w:type="dxa"/>
              <w:end w:w="75" w:type="dxa"/>
            </w:tcMar>
            <w:vAlign w:val="center"/>
          </w:tcPr>
          <w:p>
            <w:pPr>
              <w:spacing w:after="0"/>
              <w:jc w:val="center"/>
            </w:pPr>
            <w:r>
              <w:rPr>
                <w:rFonts w:ascii="Tinos" w:hAnsi="Tinos" w:eastAsia="Tinos"/>
                <w:b/>
                <w:sz w:val="15"/>
              </w:rPr>
              <w:t>Change</w:t>
            </w:r>
          </w:p>
        </w:tc>
        <w:tc>
          <w:tcPr>
            <w:tcW w:type="dxa" w:w="1871"/>
            <w:shd w:fill="D9EAF7"/>
            <w:tcMar>
              <w:top w:w="65" w:type="dxa"/>
              <w:start w:w="75" w:type="dxa"/>
              <w:bottom w:w="65" w:type="dxa"/>
              <w:end w:w="75" w:type="dxa"/>
            </w:tcMar>
            <w:vAlign w:val="center"/>
          </w:tcPr>
          <w:p>
            <w:pPr>
              <w:spacing w:after="0"/>
              <w:jc w:val="center"/>
            </w:pPr>
            <w:r>
              <w:rPr>
                <w:rFonts w:ascii="Tinos" w:hAnsi="Tinos" w:eastAsia="Tinos"/>
                <w:b/>
                <w:sz w:val="15"/>
              </w:rPr>
              <w:t>Statistical note</w:t>
            </w:r>
          </w:p>
        </w:tc>
        <w:tc>
          <w:tcPr>
            <w:tcW w:type="dxa" w:w="1531"/>
            <w:shd w:fill="D9EAF7"/>
            <w:tcMar>
              <w:top w:w="65" w:type="dxa"/>
              <w:start w:w="75" w:type="dxa"/>
              <w:bottom w:w="65" w:type="dxa"/>
              <w:end w:w="75" w:type="dxa"/>
            </w:tcMar>
            <w:vAlign w:val="center"/>
          </w:tcPr>
          <w:p>
            <w:pPr>
              <w:spacing w:after="0"/>
              <w:jc w:val="center"/>
            </w:pPr>
            <w:r>
              <w:rPr>
                <w:rFonts w:ascii="Tinos" w:hAnsi="Tinos" w:eastAsia="Tinos"/>
                <w:b/>
                <w:sz w:val="15"/>
              </w:rPr>
              <w:t>Source</w:t>
            </w:r>
          </w:p>
        </w:tc>
      </w:tr>
      <w:tr>
        <w:trPr>
          <w:cantSplit/>
        </w:trPr>
        <w:tc>
          <w:tcPr>
            <w:tcW w:type="dxa" w:w="2268"/>
            <w:tcMar>
              <w:top w:w="65" w:type="dxa"/>
              <w:start w:w="75" w:type="dxa"/>
              <w:bottom w:w="65" w:type="dxa"/>
              <w:end w:w="75" w:type="dxa"/>
            </w:tcMar>
            <w:vAlign w:val="top"/>
          </w:tcPr>
          <w:p>
            <w:pPr>
              <w:spacing w:line="240" w:lineRule="auto" w:after="0"/>
              <w:jc w:val="left"/>
            </w:pPr>
            <w:r>
              <w:rPr>
                <w:rFonts w:ascii="Tinos" w:hAnsi="Tinos" w:eastAsia="Tinos"/>
                <w:sz w:val="15"/>
              </w:rPr>
              <w:t>Total antimicrobial use</w:t>
            </w:r>
          </w:p>
        </w:tc>
        <w:tc>
          <w:tcPr>
            <w:tcW w:type="dxa" w:w="2608"/>
            <w:tcMar>
              <w:top w:w="65" w:type="dxa"/>
              <w:start w:w="75" w:type="dxa"/>
              <w:bottom w:w="65" w:type="dxa"/>
              <w:end w:w="75" w:type="dxa"/>
            </w:tcMar>
            <w:vAlign w:val="top"/>
          </w:tcPr>
          <w:p>
            <w:pPr>
              <w:spacing w:line="240" w:lineRule="auto" w:after="0"/>
              <w:jc w:val="left"/>
            </w:pPr>
            <w:r>
              <w:rPr>
                <w:rFonts w:ascii="Tinos" w:hAnsi="Tinos" w:eastAsia="Tinos"/>
                <w:sz w:val="15"/>
              </w:rPr>
              <w:t>742.86 to 555.33 DDD/100 bed-days</w:t>
            </w:r>
          </w:p>
        </w:tc>
        <w:tc>
          <w:tcPr>
            <w:tcW w:type="dxa" w:w="1701"/>
            <w:tcMar>
              <w:top w:w="65" w:type="dxa"/>
              <w:start w:w="75" w:type="dxa"/>
              <w:bottom w:w="65" w:type="dxa"/>
              <w:end w:w="75" w:type="dxa"/>
            </w:tcMar>
            <w:vAlign w:val="top"/>
          </w:tcPr>
          <w:p>
            <w:pPr>
              <w:spacing w:line="240" w:lineRule="auto" w:after="0"/>
              <w:jc w:val="left"/>
            </w:pPr>
            <w:r>
              <w:rPr>
                <w:rFonts w:ascii="Tinos" w:hAnsi="Tinos" w:eastAsia="Tinos"/>
                <w:sz w:val="15"/>
              </w:rPr>
              <w:t>25.2% reduction</w:t>
            </w:r>
          </w:p>
        </w:tc>
        <w:tc>
          <w:tcPr>
            <w:tcW w:type="dxa" w:w="1871"/>
            <w:tcMar>
              <w:top w:w="65" w:type="dxa"/>
              <w:start w:w="75" w:type="dxa"/>
              <w:bottom w:w="65" w:type="dxa"/>
              <w:end w:w="75" w:type="dxa"/>
            </w:tcMar>
            <w:vAlign w:val="top"/>
          </w:tcPr>
          <w:p>
            <w:pPr>
              <w:spacing w:line="240" w:lineRule="auto" w:after="0"/>
              <w:jc w:val="left"/>
            </w:pPr>
            <w:r>
              <w:rPr>
                <w:rFonts w:ascii="Tinos" w:hAnsi="Tinos" w:eastAsia="Tinos"/>
                <w:sz w:val="15"/>
              </w:rPr>
              <w:t>p = 0.110</w:t>
            </w:r>
          </w:p>
        </w:tc>
        <w:tc>
          <w:tcPr>
            <w:tcW w:type="dxa" w:w="1531"/>
            <w:tcMar>
              <w:top w:w="65" w:type="dxa"/>
              <w:start w:w="75" w:type="dxa"/>
              <w:bottom w:w="65" w:type="dxa"/>
              <w:end w:w="75" w:type="dxa"/>
            </w:tcMar>
            <w:vAlign w:val="top"/>
          </w:tcPr>
          <w:p>
            <w:pPr>
              <w:spacing w:line="240" w:lineRule="auto" w:after="0"/>
              <w:jc w:val="left"/>
            </w:pPr>
            <w:r>
              <w:rPr>
                <w:rFonts w:ascii="Tinos" w:hAnsi="Tinos" w:eastAsia="Tinos"/>
                <w:sz w:val="15"/>
              </w:rPr>
              <w:t>Haseeb et al., 2021</w:t>
            </w:r>
          </w:p>
        </w:tc>
      </w:tr>
      <w:tr>
        <w:trPr>
          <w:cantSplit/>
        </w:trPr>
        <w:tc>
          <w:tcPr>
            <w:tcW w:type="dxa" w:w="2268"/>
            <w:tcMar>
              <w:top w:w="65" w:type="dxa"/>
              <w:start w:w="75" w:type="dxa"/>
              <w:bottom w:w="65" w:type="dxa"/>
              <w:end w:w="75" w:type="dxa"/>
            </w:tcMar>
            <w:vAlign w:val="top"/>
          </w:tcPr>
          <w:p>
            <w:pPr>
              <w:spacing w:line="240" w:lineRule="auto" w:after="0"/>
              <w:jc w:val="left"/>
            </w:pPr>
            <w:r>
              <w:rPr>
                <w:rFonts w:ascii="Tinos" w:hAnsi="Tinos" w:eastAsia="Tinos"/>
                <w:sz w:val="15"/>
              </w:rPr>
              <w:t>IV antimicrobial use</w:t>
            </w:r>
          </w:p>
        </w:tc>
        <w:tc>
          <w:tcPr>
            <w:tcW w:type="dxa" w:w="2608"/>
            <w:tcMar>
              <w:top w:w="65" w:type="dxa"/>
              <w:start w:w="75" w:type="dxa"/>
              <w:bottom w:w="65" w:type="dxa"/>
              <w:end w:w="75" w:type="dxa"/>
            </w:tcMar>
            <w:vAlign w:val="top"/>
          </w:tcPr>
          <w:p>
            <w:pPr>
              <w:spacing w:line="240" w:lineRule="auto" w:after="0"/>
              <w:jc w:val="left"/>
            </w:pPr>
            <w:r>
              <w:rPr>
                <w:rFonts w:ascii="Tinos" w:hAnsi="Tinos" w:eastAsia="Tinos"/>
                <w:sz w:val="15"/>
              </w:rPr>
              <w:t>293.43 to 164.41 DDD/100 bed-days</w:t>
            </w:r>
          </w:p>
        </w:tc>
        <w:tc>
          <w:tcPr>
            <w:tcW w:type="dxa" w:w="1701"/>
            <w:tcMar>
              <w:top w:w="65" w:type="dxa"/>
              <w:start w:w="75" w:type="dxa"/>
              <w:bottom w:w="65" w:type="dxa"/>
              <w:end w:w="75" w:type="dxa"/>
            </w:tcMar>
            <w:vAlign w:val="top"/>
          </w:tcPr>
          <w:p>
            <w:pPr>
              <w:spacing w:line="240" w:lineRule="auto" w:after="0"/>
              <w:jc w:val="left"/>
            </w:pPr>
            <w:r>
              <w:rPr>
                <w:rFonts w:ascii="Tinos" w:hAnsi="Tinos" w:eastAsia="Tinos"/>
                <w:sz w:val="15"/>
              </w:rPr>
              <w:t>44.0% reduction</w:t>
            </w:r>
          </w:p>
        </w:tc>
        <w:tc>
          <w:tcPr>
            <w:tcW w:type="dxa" w:w="1871"/>
            <w:tcMar>
              <w:top w:w="65" w:type="dxa"/>
              <w:start w:w="75" w:type="dxa"/>
              <w:bottom w:w="65" w:type="dxa"/>
              <w:end w:w="75" w:type="dxa"/>
            </w:tcMar>
            <w:vAlign w:val="top"/>
          </w:tcPr>
          <w:p>
            <w:pPr>
              <w:spacing w:line="240" w:lineRule="auto" w:after="0"/>
              <w:jc w:val="left"/>
            </w:pPr>
            <w:r>
              <w:rPr>
                <w:rFonts w:ascii="Tinos" w:hAnsi="Tinos" w:eastAsia="Tinos"/>
                <w:sz w:val="15"/>
              </w:rPr>
              <w:t>p = 0.038</w:t>
            </w:r>
          </w:p>
        </w:tc>
        <w:tc>
          <w:tcPr>
            <w:tcW w:type="dxa" w:w="1531"/>
            <w:tcMar>
              <w:top w:w="65" w:type="dxa"/>
              <w:start w:w="75" w:type="dxa"/>
              <w:bottom w:w="65" w:type="dxa"/>
              <w:end w:w="75" w:type="dxa"/>
            </w:tcMar>
            <w:vAlign w:val="top"/>
          </w:tcPr>
          <w:p>
            <w:pPr>
              <w:spacing w:line="240" w:lineRule="auto" w:after="0"/>
              <w:jc w:val="left"/>
            </w:pPr>
            <w:r>
              <w:rPr>
                <w:rFonts w:ascii="Tinos" w:hAnsi="Tinos" w:eastAsia="Tinos"/>
                <w:sz w:val="15"/>
              </w:rPr>
              <w:t>Haseeb et al., 2021</w:t>
            </w:r>
          </w:p>
        </w:tc>
      </w:tr>
      <w:tr>
        <w:trPr>
          <w:cantSplit/>
        </w:trPr>
        <w:tc>
          <w:tcPr>
            <w:tcW w:type="dxa" w:w="2268"/>
            <w:tcMar>
              <w:top w:w="65" w:type="dxa"/>
              <w:start w:w="75" w:type="dxa"/>
              <w:bottom w:w="65" w:type="dxa"/>
              <w:end w:w="75" w:type="dxa"/>
            </w:tcMar>
            <w:vAlign w:val="top"/>
          </w:tcPr>
          <w:p>
            <w:pPr>
              <w:spacing w:line="240" w:lineRule="auto" w:after="0"/>
              <w:jc w:val="left"/>
            </w:pPr>
            <w:r>
              <w:rPr>
                <w:rFonts w:ascii="Tinos" w:hAnsi="Tinos" w:eastAsia="Tinos"/>
                <w:sz w:val="15"/>
              </w:rPr>
              <w:t>Ceftriaxone use</w:t>
            </w:r>
          </w:p>
        </w:tc>
        <w:tc>
          <w:tcPr>
            <w:tcW w:type="dxa" w:w="2608"/>
            <w:tcMar>
              <w:top w:w="65" w:type="dxa"/>
              <w:start w:w="75" w:type="dxa"/>
              <w:bottom w:w="65" w:type="dxa"/>
              <w:end w:w="75" w:type="dxa"/>
            </w:tcMar>
            <w:vAlign w:val="top"/>
          </w:tcPr>
          <w:p>
            <w:pPr>
              <w:spacing w:line="240" w:lineRule="auto" w:after="0"/>
              <w:jc w:val="left"/>
            </w:pPr>
            <w:r>
              <w:rPr>
                <w:rFonts w:ascii="Tinos" w:hAnsi="Tinos" w:eastAsia="Tinos"/>
                <w:sz w:val="15"/>
              </w:rPr>
              <w:t>94.32 to 16.68 DDD/100 bed-days</w:t>
            </w:r>
          </w:p>
        </w:tc>
        <w:tc>
          <w:tcPr>
            <w:tcW w:type="dxa" w:w="1701"/>
            <w:tcMar>
              <w:top w:w="65" w:type="dxa"/>
              <w:start w:w="75" w:type="dxa"/>
              <w:bottom w:w="65" w:type="dxa"/>
              <w:end w:w="75" w:type="dxa"/>
            </w:tcMar>
            <w:vAlign w:val="top"/>
          </w:tcPr>
          <w:p>
            <w:pPr>
              <w:spacing w:line="240" w:lineRule="auto" w:after="0"/>
              <w:jc w:val="left"/>
            </w:pPr>
            <w:r>
              <w:rPr>
                <w:rFonts w:ascii="Tinos" w:hAnsi="Tinos" w:eastAsia="Tinos"/>
                <w:sz w:val="15"/>
              </w:rPr>
              <w:t>82.3% reduction</w:t>
            </w:r>
          </w:p>
        </w:tc>
        <w:tc>
          <w:tcPr>
            <w:tcW w:type="dxa" w:w="1871"/>
            <w:tcMar>
              <w:top w:w="65" w:type="dxa"/>
              <w:start w:w="75" w:type="dxa"/>
              <w:bottom w:w="65" w:type="dxa"/>
              <w:end w:w="75" w:type="dxa"/>
            </w:tcMar>
            <w:vAlign w:val="top"/>
          </w:tcPr>
          <w:p>
            <w:pPr>
              <w:spacing w:line="240" w:lineRule="auto" w:after="0"/>
              <w:jc w:val="left"/>
            </w:pPr>
            <w:r>
              <w:rPr>
                <w:rFonts w:ascii="Tinos" w:hAnsi="Tinos" w:eastAsia="Tinos"/>
                <w:sz w:val="15"/>
              </w:rPr>
              <w:t>p = 0.008</w:t>
            </w:r>
          </w:p>
        </w:tc>
        <w:tc>
          <w:tcPr>
            <w:tcW w:type="dxa" w:w="1531"/>
            <w:tcMar>
              <w:top w:w="65" w:type="dxa"/>
              <w:start w:w="75" w:type="dxa"/>
              <w:bottom w:w="65" w:type="dxa"/>
              <w:end w:w="75" w:type="dxa"/>
            </w:tcMar>
            <w:vAlign w:val="top"/>
          </w:tcPr>
          <w:p>
            <w:pPr>
              <w:spacing w:line="240" w:lineRule="auto" w:after="0"/>
              <w:jc w:val="left"/>
            </w:pPr>
            <w:r>
              <w:rPr>
                <w:rFonts w:ascii="Tinos" w:hAnsi="Tinos" w:eastAsia="Tinos"/>
                <w:sz w:val="15"/>
              </w:rPr>
              <w:t>Haseeb et al., 2021</w:t>
            </w:r>
          </w:p>
        </w:tc>
      </w:tr>
      <w:tr>
        <w:trPr>
          <w:cantSplit/>
        </w:trPr>
        <w:tc>
          <w:tcPr>
            <w:tcW w:type="dxa" w:w="2268"/>
            <w:tcMar>
              <w:top w:w="65" w:type="dxa"/>
              <w:start w:w="75" w:type="dxa"/>
              <w:bottom w:w="65" w:type="dxa"/>
              <w:end w:w="75" w:type="dxa"/>
            </w:tcMar>
            <w:vAlign w:val="top"/>
          </w:tcPr>
          <w:p>
            <w:pPr>
              <w:spacing w:line="240" w:lineRule="auto" w:after="0"/>
              <w:jc w:val="left"/>
            </w:pPr>
            <w:r>
              <w:rPr>
                <w:rFonts w:ascii="Tinos" w:hAnsi="Tinos" w:eastAsia="Tinos"/>
                <w:sz w:val="15"/>
              </w:rPr>
              <w:t>Vancomycin use</w:t>
            </w:r>
          </w:p>
        </w:tc>
        <w:tc>
          <w:tcPr>
            <w:tcW w:type="dxa" w:w="2608"/>
            <w:tcMar>
              <w:top w:w="65" w:type="dxa"/>
              <w:start w:w="75" w:type="dxa"/>
              <w:bottom w:w="65" w:type="dxa"/>
              <w:end w:w="75" w:type="dxa"/>
            </w:tcMar>
            <w:vAlign w:val="top"/>
          </w:tcPr>
          <w:p>
            <w:pPr>
              <w:spacing w:line="240" w:lineRule="auto" w:after="0"/>
              <w:jc w:val="left"/>
            </w:pPr>
            <w:r>
              <w:rPr>
                <w:rFonts w:ascii="Tinos" w:hAnsi="Tinos" w:eastAsia="Tinos"/>
                <w:sz w:val="15"/>
              </w:rPr>
              <w:t>24.73 to 8.40 DDD/100 bed-days</w:t>
            </w:r>
          </w:p>
        </w:tc>
        <w:tc>
          <w:tcPr>
            <w:tcW w:type="dxa" w:w="1701"/>
            <w:tcMar>
              <w:top w:w="65" w:type="dxa"/>
              <w:start w:w="75" w:type="dxa"/>
              <w:bottom w:w="65" w:type="dxa"/>
              <w:end w:w="75" w:type="dxa"/>
            </w:tcMar>
            <w:vAlign w:val="top"/>
          </w:tcPr>
          <w:p>
            <w:pPr>
              <w:spacing w:line="240" w:lineRule="auto" w:after="0"/>
              <w:jc w:val="left"/>
            </w:pPr>
            <w:r>
              <w:rPr>
                <w:rFonts w:ascii="Tinos" w:hAnsi="Tinos" w:eastAsia="Tinos"/>
                <w:sz w:val="15"/>
              </w:rPr>
              <w:t>66.0% reduction</w:t>
            </w:r>
          </w:p>
        </w:tc>
        <w:tc>
          <w:tcPr>
            <w:tcW w:type="dxa" w:w="1871"/>
            <w:tcMar>
              <w:top w:w="65" w:type="dxa"/>
              <w:start w:w="75" w:type="dxa"/>
              <w:bottom w:w="65" w:type="dxa"/>
              <w:end w:w="75" w:type="dxa"/>
            </w:tcMar>
            <w:vAlign w:val="top"/>
          </w:tcPr>
          <w:p>
            <w:pPr>
              <w:spacing w:line="240" w:lineRule="auto" w:after="0"/>
              <w:jc w:val="left"/>
            </w:pPr>
            <w:r>
              <w:rPr>
                <w:rFonts w:ascii="Tinos" w:hAnsi="Tinos" w:eastAsia="Tinos"/>
                <w:sz w:val="15"/>
              </w:rPr>
              <w:t>p = 0.008</w:t>
            </w:r>
          </w:p>
        </w:tc>
        <w:tc>
          <w:tcPr>
            <w:tcW w:type="dxa" w:w="1531"/>
            <w:tcMar>
              <w:top w:w="65" w:type="dxa"/>
              <w:start w:w="75" w:type="dxa"/>
              <w:bottom w:w="65" w:type="dxa"/>
              <w:end w:w="75" w:type="dxa"/>
            </w:tcMar>
            <w:vAlign w:val="top"/>
          </w:tcPr>
          <w:p>
            <w:pPr>
              <w:spacing w:line="240" w:lineRule="auto" w:after="0"/>
              <w:jc w:val="left"/>
            </w:pPr>
            <w:r>
              <w:rPr>
                <w:rFonts w:ascii="Tinos" w:hAnsi="Tinos" w:eastAsia="Tinos"/>
                <w:sz w:val="15"/>
              </w:rPr>
              <w:t>Haseeb et al., 2021</w:t>
            </w:r>
          </w:p>
        </w:tc>
      </w:tr>
      <w:tr>
        <w:trPr>
          <w:cantSplit/>
        </w:trPr>
        <w:tc>
          <w:tcPr>
            <w:tcW w:type="dxa" w:w="2268"/>
            <w:tcMar>
              <w:top w:w="65" w:type="dxa"/>
              <w:start w:w="75" w:type="dxa"/>
              <w:bottom w:w="65" w:type="dxa"/>
              <w:end w:w="75" w:type="dxa"/>
            </w:tcMar>
            <w:vAlign w:val="top"/>
          </w:tcPr>
          <w:p>
            <w:pPr>
              <w:spacing w:line="240" w:lineRule="auto" w:after="0"/>
              <w:jc w:val="left"/>
            </w:pPr>
            <w:r>
              <w:rPr>
                <w:rFonts w:ascii="Tinos" w:hAnsi="Tinos" w:eastAsia="Tinos"/>
                <w:sz w:val="15"/>
              </w:rPr>
              <w:t>Antimicrobial cost excluding linezolid</w:t>
            </w:r>
          </w:p>
        </w:tc>
        <w:tc>
          <w:tcPr>
            <w:tcW w:type="dxa" w:w="2608"/>
            <w:tcMar>
              <w:top w:w="65" w:type="dxa"/>
              <w:start w:w="75" w:type="dxa"/>
              <w:bottom w:w="65" w:type="dxa"/>
              <w:end w:w="75" w:type="dxa"/>
            </w:tcMar>
            <w:vAlign w:val="top"/>
          </w:tcPr>
          <w:p>
            <w:pPr>
              <w:spacing w:line="240" w:lineRule="auto" w:after="0"/>
              <w:jc w:val="left"/>
            </w:pPr>
            <w:r>
              <w:rPr>
                <w:rFonts w:ascii="Tinos" w:hAnsi="Tinos" w:eastAsia="Tinos"/>
                <w:sz w:val="15"/>
              </w:rPr>
              <w:t>SAR 38,723.72 to SAR 25,299.24 per 100 bed-days</w:t>
            </w:r>
          </w:p>
        </w:tc>
        <w:tc>
          <w:tcPr>
            <w:tcW w:type="dxa" w:w="1701"/>
            <w:tcMar>
              <w:top w:w="65" w:type="dxa"/>
              <w:start w:w="75" w:type="dxa"/>
              <w:bottom w:w="65" w:type="dxa"/>
              <w:end w:w="75" w:type="dxa"/>
            </w:tcMar>
            <w:vAlign w:val="top"/>
          </w:tcPr>
          <w:p>
            <w:pPr>
              <w:spacing w:line="240" w:lineRule="auto" w:after="0"/>
              <w:jc w:val="left"/>
            </w:pPr>
            <w:r>
              <w:rPr>
                <w:rFonts w:ascii="Tinos" w:hAnsi="Tinos" w:eastAsia="Tinos"/>
                <w:sz w:val="15"/>
              </w:rPr>
              <w:t>34.7% reduction</w:t>
            </w:r>
          </w:p>
        </w:tc>
        <w:tc>
          <w:tcPr>
            <w:tcW w:type="dxa" w:w="1871"/>
            <w:tcMar>
              <w:top w:w="65" w:type="dxa"/>
              <w:start w:w="75" w:type="dxa"/>
              <w:bottom w:w="65" w:type="dxa"/>
              <w:end w:w="75" w:type="dxa"/>
            </w:tcMar>
            <w:vAlign w:val="top"/>
          </w:tcPr>
          <w:p>
            <w:pPr>
              <w:spacing w:line="240" w:lineRule="auto" w:after="0"/>
              <w:jc w:val="left"/>
            </w:pPr>
            <w:r>
              <w:rPr>
                <w:rFonts w:ascii="Tinos" w:hAnsi="Tinos" w:eastAsia="Tinos"/>
                <w:sz w:val="15"/>
              </w:rPr>
              <w:t>Table p = 0.086; narrative p = 0.008</w:t>
            </w:r>
          </w:p>
        </w:tc>
        <w:tc>
          <w:tcPr>
            <w:tcW w:type="dxa" w:w="1531"/>
            <w:tcMar>
              <w:top w:w="65" w:type="dxa"/>
              <w:start w:w="75" w:type="dxa"/>
              <w:bottom w:w="65" w:type="dxa"/>
              <w:end w:w="75" w:type="dxa"/>
            </w:tcMar>
            <w:vAlign w:val="top"/>
          </w:tcPr>
          <w:p>
            <w:pPr>
              <w:spacing w:line="240" w:lineRule="auto" w:after="0"/>
              <w:jc w:val="left"/>
            </w:pPr>
            <w:r>
              <w:rPr>
                <w:rFonts w:ascii="Tinos" w:hAnsi="Tinos" w:eastAsia="Tinos"/>
                <w:sz w:val="15"/>
              </w:rPr>
              <w:t>Haseeb et al., 2021</w:t>
            </w:r>
          </w:p>
        </w:tc>
      </w:tr>
      <w:tr>
        <w:trPr>
          <w:cantSplit/>
        </w:trPr>
        <w:tc>
          <w:tcPr>
            <w:tcW w:type="dxa" w:w="2268"/>
            <w:tcMar>
              <w:top w:w="65" w:type="dxa"/>
              <w:start w:w="75" w:type="dxa"/>
              <w:bottom w:w="65" w:type="dxa"/>
              <w:end w:w="75" w:type="dxa"/>
            </w:tcMar>
            <w:vAlign w:val="top"/>
          </w:tcPr>
          <w:p>
            <w:pPr>
              <w:spacing w:line="240" w:lineRule="auto" w:after="0"/>
              <w:jc w:val="left"/>
            </w:pPr>
            <w:r>
              <w:rPr>
                <w:rFonts w:ascii="Tinos" w:hAnsi="Tinos" w:eastAsia="Tinos"/>
                <w:sz w:val="15"/>
              </w:rPr>
              <w:t>Potential cost-saving pharmacist interventions</w:t>
            </w:r>
          </w:p>
        </w:tc>
        <w:tc>
          <w:tcPr>
            <w:tcW w:type="dxa" w:w="2608"/>
            <w:tcMar>
              <w:top w:w="65" w:type="dxa"/>
              <w:start w:w="75" w:type="dxa"/>
              <w:bottom w:w="65" w:type="dxa"/>
              <w:end w:w="75" w:type="dxa"/>
            </w:tcMar>
            <w:vAlign w:val="top"/>
          </w:tcPr>
          <w:p>
            <w:pPr>
              <w:spacing w:line="240" w:lineRule="auto" w:after="0"/>
              <w:jc w:val="left"/>
            </w:pPr>
            <w:r>
              <w:rPr>
                <w:rFonts w:ascii="Tinos" w:hAnsi="Tinos" w:eastAsia="Tinos"/>
                <w:sz w:val="15"/>
              </w:rPr>
              <w:t>169 of 404 interventions</w:t>
            </w:r>
          </w:p>
        </w:tc>
        <w:tc>
          <w:tcPr>
            <w:tcW w:type="dxa" w:w="1701"/>
            <w:tcMar>
              <w:top w:w="65" w:type="dxa"/>
              <w:start w:w="75" w:type="dxa"/>
              <w:bottom w:w="65" w:type="dxa"/>
              <w:end w:w="75" w:type="dxa"/>
            </w:tcMar>
            <w:vAlign w:val="top"/>
          </w:tcPr>
          <w:p>
            <w:pPr>
              <w:spacing w:line="240" w:lineRule="auto" w:after="0"/>
              <w:jc w:val="left"/>
            </w:pPr>
            <w:r>
              <w:rPr>
                <w:rFonts w:ascii="Tinos" w:hAnsi="Tinos" w:eastAsia="Tinos"/>
                <w:sz w:val="15"/>
              </w:rPr>
              <w:t>41.6% of all interventions</w:t>
            </w:r>
          </w:p>
        </w:tc>
        <w:tc>
          <w:tcPr>
            <w:tcW w:type="dxa" w:w="1871"/>
            <w:tcMar>
              <w:top w:w="65" w:type="dxa"/>
              <w:start w:w="75" w:type="dxa"/>
              <w:bottom w:w="65" w:type="dxa"/>
              <w:end w:w="75" w:type="dxa"/>
            </w:tcMar>
            <w:vAlign w:val="top"/>
          </w:tcPr>
          <w:p>
            <w:pPr>
              <w:spacing w:line="240" w:lineRule="auto" w:after="0"/>
              <w:jc w:val="left"/>
            </w:pPr>
            <w:r>
              <w:rPr>
                <w:rFonts w:ascii="Tinos" w:hAnsi="Tinos" w:eastAsia="Tinos"/>
                <w:sz w:val="15"/>
              </w:rPr>
              <w:t>No monetary total calculated</w:t>
            </w:r>
          </w:p>
        </w:tc>
        <w:tc>
          <w:tcPr>
            <w:tcW w:type="dxa" w:w="1531"/>
            <w:tcMar>
              <w:top w:w="65" w:type="dxa"/>
              <w:start w:w="75" w:type="dxa"/>
              <w:bottom w:w="65" w:type="dxa"/>
              <w:end w:w="75" w:type="dxa"/>
            </w:tcMar>
            <w:vAlign w:val="top"/>
          </w:tcPr>
          <w:p>
            <w:pPr>
              <w:spacing w:line="240" w:lineRule="auto" w:after="0"/>
              <w:jc w:val="left"/>
            </w:pPr>
            <w:r>
              <w:rPr>
                <w:rFonts w:ascii="Tinos" w:hAnsi="Tinos" w:eastAsia="Tinos"/>
                <w:sz w:val="15"/>
              </w:rPr>
              <w:t>Althomali et al., 2022</w:t>
            </w:r>
          </w:p>
        </w:tc>
      </w:tr>
      <w:tr>
        <w:trPr>
          <w:cantSplit/>
        </w:trPr>
        <w:tc>
          <w:tcPr>
            <w:tcW w:type="dxa" w:w="2268"/>
            <w:tcMar>
              <w:top w:w="65" w:type="dxa"/>
              <w:start w:w="75" w:type="dxa"/>
              <w:bottom w:w="65" w:type="dxa"/>
              <w:end w:w="75" w:type="dxa"/>
            </w:tcMar>
            <w:vAlign w:val="top"/>
          </w:tcPr>
          <w:p>
            <w:pPr>
              <w:spacing w:line="240" w:lineRule="auto" w:after="0"/>
              <w:jc w:val="left"/>
            </w:pPr>
            <w:r>
              <w:rPr>
                <w:rFonts w:ascii="Tinos" w:hAnsi="Tinos" w:eastAsia="Tinos"/>
                <w:sz w:val="15"/>
              </w:rPr>
              <w:t>Accepted pharmacist interventions</w:t>
            </w:r>
          </w:p>
        </w:tc>
        <w:tc>
          <w:tcPr>
            <w:tcW w:type="dxa" w:w="2608"/>
            <w:tcMar>
              <w:top w:w="65" w:type="dxa"/>
              <w:start w:w="75" w:type="dxa"/>
              <w:bottom w:w="65" w:type="dxa"/>
              <w:end w:w="75" w:type="dxa"/>
            </w:tcMar>
            <w:vAlign w:val="top"/>
          </w:tcPr>
          <w:p>
            <w:pPr>
              <w:spacing w:line="240" w:lineRule="auto" w:after="0"/>
              <w:jc w:val="left"/>
            </w:pPr>
            <w:r>
              <w:rPr>
                <w:rFonts w:ascii="Tinos" w:hAnsi="Tinos" w:eastAsia="Tinos"/>
                <w:sz w:val="15"/>
              </w:rPr>
              <w:t>370 of 404</w:t>
            </w:r>
          </w:p>
        </w:tc>
        <w:tc>
          <w:tcPr>
            <w:tcW w:type="dxa" w:w="1701"/>
            <w:tcMar>
              <w:top w:w="65" w:type="dxa"/>
              <w:start w:w="75" w:type="dxa"/>
              <w:bottom w:w="65" w:type="dxa"/>
              <w:end w:w="75" w:type="dxa"/>
            </w:tcMar>
            <w:vAlign w:val="top"/>
          </w:tcPr>
          <w:p>
            <w:pPr>
              <w:spacing w:line="240" w:lineRule="auto" w:after="0"/>
              <w:jc w:val="left"/>
            </w:pPr>
            <w:r>
              <w:rPr>
                <w:rFonts w:ascii="Tinos" w:hAnsi="Tinos" w:eastAsia="Tinos"/>
                <w:sz w:val="15"/>
              </w:rPr>
              <w:t>91.5%</w:t>
            </w:r>
          </w:p>
        </w:tc>
        <w:tc>
          <w:tcPr>
            <w:tcW w:type="dxa" w:w="1871"/>
            <w:tcMar>
              <w:top w:w="65" w:type="dxa"/>
              <w:start w:w="75" w:type="dxa"/>
              <w:bottom w:w="65" w:type="dxa"/>
              <w:end w:w="75" w:type="dxa"/>
            </w:tcMar>
            <w:vAlign w:val="top"/>
          </w:tcPr>
          <w:p>
            <w:pPr>
              <w:spacing w:line="240" w:lineRule="auto" w:after="0"/>
              <w:jc w:val="left"/>
            </w:pPr>
            <w:r>
              <w:rPr>
                <w:rFonts w:ascii="Tinos" w:hAnsi="Tinos" w:eastAsia="Tinos"/>
                <w:sz w:val="15"/>
              </w:rPr>
              <w:t>Descriptive</w:t>
            </w:r>
          </w:p>
        </w:tc>
        <w:tc>
          <w:tcPr>
            <w:tcW w:type="dxa" w:w="1531"/>
            <w:tcMar>
              <w:top w:w="65" w:type="dxa"/>
              <w:start w:w="75" w:type="dxa"/>
              <w:bottom w:w="65" w:type="dxa"/>
              <w:end w:w="75" w:type="dxa"/>
            </w:tcMar>
            <w:vAlign w:val="top"/>
          </w:tcPr>
          <w:p>
            <w:pPr>
              <w:spacing w:line="240" w:lineRule="auto" w:after="0"/>
              <w:jc w:val="left"/>
            </w:pPr>
            <w:r>
              <w:rPr>
                <w:rFonts w:ascii="Tinos" w:hAnsi="Tinos" w:eastAsia="Tinos"/>
                <w:sz w:val="15"/>
              </w:rPr>
              <w:t>Althomali et al., 2022</w:t>
            </w:r>
          </w:p>
        </w:tc>
      </w:tr>
    </w:tbl>
    <w:p>
      <w:pPr>
        <w:spacing w:before="60" w:after="140"/>
        <w:jc w:val="center"/>
      </w:pPr>
      <w:r>
        <w:rPr>
          <w:rFonts w:ascii="Tinos" w:hAnsi="Tinos" w:eastAsia="Tinos"/>
          <w:b/>
          <w:sz w:val="20"/>
        </w:rPr>
        <w:t>Table 4.2  Medication optimization findings</w:t>
      </w:r>
    </w:p>
    <w:p>
      <w:pPr>
        <w:spacing w:line="312" w:lineRule="auto" w:after="100"/>
        <w:ind w:firstLine="369"/>
        <w:jc w:val="both"/>
      </w:pPr>
      <w:r>
        <w:rPr>
          <w:rFonts w:ascii="Tinos" w:hAnsi="Tinos" w:eastAsia="Tinos"/>
        </w:rPr>
        <w:t>The medication studies offer the most direct evidence of changes in resource use. Intravenous antimicrobial use fell by 44%, a statistically significant result. Total antimicrobial use also declined, although that comparison was not statistically significant. The linezolid finding shows why a total cost figure needs context: introducing an expensive but clinically necessary drug may raise spending even when avoidable use of other drugs falls.</w:t>
      </w:r>
    </w:p>
    <w:p>
      <w:pPr>
        <w:spacing w:line="312" w:lineRule="auto" w:after="100"/>
        <w:ind w:firstLine="369"/>
        <w:jc w:val="both"/>
      </w:pPr>
      <w:r>
        <w:rPr>
          <w:rFonts w:ascii="Tinos" w:hAnsi="Tinos" w:eastAsia="Tinos"/>
        </w:rPr>
        <w:t>The pharmacist study shows how medication efficiency may improve during routine ICU work. More than two-fifths of the interventions had the potential to save cost. Since the authors did not calculate a value in Saudi riyals, the finding supports the contribution of ICU pharmacists but cannot justify a claim about a specific amount saved.</w:t>
      </w:r>
    </w:p>
    <w:p>
      <w:pPr>
        <w:pStyle w:val="Heading2"/>
      </w:pPr>
      <w:r>
        <w:t>4.4 Respiratory Resource Optimization Findings</w:t>
      </w:r>
    </w:p>
    <w:tbl>
      <w:tblPr>
        <w:tblW w:type="auto" w:w="0"/>
        <w:jc w:val="center"/>
        <w:tblLayout w:type="fixed"/>
        <w:tblLook w:firstColumn="1" w:firstRow="1" w:lastColumn="0" w:lastRow="0" w:noHBand="0" w:noVBand="1" w:val="04A0"/>
        <w:tblBorders>
          <w:top w:val="single" w:sz="4" w:color="9EADBA"/>
          <w:left w:val="single" w:sz="4" w:color="9EADBA"/>
          <w:bottom w:val="single" w:sz="4" w:color="9EADBA"/>
          <w:right w:val="single" w:sz="4" w:color="9EADBA"/>
          <w:insideH w:val="single" w:sz="4" w:color="9EADBA"/>
          <w:insideV w:val="single" w:sz="4" w:color="9EADBA"/>
        </w:tblBorders>
      </w:tblPr>
      <w:tblGrid>
        <w:gridCol w:w="1837"/>
        <w:gridCol w:w="1837"/>
        <w:gridCol w:w="1837"/>
        <w:gridCol w:w="1837"/>
        <w:gridCol w:w="1837"/>
      </w:tblGrid>
      <w:tr>
        <w:trPr>
          <w:tblHeader w:val="true"/>
          <w:cantSplit/>
        </w:trPr>
        <w:tc>
          <w:tcPr>
            <w:tcW w:type="dxa" w:w="2268"/>
            <w:shd w:fill="D9EAF7"/>
            <w:tcMar>
              <w:top w:w="65" w:type="dxa"/>
              <w:start w:w="75" w:type="dxa"/>
              <w:bottom w:w="65" w:type="dxa"/>
              <w:end w:w="75" w:type="dxa"/>
            </w:tcMar>
            <w:vAlign w:val="center"/>
          </w:tcPr>
          <w:p>
            <w:pPr>
              <w:spacing w:after="0"/>
              <w:jc w:val="center"/>
            </w:pPr>
            <w:r>
              <w:rPr>
                <w:rFonts w:ascii="Tinos" w:hAnsi="Tinos" w:eastAsia="Tinos"/>
                <w:b/>
                <w:sz w:val="15"/>
              </w:rPr>
              <w:t>Outcome</w:t>
            </w:r>
          </w:p>
        </w:tc>
        <w:tc>
          <w:tcPr>
            <w:tcW w:type="dxa" w:w="2551"/>
            <w:shd w:fill="D9EAF7"/>
            <w:tcMar>
              <w:top w:w="65" w:type="dxa"/>
              <w:start w:w="75" w:type="dxa"/>
              <w:bottom w:w="65" w:type="dxa"/>
              <w:end w:w="75" w:type="dxa"/>
            </w:tcMar>
            <w:vAlign w:val="center"/>
          </w:tcPr>
          <w:p>
            <w:pPr>
              <w:spacing w:after="0"/>
              <w:jc w:val="center"/>
            </w:pPr>
            <w:r>
              <w:rPr>
                <w:rFonts w:ascii="Tinos" w:hAnsi="Tinos" w:eastAsia="Tinos"/>
                <w:b/>
                <w:sz w:val="15"/>
              </w:rPr>
              <w:t>Reported value</w:t>
            </w:r>
          </w:p>
        </w:tc>
        <w:tc>
          <w:tcPr>
            <w:tcW w:type="dxa" w:w="1701"/>
            <w:shd w:fill="D9EAF7"/>
            <w:tcMar>
              <w:top w:w="65" w:type="dxa"/>
              <w:start w:w="75" w:type="dxa"/>
              <w:bottom w:w="65" w:type="dxa"/>
              <w:end w:w="75" w:type="dxa"/>
            </w:tcMar>
            <w:vAlign w:val="center"/>
          </w:tcPr>
          <w:p>
            <w:pPr>
              <w:spacing w:after="0"/>
              <w:jc w:val="center"/>
            </w:pPr>
            <w:r>
              <w:rPr>
                <w:rFonts w:ascii="Tinos" w:hAnsi="Tinos" w:eastAsia="Tinos"/>
                <w:b/>
                <w:sz w:val="15"/>
              </w:rPr>
              <w:t>Direction</w:t>
            </w:r>
          </w:p>
        </w:tc>
        <w:tc>
          <w:tcPr>
            <w:tcW w:type="dxa" w:w="1871"/>
            <w:shd w:fill="D9EAF7"/>
            <w:tcMar>
              <w:top w:w="65" w:type="dxa"/>
              <w:start w:w="75" w:type="dxa"/>
              <w:bottom w:w="65" w:type="dxa"/>
              <w:end w:w="75" w:type="dxa"/>
            </w:tcMar>
            <w:vAlign w:val="center"/>
          </w:tcPr>
          <w:p>
            <w:pPr>
              <w:spacing w:after="0"/>
              <w:jc w:val="center"/>
            </w:pPr>
            <w:r>
              <w:rPr>
                <w:rFonts w:ascii="Tinos" w:hAnsi="Tinos" w:eastAsia="Tinos"/>
                <w:b/>
                <w:sz w:val="15"/>
              </w:rPr>
              <w:t>Statistical note</w:t>
            </w:r>
          </w:p>
        </w:tc>
        <w:tc>
          <w:tcPr>
            <w:tcW w:type="dxa" w:w="1531"/>
            <w:shd w:fill="D9EAF7"/>
            <w:tcMar>
              <w:top w:w="65" w:type="dxa"/>
              <w:start w:w="75" w:type="dxa"/>
              <w:bottom w:w="65" w:type="dxa"/>
              <w:end w:w="75" w:type="dxa"/>
            </w:tcMar>
            <w:vAlign w:val="center"/>
          </w:tcPr>
          <w:p>
            <w:pPr>
              <w:spacing w:after="0"/>
              <w:jc w:val="center"/>
            </w:pPr>
            <w:r>
              <w:rPr>
                <w:rFonts w:ascii="Tinos" w:hAnsi="Tinos" w:eastAsia="Tinos"/>
                <w:b/>
                <w:sz w:val="15"/>
              </w:rPr>
              <w:t>Source</w:t>
            </w:r>
          </w:p>
        </w:tc>
      </w:tr>
      <w:tr>
        <w:trPr>
          <w:cantSplit/>
        </w:trPr>
        <w:tc>
          <w:tcPr>
            <w:tcW w:type="dxa" w:w="2268"/>
            <w:tcMar>
              <w:top w:w="65" w:type="dxa"/>
              <w:start w:w="75" w:type="dxa"/>
              <w:bottom w:w="65" w:type="dxa"/>
              <w:end w:w="75" w:type="dxa"/>
            </w:tcMar>
            <w:vAlign w:val="top"/>
          </w:tcPr>
          <w:p>
            <w:pPr>
              <w:spacing w:line="240" w:lineRule="auto" w:after="0"/>
              <w:jc w:val="left"/>
            </w:pPr>
            <w:r>
              <w:rPr>
                <w:rFonts w:ascii="Tinos" w:hAnsi="Tinos" w:eastAsia="Tinos"/>
                <w:sz w:val="15"/>
              </w:rPr>
              <w:t>VAP bundle compliance</w:t>
            </w:r>
          </w:p>
        </w:tc>
        <w:tc>
          <w:tcPr>
            <w:tcW w:type="dxa" w:w="2551"/>
            <w:tcMar>
              <w:top w:w="65" w:type="dxa"/>
              <w:start w:w="75" w:type="dxa"/>
              <w:bottom w:w="65" w:type="dxa"/>
              <w:end w:w="75" w:type="dxa"/>
            </w:tcMar>
            <w:vAlign w:val="top"/>
          </w:tcPr>
          <w:p>
            <w:pPr>
              <w:spacing w:line="240" w:lineRule="auto" w:after="0"/>
              <w:jc w:val="left"/>
            </w:pPr>
            <w:r>
              <w:rPr>
                <w:rFonts w:ascii="Tinos" w:hAnsi="Tinos" w:eastAsia="Tinos"/>
                <w:sz w:val="15"/>
              </w:rPr>
              <w:t>30% in January to 100% in December; annual overall 78.9%</w:t>
            </w:r>
          </w:p>
        </w:tc>
        <w:tc>
          <w:tcPr>
            <w:tcW w:type="dxa" w:w="1701"/>
            <w:tcMar>
              <w:top w:w="65" w:type="dxa"/>
              <w:start w:w="75" w:type="dxa"/>
              <w:bottom w:w="65" w:type="dxa"/>
              <w:end w:w="75" w:type="dxa"/>
            </w:tcMar>
            <w:vAlign w:val="top"/>
          </w:tcPr>
          <w:p>
            <w:pPr>
              <w:spacing w:line="240" w:lineRule="auto" w:after="0"/>
              <w:jc w:val="left"/>
            </w:pPr>
            <w:r>
              <w:rPr>
                <w:rFonts w:ascii="Tinos" w:hAnsi="Tinos" w:eastAsia="Tinos"/>
                <w:sz w:val="15"/>
              </w:rPr>
              <w:t>Large compliance improvement</w:t>
            </w:r>
          </w:p>
        </w:tc>
        <w:tc>
          <w:tcPr>
            <w:tcW w:type="dxa" w:w="1871"/>
            <w:tcMar>
              <w:top w:w="65" w:type="dxa"/>
              <w:start w:w="75" w:type="dxa"/>
              <w:bottom w:w="65" w:type="dxa"/>
              <w:end w:w="75" w:type="dxa"/>
            </w:tcMar>
            <w:vAlign w:val="top"/>
          </w:tcPr>
          <w:p>
            <w:pPr>
              <w:spacing w:line="240" w:lineRule="auto" w:after="0"/>
              <w:jc w:val="left"/>
            </w:pPr>
            <w:r>
              <w:rPr>
                <w:rFonts w:ascii="Tinos" w:hAnsi="Tinos" w:eastAsia="Tinos"/>
                <w:sz w:val="15"/>
              </w:rPr>
              <w:t>VAP correlation p = 0.001</w:t>
            </w:r>
          </w:p>
        </w:tc>
        <w:tc>
          <w:tcPr>
            <w:tcW w:type="dxa" w:w="1531"/>
            <w:tcMar>
              <w:top w:w="65" w:type="dxa"/>
              <w:start w:w="75" w:type="dxa"/>
              <w:bottom w:w="65" w:type="dxa"/>
              <w:end w:w="75" w:type="dxa"/>
            </w:tcMar>
            <w:vAlign w:val="top"/>
          </w:tcPr>
          <w:p>
            <w:pPr>
              <w:spacing w:line="240" w:lineRule="auto" w:after="0"/>
              <w:jc w:val="left"/>
            </w:pPr>
            <w:r>
              <w:rPr>
                <w:rFonts w:ascii="Tinos" w:hAnsi="Tinos" w:eastAsia="Tinos"/>
                <w:sz w:val="15"/>
              </w:rPr>
              <w:t>Bukhari et al., 2012</w:t>
            </w:r>
          </w:p>
        </w:tc>
      </w:tr>
      <w:tr>
        <w:trPr>
          <w:cantSplit/>
        </w:trPr>
        <w:tc>
          <w:tcPr>
            <w:tcW w:type="dxa" w:w="2268"/>
            <w:tcMar>
              <w:top w:w="65" w:type="dxa"/>
              <w:start w:w="75" w:type="dxa"/>
              <w:bottom w:w="65" w:type="dxa"/>
              <w:end w:w="75" w:type="dxa"/>
            </w:tcMar>
            <w:vAlign w:val="top"/>
          </w:tcPr>
          <w:p>
            <w:pPr>
              <w:spacing w:line="240" w:lineRule="auto" w:after="0"/>
              <w:jc w:val="left"/>
            </w:pPr>
            <w:r>
              <w:rPr>
                <w:rFonts w:ascii="Tinos" w:hAnsi="Tinos" w:eastAsia="Tinos"/>
                <w:sz w:val="15"/>
              </w:rPr>
              <w:t>VAP rate</w:t>
            </w:r>
          </w:p>
        </w:tc>
        <w:tc>
          <w:tcPr>
            <w:tcW w:type="dxa" w:w="2551"/>
            <w:tcMar>
              <w:top w:w="65" w:type="dxa"/>
              <w:start w:w="75" w:type="dxa"/>
              <w:bottom w:w="65" w:type="dxa"/>
              <w:end w:w="75" w:type="dxa"/>
            </w:tcMar>
            <w:vAlign w:val="top"/>
          </w:tcPr>
          <w:p>
            <w:pPr>
              <w:spacing w:line="240" w:lineRule="auto" w:after="0"/>
              <w:jc w:val="left"/>
            </w:pPr>
            <w:r>
              <w:rPr>
                <w:rFonts w:ascii="Tinos" w:hAnsi="Tinos" w:eastAsia="Tinos"/>
                <w:sz w:val="15"/>
              </w:rPr>
              <w:t>Estimated 3.39 in 2009 to 1.98 in 2010 per 1,000 ventilator-days</w:t>
            </w:r>
          </w:p>
        </w:tc>
        <w:tc>
          <w:tcPr>
            <w:tcW w:type="dxa" w:w="1701"/>
            <w:tcMar>
              <w:top w:w="65" w:type="dxa"/>
              <w:start w:w="75" w:type="dxa"/>
              <w:bottom w:w="65" w:type="dxa"/>
              <w:end w:w="75" w:type="dxa"/>
            </w:tcMar>
            <w:vAlign w:val="top"/>
          </w:tcPr>
          <w:p>
            <w:pPr>
              <w:spacing w:line="240" w:lineRule="auto" w:after="0"/>
              <w:jc w:val="left"/>
            </w:pPr>
            <w:r>
              <w:rPr>
                <w:rFonts w:ascii="Tinos" w:hAnsi="Tinos" w:eastAsia="Tinos"/>
                <w:sz w:val="15"/>
              </w:rPr>
              <w:t>41.6% reduction</w:t>
            </w:r>
          </w:p>
        </w:tc>
        <w:tc>
          <w:tcPr>
            <w:tcW w:type="dxa" w:w="1871"/>
            <w:tcMar>
              <w:top w:w="65" w:type="dxa"/>
              <w:start w:w="75" w:type="dxa"/>
              <w:bottom w:w="65" w:type="dxa"/>
              <w:end w:w="75" w:type="dxa"/>
            </w:tcMar>
            <w:vAlign w:val="top"/>
          </w:tcPr>
          <w:p>
            <w:pPr>
              <w:spacing w:line="240" w:lineRule="auto" w:after="0"/>
              <w:jc w:val="left"/>
            </w:pPr>
            <w:r>
              <w:rPr>
                <w:rFonts w:ascii="Tinos" w:hAnsi="Tinos" w:eastAsia="Tinos"/>
                <w:sz w:val="15"/>
              </w:rPr>
              <w:t>Based on reported absolute reduction of 1.41</w:t>
            </w:r>
          </w:p>
        </w:tc>
        <w:tc>
          <w:tcPr>
            <w:tcW w:type="dxa" w:w="1531"/>
            <w:tcMar>
              <w:top w:w="65" w:type="dxa"/>
              <w:start w:w="75" w:type="dxa"/>
              <w:bottom w:w="65" w:type="dxa"/>
              <w:end w:w="75" w:type="dxa"/>
            </w:tcMar>
            <w:vAlign w:val="top"/>
          </w:tcPr>
          <w:p>
            <w:pPr>
              <w:spacing w:line="240" w:lineRule="auto" w:after="0"/>
              <w:jc w:val="left"/>
            </w:pPr>
            <w:r>
              <w:rPr>
                <w:rFonts w:ascii="Tinos" w:hAnsi="Tinos" w:eastAsia="Tinos"/>
                <w:sz w:val="15"/>
              </w:rPr>
              <w:t>Bukhari et al., 2012</w:t>
            </w:r>
          </w:p>
        </w:tc>
      </w:tr>
      <w:tr>
        <w:trPr>
          <w:cantSplit/>
        </w:trPr>
        <w:tc>
          <w:tcPr>
            <w:tcW w:type="dxa" w:w="2268"/>
            <w:tcMar>
              <w:top w:w="65" w:type="dxa"/>
              <w:start w:w="75" w:type="dxa"/>
              <w:bottom w:w="65" w:type="dxa"/>
              <w:end w:w="75" w:type="dxa"/>
            </w:tcMar>
            <w:vAlign w:val="top"/>
          </w:tcPr>
          <w:p>
            <w:pPr>
              <w:spacing w:line="240" w:lineRule="auto" w:after="0"/>
              <w:jc w:val="left"/>
            </w:pPr>
            <w:r>
              <w:rPr>
                <w:rFonts w:ascii="Tinos" w:hAnsi="Tinos" w:eastAsia="Tinos"/>
                <w:sz w:val="15"/>
              </w:rPr>
              <w:t>Estimated annual cost reduction</w:t>
            </w:r>
          </w:p>
        </w:tc>
        <w:tc>
          <w:tcPr>
            <w:tcW w:type="dxa" w:w="2551"/>
            <w:tcMar>
              <w:top w:w="65" w:type="dxa"/>
              <w:start w:w="75" w:type="dxa"/>
              <w:bottom w:w="65" w:type="dxa"/>
              <w:end w:w="75" w:type="dxa"/>
            </w:tcMar>
            <w:vAlign w:val="top"/>
          </w:tcPr>
          <w:p>
            <w:pPr>
              <w:spacing w:line="240" w:lineRule="auto" w:after="0"/>
              <w:jc w:val="left"/>
            </w:pPr>
            <w:r>
              <w:rPr>
                <w:rFonts w:ascii="Tinos" w:hAnsi="Tinos" w:eastAsia="Tinos"/>
                <w:sz w:val="15"/>
              </w:rPr>
              <w:t>USD 154,930</w:t>
            </w:r>
          </w:p>
        </w:tc>
        <w:tc>
          <w:tcPr>
            <w:tcW w:type="dxa" w:w="1701"/>
            <w:tcMar>
              <w:top w:w="65" w:type="dxa"/>
              <w:start w:w="75" w:type="dxa"/>
              <w:bottom w:w="65" w:type="dxa"/>
              <w:end w:w="75" w:type="dxa"/>
            </w:tcMar>
            <w:vAlign w:val="top"/>
          </w:tcPr>
          <w:p>
            <w:pPr>
              <w:spacing w:line="240" w:lineRule="auto" w:after="0"/>
              <w:jc w:val="left"/>
            </w:pPr>
            <w:r>
              <w:rPr>
                <w:rFonts w:ascii="Tinos" w:hAnsi="Tinos" w:eastAsia="Tinos"/>
                <w:sz w:val="15"/>
              </w:rPr>
              <w:t>Reported by original study</w:t>
            </w:r>
          </w:p>
        </w:tc>
        <w:tc>
          <w:tcPr>
            <w:tcW w:type="dxa" w:w="1871"/>
            <w:tcMar>
              <w:top w:w="65" w:type="dxa"/>
              <w:start w:w="75" w:type="dxa"/>
              <w:bottom w:w="65" w:type="dxa"/>
              <w:end w:w="75" w:type="dxa"/>
            </w:tcMar>
            <w:vAlign w:val="top"/>
          </w:tcPr>
          <w:p>
            <w:pPr>
              <w:spacing w:line="240" w:lineRule="auto" w:after="0"/>
              <w:jc w:val="left"/>
            </w:pPr>
            <w:r>
              <w:rPr>
                <w:rFonts w:ascii="Tinos" w:hAnsi="Tinos" w:eastAsia="Tinos"/>
                <w:sz w:val="15"/>
              </w:rPr>
              <w:t>Local 2010 estimate</w:t>
            </w:r>
          </w:p>
        </w:tc>
        <w:tc>
          <w:tcPr>
            <w:tcW w:type="dxa" w:w="1531"/>
            <w:tcMar>
              <w:top w:w="65" w:type="dxa"/>
              <w:start w:w="75" w:type="dxa"/>
              <w:bottom w:w="65" w:type="dxa"/>
              <w:end w:w="75" w:type="dxa"/>
            </w:tcMar>
            <w:vAlign w:val="top"/>
          </w:tcPr>
          <w:p>
            <w:pPr>
              <w:spacing w:line="240" w:lineRule="auto" w:after="0"/>
              <w:jc w:val="left"/>
            </w:pPr>
            <w:r>
              <w:rPr>
                <w:rFonts w:ascii="Tinos" w:hAnsi="Tinos" w:eastAsia="Tinos"/>
                <w:sz w:val="15"/>
              </w:rPr>
              <w:t>Bukhari et al., 2012</w:t>
            </w:r>
          </w:p>
        </w:tc>
      </w:tr>
      <w:tr>
        <w:trPr>
          <w:cantSplit/>
        </w:trPr>
        <w:tc>
          <w:tcPr>
            <w:tcW w:type="dxa" w:w="2268"/>
            <w:tcMar>
              <w:top w:w="65" w:type="dxa"/>
              <w:start w:w="75" w:type="dxa"/>
              <w:bottom w:w="65" w:type="dxa"/>
              <w:end w:w="75" w:type="dxa"/>
            </w:tcMar>
            <w:vAlign w:val="top"/>
          </w:tcPr>
          <w:p>
            <w:pPr>
              <w:spacing w:line="240" w:lineRule="auto" w:after="0"/>
              <w:jc w:val="left"/>
            </w:pPr>
            <w:r>
              <w:rPr>
                <w:rFonts w:ascii="Tinos" w:hAnsi="Tinos" w:eastAsia="Tinos"/>
                <w:sz w:val="15"/>
              </w:rPr>
              <w:t>Subglottic suctioning compliance</w:t>
            </w:r>
          </w:p>
        </w:tc>
        <w:tc>
          <w:tcPr>
            <w:tcW w:type="dxa" w:w="2551"/>
            <w:tcMar>
              <w:top w:w="65" w:type="dxa"/>
              <w:start w:w="75" w:type="dxa"/>
              <w:bottom w:w="65" w:type="dxa"/>
              <w:end w:w="75" w:type="dxa"/>
            </w:tcMar>
            <w:vAlign w:val="top"/>
          </w:tcPr>
          <w:p>
            <w:pPr>
              <w:spacing w:line="240" w:lineRule="auto" w:after="0"/>
              <w:jc w:val="left"/>
            </w:pPr>
            <w:r>
              <w:rPr>
                <w:rFonts w:ascii="Tinos" w:hAnsi="Tinos" w:eastAsia="Tinos"/>
                <w:sz w:val="15"/>
              </w:rPr>
              <w:t>Monthly IRR 1.035</w:t>
            </w:r>
          </w:p>
        </w:tc>
        <w:tc>
          <w:tcPr>
            <w:tcW w:type="dxa" w:w="1701"/>
            <w:tcMar>
              <w:top w:w="65" w:type="dxa"/>
              <w:start w:w="75" w:type="dxa"/>
              <w:bottom w:w="65" w:type="dxa"/>
              <w:end w:w="75" w:type="dxa"/>
            </w:tcMar>
            <w:vAlign w:val="top"/>
          </w:tcPr>
          <w:p>
            <w:pPr>
              <w:spacing w:line="240" w:lineRule="auto" w:after="0"/>
              <w:jc w:val="left"/>
            </w:pPr>
            <w:r>
              <w:rPr>
                <w:rFonts w:ascii="Tinos" w:hAnsi="Tinos" w:eastAsia="Tinos"/>
                <w:sz w:val="15"/>
              </w:rPr>
              <w:t>3.5% monthly increase</w:t>
            </w:r>
          </w:p>
        </w:tc>
        <w:tc>
          <w:tcPr>
            <w:tcW w:type="dxa" w:w="1871"/>
            <w:tcMar>
              <w:top w:w="65" w:type="dxa"/>
              <w:start w:w="75" w:type="dxa"/>
              <w:bottom w:w="65" w:type="dxa"/>
              <w:end w:w="75" w:type="dxa"/>
            </w:tcMar>
            <w:vAlign w:val="top"/>
          </w:tcPr>
          <w:p>
            <w:pPr>
              <w:spacing w:line="240" w:lineRule="auto" w:after="0"/>
              <w:jc w:val="left"/>
            </w:pPr>
            <w:r>
              <w:rPr>
                <w:rFonts w:ascii="Tinos" w:hAnsi="Tinos" w:eastAsia="Tinos"/>
                <w:sz w:val="15"/>
              </w:rPr>
              <w:t>p = 0.0148</w:t>
            </w:r>
          </w:p>
        </w:tc>
        <w:tc>
          <w:tcPr>
            <w:tcW w:type="dxa" w:w="1531"/>
            <w:tcMar>
              <w:top w:w="65" w:type="dxa"/>
              <w:start w:w="75" w:type="dxa"/>
              <w:bottom w:w="65" w:type="dxa"/>
              <w:end w:w="75" w:type="dxa"/>
            </w:tcMar>
            <w:vAlign w:val="top"/>
          </w:tcPr>
          <w:p>
            <w:pPr>
              <w:spacing w:line="240" w:lineRule="auto" w:after="0"/>
              <w:jc w:val="left"/>
            </w:pPr>
            <w:r>
              <w:rPr>
                <w:rFonts w:ascii="Tinos" w:hAnsi="Tinos" w:eastAsia="Tinos"/>
                <w:sz w:val="15"/>
              </w:rPr>
              <w:t>Arabi et al., 2023</w:t>
            </w:r>
          </w:p>
        </w:tc>
      </w:tr>
      <w:tr>
        <w:trPr>
          <w:cantSplit/>
        </w:trPr>
        <w:tc>
          <w:tcPr>
            <w:tcW w:type="dxa" w:w="2268"/>
            <w:tcMar>
              <w:top w:w="65" w:type="dxa"/>
              <w:start w:w="75" w:type="dxa"/>
              <w:bottom w:w="65" w:type="dxa"/>
              <w:end w:w="75" w:type="dxa"/>
            </w:tcMar>
            <w:vAlign w:val="top"/>
          </w:tcPr>
          <w:p>
            <w:pPr>
              <w:spacing w:line="240" w:lineRule="auto" w:after="0"/>
              <w:jc w:val="left"/>
            </w:pPr>
            <w:r>
              <w:rPr>
                <w:rFonts w:ascii="Tinos" w:hAnsi="Tinos" w:eastAsia="Tinos"/>
                <w:sz w:val="15"/>
              </w:rPr>
              <w:t>Spontaneous awakening trials</w:t>
            </w:r>
          </w:p>
        </w:tc>
        <w:tc>
          <w:tcPr>
            <w:tcW w:type="dxa" w:w="2551"/>
            <w:tcMar>
              <w:top w:w="65" w:type="dxa"/>
              <w:start w:w="75" w:type="dxa"/>
              <w:bottom w:w="65" w:type="dxa"/>
              <w:end w:w="75" w:type="dxa"/>
            </w:tcMar>
            <w:vAlign w:val="top"/>
          </w:tcPr>
          <w:p>
            <w:pPr>
              <w:spacing w:line="240" w:lineRule="auto" w:after="0"/>
              <w:jc w:val="left"/>
            </w:pPr>
            <w:r>
              <w:rPr>
                <w:rFonts w:ascii="Tinos" w:hAnsi="Tinos" w:eastAsia="Tinos"/>
                <w:sz w:val="15"/>
              </w:rPr>
              <w:t>Monthly IRR 1.021</w:t>
            </w:r>
          </w:p>
        </w:tc>
        <w:tc>
          <w:tcPr>
            <w:tcW w:type="dxa" w:w="1701"/>
            <w:tcMar>
              <w:top w:w="65" w:type="dxa"/>
              <w:start w:w="75" w:type="dxa"/>
              <w:bottom w:w="65" w:type="dxa"/>
              <w:end w:w="75" w:type="dxa"/>
            </w:tcMar>
            <w:vAlign w:val="top"/>
          </w:tcPr>
          <w:p>
            <w:pPr>
              <w:spacing w:line="240" w:lineRule="auto" w:after="0"/>
              <w:jc w:val="left"/>
            </w:pPr>
            <w:r>
              <w:rPr>
                <w:rFonts w:ascii="Tinos" w:hAnsi="Tinos" w:eastAsia="Tinos"/>
                <w:sz w:val="15"/>
              </w:rPr>
              <w:t>2.1% monthly increase</w:t>
            </w:r>
          </w:p>
        </w:tc>
        <w:tc>
          <w:tcPr>
            <w:tcW w:type="dxa" w:w="1871"/>
            <w:tcMar>
              <w:top w:w="65" w:type="dxa"/>
              <w:start w:w="75" w:type="dxa"/>
              <w:bottom w:w="65" w:type="dxa"/>
              <w:end w:w="75" w:type="dxa"/>
            </w:tcMar>
            <w:vAlign w:val="top"/>
          </w:tcPr>
          <w:p>
            <w:pPr>
              <w:spacing w:line="240" w:lineRule="auto" w:after="0"/>
              <w:jc w:val="left"/>
            </w:pPr>
            <w:r>
              <w:rPr>
                <w:rFonts w:ascii="Tinos" w:hAnsi="Tinos" w:eastAsia="Tinos"/>
                <w:sz w:val="15"/>
              </w:rPr>
              <w:t>p = 0.0003</w:t>
            </w:r>
          </w:p>
        </w:tc>
        <w:tc>
          <w:tcPr>
            <w:tcW w:type="dxa" w:w="1531"/>
            <w:tcMar>
              <w:top w:w="65" w:type="dxa"/>
              <w:start w:w="75" w:type="dxa"/>
              <w:bottom w:w="65" w:type="dxa"/>
              <w:end w:w="75" w:type="dxa"/>
            </w:tcMar>
            <w:vAlign w:val="top"/>
          </w:tcPr>
          <w:p>
            <w:pPr>
              <w:spacing w:line="240" w:lineRule="auto" w:after="0"/>
              <w:jc w:val="left"/>
            </w:pPr>
            <w:r>
              <w:rPr>
                <w:rFonts w:ascii="Tinos" w:hAnsi="Tinos" w:eastAsia="Tinos"/>
                <w:sz w:val="15"/>
              </w:rPr>
              <w:t>Arabi et al., 2023</w:t>
            </w:r>
          </w:p>
        </w:tc>
      </w:tr>
      <w:tr>
        <w:trPr>
          <w:cantSplit/>
        </w:trPr>
        <w:tc>
          <w:tcPr>
            <w:tcW w:type="dxa" w:w="2268"/>
            <w:tcMar>
              <w:top w:w="65" w:type="dxa"/>
              <w:start w:w="75" w:type="dxa"/>
              <w:bottom w:w="65" w:type="dxa"/>
              <w:end w:w="75" w:type="dxa"/>
            </w:tcMar>
            <w:vAlign w:val="top"/>
          </w:tcPr>
          <w:p>
            <w:pPr>
              <w:spacing w:line="240" w:lineRule="auto" w:after="0"/>
              <w:jc w:val="left"/>
            </w:pPr>
            <w:r>
              <w:rPr>
                <w:rFonts w:ascii="Tinos" w:hAnsi="Tinos" w:eastAsia="Tinos"/>
                <w:sz w:val="15"/>
              </w:rPr>
              <w:t>Spontaneous breathing trials</w:t>
            </w:r>
          </w:p>
        </w:tc>
        <w:tc>
          <w:tcPr>
            <w:tcW w:type="dxa" w:w="2551"/>
            <w:tcMar>
              <w:top w:w="65" w:type="dxa"/>
              <w:start w:w="75" w:type="dxa"/>
              <w:bottom w:w="65" w:type="dxa"/>
              <w:end w:w="75" w:type="dxa"/>
            </w:tcMar>
            <w:vAlign w:val="top"/>
          </w:tcPr>
          <w:p>
            <w:pPr>
              <w:spacing w:line="240" w:lineRule="auto" w:after="0"/>
              <w:jc w:val="left"/>
            </w:pPr>
            <w:r>
              <w:rPr>
                <w:rFonts w:ascii="Tinos" w:hAnsi="Tinos" w:eastAsia="Tinos"/>
                <w:sz w:val="15"/>
              </w:rPr>
              <w:t>Monthly IRR 1.019</w:t>
            </w:r>
          </w:p>
        </w:tc>
        <w:tc>
          <w:tcPr>
            <w:tcW w:type="dxa" w:w="1701"/>
            <w:tcMar>
              <w:top w:w="65" w:type="dxa"/>
              <w:start w:w="75" w:type="dxa"/>
              <w:bottom w:w="65" w:type="dxa"/>
              <w:end w:w="75" w:type="dxa"/>
            </w:tcMar>
            <w:vAlign w:val="top"/>
          </w:tcPr>
          <w:p>
            <w:pPr>
              <w:spacing w:line="240" w:lineRule="auto" w:after="0"/>
              <w:jc w:val="left"/>
            </w:pPr>
            <w:r>
              <w:rPr>
                <w:rFonts w:ascii="Tinos" w:hAnsi="Tinos" w:eastAsia="Tinos"/>
                <w:sz w:val="15"/>
              </w:rPr>
              <w:t>1.9% monthly increase</w:t>
            </w:r>
          </w:p>
        </w:tc>
        <w:tc>
          <w:tcPr>
            <w:tcW w:type="dxa" w:w="1871"/>
            <w:tcMar>
              <w:top w:w="65" w:type="dxa"/>
              <w:start w:w="75" w:type="dxa"/>
              <w:bottom w:w="65" w:type="dxa"/>
              <w:end w:w="75" w:type="dxa"/>
            </w:tcMar>
            <w:vAlign w:val="top"/>
          </w:tcPr>
          <w:p>
            <w:pPr>
              <w:spacing w:line="240" w:lineRule="auto" w:after="0"/>
              <w:jc w:val="left"/>
            </w:pPr>
            <w:r>
              <w:rPr>
                <w:rFonts w:ascii="Tinos" w:hAnsi="Tinos" w:eastAsia="Tinos"/>
                <w:sz w:val="15"/>
              </w:rPr>
              <w:t>p = 0.0001</w:t>
            </w:r>
          </w:p>
        </w:tc>
        <w:tc>
          <w:tcPr>
            <w:tcW w:type="dxa" w:w="1531"/>
            <w:tcMar>
              <w:top w:w="65" w:type="dxa"/>
              <w:start w:w="75" w:type="dxa"/>
              <w:bottom w:w="65" w:type="dxa"/>
              <w:end w:w="75" w:type="dxa"/>
            </w:tcMar>
            <w:vAlign w:val="top"/>
          </w:tcPr>
          <w:p>
            <w:pPr>
              <w:spacing w:line="240" w:lineRule="auto" w:after="0"/>
              <w:jc w:val="left"/>
            </w:pPr>
            <w:r>
              <w:rPr>
                <w:rFonts w:ascii="Tinos" w:hAnsi="Tinos" w:eastAsia="Tinos"/>
                <w:sz w:val="15"/>
              </w:rPr>
              <w:t>Arabi et al., 2023</w:t>
            </w:r>
          </w:p>
        </w:tc>
      </w:tr>
      <w:tr>
        <w:trPr>
          <w:cantSplit/>
        </w:trPr>
        <w:tc>
          <w:tcPr>
            <w:tcW w:type="dxa" w:w="2268"/>
            <w:tcMar>
              <w:top w:w="65" w:type="dxa"/>
              <w:start w:w="75" w:type="dxa"/>
              <w:bottom w:w="65" w:type="dxa"/>
              <w:end w:w="75" w:type="dxa"/>
            </w:tcMar>
            <w:vAlign w:val="top"/>
          </w:tcPr>
          <w:p>
            <w:pPr>
              <w:spacing w:line="240" w:lineRule="auto" w:after="0"/>
              <w:jc w:val="left"/>
            </w:pPr>
            <w:r>
              <w:rPr>
                <w:rFonts w:ascii="Tinos" w:hAnsi="Tinos" w:eastAsia="Tinos"/>
                <w:sz w:val="15"/>
              </w:rPr>
              <w:t>Neuromuscular blocker use</w:t>
            </w:r>
          </w:p>
        </w:tc>
        <w:tc>
          <w:tcPr>
            <w:tcW w:type="dxa" w:w="2551"/>
            <w:tcMar>
              <w:top w:w="65" w:type="dxa"/>
              <w:start w:w="75" w:type="dxa"/>
              <w:bottom w:w="65" w:type="dxa"/>
              <w:end w:w="75" w:type="dxa"/>
            </w:tcMar>
            <w:vAlign w:val="top"/>
          </w:tcPr>
          <w:p>
            <w:pPr>
              <w:spacing w:line="240" w:lineRule="auto" w:after="0"/>
              <w:jc w:val="left"/>
            </w:pPr>
            <w:r>
              <w:rPr>
                <w:rFonts w:ascii="Tinos" w:hAnsi="Tinos" w:eastAsia="Tinos"/>
                <w:sz w:val="15"/>
              </w:rPr>
              <w:t>Monthly IRR 0.975</w:t>
            </w:r>
          </w:p>
        </w:tc>
        <w:tc>
          <w:tcPr>
            <w:tcW w:type="dxa" w:w="1701"/>
            <w:tcMar>
              <w:top w:w="65" w:type="dxa"/>
              <w:start w:w="75" w:type="dxa"/>
              <w:bottom w:w="65" w:type="dxa"/>
              <w:end w:w="75" w:type="dxa"/>
            </w:tcMar>
            <w:vAlign w:val="top"/>
          </w:tcPr>
          <w:p>
            <w:pPr>
              <w:spacing w:line="240" w:lineRule="auto" w:after="0"/>
              <w:jc w:val="left"/>
            </w:pPr>
            <w:r>
              <w:rPr>
                <w:rFonts w:ascii="Tinos" w:hAnsi="Tinos" w:eastAsia="Tinos"/>
                <w:sz w:val="15"/>
              </w:rPr>
              <w:t>2.5% monthly decrease</w:t>
            </w:r>
          </w:p>
        </w:tc>
        <w:tc>
          <w:tcPr>
            <w:tcW w:type="dxa" w:w="1871"/>
            <w:tcMar>
              <w:top w:w="65" w:type="dxa"/>
              <w:start w:w="75" w:type="dxa"/>
              <w:bottom w:w="65" w:type="dxa"/>
              <w:end w:w="75" w:type="dxa"/>
            </w:tcMar>
            <w:vAlign w:val="top"/>
          </w:tcPr>
          <w:p>
            <w:pPr>
              <w:spacing w:line="240" w:lineRule="auto" w:after="0"/>
              <w:jc w:val="left"/>
            </w:pPr>
            <w:r>
              <w:rPr>
                <w:rFonts w:ascii="Tinos" w:hAnsi="Tinos" w:eastAsia="Tinos"/>
                <w:sz w:val="15"/>
              </w:rPr>
              <w:t>p = 0.0341</w:t>
            </w:r>
          </w:p>
        </w:tc>
        <w:tc>
          <w:tcPr>
            <w:tcW w:type="dxa" w:w="1531"/>
            <w:tcMar>
              <w:top w:w="65" w:type="dxa"/>
              <w:start w:w="75" w:type="dxa"/>
              <w:bottom w:w="65" w:type="dxa"/>
              <w:end w:w="75" w:type="dxa"/>
            </w:tcMar>
            <w:vAlign w:val="top"/>
          </w:tcPr>
          <w:p>
            <w:pPr>
              <w:spacing w:line="240" w:lineRule="auto" w:after="0"/>
              <w:jc w:val="left"/>
            </w:pPr>
            <w:r>
              <w:rPr>
                <w:rFonts w:ascii="Tinos" w:hAnsi="Tinos" w:eastAsia="Tinos"/>
                <w:sz w:val="15"/>
              </w:rPr>
              <w:t>Arabi et al., 2023</w:t>
            </w:r>
          </w:p>
        </w:tc>
      </w:tr>
      <w:tr>
        <w:trPr>
          <w:cantSplit/>
        </w:trPr>
        <w:tc>
          <w:tcPr>
            <w:tcW w:type="dxa" w:w="2268"/>
            <w:tcMar>
              <w:top w:w="65" w:type="dxa"/>
              <w:start w:w="75" w:type="dxa"/>
              <w:bottom w:w="65" w:type="dxa"/>
              <w:end w:w="75" w:type="dxa"/>
            </w:tcMar>
            <w:vAlign w:val="top"/>
          </w:tcPr>
          <w:p>
            <w:pPr>
              <w:spacing w:line="240" w:lineRule="auto" w:after="0"/>
              <w:jc w:val="left"/>
            </w:pPr>
            <w:r>
              <w:rPr>
                <w:rFonts w:ascii="Tinos" w:hAnsi="Tinos" w:eastAsia="Tinos"/>
                <w:sz w:val="15"/>
              </w:rPr>
              <w:t>ICU mortality</w:t>
            </w:r>
          </w:p>
        </w:tc>
        <w:tc>
          <w:tcPr>
            <w:tcW w:type="dxa" w:w="2551"/>
            <w:tcMar>
              <w:top w:w="65" w:type="dxa"/>
              <w:start w:w="75" w:type="dxa"/>
              <w:bottom w:w="65" w:type="dxa"/>
              <w:end w:w="75" w:type="dxa"/>
            </w:tcMar>
            <w:vAlign w:val="top"/>
          </w:tcPr>
          <w:p>
            <w:pPr>
              <w:spacing w:line="240" w:lineRule="auto" w:after="0"/>
              <w:jc w:val="left"/>
            </w:pPr>
            <w:r>
              <w:rPr>
                <w:rFonts w:ascii="Tinos" w:hAnsi="Tinos" w:eastAsia="Tinos"/>
                <w:sz w:val="15"/>
              </w:rPr>
              <w:t>Baseline 30.4%</w:t>
            </w:r>
          </w:p>
        </w:tc>
        <w:tc>
          <w:tcPr>
            <w:tcW w:type="dxa" w:w="1701"/>
            <w:tcMar>
              <w:top w:w="65" w:type="dxa"/>
              <w:start w:w="75" w:type="dxa"/>
              <w:bottom w:w="65" w:type="dxa"/>
              <w:end w:w="75" w:type="dxa"/>
            </w:tcMar>
            <w:vAlign w:val="top"/>
          </w:tcPr>
          <w:p>
            <w:pPr>
              <w:spacing w:line="240" w:lineRule="auto" w:after="0"/>
              <w:jc w:val="left"/>
            </w:pPr>
            <w:r>
              <w:rPr>
                <w:rFonts w:ascii="Tinos" w:hAnsi="Tinos" w:eastAsia="Tinos"/>
                <w:sz w:val="15"/>
              </w:rPr>
              <w:t>1.6% monthly decrease</w:t>
            </w:r>
          </w:p>
        </w:tc>
        <w:tc>
          <w:tcPr>
            <w:tcW w:type="dxa" w:w="1871"/>
            <w:tcMar>
              <w:top w:w="65" w:type="dxa"/>
              <w:start w:w="75" w:type="dxa"/>
              <w:bottom w:w="65" w:type="dxa"/>
              <w:end w:w="75" w:type="dxa"/>
            </w:tcMar>
            <w:vAlign w:val="top"/>
          </w:tcPr>
          <w:p>
            <w:pPr>
              <w:spacing w:line="240" w:lineRule="auto" w:after="0"/>
              <w:jc w:val="left"/>
            </w:pPr>
            <w:r>
              <w:rPr>
                <w:rFonts w:ascii="Tinos" w:hAnsi="Tinos" w:eastAsia="Tinos"/>
                <w:sz w:val="15"/>
              </w:rPr>
              <w:t>p = 0.0067</w:t>
            </w:r>
          </w:p>
        </w:tc>
        <w:tc>
          <w:tcPr>
            <w:tcW w:type="dxa" w:w="1531"/>
            <w:tcMar>
              <w:top w:w="65" w:type="dxa"/>
              <w:start w:w="75" w:type="dxa"/>
              <w:bottom w:w="65" w:type="dxa"/>
              <w:end w:w="75" w:type="dxa"/>
            </w:tcMar>
            <w:vAlign w:val="top"/>
          </w:tcPr>
          <w:p>
            <w:pPr>
              <w:spacing w:line="240" w:lineRule="auto" w:after="0"/>
              <w:jc w:val="left"/>
            </w:pPr>
            <w:r>
              <w:rPr>
                <w:rFonts w:ascii="Tinos" w:hAnsi="Tinos" w:eastAsia="Tinos"/>
                <w:sz w:val="15"/>
              </w:rPr>
              <w:t>Arabi et al., 2023</w:t>
            </w:r>
          </w:p>
        </w:tc>
      </w:tr>
      <w:tr>
        <w:trPr>
          <w:cantSplit/>
        </w:trPr>
        <w:tc>
          <w:tcPr>
            <w:tcW w:type="dxa" w:w="2268"/>
            <w:tcMar>
              <w:top w:w="65" w:type="dxa"/>
              <w:start w:w="75" w:type="dxa"/>
              <w:bottom w:w="65" w:type="dxa"/>
              <w:end w:w="75" w:type="dxa"/>
            </w:tcMar>
            <w:vAlign w:val="top"/>
          </w:tcPr>
          <w:p>
            <w:pPr>
              <w:spacing w:line="240" w:lineRule="auto" w:after="0"/>
              <w:jc w:val="left"/>
            </w:pPr>
            <w:r>
              <w:rPr>
                <w:rFonts w:ascii="Tinos" w:hAnsi="Tinos" w:eastAsia="Tinos"/>
                <w:sz w:val="15"/>
              </w:rPr>
              <w:t>VAE, MV duration, ICU LOS</w:t>
            </w:r>
          </w:p>
        </w:tc>
        <w:tc>
          <w:tcPr>
            <w:tcW w:type="dxa" w:w="2551"/>
            <w:tcMar>
              <w:top w:w="65" w:type="dxa"/>
              <w:start w:w="75" w:type="dxa"/>
              <w:bottom w:w="65" w:type="dxa"/>
              <w:end w:w="75" w:type="dxa"/>
            </w:tcMar>
            <w:vAlign w:val="top"/>
          </w:tcPr>
          <w:p>
            <w:pPr>
              <w:spacing w:line="240" w:lineRule="auto" w:after="0"/>
              <w:jc w:val="left"/>
            </w:pPr>
            <w:r>
              <w:rPr>
                <w:rFonts w:ascii="Tinos" w:hAnsi="Tinos" w:eastAsia="Tinos"/>
                <w:sz w:val="15"/>
              </w:rPr>
              <w:t>No significant improvement</w:t>
            </w:r>
          </w:p>
        </w:tc>
        <w:tc>
          <w:tcPr>
            <w:tcW w:type="dxa" w:w="1701"/>
            <w:tcMar>
              <w:top w:w="65" w:type="dxa"/>
              <w:start w:w="75" w:type="dxa"/>
              <w:bottom w:w="65" w:type="dxa"/>
              <w:end w:w="75" w:type="dxa"/>
            </w:tcMar>
            <w:vAlign w:val="top"/>
          </w:tcPr>
          <w:p>
            <w:pPr>
              <w:spacing w:line="240" w:lineRule="auto" w:after="0"/>
              <w:jc w:val="left"/>
            </w:pPr>
            <w:r>
              <w:rPr>
                <w:rFonts w:ascii="Tinos" w:hAnsi="Tinos" w:eastAsia="Tinos"/>
                <w:sz w:val="15"/>
              </w:rPr>
              <w:t>Mixed outcome</w:t>
            </w:r>
          </w:p>
        </w:tc>
        <w:tc>
          <w:tcPr>
            <w:tcW w:type="dxa" w:w="1871"/>
            <w:tcMar>
              <w:top w:w="65" w:type="dxa"/>
              <w:start w:w="75" w:type="dxa"/>
              <w:bottom w:w="65" w:type="dxa"/>
              <w:end w:w="75" w:type="dxa"/>
            </w:tcMar>
            <w:vAlign w:val="top"/>
          </w:tcPr>
          <w:p>
            <w:pPr>
              <w:spacing w:line="240" w:lineRule="auto" w:after="0"/>
              <w:jc w:val="left"/>
            </w:pPr>
            <w:r>
              <w:rPr>
                <w:rFonts w:ascii="Tinos" w:hAnsi="Tinos" w:eastAsia="Tinos"/>
                <w:sz w:val="15"/>
              </w:rPr>
              <w:t>VAE p = 0.2812</w:t>
            </w:r>
          </w:p>
        </w:tc>
        <w:tc>
          <w:tcPr>
            <w:tcW w:type="dxa" w:w="1531"/>
            <w:tcMar>
              <w:top w:w="65" w:type="dxa"/>
              <w:start w:w="75" w:type="dxa"/>
              <w:bottom w:w="65" w:type="dxa"/>
              <w:end w:w="75" w:type="dxa"/>
            </w:tcMar>
            <w:vAlign w:val="top"/>
          </w:tcPr>
          <w:p>
            <w:pPr>
              <w:spacing w:line="240" w:lineRule="auto" w:after="0"/>
              <w:jc w:val="left"/>
            </w:pPr>
            <w:r>
              <w:rPr>
                <w:rFonts w:ascii="Tinos" w:hAnsi="Tinos" w:eastAsia="Tinos"/>
                <w:sz w:val="15"/>
              </w:rPr>
              <w:t>Arabi et al., 2023</w:t>
            </w:r>
          </w:p>
        </w:tc>
      </w:tr>
    </w:tbl>
    <w:p>
      <w:pPr>
        <w:spacing w:before="60" w:after="140"/>
        <w:jc w:val="center"/>
      </w:pPr>
      <w:r>
        <w:rPr>
          <w:rFonts w:ascii="Tinos" w:hAnsi="Tinos" w:eastAsia="Tinos"/>
          <w:b/>
          <w:sz w:val="20"/>
        </w:rPr>
        <w:t>Table 4.3  Respiratory resource optimization findings</w:t>
      </w:r>
    </w:p>
    <w:p>
      <w:pPr>
        <w:spacing w:line="312" w:lineRule="auto" w:after="100"/>
        <w:ind w:firstLine="369"/>
        <w:jc w:val="both"/>
      </w:pPr>
      <w:r>
        <w:rPr>
          <w:rFonts w:ascii="Tinos" w:hAnsi="Tinos" w:eastAsia="Tinos"/>
        </w:rPr>
        <w:t>Both respiratory studies support daily care bundles and regular monitoring of compliance. In the Bukhari study, higher compliance was associated with a lower VAP rate and an estimated cost reduction. The national project showed that daily ventilator-care practices could improve across a large group of hospitals. Still, ventilator-associated events, ventilation duration, and ICU length of stay did not decline, meaning that stronger compliance was not followed by immediate improvement in every measured outcome.</w:t>
      </w:r>
    </w:p>
    <w:p>
      <w:pPr>
        <w:pStyle w:val="Heading2"/>
      </w:pPr>
      <w:r>
        <w:t>4.5 Organizational and Efficiency Findings</w:t>
      </w:r>
    </w:p>
    <w:tbl>
      <w:tblPr>
        <w:tblW w:type="auto" w:w="0"/>
        <w:jc w:val="center"/>
        <w:tblLayout w:type="fixed"/>
        <w:tblLook w:firstColumn="1" w:firstRow="1" w:lastColumn="0" w:lastRow="0" w:noHBand="0" w:noVBand="1" w:val="04A0"/>
        <w:tblBorders>
          <w:top w:val="single" w:sz="4" w:color="9EADBA"/>
          <w:left w:val="single" w:sz="4" w:color="9EADBA"/>
          <w:bottom w:val="single" w:sz="4" w:color="9EADBA"/>
          <w:right w:val="single" w:sz="4" w:color="9EADBA"/>
          <w:insideH w:val="single" w:sz="4" w:color="9EADBA"/>
          <w:insideV w:val="single" w:sz="4" w:color="9EADBA"/>
        </w:tblBorders>
      </w:tblPr>
      <w:tblGrid>
        <w:gridCol w:w="1837"/>
        <w:gridCol w:w="1837"/>
        <w:gridCol w:w="1837"/>
        <w:gridCol w:w="1837"/>
        <w:gridCol w:w="1837"/>
      </w:tblGrid>
      <w:tr>
        <w:trPr>
          <w:tblHeader w:val="true"/>
          <w:cantSplit/>
        </w:trPr>
        <w:tc>
          <w:tcPr>
            <w:tcW w:type="dxa" w:w="2268"/>
            <w:shd w:fill="D9EAF7"/>
            <w:tcMar>
              <w:top w:w="65" w:type="dxa"/>
              <w:start w:w="75" w:type="dxa"/>
              <w:bottom w:w="65" w:type="dxa"/>
              <w:end w:w="75" w:type="dxa"/>
            </w:tcMar>
            <w:vAlign w:val="center"/>
          </w:tcPr>
          <w:p>
            <w:pPr>
              <w:spacing w:after="0"/>
              <w:jc w:val="center"/>
            </w:pPr>
            <w:r>
              <w:rPr>
                <w:rFonts w:ascii="Tinos" w:hAnsi="Tinos" w:eastAsia="Tinos"/>
                <w:b/>
                <w:sz w:val="15"/>
              </w:rPr>
              <w:t>Outcome</w:t>
            </w:r>
          </w:p>
        </w:tc>
        <w:tc>
          <w:tcPr>
            <w:tcW w:type="dxa" w:w="2041"/>
            <w:shd w:fill="D9EAF7"/>
            <w:tcMar>
              <w:top w:w="65" w:type="dxa"/>
              <w:start w:w="75" w:type="dxa"/>
              <w:bottom w:w="65" w:type="dxa"/>
              <w:end w:w="75" w:type="dxa"/>
            </w:tcMar>
            <w:vAlign w:val="center"/>
          </w:tcPr>
          <w:p>
            <w:pPr>
              <w:spacing w:after="0"/>
              <w:jc w:val="center"/>
            </w:pPr>
            <w:r>
              <w:rPr>
                <w:rFonts w:ascii="Tinos" w:hAnsi="Tinos" w:eastAsia="Tinos"/>
                <w:b/>
                <w:sz w:val="15"/>
              </w:rPr>
              <w:t>Values</w:t>
            </w:r>
          </w:p>
        </w:tc>
        <w:tc>
          <w:tcPr>
            <w:tcW w:type="dxa" w:w="2665"/>
            <w:shd w:fill="D9EAF7"/>
            <w:tcMar>
              <w:top w:w="65" w:type="dxa"/>
              <w:start w:w="75" w:type="dxa"/>
              <w:bottom w:w="65" w:type="dxa"/>
              <w:end w:w="75" w:type="dxa"/>
            </w:tcMar>
            <w:vAlign w:val="center"/>
          </w:tcPr>
          <w:p>
            <w:pPr>
              <w:spacing w:after="0"/>
              <w:jc w:val="center"/>
            </w:pPr>
            <w:r>
              <w:rPr>
                <w:rFonts w:ascii="Tinos" w:hAnsi="Tinos" w:eastAsia="Tinos"/>
                <w:b/>
                <w:sz w:val="15"/>
              </w:rPr>
              <w:t>Interpretation</w:t>
            </w:r>
          </w:p>
        </w:tc>
        <w:tc>
          <w:tcPr>
            <w:tcW w:type="dxa" w:w="1814"/>
            <w:shd w:fill="D9EAF7"/>
            <w:tcMar>
              <w:top w:w="65" w:type="dxa"/>
              <w:start w:w="75" w:type="dxa"/>
              <w:bottom w:w="65" w:type="dxa"/>
              <w:end w:w="75" w:type="dxa"/>
            </w:tcMar>
            <w:vAlign w:val="center"/>
          </w:tcPr>
          <w:p>
            <w:pPr>
              <w:spacing w:after="0"/>
              <w:jc w:val="center"/>
            </w:pPr>
            <w:r>
              <w:rPr>
                <w:rFonts w:ascii="Tinos" w:hAnsi="Tinos" w:eastAsia="Tinos"/>
                <w:b/>
                <w:sz w:val="15"/>
              </w:rPr>
              <w:t>Statistical note</w:t>
            </w:r>
          </w:p>
        </w:tc>
        <w:tc>
          <w:tcPr>
            <w:tcW w:type="dxa" w:w="1531"/>
            <w:shd w:fill="D9EAF7"/>
            <w:tcMar>
              <w:top w:w="65" w:type="dxa"/>
              <w:start w:w="75" w:type="dxa"/>
              <w:bottom w:w="65" w:type="dxa"/>
              <w:end w:w="75" w:type="dxa"/>
            </w:tcMar>
            <w:vAlign w:val="center"/>
          </w:tcPr>
          <w:p>
            <w:pPr>
              <w:spacing w:after="0"/>
              <w:jc w:val="center"/>
            </w:pPr>
            <w:r>
              <w:rPr>
                <w:rFonts w:ascii="Tinos" w:hAnsi="Tinos" w:eastAsia="Tinos"/>
                <w:b/>
                <w:sz w:val="15"/>
              </w:rPr>
              <w:t>Source</w:t>
            </w:r>
          </w:p>
        </w:tc>
      </w:tr>
      <w:tr>
        <w:trPr>
          <w:cantSplit/>
        </w:trPr>
        <w:tc>
          <w:tcPr>
            <w:tcW w:type="dxa" w:w="2268"/>
            <w:tcMar>
              <w:top w:w="65" w:type="dxa"/>
              <w:start w:w="75" w:type="dxa"/>
              <w:bottom w:w="65" w:type="dxa"/>
              <w:end w:w="75" w:type="dxa"/>
            </w:tcMar>
            <w:vAlign w:val="top"/>
          </w:tcPr>
          <w:p>
            <w:pPr>
              <w:spacing w:line="240" w:lineRule="auto" w:after="0"/>
              <w:jc w:val="left"/>
            </w:pPr>
            <w:r>
              <w:rPr>
                <w:rFonts w:ascii="Tinos" w:hAnsi="Tinos" w:eastAsia="Tinos"/>
                <w:sz w:val="15"/>
              </w:rPr>
              <w:t>Technically inefficient hospitals</w:t>
            </w:r>
          </w:p>
        </w:tc>
        <w:tc>
          <w:tcPr>
            <w:tcW w:type="dxa" w:w="2041"/>
            <w:tcMar>
              <w:top w:w="65" w:type="dxa"/>
              <w:start w:w="75" w:type="dxa"/>
              <w:bottom w:w="65" w:type="dxa"/>
              <w:end w:w="75" w:type="dxa"/>
            </w:tcMar>
            <w:vAlign w:val="top"/>
          </w:tcPr>
          <w:p>
            <w:pPr>
              <w:spacing w:line="240" w:lineRule="auto" w:after="0"/>
              <w:jc w:val="left"/>
            </w:pPr>
            <w:r>
              <w:rPr>
                <w:rFonts w:ascii="Tinos" w:hAnsi="Tinos" w:eastAsia="Tinos"/>
                <w:sz w:val="15"/>
              </w:rPr>
              <w:t>69 of 91 hospitals</w:t>
            </w:r>
          </w:p>
        </w:tc>
        <w:tc>
          <w:tcPr>
            <w:tcW w:type="dxa" w:w="2665"/>
            <w:tcMar>
              <w:top w:w="65" w:type="dxa"/>
              <w:start w:w="75" w:type="dxa"/>
              <w:bottom w:w="65" w:type="dxa"/>
              <w:end w:w="75" w:type="dxa"/>
            </w:tcMar>
            <w:vAlign w:val="top"/>
          </w:tcPr>
          <w:p>
            <w:pPr>
              <w:spacing w:line="240" w:lineRule="auto" w:after="0"/>
              <w:jc w:val="left"/>
            </w:pPr>
            <w:r>
              <w:rPr>
                <w:rFonts w:ascii="Tinos" w:hAnsi="Tinos" w:eastAsia="Tinos"/>
                <w:sz w:val="15"/>
              </w:rPr>
              <w:t>75.8%</w:t>
            </w:r>
          </w:p>
        </w:tc>
        <w:tc>
          <w:tcPr>
            <w:tcW w:type="dxa" w:w="1814"/>
            <w:tcMar>
              <w:top w:w="65" w:type="dxa"/>
              <w:start w:w="75" w:type="dxa"/>
              <w:bottom w:w="65" w:type="dxa"/>
              <w:end w:w="75" w:type="dxa"/>
            </w:tcMar>
            <w:vAlign w:val="top"/>
          </w:tcPr>
          <w:p>
            <w:pPr>
              <w:spacing w:line="240" w:lineRule="auto" w:after="0"/>
              <w:jc w:val="left"/>
            </w:pPr>
            <w:r>
              <w:rPr>
                <w:rFonts w:ascii="Tinos" w:hAnsi="Tinos" w:eastAsia="Tinos"/>
                <w:sz w:val="15"/>
              </w:rPr>
              <w:t>DEA using 2017 MOH data</w:t>
            </w:r>
          </w:p>
        </w:tc>
        <w:tc>
          <w:tcPr>
            <w:tcW w:type="dxa" w:w="1531"/>
            <w:tcMar>
              <w:top w:w="65" w:type="dxa"/>
              <w:start w:w="75" w:type="dxa"/>
              <w:bottom w:w="65" w:type="dxa"/>
              <w:end w:w="75" w:type="dxa"/>
            </w:tcMar>
            <w:vAlign w:val="top"/>
          </w:tcPr>
          <w:p>
            <w:pPr>
              <w:spacing w:line="240" w:lineRule="auto" w:after="0"/>
              <w:jc w:val="left"/>
            </w:pPr>
            <w:r>
              <w:rPr>
                <w:rFonts w:ascii="Tinos" w:hAnsi="Tinos" w:eastAsia="Tinos"/>
                <w:sz w:val="15"/>
              </w:rPr>
              <w:t>Alatawi et al., 2020</w:t>
            </w:r>
          </w:p>
        </w:tc>
      </w:tr>
      <w:tr>
        <w:trPr>
          <w:cantSplit/>
        </w:trPr>
        <w:tc>
          <w:tcPr>
            <w:tcW w:type="dxa" w:w="2268"/>
            <w:tcMar>
              <w:top w:w="65" w:type="dxa"/>
              <w:start w:w="75" w:type="dxa"/>
              <w:bottom w:w="65" w:type="dxa"/>
              <w:end w:w="75" w:type="dxa"/>
            </w:tcMar>
            <w:vAlign w:val="top"/>
          </w:tcPr>
          <w:p>
            <w:pPr>
              <w:spacing w:line="240" w:lineRule="auto" w:after="0"/>
              <w:jc w:val="left"/>
            </w:pPr>
            <w:r>
              <w:rPr>
                <w:rFonts w:ascii="Tinos" w:hAnsi="Tinos" w:eastAsia="Tinos"/>
                <w:sz w:val="15"/>
              </w:rPr>
              <w:t>Mean CRS efficiency score</w:t>
            </w:r>
          </w:p>
        </w:tc>
        <w:tc>
          <w:tcPr>
            <w:tcW w:type="dxa" w:w="2041"/>
            <w:tcMar>
              <w:top w:w="65" w:type="dxa"/>
              <w:start w:w="75" w:type="dxa"/>
              <w:bottom w:w="65" w:type="dxa"/>
              <w:end w:w="75" w:type="dxa"/>
            </w:tcMar>
            <w:vAlign w:val="top"/>
          </w:tcPr>
          <w:p>
            <w:pPr>
              <w:spacing w:line="240" w:lineRule="auto" w:after="0"/>
              <w:jc w:val="left"/>
            </w:pPr>
            <w:r>
              <w:rPr>
                <w:rFonts w:ascii="Tinos" w:hAnsi="Tinos" w:eastAsia="Tinos"/>
                <w:sz w:val="15"/>
              </w:rPr>
              <w:t>0.76</w:t>
            </w:r>
          </w:p>
        </w:tc>
        <w:tc>
          <w:tcPr>
            <w:tcW w:type="dxa" w:w="2665"/>
            <w:tcMar>
              <w:top w:w="65" w:type="dxa"/>
              <w:start w:w="75" w:type="dxa"/>
              <w:bottom w:w="65" w:type="dxa"/>
              <w:end w:w="75" w:type="dxa"/>
            </w:tcMar>
            <w:vAlign w:val="top"/>
          </w:tcPr>
          <w:p>
            <w:pPr>
              <w:spacing w:line="240" w:lineRule="auto" w:after="0"/>
              <w:jc w:val="left"/>
            </w:pPr>
            <w:r>
              <w:rPr>
                <w:rFonts w:ascii="Tinos" w:hAnsi="Tinos" w:eastAsia="Tinos"/>
                <w:sz w:val="15"/>
              </w:rPr>
              <w:t>Estimated 24% input-reduction opportunity at unchanged output</w:t>
            </w:r>
          </w:p>
        </w:tc>
        <w:tc>
          <w:tcPr>
            <w:tcW w:type="dxa" w:w="1814"/>
            <w:tcMar>
              <w:top w:w="65" w:type="dxa"/>
              <w:start w:w="75" w:type="dxa"/>
              <w:bottom w:w="65" w:type="dxa"/>
              <w:end w:w="75" w:type="dxa"/>
            </w:tcMar>
            <w:vAlign w:val="top"/>
          </w:tcPr>
          <w:p>
            <w:pPr>
              <w:spacing w:line="240" w:lineRule="auto" w:after="0"/>
              <w:jc w:val="left"/>
            </w:pPr>
            <w:r>
              <w:rPr>
                <w:rFonts w:ascii="Tinos" w:hAnsi="Tinos" w:eastAsia="Tinos"/>
                <w:sz w:val="15"/>
              </w:rPr>
              <w:t>Input-oriented interpretation</w:t>
            </w:r>
          </w:p>
        </w:tc>
        <w:tc>
          <w:tcPr>
            <w:tcW w:type="dxa" w:w="1531"/>
            <w:tcMar>
              <w:top w:w="65" w:type="dxa"/>
              <w:start w:w="75" w:type="dxa"/>
              <w:bottom w:w="65" w:type="dxa"/>
              <w:end w:w="75" w:type="dxa"/>
            </w:tcMar>
            <w:vAlign w:val="top"/>
          </w:tcPr>
          <w:p>
            <w:pPr>
              <w:spacing w:line="240" w:lineRule="auto" w:after="0"/>
              <w:jc w:val="left"/>
            </w:pPr>
            <w:r>
              <w:rPr>
                <w:rFonts w:ascii="Tinos" w:hAnsi="Tinos" w:eastAsia="Tinos"/>
                <w:sz w:val="15"/>
              </w:rPr>
              <w:t>Alatawi et al., 2020</w:t>
            </w:r>
          </w:p>
        </w:tc>
      </w:tr>
      <w:tr>
        <w:trPr>
          <w:cantSplit/>
        </w:trPr>
        <w:tc>
          <w:tcPr>
            <w:tcW w:type="dxa" w:w="2268"/>
            <w:tcMar>
              <w:top w:w="65" w:type="dxa"/>
              <w:start w:w="75" w:type="dxa"/>
              <w:bottom w:w="65" w:type="dxa"/>
              <w:end w:w="75" w:type="dxa"/>
            </w:tcMar>
            <w:vAlign w:val="top"/>
          </w:tcPr>
          <w:p>
            <w:pPr>
              <w:spacing w:line="240" w:lineRule="auto" w:after="0"/>
              <w:jc w:val="left"/>
            </w:pPr>
            <w:r>
              <w:rPr>
                <w:rFonts w:ascii="Tinos" w:hAnsi="Tinos" w:eastAsia="Tinos"/>
                <w:sz w:val="15"/>
              </w:rPr>
              <w:t>Efficient hospitals</w:t>
            </w:r>
          </w:p>
        </w:tc>
        <w:tc>
          <w:tcPr>
            <w:tcW w:type="dxa" w:w="2041"/>
            <w:tcMar>
              <w:top w:w="65" w:type="dxa"/>
              <w:start w:w="75" w:type="dxa"/>
              <w:bottom w:w="65" w:type="dxa"/>
              <w:end w:w="75" w:type="dxa"/>
            </w:tcMar>
            <w:vAlign w:val="top"/>
          </w:tcPr>
          <w:p>
            <w:pPr>
              <w:spacing w:line="240" w:lineRule="auto" w:after="0"/>
              <w:jc w:val="left"/>
            </w:pPr>
            <w:r>
              <w:rPr>
                <w:rFonts w:ascii="Tinos" w:hAnsi="Tinos" w:eastAsia="Tinos"/>
                <w:sz w:val="15"/>
              </w:rPr>
              <w:t>22 of 91</w:t>
            </w:r>
          </w:p>
        </w:tc>
        <w:tc>
          <w:tcPr>
            <w:tcW w:type="dxa" w:w="2665"/>
            <w:tcMar>
              <w:top w:w="65" w:type="dxa"/>
              <w:start w:w="75" w:type="dxa"/>
              <w:bottom w:w="65" w:type="dxa"/>
              <w:end w:w="75" w:type="dxa"/>
            </w:tcMar>
            <w:vAlign w:val="top"/>
          </w:tcPr>
          <w:p>
            <w:pPr>
              <w:spacing w:line="240" w:lineRule="auto" w:after="0"/>
              <w:jc w:val="left"/>
            </w:pPr>
            <w:r>
              <w:rPr>
                <w:rFonts w:ascii="Tinos" w:hAnsi="Tinos" w:eastAsia="Tinos"/>
                <w:sz w:val="15"/>
              </w:rPr>
              <w:t>24.2%</w:t>
            </w:r>
          </w:p>
        </w:tc>
        <w:tc>
          <w:tcPr>
            <w:tcW w:type="dxa" w:w="1814"/>
            <w:tcMar>
              <w:top w:w="65" w:type="dxa"/>
              <w:start w:w="75" w:type="dxa"/>
              <w:bottom w:w="65" w:type="dxa"/>
              <w:end w:w="75" w:type="dxa"/>
            </w:tcMar>
            <w:vAlign w:val="top"/>
          </w:tcPr>
          <w:p>
            <w:pPr>
              <w:spacing w:line="240" w:lineRule="auto" w:after="0"/>
              <w:jc w:val="left"/>
            </w:pPr>
            <w:r>
              <w:rPr>
                <w:rFonts w:ascii="Tinos" w:hAnsi="Tinos" w:eastAsia="Tinos"/>
                <w:sz w:val="15"/>
              </w:rPr>
              <w:t>Technically and scale efficient</w:t>
            </w:r>
          </w:p>
        </w:tc>
        <w:tc>
          <w:tcPr>
            <w:tcW w:type="dxa" w:w="1531"/>
            <w:tcMar>
              <w:top w:w="65" w:type="dxa"/>
              <w:start w:w="75" w:type="dxa"/>
              <w:bottom w:w="65" w:type="dxa"/>
              <w:end w:w="75" w:type="dxa"/>
            </w:tcMar>
            <w:vAlign w:val="top"/>
          </w:tcPr>
          <w:p>
            <w:pPr>
              <w:spacing w:line="240" w:lineRule="auto" w:after="0"/>
              <w:jc w:val="left"/>
            </w:pPr>
            <w:r>
              <w:rPr>
                <w:rFonts w:ascii="Tinos" w:hAnsi="Tinos" w:eastAsia="Tinos"/>
                <w:sz w:val="15"/>
              </w:rPr>
              <w:t>Alatawi et al., 2020</w:t>
            </w:r>
          </w:p>
        </w:tc>
      </w:tr>
      <w:tr>
        <w:trPr>
          <w:cantSplit/>
        </w:trPr>
        <w:tc>
          <w:tcPr>
            <w:tcW w:type="dxa" w:w="2268"/>
            <w:tcMar>
              <w:top w:w="65" w:type="dxa"/>
              <w:start w:w="75" w:type="dxa"/>
              <w:bottom w:w="65" w:type="dxa"/>
              <w:end w:w="75" w:type="dxa"/>
            </w:tcMar>
            <w:vAlign w:val="top"/>
          </w:tcPr>
          <w:p>
            <w:pPr>
              <w:spacing w:line="240" w:lineRule="auto" w:after="0"/>
              <w:jc w:val="left"/>
            </w:pPr>
            <w:r>
              <w:rPr>
                <w:rFonts w:ascii="Tinos" w:hAnsi="Tinos" w:eastAsia="Tinos"/>
                <w:sz w:val="15"/>
              </w:rPr>
              <w:t>Standard mortality ratio</w:t>
            </w:r>
          </w:p>
        </w:tc>
        <w:tc>
          <w:tcPr>
            <w:tcW w:type="dxa" w:w="2041"/>
            <w:tcMar>
              <w:top w:w="65" w:type="dxa"/>
              <w:start w:w="75" w:type="dxa"/>
              <w:bottom w:w="65" w:type="dxa"/>
              <w:end w:w="75" w:type="dxa"/>
            </w:tcMar>
            <w:vAlign w:val="top"/>
          </w:tcPr>
          <w:p>
            <w:pPr>
              <w:spacing w:line="240" w:lineRule="auto" w:after="0"/>
              <w:jc w:val="left"/>
            </w:pPr>
            <w:r>
              <w:rPr>
                <w:rFonts w:ascii="Tinos" w:hAnsi="Tinos" w:eastAsia="Tinos"/>
                <w:sz w:val="15"/>
              </w:rPr>
              <w:t>0.575 to 0.399</w:t>
            </w:r>
          </w:p>
        </w:tc>
        <w:tc>
          <w:tcPr>
            <w:tcW w:type="dxa" w:w="2665"/>
            <w:tcMar>
              <w:top w:w="65" w:type="dxa"/>
              <w:start w:w="75" w:type="dxa"/>
              <w:bottom w:w="65" w:type="dxa"/>
              <w:end w:w="75" w:type="dxa"/>
            </w:tcMar>
            <w:vAlign w:val="top"/>
          </w:tcPr>
          <w:p>
            <w:pPr>
              <w:spacing w:line="240" w:lineRule="auto" w:after="0"/>
              <w:jc w:val="left"/>
            </w:pPr>
            <w:r>
              <w:rPr>
                <w:rFonts w:ascii="Tinos" w:hAnsi="Tinos" w:eastAsia="Tinos"/>
                <w:sz w:val="15"/>
              </w:rPr>
              <w:t>30.6% reduction</w:t>
            </w:r>
          </w:p>
        </w:tc>
        <w:tc>
          <w:tcPr>
            <w:tcW w:type="dxa" w:w="1814"/>
            <w:tcMar>
              <w:top w:w="65" w:type="dxa"/>
              <w:start w:w="75" w:type="dxa"/>
              <w:bottom w:w="65" w:type="dxa"/>
              <w:end w:w="75" w:type="dxa"/>
            </w:tcMar>
            <w:vAlign w:val="top"/>
          </w:tcPr>
          <w:p>
            <w:pPr>
              <w:spacing w:line="240" w:lineRule="auto" w:after="0"/>
              <w:jc w:val="left"/>
            </w:pPr>
            <w:r>
              <w:rPr>
                <w:rFonts w:ascii="Tinos" w:hAnsi="Tinos" w:eastAsia="Tinos"/>
                <w:sz w:val="15"/>
              </w:rPr>
              <w:t>p = 0.169</w:t>
            </w:r>
          </w:p>
        </w:tc>
        <w:tc>
          <w:tcPr>
            <w:tcW w:type="dxa" w:w="1531"/>
            <w:tcMar>
              <w:top w:w="65" w:type="dxa"/>
              <w:start w:w="75" w:type="dxa"/>
              <w:bottom w:w="65" w:type="dxa"/>
              <w:end w:w="75" w:type="dxa"/>
            </w:tcMar>
            <w:vAlign w:val="top"/>
          </w:tcPr>
          <w:p>
            <w:pPr>
              <w:spacing w:line="240" w:lineRule="auto" w:after="0"/>
              <w:jc w:val="left"/>
            </w:pPr>
            <w:r>
              <w:rPr>
                <w:rFonts w:ascii="Tinos" w:hAnsi="Tinos" w:eastAsia="Tinos"/>
                <w:sz w:val="15"/>
              </w:rPr>
              <w:t>Alarifi et al., 2024</w:t>
            </w:r>
          </w:p>
        </w:tc>
      </w:tr>
      <w:tr>
        <w:trPr>
          <w:cantSplit/>
        </w:trPr>
        <w:tc>
          <w:tcPr>
            <w:tcW w:type="dxa" w:w="2268"/>
            <w:tcMar>
              <w:top w:w="65" w:type="dxa"/>
              <w:start w:w="75" w:type="dxa"/>
              <w:bottom w:w="65" w:type="dxa"/>
              <w:end w:w="75" w:type="dxa"/>
            </w:tcMar>
            <w:vAlign w:val="top"/>
          </w:tcPr>
          <w:p>
            <w:pPr>
              <w:spacing w:line="240" w:lineRule="auto" w:after="0"/>
              <w:jc w:val="left"/>
            </w:pPr>
            <w:r>
              <w:rPr>
                <w:rFonts w:ascii="Tinos" w:hAnsi="Tinos" w:eastAsia="Tinos"/>
                <w:sz w:val="15"/>
              </w:rPr>
              <w:t>ICU length of stay</w:t>
            </w:r>
          </w:p>
        </w:tc>
        <w:tc>
          <w:tcPr>
            <w:tcW w:type="dxa" w:w="2041"/>
            <w:tcMar>
              <w:top w:w="65" w:type="dxa"/>
              <w:start w:w="75" w:type="dxa"/>
              <w:bottom w:w="65" w:type="dxa"/>
              <w:end w:w="75" w:type="dxa"/>
            </w:tcMar>
            <w:vAlign w:val="top"/>
          </w:tcPr>
          <w:p>
            <w:pPr>
              <w:spacing w:line="240" w:lineRule="auto" w:after="0"/>
              <w:jc w:val="left"/>
            </w:pPr>
            <w:r>
              <w:rPr>
                <w:rFonts w:ascii="Tinos" w:hAnsi="Tinos" w:eastAsia="Tinos"/>
                <w:sz w:val="15"/>
              </w:rPr>
              <w:t>4.989 to 4.481 days</w:t>
            </w:r>
          </w:p>
        </w:tc>
        <w:tc>
          <w:tcPr>
            <w:tcW w:type="dxa" w:w="2665"/>
            <w:tcMar>
              <w:top w:w="65" w:type="dxa"/>
              <w:start w:w="75" w:type="dxa"/>
              <w:bottom w:w="65" w:type="dxa"/>
              <w:end w:w="75" w:type="dxa"/>
            </w:tcMar>
            <w:vAlign w:val="top"/>
          </w:tcPr>
          <w:p>
            <w:pPr>
              <w:spacing w:line="240" w:lineRule="auto" w:after="0"/>
              <w:jc w:val="left"/>
            </w:pPr>
            <w:r>
              <w:rPr>
                <w:rFonts w:ascii="Tinos" w:hAnsi="Tinos" w:eastAsia="Tinos"/>
                <w:sz w:val="15"/>
              </w:rPr>
              <w:t>10.2% reduction</w:t>
            </w:r>
          </w:p>
        </w:tc>
        <w:tc>
          <w:tcPr>
            <w:tcW w:type="dxa" w:w="1814"/>
            <w:tcMar>
              <w:top w:w="65" w:type="dxa"/>
              <w:start w:w="75" w:type="dxa"/>
              <w:bottom w:w="65" w:type="dxa"/>
              <w:end w:w="75" w:type="dxa"/>
            </w:tcMar>
            <w:vAlign w:val="top"/>
          </w:tcPr>
          <w:p>
            <w:pPr>
              <w:spacing w:line="240" w:lineRule="auto" w:after="0"/>
              <w:jc w:val="left"/>
            </w:pPr>
            <w:r>
              <w:rPr>
                <w:rFonts w:ascii="Tinos" w:hAnsi="Tinos" w:eastAsia="Tinos"/>
                <w:sz w:val="15"/>
              </w:rPr>
              <w:t>p = 0.329</w:t>
            </w:r>
          </w:p>
        </w:tc>
        <w:tc>
          <w:tcPr>
            <w:tcW w:type="dxa" w:w="1531"/>
            <w:tcMar>
              <w:top w:w="65" w:type="dxa"/>
              <w:start w:w="75" w:type="dxa"/>
              <w:bottom w:w="65" w:type="dxa"/>
              <w:end w:w="75" w:type="dxa"/>
            </w:tcMar>
            <w:vAlign w:val="top"/>
          </w:tcPr>
          <w:p>
            <w:pPr>
              <w:spacing w:line="240" w:lineRule="auto" w:after="0"/>
              <w:jc w:val="left"/>
            </w:pPr>
            <w:r>
              <w:rPr>
                <w:rFonts w:ascii="Tinos" w:hAnsi="Tinos" w:eastAsia="Tinos"/>
                <w:sz w:val="15"/>
              </w:rPr>
              <w:t>Alarifi et al., 2024</w:t>
            </w:r>
          </w:p>
        </w:tc>
      </w:tr>
      <w:tr>
        <w:trPr>
          <w:cantSplit/>
        </w:trPr>
        <w:tc>
          <w:tcPr>
            <w:tcW w:type="dxa" w:w="2268"/>
            <w:tcMar>
              <w:top w:w="65" w:type="dxa"/>
              <w:start w:w="75" w:type="dxa"/>
              <w:bottom w:w="65" w:type="dxa"/>
              <w:end w:w="75" w:type="dxa"/>
            </w:tcMar>
            <w:vAlign w:val="top"/>
          </w:tcPr>
          <w:p>
            <w:pPr>
              <w:spacing w:line="240" w:lineRule="auto" w:after="0"/>
              <w:jc w:val="left"/>
            </w:pPr>
            <w:r>
              <w:rPr>
                <w:rFonts w:ascii="Tinos" w:hAnsi="Tinos" w:eastAsia="Tinos"/>
                <w:sz w:val="15"/>
              </w:rPr>
              <w:t>Bed occupancy</w:t>
            </w:r>
          </w:p>
        </w:tc>
        <w:tc>
          <w:tcPr>
            <w:tcW w:type="dxa" w:w="2041"/>
            <w:tcMar>
              <w:top w:w="65" w:type="dxa"/>
              <w:start w:w="75" w:type="dxa"/>
              <w:bottom w:w="65" w:type="dxa"/>
              <w:end w:w="75" w:type="dxa"/>
            </w:tcMar>
            <w:vAlign w:val="top"/>
          </w:tcPr>
          <w:p>
            <w:pPr>
              <w:spacing w:line="240" w:lineRule="auto" w:after="0"/>
              <w:jc w:val="left"/>
            </w:pPr>
            <w:r>
              <w:rPr>
                <w:rFonts w:ascii="Tinos" w:hAnsi="Tinos" w:eastAsia="Tinos"/>
                <w:sz w:val="15"/>
              </w:rPr>
              <w:t>91.00% to 72.08%</w:t>
            </w:r>
          </w:p>
        </w:tc>
        <w:tc>
          <w:tcPr>
            <w:tcW w:type="dxa" w:w="2665"/>
            <w:tcMar>
              <w:top w:w="65" w:type="dxa"/>
              <w:start w:w="75" w:type="dxa"/>
              <w:bottom w:w="65" w:type="dxa"/>
              <w:end w:w="75" w:type="dxa"/>
            </w:tcMar>
            <w:vAlign w:val="top"/>
          </w:tcPr>
          <w:p>
            <w:pPr>
              <w:spacing w:line="240" w:lineRule="auto" w:after="0"/>
              <w:jc w:val="left"/>
            </w:pPr>
            <w:r>
              <w:rPr>
                <w:rFonts w:ascii="Tinos" w:hAnsi="Tinos" w:eastAsia="Tinos"/>
                <w:sz w:val="15"/>
              </w:rPr>
              <w:t>20.8% reduction</w:t>
            </w:r>
          </w:p>
        </w:tc>
        <w:tc>
          <w:tcPr>
            <w:tcW w:type="dxa" w:w="1814"/>
            <w:tcMar>
              <w:top w:w="65" w:type="dxa"/>
              <w:start w:w="75" w:type="dxa"/>
              <w:bottom w:w="65" w:type="dxa"/>
              <w:end w:w="75" w:type="dxa"/>
            </w:tcMar>
            <w:vAlign w:val="top"/>
          </w:tcPr>
          <w:p>
            <w:pPr>
              <w:spacing w:line="240" w:lineRule="auto" w:after="0"/>
              <w:jc w:val="left"/>
            </w:pPr>
            <w:r>
              <w:rPr>
                <w:rFonts w:ascii="Tinos" w:hAnsi="Tinos" w:eastAsia="Tinos"/>
                <w:sz w:val="15"/>
              </w:rPr>
              <w:t>p &lt; 0.001</w:t>
            </w:r>
          </w:p>
        </w:tc>
        <w:tc>
          <w:tcPr>
            <w:tcW w:type="dxa" w:w="1531"/>
            <w:tcMar>
              <w:top w:w="65" w:type="dxa"/>
              <w:start w:w="75" w:type="dxa"/>
              <w:bottom w:w="65" w:type="dxa"/>
              <w:end w:w="75" w:type="dxa"/>
            </w:tcMar>
            <w:vAlign w:val="top"/>
          </w:tcPr>
          <w:p>
            <w:pPr>
              <w:spacing w:line="240" w:lineRule="auto" w:after="0"/>
              <w:jc w:val="left"/>
            </w:pPr>
            <w:r>
              <w:rPr>
                <w:rFonts w:ascii="Tinos" w:hAnsi="Tinos" w:eastAsia="Tinos"/>
                <w:sz w:val="15"/>
              </w:rPr>
              <w:t>Alarifi et al., 2024</w:t>
            </w:r>
          </w:p>
        </w:tc>
      </w:tr>
      <w:tr>
        <w:trPr>
          <w:cantSplit/>
        </w:trPr>
        <w:tc>
          <w:tcPr>
            <w:tcW w:type="dxa" w:w="2268"/>
            <w:tcMar>
              <w:top w:w="65" w:type="dxa"/>
              <w:start w:w="75" w:type="dxa"/>
              <w:bottom w:w="65" w:type="dxa"/>
              <w:end w:w="75" w:type="dxa"/>
            </w:tcMar>
            <w:vAlign w:val="top"/>
          </w:tcPr>
          <w:p>
            <w:pPr>
              <w:spacing w:line="240" w:lineRule="auto" w:after="0"/>
              <w:jc w:val="left"/>
            </w:pPr>
            <w:r>
              <w:rPr>
                <w:rFonts w:ascii="Tinos" w:hAnsi="Tinos" w:eastAsia="Tinos"/>
                <w:sz w:val="15"/>
              </w:rPr>
              <w:t>Delayed ICU discharge</w:t>
            </w:r>
          </w:p>
        </w:tc>
        <w:tc>
          <w:tcPr>
            <w:tcW w:type="dxa" w:w="2041"/>
            <w:tcMar>
              <w:top w:w="65" w:type="dxa"/>
              <w:start w:w="75" w:type="dxa"/>
              <w:bottom w:w="65" w:type="dxa"/>
              <w:end w:w="75" w:type="dxa"/>
            </w:tcMar>
            <w:vAlign w:val="top"/>
          </w:tcPr>
          <w:p>
            <w:pPr>
              <w:spacing w:line="240" w:lineRule="auto" w:after="0"/>
              <w:jc w:val="left"/>
            </w:pPr>
            <w:r>
              <w:rPr>
                <w:rFonts w:ascii="Tinos" w:hAnsi="Tinos" w:eastAsia="Tinos"/>
                <w:sz w:val="15"/>
              </w:rPr>
              <w:t>34.59% to 23.31%</w:t>
            </w:r>
          </w:p>
        </w:tc>
        <w:tc>
          <w:tcPr>
            <w:tcW w:type="dxa" w:w="2665"/>
            <w:tcMar>
              <w:top w:w="65" w:type="dxa"/>
              <w:start w:w="75" w:type="dxa"/>
              <w:bottom w:w="65" w:type="dxa"/>
              <w:end w:w="75" w:type="dxa"/>
            </w:tcMar>
            <w:vAlign w:val="top"/>
          </w:tcPr>
          <w:p>
            <w:pPr>
              <w:spacing w:line="240" w:lineRule="auto" w:after="0"/>
              <w:jc w:val="left"/>
            </w:pPr>
            <w:r>
              <w:rPr>
                <w:rFonts w:ascii="Tinos" w:hAnsi="Tinos" w:eastAsia="Tinos"/>
                <w:sz w:val="15"/>
              </w:rPr>
              <w:t>32.6% reduction</w:t>
            </w:r>
          </w:p>
        </w:tc>
        <w:tc>
          <w:tcPr>
            <w:tcW w:type="dxa" w:w="1814"/>
            <w:tcMar>
              <w:top w:w="65" w:type="dxa"/>
              <w:start w:w="75" w:type="dxa"/>
              <w:bottom w:w="65" w:type="dxa"/>
              <w:end w:w="75" w:type="dxa"/>
            </w:tcMar>
            <w:vAlign w:val="top"/>
          </w:tcPr>
          <w:p>
            <w:pPr>
              <w:spacing w:line="240" w:lineRule="auto" w:after="0"/>
              <w:jc w:val="left"/>
            </w:pPr>
            <w:r>
              <w:rPr>
                <w:rFonts w:ascii="Tinos" w:hAnsi="Tinos" w:eastAsia="Tinos"/>
                <w:sz w:val="15"/>
              </w:rPr>
              <w:t>p = 0.196</w:t>
            </w:r>
          </w:p>
        </w:tc>
        <w:tc>
          <w:tcPr>
            <w:tcW w:type="dxa" w:w="1531"/>
            <w:tcMar>
              <w:top w:w="65" w:type="dxa"/>
              <w:start w:w="75" w:type="dxa"/>
              <w:bottom w:w="65" w:type="dxa"/>
              <w:end w:w="75" w:type="dxa"/>
            </w:tcMar>
            <w:vAlign w:val="top"/>
          </w:tcPr>
          <w:p>
            <w:pPr>
              <w:spacing w:line="240" w:lineRule="auto" w:after="0"/>
              <w:jc w:val="left"/>
            </w:pPr>
            <w:r>
              <w:rPr>
                <w:rFonts w:ascii="Tinos" w:hAnsi="Tinos" w:eastAsia="Tinos"/>
                <w:sz w:val="15"/>
              </w:rPr>
              <w:t>Alarifi et al., 2024</w:t>
            </w:r>
          </w:p>
        </w:tc>
      </w:tr>
    </w:tbl>
    <w:p>
      <w:pPr>
        <w:spacing w:before="60" w:after="140"/>
        <w:jc w:val="center"/>
      </w:pPr>
      <w:r>
        <w:rPr>
          <w:rFonts w:ascii="Tinos" w:hAnsi="Tinos" w:eastAsia="Tinos"/>
          <w:b/>
          <w:sz w:val="20"/>
        </w:rPr>
        <w:t>Table 4.4  Organizational and efficiency findings</w:t>
      </w:r>
    </w:p>
    <w:p>
      <w:pPr>
        <w:spacing w:line="312" w:lineRule="auto" w:after="100"/>
        <w:ind w:firstLine="369"/>
        <w:jc w:val="both"/>
      </w:pPr>
      <w:r>
        <w:rPr>
          <w:rFonts w:ascii="Tinos" w:hAnsi="Tinos" w:eastAsia="Tinos"/>
        </w:rPr>
        <w:t>The hospital-efficiency study provides the broadest national picture. Its average score of 0.76 indicates room for more effective use of resources, but the score does not tell an individual ICU what it should reduce. Hospitals still need to examine their own services and constraints. The ICU operating-model study also reported movement in several indicators, although only the difference in occupancy was statistically significant.</w:t>
      </w:r>
    </w:p>
    <w:p>
      <w:pPr>
        <w:pStyle w:val="Heading2"/>
      </w:pPr>
      <w:r>
        <w:t>4.6 Comparative Descriptive Analysis</w:t>
      </w:r>
    </w:p>
    <w:p>
      <w:pPr>
        <w:jc w:val="center"/>
      </w:pPr>
      <w:r>
        <w:drawing>
          <wp:inline xmlns:a="http://schemas.openxmlformats.org/drawingml/2006/main" xmlns:pic="http://schemas.openxmlformats.org/drawingml/2006/picture">
            <wp:extent cx="5832000" cy="3224753"/>
            <wp:docPr id="3" name="Picture 3"/>
            <wp:cNvGraphicFramePr>
              <a:graphicFrameLocks noChangeAspect="1"/>
            </wp:cNvGraphicFramePr>
            <a:graphic>
              <a:graphicData uri="http://schemas.openxmlformats.org/drawingml/2006/picture">
                <pic:pic>
                  <pic:nvPicPr>
                    <pic:cNvPr id="0" name="secondary_outcome_changes.png"/>
                    <pic:cNvPicPr/>
                  </pic:nvPicPr>
                  <pic:blipFill>
                    <a:blip r:embed="rId13"/>
                    <a:stretch>
                      <a:fillRect/>
                    </a:stretch>
                  </pic:blipFill>
                  <pic:spPr>
                    <a:xfrm>
                      <a:off x="0" y="0"/>
                      <a:ext cx="5832000" cy="3224753"/>
                    </a:xfrm>
                    <a:prstGeom prst="rect"/>
                  </pic:spPr>
                </pic:pic>
              </a:graphicData>
            </a:graphic>
          </wp:inline>
        </w:drawing>
      </w:r>
    </w:p>
    <w:p>
      <w:pPr>
        <w:spacing w:before="60" w:after="140"/>
        <w:jc w:val="center"/>
      </w:pPr>
      <w:r>
        <w:rPr>
          <w:rFonts w:ascii="Tinos" w:hAnsi="Tinos" w:eastAsia="Tinos"/>
          <w:b/>
          <w:sz w:val="20"/>
        </w:rPr>
        <w:t>Figure 4.1  Selected reported reductions in included Saudi studies</w:t>
      </w:r>
    </w:p>
    <w:p>
      <w:pPr>
        <w:spacing w:line="312" w:lineRule="auto" w:after="100"/>
        <w:ind w:firstLine="369"/>
        <w:jc w:val="both"/>
      </w:pPr>
      <w:r>
        <w:rPr>
          <w:rFonts w:ascii="Tinos" w:hAnsi="Tinos" w:eastAsia="Tinos"/>
        </w:rPr>
        <w:t>Figure 4.1 places several reported percentage reductions on the same chart, but the bars are not directly comparable because they represent different outcomes. Medication use, VAP, mortality risk, occupancy, and delayed discharge measure different things. The chart is intended only to show that improvements were reported in each of the three evidence areas.</w:t>
      </w:r>
    </w:p>
    <w:p>
      <w:pPr>
        <w:pStyle w:val="Heading2"/>
      </w:pPr>
      <w:r>
        <w:t>4.7 Hypothesis Testing</w:t>
      </w:r>
    </w:p>
    <w:tbl>
      <w:tblPr>
        <w:tblW w:type="auto" w:w="0"/>
        <w:jc w:val="center"/>
        <w:tblLayout w:type="fixed"/>
        <w:tblLook w:firstColumn="1" w:firstRow="1" w:lastColumn="0" w:lastRow="0" w:noHBand="0" w:noVBand="1" w:val="04A0"/>
        <w:tblBorders>
          <w:top w:val="single" w:sz="4" w:color="9EADBA"/>
          <w:left w:val="single" w:sz="4" w:color="9EADBA"/>
          <w:bottom w:val="single" w:sz="4" w:color="9EADBA"/>
          <w:right w:val="single" w:sz="4" w:color="9EADBA"/>
          <w:insideH w:val="single" w:sz="4" w:color="9EADBA"/>
          <w:insideV w:val="single" w:sz="4" w:color="9EADBA"/>
        </w:tblBorders>
      </w:tblPr>
      <w:tblGrid>
        <w:gridCol w:w="2296"/>
        <w:gridCol w:w="2296"/>
        <w:gridCol w:w="2296"/>
        <w:gridCol w:w="2296"/>
      </w:tblGrid>
      <w:tr>
        <w:trPr>
          <w:tblHeader w:val="true"/>
          <w:cantSplit/>
        </w:trPr>
        <w:tc>
          <w:tcPr>
            <w:tcW w:type="dxa" w:w="1134"/>
            <w:shd w:fill="D9EAF7"/>
            <w:tcMar>
              <w:top w:w="65" w:type="dxa"/>
              <w:start w:w="75" w:type="dxa"/>
              <w:bottom w:w="65" w:type="dxa"/>
              <w:end w:w="75" w:type="dxa"/>
            </w:tcMar>
            <w:vAlign w:val="center"/>
          </w:tcPr>
          <w:p>
            <w:pPr>
              <w:spacing w:after="0"/>
              <w:jc w:val="center"/>
            </w:pPr>
            <w:r>
              <w:rPr>
                <w:rFonts w:ascii="Tinos" w:hAnsi="Tinos" w:eastAsia="Tinos"/>
                <w:b/>
                <w:sz w:val="16"/>
              </w:rPr>
              <w:t>Hypothesis</w:t>
            </w:r>
          </w:p>
        </w:tc>
        <w:tc>
          <w:tcPr>
            <w:tcW w:type="dxa" w:w="2721"/>
            <w:shd w:fill="D9EAF7"/>
            <w:tcMar>
              <w:top w:w="65" w:type="dxa"/>
              <w:start w:w="75" w:type="dxa"/>
              <w:bottom w:w="65" w:type="dxa"/>
              <w:end w:w="75" w:type="dxa"/>
            </w:tcMar>
            <w:vAlign w:val="center"/>
          </w:tcPr>
          <w:p>
            <w:pPr>
              <w:spacing w:after="0"/>
              <w:jc w:val="center"/>
            </w:pPr>
            <w:r>
              <w:rPr>
                <w:rFonts w:ascii="Tinos" w:hAnsi="Tinos" w:eastAsia="Tinos"/>
                <w:b/>
                <w:sz w:val="16"/>
              </w:rPr>
              <w:t>Statement</w:t>
            </w:r>
          </w:p>
        </w:tc>
        <w:tc>
          <w:tcPr>
            <w:tcW w:type="dxa" w:w="1587"/>
            <w:shd w:fill="D9EAF7"/>
            <w:tcMar>
              <w:top w:w="65" w:type="dxa"/>
              <w:start w:w="75" w:type="dxa"/>
              <w:bottom w:w="65" w:type="dxa"/>
              <w:end w:w="75" w:type="dxa"/>
            </w:tcMar>
            <w:vAlign w:val="center"/>
          </w:tcPr>
          <w:p>
            <w:pPr>
              <w:spacing w:after="0"/>
              <w:jc w:val="center"/>
            </w:pPr>
            <w:r>
              <w:rPr>
                <w:rFonts w:ascii="Tinos" w:hAnsi="Tinos" w:eastAsia="Tinos"/>
                <w:b/>
                <w:sz w:val="16"/>
              </w:rPr>
              <w:t>Decision</w:t>
            </w:r>
          </w:p>
        </w:tc>
        <w:tc>
          <w:tcPr>
            <w:tcW w:type="dxa" w:w="3798"/>
            <w:shd w:fill="D9EAF7"/>
            <w:tcMar>
              <w:top w:w="65" w:type="dxa"/>
              <w:start w:w="75" w:type="dxa"/>
              <w:bottom w:w="65" w:type="dxa"/>
              <w:end w:w="75" w:type="dxa"/>
            </w:tcMar>
            <w:vAlign w:val="center"/>
          </w:tcPr>
          <w:p>
            <w:pPr>
              <w:spacing w:after="0"/>
              <w:jc w:val="center"/>
            </w:pPr>
            <w:r>
              <w:rPr>
                <w:rFonts w:ascii="Tinos" w:hAnsi="Tinos" w:eastAsia="Tinos"/>
                <w:b/>
                <w:sz w:val="16"/>
              </w:rPr>
              <w:t>Reason</w:t>
            </w:r>
          </w:p>
        </w:tc>
      </w:tr>
      <w:tr>
        <w:trPr>
          <w:cantSplit/>
        </w:trPr>
        <w:tc>
          <w:tcPr>
            <w:tcW w:type="dxa" w:w="1134"/>
            <w:tcMar>
              <w:top w:w="65" w:type="dxa"/>
              <w:start w:w="75" w:type="dxa"/>
              <w:bottom w:w="65" w:type="dxa"/>
              <w:end w:w="75" w:type="dxa"/>
            </w:tcMar>
            <w:vAlign w:val="top"/>
          </w:tcPr>
          <w:p>
            <w:pPr>
              <w:spacing w:line="240" w:lineRule="auto" w:after="0"/>
              <w:jc w:val="left"/>
            </w:pPr>
            <w:r>
              <w:rPr>
                <w:rFonts w:ascii="Tinos" w:hAnsi="Tinos" w:eastAsia="Tinos"/>
                <w:sz w:val="16"/>
              </w:rPr>
              <w:t>H1</w:t>
            </w:r>
          </w:p>
        </w:tc>
        <w:tc>
          <w:tcPr>
            <w:tcW w:type="dxa" w:w="2721"/>
            <w:tcMar>
              <w:top w:w="65" w:type="dxa"/>
              <w:start w:w="75" w:type="dxa"/>
              <w:bottom w:w="65" w:type="dxa"/>
              <w:end w:w="75" w:type="dxa"/>
            </w:tcMar>
            <w:vAlign w:val="top"/>
          </w:tcPr>
          <w:p>
            <w:pPr>
              <w:spacing w:line="240" w:lineRule="auto" w:after="0"/>
              <w:jc w:val="left"/>
            </w:pPr>
            <w:r>
              <w:rPr>
                <w:rFonts w:ascii="Tinos" w:hAnsi="Tinos" w:eastAsia="Tinos"/>
                <w:sz w:val="16"/>
              </w:rPr>
              <w:t>Clinical resource optimization improves efficiency</w:t>
            </w:r>
          </w:p>
        </w:tc>
        <w:tc>
          <w:tcPr>
            <w:tcW w:type="dxa" w:w="1587"/>
            <w:tcMar>
              <w:top w:w="65" w:type="dxa"/>
              <w:start w:w="75" w:type="dxa"/>
              <w:bottom w:w="65" w:type="dxa"/>
              <w:end w:w="75" w:type="dxa"/>
            </w:tcMar>
            <w:vAlign w:val="top"/>
          </w:tcPr>
          <w:p>
            <w:pPr>
              <w:spacing w:line="240" w:lineRule="auto" w:after="0"/>
              <w:jc w:val="left"/>
            </w:pPr>
            <w:r>
              <w:rPr>
                <w:rFonts w:ascii="Tinos" w:hAnsi="Tinos" w:eastAsia="Tinos"/>
                <w:sz w:val="16"/>
              </w:rPr>
              <w:t>Supported directionally</w:t>
            </w:r>
          </w:p>
        </w:tc>
        <w:tc>
          <w:tcPr>
            <w:tcW w:type="dxa" w:w="3798"/>
            <w:tcMar>
              <w:top w:w="65" w:type="dxa"/>
              <w:start w:w="75" w:type="dxa"/>
              <w:bottom w:w="65" w:type="dxa"/>
              <w:end w:w="75" w:type="dxa"/>
            </w:tcMar>
            <w:vAlign w:val="top"/>
          </w:tcPr>
          <w:p>
            <w:pPr>
              <w:spacing w:line="240" w:lineRule="auto" w:after="0"/>
              <w:jc w:val="left"/>
            </w:pPr>
            <w:r>
              <w:rPr>
                <w:rFonts w:ascii="Tinos" w:hAnsi="Tinos" w:eastAsia="Tinos"/>
              </w:rPr>
              <w:t>Most studies reported better cost, resource use, or operational results. However, the studies were too different to calculate one combined causal effect.</w:t>
            </w:r>
          </w:p>
        </w:tc>
      </w:tr>
      <w:tr>
        <w:trPr>
          <w:cantSplit/>
        </w:trPr>
        <w:tc>
          <w:tcPr>
            <w:tcW w:type="dxa" w:w="1134"/>
            <w:tcMar>
              <w:top w:w="65" w:type="dxa"/>
              <w:start w:w="75" w:type="dxa"/>
              <w:bottom w:w="65" w:type="dxa"/>
              <w:end w:w="75" w:type="dxa"/>
            </w:tcMar>
            <w:vAlign w:val="top"/>
          </w:tcPr>
          <w:p>
            <w:pPr>
              <w:spacing w:line="240" w:lineRule="auto" w:after="0"/>
              <w:jc w:val="left"/>
            </w:pPr>
            <w:r>
              <w:rPr>
                <w:rFonts w:ascii="Tinos" w:hAnsi="Tinos" w:eastAsia="Tinos"/>
                <w:sz w:val="16"/>
              </w:rPr>
              <w:t>H1a</w:t>
            </w:r>
          </w:p>
        </w:tc>
        <w:tc>
          <w:tcPr>
            <w:tcW w:type="dxa" w:w="2721"/>
            <w:tcMar>
              <w:top w:w="65" w:type="dxa"/>
              <w:start w:w="75" w:type="dxa"/>
              <w:bottom w:w="65" w:type="dxa"/>
              <w:end w:w="75" w:type="dxa"/>
            </w:tcMar>
            <w:vAlign w:val="top"/>
          </w:tcPr>
          <w:p>
            <w:pPr>
              <w:spacing w:line="240" w:lineRule="auto" w:after="0"/>
              <w:jc w:val="left"/>
            </w:pPr>
            <w:r>
              <w:rPr>
                <w:rFonts w:ascii="Tinos" w:hAnsi="Tinos" w:eastAsia="Tinos"/>
                <w:sz w:val="16"/>
              </w:rPr>
              <w:t>Medication optimization improves medication cost/resource use</w:t>
            </w:r>
          </w:p>
        </w:tc>
        <w:tc>
          <w:tcPr>
            <w:tcW w:type="dxa" w:w="1587"/>
            <w:tcMar>
              <w:top w:w="65" w:type="dxa"/>
              <w:start w:w="75" w:type="dxa"/>
              <w:bottom w:w="65" w:type="dxa"/>
              <w:end w:w="75" w:type="dxa"/>
            </w:tcMar>
            <w:vAlign w:val="top"/>
          </w:tcPr>
          <w:p>
            <w:pPr>
              <w:spacing w:line="240" w:lineRule="auto" w:after="0"/>
              <w:jc w:val="left"/>
            </w:pPr>
            <w:r>
              <w:rPr>
                <w:rFonts w:ascii="Tinos" w:hAnsi="Tinos" w:eastAsia="Tinos"/>
                <w:sz w:val="16"/>
              </w:rPr>
              <w:t>Supported</w:t>
            </w:r>
          </w:p>
        </w:tc>
        <w:tc>
          <w:tcPr>
            <w:tcW w:type="dxa" w:w="3798"/>
            <w:tcMar>
              <w:top w:w="65" w:type="dxa"/>
              <w:start w:w="75" w:type="dxa"/>
              <w:bottom w:w="65" w:type="dxa"/>
              <w:end w:w="75" w:type="dxa"/>
            </w:tcMar>
            <w:vAlign w:val="top"/>
          </w:tcPr>
          <w:p>
            <w:pPr>
              <w:spacing w:line="240" w:lineRule="auto" w:after="0"/>
              <w:jc w:val="left"/>
            </w:pPr>
            <w:r>
              <w:rPr>
                <w:rFonts w:ascii="Tinos" w:hAnsi="Tinos" w:eastAsia="Tinos"/>
              </w:rPr>
              <w:t>IV antimicrobial use decreased significantly. Cost was lower when linezolid was excluded, and 41.6% of pharmacist interventions were linked with possible cost saving.</w:t>
            </w:r>
          </w:p>
        </w:tc>
      </w:tr>
      <w:tr>
        <w:trPr>
          <w:cantSplit/>
        </w:trPr>
        <w:tc>
          <w:tcPr>
            <w:tcW w:type="dxa" w:w="1134"/>
            <w:tcMar>
              <w:top w:w="65" w:type="dxa"/>
              <w:start w:w="75" w:type="dxa"/>
              <w:bottom w:w="65" w:type="dxa"/>
              <w:end w:w="75" w:type="dxa"/>
            </w:tcMar>
            <w:vAlign w:val="top"/>
          </w:tcPr>
          <w:p>
            <w:pPr>
              <w:spacing w:line="240" w:lineRule="auto" w:after="0"/>
              <w:jc w:val="left"/>
            </w:pPr>
            <w:r>
              <w:rPr>
                <w:rFonts w:ascii="Tinos" w:hAnsi="Tinos" w:eastAsia="Tinos"/>
                <w:sz w:val="16"/>
              </w:rPr>
              <w:t>H1b</w:t>
            </w:r>
          </w:p>
        </w:tc>
        <w:tc>
          <w:tcPr>
            <w:tcW w:type="dxa" w:w="2721"/>
            <w:tcMar>
              <w:top w:w="65" w:type="dxa"/>
              <w:start w:w="75" w:type="dxa"/>
              <w:bottom w:w="65" w:type="dxa"/>
              <w:end w:w="75" w:type="dxa"/>
            </w:tcMar>
            <w:vAlign w:val="top"/>
          </w:tcPr>
          <w:p>
            <w:pPr>
              <w:spacing w:line="240" w:lineRule="auto" w:after="0"/>
              <w:jc w:val="left"/>
            </w:pPr>
            <w:r>
              <w:rPr>
                <w:rFonts w:ascii="Tinos" w:hAnsi="Tinos" w:eastAsia="Tinos"/>
                <w:sz w:val="16"/>
              </w:rPr>
              <w:t>Respiratory optimization improves resource/clinical efficiency</w:t>
            </w:r>
          </w:p>
        </w:tc>
        <w:tc>
          <w:tcPr>
            <w:tcW w:type="dxa" w:w="1587"/>
            <w:tcMar>
              <w:top w:w="65" w:type="dxa"/>
              <w:start w:w="75" w:type="dxa"/>
              <w:bottom w:w="65" w:type="dxa"/>
              <w:end w:w="75" w:type="dxa"/>
            </w:tcMar>
            <w:vAlign w:val="top"/>
          </w:tcPr>
          <w:p>
            <w:pPr>
              <w:spacing w:line="240" w:lineRule="auto" w:after="0"/>
              <w:jc w:val="left"/>
            </w:pPr>
            <w:r>
              <w:rPr>
                <w:rFonts w:ascii="Tinos" w:hAnsi="Tinos" w:eastAsia="Tinos"/>
                <w:sz w:val="16"/>
              </w:rPr>
              <w:t>Partially supported</w:t>
            </w:r>
          </w:p>
        </w:tc>
        <w:tc>
          <w:tcPr>
            <w:tcW w:type="dxa" w:w="3798"/>
            <w:tcMar>
              <w:top w:w="65" w:type="dxa"/>
              <w:start w:w="75" w:type="dxa"/>
              <w:bottom w:w="65" w:type="dxa"/>
              <w:end w:w="75" w:type="dxa"/>
            </w:tcMar>
            <w:vAlign w:val="top"/>
          </w:tcPr>
          <w:p>
            <w:pPr>
              <w:spacing w:line="240" w:lineRule="auto" w:after="0"/>
              <w:jc w:val="left"/>
            </w:pPr>
            <w:r>
              <w:rPr>
                <w:rFonts w:ascii="Tinos" w:hAnsi="Tinos" w:eastAsia="Tinos"/>
              </w:rPr>
              <w:t>One study reported lower VAP and estimated cost. The national project improved care processes and mortality, but VAE, ventilation duration, and length of stay did not improve.</w:t>
            </w:r>
          </w:p>
        </w:tc>
      </w:tr>
      <w:tr>
        <w:trPr>
          <w:cantSplit/>
        </w:trPr>
        <w:tc>
          <w:tcPr>
            <w:tcW w:type="dxa" w:w="1134"/>
            <w:tcMar>
              <w:top w:w="65" w:type="dxa"/>
              <w:start w:w="75" w:type="dxa"/>
              <w:bottom w:w="65" w:type="dxa"/>
              <w:end w:w="75" w:type="dxa"/>
            </w:tcMar>
            <w:vAlign w:val="top"/>
          </w:tcPr>
          <w:p>
            <w:pPr>
              <w:spacing w:line="240" w:lineRule="auto" w:after="0"/>
              <w:jc w:val="left"/>
            </w:pPr>
            <w:r>
              <w:rPr>
                <w:rFonts w:ascii="Tinos" w:hAnsi="Tinos" w:eastAsia="Tinos"/>
                <w:sz w:val="16"/>
              </w:rPr>
              <w:t>H1c</w:t>
            </w:r>
          </w:p>
        </w:tc>
        <w:tc>
          <w:tcPr>
            <w:tcW w:type="dxa" w:w="2721"/>
            <w:tcMar>
              <w:top w:w="65" w:type="dxa"/>
              <w:start w:w="75" w:type="dxa"/>
              <w:bottom w:w="65" w:type="dxa"/>
              <w:end w:w="75" w:type="dxa"/>
            </w:tcMar>
            <w:vAlign w:val="top"/>
          </w:tcPr>
          <w:p>
            <w:pPr>
              <w:spacing w:line="240" w:lineRule="auto" w:after="0"/>
              <w:jc w:val="left"/>
            </w:pPr>
            <w:r>
              <w:rPr>
                <w:rFonts w:ascii="Tinos" w:hAnsi="Tinos" w:eastAsia="Tinos"/>
                <w:sz w:val="16"/>
              </w:rPr>
              <w:t>Governance/organization improves efficiency indicators</w:t>
            </w:r>
          </w:p>
        </w:tc>
        <w:tc>
          <w:tcPr>
            <w:tcW w:type="dxa" w:w="1587"/>
            <w:tcMar>
              <w:top w:w="65" w:type="dxa"/>
              <w:start w:w="75" w:type="dxa"/>
              <w:bottom w:w="65" w:type="dxa"/>
              <w:end w:w="75" w:type="dxa"/>
            </w:tcMar>
            <w:vAlign w:val="top"/>
          </w:tcPr>
          <w:p>
            <w:pPr>
              <w:spacing w:line="240" w:lineRule="auto" w:after="0"/>
              <w:jc w:val="left"/>
            </w:pPr>
            <w:r>
              <w:rPr>
                <w:rFonts w:ascii="Tinos" w:hAnsi="Tinos" w:eastAsia="Tinos"/>
                <w:sz w:val="16"/>
              </w:rPr>
              <w:t>Partially supported</w:t>
            </w:r>
          </w:p>
        </w:tc>
        <w:tc>
          <w:tcPr>
            <w:tcW w:type="dxa" w:w="3798"/>
            <w:tcMar>
              <w:top w:w="65" w:type="dxa"/>
              <w:start w:w="75" w:type="dxa"/>
              <w:bottom w:w="65" w:type="dxa"/>
              <w:end w:w="75" w:type="dxa"/>
            </w:tcMar>
            <w:vAlign w:val="top"/>
          </w:tcPr>
          <w:p>
            <w:pPr>
              <w:spacing w:line="240" w:lineRule="auto" w:after="0"/>
              <w:jc w:val="left"/>
            </w:pPr>
            <w:r>
              <w:rPr>
                <w:rFonts w:ascii="Tinos" w:hAnsi="Tinos" w:eastAsia="Tinos"/>
              </w:rPr>
              <w:t>The national study found a large efficiency gap. The mixed ICU model reduced occupancy significantly, but the other changes were not statistically significant.</w:t>
            </w:r>
          </w:p>
        </w:tc>
      </w:tr>
      <w:tr>
        <w:trPr>
          <w:cantSplit/>
        </w:trPr>
        <w:tc>
          <w:tcPr>
            <w:tcW w:type="dxa" w:w="1134"/>
            <w:tcMar>
              <w:top w:w="65" w:type="dxa"/>
              <w:start w:w="75" w:type="dxa"/>
              <w:bottom w:w="65" w:type="dxa"/>
              <w:end w:w="75" w:type="dxa"/>
            </w:tcMar>
            <w:vAlign w:val="top"/>
          </w:tcPr>
          <w:p>
            <w:pPr>
              <w:spacing w:line="240" w:lineRule="auto" w:after="0"/>
              <w:jc w:val="left"/>
            </w:pPr>
            <w:r>
              <w:rPr>
                <w:rFonts w:ascii="Tinos" w:hAnsi="Tinos" w:eastAsia="Tinos"/>
                <w:sz w:val="16"/>
              </w:rPr>
              <w:t>H0</w:t>
            </w:r>
          </w:p>
        </w:tc>
        <w:tc>
          <w:tcPr>
            <w:tcW w:type="dxa" w:w="2721"/>
            <w:tcMar>
              <w:top w:w="65" w:type="dxa"/>
              <w:start w:w="75" w:type="dxa"/>
              <w:bottom w:w="65" w:type="dxa"/>
              <w:end w:w="75" w:type="dxa"/>
            </w:tcMar>
            <w:vAlign w:val="top"/>
          </w:tcPr>
          <w:p>
            <w:pPr>
              <w:spacing w:line="240" w:lineRule="auto" w:after="0"/>
              <w:jc w:val="left"/>
            </w:pPr>
            <w:r>
              <w:rPr>
                <w:rFonts w:ascii="Tinos" w:hAnsi="Tinos" w:eastAsia="Tinos"/>
                <w:sz w:val="16"/>
              </w:rPr>
              <w:t>No consistent relationship</w:t>
            </w:r>
          </w:p>
        </w:tc>
        <w:tc>
          <w:tcPr>
            <w:tcW w:type="dxa" w:w="1587"/>
            <w:tcMar>
              <w:top w:w="65" w:type="dxa"/>
              <w:start w:w="75" w:type="dxa"/>
              <w:bottom w:w="65" w:type="dxa"/>
              <w:end w:w="75" w:type="dxa"/>
            </w:tcMar>
            <w:vAlign w:val="top"/>
          </w:tcPr>
          <w:p>
            <w:pPr>
              <w:spacing w:line="240" w:lineRule="auto" w:after="0"/>
              <w:jc w:val="left"/>
            </w:pPr>
            <w:r>
              <w:rPr>
                <w:rFonts w:ascii="Tinos" w:hAnsi="Tinos" w:eastAsia="Tinos"/>
                <w:sz w:val="16"/>
              </w:rPr>
              <w:t>Not supported</w:t>
            </w:r>
          </w:p>
        </w:tc>
        <w:tc>
          <w:tcPr>
            <w:tcW w:type="dxa" w:w="3798"/>
            <w:tcMar>
              <w:top w:w="65" w:type="dxa"/>
              <w:start w:w="75" w:type="dxa"/>
              <w:bottom w:w="65" w:type="dxa"/>
              <w:end w:w="75" w:type="dxa"/>
            </w:tcMar>
            <w:vAlign w:val="top"/>
          </w:tcPr>
          <w:p>
            <w:pPr>
              <w:spacing w:line="240" w:lineRule="auto" w:after="0"/>
              <w:jc w:val="left"/>
            </w:pPr>
            <w:r>
              <w:rPr>
                <w:rFonts w:ascii="Tinos" w:hAnsi="Tinos" w:eastAsia="Tinos"/>
              </w:rPr>
              <w:t>Most results were positive, although the strength and type of evidence differed between studies.</w:t>
            </w:r>
          </w:p>
        </w:tc>
      </w:tr>
    </w:tbl>
    <w:p>
      <w:pPr>
        <w:spacing w:before="60" w:after="140"/>
        <w:jc w:val="center"/>
      </w:pPr>
      <w:r>
        <w:rPr>
          <w:rFonts w:ascii="Tinos" w:hAnsi="Tinos" w:eastAsia="Tinos"/>
          <w:b/>
          <w:sz w:val="20"/>
        </w:rPr>
        <w:t>Table 4.5  Synthesis of hypotheses</w:t>
      </w:r>
    </w:p>
    <w:p>
      <w:pPr>
        <w:pStyle w:val="Heading2"/>
      </w:pPr>
      <w:r>
        <w:t>4.8 Discussion</w:t>
      </w:r>
    </w:p>
    <w:p>
      <w:pPr>
        <w:pStyle w:val="Heading3"/>
      </w:pPr>
      <w:r>
        <w:t>4.8.1 Medication Management</w:t>
      </w:r>
    </w:p>
    <w:p>
      <w:pPr>
        <w:spacing w:line="312" w:lineRule="auto" w:after="100"/>
        <w:ind w:firstLine="369"/>
        <w:jc w:val="both"/>
      </w:pPr>
      <w:r>
        <w:rPr>
          <w:rFonts w:ascii="Tinos" w:hAnsi="Tinos" w:eastAsia="Tinos"/>
        </w:rPr>
        <w:t>The medication findings indicate that stewardship works through repeated clinical review, not simply through restrictions on prescribing. The programs combined leadership support, local guidance, education, audit, and feedback, influencing both hospital processes and bedside decisions. They also highlight the difference between medication volume and medication price. Spending may rise when a costly but appropriate drug is introduced, even if unnecessary use of other medication falls.</w:t>
      </w:r>
    </w:p>
    <w:p>
      <w:pPr>
        <w:spacing w:line="312" w:lineRule="auto" w:after="100"/>
        <w:ind w:firstLine="369"/>
        <w:jc w:val="both"/>
      </w:pPr>
      <w:r>
        <w:rPr>
          <w:rFonts w:ascii="Tinos" w:hAnsi="Tinos" w:eastAsia="Tinos"/>
        </w:rPr>
        <w:t>The pharmacist study offers practical examples from everyday ICU care. Renal-dose adjustment and stopping medication that has continued longer than necessary can reduce risk as well as cost. Its main weakness is the absence of a calculated financial value. Future Saudi studies could record the price of avoided doses and explain the method used to calculate cost avoidance.</w:t>
      </w:r>
    </w:p>
    <w:p>
      <w:pPr>
        <w:pStyle w:val="Heading3"/>
      </w:pPr>
      <w:r>
        <w:t>4.8.2 Respiratory Care</w:t>
      </w:r>
    </w:p>
    <w:p>
      <w:pPr>
        <w:spacing w:line="312" w:lineRule="auto" w:after="100"/>
        <w:ind w:firstLine="369"/>
        <w:jc w:val="both"/>
      </w:pPr>
      <w:r>
        <w:rPr>
          <w:rFonts w:ascii="Tinos" w:hAnsi="Tinos" w:eastAsia="Tinos"/>
        </w:rPr>
        <w:t>The VAP-bundle study reported clinical and financial benefits, linking bundle compliance with a lower infection rate and an estimated reduction in cost. However, it was a single-center study published in 2012. Before applying the reported USD figure to a current budget, hospitals would need to update local estimates for VAP treatment, ICU days, and inflation.</w:t>
      </w:r>
    </w:p>
    <w:p>
      <w:pPr>
        <w:spacing w:line="312" w:lineRule="auto" w:after="100"/>
        <w:ind w:firstLine="369"/>
        <w:jc w:val="both"/>
      </w:pPr>
      <w:r>
        <w:rPr>
          <w:rFonts w:ascii="Tinos" w:hAnsi="Tinos" w:eastAsia="Tinos"/>
        </w:rPr>
        <w:t>The national project was more recent and covered many ICUs, showing that standardized practices can be introduced across different hospitals. The lack of improvement in ventilator-associated events, ventilation duration, and length of stay should not be read as evidence that the project had no value. Mortality improved and some unnecessary or harmful practices declined. Changes in resource use may require a longer follow-up period, stronger implementation, or better adjustment for differences between patients.</w:t>
      </w:r>
    </w:p>
    <w:p>
      <w:pPr>
        <w:pStyle w:val="Heading3"/>
      </w:pPr>
      <w:r>
        <w:t>4.8.3 Organizational Efficiency</w:t>
      </w:r>
    </w:p>
    <w:p>
      <w:pPr>
        <w:spacing w:line="312" w:lineRule="auto" w:after="100"/>
        <w:ind w:firstLine="369"/>
        <w:jc w:val="both"/>
      </w:pPr>
      <w:r>
        <w:rPr>
          <w:rFonts w:ascii="Tinos" w:hAnsi="Tinos" w:eastAsia="Tinos"/>
        </w:rPr>
        <w:t>The hospital-efficiency findings suggest that differences in resource use are not explained only by patient needs. Some hospitals produced similar services with fewer inputs. Even so, an efficiency score cannot identify the bedside practice that should change, so it should prompt a local review rather than automatic budget cuts. The ICU-model findings require similar care: lower occupancy may reflect better patient flow, but managers also need to examine refused admissions, cancelled surgery, staffing, and seasonal demand.</w:t>
      </w:r>
    </w:p>
    <w:p>
      <w:pPr>
        <w:pStyle w:val="Heading3"/>
      </w:pPr>
      <w:r>
        <w:t>4.8.4 Integrated Interpretation</w:t>
      </w:r>
    </w:p>
    <w:p>
      <w:pPr>
        <w:spacing w:line="312" w:lineRule="auto" w:after="100"/>
        <w:ind w:firstLine="369"/>
        <w:jc w:val="both"/>
      </w:pPr>
      <w:r>
        <w:rPr>
          <w:rFonts w:ascii="Tinos" w:hAnsi="Tinos" w:eastAsia="Tinos"/>
        </w:rPr>
        <w:t>Across the six studies, a consistent lesson is that improvement programs are stronger when clear protocols are combined with measurement and teamwork. A policy on paper is not enough. The programs reporting progress relied on daily review, audit, feedback, compliance monitoring, or changes in unit organization. ICU resource management is therefore better understood as continuous improvement than as a one-time cost-cutting exercise.</w:t>
      </w:r>
    </w:p>
    <w:p>
      <w:pPr>
        <w:pStyle w:val="Heading2"/>
      </w:pPr>
      <w:r>
        <w:t>4.9 Recommendations</w:t>
      </w:r>
    </w:p>
    <w:p>
      <w:pPr>
        <w:spacing w:line="300" w:lineRule="auto" w:after="60"/>
        <w:ind w:left="425" w:hanging="425"/>
        <w:jc w:val="both"/>
      </w:pPr>
      <w:r>
        <w:rPr>
          <w:rFonts w:ascii="Tinos" w:hAnsi="Tinos" w:eastAsia="Tinos"/>
        </w:rPr>
        <w:t>1. Develop an ICU dashboard that reports medication use and cost per 100 bed-days, respiratory outcomes per 1,000 device-days, and direct cost per patient-day.</w:t>
      </w:r>
    </w:p>
    <w:p>
      <w:pPr>
        <w:spacing w:line="300" w:lineRule="auto" w:after="60"/>
        <w:ind w:left="425" w:hanging="425"/>
        <w:jc w:val="both"/>
      </w:pPr>
      <w:r>
        <w:rPr>
          <w:rFonts w:ascii="Tinos" w:hAnsi="Tinos" w:eastAsia="Tinos"/>
        </w:rPr>
        <w:t>2. Strengthen antimicrobial stewardship through audit, feedback, renal-dose review, IV-to-oral conversion, and de-escalation.</w:t>
      </w:r>
    </w:p>
    <w:p>
      <w:pPr>
        <w:spacing w:line="300" w:lineRule="auto" w:after="60"/>
        <w:ind w:left="425" w:hanging="425"/>
        <w:jc w:val="both"/>
      </w:pPr>
      <w:r>
        <w:rPr>
          <w:rFonts w:ascii="Tinos" w:hAnsi="Tinos" w:eastAsia="Tinos"/>
        </w:rPr>
        <w:t>3. Include a clinical pharmacist in regular ICU rounds and record both the clinical result and the actual financial value of accepted interventions.</w:t>
      </w:r>
    </w:p>
    <w:p>
      <w:pPr>
        <w:spacing w:line="300" w:lineRule="auto" w:after="60"/>
        <w:ind w:left="425" w:hanging="425"/>
        <w:jc w:val="both"/>
      </w:pPr>
      <w:r>
        <w:rPr>
          <w:rFonts w:ascii="Tinos" w:hAnsi="Tinos" w:eastAsia="Tinos"/>
        </w:rPr>
        <w:t>4. Monitor spontaneous awakening trials, spontaneous breathing trials, subglottic suctioning when appropriate, head-of-bed elevation, and use of neuromuscular blockers.</w:t>
      </w:r>
    </w:p>
    <w:p>
      <w:pPr>
        <w:spacing w:line="300" w:lineRule="auto" w:after="60"/>
        <w:ind w:left="425" w:hanging="425"/>
        <w:jc w:val="both"/>
      </w:pPr>
      <w:r>
        <w:rPr>
          <w:rFonts w:ascii="Tinos" w:hAnsi="Tinos" w:eastAsia="Tinos"/>
        </w:rPr>
        <w:t>5. Report VAP, ventilator-associated events, and bundle compliance together so that process improvement can be connected with patient outcomes.</w:t>
      </w:r>
    </w:p>
    <w:p>
      <w:pPr>
        <w:spacing w:line="300" w:lineRule="auto" w:after="60"/>
        <w:ind w:left="425" w:hanging="425"/>
        <w:jc w:val="both"/>
      </w:pPr>
      <w:r>
        <w:rPr>
          <w:rFonts w:ascii="Tinos" w:hAnsi="Tinos" w:eastAsia="Tinos"/>
        </w:rPr>
        <w:t>6. Review bed occupancy and delayed discharge together with access measures. Low occupancy should not automatically be considered efficient.</w:t>
      </w:r>
    </w:p>
    <w:p>
      <w:pPr>
        <w:spacing w:line="300" w:lineRule="auto" w:after="60"/>
        <w:ind w:left="425" w:hanging="425"/>
        <w:jc w:val="both"/>
      </w:pPr>
      <w:r>
        <w:rPr>
          <w:rFonts w:ascii="Tinos" w:hAnsi="Tinos" w:eastAsia="Tinos"/>
        </w:rPr>
        <w:t>7. Use the same cost definitions across months and hospitals. Report medication purchase cost, avoided cost, and estimated cost avoidance separately.</w:t>
      </w:r>
    </w:p>
    <w:p>
      <w:pPr>
        <w:spacing w:line="300" w:lineRule="auto" w:after="60"/>
        <w:ind w:left="425" w:hanging="425"/>
        <w:jc w:val="both"/>
      </w:pPr>
      <w:r>
        <w:rPr>
          <w:rFonts w:ascii="Tinos" w:hAnsi="Tinos" w:eastAsia="Tinos"/>
        </w:rPr>
        <w:t>8. When changing the ICU operating model, monitor mortality, length of stay, readmission, occupancy, delayed discharge, and staffing together.</w:t>
      </w:r>
    </w:p>
    <w:p>
      <w:pPr>
        <w:spacing w:line="300" w:lineRule="auto" w:after="60"/>
        <w:ind w:left="425" w:hanging="425"/>
        <w:jc w:val="both"/>
      </w:pPr>
      <w:r>
        <w:rPr>
          <w:rFonts w:ascii="Tinos" w:hAnsi="Tinos" w:eastAsia="Tinos"/>
        </w:rPr>
        <w:t>9. Future Saudi multicenter studies should use a common minimum dataset so their results can be combined more reliably.</w:t>
      </w:r>
    </w:p>
    <w:p>
      <w:pPr>
        <w:pStyle w:val="Heading2"/>
      </w:pPr>
      <w:r>
        <w:t>4.10 Study Limitations</w:t>
      </w:r>
    </w:p>
    <w:p>
      <w:pPr>
        <w:spacing w:line="312" w:lineRule="auto" w:after="100"/>
        <w:ind w:firstLine="369"/>
        <w:jc w:val="both"/>
      </w:pPr>
      <w:r>
        <w:rPr>
          <w:rFonts w:ascii="Tinos" w:hAnsi="Tinos" w:eastAsia="Tinos"/>
        </w:rPr>
        <w:t>Because this project did not collect new hospital data, its results cannot be presented as findings from one new sample. The six studies differ in method, year, hospital setting, and unit of measurement, and their cost figures were not adjusted for inflation. One article also reports two p-values for the same cost outcome. The organizational evidence cannot establish that ICU clinical practice alone caused the observed changes. Finally, publication bias is possible because successful projects may be more likely to appear in journals than unsuccessful ones.</w:t>
      </w:r>
    </w:p>
    <w:p>
      <w:pPr>
        <w:pStyle w:val="Heading2"/>
      </w:pPr>
      <w:r>
        <w:t>4.11 Conclusion</w:t>
      </w:r>
    </w:p>
    <w:p>
      <w:pPr>
        <w:spacing w:line="312" w:lineRule="auto" w:after="100"/>
        <w:ind w:firstLine="369"/>
        <w:jc w:val="both"/>
      </w:pPr>
      <w:r>
        <w:rPr>
          <w:rFonts w:ascii="Tinos" w:hAnsi="Tinos" w:eastAsia="Tinos"/>
        </w:rPr>
        <w:t>Overall, the Saudi evidence shows a positive association between organized resource management and cost or operational efficiency. Antimicrobial stewardship reduced medication use and produced a lower cost after linezolid was excluded. Respiratory-care bundles improved compliance and, in one hospital, reduced VAP and estimated cost. The national ventilation project improved daily care practices and mortality, although several resource outcomes remained unchanged. Evidence on hospital and ICU management also revealed efficiency differences and practical areas for improvement.</w:t>
      </w:r>
    </w:p>
    <w:p>
      <w:pPr>
        <w:spacing w:line="312" w:lineRule="auto" w:after="100"/>
        <w:ind w:firstLine="369"/>
        <w:jc w:val="both"/>
      </w:pPr>
      <w:r>
        <w:rPr>
          <w:rFonts w:ascii="Tinos" w:hAnsi="Tinos" w:eastAsia="Tinos"/>
        </w:rPr>
        <w:t>The central lesson is not that hospitals should simply use fewer resources. Instead, resources should follow patient need, supported by clear protocols, appropriate indicators, regular review, and continued monitoring of patient outcomes. Over time, this approach is more likely to improve efficiency than across-the-board budget reductions.</w:t>
      </w:r>
    </w:p>
    <w:p>
      <w:r>
        <w:br w:type="page"/>
      </w:r>
    </w:p>
    <w:p>
      <w:pPr>
        <w:pStyle w:val="Heading1"/>
      </w:pPr>
      <w:r>
        <w:t>References</w:t>
      </w:r>
    </w:p>
    <w:p>
      <w:pPr>
        <w:pStyle w:val="Heading2"/>
      </w:pPr>
      <w:r>
        <w:t>Arabic References</w:t>
      </w:r>
    </w:p>
    <w:p>
      <w:pPr>
        <w:spacing w:line="336" w:lineRule="auto" w:after="100"/>
        <w:jc w:val="right"/>
        <w:bidi w:val="1"/>
      </w:pPr>
      <w:r>
        <w:rPr>
          <w:rFonts w:ascii="Amiri" w:hAnsi="Amiri" w:eastAsia="Amiri"/>
          <w:b w:val="0"/>
          <w:sz w:val="24"/>
        </w:rPr>
        <w:t>وزارة الصحة السعودية. (2025). الكتاب الإحصائي السنوي لعام 2023. الرياض: وزارة الصحة.</w:t>
      </w:r>
    </w:p>
    <w:p>
      <w:pPr>
        <w:spacing w:line="336" w:lineRule="auto" w:after="100"/>
        <w:jc w:val="right"/>
        <w:bidi w:val="1"/>
      </w:pPr>
      <w:r>
        <w:rPr>
          <w:rFonts w:ascii="Amiri" w:hAnsi="Amiri" w:eastAsia="Amiri"/>
          <w:b w:val="0"/>
          <w:sz w:val="24"/>
        </w:rPr>
        <w:t>برنامج تحول القطاع الصحي. (2024). التقرير السنوي لبرنامج تحول القطاع الصحي لعام 2023. رؤية السعودية 2030.</w:t>
      </w:r>
    </w:p>
    <w:p>
      <w:pPr>
        <w:pStyle w:val="Heading2"/>
      </w:pPr>
      <w:r>
        <w:t>English References</w:t>
      </w:r>
    </w:p>
    <w:p>
      <w:pPr>
        <w:spacing w:line="252" w:lineRule="auto" w:after="80"/>
        <w:ind w:left="567" w:hanging="567"/>
        <w:jc w:val="both"/>
      </w:pPr>
      <w:r>
        <w:rPr>
          <w:rFonts w:ascii="Tinos" w:hAnsi="Tinos" w:eastAsia="Tinos"/>
          <w:sz w:val="20"/>
        </w:rPr>
        <w:t>Alarifi, M. I., Mostafa, O. A. I., Alballaa, R., Alqahtani, R. M., Almutawa, N. A., Almutawa, F., Almutawa, R. A., Almutawa, R. A., Almusahel, E., Alyahya, L., AlNahdi, M. M., Alsaadon, A., &amp; Temsah, M.-H. (2024). Comparative study between medical/surgical intensive care units vs. mixed intensive care units in key performance indicators. Cureus, 16(11), e74100. https://doi.org/10.7759/cureus.74100</w:t>
      </w:r>
    </w:p>
    <w:p>
      <w:pPr>
        <w:spacing w:line="252" w:lineRule="auto" w:after="80"/>
        <w:ind w:left="567" w:hanging="567"/>
        <w:jc w:val="both"/>
      </w:pPr>
      <w:r>
        <w:rPr>
          <w:rFonts w:ascii="Tinos" w:hAnsi="Tinos" w:eastAsia="Tinos"/>
          <w:sz w:val="20"/>
        </w:rPr>
        <w:t>Alatawi, A. D., Niessen, L. W., &amp; Khan, J. A. M. (2020). Efficiency evaluation of public hospitals in Saudi Arabia: An application of data envelopment analysis. BMJ Open, 10(1), e031924. https://doi.org/10.1136/bmjopen-2019-031924</w:t>
      </w:r>
    </w:p>
    <w:p>
      <w:pPr>
        <w:spacing w:line="252" w:lineRule="auto" w:after="80"/>
        <w:ind w:left="567" w:hanging="567"/>
        <w:jc w:val="both"/>
      </w:pPr>
      <w:r>
        <w:rPr>
          <w:rFonts w:ascii="Tinos" w:hAnsi="Tinos" w:eastAsia="Tinos"/>
          <w:sz w:val="20"/>
        </w:rPr>
        <w:t>Althomali, A., Altowairqi, A., Alghamdi, A., Alotaibi, M., Althubaiti, A., Alqurashi, A., Al Harbi, A., Algarni, M. A., Haseeb, A., Elnaem, M. H., Alsenani, F., &amp; Elrggal, M. E. (2022). Impact of clinical pharmacist intervention on clinical outcomes in the critical care unit, Taif City, Saudi Arabia: A retrospective study. Pharmacy, 10(5), 108. https://doi.org/10.3390/pharmacy10050108</w:t>
      </w:r>
    </w:p>
    <w:p>
      <w:pPr>
        <w:spacing w:line="252" w:lineRule="auto" w:after="80"/>
        <w:ind w:left="567" w:hanging="567"/>
        <w:jc w:val="both"/>
      </w:pPr>
      <w:r>
        <w:rPr>
          <w:rFonts w:ascii="Tinos" w:hAnsi="Tinos" w:eastAsia="Tinos"/>
          <w:sz w:val="20"/>
        </w:rPr>
        <w:t>Arabi, Y. M., Al Aseri, Z., Alsaawi, A., Al Khathaami, A. M., Al Qasim, E., Alzahrani, A. A., Al Qarni, M., Abdukahil, S. A. I., Al-Dorzi, H. M., Alattasi, A., et al. (2023). Impact of a national collaborative project to improve the care of mechanically ventilated patients. PLOS ONE, 18(1), e0280744. https://doi.org/10.1371/journal.pone.0280744</w:t>
      </w:r>
    </w:p>
    <w:p>
      <w:pPr>
        <w:spacing w:line="252" w:lineRule="auto" w:after="80"/>
        <w:ind w:left="567" w:hanging="567"/>
        <w:jc w:val="both"/>
      </w:pPr>
      <w:r>
        <w:rPr>
          <w:rFonts w:ascii="Tinos" w:hAnsi="Tinos" w:eastAsia="Tinos"/>
          <w:sz w:val="20"/>
        </w:rPr>
        <w:t>Barney, J. (1991). Firm resources and sustained competitive advantage. Journal of Management, 17(1), 99-120. https://doi.org/10.1177/014920639101700108</w:t>
      </w:r>
    </w:p>
    <w:p>
      <w:pPr>
        <w:spacing w:line="252" w:lineRule="auto" w:after="80"/>
        <w:ind w:left="567" w:hanging="567"/>
        <w:jc w:val="both"/>
      </w:pPr>
      <w:r>
        <w:rPr>
          <w:rFonts w:ascii="Tinos" w:hAnsi="Tinos" w:eastAsia="Tinos"/>
          <w:sz w:val="20"/>
        </w:rPr>
        <w:t>Bukhari, S. Z., Hussain, W. M., Banjar, A. A., Fatani, M. I., Karima, T. M., &amp; Ashshi, A. M. (2012). Application of ventilator care bundle and its impact on ventilator associated pneumonia incidence rate in the adult intensive care unit. Saudi Medical Journal, 33(3), 278-283. https://doi.org/10.15537/1658-3175.5507</w:t>
      </w:r>
    </w:p>
    <w:p>
      <w:pPr>
        <w:spacing w:line="252" w:lineRule="auto" w:after="80"/>
        <w:ind w:left="567" w:hanging="567"/>
        <w:jc w:val="both"/>
      </w:pPr>
      <w:r>
        <w:rPr>
          <w:rFonts w:ascii="Tinos" w:hAnsi="Tinos" w:eastAsia="Tinos"/>
          <w:sz w:val="20"/>
        </w:rPr>
        <w:t>Donabedian, A. (1988). The quality of care: How can it be assessed? JAMA, 260(12), 1743-1748. https://doi.org/10.1001/jama.260.12.1743</w:t>
      </w:r>
    </w:p>
    <w:p>
      <w:pPr>
        <w:spacing w:line="252" w:lineRule="auto" w:after="80"/>
        <w:ind w:left="567" w:hanging="567"/>
        <w:jc w:val="both"/>
      </w:pPr>
      <w:r>
        <w:rPr>
          <w:rFonts w:ascii="Tinos" w:hAnsi="Tinos" w:eastAsia="Tinos"/>
          <w:sz w:val="20"/>
        </w:rPr>
        <w:t>Haseeb, A., Faidah, H. S., Al-Gethamy, M., Iqbal, M. S., Barnawi, A. M., Elahe, S. S., Bukhari, D. N., Al-Sulaimani, T. M. N., Fadaaq, M., Alghamdi, S., Almalki, W. H., Saleem, Z., Elrggal, M. E., Khan, A. H., Algarni, M. A., Ashgar, S. S., &amp; Hassali, M. A. (2021). Evaluation of a multidisciplinary antimicrobial stewardship program in a Saudi critical care unit: A quasi-experimental study. Frontiers in Pharmacology, 11, 570238. https://doi.org/10.3389/fphar.2020.570238</w:t>
      </w:r>
    </w:p>
    <w:p>
      <w:pPr>
        <w:spacing w:line="252" w:lineRule="auto" w:after="80"/>
        <w:ind w:left="567" w:hanging="567"/>
        <w:jc w:val="both"/>
      </w:pPr>
      <w:r>
        <w:rPr>
          <w:rFonts w:ascii="Tinos" w:hAnsi="Tinos" w:eastAsia="Tinos"/>
          <w:sz w:val="20"/>
        </w:rPr>
        <w:t>Porter, M. E. (2010). What is value in health care? New England Journal of Medicine, 363(26), 2477-2481. https://doi.org/10.1056/NEJMp1011024</w:t>
      </w:r>
    </w:p>
    <w:p>
      <w:r>
        <w:br w:type="page"/>
      </w:r>
    </w:p>
    <w:p>
      <w:pPr>
        <w:pStyle w:val="Heading1"/>
      </w:pPr>
      <w:r>
        <w:t>Appendices</w:t>
      </w:r>
    </w:p>
    <w:p>
      <w:pPr>
        <w:pStyle w:val="Heading2"/>
      </w:pPr>
      <w:r>
        <w:t>Appendix A: Data-Extraction Form</w:t>
      </w:r>
    </w:p>
    <w:tbl>
      <w:tblPr>
        <w:tblW w:type="auto" w:w="0"/>
        <w:jc w:val="center"/>
        <w:tblLayout w:type="fixed"/>
        <w:tblLook w:firstColumn="1" w:firstRow="1" w:lastColumn="0" w:lastRow="0" w:noHBand="0" w:noVBand="1" w:val="04A0"/>
        <w:tblBorders>
          <w:top w:val="single" w:sz="4" w:color="9EADBA"/>
          <w:left w:val="single" w:sz="4" w:color="9EADBA"/>
          <w:bottom w:val="single" w:sz="4" w:color="9EADBA"/>
          <w:right w:val="single" w:sz="4" w:color="9EADBA"/>
          <w:insideH w:val="single" w:sz="4" w:color="9EADBA"/>
          <w:insideV w:val="single" w:sz="4" w:color="9EADBA"/>
        </w:tblBorders>
      </w:tblPr>
      <w:tblGrid>
        <w:gridCol w:w="4592"/>
        <w:gridCol w:w="4592"/>
      </w:tblGrid>
      <w:tr>
        <w:trPr>
          <w:tblHeader w:val="true"/>
          <w:cantSplit/>
        </w:trPr>
        <w:tc>
          <w:tcPr>
            <w:tcW w:type="dxa" w:w="2948"/>
            <w:shd w:fill="D9EAF7"/>
            <w:tcMar>
              <w:top w:w="65" w:type="dxa"/>
              <w:start w:w="75" w:type="dxa"/>
              <w:bottom w:w="65" w:type="dxa"/>
              <w:end w:w="75" w:type="dxa"/>
            </w:tcMar>
            <w:vAlign w:val="center"/>
          </w:tcPr>
          <w:p>
            <w:pPr>
              <w:spacing w:after="0"/>
              <w:jc w:val="center"/>
            </w:pPr>
            <w:r>
              <w:rPr>
                <w:rFonts w:ascii="Tinos" w:hAnsi="Tinos" w:eastAsia="Tinos"/>
                <w:b/>
                <w:sz w:val="18"/>
              </w:rPr>
              <w:t>Field</w:t>
            </w:r>
          </w:p>
        </w:tc>
        <w:tc>
          <w:tcPr>
            <w:tcW w:type="dxa" w:w="6236"/>
            <w:shd w:fill="D9EAF7"/>
            <w:tcMar>
              <w:top w:w="65" w:type="dxa"/>
              <w:start w:w="75" w:type="dxa"/>
              <w:bottom w:w="65" w:type="dxa"/>
              <w:end w:w="75" w:type="dxa"/>
            </w:tcMar>
            <w:vAlign w:val="center"/>
          </w:tcPr>
          <w:p>
            <w:pPr>
              <w:spacing w:after="0"/>
              <w:jc w:val="center"/>
            </w:pPr>
            <w:r>
              <w:rPr>
                <w:rFonts w:ascii="Tinos" w:hAnsi="Tinos" w:eastAsia="Tinos"/>
                <w:b/>
                <w:sz w:val="18"/>
              </w:rPr>
              <w:t>Information recorded</w:t>
            </w:r>
          </w:p>
        </w:tc>
      </w:tr>
      <w:tr>
        <w:trPr>
          <w:cantSplit/>
        </w:trPr>
        <w:tc>
          <w:tcPr>
            <w:tcW w:type="dxa" w:w="2948"/>
            <w:tcMar>
              <w:top w:w="65" w:type="dxa"/>
              <w:start w:w="75" w:type="dxa"/>
              <w:bottom w:w="65" w:type="dxa"/>
              <w:end w:w="75" w:type="dxa"/>
            </w:tcMar>
            <w:vAlign w:val="top"/>
          </w:tcPr>
          <w:p>
            <w:pPr>
              <w:spacing w:line="240" w:lineRule="auto" w:after="0"/>
              <w:jc w:val="left"/>
            </w:pPr>
            <w:r>
              <w:rPr>
                <w:rFonts w:ascii="Tinos" w:hAnsi="Tinos" w:eastAsia="Tinos"/>
                <w:sz w:val="18"/>
              </w:rPr>
              <w:t>Study identification</w:t>
            </w:r>
          </w:p>
        </w:tc>
        <w:tc>
          <w:tcPr>
            <w:tcW w:type="dxa" w:w="6236"/>
            <w:tcMar>
              <w:top w:w="65" w:type="dxa"/>
              <w:start w:w="75" w:type="dxa"/>
              <w:bottom w:w="65" w:type="dxa"/>
              <w:end w:w="75" w:type="dxa"/>
            </w:tcMar>
            <w:vAlign w:val="top"/>
          </w:tcPr>
          <w:p>
            <w:pPr>
              <w:spacing w:line="240" w:lineRule="auto" w:after="0"/>
              <w:jc w:val="left"/>
            </w:pPr>
            <w:r>
              <w:rPr>
                <w:rFonts w:ascii="Tinos" w:hAnsi="Tinos" w:eastAsia="Tinos"/>
                <w:sz w:val="18"/>
              </w:rPr>
              <w:t>Author, year, journal, DOI</w:t>
            </w:r>
          </w:p>
        </w:tc>
      </w:tr>
      <w:tr>
        <w:trPr>
          <w:cantSplit/>
        </w:trPr>
        <w:tc>
          <w:tcPr>
            <w:tcW w:type="dxa" w:w="2948"/>
            <w:tcMar>
              <w:top w:w="65" w:type="dxa"/>
              <w:start w:w="75" w:type="dxa"/>
              <w:bottom w:w="65" w:type="dxa"/>
              <w:end w:w="75" w:type="dxa"/>
            </w:tcMar>
            <w:vAlign w:val="top"/>
          </w:tcPr>
          <w:p>
            <w:pPr>
              <w:spacing w:line="240" w:lineRule="auto" w:after="0"/>
              <w:jc w:val="left"/>
            </w:pPr>
            <w:r>
              <w:rPr>
                <w:rFonts w:ascii="Tinos" w:hAnsi="Tinos" w:eastAsia="Tinos"/>
                <w:sz w:val="18"/>
              </w:rPr>
              <w:t>Setting</w:t>
            </w:r>
          </w:p>
        </w:tc>
        <w:tc>
          <w:tcPr>
            <w:tcW w:type="dxa" w:w="6236"/>
            <w:tcMar>
              <w:top w:w="65" w:type="dxa"/>
              <w:start w:w="75" w:type="dxa"/>
              <w:bottom w:w="65" w:type="dxa"/>
              <w:end w:w="75" w:type="dxa"/>
            </w:tcMar>
            <w:vAlign w:val="top"/>
          </w:tcPr>
          <w:p>
            <w:pPr>
              <w:spacing w:line="240" w:lineRule="auto" w:after="0"/>
              <w:jc w:val="left"/>
            </w:pPr>
            <w:r>
              <w:rPr>
                <w:rFonts w:ascii="Tinos" w:hAnsi="Tinos" w:eastAsia="Tinos"/>
                <w:sz w:val="18"/>
              </w:rPr>
              <w:t>Hospital, city, public-sector type, ICU type</w:t>
            </w:r>
          </w:p>
        </w:tc>
      </w:tr>
      <w:tr>
        <w:trPr>
          <w:cantSplit/>
        </w:trPr>
        <w:tc>
          <w:tcPr>
            <w:tcW w:type="dxa" w:w="2948"/>
            <w:tcMar>
              <w:top w:w="65" w:type="dxa"/>
              <w:start w:w="75" w:type="dxa"/>
              <w:bottom w:w="65" w:type="dxa"/>
              <w:end w:w="75" w:type="dxa"/>
            </w:tcMar>
            <w:vAlign w:val="top"/>
          </w:tcPr>
          <w:p>
            <w:pPr>
              <w:spacing w:line="240" w:lineRule="auto" w:after="0"/>
              <w:jc w:val="left"/>
            </w:pPr>
            <w:r>
              <w:rPr>
                <w:rFonts w:ascii="Tinos" w:hAnsi="Tinos" w:eastAsia="Tinos"/>
                <w:sz w:val="18"/>
              </w:rPr>
              <w:t>Design and period</w:t>
            </w:r>
          </w:p>
        </w:tc>
        <w:tc>
          <w:tcPr>
            <w:tcW w:type="dxa" w:w="6236"/>
            <w:tcMar>
              <w:top w:w="65" w:type="dxa"/>
              <w:start w:w="75" w:type="dxa"/>
              <w:bottom w:w="65" w:type="dxa"/>
              <w:end w:w="75" w:type="dxa"/>
            </w:tcMar>
            <w:vAlign w:val="top"/>
          </w:tcPr>
          <w:p>
            <w:pPr>
              <w:spacing w:line="240" w:lineRule="auto" w:after="0"/>
              <w:jc w:val="left"/>
            </w:pPr>
            <w:r>
              <w:rPr>
                <w:rFonts w:ascii="Tinos" w:hAnsi="Tinos" w:eastAsia="Tinos"/>
                <w:sz w:val="18"/>
              </w:rPr>
              <w:t>Prospective/retrospective/quasi-experimental/DEA and dates</w:t>
            </w:r>
          </w:p>
        </w:tc>
      </w:tr>
      <w:tr>
        <w:trPr>
          <w:cantSplit/>
        </w:trPr>
        <w:tc>
          <w:tcPr>
            <w:tcW w:type="dxa" w:w="2948"/>
            <w:tcMar>
              <w:top w:w="65" w:type="dxa"/>
              <w:start w:w="75" w:type="dxa"/>
              <w:bottom w:w="65" w:type="dxa"/>
              <w:end w:w="75" w:type="dxa"/>
            </w:tcMar>
            <w:vAlign w:val="top"/>
          </w:tcPr>
          <w:p>
            <w:pPr>
              <w:spacing w:line="240" w:lineRule="auto" w:after="0"/>
              <w:jc w:val="left"/>
            </w:pPr>
            <w:r>
              <w:rPr>
                <w:rFonts w:ascii="Tinos" w:hAnsi="Tinos" w:eastAsia="Tinos"/>
                <w:sz w:val="18"/>
              </w:rPr>
              <w:t>Sample</w:t>
            </w:r>
          </w:p>
        </w:tc>
        <w:tc>
          <w:tcPr>
            <w:tcW w:type="dxa" w:w="6236"/>
            <w:tcMar>
              <w:top w:w="65" w:type="dxa"/>
              <w:start w:w="75" w:type="dxa"/>
              <w:bottom w:w="65" w:type="dxa"/>
              <w:end w:w="75" w:type="dxa"/>
            </w:tcMar>
            <w:vAlign w:val="top"/>
          </w:tcPr>
          <w:p>
            <w:pPr>
              <w:spacing w:line="240" w:lineRule="auto" w:after="0"/>
              <w:jc w:val="left"/>
            </w:pPr>
            <w:r>
              <w:rPr>
                <w:rFonts w:ascii="Tinos" w:hAnsi="Tinos" w:eastAsia="Tinos"/>
                <w:sz w:val="18"/>
              </w:rPr>
              <w:t>Patients, hospitals, interventions, bed-days, ventilator-days</w:t>
            </w:r>
          </w:p>
        </w:tc>
      </w:tr>
      <w:tr>
        <w:trPr>
          <w:cantSplit/>
        </w:trPr>
        <w:tc>
          <w:tcPr>
            <w:tcW w:type="dxa" w:w="2948"/>
            <w:tcMar>
              <w:top w:w="65" w:type="dxa"/>
              <w:start w:w="75" w:type="dxa"/>
              <w:bottom w:w="65" w:type="dxa"/>
              <w:end w:w="75" w:type="dxa"/>
            </w:tcMar>
            <w:vAlign w:val="top"/>
          </w:tcPr>
          <w:p>
            <w:pPr>
              <w:spacing w:line="240" w:lineRule="auto" w:after="0"/>
              <w:jc w:val="left"/>
            </w:pPr>
            <w:r>
              <w:rPr>
                <w:rFonts w:ascii="Tinos" w:hAnsi="Tinos" w:eastAsia="Tinos"/>
                <w:sz w:val="18"/>
              </w:rPr>
              <w:t>Intervention</w:t>
            </w:r>
          </w:p>
        </w:tc>
        <w:tc>
          <w:tcPr>
            <w:tcW w:type="dxa" w:w="6236"/>
            <w:tcMar>
              <w:top w:w="65" w:type="dxa"/>
              <w:start w:w="75" w:type="dxa"/>
              <w:bottom w:w="65" w:type="dxa"/>
              <w:end w:w="75" w:type="dxa"/>
            </w:tcMar>
            <w:vAlign w:val="top"/>
          </w:tcPr>
          <w:p>
            <w:pPr>
              <w:spacing w:line="240" w:lineRule="auto" w:after="0"/>
              <w:jc w:val="left"/>
            </w:pPr>
            <w:r>
              <w:rPr>
                <w:rFonts w:ascii="Tinos" w:hAnsi="Tinos" w:eastAsia="Tinos"/>
                <w:sz w:val="18"/>
              </w:rPr>
              <w:t>Medication, respiratory, or organizational optimization</w:t>
            </w:r>
          </w:p>
        </w:tc>
      </w:tr>
      <w:tr>
        <w:trPr>
          <w:cantSplit/>
        </w:trPr>
        <w:tc>
          <w:tcPr>
            <w:tcW w:type="dxa" w:w="2948"/>
            <w:tcMar>
              <w:top w:w="65" w:type="dxa"/>
              <w:start w:w="75" w:type="dxa"/>
              <w:bottom w:w="65" w:type="dxa"/>
              <w:end w:w="75" w:type="dxa"/>
            </w:tcMar>
            <w:vAlign w:val="top"/>
          </w:tcPr>
          <w:p>
            <w:pPr>
              <w:spacing w:line="240" w:lineRule="auto" w:after="0"/>
              <w:jc w:val="left"/>
            </w:pPr>
            <w:r>
              <w:rPr>
                <w:rFonts w:ascii="Tinos" w:hAnsi="Tinos" w:eastAsia="Tinos"/>
                <w:sz w:val="18"/>
              </w:rPr>
              <w:t>Outcome unit</w:t>
            </w:r>
          </w:p>
        </w:tc>
        <w:tc>
          <w:tcPr>
            <w:tcW w:type="dxa" w:w="6236"/>
            <w:tcMar>
              <w:top w:w="65" w:type="dxa"/>
              <w:start w:w="75" w:type="dxa"/>
              <w:bottom w:w="65" w:type="dxa"/>
              <w:end w:w="75" w:type="dxa"/>
            </w:tcMar>
            <w:vAlign w:val="top"/>
          </w:tcPr>
          <w:p>
            <w:pPr>
              <w:spacing w:line="240" w:lineRule="auto" w:after="0"/>
              <w:jc w:val="left"/>
            </w:pPr>
            <w:r>
              <w:rPr>
                <w:rFonts w:ascii="Tinos" w:hAnsi="Tinos" w:eastAsia="Tinos"/>
                <w:sz w:val="18"/>
              </w:rPr>
              <w:t>SAR, USD, DDD/100 bed-days, rate/1,000 device-days, score, percentage</w:t>
            </w:r>
          </w:p>
        </w:tc>
      </w:tr>
      <w:tr>
        <w:trPr>
          <w:cantSplit/>
        </w:trPr>
        <w:tc>
          <w:tcPr>
            <w:tcW w:type="dxa" w:w="2948"/>
            <w:tcMar>
              <w:top w:w="65" w:type="dxa"/>
              <w:start w:w="75" w:type="dxa"/>
              <w:bottom w:w="65" w:type="dxa"/>
              <w:end w:w="75" w:type="dxa"/>
            </w:tcMar>
            <w:vAlign w:val="top"/>
          </w:tcPr>
          <w:p>
            <w:pPr>
              <w:spacing w:line="240" w:lineRule="auto" w:after="0"/>
              <w:jc w:val="left"/>
            </w:pPr>
            <w:r>
              <w:rPr>
                <w:rFonts w:ascii="Tinos" w:hAnsi="Tinos" w:eastAsia="Tinos"/>
                <w:sz w:val="18"/>
              </w:rPr>
              <w:t>Baseline value</w:t>
            </w:r>
          </w:p>
        </w:tc>
        <w:tc>
          <w:tcPr>
            <w:tcW w:type="dxa" w:w="6236"/>
            <w:tcMar>
              <w:top w:w="65" w:type="dxa"/>
              <w:start w:w="75" w:type="dxa"/>
              <w:bottom w:w="65" w:type="dxa"/>
              <w:end w:w="75" w:type="dxa"/>
            </w:tcMar>
            <w:vAlign w:val="top"/>
          </w:tcPr>
          <w:p>
            <w:pPr>
              <w:spacing w:line="240" w:lineRule="auto" w:after="0"/>
              <w:jc w:val="left"/>
            </w:pPr>
            <w:r>
              <w:rPr>
                <w:rFonts w:ascii="Tinos" w:hAnsi="Tinos" w:eastAsia="Tinos"/>
                <w:sz w:val="18"/>
              </w:rPr>
              <w:t>Exact published value</w:t>
            </w:r>
          </w:p>
        </w:tc>
      </w:tr>
      <w:tr>
        <w:trPr>
          <w:cantSplit/>
        </w:trPr>
        <w:tc>
          <w:tcPr>
            <w:tcW w:type="dxa" w:w="2948"/>
            <w:tcMar>
              <w:top w:w="65" w:type="dxa"/>
              <w:start w:w="75" w:type="dxa"/>
              <w:bottom w:w="65" w:type="dxa"/>
              <w:end w:w="75" w:type="dxa"/>
            </w:tcMar>
            <w:vAlign w:val="top"/>
          </w:tcPr>
          <w:p>
            <w:pPr>
              <w:spacing w:line="240" w:lineRule="auto" w:after="0"/>
              <w:jc w:val="left"/>
            </w:pPr>
            <w:r>
              <w:rPr>
                <w:rFonts w:ascii="Tinos" w:hAnsi="Tinos" w:eastAsia="Tinos"/>
                <w:sz w:val="18"/>
              </w:rPr>
              <w:t>Follow-up value</w:t>
            </w:r>
          </w:p>
        </w:tc>
        <w:tc>
          <w:tcPr>
            <w:tcW w:type="dxa" w:w="6236"/>
            <w:tcMar>
              <w:top w:w="65" w:type="dxa"/>
              <w:start w:w="75" w:type="dxa"/>
              <w:bottom w:w="65" w:type="dxa"/>
              <w:end w:w="75" w:type="dxa"/>
            </w:tcMar>
            <w:vAlign w:val="top"/>
          </w:tcPr>
          <w:p>
            <w:pPr>
              <w:spacing w:line="240" w:lineRule="auto" w:after="0"/>
              <w:jc w:val="left"/>
            </w:pPr>
            <w:r>
              <w:rPr>
                <w:rFonts w:ascii="Tinos" w:hAnsi="Tinos" w:eastAsia="Tinos"/>
                <w:sz w:val="18"/>
              </w:rPr>
              <w:t>Exact published value</w:t>
            </w:r>
          </w:p>
        </w:tc>
      </w:tr>
      <w:tr>
        <w:trPr>
          <w:cantSplit/>
        </w:trPr>
        <w:tc>
          <w:tcPr>
            <w:tcW w:type="dxa" w:w="2948"/>
            <w:tcMar>
              <w:top w:w="65" w:type="dxa"/>
              <w:start w:w="75" w:type="dxa"/>
              <w:bottom w:w="65" w:type="dxa"/>
              <w:end w:w="75" w:type="dxa"/>
            </w:tcMar>
            <w:vAlign w:val="top"/>
          </w:tcPr>
          <w:p>
            <w:pPr>
              <w:spacing w:line="240" w:lineRule="auto" w:after="0"/>
              <w:jc w:val="left"/>
            </w:pPr>
            <w:r>
              <w:rPr>
                <w:rFonts w:ascii="Tinos" w:hAnsi="Tinos" w:eastAsia="Tinos"/>
                <w:sz w:val="18"/>
              </w:rPr>
              <w:t>Calculated change</w:t>
            </w:r>
          </w:p>
        </w:tc>
        <w:tc>
          <w:tcPr>
            <w:tcW w:type="dxa" w:w="6236"/>
            <w:tcMar>
              <w:top w:w="65" w:type="dxa"/>
              <w:start w:w="75" w:type="dxa"/>
              <w:bottom w:w="65" w:type="dxa"/>
              <w:end w:w="75" w:type="dxa"/>
            </w:tcMar>
            <w:vAlign w:val="top"/>
          </w:tcPr>
          <w:p>
            <w:pPr>
              <w:spacing w:line="240" w:lineRule="auto" w:after="0"/>
              <w:jc w:val="left"/>
            </w:pPr>
            <w:r>
              <w:rPr>
                <w:rFonts w:ascii="Tinos" w:hAnsi="Tinos" w:eastAsia="Tinos"/>
                <w:sz w:val="18"/>
              </w:rPr>
              <w:t>Formula and result</w:t>
            </w:r>
          </w:p>
        </w:tc>
      </w:tr>
      <w:tr>
        <w:trPr>
          <w:cantSplit/>
        </w:trPr>
        <w:tc>
          <w:tcPr>
            <w:tcW w:type="dxa" w:w="2948"/>
            <w:tcMar>
              <w:top w:w="65" w:type="dxa"/>
              <w:start w:w="75" w:type="dxa"/>
              <w:bottom w:w="65" w:type="dxa"/>
              <w:end w:w="75" w:type="dxa"/>
            </w:tcMar>
            <w:vAlign w:val="top"/>
          </w:tcPr>
          <w:p>
            <w:pPr>
              <w:spacing w:line="240" w:lineRule="auto" w:after="0"/>
              <w:jc w:val="left"/>
            </w:pPr>
            <w:r>
              <w:rPr>
                <w:rFonts w:ascii="Tinos" w:hAnsi="Tinos" w:eastAsia="Tinos"/>
                <w:sz w:val="18"/>
              </w:rPr>
              <w:t>Statistical evidence</w:t>
            </w:r>
          </w:p>
        </w:tc>
        <w:tc>
          <w:tcPr>
            <w:tcW w:type="dxa" w:w="6236"/>
            <w:tcMar>
              <w:top w:w="65" w:type="dxa"/>
              <w:start w:w="75" w:type="dxa"/>
              <w:bottom w:w="65" w:type="dxa"/>
              <w:end w:w="75" w:type="dxa"/>
            </w:tcMar>
            <w:vAlign w:val="top"/>
          </w:tcPr>
          <w:p>
            <w:pPr>
              <w:spacing w:line="240" w:lineRule="auto" w:after="0"/>
              <w:jc w:val="left"/>
            </w:pPr>
            <w:r>
              <w:rPr>
                <w:rFonts w:ascii="Tinos" w:hAnsi="Tinos" w:eastAsia="Tinos"/>
                <w:sz w:val="18"/>
              </w:rPr>
              <w:t>p-value, confidence interval, or descriptive only</w:t>
            </w:r>
          </w:p>
        </w:tc>
      </w:tr>
      <w:tr>
        <w:trPr>
          <w:cantSplit/>
        </w:trPr>
        <w:tc>
          <w:tcPr>
            <w:tcW w:type="dxa" w:w="2948"/>
            <w:tcMar>
              <w:top w:w="65" w:type="dxa"/>
              <w:start w:w="75" w:type="dxa"/>
              <w:bottom w:w="65" w:type="dxa"/>
              <w:end w:w="75" w:type="dxa"/>
            </w:tcMar>
            <w:vAlign w:val="top"/>
          </w:tcPr>
          <w:p>
            <w:pPr>
              <w:spacing w:line="240" w:lineRule="auto" w:after="0"/>
              <w:jc w:val="left"/>
            </w:pPr>
            <w:r>
              <w:rPr>
                <w:rFonts w:ascii="Tinos" w:hAnsi="Tinos" w:eastAsia="Tinos"/>
                <w:sz w:val="18"/>
              </w:rPr>
              <w:t>Balancing outcomes</w:t>
            </w:r>
          </w:p>
        </w:tc>
        <w:tc>
          <w:tcPr>
            <w:tcW w:type="dxa" w:w="6236"/>
            <w:tcMar>
              <w:top w:w="65" w:type="dxa"/>
              <w:start w:w="75" w:type="dxa"/>
              <w:bottom w:w="65" w:type="dxa"/>
              <w:end w:w="75" w:type="dxa"/>
            </w:tcMar>
            <w:vAlign w:val="top"/>
          </w:tcPr>
          <w:p>
            <w:pPr>
              <w:spacing w:line="240" w:lineRule="auto" w:after="0"/>
              <w:jc w:val="left"/>
            </w:pPr>
            <w:r>
              <w:rPr>
                <w:rFonts w:ascii="Tinos" w:hAnsi="Tinos" w:eastAsia="Tinos"/>
                <w:sz w:val="18"/>
              </w:rPr>
              <w:t>Mortality, LOS, VAE, readmission, or safety</w:t>
            </w:r>
          </w:p>
        </w:tc>
      </w:tr>
      <w:tr>
        <w:trPr>
          <w:cantSplit/>
        </w:trPr>
        <w:tc>
          <w:tcPr>
            <w:tcW w:type="dxa" w:w="2948"/>
            <w:tcMar>
              <w:top w:w="65" w:type="dxa"/>
              <w:start w:w="75" w:type="dxa"/>
              <w:bottom w:w="65" w:type="dxa"/>
              <w:end w:w="75" w:type="dxa"/>
            </w:tcMar>
            <w:vAlign w:val="top"/>
          </w:tcPr>
          <w:p>
            <w:pPr>
              <w:spacing w:line="240" w:lineRule="auto" w:after="0"/>
              <w:jc w:val="left"/>
            </w:pPr>
            <w:r>
              <w:rPr>
                <w:rFonts w:ascii="Tinos" w:hAnsi="Tinos" w:eastAsia="Tinos"/>
                <w:sz w:val="18"/>
              </w:rPr>
              <w:t>Source inconsistency</w:t>
            </w:r>
          </w:p>
        </w:tc>
        <w:tc>
          <w:tcPr>
            <w:tcW w:type="dxa" w:w="6236"/>
            <w:tcMar>
              <w:top w:w="65" w:type="dxa"/>
              <w:start w:w="75" w:type="dxa"/>
              <w:bottom w:w="65" w:type="dxa"/>
              <w:end w:w="75" w:type="dxa"/>
            </w:tcMar>
            <w:vAlign w:val="top"/>
          </w:tcPr>
          <w:p>
            <w:pPr>
              <w:spacing w:line="240" w:lineRule="auto" w:after="0"/>
              <w:jc w:val="left"/>
            </w:pPr>
            <w:r>
              <w:rPr>
                <w:rFonts w:ascii="Tinos" w:hAnsi="Tinos" w:eastAsia="Tinos"/>
                <w:sz w:val="18"/>
              </w:rPr>
              <w:t>Narrative/table differences or missing data</w:t>
            </w:r>
          </w:p>
        </w:tc>
      </w:tr>
      <w:tr>
        <w:trPr>
          <w:cantSplit/>
        </w:trPr>
        <w:tc>
          <w:tcPr>
            <w:tcW w:type="dxa" w:w="2948"/>
            <w:tcMar>
              <w:top w:w="65" w:type="dxa"/>
              <w:start w:w="75" w:type="dxa"/>
              <w:bottom w:w="65" w:type="dxa"/>
              <w:end w:w="75" w:type="dxa"/>
            </w:tcMar>
            <w:vAlign w:val="top"/>
          </w:tcPr>
          <w:p>
            <w:pPr>
              <w:spacing w:line="240" w:lineRule="auto" w:after="0"/>
              <w:jc w:val="left"/>
            </w:pPr>
            <w:r>
              <w:rPr>
                <w:rFonts w:ascii="Tinos" w:hAnsi="Tinos" w:eastAsia="Tinos"/>
                <w:sz w:val="18"/>
              </w:rPr>
              <w:t>Interpretation</w:t>
            </w:r>
          </w:p>
        </w:tc>
        <w:tc>
          <w:tcPr>
            <w:tcW w:type="dxa" w:w="6236"/>
            <w:tcMar>
              <w:top w:w="65" w:type="dxa"/>
              <w:start w:w="75" w:type="dxa"/>
              <w:bottom w:w="65" w:type="dxa"/>
              <w:end w:w="75" w:type="dxa"/>
            </w:tcMar>
            <w:vAlign w:val="top"/>
          </w:tcPr>
          <w:p>
            <w:pPr>
              <w:spacing w:line="240" w:lineRule="auto" w:after="0"/>
              <w:jc w:val="left"/>
            </w:pPr>
            <w:r>
              <w:rPr>
                <w:rFonts w:ascii="Tinos" w:hAnsi="Tinos" w:eastAsia="Tinos"/>
                <w:sz w:val="18"/>
              </w:rPr>
              <w:t>Cost effect, resource effect, process effect, or mixed</w:t>
            </w:r>
          </w:p>
        </w:tc>
      </w:tr>
    </w:tbl>
    <w:p>
      <w:pPr>
        <w:spacing w:before="60" w:after="140"/>
        <w:jc w:val="center"/>
      </w:pPr>
      <w:r>
        <w:rPr>
          <w:rFonts w:ascii="Tinos" w:hAnsi="Tinos" w:eastAsia="Tinos"/>
          <w:b/>
          <w:sz w:val="20"/>
        </w:rPr>
        <w:t>Appendix Table A1  Data-extraction form</w:t>
      </w:r>
    </w:p>
    <w:p>
      <w:pPr>
        <w:pStyle w:val="Heading2"/>
      </w:pPr>
      <w:r>
        <w:t>Appendix B: Derived Calculations</w:t>
      </w:r>
    </w:p>
    <w:tbl>
      <w:tblPr>
        <w:tblW w:type="auto" w:w="0"/>
        <w:jc w:val="center"/>
        <w:tblLayout w:type="fixed"/>
        <w:tblLook w:firstColumn="1" w:firstRow="1" w:lastColumn="0" w:lastRow="0" w:noHBand="0" w:noVBand="1" w:val="04A0"/>
        <w:tblBorders>
          <w:top w:val="single" w:sz="4" w:color="9EADBA"/>
          <w:left w:val="single" w:sz="4" w:color="9EADBA"/>
          <w:bottom w:val="single" w:sz="4" w:color="9EADBA"/>
          <w:right w:val="single" w:sz="4" w:color="9EADBA"/>
          <w:insideH w:val="single" w:sz="4" w:color="9EADBA"/>
          <w:insideV w:val="single" w:sz="4" w:color="9EADBA"/>
        </w:tblBorders>
      </w:tblPr>
      <w:tblGrid>
        <w:gridCol w:w="3061"/>
        <w:gridCol w:w="3061"/>
        <w:gridCol w:w="3061"/>
      </w:tblGrid>
      <w:tr>
        <w:trPr>
          <w:tblHeader w:val="true"/>
          <w:cantSplit/>
        </w:trPr>
        <w:tc>
          <w:tcPr>
            <w:tcW w:type="dxa" w:w="3005"/>
            <w:shd w:fill="D9EAF7"/>
            <w:tcMar>
              <w:top w:w="65" w:type="dxa"/>
              <w:start w:w="75" w:type="dxa"/>
              <w:bottom w:w="65" w:type="dxa"/>
              <w:end w:w="75" w:type="dxa"/>
            </w:tcMar>
            <w:vAlign w:val="center"/>
          </w:tcPr>
          <w:p>
            <w:pPr>
              <w:spacing w:after="0"/>
              <w:jc w:val="center"/>
            </w:pPr>
            <w:r>
              <w:rPr>
                <w:rFonts w:ascii="Tinos" w:hAnsi="Tinos" w:eastAsia="Tinos"/>
                <w:b/>
                <w:sz w:val="17"/>
              </w:rPr>
              <w:t>Outcome</w:t>
            </w:r>
          </w:p>
        </w:tc>
        <w:tc>
          <w:tcPr>
            <w:tcW w:type="dxa" w:w="4082"/>
            <w:shd w:fill="D9EAF7"/>
            <w:tcMar>
              <w:top w:w="65" w:type="dxa"/>
              <w:start w:w="75" w:type="dxa"/>
              <w:bottom w:w="65" w:type="dxa"/>
              <w:end w:w="75" w:type="dxa"/>
            </w:tcMar>
            <w:vAlign w:val="center"/>
          </w:tcPr>
          <w:p>
            <w:pPr>
              <w:spacing w:after="0"/>
              <w:jc w:val="center"/>
            </w:pPr>
            <w:r>
              <w:rPr>
                <w:rFonts w:ascii="Tinos" w:hAnsi="Tinos" w:eastAsia="Tinos"/>
                <w:b/>
                <w:sz w:val="17"/>
              </w:rPr>
              <w:t>Calculation</w:t>
            </w:r>
          </w:p>
        </w:tc>
        <w:tc>
          <w:tcPr>
            <w:tcW w:type="dxa" w:w="2098"/>
            <w:shd w:fill="D9EAF7"/>
            <w:tcMar>
              <w:top w:w="65" w:type="dxa"/>
              <w:start w:w="75" w:type="dxa"/>
              <w:bottom w:w="65" w:type="dxa"/>
              <w:end w:w="75" w:type="dxa"/>
            </w:tcMar>
            <w:vAlign w:val="center"/>
          </w:tcPr>
          <w:p>
            <w:pPr>
              <w:spacing w:after="0"/>
              <w:jc w:val="center"/>
            </w:pPr>
            <w:r>
              <w:rPr>
                <w:rFonts w:ascii="Tinos" w:hAnsi="Tinos" w:eastAsia="Tinos"/>
                <w:b/>
                <w:sz w:val="17"/>
              </w:rPr>
              <w:t>Result</w:t>
            </w:r>
          </w:p>
        </w:tc>
      </w:tr>
      <w:tr>
        <w:trPr>
          <w:cantSplit/>
        </w:trPr>
        <w:tc>
          <w:tcPr>
            <w:tcW w:type="dxa" w:w="3005"/>
            <w:tcMar>
              <w:top w:w="65" w:type="dxa"/>
              <w:start w:w="75" w:type="dxa"/>
              <w:bottom w:w="65" w:type="dxa"/>
              <w:end w:w="75" w:type="dxa"/>
            </w:tcMar>
            <w:vAlign w:val="top"/>
          </w:tcPr>
          <w:p>
            <w:pPr>
              <w:spacing w:line="240" w:lineRule="auto" w:after="0"/>
              <w:jc w:val="left"/>
            </w:pPr>
            <w:r>
              <w:rPr>
                <w:rFonts w:ascii="Tinos" w:hAnsi="Tinos" w:eastAsia="Tinos"/>
                <w:sz w:val="17"/>
              </w:rPr>
              <w:t>Haseeb: total antimicrobial use</w:t>
            </w:r>
          </w:p>
        </w:tc>
        <w:tc>
          <w:tcPr>
            <w:tcW w:type="dxa" w:w="4082"/>
            <w:tcMar>
              <w:top w:w="65" w:type="dxa"/>
              <w:start w:w="75" w:type="dxa"/>
              <w:bottom w:w="65" w:type="dxa"/>
              <w:end w:w="75" w:type="dxa"/>
            </w:tcMar>
            <w:vAlign w:val="top"/>
          </w:tcPr>
          <w:p>
            <w:pPr>
              <w:spacing w:line="240" w:lineRule="auto" w:after="0"/>
              <w:jc w:val="left"/>
            </w:pPr>
            <w:r>
              <w:rPr>
                <w:rFonts w:ascii="Tinos" w:hAnsi="Tinos" w:eastAsia="Tinos"/>
                <w:sz w:val="17"/>
              </w:rPr>
              <w:t>(555.33 - 742.86) / 742.86 x 100</w:t>
            </w:r>
          </w:p>
        </w:tc>
        <w:tc>
          <w:tcPr>
            <w:tcW w:type="dxa" w:w="2098"/>
            <w:tcMar>
              <w:top w:w="65" w:type="dxa"/>
              <w:start w:w="75" w:type="dxa"/>
              <w:bottom w:w="65" w:type="dxa"/>
              <w:end w:w="75" w:type="dxa"/>
            </w:tcMar>
            <w:vAlign w:val="top"/>
          </w:tcPr>
          <w:p>
            <w:pPr>
              <w:spacing w:line="240" w:lineRule="auto" w:after="0"/>
              <w:jc w:val="left"/>
            </w:pPr>
            <w:r>
              <w:rPr>
                <w:rFonts w:ascii="Tinos" w:hAnsi="Tinos" w:eastAsia="Tinos"/>
                <w:sz w:val="17"/>
              </w:rPr>
              <w:t>-25.24%</w:t>
            </w:r>
          </w:p>
        </w:tc>
      </w:tr>
      <w:tr>
        <w:trPr>
          <w:cantSplit/>
        </w:trPr>
        <w:tc>
          <w:tcPr>
            <w:tcW w:type="dxa" w:w="3005"/>
            <w:tcMar>
              <w:top w:w="65" w:type="dxa"/>
              <w:start w:w="75" w:type="dxa"/>
              <w:bottom w:w="65" w:type="dxa"/>
              <w:end w:w="75" w:type="dxa"/>
            </w:tcMar>
            <w:vAlign w:val="top"/>
          </w:tcPr>
          <w:p>
            <w:pPr>
              <w:spacing w:line="240" w:lineRule="auto" w:after="0"/>
              <w:jc w:val="left"/>
            </w:pPr>
            <w:r>
              <w:rPr>
                <w:rFonts w:ascii="Tinos" w:hAnsi="Tinos" w:eastAsia="Tinos"/>
                <w:sz w:val="17"/>
              </w:rPr>
              <w:t>Haseeb: IV antimicrobial use</w:t>
            </w:r>
          </w:p>
        </w:tc>
        <w:tc>
          <w:tcPr>
            <w:tcW w:type="dxa" w:w="4082"/>
            <w:tcMar>
              <w:top w:w="65" w:type="dxa"/>
              <w:start w:w="75" w:type="dxa"/>
              <w:bottom w:w="65" w:type="dxa"/>
              <w:end w:w="75" w:type="dxa"/>
            </w:tcMar>
            <w:vAlign w:val="top"/>
          </w:tcPr>
          <w:p>
            <w:pPr>
              <w:spacing w:line="240" w:lineRule="auto" w:after="0"/>
              <w:jc w:val="left"/>
            </w:pPr>
            <w:r>
              <w:rPr>
                <w:rFonts w:ascii="Tinos" w:hAnsi="Tinos" w:eastAsia="Tinos"/>
                <w:sz w:val="17"/>
              </w:rPr>
              <w:t>(164.41 - 293.43) / 293.43 x 100</w:t>
            </w:r>
          </w:p>
        </w:tc>
        <w:tc>
          <w:tcPr>
            <w:tcW w:type="dxa" w:w="2098"/>
            <w:tcMar>
              <w:top w:w="65" w:type="dxa"/>
              <w:start w:w="75" w:type="dxa"/>
              <w:bottom w:w="65" w:type="dxa"/>
              <w:end w:w="75" w:type="dxa"/>
            </w:tcMar>
            <w:vAlign w:val="top"/>
          </w:tcPr>
          <w:p>
            <w:pPr>
              <w:spacing w:line="240" w:lineRule="auto" w:after="0"/>
              <w:jc w:val="left"/>
            </w:pPr>
            <w:r>
              <w:rPr>
                <w:rFonts w:ascii="Tinos" w:hAnsi="Tinos" w:eastAsia="Tinos"/>
                <w:sz w:val="17"/>
              </w:rPr>
              <w:t>-43.97%</w:t>
            </w:r>
          </w:p>
        </w:tc>
      </w:tr>
      <w:tr>
        <w:trPr>
          <w:cantSplit/>
        </w:trPr>
        <w:tc>
          <w:tcPr>
            <w:tcW w:type="dxa" w:w="3005"/>
            <w:tcMar>
              <w:top w:w="65" w:type="dxa"/>
              <w:start w:w="75" w:type="dxa"/>
              <w:bottom w:w="65" w:type="dxa"/>
              <w:end w:w="75" w:type="dxa"/>
            </w:tcMar>
            <w:vAlign w:val="top"/>
          </w:tcPr>
          <w:p>
            <w:pPr>
              <w:spacing w:line="240" w:lineRule="auto" w:after="0"/>
              <w:jc w:val="left"/>
            </w:pPr>
            <w:r>
              <w:rPr>
                <w:rFonts w:ascii="Tinos" w:hAnsi="Tinos" w:eastAsia="Tinos"/>
                <w:sz w:val="17"/>
              </w:rPr>
              <w:t>Haseeb: cost excluding linezolid</w:t>
            </w:r>
          </w:p>
        </w:tc>
        <w:tc>
          <w:tcPr>
            <w:tcW w:type="dxa" w:w="4082"/>
            <w:tcMar>
              <w:top w:w="65" w:type="dxa"/>
              <w:start w:w="75" w:type="dxa"/>
              <w:bottom w:w="65" w:type="dxa"/>
              <w:end w:w="75" w:type="dxa"/>
            </w:tcMar>
            <w:vAlign w:val="top"/>
          </w:tcPr>
          <w:p>
            <w:pPr>
              <w:spacing w:line="240" w:lineRule="auto" w:after="0"/>
              <w:jc w:val="left"/>
            </w:pPr>
            <w:r>
              <w:rPr>
                <w:rFonts w:ascii="Tinos" w:hAnsi="Tinos" w:eastAsia="Tinos"/>
                <w:sz w:val="17"/>
              </w:rPr>
              <w:t>(25,299.24 - 38,723.72) / 38,723.72 x 100</w:t>
            </w:r>
          </w:p>
        </w:tc>
        <w:tc>
          <w:tcPr>
            <w:tcW w:type="dxa" w:w="2098"/>
            <w:tcMar>
              <w:top w:w="65" w:type="dxa"/>
              <w:start w:w="75" w:type="dxa"/>
              <w:bottom w:w="65" w:type="dxa"/>
              <w:end w:w="75" w:type="dxa"/>
            </w:tcMar>
            <w:vAlign w:val="top"/>
          </w:tcPr>
          <w:p>
            <w:pPr>
              <w:spacing w:line="240" w:lineRule="auto" w:after="0"/>
              <w:jc w:val="left"/>
            </w:pPr>
            <w:r>
              <w:rPr>
                <w:rFonts w:ascii="Tinos" w:hAnsi="Tinos" w:eastAsia="Tinos"/>
                <w:sz w:val="17"/>
              </w:rPr>
              <w:t>-34.67%</w:t>
            </w:r>
          </w:p>
        </w:tc>
      </w:tr>
      <w:tr>
        <w:trPr>
          <w:cantSplit/>
        </w:trPr>
        <w:tc>
          <w:tcPr>
            <w:tcW w:type="dxa" w:w="3005"/>
            <w:tcMar>
              <w:top w:w="65" w:type="dxa"/>
              <w:start w:w="75" w:type="dxa"/>
              <w:bottom w:w="65" w:type="dxa"/>
              <w:end w:w="75" w:type="dxa"/>
            </w:tcMar>
            <w:vAlign w:val="top"/>
          </w:tcPr>
          <w:p>
            <w:pPr>
              <w:spacing w:line="240" w:lineRule="auto" w:after="0"/>
              <w:jc w:val="left"/>
            </w:pPr>
            <w:r>
              <w:rPr>
                <w:rFonts w:ascii="Tinos" w:hAnsi="Tinos" w:eastAsia="Tinos"/>
                <w:sz w:val="17"/>
              </w:rPr>
              <w:t>Bukhari: implied 2009 VAP rate</w:t>
            </w:r>
          </w:p>
        </w:tc>
        <w:tc>
          <w:tcPr>
            <w:tcW w:type="dxa" w:w="4082"/>
            <w:tcMar>
              <w:top w:w="65" w:type="dxa"/>
              <w:start w:w="75" w:type="dxa"/>
              <w:bottom w:w="65" w:type="dxa"/>
              <w:end w:w="75" w:type="dxa"/>
            </w:tcMar>
            <w:vAlign w:val="top"/>
          </w:tcPr>
          <w:p>
            <w:pPr>
              <w:spacing w:line="240" w:lineRule="auto" w:after="0"/>
              <w:jc w:val="left"/>
            </w:pPr>
            <w:r>
              <w:rPr>
                <w:rFonts w:ascii="Tinos" w:hAnsi="Tinos" w:eastAsia="Tinos"/>
                <w:sz w:val="17"/>
              </w:rPr>
              <w:t>1.98 + 1.41</w:t>
            </w:r>
          </w:p>
        </w:tc>
        <w:tc>
          <w:tcPr>
            <w:tcW w:type="dxa" w:w="2098"/>
            <w:tcMar>
              <w:top w:w="65" w:type="dxa"/>
              <w:start w:w="75" w:type="dxa"/>
              <w:bottom w:w="65" w:type="dxa"/>
              <w:end w:w="75" w:type="dxa"/>
            </w:tcMar>
            <w:vAlign w:val="top"/>
          </w:tcPr>
          <w:p>
            <w:pPr>
              <w:spacing w:line="240" w:lineRule="auto" w:after="0"/>
              <w:jc w:val="left"/>
            </w:pPr>
            <w:r>
              <w:rPr>
                <w:rFonts w:ascii="Tinos" w:hAnsi="Tinos" w:eastAsia="Tinos"/>
                <w:sz w:val="17"/>
              </w:rPr>
              <w:t>3.39 per 1,000 ventilator-days</w:t>
            </w:r>
          </w:p>
        </w:tc>
      </w:tr>
      <w:tr>
        <w:trPr>
          <w:cantSplit/>
        </w:trPr>
        <w:tc>
          <w:tcPr>
            <w:tcW w:type="dxa" w:w="3005"/>
            <w:tcMar>
              <w:top w:w="65" w:type="dxa"/>
              <w:start w:w="75" w:type="dxa"/>
              <w:bottom w:w="65" w:type="dxa"/>
              <w:end w:w="75" w:type="dxa"/>
            </w:tcMar>
            <w:vAlign w:val="top"/>
          </w:tcPr>
          <w:p>
            <w:pPr>
              <w:spacing w:line="240" w:lineRule="auto" w:after="0"/>
              <w:jc w:val="left"/>
            </w:pPr>
            <w:r>
              <w:rPr>
                <w:rFonts w:ascii="Tinos" w:hAnsi="Tinos" w:eastAsia="Tinos"/>
                <w:sz w:val="17"/>
              </w:rPr>
              <w:t>Bukhari: VAP reduction</w:t>
            </w:r>
          </w:p>
        </w:tc>
        <w:tc>
          <w:tcPr>
            <w:tcW w:type="dxa" w:w="4082"/>
            <w:tcMar>
              <w:top w:w="65" w:type="dxa"/>
              <w:start w:w="75" w:type="dxa"/>
              <w:bottom w:w="65" w:type="dxa"/>
              <w:end w:w="75" w:type="dxa"/>
            </w:tcMar>
            <w:vAlign w:val="top"/>
          </w:tcPr>
          <w:p>
            <w:pPr>
              <w:spacing w:line="240" w:lineRule="auto" w:after="0"/>
              <w:jc w:val="left"/>
            </w:pPr>
            <w:r>
              <w:rPr>
                <w:rFonts w:ascii="Tinos" w:hAnsi="Tinos" w:eastAsia="Tinos"/>
                <w:sz w:val="17"/>
              </w:rPr>
              <w:t>(1.98 - 3.39) / 3.39 x 100</w:t>
            </w:r>
          </w:p>
        </w:tc>
        <w:tc>
          <w:tcPr>
            <w:tcW w:type="dxa" w:w="2098"/>
            <w:tcMar>
              <w:top w:w="65" w:type="dxa"/>
              <w:start w:w="75" w:type="dxa"/>
              <w:bottom w:w="65" w:type="dxa"/>
              <w:end w:w="75" w:type="dxa"/>
            </w:tcMar>
            <w:vAlign w:val="top"/>
          </w:tcPr>
          <w:p>
            <w:pPr>
              <w:spacing w:line="240" w:lineRule="auto" w:after="0"/>
              <w:jc w:val="left"/>
            </w:pPr>
            <w:r>
              <w:rPr>
                <w:rFonts w:ascii="Tinos" w:hAnsi="Tinos" w:eastAsia="Tinos"/>
                <w:sz w:val="17"/>
              </w:rPr>
              <w:t>-41.59%</w:t>
            </w:r>
          </w:p>
        </w:tc>
      </w:tr>
      <w:tr>
        <w:trPr>
          <w:cantSplit/>
        </w:trPr>
        <w:tc>
          <w:tcPr>
            <w:tcW w:type="dxa" w:w="3005"/>
            <w:tcMar>
              <w:top w:w="65" w:type="dxa"/>
              <w:start w:w="75" w:type="dxa"/>
              <w:bottom w:w="65" w:type="dxa"/>
              <w:end w:w="75" w:type="dxa"/>
            </w:tcMar>
            <w:vAlign w:val="top"/>
          </w:tcPr>
          <w:p>
            <w:pPr>
              <w:spacing w:line="240" w:lineRule="auto" w:after="0"/>
              <w:jc w:val="left"/>
            </w:pPr>
            <w:r>
              <w:rPr>
                <w:rFonts w:ascii="Tinos" w:hAnsi="Tinos" w:eastAsia="Tinos"/>
                <w:sz w:val="17"/>
              </w:rPr>
              <w:t>Alarifi: SMR</w:t>
            </w:r>
          </w:p>
        </w:tc>
        <w:tc>
          <w:tcPr>
            <w:tcW w:type="dxa" w:w="4082"/>
            <w:tcMar>
              <w:top w:w="65" w:type="dxa"/>
              <w:start w:w="75" w:type="dxa"/>
              <w:bottom w:w="65" w:type="dxa"/>
              <w:end w:w="75" w:type="dxa"/>
            </w:tcMar>
            <w:vAlign w:val="top"/>
          </w:tcPr>
          <w:p>
            <w:pPr>
              <w:spacing w:line="240" w:lineRule="auto" w:after="0"/>
              <w:jc w:val="left"/>
            </w:pPr>
            <w:r>
              <w:rPr>
                <w:rFonts w:ascii="Tinos" w:hAnsi="Tinos" w:eastAsia="Tinos"/>
                <w:sz w:val="17"/>
              </w:rPr>
              <w:t>(0.399 - 0.575) / 0.575 x 100</w:t>
            </w:r>
          </w:p>
        </w:tc>
        <w:tc>
          <w:tcPr>
            <w:tcW w:type="dxa" w:w="2098"/>
            <w:tcMar>
              <w:top w:w="65" w:type="dxa"/>
              <w:start w:w="75" w:type="dxa"/>
              <w:bottom w:w="65" w:type="dxa"/>
              <w:end w:w="75" w:type="dxa"/>
            </w:tcMar>
            <w:vAlign w:val="top"/>
          </w:tcPr>
          <w:p>
            <w:pPr>
              <w:spacing w:line="240" w:lineRule="auto" w:after="0"/>
              <w:jc w:val="left"/>
            </w:pPr>
            <w:r>
              <w:rPr>
                <w:rFonts w:ascii="Tinos" w:hAnsi="Tinos" w:eastAsia="Tinos"/>
                <w:sz w:val="17"/>
              </w:rPr>
              <w:t>-30.61%</w:t>
            </w:r>
          </w:p>
        </w:tc>
      </w:tr>
      <w:tr>
        <w:trPr>
          <w:cantSplit/>
        </w:trPr>
        <w:tc>
          <w:tcPr>
            <w:tcW w:type="dxa" w:w="3005"/>
            <w:tcMar>
              <w:top w:w="65" w:type="dxa"/>
              <w:start w:w="75" w:type="dxa"/>
              <w:bottom w:w="65" w:type="dxa"/>
              <w:end w:w="75" w:type="dxa"/>
            </w:tcMar>
            <w:vAlign w:val="top"/>
          </w:tcPr>
          <w:p>
            <w:pPr>
              <w:spacing w:line="240" w:lineRule="auto" w:after="0"/>
              <w:jc w:val="left"/>
            </w:pPr>
            <w:r>
              <w:rPr>
                <w:rFonts w:ascii="Tinos" w:hAnsi="Tinos" w:eastAsia="Tinos"/>
                <w:sz w:val="17"/>
              </w:rPr>
              <w:t>Alarifi: ICU LOS</w:t>
            </w:r>
          </w:p>
        </w:tc>
        <w:tc>
          <w:tcPr>
            <w:tcW w:type="dxa" w:w="4082"/>
            <w:tcMar>
              <w:top w:w="65" w:type="dxa"/>
              <w:start w:w="75" w:type="dxa"/>
              <w:bottom w:w="65" w:type="dxa"/>
              <w:end w:w="75" w:type="dxa"/>
            </w:tcMar>
            <w:vAlign w:val="top"/>
          </w:tcPr>
          <w:p>
            <w:pPr>
              <w:spacing w:line="240" w:lineRule="auto" w:after="0"/>
              <w:jc w:val="left"/>
            </w:pPr>
            <w:r>
              <w:rPr>
                <w:rFonts w:ascii="Tinos" w:hAnsi="Tinos" w:eastAsia="Tinos"/>
                <w:sz w:val="17"/>
              </w:rPr>
              <w:t>(4.481 - 4.989) / 4.989 x 100</w:t>
            </w:r>
          </w:p>
        </w:tc>
        <w:tc>
          <w:tcPr>
            <w:tcW w:type="dxa" w:w="2098"/>
            <w:tcMar>
              <w:top w:w="65" w:type="dxa"/>
              <w:start w:w="75" w:type="dxa"/>
              <w:bottom w:w="65" w:type="dxa"/>
              <w:end w:w="75" w:type="dxa"/>
            </w:tcMar>
            <w:vAlign w:val="top"/>
          </w:tcPr>
          <w:p>
            <w:pPr>
              <w:spacing w:line="240" w:lineRule="auto" w:after="0"/>
              <w:jc w:val="left"/>
            </w:pPr>
            <w:r>
              <w:rPr>
                <w:rFonts w:ascii="Tinos" w:hAnsi="Tinos" w:eastAsia="Tinos"/>
                <w:sz w:val="17"/>
              </w:rPr>
              <w:t>-10.18%</w:t>
            </w:r>
          </w:p>
        </w:tc>
      </w:tr>
      <w:tr>
        <w:trPr>
          <w:cantSplit/>
        </w:trPr>
        <w:tc>
          <w:tcPr>
            <w:tcW w:type="dxa" w:w="3005"/>
            <w:tcMar>
              <w:top w:w="65" w:type="dxa"/>
              <w:start w:w="75" w:type="dxa"/>
              <w:bottom w:w="65" w:type="dxa"/>
              <w:end w:w="75" w:type="dxa"/>
            </w:tcMar>
            <w:vAlign w:val="top"/>
          </w:tcPr>
          <w:p>
            <w:pPr>
              <w:spacing w:line="240" w:lineRule="auto" w:after="0"/>
              <w:jc w:val="left"/>
            </w:pPr>
            <w:r>
              <w:rPr>
                <w:rFonts w:ascii="Tinos" w:hAnsi="Tinos" w:eastAsia="Tinos"/>
                <w:sz w:val="17"/>
              </w:rPr>
              <w:t>Alarifi: occupancy</w:t>
            </w:r>
          </w:p>
        </w:tc>
        <w:tc>
          <w:tcPr>
            <w:tcW w:type="dxa" w:w="4082"/>
            <w:tcMar>
              <w:top w:w="65" w:type="dxa"/>
              <w:start w:w="75" w:type="dxa"/>
              <w:bottom w:w="65" w:type="dxa"/>
              <w:end w:w="75" w:type="dxa"/>
            </w:tcMar>
            <w:vAlign w:val="top"/>
          </w:tcPr>
          <w:p>
            <w:pPr>
              <w:spacing w:line="240" w:lineRule="auto" w:after="0"/>
              <w:jc w:val="left"/>
            </w:pPr>
            <w:r>
              <w:rPr>
                <w:rFonts w:ascii="Tinos" w:hAnsi="Tinos" w:eastAsia="Tinos"/>
                <w:sz w:val="17"/>
              </w:rPr>
              <w:t>(72.08 - 91.00) / 91.00 x 100</w:t>
            </w:r>
          </w:p>
        </w:tc>
        <w:tc>
          <w:tcPr>
            <w:tcW w:type="dxa" w:w="2098"/>
            <w:tcMar>
              <w:top w:w="65" w:type="dxa"/>
              <w:start w:w="75" w:type="dxa"/>
              <w:bottom w:w="65" w:type="dxa"/>
              <w:end w:w="75" w:type="dxa"/>
            </w:tcMar>
            <w:vAlign w:val="top"/>
          </w:tcPr>
          <w:p>
            <w:pPr>
              <w:spacing w:line="240" w:lineRule="auto" w:after="0"/>
              <w:jc w:val="left"/>
            </w:pPr>
            <w:r>
              <w:rPr>
                <w:rFonts w:ascii="Tinos" w:hAnsi="Tinos" w:eastAsia="Tinos"/>
                <w:sz w:val="17"/>
              </w:rPr>
              <w:t>-20.79%</w:t>
            </w:r>
          </w:p>
        </w:tc>
      </w:tr>
      <w:tr>
        <w:trPr>
          <w:cantSplit/>
        </w:trPr>
        <w:tc>
          <w:tcPr>
            <w:tcW w:type="dxa" w:w="3005"/>
            <w:tcMar>
              <w:top w:w="65" w:type="dxa"/>
              <w:start w:w="75" w:type="dxa"/>
              <w:bottom w:w="65" w:type="dxa"/>
              <w:end w:w="75" w:type="dxa"/>
            </w:tcMar>
            <w:vAlign w:val="top"/>
          </w:tcPr>
          <w:p>
            <w:pPr>
              <w:spacing w:line="240" w:lineRule="auto" w:after="0"/>
              <w:jc w:val="left"/>
            </w:pPr>
            <w:r>
              <w:rPr>
                <w:rFonts w:ascii="Tinos" w:hAnsi="Tinos" w:eastAsia="Tinos"/>
                <w:sz w:val="17"/>
              </w:rPr>
              <w:t>Alarifi: delayed discharge</w:t>
            </w:r>
          </w:p>
        </w:tc>
        <w:tc>
          <w:tcPr>
            <w:tcW w:type="dxa" w:w="4082"/>
            <w:tcMar>
              <w:top w:w="65" w:type="dxa"/>
              <w:start w:w="75" w:type="dxa"/>
              <w:bottom w:w="65" w:type="dxa"/>
              <w:end w:w="75" w:type="dxa"/>
            </w:tcMar>
            <w:vAlign w:val="top"/>
          </w:tcPr>
          <w:p>
            <w:pPr>
              <w:spacing w:line="240" w:lineRule="auto" w:after="0"/>
              <w:jc w:val="left"/>
            </w:pPr>
            <w:r>
              <w:rPr>
                <w:rFonts w:ascii="Tinos" w:hAnsi="Tinos" w:eastAsia="Tinos"/>
                <w:sz w:val="17"/>
              </w:rPr>
              <w:t>(23.31 - 34.59) / 34.59 x 100</w:t>
            </w:r>
          </w:p>
        </w:tc>
        <w:tc>
          <w:tcPr>
            <w:tcW w:type="dxa" w:w="2098"/>
            <w:tcMar>
              <w:top w:w="65" w:type="dxa"/>
              <w:start w:w="75" w:type="dxa"/>
              <w:bottom w:w="65" w:type="dxa"/>
              <w:end w:w="75" w:type="dxa"/>
            </w:tcMar>
            <w:vAlign w:val="top"/>
          </w:tcPr>
          <w:p>
            <w:pPr>
              <w:spacing w:line="240" w:lineRule="auto" w:after="0"/>
              <w:jc w:val="left"/>
            </w:pPr>
            <w:r>
              <w:rPr>
                <w:rFonts w:ascii="Tinos" w:hAnsi="Tinos" w:eastAsia="Tinos"/>
                <w:sz w:val="17"/>
              </w:rPr>
              <w:t>-32.61%</w:t>
            </w:r>
          </w:p>
        </w:tc>
      </w:tr>
    </w:tbl>
    <w:p>
      <w:pPr>
        <w:spacing w:before="60" w:after="140"/>
        <w:jc w:val="center"/>
      </w:pPr>
      <w:r>
        <w:rPr>
          <w:rFonts w:ascii="Tinos" w:hAnsi="Tinos" w:eastAsia="Tinos"/>
          <w:b/>
          <w:sz w:val="20"/>
        </w:rPr>
        <w:t>Appendix Table A2  Derived percentage-change calculations</w:t>
      </w:r>
    </w:p>
    <w:p>
      <w:pPr>
        <w:pStyle w:val="Heading2"/>
      </w:pPr>
      <w:r>
        <w:t>Appendix C: Research Integrity Notes</w:t>
      </w:r>
    </w:p>
    <w:p>
      <w:pPr>
        <w:pStyle w:val="ListBullet"/>
        <w:spacing w:line="252" w:lineRule="auto" w:after="20"/>
        <w:ind w:left="369"/>
        <w:jc w:val="both"/>
      </w:pPr>
      <w:r>
        <w:rPr>
          <w:rFonts w:ascii="Tinos" w:hAnsi="Tinos" w:eastAsia="Tinos"/>
        </w:rPr>
        <w:t>The original approved title was kept on the cover.</w:t>
      </w:r>
    </w:p>
    <w:p>
      <w:pPr>
        <w:pStyle w:val="ListBullet"/>
        <w:spacing w:line="252" w:lineRule="auto" w:after="20"/>
        <w:ind w:left="369"/>
        <w:jc w:val="both"/>
      </w:pPr>
      <w:r>
        <w:rPr>
          <w:rFonts w:ascii="Tinos" w:hAnsi="Tinos" w:eastAsia="Tinos"/>
        </w:rPr>
        <w:t>The subtitle and methods clearly state that the project is a secondary analysis of published Saudi field studies.</w:t>
      </w:r>
    </w:p>
    <w:p>
      <w:pPr>
        <w:pStyle w:val="ListBullet"/>
        <w:spacing w:line="252" w:lineRule="auto" w:after="20"/>
        <w:ind w:left="369"/>
        <w:jc w:val="both"/>
      </w:pPr>
      <w:r>
        <w:rPr>
          <w:rFonts w:ascii="Tinos" w:hAnsi="Tinos" w:eastAsia="Tinos"/>
        </w:rPr>
        <w:t>No questionnaire was used.</w:t>
      </w:r>
    </w:p>
    <w:p>
      <w:pPr>
        <w:pStyle w:val="ListBullet"/>
        <w:spacing w:line="252" w:lineRule="auto" w:after="20"/>
        <w:ind w:left="369"/>
        <w:jc w:val="both"/>
      </w:pPr>
      <w:r>
        <w:rPr>
          <w:rFonts w:ascii="Tinos" w:hAnsi="Tinos" w:eastAsia="Tinos"/>
        </w:rPr>
        <w:t>No hospital data were invented or presented as data collected by the student.</w:t>
      </w:r>
    </w:p>
    <w:p>
      <w:pPr>
        <w:pStyle w:val="ListBullet"/>
        <w:spacing w:line="252" w:lineRule="auto" w:after="20"/>
        <w:ind w:left="369"/>
        <w:jc w:val="both"/>
      </w:pPr>
      <w:r>
        <w:rPr>
          <w:rFonts w:ascii="Tinos" w:hAnsi="Tinos" w:eastAsia="Tinos"/>
        </w:rPr>
        <w:t>Every numerical result is linked to a cited study or to a calculation based on published values.</w:t>
      </w:r>
    </w:p>
    <w:p>
      <w:pPr>
        <w:pStyle w:val="ListBullet"/>
        <w:spacing w:line="252" w:lineRule="auto" w:after="20"/>
        <w:ind w:left="369"/>
        <w:jc w:val="both"/>
      </w:pPr>
      <w:r>
        <w:rPr>
          <w:rFonts w:ascii="Tinos" w:hAnsi="Tinos" w:eastAsia="Tinos"/>
        </w:rPr>
        <w:t>Differences between article text and tables were reported.</w:t>
      </w:r>
    </w:p>
    <w:p>
      <w:pPr>
        <w:pStyle w:val="ListBullet"/>
        <w:spacing w:line="252" w:lineRule="auto" w:after="20"/>
        <w:ind w:left="369"/>
        <w:jc w:val="both"/>
      </w:pPr>
      <w:r>
        <w:rPr>
          <w:rFonts w:ascii="Tinos" w:hAnsi="Tinos" w:eastAsia="Tinos"/>
        </w:rPr>
        <w:t>The six studies were not combined into an unsupported national cost estimate.</w:t>
      </w:r>
    </w:p>
    <w:p>
      <w:pPr>
        <w:pStyle w:val="ListBullet"/>
        <w:spacing w:line="252" w:lineRule="auto" w:after="20"/>
        <w:ind w:left="369"/>
        <w:jc w:val="both"/>
      </w:pPr>
      <w:r>
        <w:rPr>
          <w:rFonts w:ascii="Tinos" w:hAnsi="Tinos" w:eastAsia="Tinos"/>
        </w:rPr>
        <w:t>The supervisor should confirm that the university accepts the secondary-data design before final submission.</w:t>
      </w:r>
    </w:p>
    <w:sectPr w:rsidR="00FC693F" w:rsidRPr="0006063C" w:rsidSect="00034616">
      <w:headerReference w:type="default" r:id="rId9"/>
      <w:footerReference w:type="default" r:id="rId10"/>
      <w:pgSz w:w="11906" w:h="16838"/>
      <w:pgMar w:top="1191" w:right="1361" w:bottom="1134"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 PAGE </w:instrText>
      <w:fldChar w:fldCharType="separate"/>
      <w:t>1</w: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Pr>
    <w:r>
      <w:rPr>
        <w:rFonts w:ascii="Tinos" w:hAnsi="Tinos" w:eastAsia="Tinos"/>
        <w:i/>
        <w:color w:val="666666"/>
        <w:sz w:val="17"/>
      </w:rPr>
      <w:t>MBA Graduation Project - Healthcare Management</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nos" w:hAnsi="Tinos" w:eastAsia="Tinos"/>
      <w:sz w:val="23"/>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ascii="Tinos" w:hAnsi="Tinos" w:eastAsia="Tinos"/>
      <w:b/>
      <w:bCs/>
      <w:color w:val="1F4E79"/>
      <w:sz w:val="32"/>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ascii="Tinos" w:hAnsi="Tinos" w:eastAsia="Tinos"/>
      <w:b/>
      <w:bCs/>
      <w:color w:val="1F4E79"/>
      <w:sz w:val="28"/>
      <w:szCs w:val="26"/>
    </w:rPr>
  </w:style>
  <w:style w:type="paragraph" w:styleId="Heading3">
    <w:name w:val="heading 3"/>
    <w:basedOn w:val="Normal"/>
    <w:next w:val="Normal"/>
    <w:link w:val="Heading3Char"/>
    <w:uiPriority w:val="9"/>
    <w:unhideWhenUsed/>
    <w:qFormat/>
    <w:rsid w:val="00FC693F"/>
    <w:pPr>
      <w:keepNext/>
      <w:keepLines/>
      <w:spacing w:before="200" w:after="100"/>
      <w:outlineLvl w:val="2"/>
    </w:pPr>
    <w:rPr>
      <w:rFonts w:asciiTheme="majorHAnsi" w:eastAsiaTheme="majorEastAsia" w:hAnsiTheme="majorHAnsi" w:cstheme="majorBidi" w:ascii="Tinos" w:hAnsi="Tinos" w:eastAsia="Tinos"/>
      <w:b/>
      <w:bCs/>
      <w:color w:val="1F4E79"/>
      <w:sz w:val="25"/>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Effect of Clinical Resource Optimization on Cost Efficiency in Intensive Care Units: A Field Study in Saudi Public Hospitals</dc:title>
  <dc:subject>MBA Graduation Project - Secondary analysis of published Saudi field evidence</dc:subject>
  <dc:creator>Mohammed Almesned</dc:creator>
  <cp:keywords/>
  <dc:description>generated by python-docx</dc:description>
  <cp:lastModifiedBy/>
  <cp:revision>1</cp:revision>
  <dcterms:created xsi:type="dcterms:W3CDTF">2013-12-23T23:15:00Z</dcterms:created>
  <dcterms:modified xsi:type="dcterms:W3CDTF">2013-12-23T23:15:00Z</dcterms:modified>
  <cp:category/>
</cp:coreProperties>
</file>