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96854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A5DD2">
        <w:rPr>
          <w:rFonts w:hint="cs"/>
          <w:rtl/>
        </w:rPr>
        <w:t>سلمان محمد عيسرى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8580D13" w:rsidR="006C5DFA" w:rsidRDefault="001A5DD2" w:rsidP="006C5DFA">
            <w:pPr>
              <w:jc w:val="center"/>
            </w:pPr>
            <w:r w:rsidRPr="001A5DD2">
              <w:rPr>
                <w:rtl/>
              </w:rPr>
              <w:t>عدم كتابة اسم المشرف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CF57F4" w14:textId="77777777" w:rsidR="001A5DD2" w:rsidRDefault="001A5DD2" w:rsidP="001A5DD2"/>
          <w:p w14:paraId="7435E8FC" w14:textId="3F5EFE52" w:rsidR="008239B5" w:rsidRDefault="001A5DD2" w:rsidP="001A5DD2">
            <w:pPr>
              <w:jc w:val="center"/>
            </w:pPr>
            <w:r>
              <w:rPr>
                <w:rtl/>
              </w:rPr>
              <w:t>الملاحظة الوحيدة: الإطار النظري كان محتاج يكون أكثر توسعًا في شرح المفاهيم النظرية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A5DD2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