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E683A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F76CD" w:rsidRPr="002F76CD">
        <w:rPr>
          <w:rFonts w:cs="Arial"/>
          <w:rtl/>
        </w:rPr>
        <w:t>محمد طريخم مبطي الرشيدي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D70FD24" w:rsidR="00EA22ED" w:rsidRDefault="002F76CD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2CD8D2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38877E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83E5DD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DADC0B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883541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54E086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058109F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3AE9C63" w:rsidR="00EA22ED" w:rsidRDefault="002F76CD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1A02DE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5EA77E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59FEC8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B8F0EA9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05103C0" w:rsidR="00EA22ED" w:rsidRDefault="002F76CD" w:rsidP="00CC5AD4">
            <w:pPr>
              <w:jc w:val="center"/>
            </w:pPr>
            <w:r w:rsidRPr="002F76CD">
              <w:t>√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A010529" w:rsidR="00EA22ED" w:rsidRDefault="002F76CD" w:rsidP="00CC5AD4">
            <w:pPr>
              <w:jc w:val="center"/>
            </w:pPr>
            <w:r>
              <w:rPr>
                <w:rFonts w:hint="cs"/>
                <w:rtl/>
              </w:rPr>
              <w:t xml:space="preserve">ترتيب الدراسات السابقة وترقيمها مع ترتيب وترقيم المراجع و  المراجع الاجنبية 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F76CD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3023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