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D235" w14:textId="77777777" w:rsidR="00D33CA6" w:rsidRDefault="00D33CA6" w:rsidP="00F5781A">
      <w:pPr>
        <w:bidi/>
        <w:spacing w:line="240" w:lineRule="auto"/>
        <w:ind w:hanging="283"/>
        <w:jc w:val="both"/>
        <w:rPr>
          <w:rFonts w:ascii="ae_Cortoba" w:hAnsi="ae_Cortoba" w:cs="ae_Cortoba"/>
          <w:b/>
          <w:bCs/>
          <w:color w:val="548DD4" w:themeColor="text2" w:themeTint="99"/>
          <w:sz w:val="40"/>
          <w:szCs w:val="40"/>
          <w:rtl/>
        </w:rPr>
      </w:pPr>
    </w:p>
    <w:p w14:paraId="03AA2888" w14:textId="41FC90EE" w:rsidR="007A31DC" w:rsidRDefault="00264677" w:rsidP="00D33CA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41258472" w:rsidR="00395E1F" w:rsidRPr="00395E1F" w:rsidRDefault="00395E1F" w:rsidP="00395E1F">
      <w:pPr>
        <w:bidi/>
        <w:jc w:val="center"/>
        <w:rPr>
          <w:rFonts w:ascii="Arial" w:hAnsi="Arial" w:cs="Akhbar MT"/>
          <w:b/>
          <w:bCs/>
          <w:sz w:val="44"/>
          <w:szCs w:val="44"/>
          <w:rtl/>
        </w:rPr>
      </w:pPr>
    </w:p>
    <w:p w14:paraId="1A9CD56B" w14:textId="6E239A8A" w:rsidR="007A31DC" w:rsidRPr="00BE609B" w:rsidRDefault="00640912" w:rsidP="00BE609B">
      <w:pPr>
        <w:bidi/>
        <w:jc w:val="center"/>
        <w:rPr>
          <w:rFonts w:ascii="Arial" w:hAnsi="Arial" w:cs="Monotype Koufi"/>
          <w:b/>
          <w:bCs/>
          <w:sz w:val="44"/>
          <w:szCs w:val="44"/>
          <w:rtl/>
        </w:rPr>
      </w:pPr>
      <w:r>
        <w:rPr>
          <w:rFonts w:ascii="Arial" w:hAnsi="Arial" w:cs="Monotype Koufi" w:hint="cs"/>
          <w:b/>
          <w:bCs/>
          <w:sz w:val="44"/>
          <w:szCs w:val="44"/>
          <w:rtl/>
        </w:rPr>
        <w:t>بحث علمي</w:t>
      </w:r>
      <w:r w:rsidR="00BE609B">
        <w:rPr>
          <w:rFonts w:ascii="Arial" w:hAnsi="Arial" w:cs="Monotype Koufi" w:hint="cs"/>
          <w:b/>
          <w:bCs/>
          <w:sz w:val="44"/>
          <w:szCs w:val="44"/>
          <w:rtl/>
        </w:rPr>
        <w:t xml:space="preserve"> </w:t>
      </w:r>
      <w:r w:rsidR="007A31DC" w:rsidRPr="007A31DC">
        <w:rPr>
          <w:rFonts w:ascii="Arial" w:hAnsi="Arial" w:cs="Arial" w:hint="cs"/>
          <w:b/>
          <w:bCs/>
          <w:sz w:val="44"/>
          <w:szCs w:val="44"/>
          <w:rtl/>
        </w:rPr>
        <w:t>لتسجيل 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6DB560E6" w:rsidR="00BE609B" w:rsidRPr="004A45AD" w:rsidRDefault="004A45AD" w:rsidP="004A45AD">
      <w:pPr>
        <w:spacing w:line="480" w:lineRule="auto"/>
        <w:ind w:left="534" w:hanging="340"/>
        <w:jc w:val="right"/>
        <w:rPr>
          <w:rFonts w:asciiTheme="minorBidi" w:eastAsia="Times New Roman" w:hAnsiTheme="minorBidi"/>
          <w:b/>
          <w:bCs/>
          <w:color w:val="0070C0"/>
          <w:sz w:val="28"/>
          <w:szCs w:val="28"/>
          <w:rtl/>
        </w:rPr>
      </w:pPr>
      <w:r w:rsidRPr="004A45AD">
        <w:rPr>
          <w:rFonts w:asciiTheme="minorBidi" w:eastAsia="Times New Roman" w:hAnsiTheme="minorBidi"/>
          <w:b/>
          <w:bCs/>
          <w:color w:val="0070C0"/>
          <w:sz w:val="28"/>
          <w:szCs w:val="28"/>
          <w:rtl/>
        </w:rPr>
        <w:t>أثر تطبيق مبادئ الاستدامة على أداء المشاريع الإنشائية: دراسة تطبيقية على الشركات الإنشائية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3AF2BCD8"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32B64D6C" w14:textId="352BD5C9" w:rsidR="008754A3" w:rsidRPr="0021489E" w:rsidRDefault="004A45AD" w:rsidP="008754A3">
      <w:pPr>
        <w:pStyle w:val="NormalWeb"/>
        <w:bidi/>
        <w:spacing w:before="0" w:beforeAutospacing="0" w:after="0" w:afterAutospacing="0" w:line="480" w:lineRule="auto"/>
        <w:ind w:right="-270"/>
        <w:jc w:val="right"/>
        <w:rPr>
          <w:rFonts w:ascii="Traditional Arabic" w:hAnsi="Traditional Arabic" w:cs="Traditional Arabic"/>
          <w:b/>
          <w:bCs/>
          <w:color w:val="0070C0"/>
          <w:sz w:val="28"/>
          <w:szCs w:val="28"/>
          <w:rtl/>
        </w:rPr>
      </w:pPr>
      <w:r w:rsidRPr="004A45AD">
        <w:rPr>
          <w:rFonts w:ascii="Traditional Arabic" w:hAnsi="Traditional Arabic" w:cs="Traditional Arabic"/>
          <w:b/>
          <w:bCs/>
          <w:color w:val="0070C0"/>
          <w:sz w:val="28"/>
          <w:szCs w:val="28"/>
        </w:rPr>
        <w:t>The Impact of Applying Sustainability Principles on Construction Project Performance: An Applied Study of Saudi Construction Companies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471A7140" w:rsidR="004B484B" w:rsidRPr="004B484B" w:rsidRDefault="006A3529" w:rsidP="006A3529">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2A67013C" w:rsidR="004B484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عبدالله عايد الحربي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572EFD7" w:rsidR="00BE609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241002419</w:t>
            </w:r>
          </w:p>
        </w:tc>
      </w:tr>
      <w:tr w:rsidR="004B484B" w14:paraId="627B39DB" w14:textId="0373C5D2" w:rsidTr="00BE609B">
        <w:tc>
          <w:tcPr>
            <w:tcW w:w="1763" w:type="dxa"/>
          </w:tcPr>
          <w:p w14:paraId="0FCA9608" w14:textId="142E9091" w:rsidR="004B484B" w:rsidRPr="004B484B" w:rsidRDefault="006A3529"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B85CA3" w:rsidR="004B484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5424B82" w14:textId="77C13A44" w:rsidR="009701C8" w:rsidRDefault="00883E09" w:rsidP="0021489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17A3A">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017A3A">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7D9CDDE6" w14:textId="5F091EA9" w:rsidR="00D52585" w:rsidRPr="008A7560" w:rsidRDefault="00F561FB" w:rsidP="00D52585">
      <w:pPr>
        <w:bidi/>
        <w:spacing w:after="20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lastRenderedPageBreak/>
        <w:t>فهرس رسالة الدكتوراه:</w:t>
      </w:r>
      <w:r w:rsidR="00E33427" w:rsidRPr="008A7560">
        <w:rPr>
          <w:rFonts w:ascii="Traditional Arabic" w:hAnsi="Traditional Arabic" w:cs="Traditional Arabic"/>
          <w:b/>
          <w:bCs/>
          <w:sz w:val="28"/>
          <w:szCs w:val="28"/>
          <w:u w:val="single"/>
          <w:rtl/>
        </w:rPr>
        <w:t xml:space="preserve">                                                                                   رقم الصفحة</w:t>
      </w:r>
    </w:p>
    <w:p w14:paraId="78F015EC" w14:textId="58F68BDD" w:rsidR="00F561FB" w:rsidRPr="008A7560" w:rsidRDefault="00F561FB" w:rsidP="00F561FB">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الأول...................................................................................3</w:t>
      </w:r>
    </w:p>
    <w:p w14:paraId="5907CD5C" w14:textId="2085BDA8" w:rsidR="00F561FB" w:rsidRPr="008A7560" w:rsidRDefault="00F561FB" w:rsidP="00E33427">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الثاني</w:t>
      </w:r>
      <w:r w:rsidR="00E33427" w:rsidRPr="008A7560">
        <w:rPr>
          <w:rFonts w:ascii="Traditional Arabic" w:hAnsi="Traditional Arabic" w:cs="Traditional Arabic"/>
          <w:b/>
          <w:bCs/>
          <w:sz w:val="28"/>
          <w:szCs w:val="28"/>
          <w:u w:val="single"/>
          <w:rtl/>
        </w:rPr>
        <w:t>.................................................................................20</w:t>
      </w:r>
    </w:p>
    <w:p w14:paraId="35D74F46" w14:textId="089E29EE" w:rsidR="00F561FB" w:rsidRPr="008A7560" w:rsidRDefault="00F561FB" w:rsidP="00E33427">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الثالث</w:t>
      </w:r>
      <w:r w:rsidR="00E33427" w:rsidRPr="008A7560">
        <w:rPr>
          <w:rFonts w:ascii="Traditional Arabic" w:hAnsi="Traditional Arabic" w:cs="Traditional Arabic"/>
          <w:b/>
          <w:bCs/>
          <w:sz w:val="28"/>
          <w:szCs w:val="28"/>
          <w:u w:val="single"/>
          <w:rtl/>
        </w:rPr>
        <w:t>................................................................................55</w:t>
      </w:r>
    </w:p>
    <w:p w14:paraId="41D790AC" w14:textId="099B4BDA" w:rsidR="00F561FB" w:rsidRPr="008A7560" w:rsidRDefault="00F561FB" w:rsidP="00F561FB">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الرابع</w:t>
      </w:r>
      <w:r w:rsidR="00E33427" w:rsidRPr="008A7560">
        <w:rPr>
          <w:rFonts w:ascii="Traditional Arabic" w:hAnsi="Traditional Arabic" w:cs="Traditional Arabic"/>
          <w:b/>
          <w:bCs/>
          <w:sz w:val="28"/>
          <w:szCs w:val="28"/>
          <w:u w:val="single"/>
          <w:rtl/>
        </w:rPr>
        <w:t>.................................................................................</w:t>
      </w:r>
      <w:r w:rsidR="00585CB0">
        <w:rPr>
          <w:rFonts w:ascii="Traditional Arabic" w:hAnsi="Traditional Arabic" w:cs="Traditional Arabic" w:hint="cs"/>
          <w:b/>
          <w:bCs/>
          <w:sz w:val="28"/>
          <w:szCs w:val="28"/>
          <w:u w:val="single"/>
          <w:rtl/>
        </w:rPr>
        <w:t>76</w:t>
      </w:r>
    </w:p>
    <w:p w14:paraId="445AEDBC" w14:textId="77777777" w:rsidR="00091309" w:rsidRPr="008A7560" w:rsidRDefault="00091309" w:rsidP="00091309">
      <w:pPr>
        <w:bidi/>
        <w:spacing w:after="200" w:line="480" w:lineRule="auto"/>
        <w:rPr>
          <w:rFonts w:ascii="Traditional Arabic" w:hAnsi="Traditional Arabic" w:cs="Traditional Arabic"/>
          <w:b/>
          <w:bCs/>
          <w:sz w:val="28"/>
          <w:szCs w:val="28"/>
          <w:u w:val="single"/>
        </w:rPr>
      </w:pPr>
    </w:p>
    <w:p w14:paraId="2D605B08" w14:textId="77777777" w:rsidR="008A450E" w:rsidRPr="008A7560" w:rsidRDefault="008A450E" w:rsidP="008A450E">
      <w:pPr>
        <w:bidi/>
        <w:spacing w:after="200" w:line="480" w:lineRule="auto"/>
        <w:rPr>
          <w:rFonts w:ascii="Traditional Arabic" w:hAnsi="Traditional Arabic" w:cs="Traditional Arabic"/>
          <w:b/>
          <w:bCs/>
          <w:sz w:val="28"/>
          <w:szCs w:val="28"/>
          <w:u w:val="single"/>
        </w:rPr>
      </w:pPr>
    </w:p>
    <w:p w14:paraId="4AD0CF1B"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2116CA90" w14:textId="77777777" w:rsidR="00131FA7" w:rsidRPr="008A7560" w:rsidRDefault="00131FA7" w:rsidP="00131FA7">
      <w:pPr>
        <w:bidi/>
        <w:spacing w:after="200" w:line="480" w:lineRule="auto"/>
        <w:rPr>
          <w:rFonts w:ascii="Traditional Arabic" w:hAnsi="Traditional Arabic" w:cs="Traditional Arabic"/>
          <w:b/>
          <w:bCs/>
          <w:sz w:val="28"/>
          <w:szCs w:val="28"/>
          <w:u w:val="single"/>
          <w:rtl/>
        </w:rPr>
      </w:pPr>
    </w:p>
    <w:p w14:paraId="6F050127"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54A93D8E"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8EDBFC1"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293548C4"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227A86FA"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426B9CF"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4E6D85DC"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39E7204"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86AD027" w14:textId="77777777" w:rsidR="00114669" w:rsidRPr="008A7560" w:rsidRDefault="00114669" w:rsidP="00114669">
      <w:pPr>
        <w:bidi/>
        <w:spacing w:after="200" w:line="480" w:lineRule="auto"/>
        <w:rPr>
          <w:rFonts w:ascii="Traditional Arabic" w:hAnsi="Traditional Arabic" w:cs="Traditional Arabic"/>
          <w:b/>
          <w:bCs/>
          <w:sz w:val="28"/>
          <w:szCs w:val="28"/>
          <w:u w:val="single"/>
          <w:rtl/>
        </w:rPr>
      </w:pPr>
    </w:p>
    <w:p w14:paraId="5511CF04" w14:textId="77777777" w:rsidR="00114669" w:rsidRPr="008A7560" w:rsidRDefault="00114669" w:rsidP="00114669">
      <w:pPr>
        <w:bidi/>
        <w:spacing w:after="200" w:line="480" w:lineRule="auto"/>
        <w:rPr>
          <w:rFonts w:ascii="Traditional Arabic" w:hAnsi="Traditional Arabic" w:cs="Traditional Arabic"/>
          <w:b/>
          <w:bCs/>
          <w:sz w:val="28"/>
          <w:szCs w:val="28"/>
          <w:u w:val="single"/>
          <w:rtl/>
        </w:rPr>
      </w:pPr>
    </w:p>
    <w:p w14:paraId="41390E68"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488B3B4E" w14:textId="79278152" w:rsidR="00D52585" w:rsidRPr="008A7560" w:rsidRDefault="00D52585">
      <w:pPr>
        <w:pStyle w:val="ListParagraph"/>
        <w:numPr>
          <w:ilvl w:val="0"/>
          <w:numId w:val="11"/>
        </w:numPr>
        <w:bidi/>
        <w:spacing w:after="200" w:line="480" w:lineRule="auto"/>
        <w:jc w:val="center"/>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الأول</w:t>
      </w:r>
    </w:p>
    <w:p w14:paraId="5E8D6BAC"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783844D3"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7DD05E94" w14:textId="77777777" w:rsidR="00A57031" w:rsidRPr="008A7560" w:rsidRDefault="00A57031" w:rsidP="00A57031">
      <w:pPr>
        <w:bidi/>
        <w:spacing w:after="200" w:line="480" w:lineRule="auto"/>
        <w:rPr>
          <w:rFonts w:ascii="Traditional Arabic" w:hAnsi="Traditional Arabic" w:cs="Traditional Arabic"/>
          <w:b/>
          <w:bCs/>
          <w:sz w:val="28"/>
          <w:szCs w:val="28"/>
          <w:u w:val="single"/>
          <w:rtl/>
        </w:rPr>
      </w:pPr>
    </w:p>
    <w:p w14:paraId="044CCDA1" w14:textId="6411FFA1" w:rsidR="0021489E" w:rsidRPr="008A7560" w:rsidRDefault="007D1670" w:rsidP="00223FEB">
      <w:pPr>
        <w:bidi/>
        <w:spacing w:after="200" w:line="480" w:lineRule="auto"/>
        <w:outlineLvl w:val="0"/>
        <w:rPr>
          <w:rFonts w:ascii="Traditional Arabic" w:hAnsi="Traditional Arabic" w:cs="Traditional Arabic"/>
          <w:b/>
          <w:bCs/>
          <w:sz w:val="28"/>
          <w:szCs w:val="28"/>
          <w:rtl/>
        </w:rPr>
      </w:pPr>
      <w:bookmarkStart w:id="0" w:name="_Toc205043556"/>
      <w:r w:rsidRPr="008A7560">
        <w:rPr>
          <w:rFonts w:ascii="Traditional Arabic" w:hAnsi="Traditional Arabic" w:cs="Traditional Arabic"/>
          <w:b/>
          <w:bCs/>
          <w:sz w:val="28"/>
          <w:szCs w:val="28"/>
          <w:rtl/>
        </w:rPr>
        <w:lastRenderedPageBreak/>
        <w:t>1-</w:t>
      </w:r>
      <w:r w:rsidR="008B55FF" w:rsidRPr="008A7560">
        <w:rPr>
          <w:rFonts w:ascii="Traditional Arabic" w:hAnsi="Traditional Arabic" w:cs="Traditional Arabic"/>
          <w:b/>
          <w:bCs/>
          <w:sz w:val="28"/>
          <w:szCs w:val="28"/>
          <w:rtl/>
        </w:rPr>
        <w:t xml:space="preserve">1-1 </w:t>
      </w:r>
      <w:r w:rsidR="0021489E" w:rsidRPr="008A7560">
        <w:rPr>
          <w:rFonts w:ascii="Traditional Arabic" w:hAnsi="Traditional Arabic" w:cs="Traditional Arabic"/>
          <w:b/>
          <w:bCs/>
          <w:sz w:val="28"/>
          <w:szCs w:val="28"/>
          <w:u w:val="single"/>
          <w:rtl/>
        </w:rPr>
        <w:t>مقدمة الدراسة</w:t>
      </w:r>
      <w:bookmarkEnd w:id="0"/>
    </w:p>
    <w:p w14:paraId="58F0731B" w14:textId="24E60EAD"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شهد مجال التخطيط والتصميم العمراني تطورًا ملحوظًا في السنوات الأخيرة، حيث أصبحت الاستدامة أحد الأهداف الأساسية في المشروعات العمرانية، وذلك في ظل التوجهات العالمية نحو تحقيق تنمية متوازنة تضمن حقوق الأجيال القادمة في الموارد البيئية والطبيعية. ويرجع هذا التوجه إلى الحاجة المتزايدة لتقليل الهدر في المواد والطاقة وتحقيق الاستخدام الأمثل للموارد، مما يسهم في التخفيف من الأثر البيئي للمشاريع التقليدية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Nikmehr</w:t>
      </w:r>
      <w:proofErr w:type="spellEnd"/>
      <w:r w:rsidRPr="008A7560">
        <w:rPr>
          <w:rFonts w:ascii="Traditional Arabic" w:hAnsi="Traditional Arabic" w:cs="Traditional Arabic"/>
          <w:sz w:val="28"/>
          <w:szCs w:val="28"/>
        </w:rPr>
        <w:t xml:space="preserve"> et al.,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2021). </w:t>
      </w:r>
      <w:r w:rsidR="009E4769"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 xml:space="preserve">فقد بات من الضروري اعتماد ممارسات مستدامة مثل إعادة استخدام البنية التحتية والمواد، وإعادة تدوير المياه، والاعتماد على مصادر الطاقة المتجددة، مثل الطاقة الشمسية والرياح </w:t>
      </w:r>
      <w:r w:rsidR="00E319EE" w:rsidRPr="008A7560">
        <w:rPr>
          <w:rFonts w:ascii="Traditional Arabic" w:hAnsi="Traditional Arabic" w:cs="Traditional Arabic"/>
          <w:sz w:val="28"/>
          <w:szCs w:val="28"/>
          <w:rtl/>
        </w:rPr>
        <w:t>(</w:t>
      </w:r>
      <w:r w:rsidRPr="008A7560">
        <w:rPr>
          <w:rFonts w:ascii="Traditional Arabic" w:hAnsi="Traditional Arabic" w:cs="Traditional Arabic"/>
          <w:sz w:val="28"/>
          <w:szCs w:val="28"/>
          <w:rtl/>
        </w:rPr>
        <w:t>حميد،2022)</w:t>
      </w:r>
      <w:r w:rsidRPr="008A7560">
        <w:rPr>
          <w:rFonts w:ascii="Traditional Arabic" w:hAnsi="Traditional Arabic" w:cs="Traditional Arabic"/>
          <w:sz w:val="28"/>
          <w:szCs w:val="28"/>
        </w:rPr>
        <w:t>.</w:t>
      </w:r>
    </w:p>
    <w:p w14:paraId="1B7CACE0" w14:textId="663FB623"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تُعد الاستدامة نهجًا متكاملاً يعزز الكفاءة الاقتصادية والبيئية والاجتماعية، وتزداد الحاجة إلى تطبيق مبادئها في قطاع البناء والتشييد كونه أحد أكثر القطاعات استهلاكًا للموارد وتوليدًا للنفايات</w:t>
      </w:r>
      <w:r w:rsidRPr="008A7560">
        <w:rPr>
          <w:rFonts w:ascii="Traditional Arabic" w:hAnsi="Traditional Arabic" w:cs="Traditional Arabic"/>
          <w:sz w:val="28"/>
          <w:szCs w:val="28"/>
        </w:rPr>
        <w:t xml:space="preserve"> Ghosh et al.,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2021). </w:t>
      </w:r>
      <w:r w:rsidRPr="008A7560">
        <w:rPr>
          <w:rFonts w:ascii="Traditional Arabic" w:hAnsi="Traditional Arabic" w:cs="Traditional Arabic"/>
          <w:sz w:val="28"/>
          <w:szCs w:val="28"/>
          <w:rtl/>
        </w:rPr>
        <w:t>وتتمثل أبرز هذه الممارسات في تجديد البنى القائمة، ومعالجة المياه، وتحقيق كفاءة الطاقة، مما ينعكس إيجابًا على جودة الحياة واستمرارية الموارد البيئية والاقتصادية</w:t>
      </w:r>
      <w:r w:rsidRPr="008A7560">
        <w:rPr>
          <w:rFonts w:ascii="Traditional Arabic" w:hAnsi="Traditional Arabic" w:cs="Traditional Arabic"/>
          <w:sz w:val="28"/>
          <w:szCs w:val="28"/>
        </w:rPr>
        <w:t>.</w:t>
      </w:r>
    </w:p>
    <w:p w14:paraId="1900CD97"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رغم الأهمية المتزايدة لهذا التوجه، إلا أن تطبيق مبادئ الاستدامة في المشاريع الإنشائية السعودية لا يزال يواجه تحديات تتعلق بمدى الالتزام المؤسسي والقدرات الفنية والإدارية، وهو ما يستدعي دراسة تحليلية للواقع الفعلي. وتبرز أهمية هذه الدراسة في تقييم مستوى التزام الشركات الإنشائية السعودية بممارسات الاستدامة، وتحليل أثرها على جودة المشاريع وتكلفتها الزمنية والمالية</w:t>
      </w:r>
      <w:r w:rsidRPr="008A7560">
        <w:rPr>
          <w:rFonts w:ascii="Traditional Arabic" w:hAnsi="Traditional Arabic" w:cs="Traditional Arabic"/>
          <w:sz w:val="28"/>
          <w:szCs w:val="28"/>
        </w:rPr>
        <w:t>.</w:t>
      </w:r>
    </w:p>
    <w:p w14:paraId="4EDBE6E2" w14:textId="40A4FDD6"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تستند هذه الدراسة إلى واقع يُظهر أن العديد من الأبحاث السابقة ركزت على تجارب دولية وسياقات غير محلية دون التعمق في السياق السعودي بشكل كافٍ. فعلى سبيل المثال، استعرضت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Mwaluko</w:t>
      </w:r>
      <w:proofErr w:type="spellEnd"/>
      <w:r w:rsidRPr="008A7560">
        <w:rPr>
          <w:rFonts w:ascii="Traditional Arabic" w:hAnsi="Traditional Arabic" w:cs="Traditional Arabic"/>
          <w:sz w:val="28"/>
          <w:szCs w:val="28"/>
        </w:rPr>
        <w:t xml:space="preserve"> &amp; </w:t>
      </w:r>
      <w:proofErr w:type="spellStart"/>
      <w:r w:rsidRPr="008A7560">
        <w:rPr>
          <w:rFonts w:ascii="Traditional Arabic" w:hAnsi="Traditional Arabic" w:cs="Traditional Arabic"/>
          <w:sz w:val="28"/>
          <w:szCs w:val="28"/>
        </w:rPr>
        <w:t>Matindana</w:t>
      </w:r>
      <w:proofErr w:type="spellEnd"/>
      <w:r w:rsidRPr="008A7560">
        <w:rPr>
          <w:rFonts w:ascii="Traditional Arabic" w:hAnsi="Traditional Arabic" w:cs="Traditional Arabic"/>
          <w:sz w:val="28"/>
          <w:szCs w:val="28"/>
        </w:rPr>
        <w:t xml:space="preserve"> (2023)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واقع الأداء الإنشائي في تنزانيا من حيث تحديات الزمن والتكلفة، بينما ركزت</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Torkayesh</w:t>
      </w:r>
      <w:proofErr w:type="spellEnd"/>
      <w:r w:rsidRPr="008A7560">
        <w:rPr>
          <w:rFonts w:ascii="Traditional Arabic" w:hAnsi="Traditional Arabic" w:cs="Traditional Arabic"/>
          <w:sz w:val="28"/>
          <w:szCs w:val="28"/>
        </w:rPr>
        <w:t xml:space="preserve"> et al. (2021</w:t>
      </w:r>
      <w:proofErr w:type="gramStart"/>
      <w:r w:rsidRPr="008A7560">
        <w:rPr>
          <w:rFonts w:ascii="Traditional Arabic" w:hAnsi="Traditional Arabic" w:cs="Traditional Arabic"/>
          <w:sz w:val="28"/>
          <w:szCs w:val="28"/>
        </w:rPr>
        <w:t xml:space="preserve">)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على</w:t>
      </w:r>
      <w:proofErr w:type="gramEnd"/>
      <w:r w:rsidRPr="008A7560">
        <w:rPr>
          <w:rFonts w:ascii="Traditional Arabic" w:hAnsi="Traditional Arabic" w:cs="Traditional Arabic"/>
          <w:sz w:val="28"/>
          <w:szCs w:val="28"/>
          <w:rtl/>
        </w:rPr>
        <w:t xml:space="preserve"> تقييم الأداء الاجتماعي للاستدامة في دول</w:t>
      </w:r>
      <w:r w:rsidRPr="008A7560">
        <w:rPr>
          <w:rFonts w:ascii="Traditional Arabic" w:hAnsi="Traditional Arabic" w:cs="Traditional Arabic"/>
          <w:sz w:val="28"/>
          <w:szCs w:val="28"/>
        </w:rPr>
        <w:t xml:space="preserve"> G7</w:t>
      </w:r>
      <w:r w:rsidRPr="008A7560">
        <w:rPr>
          <w:rFonts w:ascii="Traditional Arabic" w:hAnsi="Traditional Arabic" w:cs="Traditional Arabic"/>
          <w:sz w:val="28"/>
          <w:szCs w:val="28"/>
          <w:rtl/>
        </w:rPr>
        <w:t>، دون تقديم تحليلات مرتبطة بالسياقات العربية أو الخليجية</w:t>
      </w:r>
      <w:r w:rsidRPr="008A7560">
        <w:rPr>
          <w:rFonts w:ascii="Traditional Arabic" w:hAnsi="Traditional Arabic" w:cs="Traditional Arabic"/>
          <w:sz w:val="28"/>
          <w:szCs w:val="28"/>
        </w:rPr>
        <w:t>.</w:t>
      </w:r>
    </w:p>
    <w:p w14:paraId="65353B73"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ويؤكد هذا التوجه أن هناك فجوة في الدراسات الميدانية التي تُعنى بتحليل استدامة المشاريع في المملكة العربية السعودية. ومن هنا، فإن هذا البحث يأتي استجابة لحاجة ملحة إلى توفير بيانات دقيقة وشاملة عن واقع الاستدامة في المشاريع الإنشائية السعودية، وذلك في ضوء رؤية المملكة 2030، التي تضع التنمية المستدامة في صميم سياساتها الاقتصادية والعمرانية</w:t>
      </w:r>
      <w:r w:rsidRPr="008A7560">
        <w:rPr>
          <w:rFonts w:ascii="Traditional Arabic" w:hAnsi="Traditional Arabic" w:cs="Traditional Arabic"/>
          <w:sz w:val="28"/>
          <w:szCs w:val="28"/>
        </w:rPr>
        <w:t>.</w:t>
      </w:r>
    </w:p>
    <w:p w14:paraId="46369254"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من المتوقع أن تسهم نتائج هذه الدراسة في تقديم إطار معرفي يُعين الجهات الحكومية والاستثمارية على تطوير سياسات وتشريعات داعمة، ويعزز من تنافسية القطاع الإنشائي السعودي إقليميًا وعالميًا من خلال تطبيق ممارسات استدامة فعّالة ومبنية على أدلة علمية دقيقة</w:t>
      </w:r>
      <w:r w:rsidRPr="008A7560">
        <w:rPr>
          <w:rFonts w:ascii="Traditional Arabic" w:hAnsi="Traditional Arabic" w:cs="Traditional Arabic"/>
          <w:sz w:val="28"/>
          <w:szCs w:val="28"/>
        </w:rPr>
        <w:t>.</w:t>
      </w:r>
    </w:p>
    <w:p w14:paraId="7996EEDA" w14:textId="593ECAA1" w:rsidR="0021489E" w:rsidRPr="008A7560" w:rsidRDefault="0021489E" w:rsidP="0021489E">
      <w:pPr>
        <w:bidi/>
        <w:spacing w:after="200" w:line="480" w:lineRule="auto"/>
        <w:rPr>
          <w:rFonts w:ascii="Traditional Arabic" w:hAnsi="Traditional Arabic" w:cs="Traditional Arabic"/>
          <w:sz w:val="28"/>
          <w:szCs w:val="28"/>
          <w:rtl/>
        </w:rPr>
      </w:pPr>
    </w:p>
    <w:p w14:paraId="0FFDDED3"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2BECD786" w14:textId="77777777" w:rsidR="00193ED3" w:rsidRPr="008A7560" w:rsidRDefault="00193ED3" w:rsidP="00193ED3">
      <w:pPr>
        <w:bidi/>
        <w:spacing w:after="200" w:line="480" w:lineRule="auto"/>
        <w:rPr>
          <w:rFonts w:ascii="Traditional Arabic" w:hAnsi="Traditional Arabic" w:cs="Traditional Arabic"/>
          <w:sz w:val="28"/>
          <w:szCs w:val="28"/>
        </w:rPr>
      </w:pPr>
    </w:p>
    <w:p w14:paraId="2E560E38" w14:textId="7E3FC75F" w:rsidR="0021489E" w:rsidRPr="008A7560" w:rsidRDefault="008B55FF" w:rsidP="00223FEB">
      <w:pPr>
        <w:bidi/>
        <w:spacing w:after="200" w:line="480" w:lineRule="auto"/>
        <w:outlineLvl w:val="0"/>
        <w:rPr>
          <w:rFonts w:ascii="Traditional Arabic" w:hAnsi="Traditional Arabic" w:cs="Traditional Arabic"/>
          <w:b/>
          <w:bCs/>
          <w:sz w:val="28"/>
          <w:szCs w:val="28"/>
          <w:rtl/>
        </w:rPr>
      </w:pPr>
      <w:bookmarkStart w:id="1" w:name="_Toc205043557"/>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1-2</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مشكلة الدراسة وأسئلتها</w:t>
      </w:r>
      <w:bookmarkEnd w:id="1"/>
      <w:r w:rsidR="0021489E" w:rsidRPr="008A7560">
        <w:rPr>
          <w:rFonts w:ascii="Traditional Arabic" w:hAnsi="Traditional Arabic" w:cs="Traditional Arabic"/>
          <w:b/>
          <w:bCs/>
          <w:sz w:val="28"/>
          <w:szCs w:val="28"/>
          <w:rtl/>
        </w:rPr>
        <w:t xml:space="preserve">   </w:t>
      </w:r>
    </w:p>
    <w:p w14:paraId="06090A30" w14:textId="63200F9C"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رغم الاعتراف العالمي المتزايد بأهمية دمج مبادئ الاستدامة في المشاريع الإنشائية، إلا أن تطبيق هذه المبادئ في السياقات المحلية، خصوصًا في المملكة العربية السعودية، لا يزال يواجه تحديات متعلقة بالإدراك المؤسسي، ونقص الخبرات الفنية، وارتفاع التكاليف الأولية، إضافة إلى غياب نماذج تقييم محلية واضحة</w:t>
      </w:r>
      <w:r w:rsidRPr="008A7560">
        <w:rPr>
          <w:rFonts w:ascii="Traditional Arabic" w:hAnsi="Traditional Arabic" w:cs="Traditional Arabic"/>
          <w:sz w:val="28"/>
          <w:szCs w:val="28"/>
        </w:rPr>
        <w:t xml:space="preserve"> Alghuried,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2023). </w:t>
      </w:r>
      <w:r w:rsidRPr="008A7560">
        <w:rPr>
          <w:rFonts w:ascii="Traditional Arabic" w:hAnsi="Traditional Arabic" w:cs="Traditional Arabic"/>
          <w:sz w:val="28"/>
          <w:szCs w:val="28"/>
          <w:rtl/>
        </w:rPr>
        <w:t>ويُشير تقرير برنامج الأمم المتحدة للبيئة</w:t>
      </w:r>
      <w:r w:rsidRPr="008A7560">
        <w:rPr>
          <w:rFonts w:ascii="Traditional Arabic" w:hAnsi="Traditional Arabic" w:cs="Traditional Arabic"/>
          <w:sz w:val="28"/>
          <w:szCs w:val="28"/>
        </w:rPr>
        <w:t xml:space="preserve"> UNEP,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2022) </w:t>
      </w:r>
      <w:r w:rsidRPr="008A7560">
        <w:rPr>
          <w:rFonts w:ascii="Traditional Arabic" w:hAnsi="Traditional Arabic" w:cs="Traditional Arabic"/>
          <w:sz w:val="28"/>
          <w:szCs w:val="28"/>
          <w:rtl/>
        </w:rPr>
        <w:t>إلى أن قطاع البناء مسؤول عن نحو 37% من انبعاثات الكربون التشغيلية على مستوى العالم، مما يجعله من أكثر القطاعات استهدافًا في التحول نحو الاستدامة</w:t>
      </w:r>
      <w:r w:rsidRPr="008A7560">
        <w:rPr>
          <w:rFonts w:ascii="Traditional Arabic" w:hAnsi="Traditional Arabic" w:cs="Traditional Arabic"/>
          <w:sz w:val="28"/>
          <w:szCs w:val="28"/>
        </w:rPr>
        <w:t>.</w:t>
      </w:r>
    </w:p>
    <w:p w14:paraId="23D877B4" w14:textId="3F7E1CD8"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ورغم جهود المملكة العربية السعودية ضمن إطار رؤية 2030 لتعزيز الاستدامة في مختلف القطاعات، إلا أن الدراسات المحلية توضح وجود فجوة واضحة في مدى الالتزام الفعلي بمبادئ الاستدامة في قطاع البناء، فضلًا عن غياب آليات تقييم معيارية لقياس الأثر الفعلي لهذه المبادئ على جودة تنفيذ المشاريع، أو تكلفتها أو جدولها الزمني. فقد أشار</w:t>
      </w:r>
      <w:r w:rsidRPr="008A7560">
        <w:rPr>
          <w:rFonts w:ascii="Traditional Arabic" w:hAnsi="Traditional Arabic" w:cs="Traditional Arabic"/>
          <w:sz w:val="28"/>
          <w:szCs w:val="28"/>
        </w:rPr>
        <w:t xml:space="preserve"> Alfalah</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et al. (2024</w:t>
      </w:r>
      <w:proofErr w:type="gramStart"/>
      <w:r w:rsidRPr="008A7560">
        <w:rPr>
          <w:rFonts w:ascii="Traditional Arabic" w:hAnsi="Traditional Arabic" w:cs="Traditional Arabic"/>
          <w:sz w:val="28"/>
          <w:szCs w:val="28"/>
        </w:rPr>
        <w:t xml:space="preserve">)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إلى</w:t>
      </w:r>
      <w:proofErr w:type="gramEnd"/>
      <w:r w:rsidRPr="008A7560">
        <w:rPr>
          <w:rFonts w:ascii="Traditional Arabic" w:hAnsi="Traditional Arabic" w:cs="Traditional Arabic"/>
          <w:sz w:val="28"/>
          <w:szCs w:val="28"/>
          <w:rtl/>
        </w:rPr>
        <w:t xml:space="preserve"> أن أكثر من 60% من المشاريع في السعودية تعاني من تأخير، ويرجع ذلك جزئيًا إلى سوء اختيار المقاولين وغياب مؤشرات أداء دقيقة تدمج الأبعاد البيئية والاجتماعية ضمن عملية التقييم</w:t>
      </w:r>
      <w:r w:rsidRPr="008A7560">
        <w:rPr>
          <w:rFonts w:ascii="Traditional Arabic" w:hAnsi="Traditional Arabic" w:cs="Traditional Arabic"/>
          <w:sz w:val="28"/>
          <w:szCs w:val="28"/>
        </w:rPr>
        <w:t>.</w:t>
      </w:r>
    </w:p>
    <w:p w14:paraId="42750AEF" w14:textId="1B8072C4"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كما كشفت دراسة</w:t>
      </w:r>
      <w:r w:rsidRPr="008A7560">
        <w:rPr>
          <w:rFonts w:ascii="Traditional Arabic" w:hAnsi="Traditional Arabic" w:cs="Traditional Arabic"/>
          <w:sz w:val="28"/>
          <w:szCs w:val="28"/>
        </w:rPr>
        <w:t xml:space="preserve"> Alghuried</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(2023) </w:t>
      </w:r>
      <w:r w:rsidRPr="008A7560">
        <w:rPr>
          <w:rFonts w:ascii="Traditional Arabic" w:hAnsi="Traditional Arabic" w:cs="Traditional Arabic"/>
          <w:sz w:val="28"/>
          <w:szCs w:val="28"/>
          <w:rtl/>
        </w:rPr>
        <w:t>عن وجود معوقات متعددة تحول دون التطبيق الفعّال للاستدامة في المشاريع، أبرزها نقص الكفاءات المتخصصة في تقنيات البناء المستدام، وعدم وضوح المنهجيات المتبعة لتبادل البيانات المتعلقة بإدارة العمليات. ومن جهة أخرى، تركز معظم الدراسات الدولية مثل دراسة</w:t>
      </w:r>
      <w:r w:rsidRPr="008A7560">
        <w:rPr>
          <w:rFonts w:ascii="Traditional Arabic" w:hAnsi="Traditional Arabic" w:cs="Traditional Arabic"/>
          <w:sz w:val="28"/>
          <w:szCs w:val="28"/>
        </w:rPr>
        <w:t xml:space="preserve"> Rajabi</w:t>
      </w:r>
      <w:r w:rsidR="000F0E60"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et al. (2022) </w:t>
      </w:r>
      <w:r w:rsidRPr="008A7560">
        <w:rPr>
          <w:rFonts w:ascii="Traditional Arabic" w:hAnsi="Traditional Arabic" w:cs="Traditional Arabic"/>
          <w:sz w:val="28"/>
          <w:szCs w:val="28"/>
          <w:rtl/>
        </w:rPr>
        <w:t>على أهمية وجود مؤشرات تقييم دقيقة لممارسات الاستدامة، دون أن تقدم حلولًا تطبيقية تأخذ في الاعتبار خصوصية السياقات العربية والخليجية</w:t>
      </w:r>
      <w:r w:rsidRPr="008A7560">
        <w:rPr>
          <w:rFonts w:ascii="Traditional Arabic" w:hAnsi="Traditional Arabic" w:cs="Traditional Arabic"/>
          <w:sz w:val="28"/>
          <w:szCs w:val="28"/>
        </w:rPr>
        <w:t>.</w:t>
      </w:r>
    </w:p>
    <w:p w14:paraId="1F3144CC" w14:textId="77777777"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إن هذه المعطيات تعكس فجوة معرفية في فهم العلاقة بين تطبيق مبادئ الاستدامة وأداء المشاريع داخل السوق السعودي، وفجوة أدبية في الأدبيات الحالية التي غالبًا ما تفصل بين مفهومي الأداء والاستدامة دون معالجة الترابط بينهما بعمق. كما تبرز فجوة تطبيقية واضحة تتمثل في غياب أدوات تقييم عملية أو نماذج شاملة تربط بين مؤشرات الأداء (مثل الوقت والتكلفة والجودة ورضا العملاء) وتطبيق ممارسات الاستدامة</w:t>
      </w:r>
      <w:r w:rsidRPr="008A7560">
        <w:rPr>
          <w:rFonts w:ascii="Traditional Arabic" w:hAnsi="Traditional Arabic" w:cs="Traditional Arabic"/>
          <w:sz w:val="28"/>
          <w:szCs w:val="28"/>
        </w:rPr>
        <w:t>.</w:t>
      </w:r>
    </w:p>
    <w:p w14:paraId="40291502" w14:textId="77777777"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 هذا المنطلق، تنبع أهمية هذا البحث في سد هذه الفجوات الثلاث من خلال دراسة ميدانية تحليلية تهدف إلى استكشاف العلاقة بين تطبيق مبادئ الاستدامة وأداء المشاريع الإنشائية في المملكة العربية السعودية، مع التركيز على تطوير أدوات تقييم فعّالة تدعم متخذي القرار في تحسين كفاءة تنفيذ المشاريع والامتثال لمتطلبات الاستدامة البيئية والاقتصادية والاجتماعية</w:t>
      </w:r>
      <w:r w:rsidRPr="008A7560">
        <w:rPr>
          <w:rFonts w:ascii="Traditional Arabic" w:hAnsi="Traditional Arabic" w:cs="Traditional Arabic"/>
          <w:sz w:val="28"/>
          <w:szCs w:val="28"/>
        </w:rPr>
        <w:t>.</w:t>
      </w:r>
    </w:p>
    <w:p w14:paraId="3D5497B3" w14:textId="77777777" w:rsidR="0021489E" w:rsidRPr="008A7560" w:rsidRDefault="0021489E" w:rsidP="0021489E">
      <w:pPr>
        <w:bidi/>
        <w:spacing w:after="200" w:line="480" w:lineRule="auto"/>
        <w:rPr>
          <w:rFonts w:ascii="Traditional Arabic" w:hAnsi="Traditional Arabic" w:cs="Traditional Arabic"/>
          <w:sz w:val="28"/>
          <w:szCs w:val="28"/>
          <w:u w:val="single"/>
        </w:rPr>
      </w:pPr>
      <w:r w:rsidRPr="008A7560">
        <w:rPr>
          <w:rFonts w:ascii="Traditional Arabic" w:hAnsi="Traditional Arabic" w:cs="Traditional Arabic"/>
          <w:b/>
          <w:bCs/>
          <w:sz w:val="28"/>
          <w:szCs w:val="28"/>
          <w:u w:val="single"/>
          <w:rtl/>
        </w:rPr>
        <w:t>التساؤلات البحثية</w:t>
      </w:r>
    </w:p>
    <w:p w14:paraId="714C9068" w14:textId="77777777" w:rsidR="0021489E" w:rsidRPr="008A7560" w:rsidRDefault="0021489E" w:rsidP="0021489E">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للإجابة على مشكلة البحث وتحقيق أهداف الدراسة، تسعى الدراسة إلى الإجابة عن الأسئلة التالية</w:t>
      </w:r>
      <w:r w:rsidRPr="008A7560">
        <w:rPr>
          <w:rFonts w:ascii="Traditional Arabic" w:hAnsi="Traditional Arabic" w:cs="Traditional Arabic"/>
          <w:sz w:val="28"/>
          <w:szCs w:val="28"/>
        </w:rPr>
        <w:t>:</w:t>
      </w:r>
    </w:p>
    <w:p w14:paraId="437DCF12"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ما هو أثر تطبيق مبادئ الاستدامة على التكلفة الإجمالية للمشاريع الإنشائية؟</w:t>
      </w:r>
    </w:p>
    <w:p w14:paraId="4C7DB809"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كيف يؤثر تطبيق مبادئ الاستدامة على رضا العملاء في المشاريع الإنشائية؟</w:t>
      </w:r>
    </w:p>
    <w:p w14:paraId="0E0A0A96"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ما هو تأثير تطبيق مبادئ الاستدامة على جودة المشاريع الإنشائية؟</w:t>
      </w:r>
    </w:p>
    <w:p w14:paraId="3244E3C0"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كيف يؤثر تطبيق مبادئ الاستدامة على الالتزام بالجدول الزمني لتسليم المشاريع الإنشائية؟</w:t>
      </w:r>
    </w:p>
    <w:p w14:paraId="28C9344F" w14:textId="1DC76012" w:rsidR="00293633"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هل تلعب العوامل البيئية والتنظيمية للمشروع (حجم المشروع، نوع المشروع، السياسات الحكومية، مستوى الوعي بالممارسات الحكومية) دورًا وسيطًا في العلاقة بين تطبيق مبادئ الاستدامة وأداء المشاريع الإنشائية؟</w:t>
      </w:r>
    </w:p>
    <w:p w14:paraId="14138A46" w14:textId="0B93A54E" w:rsidR="0021489E" w:rsidRPr="008A7560" w:rsidRDefault="008B55FF" w:rsidP="00223FEB">
      <w:pPr>
        <w:bidi/>
        <w:spacing w:after="200" w:line="480" w:lineRule="auto"/>
        <w:outlineLvl w:val="0"/>
        <w:rPr>
          <w:rFonts w:ascii="Traditional Arabic" w:hAnsi="Traditional Arabic" w:cs="Traditional Arabic"/>
          <w:b/>
          <w:bCs/>
          <w:sz w:val="28"/>
          <w:szCs w:val="28"/>
        </w:rPr>
      </w:pPr>
      <w:bookmarkStart w:id="2" w:name="_Toc205043558"/>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-3 </w:t>
      </w:r>
      <w:r w:rsidR="0021489E" w:rsidRPr="008A7560">
        <w:rPr>
          <w:rFonts w:ascii="Traditional Arabic" w:hAnsi="Traditional Arabic" w:cs="Traditional Arabic"/>
          <w:b/>
          <w:bCs/>
          <w:sz w:val="28"/>
          <w:szCs w:val="28"/>
          <w:rtl/>
        </w:rPr>
        <w:t>أهمية الدراسة</w:t>
      </w:r>
      <w:bookmarkEnd w:id="2"/>
      <w:r w:rsidR="0021489E" w:rsidRPr="008A7560">
        <w:rPr>
          <w:rFonts w:ascii="Traditional Arabic" w:hAnsi="Traditional Arabic" w:cs="Traditional Arabic"/>
          <w:b/>
          <w:bCs/>
          <w:sz w:val="28"/>
          <w:szCs w:val="28"/>
          <w:rtl/>
        </w:rPr>
        <w:t xml:space="preserve"> </w:t>
      </w:r>
    </w:p>
    <w:p w14:paraId="31F581E0" w14:textId="77777777" w:rsidR="0021489E" w:rsidRPr="008A7560" w:rsidRDefault="0021489E" w:rsidP="0021489E">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أولًا: الأهمية النظرية</w:t>
      </w:r>
    </w:p>
    <w:p w14:paraId="63ABBBF1" w14:textId="32F9670E"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معالجة فجوة في الأدبيات المحلية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تسعى الدراسة إلى سد فجوة واضحة في الأدبيات العربية والسعودية، حيث إن أغلب الدراسات المتعلقة بالاستدامة في قطاع البناء تركز على التجارب الدولية، مع ندرة الدراسات التطبيقية التي تستكشف العلاقة بين الاستدامة والأداء في السياق السعودي</w:t>
      </w:r>
      <w:r w:rsidRPr="008A7560">
        <w:rPr>
          <w:rFonts w:ascii="Traditional Arabic" w:hAnsi="Traditional Arabic" w:cs="Traditional Arabic"/>
          <w:sz w:val="28"/>
          <w:szCs w:val="28"/>
        </w:rPr>
        <w:t xml:space="preserve"> Alfalah et al., </w:t>
      </w:r>
      <w:r w:rsidR="000F0E60" w:rsidRPr="008A7560">
        <w:rPr>
          <w:rFonts w:ascii="Traditional Arabic" w:hAnsi="Traditional Arabic" w:cs="Traditional Arabic"/>
          <w:sz w:val="28"/>
          <w:szCs w:val="28"/>
        </w:rPr>
        <w:t>(</w:t>
      </w:r>
      <w:proofErr w:type="gramStart"/>
      <w:r w:rsidRPr="008A7560">
        <w:rPr>
          <w:rFonts w:ascii="Traditional Arabic" w:hAnsi="Traditional Arabic" w:cs="Traditional Arabic"/>
          <w:sz w:val="28"/>
          <w:szCs w:val="28"/>
        </w:rPr>
        <w:t>2024)</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Pr>
        <w:t xml:space="preserve"> Alghuried, 2023</w:t>
      </w:r>
    </w:p>
    <w:p w14:paraId="4E55EF15" w14:textId="77777777"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تطوير فهم أعمق للعلاقة بين الاستدامة وأداء المشاريع</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توفر الدراسة إطارًا نظريًا يربط بين الأبعاد الثلاثة للاستدامة (البيئية، الاقتصادية، الاجتماعية) ومؤشرات الأداء الأساسية (الوقت، التكلفة، الجودة، رضا العميل)، مما يثري المحتوى الأكاديمي حول فعالية تطبيق مبادئ الاستدامة في الواقع الميداني</w:t>
      </w:r>
      <w:r w:rsidRPr="008A7560">
        <w:rPr>
          <w:rFonts w:ascii="Traditional Arabic" w:hAnsi="Traditional Arabic" w:cs="Traditional Arabic"/>
          <w:sz w:val="28"/>
          <w:szCs w:val="28"/>
        </w:rPr>
        <w:t>.</w:t>
      </w:r>
    </w:p>
    <w:p w14:paraId="12E240B6" w14:textId="52BD16E8"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اقتراح مؤشرات قياس تتلاءم مع البيئة المحلية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تسهم الدراسة في تطوير أدوات تقييم أداء مخصصة لقطاع البناء السعودي، تأخذ في الاعتبار طبيعة السوق المحلي والتحديات الخاصة التي تواجهه، مثل نقص الخبرات المتخصصة أو ضعف تبني نظم الإدارة البيئية</w:t>
      </w:r>
      <w:r w:rsidRPr="008A7560">
        <w:rPr>
          <w:rFonts w:ascii="Traditional Arabic" w:hAnsi="Traditional Arabic" w:cs="Traditional Arabic"/>
          <w:sz w:val="28"/>
          <w:szCs w:val="28"/>
        </w:rPr>
        <w:t>.</w:t>
      </w:r>
    </w:p>
    <w:p w14:paraId="092C9B6B" w14:textId="77777777" w:rsidR="002B137D" w:rsidRPr="008A7560" w:rsidRDefault="002B137D" w:rsidP="002B137D">
      <w:pPr>
        <w:bidi/>
        <w:spacing w:after="200" w:line="480" w:lineRule="auto"/>
        <w:rPr>
          <w:rFonts w:ascii="Traditional Arabic" w:hAnsi="Traditional Arabic" w:cs="Traditional Arabic"/>
          <w:sz w:val="28"/>
          <w:szCs w:val="28"/>
        </w:rPr>
      </w:pPr>
    </w:p>
    <w:p w14:paraId="02346C7F" w14:textId="77777777" w:rsidR="002B137D" w:rsidRPr="008A7560" w:rsidRDefault="002B137D" w:rsidP="002B137D">
      <w:pPr>
        <w:bidi/>
        <w:spacing w:after="200" w:line="480" w:lineRule="auto"/>
        <w:rPr>
          <w:rFonts w:ascii="Traditional Arabic" w:hAnsi="Traditional Arabic" w:cs="Traditional Arabic"/>
          <w:sz w:val="28"/>
          <w:szCs w:val="28"/>
        </w:rPr>
      </w:pPr>
    </w:p>
    <w:p w14:paraId="0CD93314" w14:textId="77777777" w:rsidR="002B137D" w:rsidRPr="008A7560" w:rsidRDefault="002B137D" w:rsidP="002B137D">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ثانيًا: الأهمية التطبيقية</w:t>
      </w:r>
    </w:p>
    <w:p w14:paraId="03893925"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تحسين كفاءة تنفيذ المشاريع الإنشائية في السعودية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من خلال تحليل مدى تأثير تطبيق مبادئ الاستدامة على الأداء العملي للمشاريع، تُمكِّن الدراسة الشركات السعودية من تحديد مجالات التحسين فيما يتعلق بإدارة الموارد، تقليل الهدر، وضبط التكلفة والمدة الزمنية للتنفيذ</w:t>
      </w:r>
      <w:r w:rsidRPr="008A7560">
        <w:rPr>
          <w:rFonts w:ascii="Traditional Arabic" w:hAnsi="Traditional Arabic" w:cs="Traditional Arabic"/>
          <w:sz w:val="28"/>
          <w:szCs w:val="28"/>
        </w:rPr>
        <w:t>.</w:t>
      </w:r>
    </w:p>
    <w:p w14:paraId="426200BB"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دعم جهود وزارة الشؤون البلدية والإسكان ورؤية 2030</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تتماشى أهداف الدراسة مع توجه المملكة في تحقيق تنمية عمرانية مستدامة، وتسهم نتائجها في دعم صُنّاع السياسات لتطوير لوائح وتشريعات أكثر دقة تعزز من الالتزام بممارسات البناء الأخضر ومبادئ الكفاءة البيئية</w:t>
      </w:r>
      <w:r w:rsidRPr="008A7560">
        <w:rPr>
          <w:rFonts w:ascii="Traditional Arabic" w:hAnsi="Traditional Arabic" w:cs="Traditional Arabic"/>
          <w:sz w:val="28"/>
          <w:szCs w:val="28"/>
        </w:rPr>
        <w:t>.</w:t>
      </w:r>
    </w:p>
    <w:p w14:paraId="44C2D9EE"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تمكين الشركات من اتخاذ قرارات استثمارية مستدامة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من خلال تقديم تحليل واقعي للأثر الاقتصادي لتبني الاستدامة، يمكن للدراسة أن تساعد الشركات والمطورين العقاريين على دمج اعتبارات الاستدامة في دراسات الجدوى، بما يعزز العوائد على المدى الطويل ويقلل من المخاطر المستقبلية</w:t>
      </w:r>
      <w:r w:rsidRPr="008A7560">
        <w:rPr>
          <w:rFonts w:ascii="Traditional Arabic" w:hAnsi="Traditional Arabic" w:cs="Traditional Arabic"/>
          <w:sz w:val="28"/>
          <w:szCs w:val="28"/>
        </w:rPr>
        <w:t>.</w:t>
      </w:r>
    </w:p>
    <w:p w14:paraId="484EC911" w14:textId="5CE7D9D6" w:rsidR="0021489E" w:rsidRPr="008A7560" w:rsidRDefault="002B137D">
      <w:pPr>
        <w:numPr>
          <w:ilvl w:val="0"/>
          <w:numId w:val="16"/>
        </w:num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b/>
          <w:bCs/>
          <w:sz w:val="28"/>
          <w:szCs w:val="28"/>
          <w:rtl/>
        </w:rPr>
        <w:t>رفع كفاءة التقييم واختيار المقاولين</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تُسهم الدراسة في تطوير نماذج تقييم أداء المقاولين والموردين من حيث مدى التزامهم بالممارسات المستدامة، مما ينعكس إيجابًا على جودة المشاريع وتحقيق أهدافها البيئية والاقتصادية</w:t>
      </w:r>
      <w:r w:rsidRPr="008A7560">
        <w:rPr>
          <w:rFonts w:ascii="Traditional Arabic" w:hAnsi="Traditional Arabic" w:cs="Traditional Arabic"/>
          <w:sz w:val="28"/>
          <w:szCs w:val="28"/>
        </w:rPr>
        <w:t>.</w:t>
      </w:r>
    </w:p>
    <w:p w14:paraId="11846C38" w14:textId="3E859271" w:rsidR="0021489E" w:rsidRPr="008A7560" w:rsidRDefault="00F75D91" w:rsidP="00223FEB">
      <w:pPr>
        <w:bidi/>
        <w:spacing w:after="200" w:line="480" w:lineRule="auto"/>
        <w:outlineLvl w:val="0"/>
        <w:rPr>
          <w:rFonts w:ascii="Traditional Arabic" w:hAnsi="Traditional Arabic" w:cs="Traditional Arabic"/>
          <w:b/>
          <w:bCs/>
          <w:sz w:val="28"/>
          <w:szCs w:val="28"/>
          <w:rtl/>
        </w:rPr>
      </w:pPr>
      <w:bookmarkStart w:id="3" w:name="_Toc205043559"/>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-4 </w:t>
      </w:r>
      <w:r w:rsidR="0021489E" w:rsidRPr="008A7560">
        <w:rPr>
          <w:rFonts w:ascii="Traditional Arabic" w:hAnsi="Traditional Arabic" w:cs="Traditional Arabic"/>
          <w:b/>
          <w:bCs/>
          <w:sz w:val="28"/>
          <w:szCs w:val="28"/>
          <w:rtl/>
        </w:rPr>
        <w:t>أهداف الدراسة</w:t>
      </w:r>
      <w:bookmarkEnd w:id="3"/>
    </w:p>
    <w:p w14:paraId="283FC291" w14:textId="459CBF02" w:rsidR="004A45AD" w:rsidRPr="008A7560" w:rsidRDefault="004A45AD" w:rsidP="006A3BA9">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تهدف هذه الدراسة إلى تحليل أثر تطبيق مبادئ الاستدامة على أداء المشاريع الإنشائية في المملكة العربية السعودية، حيث يتم قياس الأداء من خلال أربعة أبعاد رئيسية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جودة المشروع، تكلفته، الجدول الزمني لتنفيذه، ورضا العملاء</w:t>
      </w:r>
      <w:r w:rsidRPr="008A7560">
        <w:rPr>
          <w:rFonts w:ascii="Traditional Arabic" w:hAnsi="Traditional Arabic" w:cs="Traditional Arabic"/>
          <w:sz w:val="28"/>
          <w:szCs w:val="28"/>
        </w:rPr>
        <w:t>.</w:t>
      </w:r>
    </w:p>
    <w:p w14:paraId="3117FA23" w14:textId="7C15448F" w:rsidR="004A45AD" w:rsidRPr="008A7560" w:rsidRDefault="004A45AD" w:rsidP="004A45AD">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 xml:space="preserve">الأهداف الفرعية </w:t>
      </w:r>
    </w:p>
    <w:p w14:paraId="748375CF"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أثر تطبيق مبادئ الاستدامة على التكلفة الإجمالية للمشاريع الإنشائية</w:t>
      </w:r>
      <w:r w:rsidRPr="008A7560">
        <w:rPr>
          <w:rFonts w:ascii="Traditional Arabic" w:eastAsia="Times New Roman" w:hAnsi="Traditional Arabic" w:cs="Traditional Arabic"/>
          <w:sz w:val="28"/>
          <w:szCs w:val="28"/>
        </w:rPr>
        <w:t>.</w:t>
      </w:r>
    </w:p>
    <w:p w14:paraId="724B6B46"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دراسة تأثير تطبيق مبادئ الاستدامة على رضا العملاء في المشاريع الإنشائية</w:t>
      </w:r>
      <w:r w:rsidRPr="008A7560">
        <w:rPr>
          <w:rFonts w:ascii="Traditional Arabic" w:eastAsia="Times New Roman" w:hAnsi="Traditional Arabic" w:cs="Traditional Arabic"/>
          <w:sz w:val="28"/>
          <w:szCs w:val="28"/>
        </w:rPr>
        <w:t>.</w:t>
      </w:r>
    </w:p>
    <w:p w14:paraId="525F5DFB"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تقييم أثر تطبيق مبادئ الاستدامة على جودة المشاريع الإنشائية</w:t>
      </w:r>
      <w:r w:rsidRPr="008A7560">
        <w:rPr>
          <w:rFonts w:ascii="Traditional Arabic" w:eastAsia="Times New Roman" w:hAnsi="Traditional Arabic" w:cs="Traditional Arabic"/>
          <w:sz w:val="28"/>
          <w:szCs w:val="28"/>
        </w:rPr>
        <w:t>.</w:t>
      </w:r>
    </w:p>
    <w:p w14:paraId="2FA54246"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تأثير تطبيق مبادئ الاستدامة على الالتزام بالجدول الزمني لتسليم المشاريع</w:t>
      </w:r>
      <w:r w:rsidRPr="008A7560">
        <w:rPr>
          <w:rFonts w:ascii="Traditional Arabic" w:eastAsia="Times New Roman" w:hAnsi="Traditional Arabic" w:cs="Traditional Arabic"/>
          <w:sz w:val="28"/>
          <w:szCs w:val="28"/>
        </w:rPr>
        <w:t>.</w:t>
      </w:r>
    </w:p>
    <w:p w14:paraId="71EC33F8"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دراسة دور العوامل البيئية والتنظيمية للمشروع (حجم المشروع، نوع المشروع، السياسات الحكومية، مستوى الوعي بالممارسات الحكومية) في العلاقة بين تطبيق مبادئ الاستدامة وأداء المشاريع الإنشائية</w:t>
      </w:r>
      <w:r w:rsidRPr="008A7560">
        <w:rPr>
          <w:rFonts w:ascii="Traditional Arabic" w:eastAsia="Times New Roman" w:hAnsi="Traditional Arabic" w:cs="Traditional Arabic"/>
          <w:sz w:val="28"/>
          <w:szCs w:val="28"/>
        </w:rPr>
        <w:t>.</w:t>
      </w:r>
    </w:p>
    <w:p w14:paraId="0D92A84F"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تقديم توصيات لتحسين دمج مبادئ الاستدامة في إدارة المشاريع الإنشائية بالمملكة العربية السعودية</w:t>
      </w:r>
      <w:r w:rsidRPr="008A7560">
        <w:rPr>
          <w:rFonts w:ascii="Traditional Arabic" w:eastAsia="Times New Roman" w:hAnsi="Traditional Arabic" w:cs="Traditional Arabic"/>
          <w:sz w:val="28"/>
          <w:szCs w:val="28"/>
        </w:rPr>
        <w:t>.</w:t>
      </w:r>
    </w:p>
    <w:p w14:paraId="14E6511A" w14:textId="77777777" w:rsidR="004A45AD" w:rsidRPr="008A7560" w:rsidRDefault="004A45AD" w:rsidP="004A45AD">
      <w:pPr>
        <w:bidi/>
        <w:spacing w:after="200" w:line="480" w:lineRule="auto"/>
        <w:rPr>
          <w:rFonts w:ascii="Traditional Arabic" w:hAnsi="Traditional Arabic" w:cs="Traditional Arabic"/>
          <w:sz w:val="28"/>
          <w:szCs w:val="28"/>
          <w:rtl/>
        </w:rPr>
      </w:pPr>
    </w:p>
    <w:p w14:paraId="6D5954BA"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7F4B0DE4"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3E5FC537" w14:textId="77777777" w:rsidR="00D327DE" w:rsidRPr="008A7560" w:rsidRDefault="00D327DE" w:rsidP="00D327DE">
      <w:pPr>
        <w:bidi/>
        <w:spacing w:after="200" w:line="480" w:lineRule="auto"/>
        <w:rPr>
          <w:rFonts w:ascii="Traditional Arabic" w:hAnsi="Traditional Arabic" w:cs="Traditional Arabic"/>
          <w:sz w:val="28"/>
          <w:szCs w:val="28"/>
          <w:rtl/>
        </w:rPr>
      </w:pPr>
    </w:p>
    <w:p w14:paraId="54089818" w14:textId="3DEA2242" w:rsidR="0021489E" w:rsidRPr="008A7560" w:rsidRDefault="00365DC1" w:rsidP="00223FEB">
      <w:pPr>
        <w:bidi/>
        <w:spacing w:after="200" w:line="480" w:lineRule="auto"/>
        <w:outlineLvl w:val="0"/>
        <w:rPr>
          <w:rFonts w:ascii="Traditional Arabic" w:hAnsi="Traditional Arabic" w:cs="Traditional Arabic"/>
          <w:b/>
          <w:bCs/>
          <w:sz w:val="28"/>
          <w:szCs w:val="28"/>
          <w:rtl/>
        </w:rPr>
      </w:pPr>
      <w:bookmarkStart w:id="4" w:name="_Toc205043560"/>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-1-5</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فرضيات الدراسة</w:t>
      </w:r>
      <w:bookmarkEnd w:id="4"/>
    </w:p>
    <w:p w14:paraId="09666751" w14:textId="77777777" w:rsidR="006A3BA9" w:rsidRPr="008A7560" w:rsidRDefault="006A3BA9" w:rsidP="006A3BA9">
      <w:pPr>
        <w:bidi/>
        <w:rPr>
          <w:rFonts w:ascii="Traditional Arabic" w:hAnsi="Traditional Arabic" w:cs="Traditional Arabic"/>
          <w:sz w:val="28"/>
          <w:szCs w:val="28"/>
          <w:rtl/>
        </w:rPr>
      </w:pPr>
      <w:r w:rsidRPr="008A7560">
        <w:rPr>
          <w:rFonts w:ascii="Traditional Arabic" w:hAnsi="Traditional Arabic" w:cs="Traditional Arabic"/>
          <w:sz w:val="28"/>
          <w:szCs w:val="28"/>
          <w:rtl/>
        </w:rPr>
        <w:t>بالاعتماد على أهداف الدراسة وتساؤلاتها التي تسعى إلى استكشاف العلاقة بين تطبيق مبادئ الاستدامة وأداء المشاريع الإنشائية في المملكة العربية السعودية، وإلى تحديد ما إذا كانت هذه الممارسات تؤثر فعليًا على مؤشرات الأداء مثل الجودة، التكلفة، والجدول الزمني، فقد تم بناء الفرضيات التالية لاختبار هذه العلاقة بصورة علمية ومنهجية.</w:t>
      </w:r>
    </w:p>
    <w:p w14:paraId="2BF63FAE" w14:textId="4F26725F" w:rsidR="00D327DE" w:rsidRPr="008A7560"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Pr>
      </w:pPr>
      <w:bookmarkStart w:id="5" w:name="_Toc205043561"/>
      <w:r w:rsidRPr="008A7560">
        <w:rPr>
          <w:rFonts w:ascii="Traditional Arabic" w:eastAsia="Times New Roman" w:hAnsi="Traditional Arabic" w:cs="Traditional Arabic"/>
          <w:b/>
          <w:bCs/>
          <w:sz w:val="28"/>
          <w:szCs w:val="28"/>
          <w:u w:val="single"/>
          <w:rtl/>
        </w:rPr>
        <w:t>الفرضية الرئيسية</w:t>
      </w:r>
      <w:bookmarkEnd w:id="5"/>
    </w:p>
    <w:p w14:paraId="1030006D" w14:textId="6EDA7D2B" w:rsidR="00D327DE" w:rsidRPr="008A7560" w:rsidRDefault="00D327DE" w:rsidP="00344B55">
      <w:pPr>
        <w:bidi/>
        <w:spacing w:beforeAutospacing="1" w:after="100" w:afterAutospacing="1" w:line="24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006A3BA9" w:rsidRPr="008A7560">
        <w:rPr>
          <w:rFonts w:ascii="Traditional Arabic" w:eastAsia="Times New Roman" w:hAnsi="Traditional Arabic" w:cs="Traditional Arabic"/>
          <w:b/>
          <w:bCs/>
          <w:sz w:val="28"/>
          <w:szCs w:val="28"/>
          <w:rtl/>
          <w:lang w:bidi="ar-EG"/>
        </w:rPr>
        <w:t xml:space="preserve">: </w:t>
      </w:r>
      <w:r w:rsidRPr="008A7560">
        <w:rPr>
          <w:rFonts w:ascii="Traditional Arabic" w:eastAsia="Times New Roman" w:hAnsi="Traditional Arabic" w:cs="Traditional Arabic"/>
          <w:sz w:val="28"/>
          <w:szCs w:val="28"/>
          <w:rtl/>
        </w:rPr>
        <w:t>توجد علاقة ذات دلالة إحصائية بين تطبيق مبادئ الاستدامة وأداء المشاريع الإنشائية في الشركات الإنشائية السعودية</w:t>
      </w:r>
      <w:r w:rsidRPr="008A7560">
        <w:rPr>
          <w:rFonts w:ascii="Traditional Arabic" w:eastAsia="Times New Roman" w:hAnsi="Traditional Arabic" w:cs="Traditional Arabic"/>
          <w:sz w:val="28"/>
          <w:szCs w:val="28"/>
        </w:rPr>
        <w:t>.</w:t>
      </w:r>
    </w:p>
    <w:p w14:paraId="1C8D0840" w14:textId="56D2AB8C" w:rsidR="00D327DE" w:rsidRPr="008A7560"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tl/>
        </w:rPr>
      </w:pPr>
      <w:bookmarkStart w:id="6" w:name="_Toc205043562"/>
      <w:r w:rsidRPr="008A7560">
        <w:rPr>
          <w:rFonts w:ascii="Traditional Arabic" w:eastAsia="Times New Roman" w:hAnsi="Traditional Arabic" w:cs="Traditional Arabic"/>
          <w:b/>
          <w:bCs/>
          <w:sz w:val="28"/>
          <w:szCs w:val="28"/>
          <w:u w:val="single"/>
          <w:rtl/>
        </w:rPr>
        <w:t>الفرضيات الفرعية</w:t>
      </w:r>
      <w:bookmarkEnd w:id="6"/>
      <w:r w:rsidRPr="008A7560">
        <w:rPr>
          <w:rFonts w:ascii="Traditional Arabic" w:eastAsia="Times New Roman" w:hAnsi="Traditional Arabic" w:cs="Traditional Arabic"/>
          <w:b/>
          <w:bCs/>
          <w:sz w:val="28"/>
          <w:szCs w:val="28"/>
          <w:u w:val="single"/>
          <w:rtl/>
        </w:rPr>
        <w:t xml:space="preserve"> </w:t>
      </w:r>
    </w:p>
    <w:p w14:paraId="698250FF" w14:textId="1362062E"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H1</w:t>
      </w:r>
      <w:r w:rsidR="00222D10" w:rsidRPr="008A7560">
        <w:rPr>
          <w:rFonts w:ascii="Traditional Arabic" w:eastAsia="Times New Roman" w:hAnsi="Traditional Arabic" w:cs="Traditional Arabic"/>
          <w:b/>
          <w:bCs/>
          <w:sz w:val="28"/>
          <w:szCs w:val="28"/>
        </w:rPr>
        <w:t>-</w:t>
      </w:r>
      <w:proofErr w:type="gramStart"/>
      <w:r w:rsidR="00222D10" w:rsidRPr="008A7560">
        <w:rPr>
          <w:rFonts w:ascii="Traditional Arabic" w:eastAsia="Times New Roman" w:hAnsi="Traditional Arabic" w:cs="Traditional Arabic"/>
          <w:b/>
          <w:bCs/>
          <w:sz w:val="28"/>
          <w:szCs w:val="28"/>
        </w:rPr>
        <w:t>1</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w:t>
      </w:r>
      <w:r w:rsidRPr="008A7560">
        <w:rPr>
          <w:rFonts w:ascii="Traditional Arabic" w:eastAsia="Times New Roman" w:hAnsi="Traditional Arabic" w:cs="Traditional Arabic"/>
          <w:sz w:val="28"/>
          <w:szCs w:val="28"/>
          <w:rtl/>
        </w:rPr>
        <w:t xml:space="preserve">تطبيق مبادئ الاستدامة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التكلفة الإجمالية للمشاريع الإنشائية</w:t>
      </w:r>
      <w:r w:rsidRPr="008A7560">
        <w:rPr>
          <w:rFonts w:ascii="Traditional Arabic" w:eastAsia="Times New Roman" w:hAnsi="Traditional Arabic" w:cs="Traditional Arabic"/>
          <w:sz w:val="28"/>
          <w:szCs w:val="28"/>
        </w:rPr>
        <w:t>.</w:t>
      </w:r>
    </w:p>
    <w:p w14:paraId="476A26FF" w14:textId="693E1B95"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proofErr w:type="gramStart"/>
      <w:r w:rsidRPr="008A7560">
        <w:rPr>
          <w:rFonts w:ascii="Traditional Arabic" w:eastAsia="Times New Roman" w:hAnsi="Traditional Arabic" w:cs="Traditional Arabic"/>
          <w:b/>
          <w:bCs/>
          <w:sz w:val="28"/>
          <w:szCs w:val="28"/>
        </w:rPr>
        <w:t>2</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رضا العملاء في المشاريع الإنشائية</w:t>
      </w:r>
      <w:r w:rsidRPr="008A7560">
        <w:rPr>
          <w:rFonts w:ascii="Traditional Arabic" w:eastAsia="Times New Roman" w:hAnsi="Traditional Arabic" w:cs="Traditional Arabic"/>
          <w:sz w:val="28"/>
          <w:szCs w:val="28"/>
        </w:rPr>
        <w:t>.</w:t>
      </w:r>
    </w:p>
    <w:p w14:paraId="4E66CEBE" w14:textId="54503A1D"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proofErr w:type="gramStart"/>
      <w:r w:rsidRPr="008A7560">
        <w:rPr>
          <w:rFonts w:ascii="Traditional Arabic" w:eastAsia="Times New Roman" w:hAnsi="Traditional Arabic" w:cs="Traditional Arabic"/>
          <w:b/>
          <w:bCs/>
          <w:sz w:val="28"/>
          <w:szCs w:val="28"/>
        </w:rPr>
        <w:t>3</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جودة المشاريع الإنشائية</w:t>
      </w:r>
      <w:r w:rsidRPr="008A7560">
        <w:rPr>
          <w:rFonts w:ascii="Traditional Arabic" w:eastAsia="Times New Roman" w:hAnsi="Traditional Arabic" w:cs="Traditional Arabic"/>
          <w:sz w:val="28"/>
          <w:szCs w:val="28"/>
        </w:rPr>
        <w:t>.</w:t>
      </w:r>
    </w:p>
    <w:p w14:paraId="59161B26" w14:textId="31FA8406"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proofErr w:type="gramStart"/>
      <w:r w:rsidRPr="008A7560">
        <w:rPr>
          <w:rFonts w:ascii="Traditional Arabic" w:eastAsia="Times New Roman" w:hAnsi="Traditional Arabic" w:cs="Traditional Arabic"/>
          <w:b/>
          <w:bCs/>
          <w:sz w:val="28"/>
          <w:szCs w:val="28"/>
        </w:rPr>
        <w:t>4</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 xml:space="preserve">و </w:t>
      </w:r>
      <w:r w:rsidRPr="008A7560">
        <w:rPr>
          <w:rFonts w:ascii="Traditional Arabic" w:eastAsia="Times New Roman" w:hAnsi="Traditional Arabic" w:cs="Traditional Arabic"/>
          <w:sz w:val="28"/>
          <w:szCs w:val="28"/>
          <w:rtl/>
        </w:rPr>
        <w:t>الالتزام بالجدول الزمني لتسليم المشاريع الإنشائية</w:t>
      </w:r>
      <w:r w:rsidRPr="008A7560">
        <w:rPr>
          <w:rFonts w:ascii="Traditional Arabic" w:eastAsia="Times New Roman" w:hAnsi="Traditional Arabic" w:cs="Traditional Arabic"/>
          <w:sz w:val="28"/>
          <w:szCs w:val="28"/>
        </w:rPr>
        <w:t>.</w:t>
      </w:r>
    </w:p>
    <w:p w14:paraId="401C6FA0" w14:textId="27B035A9"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Pr="008A7560">
        <w:rPr>
          <w:rFonts w:ascii="Traditional Arabic" w:eastAsia="Times New Roman" w:hAnsi="Traditional Arabic" w:cs="Traditional Arabic"/>
          <w:b/>
          <w:bCs/>
          <w:sz w:val="28"/>
          <w:szCs w:val="28"/>
        </w:rPr>
        <w:t>5</w:t>
      </w:r>
      <w:r w:rsidR="006A3BA9" w:rsidRPr="008A7560">
        <w:rPr>
          <w:rFonts w:ascii="Traditional Arabic" w:eastAsia="Times New Roman" w:hAnsi="Traditional Arabic" w:cs="Traditional Arabic"/>
          <w:b/>
          <w:bCs/>
          <w:sz w:val="28"/>
          <w:szCs w:val="28"/>
          <w:rtl/>
        </w:rPr>
        <w:t>:</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 xml:space="preserve">تتوسط </w:t>
      </w:r>
      <w:bookmarkStart w:id="7" w:name="_Hlk205768176"/>
      <w:r w:rsidR="00696267" w:rsidRPr="008A7560">
        <w:rPr>
          <w:rFonts w:ascii="Traditional Arabic" w:hAnsi="Traditional Arabic" w:cs="Traditional Arabic"/>
          <w:rtl/>
        </w:rPr>
        <w:t>البيئة الداعمة لتطبيق الاستدامة</w:t>
      </w:r>
      <w:bookmarkEnd w:id="7"/>
      <w:r w:rsidR="00696267" w:rsidRPr="008A7560">
        <w:rPr>
          <w:rFonts w:ascii="Traditional Arabic" w:eastAsia="Times New Roman" w:hAnsi="Traditional Arabic" w:cs="Traditional Arabic"/>
          <w:sz w:val="28"/>
          <w:szCs w:val="28"/>
          <w:rtl/>
        </w:rPr>
        <w:t xml:space="preserve"> </w:t>
      </w:r>
      <w:r w:rsidRPr="008A7560">
        <w:rPr>
          <w:rFonts w:ascii="Traditional Arabic" w:eastAsia="Times New Roman" w:hAnsi="Traditional Arabic" w:cs="Traditional Arabic"/>
          <w:sz w:val="28"/>
          <w:szCs w:val="28"/>
          <w:rtl/>
        </w:rPr>
        <w:t>العلاقة بين تطبيق مبادئ الاستدامة وأداء المشاريع الإنشائية</w:t>
      </w:r>
      <w:r w:rsidRPr="008A7560">
        <w:rPr>
          <w:rFonts w:ascii="Traditional Arabic" w:eastAsia="Times New Roman" w:hAnsi="Traditional Arabic" w:cs="Traditional Arabic"/>
          <w:sz w:val="28"/>
          <w:szCs w:val="28"/>
        </w:rPr>
        <w:t>.</w:t>
      </w:r>
    </w:p>
    <w:p w14:paraId="097A393D" w14:textId="77777777" w:rsidR="00D327DE" w:rsidRPr="008A7560" w:rsidRDefault="00D327DE" w:rsidP="00D327DE">
      <w:pPr>
        <w:bidi/>
        <w:spacing w:after="200" w:line="480" w:lineRule="auto"/>
        <w:rPr>
          <w:rFonts w:ascii="Traditional Arabic" w:hAnsi="Traditional Arabic" w:cs="Traditional Arabic"/>
          <w:b/>
          <w:bCs/>
          <w:sz w:val="28"/>
          <w:szCs w:val="28"/>
          <w:u w:val="single"/>
          <w:rtl/>
        </w:rPr>
      </w:pPr>
    </w:p>
    <w:p w14:paraId="477958B6" w14:textId="60139A37" w:rsidR="006A3BA9" w:rsidRPr="008A7560" w:rsidRDefault="006A3BA9" w:rsidP="006A3BA9">
      <w:pPr>
        <w:bidi/>
        <w:spacing w:after="200" w:line="480" w:lineRule="auto"/>
        <w:rPr>
          <w:rFonts w:ascii="Traditional Arabic" w:hAnsi="Traditional Arabic" w:cs="Traditional Arabic"/>
          <w:b/>
          <w:bCs/>
          <w:sz w:val="28"/>
          <w:szCs w:val="28"/>
          <w:u w:val="single"/>
          <w:rtl/>
        </w:rPr>
      </w:pPr>
    </w:p>
    <w:p w14:paraId="6EB523F3" w14:textId="77777777" w:rsidR="00344B55" w:rsidRPr="008A7560" w:rsidRDefault="00344B55" w:rsidP="00344B55">
      <w:pPr>
        <w:bidi/>
        <w:spacing w:after="200" w:line="480" w:lineRule="auto"/>
        <w:rPr>
          <w:rFonts w:ascii="Traditional Arabic" w:hAnsi="Traditional Arabic" w:cs="Traditional Arabic"/>
          <w:b/>
          <w:bCs/>
          <w:sz w:val="28"/>
          <w:szCs w:val="28"/>
          <w:u w:val="single"/>
          <w:rtl/>
        </w:rPr>
      </w:pPr>
    </w:p>
    <w:p w14:paraId="5AA591BA" w14:textId="6C6F9027" w:rsidR="00F3146F" w:rsidRPr="008A7560" w:rsidRDefault="00F3146F" w:rsidP="00F3146F">
      <w:pPr>
        <w:bidi/>
        <w:spacing w:after="200" w:line="480" w:lineRule="auto"/>
        <w:outlineLvl w:val="0"/>
        <w:rPr>
          <w:rFonts w:ascii="Traditional Arabic" w:hAnsi="Traditional Arabic" w:cs="Traditional Arabic"/>
          <w:b/>
          <w:bCs/>
          <w:sz w:val="28"/>
          <w:szCs w:val="28"/>
          <w:rtl/>
        </w:rPr>
      </w:pPr>
      <w:bookmarkStart w:id="8" w:name="_Toc205043563"/>
      <w:r w:rsidRPr="008A7560">
        <w:rPr>
          <w:rFonts w:ascii="Traditional Arabic" w:hAnsi="Traditional Arabic" w:cs="Traditional Arabic"/>
          <w:b/>
          <w:bCs/>
          <w:sz w:val="28"/>
          <w:szCs w:val="28"/>
          <w:rtl/>
        </w:rPr>
        <w:lastRenderedPageBreak/>
        <w:t>1-1-</w:t>
      </w:r>
      <w:r w:rsidR="00936D62" w:rsidRPr="008A7560">
        <w:rPr>
          <w:rFonts w:ascii="Traditional Arabic" w:hAnsi="Traditional Arabic" w:cs="Traditional Arabic"/>
          <w:b/>
          <w:bCs/>
          <w:sz w:val="28"/>
          <w:szCs w:val="28"/>
          <w:rtl/>
        </w:rPr>
        <w:t>6</w:t>
      </w:r>
      <w:r w:rsidRPr="008A7560">
        <w:rPr>
          <w:rFonts w:ascii="Traditional Arabic" w:hAnsi="Traditional Arabic" w:cs="Traditional Arabic"/>
          <w:b/>
          <w:bCs/>
          <w:sz w:val="28"/>
          <w:szCs w:val="28"/>
          <w:rtl/>
        </w:rPr>
        <w:t xml:space="preserve"> مصطلحات الدراسة وتعريفاتها الاجرائية</w:t>
      </w:r>
      <w:bookmarkEnd w:id="8"/>
    </w:p>
    <w:p w14:paraId="1CD4826F" w14:textId="77777777" w:rsidR="00F3146F" w:rsidRPr="008A7560" w:rsidRDefault="00F3146F" w:rsidP="00F3146F">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الاستدامة</w:t>
      </w:r>
      <w:r w:rsidRPr="008A7560">
        <w:rPr>
          <w:rFonts w:ascii="Traditional Arabic" w:hAnsi="Traditional Arabic" w:cs="Traditional Arabic"/>
          <w:b/>
          <w:bCs/>
          <w:sz w:val="28"/>
          <w:szCs w:val="28"/>
        </w:rPr>
        <w:t xml:space="preserve"> (Sustainability)</w:t>
      </w:r>
    </w:p>
    <w:p w14:paraId="1F9CAB73"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الاستدامة هي نهج تنموي يهدف إلى تلبية احتياجات الحاضر دون التأثير على قدرة الأجيال القادمة على تلبية احتياجاتها، من خلال الحفاظ على توازن الأبعاد البيئية والاقتصادية والاجتماعية، وتقليل استنزاف الموارد الطبيعية والتأثيرات البيئية السلبية</w:t>
      </w:r>
      <w:r w:rsidRPr="008A7560">
        <w:rPr>
          <w:rFonts w:ascii="Traditional Arabic" w:hAnsi="Traditional Arabic" w:cs="Traditional Arabic"/>
          <w:sz w:val="28"/>
          <w:szCs w:val="28"/>
        </w:rPr>
        <w:t xml:space="preserve"> (Qazi et al., 2021).</w:t>
      </w:r>
    </w:p>
    <w:p w14:paraId="586A2D6C"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الإجرائي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في هذه الدراسة، تُقاس الاستدامة من خلال مجموعة من المؤشرات الكمية المرتبطة بأداء المشروع في الجوانب التالية</w:t>
      </w:r>
      <w:r w:rsidRPr="008A7560">
        <w:rPr>
          <w:rFonts w:ascii="Traditional Arabic" w:hAnsi="Traditional Arabic" w:cs="Traditional Arabic"/>
          <w:sz w:val="28"/>
          <w:szCs w:val="28"/>
        </w:rPr>
        <w:t>:</w:t>
      </w:r>
    </w:p>
    <w:p w14:paraId="7C5D6F7B"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البيئية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استخدام الطاقة المتجددة، تقليل الانبعاثات، إدارة النفايات</w:t>
      </w:r>
      <w:r w:rsidRPr="008A7560">
        <w:rPr>
          <w:rFonts w:ascii="Traditional Arabic" w:hAnsi="Traditional Arabic" w:cs="Traditional Arabic"/>
          <w:sz w:val="28"/>
          <w:szCs w:val="28"/>
        </w:rPr>
        <w:t>.</w:t>
      </w:r>
    </w:p>
    <w:p w14:paraId="278ACD6D"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الاقتصادية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كفاءة استخدام الموارد، التحكم في التكاليف، تقليل الهدر</w:t>
      </w:r>
      <w:r w:rsidRPr="008A7560">
        <w:rPr>
          <w:rFonts w:ascii="Traditional Arabic" w:hAnsi="Traditional Arabic" w:cs="Traditional Arabic"/>
          <w:sz w:val="28"/>
          <w:szCs w:val="28"/>
        </w:rPr>
        <w:t>.</w:t>
      </w:r>
    </w:p>
    <w:p w14:paraId="12F79F4C"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الاجتماعية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توفير بيئة عمل آمنة، الاهتمام براحة العاملين، تعزيز العدالة الاجتماعية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وتُرصد هذه المؤشرات عبر أدوات بحثية متمثلة في استبيان موجّه للعاملين في الشركات الإنشائية بالمملكة العربية السعودية</w:t>
      </w:r>
      <w:r w:rsidRPr="008A7560">
        <w:rPr>
          <w:rFonts w:ascii="Traditional Arabic" w:hAnsi="Traditional Arabic" w:cs="Traditional Arabic"/>
          <w:sz w:val="28"/>
          <w:szCs w:val="28"/>
        </w:rPr>
        <w:t>.</w:t>
      </w:r>
    </w:p>
    <w:p w14:paraId="40A6F223" w14:textId="77777777" w:rsidR="00F3146F" w:rsidRPr="008A7560" w:rsidRDefault="00F3146F" w:rsidP="00F3146F">
      <w:pPr>
        <w:bidi/>
        <w:spacing w:after="200" w:line="480" w:lineRule="auto"/>
        <w:rPr>
          <w:rFonts w:ascii="Traditional Arabic" w:hAnsi="Traditional Arabic" w:cs="Traditional Arabic"/>
          <w:b/>
          <w:bCs/>
          <w:sz w:val="28"/>
          <w:szCs w:val="28"/>
          <w:rtl/>
        </w:rPr>
      </w:pPr>
    </w:p>
    <w:p w14:paraId="5FA40626" w14:textId="77777777" w:rsidR="00F3146F" w:rsidRPr="008A7560" w:rsidRDefault="00F3146F" w:rsidP="00F3146F">
      <w:pPr>
        <w:bidi/>
        <w:spacing w:after="200" w:line="480" w:lineRule="auto"/>
        <w:rPr>
          <w:rFonts w:ascii="Traditional Arabic" w:hAnsi="Traditional Arabic" w:cs="Traditional Arabic"/>
          <w:b/>
          <w:bCs/>
          <w:sz w:val="28"/>
          <w:szCs w:val="28"/>
          <w:rtl/>
        </w:rPr>
      </w:pPr>
    </w:p>
    <w:p w14:paraId="328CCD0D" w14:textId="77777777" w:rsidR="00F3146F" w:rsidRPr="008A7560" w:rsidRDefault="00F3146F" w:rsidP="00F3146F">
      <w:pPr>
        <w:bidi/>
        <w:spacing w:after="200" w:line="480" w:lineRule="auto"/>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مبادئ الاستدامة</w:t>
      </w:r>
      <w:r w:rsidRPr="008A7560">
        <w:rPr>
          <w:rFonts w:ascii="Traditional Arabic" w:hAnsi="Traditional Arabic" w:cs="Traditional Arabic"/>
          <w:b/>
          <w:bCs/>
          <w:sz w:val="28"/>
          <w:szCs w:val="28"/>
        </w:rPr>
        <w:t xml:space="preserve"> (Sustainability Principles)</w:t>
      </w:r>
    </w:p>
    <w:p w14:paraId="5EA33F1E"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Pr>
        <w:t xml:space="preserve"> </w:t>
      </w: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تشير مبادئ الاستدامة إلى مجموعة من القيم والتوجيهات التي تهدف إلى تحقيق توازن بين الأبعاد البيئية، الاقتصادية، والاجتماعية في عمليات البناء، بما يضمن تقليل الأثر البيئي، وتعزيز الكفاءة الاقتصادية، وتحقيق العدالة الاجتماعية في المشاريع</w:t>
      </w:r>
      <w:r w:rsidRPr="008A7560">
        <w:rPr>
          <w:rFonts w:ascii="Traditional Arabic" w:hAnsi="Traditional Arabic" w:cs="Traditional Arabic"/>
          <w:sz w:val="28"/>
          <w:szCs w:val="28"/>
        </w:rPr>
        <w:t xml:space="preserve"> (Salah et al., 2023).</w:t>
      </w:r>
    </w:p>
    <w:p w14:paraId="37B9421B" w14:textId="77777777" w:rsidR="00F3146F" w:rsidRPr="008A7560" w:rsidRDefault="00F3146F" w:rsidP="00F3146F">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أداء المشروع الإنشائي</w:t>
      </w:r>
      <w:r w:rsidRPr="008A7560">
        <w:rPr>
          <w:rFonts w:ascii="Traditional Arabic" w:hAnsi="Traditional Arabic" w:cs="Traditional Arabic"/>
          <w:b/>
          <w:bCs/>
          <w:sz w:val="28"/>
          <w:szCs w:val="28"/>
        </w:rPr>
        <w:t xml:space="preserve"> (Construction Project Performance)</w:t>
      </w:r>
    </w:p>
    <w:p w14:paraId="5929E857" w14:textId="60A30D94"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يشير أداء المشروع إلى مدى قدرة المشروع على تحقيق أهدافه وفق معايير محددة تشمل الجودة، الالتزام بالجدول الزمني، وضبط التكاليف، بالإضافة إلى رضا أصحاب المصلحة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Unegbu</w:t>
      </w:r>
      <w:proofErr w:type="spellEnd"/>
      <w:r w:rsidRPr="008A7560">
        <w:rPr>
          <w:rFonts w:ascii="Traditional Arabic" w:hAnsi="Traditional Arabic" w:cs="Traditional Arabic"/>
          <w:sz w:val="28"/>
          <w:szCs w:val="28"/>
        </w:rPr>
        <w:t xml:space="preserve"> et al., </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2022).</w:t>
      </w:r>
    </w:p>
    <w:p w14:paraId="37C325FA"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الإجرائي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في هذه الدراسة، يُقاس أداء المشروع وفقًا للمؤشرات التالية</w:t>
      </w:r>
      <w:r w:rsidRPr="008A7560">
        <w:rPr>
          <w:rFonts w:ascii="Traditional Arabic" w:hAnsi="Traditional Arabic" w:cs="Traditional Arabic"/>
          <w:sz w:val="28"/>
          <w:szCs w:val="28"/>
        </w:rPr>
        <w:t>:</w:t>
      </w:r>
    </w:p>
    <w:p w14:paraId="5494AF87"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الجودة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مدى التزام التنفيذ بالمواصفات الفنية المعتمدة</w:t>
      </w:r>
      <w:r w:rsidRPr="008A7560">
        <w:rPr>
          <w:rFonts w:ascii="Traditional Arabic" w:hAnsi="Traditional Arabic" w:cs="Traditional Arabic"/>
          <w:sz w:val="28"/>
          <w:szCs w:val="28"/>
        </w:rPr>
        <w:t>.</w:t>
      </w:r>
    </w:p>
    <w:p w14:paraId="671EA15C"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الوقت</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الفروقات بين الجدول الزمني المخطط والزمن الفعلي للإنجاز</w:t>
      </w:r>
      <w:r w:rsidRPr="008A7560">
        <w:rPr>
          <w:rFonts w:ascii="Traditional Arabic" w:hAnsi="Traditional Arabic" w:cs="Traditional Arabic"/>
          <w:sz w:val="28"/>
          <w:szCs w:val="28"/>
        </w:rPr>
        <w:t>.</w:t>
      </w:r>
    </w:p>
    <w:p w14:paraId="1D214607"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التكلفة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مدى تطابق التكاليف الفعلية مع الميزانية المقدرة</w:t>
      </w:r>
      <w:r w:rsidRPr="008A7560">
        <w:rPr>
          <w:rFonts w:ascii="Traditional Arabic" w:hAnsi="Traditional Arabic" w:cs="Traditional Arabic"/>
          <w:sz w:val="28"/>
          <w:szCs w:val="28"/>
        </w:rPr>
        <w:t>.</w:t>
      </w:r>
    </w:p>
    <w:p w14:paraId="20883AD5"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رضا العميل</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يتم قياسه من خلال استجابات المستفيدين عن المشروع باستخدام مقياس ليكرت</w:t>
      </w:r>
      <w:r w:rsidRPr="008A7560">
        <w:rPr>
          <w:rFonts w:ascii="Traditional Arabic" w:hAnsi="Traditional Arabic" w:cs="Traditional Arabic"/>
          <w:sz w:val="28"/>
          <w:szCs w:val="28"/>
        </w:rPr>
        <w:t>.</w:t>
      </w:r>
    </w:p>
    <w:p w14:paraId="3B96EC65" w14:textId="0776054F" w:rsidR="00F3146F" w:rsidRPr="008A7560" w:rsidRDefault="00F3146F" w:rsidP="007C56BC">
      <w:p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المؤشرات مبنية على نماذج قياس سابقة مثل نموذج</w:t>
      </w:r>
      <w:r w:rsidRPr="008A7560">
        <w:rPr>
          <w:rFonts w:ascii="Traditional Arabic" w:hAnsi="Traditional Arabic" w:cs="Traditional Arabic"/>
          <w:sz w:val="28"/>
          <w:szCs w:val="28"/>
        </w:rPr>
        <w:t xml:space="preserve"> KPI </w:t>
      </w:r>
      <w:r w:rsidRPr="008A7560">
        <w:rPr>
          <w:rFonts w:ascii="Traditional Arabic" w:hAnsi="Traditional Arabic" w:cs="Traditional Arabic"/>
          <w:sz w:val="28"/>
          <w:szCs w:val="28"/>
          <w:rtl/>
        </w:rPr>
        <w:t>المعتمد في المشاريع الإنشائية السعودية</w:t>
      </w:r>
      <w:r w:rsidRPr="008A7560">
        <w:rPr>
          <w:rFonts w:ascii="Traditional Arabic" w:hAnsi="Traditional Arabic" w:cs="Traditional Arabic"/>
          <w:sz w:val="28"/>
          <w:szCs w:val="28"/>
        </w:rPr>
        <w:t xml:space="preserve"> Alfalah et al., </w:t>
      </w:r>
      <w:r w:rsidR="00B315BF" w:rsidRPr="008A7560">
        <w:rPr>
          <w:rFonts w:ascii="Traditional Arabic" w:hAnsi="Traditional Arabic" w:cs="Traditional Arabic"/>
          <w:sz w:val="28"/>
          <w:szCs w:val="28"/>
        </w:rPr>
        <w:t>(</w:t>
      </w:r>
      <w:proofErr w:type="gramStart"/>
      <w:r w:rsidRPr="008A7560">
        <w:rPr>
          <w:rFonts w:ascii="Traditional Arabic" w:hAnsi="Traditional Arabic" w:cs="Traditional Arabic"/>
          <w:sz w:val="28"/>
          <w:szCs w:val="28"/>
        </w:rPr>
        <w:t>2024</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Pr>
        <w:t xml:space="preserve"> Asiri &amp; Al Mazhar, </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2025</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w:t>
      </w:r>
    </w:p>
    <w:p w14:paraId="2E705DF2" w14:textId="5098163A" w:rsidR="0021489E" w:rsidRPr="008A7560" w:rsidRDefault="00CC5CF6" w:rsidP="00223FEB">
      <w:pPr>
        <w:bidi/>
        <w:spacing w:after="200" w:line="480" w:lineRule="auto"/>
        <w:outlineLvl w:val="0"/>
        <w:rPr>
          <w:rFonts w:ascii="Traditional Arabic" w:hAnsi="Traditional Arabic" w:cs="Traditional Arabic"/>
          <w:b/>
          <w:bCs/>
          <w:sz w:val="28"/>
          <w:szCs w:val="28"/>
          <w:rtl/>
        </w:rPr>
      </w:pPr>
      <w:bookmarkStart w:id="9" w:name="_Toc205043565"/>
      <w:r w:rsidRPr="008A7560">
        <w:rPr>
          <w:rFonts w:ascii="Traditional Arabic" w:hAnsi="Traditional Arabic" w:cs="Traditional Arabic"/>
          <w:b/>
          <w:bCs/>
          <w:sz w:val="28"/>
          <w:szCs w:val="28"/>
          <w:rtl/>
        </w:rPr>
        <w:t>1</w:t>
      </w:r>
      <w:r w:rsidR="00495654"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7</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إجراءات الدراسة:</w:t>
      </w:r>
      <w:bookmarkEnd w:id="9"/>
      <w:r w:rsidR="0021489E" w:rsidRPr="008A7560">
        <w:rPr>
          <w:rFonts w:ascii="Traditional Arabic" w:hAnsi="Traditional Arabic" w:cs="Traditional Arabic"/>
          <w:b/>
          <w:bCs/>
          <w:sz w:val="28"/>
          <w:szCs w:val="28"/>
          <w:rtl/>
        </w:rPr>
        <w:t xml:space="preserve">  </w:t>
      </w:r>
    </w:p>
    <w:p w14:paraId="27D0C676" w14:textId="77777777" w:rsidR="0021489E" w:rsidRPr="008A7560" w:rsidRDefault="0021489E" w:rsidP="0021489E">
      <w:pPr>
        <w:bidi/>
        <w:spacing w:after="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t>منهج الدراسة:</w:t>
      </w:r>
    </w:p>
    <w:p w14:paraId="0F5A6387" w14:textId="77777777" w:rsidR="0021489E" w:rsidRPr="008A7560" w:rsidRDefault="0021489E" w:rsidP="0021489E">
      <w:p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t>يعتمد هذا البحث على المنهج الوصفي التحليلي، وهو أحد الأساليب البحثية الشائعة التي تهدف إلى وصف الظاهرة المدروسة وتحليلها من خلال جمع البيانات ودراستها بطرق منهجية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سيتم تطبيق هذا المنهج في دراسة تأثير تطبيق مبادئ الاستدامة على المشاريع الإنشائية في المملكة العربية السعودية، حيث سيتم جمع البيانات باستخدام الاستبيانات كأداة رئيسية للحصول على معلومات مباشرة من المشاركين في قطاع البناء والتشييد. ستساعد هذه الاستبيانات في تحديد مستوى وعي الشركات بممارسات الاستدامة، وتحليل تأثيرها على جودة المشاريع، التكاليف، والجدول الزمني</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كما سيتم استخدام الأساليب الإحصائية لتحليل البيانات المستخرجة، مما يسهم في استخلاص نتائج دقيقة تدعم الفرضيات المطروحة، وتقديم توصيات عملية تسهم في تعزيز تطبيق الاستدامة في المشاريع المستقبلية</w:t>
      </w:r>
      <w:r w:rsidRPr="008A7560">
        <w:rPr>
          <w:rFonts w:ascii="Traditional Arabic" w:hAnsi="Traditional Arabic" w:cs="Traditional Arabic"/>
          <w:sz w:val="28"/>
          <w:szCs w:val="28"/>
        </w:rPr>
        <w:t>.</w:t>
      </w:r>
    </w:p>
    <w:p w14:paraId="19A8F089" w14:textId="230CB111" w:rsidR="0021489E" w:rsidRPr="008A7560" w:rsidRDefault="0021489E" w:rsidP="0021489E">
      <w:pPr>
        <w:bidi/>
        <w:spacing w:after="20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t>مجتمع وعينة الدراسة</w:t>
      </w:r>
    </w:p>
    <w:p w14:paraId="01207DFB" w14:textId="77777777" w:rsidR="0021489E" w:rsidRPr="008A7560" w:rsidRDefault="0021489E">
      <w:pPr>
        <w:pStyle w:val="ListParagraph"/>
        <w:numPr>
          <w:ilvl w:val="0"/>
          <w:numId w:val="1"/>
        </w:numPr>
        <w:bidi/>
        <w:spacing w:after="200" w:line="480" w:lineRule="auto"/>
        <w:ind w:left="720"/>
        <w:rPr>
          <w:rFonts w:ascii="Traditional Arabic" w:hAnsi="Traditional Arabic" w:cs="Traditional Arabic"/>
          <w:b/>
          <w:bCs/>
          <w:sz w:val="28"/>
          <w:szCs w:val="28"/>
        </w:rPr>
      </w:pPr>
      <w:r w:rsidRPr="008A7560">
        <w:rPr>
          <w:rFonts w:ascii="Traditional Arabic" w:hAnsi="Traditional Arabic" w:cs="Traditional Arabic"/>
          <w:b/>
          <w:bCs/>
          <w:sz w:val="28"/>
          <w:szCs w:val="28"/>
          <w:rtl/>
        </w:rPr>
        <w:t>مجتمع الدراسة:</w:t>
      </w:r>
    </w:p>
    <w:p w14:paraId="7D0B0818" w14:textId="77777777" w:rsidR="00501D91" w:rsidRPr="008A7560" w:rsidRDefault="00501D91" w:rsidP="00501D91">
      <w:pPr>
        <w:bidi/>
        <w:spacing w:after="200" w:line="480" w:lineRule="auto"/>
        <w:ind w:left="360"/>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يتركّز مجتمع الدراسة في هذا البحث على جميع العاملين في المشاريع داخل الشركات الإنشائية السعودية النشطة في مدينة جدة، باعتبارها ثاني أكبر مدينة اقتصادية في المملكة العربية السعودية، ومحورًا مهمًا في منظومة التطوير </w:t>
      </w:r>
      <w:r w:rsidRPr="008A7560">
        <w:rPr>
          <w:rFonts w:ascii="Traditional Arabic" w:hAnsi="Traditional Arabic" w:cs="Traditional Arabic"/>
          <w:sz w:val="28"/>
          <w:szCs w:val="28"/>
          <w:rtl/>
        </w:rPr>
        <w:lastRenderedPageBreak/>
        <w:t>العمراني وتنفيذ المشاريع الكبرى في ضوء رؤية 2030. وقد تم اختيار مدينة جدة تحديدًا نظرًا لما تشهده من توسع متسارع في قطاعات البناء والبنية التحتية، إضافةً إلى استضافتها لعدد كبير من المشاريع التطويرية التي تمثل بيئة خصبة لدراسة العلاقة بين تطبيق مبادئ الاستدامة وأداء المشاريع الإنشائية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تشير أحدث التقديرات إلى وجود ما بين 1,200 و1,300 شركة ناشطة في مدينة جدة، وفقًا لتحليل توزيعي لمجموع الشركات في المملكة، والذي يُقدّر بحوالي 4,000 شركة، حيث تستحوذ الرياض على نحو 55% من هذا العدد، في حين تتوزع النسبة المتبقية (45%) بين جدة والدمام، وتمثل جدة وحدها قرابة 70% من هذه النسبة، أي ما يقارب 1,260 شركة</w:t>
      </w:r>
      <w:r w:rsidRPr="008A7560">
        <w:rPr>
          <w:rFonts w:ascii="Traditional Arabic" w:hAnsi="Traditional Arabic" w:cs="Traditional Arabic"/>
          <w:sz w:val="28"/>
          <w:szCs w:val="28"/>
        </w:rPr>
        <w:t xml:space="preserve"> Hapy, (2025). </w:t>
      </w:r>
      <w:r w:rsidRPr="008A7560">
        <w:rPr>
          <w:rFonts w:ascii="Traditional Arabic" w:hAnsi="Traditional Arabic" w:cs="Traditional Arabic"/>
          <w:sz w:val="28"/>
          <w:szCs w:val="28"/>
          <w:rtl/>
        </w:rPr>
        <w:t>كما تدعم هذه التقديرات بيانات منصة</w:t>
      </w:r>
      <w:r w:rsidRPr="008A7560">
        <w:rPr>
          <w:rFonts w:ascii="Traditional Arabic" w:hAnsi="Traditional Arabic" w:cs="Traditional Arabic"/>
          <w:sz w:val="28"/>
          <w:szCs w:val="28"/>
        </w:rPr>
        <w:t xml:space="preserve"> F6S </w:t>
      </w:r>
      <w:r w:rsidRPr="008A7560">
        <w:rPr>
          <w:rFonts w:ascii="Traditional Arabic" w:hAnsi="Traditional Arabic" w:cs="Traditional Arabic"/>
          <w:sz w:val="28"/>
          <w:szCs w:val="28"/>
          <w:rtl/>
        </w:rPr>
        <w:t>التي توثق أكثر من 130 شركة ناشطة ومسجلة تعمل من خلال منصتها في جدة</w:t>
      </w:r>
      <w:r w:rsidRPr="008A7560">
        <w:rPr>
          <w:rFonts w:ascii="Traditional Arabic" w:hAnsi="Traditional Arabic" w:cs="Traditional Arabic"/>
          <w:sz w:val="28"/>
          <w:szCs w:val="28"/>
        </w:rPr>
        <w:t xml:space="preserve"> F6S, (2025)</w:t>
      </w:r>
      <w:r w:rsidRPr="008A7560">
        <w:rPr>
          <w:rFonts w:ascii="Traditional Arabic" w:hAnsi="Traditional Arabic" w:cs="Traditional Arabic"/>
          <w:sz w:val="28"/>
          <w:szCs w:val="28"/>
          <w:rtl/>
        </w:rPr>
        <w:t>، وكذلك بيانات</w:t>
      </w:r>
      <w:r w:rsidRPr="008A7560">
        <w:rPr>
          <w:rFonts w:ascii="Traditional Arabic" w:hAnsi="Traditional Arabic" w:cs="Traditional Arabic"/>
          <w:sz w:val="28"/>
          <w:szCs w:val="28"/>
        </w:rPr>
        <w:t xml:space="preserve"> Crunchbase </w:t>
      </w:r>
      <w:r w:rsidRPr="008A7560">
        <w:rPr>
          <w:rFonts w:ascii="Traditional Arabic" w:hAnsi="Traditional Arabic" w:cs="Traditional Arabic"/>
          <w:sz w:val="28"/>
          <w:szCs w:val="28"/>
          <w:rtl/>
        </w:rPr>
        <w:t>التي تشير إلى وجود حوالي 1,659 كيانًا تجاريًا خاصًا في جدة ومكة، تشمل الشركات الإنشائية والمشروعات الصغيرة والمتوسطة</w:t>
      </w:r>
      <w:r w:rsidRPr="008A7560">
        <w:rPr>
          <w:rFonts w:ascii="Traditional Arabic" w:hAnsi="Traditional Arabic" w:cs="Traditional Arabic"/>
          <w:sz w:val="28"/>
          <w:szCs w:val="28"/>
        </w:rPr>
        <w:t xml:space="preserve"> Crunchbase, (2025). </w:t>
      </w:r>
      <w:r w:rsidRPr="008A7560">
        <w:rPr>
          <w:rFonts w:ascii="Traditional Arabic" w:hAnsi="Traditional Arabic" w:cs="Traditional Arabic"/>
          <w:sz w:val="28"/>
          <w:szCs w:val="28"/>
          <w:rtl/>
        </w:rPr>
        <w:t>ويحتل النظام البيئي لمدينة جدة المرتبة الثانية محليًا والـ 255 عالميًا من حيث تطوره</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StartupBlink</w:t>
      </w:r>
      <w:proofErr w:type="spellEnd"/>
      <w:r w:rsidRPr="008A7560">
        <w:rPr>
          <w:rFonts w:ascii="Traditional Arabic" w:hAnsi="Traditional Arabic" w:cs="Traditional Arabic"/>
          <w:sz w:val="28"/>
          <w:szCs w:val="28"/>
        </w:rPr>
        <w:t>, (2025).</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وبناءً على ذلك، فإن مجتمع الدراسة يضم جميع الأفراد العاملين في المشاريع داخل هذه الشركات، ممن يشغلون مناصب مرتبطة مباشرة بالتخطيط أو الإشراف أو التنفيذ، مثل المهندسين (مدنيين ومعماريين)، مدراء المشاريع، الاستشاريين الفنيين، ومختصي الجودة والاستدامة، نظرًا لارتباطهم المباشر بعمليات تطبيق مبادئ الاستدامة وقدرتهم على تقييم أثرها على الأداء الفعلي للمشاريع</w:t>
      </w:r>
      <w:r w:rsidRPr="008A7560">
        <w:rPr>
          <w:rFonts w:ascii="Traditional Arabic" w:hAnsi="Traditional Arabic" w:cs="Traditional Arabic"/>
          <w:sz w:val="28"/>
          <w:szCs w:val="28"/>
        </w:rPr>
        <w:t>.</w:t>
      </w:r>
    </w:p>
    <w:p w14:paraId="3F49CAFC" w14:textId="77777777" w:rsidR="00934696" w:rsidRPr="008A7560" w:rsidRDefault="00934696" w:rsidP="00501D91">
      <w:pPr>
        <w:bidi/>
        <w:spacing w:after="200" w:line="480" w:lineRule="auto"/>
        <w:ind w:left="360"/>
        <w:rPr>
          <w:rFonts w:ascii="Traditional Arabic" w:hAnsi="Traditional Arabic" w:cs="Traditional Arabic"/>
          <w:b/>
          <w:bCs/>
          <w:sz w:val="28"/>
          <w:szCs w:val="28"/>
          <w:rtl/>
        </w:rPr>
      </w:pPr>
    </w:p>
    <w:p w14:paraId="0B58F442" w14:textId="2042D749" w:rsidR="00382217" w:rsidRPr="008A7560" w:rsidRDefault="00382217" w:rsidP="00934696">
      <w:pPr>
        <w:bidi/>
        <w:spacing w:after="200" w:line="480" w:lineRule="auto"/>
        <w:ind w:left="360"/>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عينة الدراسة</w:t>
      </w:r>
    </w:p>
    <w:p w14:paraId="3C84D9A0" w14:textId="317B9968" w:rsidR="001D31F9" w:rsidRPr="008A7560" w:rsidRDefault="001D31F9" w:rsidP="00D41763">
      <w:pPr>
        <w:bidi/>
        <w:spacing w:after="200" w:line="480" w:lineRule="auto"/>
        <w:rPr>
          <w:rFonts w:ascii="Traditional Arabic" w:hAnsi="Traditional Arabic" w:cs="Traditional Arabic"/>
          <w:sz w:val="28"/>
          <w:szCs w:val="28"/>
          <w:rtl/>
        </w:rPr>
      </w:pPr>
      <w:bookmarkStart w:id="10" w:name="_Toc205043566"/>
      <w:r w:rsidRPr="008A7560">
        <w:rPr>
          <w:rFonts w:ascii="Traditional Arabic" w:hAnsi="Traditional Arabic" w:cs="Traditional Arabic"/>
          <w:sz w:val="28"/>
          <w:szCs w:val="28"/>
          <w:rtl/>
        </w:rPr>
        <w:t>تم اختيار عينة الدراسة باستخدام أسلوب العينة العشوائية الطبقية من بين العاملين في عدد من الشركات الإنشائية السعودية في مدينة جدة، والتي تمثل قطاعات مختلفة تشمل الحكومي والخاص والمختلط، وذلك لضمان تمثيل متنوع وموضوعي للمشاركين من حيث القطاعات والخبرات. وشملت العينة مهندسين (مدنيين ومعماريين)، مدراء مشاريع، استشاريين فنيين، مختصي استدامة، ومسؤولي جودة، ممن يشغلون مناصب مرتبطة مباشرة بإدارة المشاريع أو الإشراف الفني، نظرًا لارتباطهم الوثيق بعمليات تطبيق مبادئ الاستدامة وتقييم أثرها على الأداء الفعلي للمشاريع. وبناءً على أحدث الإحصاءات، وبالاعتماد على معادلة كريجسي ومورغان</w:t>
      </w:r>
      <w:r w:rsidRPr="008A7560">
        <w:rPr>
          <w:rFonts w:ascii="Traditional Arabic" w:hAnsi="Traditional Arabic" w:cs="Traditional Arabic"/>
          <w:sz w:val="28"/>
          <w:szCs w:val="28"/>
        </w:rPr>
        <w:t xml:space="preserve"> </w:t>
      </w:r>
      <w:r w:rsidR="00D41763"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عند مستوى دلالة 0.05، بلغ حجم العينة المستهدف </w:t>
      </w:r>
      <w:r w:rsidRPr="008A7560">
        <w:rPr>
          <w:rFonts w:ascii="Traditional Arabic" w:hAnsi="Traditional Arabic" w:cs="Traditional Arabic"/>
          <w:sz w:val="28"/>
          <w:szCs w:val="28"/>
        </w:rPr>
        <w:t xml:space="preserve">297 </w:t>
      </w:r>
      <w:r w:rsidRPr="008A7560">
        <w:rPr>
          <w:rFonts w:ascii="Traditional Arabic" w:hAnsi="Traditional Arabic" w:cs="Traditional Arabic"/>
          <w:sz w:val="28"/>
          <w:szCs w:val="28"/>
          <w:rtl/>
        </w:rPr>
        <w:t>مشاركًا، وهو حجم يحقق تمثيلًا إحصائيًا مناسبًا لمجتمع الدراسة. وقد تم توزيع الاستبيان إلكترونيًا للوصول إلى أكبر عدد ممكن من المختصين، مع مراعاة التنوع في القطاعات والمستويات الوظيفية لضمان شمولية وموثوقية النتائج</w:t>
      </w:r>
      <w:r w:rsidRPr="008A7560">
        <w:rPr>
          <w:rFonts w:ascii="Traditional Arabic" w:hAnsi="Traditional Arabic" w:cs="Traditional Arabic"/>
          <w:sz w:val="28"/>
          <w:szCs w:val="28"/>
        </w:rPr>
        <w:t>.</w:t>
      </w:r>
    </w:p>
    <w:p w14:paraId="3E6E40C7" w14:textId="77777777" w:rsidR="001D31F9" w:rsidRPr="008A7560" w:rsidRDefault="001D31F9" w:rsidP="001D31F9">
      <w:pPr>
        <w:bidi/>
        <w:spacing w:after="200" w:line="480" w:lineRule="auto"/>
        <w:rPr>
          <w:rFonts w:ascii="Traditional Arabic" w:hAnsi="Traditional Arabic" w:cs="Traditional Arabic"/>
          <w:sz w:val="28"/>
          <w:szCs w:val="28"/>
        </w:rPr>
      </w:pPr>
    </w:p>
    <w:p w14:paraId="173AAD02" w14:textId="1C547945" w:rsidR="0021489E" w:rsidRPr="008A7560" w:rsidRDefault="006A10B1" w:rsidP="00501D91">
      <w:pPr>
        <w:bidi/>
        <w:spacing w:after="200" w:line="480" w:lineRule="auto"/>
        <w:outlineLvl w:val="0"/>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1</w:t>
      </w:r>
      <w:r w:rsidR="00892791"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8</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حدود الدراسة:</w:t>
      </w:r>
      <w:bookmarkEnd w:id="10"/>
      <w:r w:rsidR="0021489E" w:rsidRPr="008A7560">
        <w:rPr>
          <w:rFonts w:ascii="Traditional Arabic" w:hAnsi="Traditional Arabic" w:cs="Traditional Arabic"/>
          <w:b/>
          <w:bCs/>
          <w:sz w:val="28"/>
          <w:szCs w:val="28"/>
          <w:rtl/>
        </w:rPr>
        <w:t xml:space="preserve"> </w:t>
      </w:r>
    </w:p>
    <w:p w14:paraId="28AB1C35" w14:textId="77777777"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المكانية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اقتصرت الدراسة على مدينة جدة بالمملكة العربية السعودية، نظرًا لما تشهده المدينة من نمو ملحوظ في قطاع المشاريع الناشئة والإنشائية ضمن إطار رؤية السعودية 2030</w:t>
      </w:r>
      <w:r w:rsidRPr="008A7560">
        <w:rPr>
          <w:rFonts w:ascii="Traditional Arabic" w:hAnsi="Traditional Arabic" w:cs="Traditional Arabic"/>
          <w:sz w:val="28"/>
          <w:szCs w:val="28"/>
        </w:rPr>
        <w:t>.</w:t>
      </w:r>
    </w:p>
    <w:p w14:paraId="4765ECE7" w14:textId="7ED5458A"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الزمانية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 </w:t>
      </w:r>
      <w:r w:rsidR="00ED3902" w:rsidRPr="008A7560">
        <w:rPr>
          <w:rFonts w:ascii="Traditional Arabic" w:hAnsi="Traditional Arabic" w:cs="Traditional Arabic"/>
          <w:sz w:val="28"/>
          <w:szCs w:val="28"/>
          <w:rtl/>
        </w:rPr>
        <w:t xml:space="preserve">فنرة </w:t>
      </w:r>
      <w:r w:rsidRPr="008A7560">
        <w:rPr>
          <w:rFonts w:ascii="Traditional Arabic" w:hAnsi="Traditional Arabic" w:cs="Traditional Arabic"/>
          <w:sz w:val="28"/>
          <w:szCs w:val="28"/>
          <w:rtl/>
        </w:rPr>
        <w:t>تنفيذ الدراسة خلال العام الدراسي</w:t>
      </w:r>
      <w:r w:rsidRPr="008A7560">
        <w:rPr>
          <w:rFonts w:ascii="Traditional Arabic" w:hAnsi="Traditional Arabic" w:cs="Traditional Arabic"/>
          <w:b/>
          <w:bCs/>
          <w:sz w:val="28"/>
          <w:szCs w:val="28"/>
          <w:rtl/>
        </w:rPr>
        <w:t xml:space="preserve"> </w:t>
      </w:r>
      <w:r w:rsidR="00ED3902" w:rsidRPr="008A7560">
        <w:rPr>
          <w:rFonts w:ascii="Traditional Arabic" w:hAnsi="Traditional Arabic" w:cs="Traditional Arabic"/>
          <w:sz w:val="28"/>
          <w:szCs w:val="28"/>
          <w:rtl/>
        </w:rPr>
        <w:t>2025-2026م</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 وهي مرحلة تُعد مناسبة لقياس مدى استجابة الشركات لمتطلبات الاستدامة الحديثة في ظل التغيرات التنظيمية والتقنية</w:t>
      </w:r>
      <w:r w:rsidRPr="008A7560">
        <w:rPr>
          <w:rFonts w:ascii="Traditional Arabic" w:hAnsi="Traditional Arabic" w:cs="Traditional Arabic"/>
          <w:sz w:val="28"/>
          <w:szCs w:val="28"/>
        </w:rPr>
        <w:t>.</w:t>
      </w:r>
    </w:p>
    <w:p w14:paraId="2C3E36FB" w14:textId="77777777"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lastRenderedPageBreak/>
        <w:t>الحدود البشرية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شملت الدراسة العاملين في الشركات الناشئة من ذوي العلاقة المباشرة بتنفيذ أو تقييم المشاريع مثل: مديري المشاريع، المهندسين، مختصي الجودة، والاستدامة، دون شمول العاملين في الأقسام الإدارية البعيدة عن العمليات الإنشائية</w:t>
      </w:r>
      <w:r w:rsidRPr="008A7560">
        <w:rPr>
          <w:rFonts w:ascii="Traditional Arabic" w:hAnsi="Traditional Arabic" w:cs="Traditional Arabic"/>
          <w:sz w:val="28"/>
          <w:szCs w:val="28"/>
        </w:rPr>
        <w:t>.</w:t>
      </w:r>
    </w:p>
    <w:p w14:paraId="752AD79C" w14:textId="06164B06" w:rsidR="001D31F9" w:rsidRPr="008A7560" w:rsidRDefault="00382217" w:rsidP="001D31F9">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الموضوعية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تناولت الدراسة العلاقة بين تطبيق مبادئ الاستدامة وأداء المشاريع، من حيث الجودة والتكلفة والجدول الزمني، دون التطرق إلى الجوانب القانونية أو التسويقية أو المالية الموسعة</w:t>
      </w:r>
      <w:r w:rsidRPr="008A7560">
        <w:rPr>
          <w:rFonts w:ascii="Traditional Arabic" w:hAnsi="Traditional Arabic" w:cs="Traditional Arabic"/>
          <w:sz w:val="28"/>
          <w:szCs w:val="28"/>
        </w:rPr>
        <w:t>.</w:t>
      </w:r>
    </w:p>
    <w:p w14:paraId="35BB470A" w14:textId="42E32F4E" w:rsidR="0021489E" w:rsidRPr="008A7560" w:rsidRDefault="008A78BC" w:rsidP="00223FEB">
      <w:pPr>
        <w:bidi/>
        <w:spacing w:after="200" w:line="480" w:lineRule="auto"/>
        <w:outlineLvl w:val="0"/>
        <w:rPr>
          <w:rFonts w:ascii="Traditional Arabic" w:hAnsi="Traditional Arabic" w:cs="Traditional Arabic"/>
          <w:b/>
          <w:bCs/>
          <w:sz w:val="28"/>
          <w:szCs w:val="28"/>
          <w:rtl/>
        </w:rPr>
      </w:pPr>
      <w:bookmarkStart w:id="11" w:name="_Toc205043567"/>
      <w:r w:rsidRPr="008A7560">
        <w:rPr>
          <w:rFonts w:ascii="Traditional Arabic" w:hAnsi="Traditional Arabic" w:cs="Traditional Arabic"/>
          <w:b/>
          <w:bCs/>
          <w:sz w:val="28"/>
          <w:szCs w:val="28"/>
          <w:rtl/>
        </w:rPr>
        <w:t>1-</w:t>
      </w:r>
      <w:r w:rsidR="00892791"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9</w:t>
      </w:r>
      <w:r w:rsidR="00892791"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وسائل جمع بيانات الدراسة</w:t>
      </w:r>
      <w:bookmarkEnd w:id="11"/>
    </w:p>
    <w:p w14:paraId="6CA10C45" w14:textId="77777777" w:rsidR="0021489E" w:rsidRPr="008A7560" w:rsidRDefault="0021489E">
      <w:pPr>
        <w:pStyle w:val="ListParagraph"/>
        <w:numPr>
          <w:ilvl w:val="0"/>
          <w:numId w:val="3"/>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u w:val="single"/>
          <w:rtl/>
        </w:rPr>
        <w:t>الاستبيانات</w:t>
      </w:r>
      <w:r w:rsidRPr="008A7560">
        <w:rPr>
          <w:rFonts w:ascii="Traditional Arabic" w:hAnsi="Traditional Arabic" w:cs="Traditional Arabic"/>
          <w:sz w:val="28"/>
          <w:szCs w:val="28"/>
          <w:u w:val="single"/>
          <w:rtl/>
        </w:rPr>
        <w:t>:</w:t>
      </w:r>
      <w:r w:rsidRPr="008A7560">
        <w:rPr>
          <w:rFonts w:ascii="Traditional Arabic" w:hAnsi="Traditional Arabic" w:cs="Traditional Arabic"/>
          <w:sz w:val="28"/>
          <w:szCs w:val="28"/>
          <w:rtl/>
        </w:rPr>
        <w:t xml:space="preserve"> سيتم تصميم استبيان يتضمن أسئلة مغلقة ومفتوحة لتقييم مستوى تطبيق الاستدامة في المشاريع، وجمع بيانات حول أداء المشاريع. (مثال: ما مدى تطبيق الشركات لممارسات ترشيد استهلاك الطاقة في مشاريعكم؟)</w:t>
      </w:r>
    </w:p>
    <w:p w14:paraId="3FAEA2A2" w14:textId="31BB84CC" w:rsidR="009A3BE8" w:rsidRPr="008A7560" w:rsidRDefault="0021489E">
      <w:pPr>
        <w:pStyle w:val="ListParagraph"/>
        <w:numPr>
          <w:ilvl w:val="0"/>
          <w:numId w:val="2"/>
        </w:num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 xml:space="preserve">تحليل الوثائق: </w:t>
      </w:r>
      <w:r w:rsidRPr="008A7560">
        <w:rPr>
          <w:rFonts w:ascii="Traditional Arabic" w:hAnsi="Traditional Arabic" w:cs="Traditional Arabic"/>
          <w:sz w:val="28"/>
          <w:szCs w:val="28"/>
          <w:rtl/>
        </w:rPr>
        <w:t>سيتم تحليل الوثائق المتعلقة بالمشاريع (مثل تقارير الاستدامة</w:t>
      </w:r>
      <w:r w:rsidR="00025954"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 xml:space="preserve">، خطط </w:t>
      </w:r>
      <w:r w:rsidR="00025954" w:rsidRPr="008A7560">
        <w:rPr>
          <w:rFonts w:ascii="Traditional Arabic" w:hAnsi="Traditional Arabic" w:cs="Traditional Arabic"/>
          <w:sz w:val="28"/>
          <w:szCs w:val="28"/>
          <w:rtl/>
        </w:rPr>
        <w:t>تنمية</w:t>
      </w:r>
      <w:r w:rsidRPr="008A7560">
        <w:rPr>
          <w:rFonts w:ascii="Traditional Arabic" w:hAnsi="Traditional Arabic" w:cs="Traditional Arabic"/>
          <w:sz w:val="28"/>
          <w:szCs w:val="28"/>
          <w:rtl/>
        </w:rPr>
        <w:t xml:space="preserve"> ال</w:t>
      </w:r>
      <w:r w:rsidR="00025954" w:rsidRPr="008A7560">
        <w:rPr>
          <w:rFonts w:ascii="Traditional Arabic" w:hAnsi="Traditional Arabic" w:cs="Traditional Arabic"/>
          <w:sz w:val="28"/>
          <w:szCs w:val="28"/>
          <w:rtl/>
        </w:rPr>
        <w:t xml:space="preserve">بيئة </w:t>
      </w:r>
      <w:r w:rsidRPr="008A7560">
        <w:rPr>
          <w:rFonts w:ascii="Traditional Arabic" w:hAnsi="Traditional Arabic" w:cs="Traditional Arabic"/>
          <w:sz w:val="28"/>
          <w:szCs w:val="28"/>
          <w:rtl/>
        </w:rPr>
        <w:t xml:space="preserve">، شهادات </w:t>
      </w:r>
      <w:r w:rsidRPr="008A7560">
        <w:rPr>
          <w:rFonts w:ascii="Traditional Arabic" w:hAnsi="Traditional Arabic" w:cs="Traditional Arabic"/>
          <w:sz w:val="28"/>
          <w:szCs w:val="28"/>
        </w:rPr>
        <w:t>LEED</w:t>
      </w:r>
      <w:r w:rsidRPr="008A7560">
        <w:rPr>
          <w:rFonts w:ascii="Traditional Arabic" w:hAnsi="Traditional Arabic" w:cs="Traditional Arabic"/>
          <w:sz w:val="28"/>
          <w:szCs w:val="28"/>
          <w:rtl/>
        </w:rPr>
        <w:t>) لتقييم مستوى تطبيق الاستدامة.</w:t>
      </w:r>
    </w:p>
    <w:p w14:paraId="08B6EA46" w14:textId="1E2AA317" w:rsidR="0021489E" w:rsidRPr="008A7560" w:rsidRDefault="0021489E" w:rsidP="003B1683">
      <w:pPr>
        <w:pStyle w:val="ListParagraph"/>
        <w:numPr>
          <w:ilvl w:val="2"/>
          <w:numId w:val="25"/>
        </w:numPr>
        <w:bidi/>
        <w:spacing w:after="200" w:line="480" w:lineRule="auto"/>
        <w:outlineLvl w:val="0"/>
        <w:rPr>
          <w:rFonts w:ascii="Traditional Arabic" w:hAnsi="Traditional Arabic" w:cs="Traditional Arabic"/>
          <w:b/>
          <w:bCs/>
          <w:sz w:val="28"/>
          <w:szCs w:val="28"/>
        </w:rPr>
      </w:pPr>
      <w:bookmarkStart w:id="12" w:name="_Toc205043568"/>
      <w:r w:rsidRPr="008A7560">
        <w:rPr>
          <w:rFonts w:ascii="Traditional Arabic" w:hAnsi="Traditional Arabic" w:cs="Traditional Arabic"/>
          <w:b/>
          <w:bCs/>
          <w:sz w:val="28"/>
          <w:szCs w:val="28"/>
          <w:rtl/>
        </w:rPr>
        <w:t>المعالجات الإحصائية المقترحة</w:t>
      </w:r>
      <w:bookmarkEnd w:id="12"/>
    </w:p>
    <w:p w14:paraId="6C46286A" w14:textId="77777777" w:rsidR="0021489E" w:rsidRPr="008A7560" w:rsidRDefault="0021489E" w:rsidP="0021489E">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الإحصاء الوصفي:</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لحساب المتوسطات، الانحرافات المعيارية، والتوزيعات التكرارية للمتغيرات.</w:t>
      </w:r>
    </w:p>
    <w:p w14:paraId="5A89520F" w14:textId="77777777" w:rsidR="0021489E" w:rsidRPr="008A7560" w:rsidRDefault="0021489E" w:rsidP="0021489E">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تحليل الانحدار:</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لتحليل العلاقة بين تطبيق الاستدامة وأداء المشروع.</w:t>
      </w:r>
    </w:p>
    <w:p w14:paraId="012788D0" w14:textId="2048E8D8" w:rsidR="00F3146F" w:rsidRPr="008A7560" w:rsidRDefault="0021489E" w:rsidP="001D31F9">
      <w:pPr>
        <w:bidi/>
        <w:spacing w:after="200" w:line="480" w:lineRule="auto"/>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اختبارات الفروق:</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اختبار الفروق بين مجموعات مختلفة من الشركات (مثل الشركات الكبيرة والصغيرة).</w:t>
      </w:r>
    </w:p>
    <w:p w14:paraId="64B83F3E" w14:textId="1B82C0CF" w:rsidR="00F3146F" w:rsidRPr="008A7560" w:rsidRDefault="00F3146F" w:rsidP="00F3146F">
      <w:pPr>
        <w:bidi/>
        <w:spacing w:after="200" w:line="480" w:lineRule="auto"/>
        <w:outlineLvl w:val="0"/>
        <w:rPr>
          <w:rFonts w:ascii="Traditional Arabic" w:hAnsi="Traditional Arabic" w:cs="Traditional Arabic"/>
          <w:b/>
          <w:bCs/>
          <w:sz w:val="28"/>
          <w:szCs w:val="28"/>
          <w:rtl/>
        </w:rPr>
      </w:pPr>
      <w:bookmarkStart w:id="13" w:name="_Toc205043569"/>
      <w:r w:rsidRPr="008A7560">
        <w:rPr>
          <w:rFonts w:ascii="Traditional Arabic" w:hAnsi="Traditional Arabic" w:cs="Traditional Arabic"/>
          <w:b/>
          <w:bCs/>
          <w:sz w:val="28"/>
          <w:szCs w:val="28"/>
          <w:rtl/>
        </w:rPr>
        <w:lastRenderedPageBreak/>
        <w:t>1-1-</w:t>
      </w:r>
      <w:r w:rsidR="00936D62" w:rsidRPr="008A7560">
        <w:rPr>
          <w:rFonts w:ascii="Traditional Arabic" w:hAnsi="Traditional Arabic" w:cs="Traditional Arabic"/>
          <w:b/>
          <w:bCs/>
          <w:sz w:val="28"/>
          <w:szCs w:val="28"/>
          <w:rtl/>
        </w:rPr>
        <w:t>1</w:t>
      </w:r>
      <w:r w:rsidR="003B1683"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 نموذج الدراسة</w:t>
      </w:r>
      <w:bookmarkEnd w:id="13"/>
    </w:p>
    <w:p w14:paraId="0B5F29C2"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نموذج الدراسة يهدف إلى تحليل تأثير تطبيق مبادئ الاستدامة على أداء المشاريع الإنشائية في الشركات السعودية. يتكون النموذج من ثلاثة متغيرات رئيسية:</w:t>
      </w:r>
    </w:p>
    <w:p w14:paraId="5CD1BC8F" w14:textId="77777777"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 xml:space="preserve">المتغير المستقل: </w:t>
      </w:r>
      <w:bookmarkStart w:id="14" w:name="_Hlk205041778"/>
      <w:r w:rsidRPr="008A7560">
        <w:rPr>
          <w:rFonts w:ascii="Traditional Arabic" w:hAnsi="Traditional Arabic" w:cs="Traditional Arabic"/>
          <w:sz w:val="28"/>
          <w:szCs w:val="28"/>
          <w:rtl/>
        </w:rPr>
        <w:t>تطبيق مبادئ الاستدامة</w:t>
      </w:r>
      <w:bookmarkEnd w:id="14"/>
    </w:p>
    <w:p w14:paraId="753BA5EB" w14:textId="77777777"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المتغير التابع: أداء المشروع</w:t>
      </w:r>
    </w:p>
    <w:p w14:paraId="0C591EC3" w14:textId="6088BF2D"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 xml:space="preserve">المتغير الوسيط: </w:t>
      </w:r>
      <w:r w:rsidR="00696267" w:rsidRPr="008A7560">
        <w:rPr>
          <w:rFonts w:ascii="Traditional Arabic" w:hAnsi="Traditional Arabic" w:cs="Traditional Arabic"/>
          <w:sz w:val="28"/>
          <w:szCs w:val="28"/>
          <w:rtl/>
        </w:rPr>
        <w:t>البيئة الداعمة لتطبيق الاستدامة</w:t>
      </w:r>
    </w:p>
    <w:p w14:paraId="54035E5F" w14:textId="77777777" w:rsidR="00F3146F" w:rsidRPr="008A7560" w:rsidRDefault="00F3146F" w:rsidP="00696267">
      <w:pPr>
        <w:bidi/>
        <w:spacing w:after="200" w:line="480" w:lineRule="auto"/>
        <w:rPr>
          <w:rFonts w:ascii="Traditional Arabic" w:hAnsi="Traditional Arabic" w:cs="Traditional Arabic"/>
          <w:sz w:val="28"/>
          <w:szCs w:val="28"/>
          <w:rtl/>
        </w:rPr>
      </w:pPr>
    </w:p>
    <w:p w14:paraId="20483C5A" w14:textId="77777777" w:rsidR="00F3146F" w:rsidRPr="008A7560" w:rsidRDefault="00F3146F" w:rsidP="00F3146F">
      <w:pPr>
        <w:pStyle w:val="ListParagraph"/>
        <w:bidi/>
        <w:spacing w:after="200" w:line="480" w:lineRule="auto"/>
        <w:ind w:left="360"/>
        <w:rPr>
          <w:rFonts w:ascii="Traditional Arabic" w:hAnsi="Traditional Arabic" w:cs="Traditional Arabic"/>
          <w:sz w:val="28"/>
          <w:szCs w:val="28"/>
          <w:rtl/>
        </w:rPr>
      </w:pPr>
    </w:p>
    <w:p w14:paraId="5D1124DB"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5C5D23D8"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16A7F18C"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0AF62F4C"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75C2026F"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0E401A5F" w14:textId="77777777" w:rsidR="00F3146F" w:rsidRPr="008A7560" w:rsidRDefault="00F3146F" w:rsidP="00F3146F">
      <w:pPr>
        <w:pStyle w:val="ListParagraph"/>
        <w:bidi/>
        <w:spacing w:after="200" w:line="480" w:lineRule="auto"/>
        <w:ind w:left="360"/>
        <w:rPr>
          <w:rFonts w:ascii="Traditional Arabic" w:hAnsi="Traditional Arabic" w:cs="Traditional Arabic"/>
          <w:sz w:val="28"/>
          <w:szCs w:val="28"/>
          <w:rtl/>
        </w:rPr>
      </w:pPr>
    </w:p>
    <w:p w14:paraId="7E2618D9" w14:textId="77777777" w:rsidR="001D31F9" w:rsidRPr="008A7560" w:rsidRDefault="001D31F9" w:rsidP="001D31F9">
      <w:pPr>
        <w:bidi/>
        <w:spacing w:after="200" w:line="480" w:lineRule="auto"/>
        <w:rPr>
          <w:rFonts w:ascii="Traditional Arabic" w:hAnsi="Traditional Arabic" w:cs="Traditional Arabic"/>
          <w:sz w:val="28"/>
          <w:szCs w:val="28"/>
        </w:rPr>
      </w:pPr>
    </w:p>
    <w:p w14:paraId="16AC0D0A"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rPr>
        <w:lastRenderedPageBreak/>
        <mc:AlternateContent>
          <mc:Choice Requires="wpg">
            <w:drawing>
              <wp:anchor distT="0" distB="0" distL="114300" distR="114300" simplePos="0" relativeHeight="251662848" behindDoc="0" locked="0" layoutInCell="1" allowOverlap="1" wp14:anchorId="196ADECC" wp14:editId="341B315C">
                <wp:simplePos x="0" y="0"/>
                <wp:positionH relativeFrom="margin">
                  <wp:posOffset>-66675</wp:posOffset>
                </wp:positionH>
                <wp:positionV relativeFrom="paragraph">
                  <wp:posOffset>456565</wp:posOffset>
                </wp:positionV>
                <wp:extent cx="6029325" cy="5592469"/>
                <wp:effectExtent l="19050" t="19050" r="28575" b="27305"/>
                <wp:wrapNone/>
                <wp:docPr id="1133565304" name="Group 8"/>
                <wp:cNvGraphicFramePr/>
                <a:graphic xmlns:a="http://schemas.openxmlformats.org/drawingml/2006/main">
                  <a:graphicData uri="http://schemas.microsoft.com/office/word/2010/wordprocessingGroup">
                    <wpg:wgp>
                      <wpg:cNvGrpSpPr/>
                      <wpg:grpSpPr>
                        <a:xfrm>
                          <a:off x="0" y="0"/>
                          <a:ext cx="6029325" cy="5592469"/>
                          <a:chOff x="95250" y="238125"/>
                          <a:chExt cx="6029325" cy="4749352"/>
                        </a:xfrm>
                      </wpg:grpSpPr>
                      <wpg:grpSp>
                        <wpg:cNvPr id="604668402" name="Group 604668402"/>
                        <wpg:cNvGrpSpPr/>
                        <wpg:grpSpPr>
                          <a:xfrm>
                            <a:off x="971550" y="3310256"/>
                            <a:ext cx="4362450" cy="1677221"/>
                            <a:chOff x="971550" y="3310256"/>
                            <a:chExt cx="4362450" cy="1677221"/>
                          </a:xfrm>
                        </wpg:grpSpPr>
                        <wps:wsp>
                          <wps:cNvPr id="176210782" name="Rectangle 176210782"/>
                          <wps:cNvSpPr>
                            <a:spLocks noChangeArrowheads="1"/>
                          </wps:cNvSpPr>
                          <wps:spPr bwMode="auto">
                            <a:xfrm>
                              <a:off x="1238250" y="4400407"/>
                              <a:ext cx="3466465" cy="587070"/>
                            </a:xfrm>
                            <a:prstGeom prst="rect">
                              <a:avLst/>
                            </a:prstGeom>
                            <a:solidFill>
                              <a:srgbClr val="FFFFFF"/>
                            </a:solidFill>
                            <a:ln w="38100">
                              <a:solidFill>
                                <a:srgbClr val="000000"/>
                              </a:solidFill>
                              <a:miter lim="800000"/>
                              <a:headEnd/>
                              <a:tailEnd/>
                            </a:ln>
                            <a:effectLst>
                              <a:outerShdw dist="107763" dir="18900000" algn="ctr" rotWithShape="0">
                                <a:srgbClr val="808080">
                                  <a:alpha val="50000"/>
                                </a:srgbClr>
                              </a:outerShdw>
                            </a:effectLst>
                          </wps:spPr>
                          <wps:txb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wps:txbx>
                          <wps:bodyPr vert="horz" wrap="square" lIns="91440" tIns="45720" rIns="91440" bIns="45720" numCol="1" anchor="t" anchorCtr="0" compatLnSpc="1">
                            <a:prstTxWarp prst="textNoShape">
                              <a:avLst/>
                            </a:prstTxWarp>
                          </wps:bodyPr>
                        </wps:wsp>
                        <wps:wsp>
                          <wps:cNvPr id="1571183500" name="AutoShape 32"/>
                          <wps:cNvSpPr>
                            <a:spLocks noChangeArrowheads="1"/>
                          </wps:cNvSpPr>
                          <wps:spPr bwMode="auto">
                            <a:xfrm>
                              <a:off x="1724025" y="4076700"/>
                              <a:ext cx="2308860" cy="363896"/>
                            </a:xfrm>
                            <a:prstGeom prst="roundRect">
                              <a:avLst>
                                <a:gd name="adj" fmla="val 16667"/>
                              </a:avLst>
                            </a:prstGeom>
                            <a:solidFill>
                              <a:srgbClr val="FFFFFF"/>
                            </a:solidFill>
                            <a:ln w="31750">
                              <a:solidFill>
                                <a:srgbClr val="000000"/>
                              </a:solidFill>
                              <a:round/>
                              <a:headEnd/>
                              <a:tailEnd/>
                            </a:ln>
                            <a:effectLst/>
                          </wps:spPr>
                          <wps:txb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wps:txbx>
                          <wps:bodyPr vert="horz" wrap="square" lIns="91440" tIns="45720" rIns="91440" bIns="45720" numCol="1" anchor="t" anchorCtr="0" compatLnSpc="1">
                            <a:prstTxWarp prst="textNoShape">
                              <a:avLst/>
                            </a:prstTxWarp>
                          </wps:bodyPr>
                        </wps:wsp>
                        <wpg:grpSp>
                          <wpg:cNvPr id="1212680364" name="Group 1212680364"/>
                          <wpg:cNvGrpSpPr/>
                          <wpg:grpSpPr>
                            <a:xfrm>
                              <a:off x="971550" y="3310256"/>
                              <a:ext cx="4362450" cy="785494"/>
                              <a:chOff x="971550" y="3310256"/>
                              <a:chExt cx="4362450" cy="1083685"/>
                            </a:xfrm>
                          </wpg:grpSpPr>
                          <wps:wsp>
                            <wps:cNvPr id="355350585" name="Straight Connector 355350585"/>
                            <wps:cNvCnPr/>
                            <wps:spPr>
                              <a:xfrm flipH="1">
                                <a:off x="2886075" y="4088969"/>
                                <a:ext cx="0" cy="304972"/>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54711678" name="Straight Connector 1854711678"/>
                            <wps:cNvCnPr/>
                            <wps:spPr>
                              <a:xfrm flipH="1">
                                <a:off x="2857500" y="4107976"/>
                                <a:ext cx="2476500" cy="0"/>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80057130" name="Straight Arrow Connector 1980057130"/>
                            <wps:cNvCnPr>
                              <a:stCxn id="535904873" idx="2"/>
                            </wps:cNvCnPr>
                            <wps:spPr>
                              <a:xfrm>
                                <a:off x="5310188" y="3644861"/>
                                <a:ext cx="0" cy="48218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227050" name="Straight Connector 164227050"/>
                            <wps:cNvCnPr/>
                            <wps:spPr>
                              <a:xfrm flipH="1">
                                <a:off x="971550" y="4108019"/>
                                <a:ext cx="1905000" cy="9525"/>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48364625" name="Straight Arrow Connector 1248364625"/>
                            <wps:cNvCnPr/>
                            <wps:spPr>
                              <a:xfrm flipV="1">
                                <a:off x="981075" y="3310256"/>
                                <a:ext cx="9525" cy="816812"/>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cNvPr id="1034687094" name="Group 1034687094"/>
                        <wpg:cNvGrpSpPr/>
                        <wpg:grpSpPr>
                          <a:xfrm>
                            <a:off x="95250" y="238125"/>
                            <a:ext cx="6029325" cy="3314679"/>
                            <a:chOff x="95250" y="238125"/>
                            <a:chExt cx="6029325" cy="3314679"/>
                          </a:xfrm>
                        </wpg:grpSpPr>
                        <wps:wsp>
                          <wps:cNvPr id="440038503" name="AutoShape 25"/>
                          <wps:cNvSpPr>
                            <a:spLocks noChangeArrowheads="1"/>
                          </wps:cNvSpPr>
                          <wps:spPr bwMode="auto">
                            <a:xfrm>
                              <a:off x="4495800" y="238125"/>
                              <a:ext cx="1409700" cy="589717"/>
                            </a:xfrm>
                            <a:prstGeom prst="downArrowCallout">
                              <a:avLst>
                                <a:gd name="adj1" fmla="val 60722"/>
                                <a:gd name="adj2" fmla="val 60722"/>
                                <a:gd name="adj3" fmla="val 16667"/>
                                <a:gd name="adj4" fmla="val 66667"/>
                              </a:avLst>
                            </a:prstGeom>
                            <a:solidFill>
                              <a:srgbClr val="FFFFFF"/>
                            </a:solidFill>
                            <a:ln w="31750">
                              <a:solidFill>
                                <a:srgbClr val="000000"/>
                              </a:solidFill>
                              <a:miter lim="800000"/>
                              <a:headEnd/>
                              <a:tailEnd/>
                            </a:ln>
                            <a:effectLst/>
                          </wps:spPr>
                          <wps:txb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wps:txbx>
                          <wps:bodyPr vert="horz" wrap="square" lIns="91440" tIns="45720" rIns="91440" bIns="45720" numCol="1" anchor="t" anchorCtr="0" compatLnSpc="1">
                            <a:prstTxWarp prst="textNoShape">
                              <a:avLst/>
                            </a:prstTxWarp>
                          </wps:bodyPr>
                        </wps:wsp>
                        <wpg:grpSp>
                          <wpg:cNvPr id="2048403853" name="Group 2048403853"/>
                          <wpg:cNvGrpSpPr/>
                          <wpg:grpSpPr>
                            <a:xfrm>
                              <a:off x="95250" y="247421"/>
                              <a:ext cx="6029325" cy="3305383"/>
                              <a:chOff x="95250" y="247421"/>
                              <a:chExt cx="6029325" cy="3305383"/>
                            </a:xfrm>
                          </wpg:grpSpPr>
                          <wpg:grpSp>
                            <wpg:cNvPr id="1067461676" name="Group 1067461676"/>
                            <wpg:cNvGrpSpPr>
                              <a:grpSpLocks/>
                            </wpg:cNvGrpSpPr>
                            <wpg:grpSpPr bwMode="auto">
                              <a:xfrm>
                                <a:off x="161925" y="247421"/>
                                <a:ext cx="5962650" cy="3305383"/>
                                <a:chOff x="161925" y="247518"/>
                                <a:chExt cx="9390" cy="5123"/>
                              </a:xfrm>
                            </wpg:grpSpPr>
                            <wps:wsp>
                              <wps:cNvPr id="1248169781" name="AutoShape 36"/>
                              <wps:cNvSpPr>
                                <a:spLocks noChangeArrowheads="1"/>
                              </wps:cNvSpPr>
                              <wps:spPr bwMode="auto">
                                <a:xfrm>
                                  <a:off x="161925" y="247518"/>
                                  <a:ext cx="2265" cy="914"/>
                                </a:xfrm>
                                <a:prstGeom prst="downArrowCallout">
                                  <a:avLst>
                                    <a:gd name="adj1" fmla="val 61953"/>
                                    <a:gd name="adj2" fmla="val 61953"/>
                                    <a:gd name="adj3" fmla="val 16667"/>
                                    <a:gd name="adj4" fmla="val 66667"/>
                                  </a:avLst>
                                </a:prstGeom>
                                <a:solidFill>
                                  <a:srgbClr val="FFFFFF"/>
                                </a:solidFill>
                                <a:ln w="31750">
                                  <a:solidFill>
                                    <a:srgbClr val="000000"/>
                                  </a:solidFill>
                                  <a:miter lim="800000"/>
                                  <a:headEnd/>
                                  <a:tailEnd/>
                                </a:ln>
                                <a:effectLst/>
                              </wps:spPr>
                              <wps:txb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wps:txbx>
                              <wps:bodyPr vert="horz" wrap="square" lIns="91440" tIns="45720" rIns="91440" bIns="45720" numCol="1" anchor="t" anchorCtr="0" compatLnSpc="1">
                                <a:prstTxWarp prst="textNoShape">
                                  <a:avLst/>
                                </a:prstTxWarp>
                              </wps:bodyPr>
                            </wps:wsp>
                            <wps:wsp>
                              <wps:cNvPr id="535904873" name="Rectangle 535904873"/>
                              <wps:cNvSpPr>
                                <a:spLocks noChangeArrowheads="1"/>
                              </wps:cNvSpPr>
                              <wps:spPr bwMode="auto">
                                <a:xfrm>
                                  <a:off x="168750" y="248655"/>
                                  <a:ext cx="2565" cy="3986"/>
                                </a:xfrm>
                                <a:prstGeom prst="rect">
                                  <a:avLst/>
                                </a:prstGeom>
                                <a:solidFill>
                                  <a:srgbClr val="FFFFFF"/>
                                </a:solidFill>
                                <a:ln w="31750">
                                  <a:solidFill>
                                    <a:srgbClr val="000000"/>
                                  </a:solidFill>
                                  <a:miter lim="800000"/>
                                  <a:headEnd/>
                                  <a:tailEnd/>
                                </a:ln>
                                <a:effectLst/>
                              </wps:spPr>
                              <wps:txb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wps:txbx>
                              <wps:bodyPr vert="horz" wrap="square" lIns="91440" tIns="45720" rIns="91440" bIns="45720" numCol="1" anchor="t" anchorCtr="0" compatLnSpc="1">
                                <a:prstTxWarp prst="textNoShape">
                                  <a:avLst/>
                                </a:prstTxWarp>
                              </wps:bodyPr>
                            </wps:wsp>
                          </wpg:grpSp>
                          <wps:wsp>
                            <wps:cNvPr id="424773712" name="Rectangle 424773712"/>
                            <wps:cNvSpPr>
                              <a:spLocks noChangeArrowheads="1"/>
                            </wps:cNvSpPr>
                            <wps:spPr bwMode="auto">
                              <a:xfrm>
                                <a:off x="95250" y="1057276"/>
                                <a:ext cx="1552575" cy="2252980"/>
                              </a:xfrm>
                              <a:prstGeom prst="rect">
                                <a:avLst/>
                              </a:prstGeom>
                              <a:solidFill>
                                <a:srgbClr val="FFFFFF"/>
                              </a:solidFill>
                              <a:ln w="31750">
                                <a:solidFill>
                                  <a:srgbClr val="000000"/>
                                </a:solidFill>
                                <a:miter lim="800000"/>
                                <a:headEnd/>
                                <a:tailEnd/>
                              </a:ln>
                              <a:effectLst/>
                            </wps:spPr>
                            <wps:txb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wps:txbx>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96ADECC" id="Group 8" o:spid="_x0000_s1026" style="position:absolute;left:0;text-align:left;margin-left:-5.25pt;margin-top:35.95pt;width:474.75pt;height:440.35pt;z-index:251662848;mso-position-horizontal-relative:margin" coordorigin="952,2381" coordsize="60293,47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">
                <v:group id="Group 604668402" o:spid="_x0000_s1027" style="position:absolute;left:9715;top:33102;width:43625;height:16772" coordorigin="9715,33102" coordsize="43624,16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">
                  <v:rect id="Rectangle 176210782" o:spid="_x0000_s1028" style="position:absolute;left:12382;top:44004;width:34665;height:5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" strokeweight="3pt">
                    <v:shadow on="t" opacity=".5" offset="6pt,-6pt"/>
                    <v:textbo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v:textbox>
                  </v:rect>
                  <v:roundrect id="AutoShape 32" o:spid="_x0000_s1029" style="position:absolute;left:17240;top:40767;width:23088;height:36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" strokeweight="2.5pt">
                    <v:textbo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v:textbox>
                  </v:roundrect>
                  <v:group id="Group 1212680364" o:spid="_x0000_s1030" style="position:absolute;left:9715;top:33102;width:43625;height:7855" coordorigin="9715,33102" coordsize="43624,10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">
                    <v:line id="Straight Connector 355350585" o:spid="_x0000_s1031" style="position:absolute;flip:x;visibility:visible;mso-wrap-style:square" from="28860,40889" to="28860,43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" strokecolor="black [3213]" strokeweight="2.75pt"/>
                    <v:line id="Straight Connector 1854711678" o:spid="_x0000_s1032" style="position:absolute;flip:x;visibility:visible;mso-wrap-style:square" from="28575,41079" to="53340,41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" strokecolor="black [3213]" strokeweight="2.75pt"/>
                    <v:shapetype id="_x0000_t32" coordsize="21600,21600" o:spt="32" o:oned="t" path="m,l21600,21600e" filled="f">
                      <v:path arrowok="t" fillok="f" o:connecttype="none"/>
                      <o:lock v:ext="edit" shapetype="t"/>
                    </v:shapetype>
                    <v:shape id="Straight Arrow Connector 1980057130" o:spid="_x0000_s1033" type="#_x0000_t32" style="position:absolute;left:53101;top:36448;width:0;height:4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" strokecolor="black [3213]" strokeweight="3pt">
                      <v:stroke endarrow="block"/>
                    </v:shape>
                    <v:line id="Straight Connector 164227050" o:spid="_x0000_s1034" style="position:absolute;flip:x;visibility:visible;mso-wrap-style:square" from="9715,41080" to="28765,41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" strokecolor="black [3213]" strokeweight="2.75pt"/>
                    <v:shape id="Straight Arrow Connector 1248364625" o:spid="_x0000_s1035" type="#_x0000_t32" style="position:absolute;left:9810;top:33102;width:96;height:81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" strokecolor="black [3213]" strokeweight="3pt">
                      <v:stroke endarrow="block"/>
                    </v:shape>
                  </v:group>
                </v:group>
                <v:group id="Group 1034687094" o:spid="_x0000_s1036" style="position:absolute;left:952;top:2381;width:60293;height:33147" coordorigin="952,2381" coordsize="60293,3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5" o:spid="_x0000_s1037" type="#_x0000_t80" style="position:absolute;left:44958;top:2381;width:14097;height:5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" adj=",5313,,8057" strokeweight="2.5pt">
                    <v:textbo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v:textbox>
                  </v:shape>
                  <v:group id="Group 2048403853" o:spid="_x0000_s1038" style="position:absolute;left:952;top:2474;width:60293;height:33054" coordorigin="952,2474" coordsize="60293,3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">
                    <v:group id="Group 1067461676" o:spid="_x0000_s1039" style="position:absolute;left:1619;top:2474;width:59626;height:33054" coordorigin="161925,247518" coordsize="9390,5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">
                      <v:shape id="AutoShape 36" o:spid="_x0000_s1040" type="#_x0000_t80" style="position:absolute;left:161925;top:247518;width:2265;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" strokeweight="2.5pt">
                        <v:textbo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v:textbox>
                      </v:shape>
                      <v:rect id="Rectangle 535904873" o:spid="_x0000_s1041" style="position:absolute;left:168750;top:248655;width:2565;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" strokeweight="2.5pt">
                        <v:textbo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v:textbox>
                      </v:rect>
                    </v:group>
                    <v:rect id="Rectangle 424773712" o:spid="_x0000_s1042" style="position:absolute;left:952;top:10572;width:15526;height:2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" strokeweight="2.5pt">
                      <v:textbo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v:textbox>
                    </v:rect>
                  </v:group>
                </v:group>
                <w10:wrap anchorx="margin"/>
              </v:group>
            </w:pict>
          </mc:Fallback>
        </mc:AlternateContent>
      </w:r>
    </w:p>
    <w:p w14:paraId="617CE6C9"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rPr>
        <mc:AlternateContent>
          <mc:Choice Requires="wps">
            <w:drawing>
              <wp:anchor distT="0" distB="0" distL="114300" distR="114300" simplePos="0" relativeHeight="251661824" behindDoc="0" locked="0" layoutInCell="1" allowOverlap="1" wp14:anchorId="64B67657" wp14:editId="46E6DC0B">
                <wp:simplePos x="0" y="0"/>
                <wp:positionH relativeFrom="column">
                  <wp:posOffset>1362710</wp:posOffset>
                </wp:positionH>
                <wp:positionV relativeFrom="paragraph">
                  <wp:posOffset>78740</wp:posOffset>
                </wp:positionV>
                <wp:extent cx="2632710" cy="415925"/>
                <wp:effectExtent l="19050" t="19050" r="15240" b="22225"/>
                <wp:wrapNone/>
                <wp:docPr id="158109481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710" cy="415925"/>
                        </a:xfrm>
                        <a:prstGeom prst="roundRect">
                          <a:avLst>
                            <a:gd name="adj" fmla="val 16667"/>
                          </a:avLst>
                        </a:prstGeom>
                        <a:solidFill>
                          <a:schemeClr val="bg1"/>
                        </a:solidFill>
                        <a:ln w="31750">
                          <a:solidFill>
                            <a:schemeClr val="bg1"/>
                          </a:solidFill>
                          <a:round/>
                          <a:headEnd/>
                          <a:tailEnd/>
                        </a:ln>
                        <a:effectLst/>
                      </wps:spPr>
                      <wps:txb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wps:txbx>
                      <wps:bodyPr vertOverflow="clip" horzOverflow="clip"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oundrect w14:anchorId="64B67657" id="Rectangle: Rounded Corners 7" o:spid="_x0000_s1043" style="position:absolute;left:0;text-align:left;margin-left:107.3pt;margin-top:6.2pt;width:207.3pt;height:3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" fillcolor="white [3212]" strokecolor="white [3212]" strokeweight="2.5pt">
                <v:textbo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v:textbox>
              </v:roundrect>
            </w:pict>
          </mc:Fallback>
        </mc:AlternateContent>
      </w:r>
      <w:r w:rsidRPr="008A7560">
        <w:rPr>
          <w:rFonts w:ascii="Traditional Arabic" w:hAnsi="Traditional Arabic" w:cs="Traditional Arabic"/>
          <w:b/>
          <w:bCs/>
          <w:sz w:val="28"/>
          <w:szCs w:val="28"/>
        </w:rPr>
        <w:t xml:space="preserve"> </w:t>
      </w:r>
    </w:p>
    <w:p w14:paraId="0FAEA907"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3A973C9F" w14:textId="33BD86F4"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56FD79C0" w14:textId="57EC3626"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9232" behindDoc="0" locked="0" layoutInCell="1" allowOverlap="1" wp14:anchorId="332D3C49" wp14:editId="655AF49A">
                <wp:simplePos x="0" y="0"/>
                <wp:positionH relativeFrom="column">
                  <wp:posOffset>2762250</wp:posOffset>
                </wp:positionH>
                <wp:positionV relativeFrom="paragraph">
                  <wp:posOffset>343535</wp:posOffset>
                </wp:positionV>
                <wp:extent cx="505460" cy="238125"/>
                <wp:effectExtent l="0" t="0" r="8890" b="9525"/>
                <wp:wrapThrough wrapText="bothSides">
                  <wp:wrapPolygon edited="0">
                    <wp:start x="0" y="0"/>
                    <wp:lineTo x="0" y="20736"/>
                    <wp:lineTo x="21166" y="20736"/>
                    <wp:lineTo x="21166" y="0"/>
                    <wp:lineTo x="0" y="0"/>
                  </wp:wrapPolygon>
                </wp:wrapThrough>
                <wp:docPr id="433374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238125"/>
                        </a:xfrm>
                        <a:prstGeom prst="rect">
                          <a:avLst/>
                        </a:prstGeom>
                        <a:solidFill>
                          <a:srgbClr val="FFFFFF"/>
                        </a:solidFill>
                        <a:ln w="9525">
                          <a:noFill/>
                          <a:miter lim="800000"/>
                          <a:headEnd/>
                          <a:tailEnd/>
                        </a:ln>
                      </wps:spPr>
                      <wps:txbx>
                        <w:txbxContent>
                          <w:p w14:paraId="0467FD21" w14:textId="17C16381" w:rsidR="00696267" w:rsidRDefault="00696267" w:rsidP="00696267">
                            <w:r>
                              <w:t>H1-2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D3C49" id="_x0000_t202" coordsize="21600,21600" o:spt="202" path="m,l,21600r21600,l21600,xe">
                <v:stroke joinstyle="miter"/>
                <v:path gradientshapeok="t" o:connecttype="rect"/>
              </v:shapetype>
              <v:shape id="Text Box 2" o:spid="_x0000_s1044" type="#_x0000_t202" style="position:absolute;left:0;text-align:left;margin-left:217.5pt;margin-top:27.05pt;width:39.8pt;height:18.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" stroked="f">
                <v:textbox>
                  <w:txbxContent>
                    <w:p w14:paraId="0467FD21" w14:textId="17C16381" w:rsidR="00696267" w:rsidRDefault="00696267" w:rsidP="00696267">
                      <w:r>
                        <w:t>H1-2</w:t>
                      </w:r>
                    </w:p>
                  </w:txbxContent>
                </v:textbox>
                <w10:wrap type="through"/>
              </v:shape>
            </w:pict>
          </mc:Fallback>
        </mc:AlternateContent>
      </w: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3088" behindDoc="0" locked="0" layoutInCell="1" allowOverlap="1" wp14:anchorId="151A9406" wp14:editId="24D68C30">
                <wp:simplePos x="0" y="0"/>
                <wp:positionH relativeFrom="column">
                  <wp:posOffset>2752725</wp:posOffset>
                </wp:positionH>
                <wp:positionV relativeFrom="paragraph">
                  <wp:posOffset>10160</wp:posOffset>
                </wp:positionV>
                <wp:extent cx="514985" cy="23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7F408B3" w14:textId="16A52F2E" w:rsidR="00696267" w:rsidRDefault="00696267">
                            <w:r>
                              <w:t>H1-1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A9406" id="_x0000_s1045" type="#_x0000_t202" style="position:absolute;left:0;text-align:left;margin-left:216.75pt;margin-top:.8pt;width:40.55pt;height:18.7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wIDwIAAPw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" stroked="f">
                <v:textbox>
                  <w:txbxContent>
                    <w:p w14:paraId="27F408B3" w14:textId="16A52F2E" w:rsidR="00696267" w:rsidRDefault="00696267">
                      <w:r>
                        <w:t>H1-1</w:t>
                      </w:r>
                    </w:p>
                  </w:txbxContent>
                </v:textbox>
                <w10:wrap type="square"/>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4896" behindDoc="0" locked="0" layoutInCell="1" allowOverlap="1" wp14:anchorId="105ABC80" wp14:editId="376867F3">
                <wp:simplePos x="0" y="0"/>
                <wp:positionH relativeFrom="column">
                  <wp:posOffset>1495425</wp:posOffset>
                </wp:positionH>
                <wp:positionV relativeFrom="paragraph">
                  <wp:posOffset>314960</wp:posOffset>
                </wp:positionV>
                <wp:extent cx="2828925" cy="19050"/>
                <wp:effectExtent l="38100" t="57150" r="0" b="95250"/>
                <wp:wrapNone/>
                <wp:docPr id="1497032182"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583366" id="Straight Arrow Connector 14" o:spid="_x0000_s1026" type="#_x0000_t32" style="position:absolute;margin-left:117.75pt;margin-top:24.8pt;width:222.75pt;height:1.5pt;flip:x;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" strokecolor="black [3040]">
                <v:stroke endarrow="block"/>
              </v:shape>
            </w:pict>
          </mc:Fallback>
        </mc:AlternateContent>
      </w:r>
      <w:r w:rsidR="00F3146F"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3872" behindDoc="0" locked="0" layoutInCell="1" allowOverlap="1" wp14:anchorId="2194762D" wp14:editId="57867091">
                <wp:simplePos x="0" y="0"/>
                <wp:positionH relativeFrom="column">
                  <wp:posOffset>97403</wp:posOffset>
                </wp:positionH>
                <wp:positionV relativeFrom="paragraph">
                  <wp:posOffset>157727</wp:posOffset>
                </wp:positionV>
                <wp:extent cx="1209675" cy="1550505"/>
                <wp:effectExtent l="0" t="0" r="28575" b="12065"/>
                <wp:wrapNone/>
                <wp:docPr id="1926776719" name="Rectangle: Rounded Corners 9"/>
                <wp:cNvGraphicFramePr/>
                <a:graphic xmlns:a="http://schemas.openxmlformats.org/drawingml/2006/main">
                  <a:graphicData uri="http://schemas.microsoft.com/office/word/2010/wordprocessingShape">
                    <wps:wsp>
                      <wps:cNvSpPr/>
                      <wps:spPr>
                        <a:xfrm>
                          <a:off x="0" y="0"/>
                          <a:ext cx="1209675" cy="1550505"/>
                        </a:xfrm>
                        <a:prstGeom prst="roundRect">
                          <a:avLst/>
                        </a:prstGeom>
                      </wps:spPr>
                      <wps:style>
                        <a:lnRef idx="2">
                          <a:schemeClr val="dk1"/>
                        </a:lnRef>
                        <a:fillRef idx="1">
                          <a:schemeClr val="lt1"/>
                        </a:fillRef>
                        <a:effectRef idx="0">
                          <a:schemeClr val="dk1"/>
                        </a:effectRef>
                        <a:fontRef idx="minor">
                          <a:schemeClr val="dk1"/>
                        </a:fontRef>
                      </wps:style>
                      <wps:txb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94762D" id="Rectangle: Rounded Corners 9" o:spid="_x0000_s1046" style="position:absolute;left:0;text-align:left;margin-left:7.65pt;margin-top:12.4pt;width:95.25pt;height:122.1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" fillcolor="white [3201]" strokecolor="black [3200]" strokeweight="2pt">
                <v:textbo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v:textbox>
              </v:roundrect>
            </w:pict>
          </mc:Fallback>
        </mc:AlternateContent>
      </w:r>
    </w:p>
    <w:p w14:paraId="55349A5C" w14:textId="441AE9E2"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5136" behindDoc="0" locked="0" layoutInCell="1" allowOverlap="1" wp14:anchorId="0949BD94" wp14:editId="62485BEA">
                <wp:simplePos x="0" y="0"/>
                <wp:positionH relativeFrom="column">
                  <wp:posOffset>2752725</wp:posOffset>
                </wp:positionH>
                <wp:positionV relativeFrom="paragraph">
                  <wp:posOffset>392430</wp:posOffset>
                </wp:positionV>
                <wp:extent cx="514985" cy="238125"/>
                <wp:effectExtent l="0" t="0" r="0" b="9525"/>
                <wp:wrapSquare wrapText="bothSides"/>
                <wp:docPr id="203018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33A40E17" w14:textId="04DF421C" w:rsidR="00696267" w:rsidRDefault="00696267" w:rsidP="00696267">
                            <w:r>
                              <w:t>H1-4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9BD94" id="_x0000_s1047" type="#_x0000_t202" style="position:absolute;left:0;text-align:left;margin-left:216.75pt;margin-top:30.9pt;width:40.55pt;height:18.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RjDw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" stroked="f">
                <v:textbox>
                  <w:txbxContent>
                    <w:p w14:paraId="33A40E17" w14:textId="04DF421C" w:rsidR="00696267" w:rsidRDefault="00696267" w:rsidP="00696267">
                      <w:r>
                        <w:t>H1-4</w:t>
                      </w:r>
                    </w:p>
                  </w:txbxContent>
                </v:textbox>
                <w10:wrap type="square"/>
              </v:shape>
            </w:pict>
          </mc:Fallback>
        </mc:AlternateContent>
      </w: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7184" behindDoc="0" locked="0" layoutInCell="1" allowOverlap="1" wp14:anchorId="56492756" wp14:editId="571FBBAC">
                <wp:simplePos x="0" y="0"/>
                <wp:positionH relativeFrom="margin">
                  <wp:posOffset>2751455</wp:posOffset>
                </wp:positionH>
                <wp:positionV relativeFrom="paragraph">
                  <wp:posOffset>112395</wp:posOffset>
                </wp:positionV>
                <wp:extent cx="514985" cy="238125"/>
                <wp:effectExtent l="0" t="0" r="0" b="9525"/>
                <wp:wrapThrough wrapText="bothSides">
                  <wp:wrapPolygon edited="0">
                    <wp:start x="0" y="0"/>
                    <wp:lineTo x="0" y="20736"/>
                    <wp:lineTo x="20774" y="20736"/>
                    <wp:lineTo x="20774" y="0"/>
                    <wp:lineTo x="0" y="0"/>
                  </wp:wrapPolygon>
                </wp:wrapThrough>
                <wp:docPr id="1378697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56E650CC" w14:textId="00114756" w:rsidR="00696267" w:rsidRDefault="00696267" w:rsidP="00696267">
                            <w:r>
                              <w:t>H1-3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92756" id="_x0000_s1048" type="#_x0000_t202" style="position:absolute;left:0;text-align:left;margin-left:216.65pt;margin-top:8.85pt;width:40.55pt;height:18.75pt;z-index:25167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6qVEA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" stroked="f">
                <v:textbox>
                  <w:txbxContent>
                    <w:p w14:paraId="56E650CC" w14:textId="00114756" w:rsidR="00696267" w:rsidRDefault="00696267" w:rsidP="00696267">
                      <w:r>
                        <w:t>H1-3</w:t>
                      </w:r>
                    </w:p>
                  </w:txbxContent>
                </v:textbox>
                <w10:wrap type="through" anchorx="margin"/>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8992" behindDoc="0" locked="0" layoutInCell="1" allowOverlap="1" wp14:anchorId="19BE1607" wp14:editId="275A2596">
                <wp:simplePos x="0" y="0"/>
                <wp:positionH relativeFrom="column">
                  <wp:posOffset>1495425</wp:posOffset>
                </wp:positionH>
                <wp:positionV relativeFrom="paragraph">
                  <wp:posOffset>372745</wp:posOffset>
                </wp:positionV>
                <wp:extent cx="2828925" cy="19050"/>
                <wp:effectExtent l="38100" t="57150" r="0" b="95250"/>
                <wp:wrapNone/>
                <wp:docPr id="112083176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B0641A" id="Straight Arrow Connector 14" o:spid="_x0000_s1026" type="#_x0000_t32" style="position:absolute;margin-left:117.75pt;margin-top:29.35pt;width:222.75pt;height:1.5pt;flip:x;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" strokecolor="black [3040]">
                <v:stroke endarrow="block"/>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6944" behindDoc="0" locked="0" layoutInCell="1" allowOverlap="1" wp14:anchorId="3675705C" wp14:editId="44E0183B">
                <wp:simplePos x="0" y="0"/>
                <wp:positionH relativeFrom="margin">
                  <wp:posOffset>1498600</wp:posOffset>
                </wp:positionH>
                <wp:positionV relativeFrom="paragraph">
                  <wp:posOffset>67945</wp:posOffset>
                </wp:positionV>
                <wp:extent cx="2828925" cy="19050"/>
                <wp:effectExtent l="38100" t="57150" r="0" b="95250"/>
                <wp:wrapNone/>
                <wp:docPr id="198376278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D5D1B7" id="Straight Arrow Connector 14" o:spid="_x0000_s1026" type="#_x0000_t32" style="position:absolute;margin-left:118pt;margin-top:5.35pt;width:222.75pt;height:1.5pt;flip:x;z-index:25166694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" strokecolor="black [3040]">
                <v:stroke endarrow="block"/>
                <w10:wrap anchorx="margin"/>
              </v:shape>
            </w:pict>
          </mc:Fallback>
        </mc:AlternateContent>
      </w:r>
    </w:p>
    <w:p w14:paraId="5E128C91" w14:textId="23E11FB4"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71040" behindDoc="0" locked="0" layoutInCell="1" allowOverlap="1" wp14:anchorId="3F631637" wp14:editId="004A2590">
                <wp:simplePos x="0" y="0"/>
                <wp:positionH relativeFrom="column">
                  <wp:posOffset>1504950</wp:posOffset>
                </wp:positionH>
                <wp:positionV relativeFrom="paragraph">
                  <wp:posOffset>123190</wp:posOffset>
                </wp:positionV>
                <wp:extent cx="2828925" cy="19050"/>
                <wp:effectExtent l="38100" t="57150" r="0" b="95250"/>
                <wp:wrapNone/>
                <wp:docPr id="1172598438"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960029" id="Straight Arrow Connector 14" o:spid="_x0000_s1026" type="#_x0000_t32" style="position:absolute;margin-left:118.5pt;margin-top:9.7pt;width:222.75pt;height:1.5pt;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" strokecolor="black [3040]">
                <v:stroke endarrow="block"/>
              </v:shape>
            </w:pict>
          </mc:Fallback>
        </mc:AlternateContent>
      </w:r>
    </w:p>
    <w:p w14:paraId="08A78C04" w14:textId="0787A1CE"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1EB33A2A" w14:textId="7957093D"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81280" behindDoc="0" locked="0" layoutInCell="1" allowOverlap="1" wp14:anchorId="4CB04D04" wp14:editId="538C8056">
                <wp:simplePos x="0" y="0"/>
                <wp:positionH relativeFrom="column">
                  <wp:posOffset>2743200</wp:posOffset>
                </wp:positionH>
                <wp:positionV relativeFrom="paragraph">
                  <wp:posOffset>6985</wp:posOffset>
                </wp:positionV>
                <wp:extent cx="514985" cy="238125"/>
                <wp:effectExtent l="0" t="0" r="0" b="9525"/>
                <wp:wrapSquare wrapText="bothSides"/>
                <wp:docPr id="963766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F4701AA" w14:textId="4812878B" w:rsidR="00696267" w:rsidRDefault="00696267" w:rsidP="00696267">
                            <w:r>
                              <w:t>H1-5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04D04" id="_x0000_s1049" type="#_x0000_t202" style="position:absolute;left:0;text-align:left;margin-left:3in;margin-top:.55pt;width:40.55pt;height:18.75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" stroked="f">
                <v:textbox>
                  <w:txbxContent>
                    <w:p w14:paraId="2F4701AA" w14:textId="4812878B" w:rsidR="00696267" w:rsidRDefault="00696267" w:rsidP="00696267">
                      <w:r>
                        <w:t>H1-5</w:t>
                      </w:r>
                    </w:p>
                  </w:txbxContent>
                </v:textbox>
                <w10:wrap type="square"/>
              </v:shape>
            </w:pict>
          </mc:Fallback>
        </mc:AlternateContent>
      </w:r>
    </w:p>
    <w:p w14:paraId="5CCB2663" w14:textId="45E5979E"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788C8897"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426106E3" w14:textId="77777777" w:rsidR="00F3146F" w:rsidRPr="008A7560" w:rsidRDefault="00F3146F" w:rsidP="00F3146F">
      <w:pPr>
        <w:spacing w:after="200" w:line="480" w:lineRule="auto"/>
        <w:rPr>
          <w:rFonts w:ascii="Traditional Arabic" w:hAnsi="Traditional Arabic" w:cs="Traditional Arabic"/>
          <w:b/>
          <w:bCs/>
          <w:sz w:val="28"/>
          <w:szCs w:val="28"/>
          <w:rtl/>
          <w:lang w:bidi="ar-JO"/>
        </w:rPr>
      </w:pPr>
    </w:p>
    <w:p w14:paraId="1F51FA06" w14:textId="77777777" w:rsidR="00F3146F" w:rsidRPr="008A7560" w:rsidRDefault="00F3146F" w:rsidP="00F3146F">
      <w:pPr>
        <w:pStyle w:val="ListParagraph"/>
        <w:bidi/>
        <w:spacing w:after="200" w:line="480" w:lineRule="auto"/>
        <w:ind w:left="360"/>
        <w:jc w:val="center"/>
        <w:rPr>
          <w:rFonts w:ascii="Traditional Arabic" w:hAnsi="Traditional Arabic" w:cs="Traditional Arabic"/>
          <w:b/>
          <w:bCs/>
          <w:sz w:val="28"/>
          <w:szCs w:val="28"/>
          <w:rtl/>
        </w:rPr>
      </w:pPr>
      <w:r w:rsidRPr="008A7560">
        <w:rPr>
          <w:rFonts w:ascii="Traditional Arabic" w:hAnsi="Traditional Arabic" w:cs="Traditional Arabic"/>
          <w:b/>
          <w:bCs/>
          <w:sz w:val="28"/>
          <w:szCs w:val="28"/>
          <w:rtl/>
          <w:lang w:bidi="ar-JO"/>
        </w:rPr>
        <w:t xml:space="preserve">شكل (1) النموذج النظري للبحث </w:t>
      </w:r>
    </w:p>
    <w:p w14:paraId="4C402329" w14:textId="19BB0561" w:rsidR="007F4A59"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br w:type="page"/>
      </w:r>
    </w:p>
    <w:p w14:paraId="31BC84C4"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703C7FBD"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4A3FECBE"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2623AB16"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4CB43A66" w14:textId="40AC7CC0" w:rsidR="00047AD9" w:rsidRPr="008A7560" w:rsidRDefault="00047AD9" w:rsidP="00047AD9">
      <w:pPr>
        <w:pStyle w:val="ListParagraph"/>
        <w:numPr>
          <w:ilvl w:val="0"/>
          <w:numId w:val="11"/>
        </w:numPr>
        <w:bidi/>
        <w:spacing w:after="200" w:line="480" w:lineRule="auto"/>
        <w:jc w:val="center"/>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الثاني</w:t>
      </w:r>
    </w:p>
    <w:p w14:paraId="2D590423"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6BC73BAA"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6AB3C3A7" w14:textId="77777777" w:rsidR="00047AD9" w:rsidRPr="008A7560" w:rsidRDefault="00047AD9" w:rsidP="00047AD9">
      <w:pPr>
        <w:bidi/>
        <w:spacing w:line="480" w:lineRule="auto"/>
        <w:rPr>
          <w:rFonts w:ascii="Traditional Arabic" w:hAnsi="Traditional Arabic" w:cs="Traditional Arabic"/>
          <w:b/>
          <w:bCs/>
          <w:sz w:val="40"/>
          <w:szCs w:val="40"/>
          <w:rtl/>
        </w:rPr>
      </w:pPr>
    </w:p>
    <w:p w14:paraId="2671ECCA" w14:textId="553649CD" w:rsidR="005B06E6" w:rsidRPr="008A7560" w:rsidRDefault="005B06E6" w:rsidP="005F620B">
      <w:pPr>
        <w:bidi/>
        <w:spacing w:line="480" w:lineRule="auto"/>
        <w:jc w:val="center"/>
        <w:rPr>
          <w:rFonts w:ascii="Traditional Arabic" w:hAnsi="Traditional Arabic" w:cs="Traditional Arabic"/>
          <w:b/>
          <w:bCs/>
          <w:sz w:val="40"/>
          <w:szCs w:val="40"/>
          <w:rtl/>
        </w:rPr>
      </w:pPr>
      <w:r w:rsidRPr="008A7560">
        <w:rPr>
          <w:rFonts w:ascii="Traditional Arabic" w:hAnsi="Traditional Arabic" w:cs="Traditional Arabic"/>
          <w:b/>
          <w:bCs/>
          <w:sz w:val="40"/>
          <w:szCs w:val="40"/>
          <w:rtl/>
        </w:rPr>
        <w:lastRenderedPageBreak/>
        <w:t>الجانب النظري</w:t>
      </w:r>
    </w:p>
    <w:p w14:paraId="2B0BE41F" w14:textId="6053FD06" w:rsidR="00ED4365" w:rsidRPr="00ED4365" w:rsidRDefault="00B964B2" w:rsidP="00ED4365">
      <w:pPr>
        <w:bidi/>
        <w:spacing w:line="48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2-1 </w:t>
      </w:r>
      <w:r w:rsidR="00ED4365" w:rsidRPr="00ED4365">
        <w:rPr>
          <w:rFonts w:ascii="Traditional Arabic" w:hAnsi="Traditional Arabic" w:cs="Traditional Arabic" w:hint="cs"/>
          <w:b/>
          <w:bCs/>
          <w:sz w:val="28"/>
          <w:szCs w:val="28"/>
          <w:rtl/>
        </w:rPr>
        <w:t>مقدمة</w:t>
      </w:r>
    </w:p>
    <w:p w14:paraId="7B95BAED" w14:textId="4F953B2C" w:rsidR="005B06E6" w:rsidRPr="008A7560" w:rsidRDefault="005B06E6" w:rsidP="00ED4365">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يعد الإطار النظري أحد المرتكزات الأساسية في البحوث العلمية، إذ يُوفر الخلفية المفاهيمية والمنهجية التي يتم من خلالها فهم المشكلة البحثية وتحليلها. وفي سياق هذا البحث، الذي يتناول "أثر تطبيق مبادئ الاستدامة على أداء المشاريع الإنشائية في المملكة العربية السعودية"، يُشكل هذا الفصل منطلقًا لفهم الأبعاد النظرية ذات الصلة، وبناء العلاقات بين مفاهيم الاستدامة، وجودة الأداء، والمؤشرات التي تحكم نجاح أو فشل المشاريع</w:t>
      </w:r>
      <w:r w:rsidRPr="008A7560">
        <w:rPr>
          <w:rFonts w:ascii="Traditional Arabic" w:hAnsi="Traditional Arabic" w:cs="Traditional Arabic"/>
          <w:sz w:val="28"/>
          <w:szCs w:val="28"/>
        </w:rPr>
        <w:t>.</w:t>
      </w:r>
    </w:p>
    <w:p w14:paraId="3A31031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لقد أصبحت الاستدامة محورًا رئيسيًا في صناعة التشييد والبناء، مع تصاعد التحديات البيئية والاجتماعية والاقتصادية، التي تفرض على المشاريع الإنشائية الالتزام بأطر جديدة من التفكير والتخطيط والتنفيذ. فالمشاريع لم تعد تُقيم فقط من خلال قدرتها على تسليم منتج نهائي، بل أيضًا من خلال مدى التزامها باستخدام الموارد بكفاءة، وتحقيق التوازن بين الجدوى الاقتصادية وحماية البيئة ورفاهية المجتمعات. وهو ما يتوافق مع رؤية المملكة العربية السعودية 2030 التي جعلت من الاستدامة هدفًا استراتيجيًا عابرًا للقطاعات</w:t>
      </w:r>
      <w:r w:rsidRPr="008A7560">
        <w:rPr>
          <w:rFonts w:ascii="Traditional Arabic" w:hAnsi="Traditional Arabic" w:cs="Traditional Arabic"/>
          <w:sz w:val="28"/>
          <w:szCs w:val="28"/>
        </w:rPr>
        <w:t>.</w:t>
      </w:r>
    </w:p>
    <w:p w14:paraId="05517AD5"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ينقسم هذا الفصل إلى عدة محاور تتناول أولًا: المفهوم العام للاستدامة في المشاريع الإنشائية، وأبعادها البيئية والاقتصادية والاجتماعية. ثم ينتقل إلى تعريف أداء المشاريع ومؤشرات قياسه، مثل التكلفة، الوقت، الجودة، السلامة، ورضا العملاء. بعد ذلك، يستعرض الفصل العلاقة بين ممارسات الاستدامة وأداء المشاريع من حيث الكفاءة التشغيلية، التكاليف طويلة المدى، السمعة التنافسية، والامتثال للأنظمة البيئية، بالاستناد إلى مجموعة من الدراسات الحديثة والتجارب الواقعية في </w:t>
      </w:r>
      <w:r w:rsidRPr="008A7560">
        <w:rPr>
          <w:rFonts w:ascii="Traditional Arabic" w:hAnsi="Traditional Arabic" w:cs="Traditional Arabic"/>
          <w:sz w:val="28"/>
          <w:szCs w:val="28"/>
          <w:rtl/>
        </w:rPr>
        <w:lastRenderedPageBreak/>
        <w:t>السياق السعودي. ويُختتم الفصل بمراجعة نقدية للدراسات السابقة، وتحديد الفجوة المعرفية التي يسعى هذا البحث إلى معالجتها</w:t>
      </w:r>
      <w:r w:rsidRPr="008A7560">
        <w:rPr>
          <w:rFonts w:ascii="Traditional Arabic" w:hAnsi="Traditional Arabic" w:cs="Traditional Arabic"/>
          <w:sz w:val="28"/>
          <w:szCs w:val="28"/>
        </w:rPr>
        <w:t>.</w:t>
      </w:r>
    </w:p>
    <w:p w14:paraId="21E1E432" w14:textId="74C0C4F9" w:rsidR="005B06E6" w:rsidRPr="00ED4365" w:rsidRDefault="00B964B2" w:rsidP="00ED4365">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 </w:t>
      </w:r>
      <w:r w:rsidR="005B06E6" w:rsidRPr="00ED4365">
        <w:rPr>
          <w:rFonts w:ascii="Traditional Arabic" w:hAnsi="Traditional Arabic" w:cs="Traditional Arabic"/>
          <w:b/>
          <w:bCs/>
          <w:sz w:val="28"/>
          <w:szCs w:val="28"/>
          <w:rtl/>
        </w:rPr>
        <w:t xml:space="preserve">مفهوم الاستدامة </w:t>
      </w:r>
    </w:p>
    <w:p w14:paraId="71FC091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شهد مفهوم الاستدامة تطورًا تدريجيًا متسلسلًا منذ ظهوره الواضح في ثمانينيات القرن العشرين، حيث شكّل تقرير برونتلاند</w:t>
      </w:r>
      <w:r w:rsidRPr="008A7560">
        <w:rPr>
          <w:rFonts w:ascii="Traditional Arabic" w:hAnsi="Traditional Arabic" w:cs="Traditional Arabic"/>
          <w:sz w:val="28"/>
          <w:szCs w:val="28"/>
        </w:rPr>
        <w:t xml:space="preserve"> (WCED, 1987) </w:t>
      </w:r>
      <w:r w:rsidRPr="008A7560">
        <w:rPr>
          <w:rFonts w:ascii="Traditional Arabic" w:hAnsi="Traditional Arabic" w:cs="Traditional Arabic"/>
          <w:sz w:val="28"/>
          <w:szCs w:val="28"/>
          <w:rtl/>
        </w:rPr>
        <w:t>نقطة التحول الأولى التي انتقلت بالاستدامة من فكرة بيئية ضيقة إلى إطار فكري شامل للتنمية. وقد قدّم هذا التقرير التعريف المؤسس للتنمية المستدامة باعتبارها تحقيق احتياجات الجيل الحالي دون المساس بقدرة الأجيال القادمة، وهو تعريف أصبح مرجعًا عالميًا تبنّته الحكومات والمنظمات الدولية. وفي تسعينيات القرن نفسه، توسّعت الاستدامة لتشمل علاقة أوثق بين البيئة والتنمية الاقتصادية، خاصة بعد قمّة الأرض في ريو عام 1992، التي رسّخت الالتزام الدولي بمبادئ الإدارة البيئية والحوكمة الرشيدة للموارد</w:t>
      </w:r>
      <w:r w:rsidRPr="008A7560">
        <w:rPr>
          <w:rFonts w:ascii="Traditional Arabic" w:hAnsi="Traditional Arabic" w:cs="Traditional Arabic"/>
          <w:sz w:val="28"/>
          <w:szCs w:val="28"/>
        </w:rPr>
        <w:t>.</w:t>
      </w:r>
    </w:p>
    <w:p w14:paraId="6CF5704C"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ومع مطلع الألفية، ظهر تطوّر جوهري في المفهوم من خلال طرح إلكينغتون</w:t>
      </w:r>
      <w:r w:rsidRPr="008A7560">
        <w:rPr>
          <w:rFonts w:ascii="Traditional Arabic" w:hAnsi="Traditional Arabic" w:cs="Traditional Arabic"/>
          <w:sz w:val="28"/>
          <w:szCs w:val="28"/>
        </w:rPr>
        <w:t xml:space="preserve"> (Elkington, 1997) </w:t>
      </w:r>
      <w:r w:rsidRPr="008A7560">
        <w:rPr>
          <w:rFonts w:ascii="Traditional Arabic" w:hAnsi="Traditional Arabic" w:cs="Traditional Arabic"/>
          <w:sz w:val="28"/>
          <w:szCs w:val="28"/>
          <w:rtl/>
        </w:rPr>
        <w:t xml:space="preserve">لإطار </w:t>
      </w:r>
      <w:r w:rsidRPr="008A7560">
        <w:rPr>
          <w:rFonts w:ascii="Traditional Arabic" w:hAnsi="Traditional Arabic" w:cs="Traditional Arabic"/>
          <w:sz w:val="28"/>
          <w:szCs w:val="28"/>
        </w:rPr>
        <w:t>Triple Bottom Line</w:t>
      </w:r>
      <w:r w:rsidRPr="008A7560">
        <w:rPr>
          <w:rFonts w:ascii="Traditional Arabic" w:hAnsi="Traditional Arabic" w:cs="Traditional Arabic"/>
          <w:sz w:val="28"/>
          <w:szCs w:val="28"/>
          <w:rtl/>
        </w:rPr>
        <w:t xml:space="preserve">، الذي أعاد صياغة الاستدامة بوصفها نتيجة لتفاعل ثلاثة أبعاد رئيسية: البيئة، الاقتصاد، والمجتمع. وقد سمح هذا الإطار بتحويل الاستدامة إلى نموذج قياس ومؤشرات أداء، بدلًا من أن تكون مفهومًا فلسفيًا عامًا. ثم تواصل التطور المفاهيمي في العقد الثاني من القرن الحادي والعشرين مع بروز نماذج مثل الاقتصاد الدائري الذي روّجت له مؤسسة </w:t>
      </w:r>
      <w:r w:rsidRPr="008A7560">
        <w:rPr>
          <w:rFonts w:ascii="Traditional Arabic" w:hAnsi="Traditional Arabic" w:cs="Traditional Arabic"/>
          <w:sz w:val="28"/>
          <w:szCs w:val="28"/>
        </w:rPr>
        <w:t>MacArthur (2013)</w:t>
      </w:r>
      <w:r w:rsidRPr="008A7560">
        <w:rPr>
          <w:rFonts w:ascii="Traditional Arabic" w:hAnsi="Traditional Arabic" w:cs="Traditional Arabic"/>
          <w:sz w:val="28"/>
          <w:szCs w:val="28"/>
          <w:rtl/>
        </w:rPr>
        <w:t>، والذي يعيد تصميم سلاسل الإنتاج والاستهلاك بحيث تُغلق دورة الموارد، ويُعاد تدويرها باستمرار، بدلًا من الهدر التقليدي. وفي عام 2015، برزت نقلة نوعية جديدة في تطور الاستدامة عبر اعتماد الأمم المتحدة أهداف التنمية المستدامة</w:t>
      </w:r>
      <w:r w:rsidRPr="008A7560">
        <w:rPr>
          <w:rFonts w:ascii="Traditional Arabic" w:hAnsi="Traditional Arabic" w:cs="Traditional Arabic"/>
          <w:sz w:val="28"/>
          <w:szCs w:val="28"/>
        </w:rPr>
        <w:t xml:space="preserve"> (UN SDGs) </w:t>
      </w:r>
      <w:r w:rsidRPr="008A7560">
        <w:rPr>
          <w:rFonts w:ascii="Traditional Arabic" w:hAnsi="Traditional Arabic" w:cs="Traditional Arabic"/>
          <w:sz w:val="28"/>
          <w:szCs w:val="28"/>
          <w:rtl/>
        </w:rPr>
        <w:t xml:space="preserve">التي شكلت مرجعًا عالميًا لدمج الاستدامة في السياسات، بما </w:t>
      </w:r>
      <w:r w:rsidRPr="008A7560">
        <w:rPr>
          <w:rFonts w:ascii="Traditional Arabic" w:hAnsi="Traditional Arabic" w:cs="Traditional Arabic"/>
          <w:sz w:val="28"/>
          <w:szCs w:val="28"/>
          <w:rtl/>
        </w:rPr>
        <w:lastRenderedPageBreak/>
        <w:t>في ذلك البنية التحتية والمشاريع الإنشائية. وهكذا، أصبح مفهوم الاستدامة نتاجًا لتراكم معرفي عالمي طويل، وليس مجرد إطار معاصر، مما يستدعي دمجه داخل المشاريع الإنشائية وفق هذا الامتداد التاريخي والمنهجي</w:t>
      </w:r>
      <w:r w:rsidRPr="008A7560">
        <w:rPr>
          <w:rFonts w:ascii="Traditional Arabic" w:hAnsi="Traditional Arabic" w:cs="Traditional Arabic"/>
          <w:sz w:val="28"/>
          <w:szCs w:val="28"/>
        </w:rPr>
        <w:t>.</w:t>
      </w:r>
    </w:p>
    <w:p w14:paraId="1EE2159D"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ويُعرّف مفهوم الاستدامة في المشاريع الإنشائية على أنه نهج متكامل يُعنى بإدارة الموارد الطبيعية والمالية والبشرية بطريقة تحافظ على البيئة، وتُحقق الكفاءة، وتُلبي حاجات المجتمع الحالي دون المساس بحقوق الأجيال القادمة في ذات الموارد (الحسن والفارسي، 2025)</w:t>
      </w:r>
      <w:r w:rsidRPr="008A7560">
        <w:rPr>
          <w:rFonts w:ascii="Traditional Arabic" w:hAnsi="Traditional Arabic" w:cs="Traditional Arabic"/>
          <w:sz w:val="28"/>
          <w:szCs w:val="28"/>
        </w:rPr>
        <w:t>.</w:t>
      </w:r>
    </w:p>
    <w:p w14:paraId="6263E134"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تعكس الاستدامة الإنشائية التزامًا طويل الأمد من قبل الجهات المنفذة والمشرفة، لا يقتصر فقط على جودة المنتج النهائي، بل يشمل أثر المشروع في كل مراحله على المحيط الطبيعي والاجتماعي. وقد أشار تقرير وزارة الاقتصاد والتخطيط السعودية (2018) إلى أن المملكة تدمج أهداف التنمية المستدامة في سياساتها العامة من خلال رؤية 2030، والتي تهدف إلى تحفيز النمو الاقتصادي المستدام، وتحسين كفاءة الطاقة، وتعزيز التنمية الاجتماعية، وهو ما يُعد ترجمة عملية لمبادئ الاستدامة في المشاريع</w:t>
      </w:r>
      <w:r w:rsidRPr="008A7560">
        <w:rPr>
          <w:rFonts w:ascii="Traditional Arabic" w:hAnsi="Traditional Arabic" w:cs="Traditional Arabic"/>
          <w:sz w:val="28"/>
          <w:szCs w:val="28"/>
        </w:rPr>
        <w:t>.</w:t>
      </w:r>
    </w:p>
    <w:p w14:paraId="2CC3786F" w14:textId="1C8AD2D5" w:rsidR="005B06E6" w:rsidRPr="008A7560" w:rsidRDefault="00B964B2" w:rsidP="005B06E6">
      <w:pPr>
        <w:bidi/>
        <w:spacing w:line="48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w:t>
      </w:r>
      <w:r w:rsidR="005B06E6" w:rsidRPr="008A7560">
        <w:rPr>
          <w:rFonts w:ascii="Traditional Arabic" w:hAnsi="Traditional Arabic" w:cs="Traditional Arabic"/>
          <w:b/>
          <w:bCs/>
          <w:sz w:val="28"/>
          <w:szCs w:val="28"/>
          <w:rtl/>
        </w:rPr>
        <w:t xml:space="preserve"> المدارس الفكرية للاستدامة</w:t>
      </w:r>
    </w:p>
    <w:p w14:paraId="61F00D6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تطوّر مفهوم الاستدامة عبر مدارس فكرية متعددة، لكل منها منظور مختلف في تفسير العلاقة بين الإنسان والموارد والاقتصاد. ويُعدّ استيعاب هذه المدارس ضرورة لبناء إطار نظري راسخ قادر على توجيه ممارسات الاستدامة في المشاريع الإنشائية. وتنطلق المدرسة البيئية للاستدامة من فرضية أن البيئة هي الأساس لأي عملية تنموية، وأن استنزاف الموارد أو ارتفاع الانبعاثات سيقود بالضرورة إلى تدهور بيئي يؤثر سلبًا على الاقتصاد والمجتمع. وقد رسّخت قمة الأرض في ريو 1992 من خلال </w:t>
      </w:r>
      <w:r w:rsidRPr="008A7560">
        <w:rPr>
          <w:rFonts w:ascii="Traditional Arabic" w:hAnsi="Traditional Arabic" w:cs="Traditional Arabic"/>
          <w:i/>
          <w:iCs/>
          <w:sz w:val="28"/>
          <w:szCs w:val="28"/>
          <w:rtl/>
        </w:rPr>
        <w:t>اتفاقية التنوع الحيوي</w:t>
      </w:r>
      <w:r w:rsidRPr="008A7560">
        <w:rPr>
          <w:rFonts w:ascii="Traditional Arabic" w:hAnsi="Traditional Arabic" w:cs="Traditional Arabic"/>
          <w:sz w:val="28"/>
          <w:szCs w:val="28"/>
          <w:rtl/>
        </w:rPr>
        <w:t xml:space="preserve"> و </w:t>
      </w:r>
      <w:r w:rsidRPr="008A7560">
        <w:rPr>
          <w:rFonts w:ascii="Traditional Arabic" w:hAnsi="Traditional Arabic" w:cs="Traditional Arabic"/>
          <w:i/>
          <w:iCs/>
          <w:sz w:val="28"/>
          <w:szCs w:val="28"/>
          <w:rtl/>
        </w:rPr>
        <w:t>أجندة 21</w:t>
      </w:r>
      <w:r w:rsidRPr="008A7560">
        <w:rPr>
          <w:rFonts w:ascii="Traditional Arabic" w:hAnsi="Traditional Arabic" w:cs="Traditional Arabic"/>
          <w:sz w:val="28"/>
          <w:szCs w:val="28"/>
          <w:rtl/>
        </w:rPr>
        <w:t xml:space="preserve"> هذا التوجه العالمي الذي يؤكد ضرورة حماية البيئة كأساس للتنمية، </w:t>
      </w:r>
      <w:r w:rsidRPr="008A7560">
        <w:rPr>
          <w:rFonts w:ascii="Traditional Arabic" w:hAnsi="Traditional Arabic" w:cs="Traditional Arabic"/>
          <w:sz w:val="28"/>
          <w:szCs w:val="28"/>
          <w:rtl/>
        </w:rPr>
        <w:lastRenderedPageBreak/>
        <w:t xml:space="preserve">وهو ما يدعم تطبيق الإدارة البيئية المتكاملة والالتزام بمعايير مثل </w:t>
      </w:r>
      <w:r w:rsidRPr="008A7560">
        <w:rPr>
          <w:rFonts w:ascii="Traditional Arabic" w:hAnsi="Traditional Arabic" w:cs="Traditional Arabic"/>
          <w:sz w:val="28"/>
          <w:szCs w:val="28"/>
        </w:rPr>
        <w:t xml:space="preserve">ISO 14001 </w:t>
      </w:r>
      <w:r w:rsidRPr="008A7560">
        <w:rPr>
          <w:rFonts w:ascii="Traditional Arabic" w:hAnsi="Traditional Arabic" w:cs="Traditional Arabic"/>
          <w:sz w:val="28"/>
          <w:szCs w:val="28"/>
          <w:rtl/>
        </w:rPr>
        <w:t>في المشاريع الإنشائية لضمان إدارة الموارد وتقليل النفايات وتقييم الأثر البيئي للمشاريع</w:t>
      </w:r>
      <w:r w:rsidRPr="008A7560">
        <w:rPr>
          <w:rFonts w:ascii="Traditional Arabic" w:hAnsi="Traditional Arabic" w:cs="Traditional Arabic"/>
          <w:sz w:val="28"/>
          <w:szCs w:val="28"/>
        </w:rPr>
        <w:t xml:space="preserve"> (United Nations, 1992; ISO, 2015).</w:t>
      </w:r>
    </w:p>
    <w:p w14:paraId="513FAC91"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أما المدرسة الاقتصادية، فترى أن الاستدامة لا تتحقق إلا من خلال الاستخدام الكفء للموارد وتعظيم العائد الاقتصادي طويل المدى. وترتبط هذه المدرسة مباشرة بإسهامات </w:t>
      </w:r>
      <w:r w:rsidRPr="008A7560">
        <w:rPr>
          <w:rFonts w:ascii="Traditional Arabic" w:hAnsi="Traditional Arabic" w:cs="Traditional Arabic"/>
          <w:sz w:val="28"/>
          <w:szCs w:val="28"/>
        </w:rPr>
        <w:t xml:space="preserve">OECD </w:t>
      </w:r>
      <w:r w:rsidRPr="008A7560">
        <w:rPr>
          <w:rFonts w:ascii="Traditional Arabic" w:hAnsi="Traditional Arabic" w:cs="Traditional Arabic"/>
          <w:sz w:val="28"/>
          <w:szCs w:val="28"/>
          <w:rtl/>
        </w:rPr>
        <w:t>التي قدّمت إطار “النمو الأخضر” بوصفه مسارًا لتحقيق اقتصاد عالي الكفاءة منخفض الانبعاثات، يقوم على تقليل الهدر وزيادة الإنتاجية والابتكار. وقد أثّرت هذه الأفكار بشكل واضح في قطاع المشاريع الإنشائية عبر تعزيز دور إدارة القيمة، وتحسين سلسلة التوريد، وتشجيع استخدام تقنيات تقلل التكاليف التشغيلية مثل الطاقة المتجددة وأنظمة العزل الحراري</w:t>
      </w:r>
      <w:r w:rsidRPr="008A7560">
        <w:rPr>
          <w:rFonts w:ascii="Traditional Arabic" w:hAnsi="Traditional Arabic" w:cs="Traditional Arabic"/>
          <w:sz w:val="28"/>
          <w:szCs w:val="28"/>
        </w:rPr>
        <w:t xml:space="preserve"> (OECD, 2011).</w:t>
      </w:r>
    </w:p>
    <w:p w14:paraId="12CC29B2"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وفي المقابل، تؤكد المدرسة الاجتماعية أن الاستدامة لا يمكن اختزالها في البيئة أو الاقتصاد، بل يجب أن تشمل تحسين جودة حياة الناس، وتعزيز العدالة الاجتماعية، وحماية حقوق العمال، وضمان مشاركة المجتمع في مشاريع التنمية. وقد رسّخت لجنة الأمم المتحدة للتنمية الاجتماعية ومبادئ </w:t>
      </w:r>
      <w:r w:rsidRPr="008A7560">
        <w:rPr>
          <w:rFonts w:ascii="Traditional Arabic" w:hAnsi="Traditional Arabic" w:cs="Traditional Arabic"/>
          <w:i/>
          <w:iCs/>
          <w:sz w:val="28"/>
          <w:szCs w:val="28"/>
          <w:rtl/>
        </w:rPr>
        <w:t>العدالة البيئية</w:t>
      </w:r>
      <w:r w:rsidRPr="008A7560">
        <w:rPr>
          <w:rFonts w:ascii="Traditional Arabic" w:hAnsi="Traditional Arabic" w:cs="Traditional Arabic"/>
          <w:sz w:val="28"/>
          <w:szCs w:val="28"/>
          <w:rtl/>
        </w:rPr>
        <w:t xml:space="preserve"> هذا التوجه الذي ينظر إلى الإنسان باعتباره محور العملية التنموية. ويكتسب هذا البعد أهمية كبيرة في المشاريع الإنشائية التي غالبًا ما تؤثر بشكل مباشر على المجتمعات الحضرية من خلال الخدمات المقدمة والبنية التحتية والبيئة العمرانية المحيطة</w:t>
      </w:r>
      <w:r w:rsidRPr="008A7560">
        <w:rPr>
          <w:rFonts w:ascii="Traditional Arabic" w:hAnsi="Traditional Arabic" w:cs="Traditional Arabic"/>
          <w:sz w:val="28"/>
          <w:szCs w:val="28"/>
        </w:rPr>
        <w:t>.</w:t>
      </w:r>
    </w:p>
    <w:p w14:paraId="3D683E2C"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وإضافة إلى تلك الاتجاهات، ظهرت المدرسة التكاملية الحديثة التي تجمع بين المدارس الثلاث، وترى أن الاستدامة لا تكون حقيقية إلا إذا تم تحقيق توازن ثلاثي بين البيئة والاقتصاد والمجتمع، وهو ما يتسق مع إطار </w:t>
      </w:r>
      <w:r w:rsidRPr="008A7560">
        <w:rPr>
          <w:rFonts w:ascii="Traditional Arabic" w:hAnsi="Traditional Arabic" w:cs="Traditional Arabic"/>
          <w:sz w:val="28"/>
          <w:szCs w:val="28"/>
        </w:rPr>
        <w:t xml:space="preserve">Triple Bottom Line </w:t>
      </w:r>
      <w:r w:rsidRPr="008A7560">
        <w:rPr>
          <w:rFonts w:ascii="Traditional Arabic" w:hAnsi="Traditional Arabic" w:cs="Traditional Arabic"/>
          <w:sz w:val="28"/>
          <w:szCs w:val="28"/>
          <w:rtl/>
        </w:rPr>
        <w:t>الذي قدّمه إلكينغتون</w:t>
      </w:r>
      <w:r w:rsidRPr="008A7560">
        <w:rPr>
          <w:rFonts w:ascii="Traditional Arabic" w:hAnsi="Traditional Arabic" w:cs="Traditional Arabic"/>
          <w:sz w:val="28"/>
          <w:szCs w:val="28"/>
        </w:rPr>
        <w:t xml:space="preserve"> (1997). </w:t>
      </w:r>
      <w:r w:rsidRPr="008A7560">
        <w:rPr>
          <w:rFonts w:ascii="Traditional Arabic" w:hAnsi="Traditional Arabic" w:cs="Traditional Arabic"/>
          <w:sz w:val="28"/>
          <w:szCs w:val="28"/>
          <w:rtl/>
        </w:rPr>
        <w:t xml:space="preserve">وقد تبنّت العديد من المنظمات الدولية منها البنك الدولي والأمم المتحدة هذا النموذج بوصفه إطارًا مرجعيًا لتقييم كفاءة المشاريع الإنشائية، لا سيما تلك التي تتداخل فيها اعتبارات الكفاءة الاقتصادية </w:t>
      </w:r>
      <w:r w:rsidRPr="008A7560">
        <w:rPr>
          <w:rFonts w:ascii="Traditional Arabic" w:hAnsi="Traditional Arabic" w:cs="Traditional Arabic"/>
          <w:sz w:val="28"/>
          <w:szCs w:val="28"/>
          <w:rtl/>
        </w:rPr>
        <w:lastRenderedPageBreak/>
        <w:t>والعدالة الاجتماعية وحماية البيئة. ويُعدّ القطاع الإنشائي أحد أكثر القطاعات التي تحتاج إلى هذا التكامل نظرًا لتعدد الأطراف وتداخل الأبعاد البيئية والاقتصادية والاجتماعية في دورة حياة المشروع</w:t>
      </w:r>
      <w:r w:rsidRPr="008A7560">
        <w:rPr>
          <w:rFonts w:ascii="Traditional Arabic" w:hAnsi="Traditional Arabic" w:cs="Traditional Arabic"/>
          <w:sz w:val="28"/>
          <w:szCs w:val="28"/>
        </w:rPr>
        <w:t xml:space="preserve"> (Elkington, 1997).</w:t>
      </w:r>
    </w:p>
    <w:p w14:paraId="6325F3C7" w14:textId="5169E82F" w:rsidR="005B06E6" w:rsidRPr="008A7560" w:rsidRDefault="00B964B2" w:rsidP="005B06E6">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2-2-2 </w:t>
      </w:r>
      <w:r w:rsidR="005B06E6" w:rsidRPr="008A7560">
        <w:rPr>
          <w:rFonts w:ascii="Traditional Arabic" w:hAnsi="Traditional Arabic" w:cs="Traditional Arabic"/>
          <w:b/>
          <w:bCs/>
          <w:sz w:val="28"/>
          <w:szCs w:val="28"/>
          <w:rtl/>
        </w:rPr>
        <w:t>النظريات المؤسسة للاستدامة</w:t>
      </w:r>
    </w:p>
    <w:p w14:paraId="4205F24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تستند الاستدامة في جوهرها إلى منظومة من النظريات العلمية التي شكّلت الأساس الفلسفي والتطبيقي لها، وفي مقدمتها نظرية التنمية المستدامة التي تأسست مع تقرير </w:t>
      </w:r>
      <w:r w:rsidRPr="008A7560">
        <w:rPr>
          <w:rFonts w:ascii="Traditional Arabic" w:hAnsi="Traditional Arabic" w:cs="Traditional Arabic"/>
          <w:sz w:val="28"/>
          <w:szCs w:val="28"/>
        </w:rPr>
        <w:t>WCED (1987)</w:t>
      </w:r>
      <w:r w:rsidRPr="008A7560">
        <w:rPr>
          <w:rFonts w:ascii="Traditional Arabic" w:hAnsi="Traditional Arabic" w:cs="Traditional Arabic"/>
          <w:sz w:val="28"/>
          <w:szCs w:val="28"/>
          <w:rtl/>
        </w:rPr>
        <w:t>، والتي أكدت أن استمرار النمو الاقتصادي مشروط بقدرة البيئة على التجدد، وأن التنمية التي لا تراعي حقوق الأجيال المقبلة ليست تنمية حقيقية. وقد جاءت هذه النظرية ردًا على المخاوف العالمية من الاستهلاك الجائر للموارد، وأصبحت القاعدة التي انطلقت منها السياسات البيئية والاقتصادية في العقود اللاحقة</w:t>
      </w:r>
      <w:r w:rsidRPr="008A7560">
        <w:rPr>
          <w:rFonts w:ascii="Traditional Arabic" w:hAnsi="Traditional Arabic" w:cs="Traditional Arabic"/>
          <w:sz w:val="28"/>
          <w:szCs w:val="28"/>
        </w:rPr>
        <w:t>.</w:t>
      </w:r>
    </w:p>
    <w:p w14:paraId="792D9271"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ثم جاءت نظرية الثلاثي المتكامل</w:t>
      </w:r>
      <w:r w:rsidRPr="008A7560">
        <w:rPr>
          <w:rFonts w:ascii="Traditional Arabic" w:hAnsi="Traditional Arabic" w:cs="Traditional Arabic"/>
          <w:sz w:val="28"/>
          <w:szCs w:val="28"/>
        </w:rPr>
        <w:t xml:space="preserve"> (Triple Bottom Line) </w:t>
      </w:r>
      <w:r w:rsidRPr="008A7560">
        <w:rPr>
          <w:rFonts w:ascii="Traditional Arabic" w:hAnsi="Traditional Arabic" w:cs="Traditional Arabic"/>
          <w:sz w:val="28"/>
          <w:szCs w:val="28"/>
          <w:rtl/>
        </w:rPr>
        <w:t>التي قدّمها إلكينغتون</w:t>
      </w:r>
      <w:r w:rsidRPr="008A7560">
        <w:rPr>
          <w:rFonts w:ascii="Traditional Arabic" w:hAnsi="Traditional Arabic" w:cs="Traditional Arabic"/>
          <w:sz w:val="28"/>
          <w:szCs w:val="28"/>
        </w:rPr>
        <w:t xml:space="preserve"> (1997) </w:t>
      </w:r>
      <w:r w:rsidRPr="008A7560">
        <w:rPr>
          <w:rFonts w:ascii="Traditional Arabic" w:hAnsi="Traditional Arabic" w:cs="Traditional Arabic"/>
          <w:sz w:val="28"/>
          <w:szCs w:val="28"/>
          <w:rtl/>
        </w:rPr>
        <w:t>لتوسع نطاق الاستدامة من إطار بيئي اقتصادي إلى نموذج متكامل يشمل العوائد الاجتماعية. وقد أدى هذا التحول إلى اعتماد الشركات والمنظمات لآليات قياس جديدة، بحيث أصبح تقييم المشروع لا يعتمد فقط على الأرباح، بل على مقدار تأثيره الاجتماعي والبيئي كذلك، وهو ما يعد حجر الزاوية في تقييم أداء المشاريع الإنشائية الحديثة</w:t>
      </w:r>
      <w:r w:rsidRPr="008A7560">
        <w:rPr>
          <w:rFonts w:ascii="Traditional Arabic" w:hAnsi="Traditional Arabic" w:cs="Traditional Arabic"/>
          <w:sz w:val="28"/>
          <w:szCs w:val="28"/>
        </w:rPr>
        <w:t>.</w:t>
      </w:r>
    </w:p>
    <w:p w14:paraId="6457FFC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وتطوّر</w:t>
      </w:r>
      <w:r w:rsidRPr="008A7560">
        <w:rPr>
          <w:rFonts w:ascii="Traditional Arabic" w:hAnsi="Traditional Arabic" w:cs="Traditional Arabic"/>
          <w:sz w:val="28"/>
          <w:szCs w:val="28"/>
        </w:rPr>
        <w:t xml:space="preserve"> conceptual </w:t>
      </w:r>
      <w:r w:rsidRPr="008A7560">
        <w:rPr>
          <w:rFonts w:ascii="Traditional Arabic" w:hAnsi="Traditional Arabic" w:cs="Traditional Arabic"/>
          <w:sz w:val="28"/>
          <w:szCs w:val="28"/>
          <w:rtl/>
        </w:rPr>
        <w:t xml:space="preserve">أكثر مع ظهور نظرية الاقتصاد الدائري التي طرحتها مؤسسة </w:t>
      </w:r>
      <w:r w:rsidRPr="008A7560">
        <w:rPr>
          <w:rFonts w:ascii="Traditional Arabic" w:hAnsi="Traditional Arabic" w:cs="Traditional Arabic"/>
          <w:sz w:val="28"/>
          <w:szCs w:val="28"/>
        </w:rPr>
        <w:t>MacArthur (2013)</w:t>
      </w:r>
      <w:r w:rsidRPr="008A7560">
        <w:rPr>
          <w:rFonts w:ascii="Traditional Arabic" w:hAnsi="Traditional Arabic" w:cs="Traditional Arabic"/>
          <w:sz w:val="28"/>
          <w:szCs w:val="28"/>
          <w:rtl/>
        </w:rPr>
        <w:t>، والتي أعادت تصميم نماذج الإنتاج والاستهلاك بحيث تعتمد على التدوير وإعادة الاستخدام بدلاً من الهدر. وقد شكّلت هذه النظرية تحولًا مهمًا في قطاع التشييد نظرًا لارتفاع نسب نفايات البناء، مما كشف عن فرص هائلة لإعادة التدوير وتقليل التكاليف البيئية والاقتصادية للمشاريع</w:t>
      </w:r>
      <w:r w:rsidRPr="008A7560">
        <w:rPr>
          <w:rFonts w:ascii="Traditional Arabic" w:hAnsi="Traditional Arabic" w:cs="Traditional Arabic"/>
          <w:sz w:val="28"/>
          <w:szCs w:val="28"/>
        </w:rPr>
        <w:t>.</w:t>
      </w:r>
    </w:p>
    <w:p w14:paraId="1EFC1930"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أما نظرية الإدارة البيئية المتكاملة</w:t>
      </w:r>
      <w:r w:rsidRPr="008A7560">
        <w:rPr>
          <w:rFonts w:ascii="Traditional Arabic" w:hAnsi="Traditional Arabic" w:cs="Traditional Arabic"/>
          <w:sz w:val="28"/>
          <w:szCs w:val="28"/>
        </w:rPr>
        <w:t xml:space="preserve"> (IEM)</w:t>
      </w:r>
      <w:r w:rsidRPr="008A7560">
        <w:rPr>
          <w:rFonts w:ascii="Traditional Arabic" w:hAnsi="Traditional Arabic" w:cs="Traditional Arabic"/>
          <w:sz w:val="28"/>
          <w:szCs w:val="28"/>
          <w:rtl/>
        </w:rPr>
        <w:t xml:space="preserve">، فقد استندت إلى المعايير الدولية مثل </w:t>
      </w:r>
      <w:r w:rsidRPr="008A7560">
        <w:rPr>
          <w:rFonts w:ascii="Traditional Arabic" w:hAnsi="Traditional Arabic" w:cs="Traditional Arabic"/>
          <w:sz w:val="28"/>
          <w:szCs w:val="28"/>
        </w:rPr>
        <w:t xml:space="preserve">ISO 14001 </w:t>
      </w:r>
      <w:r w:rsidRPr="008A7560">
        <w:rPr>
          <w:rFonts w:ascii="Traditional Arabic" w:hAnsi="Traditional Arabic" w:cs="Traditional Arabic"/>
          <w:sz w:val="28"/>
          <w:szCs w:val="28"/>
          <w:rtl/>
        </w:rPr>
        <w:t>بهدف دمج الاعتبارات البيئية داخل عملية اتخاذ القرار في المشاريع. وقد أصبحت هذه النظرية جزءًا أساسيًا من ممارسات المشاريع الكبرى، حيث بات الالتزام بالتنظيمات البيئية وإدارة النفايات وتقليل الانبعاثات معيارًا لا يمكن تجاوزه في أي مشروع إنشائي معاصر</w:t>
      </w:r>
      <w:r w:rsidRPr="008A7560">
        <w:rPr>
          <w:rFonts w:ascii="Traditional Arabic" w:hAnsi="Traditional Arabic" w:cs="Traditional Arabic"/>
          <w:sz w:val="28"/>
          <w:szCs w:val="28"/>
        </w:rPr>
        <w:t>(International Organization for Standardization,1996).</w:t>
      </w:r>
    </w:p>
    <w:p w14:paraId="485EFA23" w14:textId="7D6BB569" w:rsidR="005B06E6" w:rsidRPr="008A7560" w:rsidRDefault="00B964B2" w:rsidP="005B06E6">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2-2-3 </w:t>
      </w:r>
      <w:r w:rsidR="005B06E6" w:rsidRPr="008A7560">
        <w:rPr>
          <w:rFonts w:ascii="Traditional Arabic" w:hAnsi="Traditional Arabic" w:cs="Traditional Arabic"/>
          <w:b/>
          <w:bCs/>
          <w:sz w:val="28"/>
          <w:szCs w:val="28"/>
          <w:rtl/>
        </w:rPr>
        <w:t>معايير الاستدامة في القطاع الإنشائي</w:t>
      </w:r>
    </w:p>
    <w:p w14:paraId="7EAEF74A"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لضمان تحقيق الاستدامة وفق أسس علمية قابلة للقياس، تم تطوير عدد من الأنظمة والمعايير المعتمدة دوليًا ومحليًا لتقييم مدى التزام المشاريع بالمبادئ المستدامة. من أبرز هذه المعايير، نظام</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الأمريكي الذي يُعد من أشهر أنظمة تقييم المباني الخضراء عالميًا، ويركز على عناصر مثل كفاءة الطاقة، وجودة الهواء، واستخدام المواد المحلية الصديقة للبيئة(العنزي،2024).كما يُعتبر نظام</w:t>
      </w:r>
      <w:r w:rsidRPr="008A7560">
        <w:rPr>
          <w:rFonts w:ascii="Traditional Arabic" w:hAnsi="Traditional Arabic" w:cs="Traditional Arabic"/>
          <w:sz w:val="28"/>
          <w:szCs w:val="28"/>
        </w:rPr>
        <w:t xml:space="preserve"> BREEAM </w:t>
      </w:r>
      <w:r w:rsidRPr="008A7560">
        <w:rPr>
          <w:rFonts w:ascii="Traditional Arabic" w:hAnsi="Traditional Arabic" w:cs="Traditional Arabic"/>
          <w:sz w:val="28"/>
          <w:szCs w:val="28"/>
          <w:rtl/>
        </w:rPr>
        <w:t>البريطاني من أبرز المعايير المستخدمة في أوروبا والشرق الأوسط، ويعتمد في تقييمه على عناصر تشمل إدارة المياه، واستخدام الطاقة المتجددة، وتقليل الانبعاثات</w:t>
      </w:r>
      <w:r w:rsidRPr="008A7560">
        <w:rPr>
          <w:rFonts w:ascii="Traditional Arabic" w:hAnsi="Traditional Arabic" w:cs="Traditional Arabic"/>
          <w:sz w:val="28"/>
          <w:szCs w:val="28"/>
        </w:rPr>
        <w:t>.</w:t>
      </w:r>
    </w:p>
    <w:p w14:paraId="1951C54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وقد أظهرت الدراسات مثل الحسن والفارسي (2025) أن الالتزام بمعايير مثل</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يُسهم في تعزيز كفاءة المشروع، وتقليل الهدر، وتحسين صورة الشركة المنفذة، مما ينعكس إيجابيًا على أدائها في السوق. كما تشير دراسة العابد وآخرون (2022) إلى أن غياب تطبيق هذه المعايير في حي الشرائع بمكة المكرمة أدى إلى تدهور بيئي ملحوظ، تجلى في ارتفاع استهلاك الطاقة وسوء إدارة المياه، وتراكم النفايات، ما يدل على أهمية هذه المعايير في ضمان بيئة عمرانية مستدامة</w:t>
      </w:r>
      <w:r w:rsidRPr="008A7560">
        <w:rPr>
          <w:rFonts w:ascii="Traditional Arabic" w:hAnsi="Traditional Arabic" w:cs="Traditional Arabic"/>
          <w:sz w:val="28"/>
          <w:szCs w:val="28"/>
        </w:rPr>
        <w:t>.</w:t>
      </w:r>
    </w:p>
    <w:p w14:paraId="7109DDC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على المستوى المحلي، طورت المملكة العربية السعودية "كود البناء السعودي" الذي يتضمن معايير خاصة بالعزل الحراري، وكفاءة الطاقة، واستخدام المواد المستدامة، وذلك تماشيًا مع مبادرات رؤية 2030. كما أشارت دراسة البقعي والهزايمة </w:t>
      </w:r>
      <w:r w:rsidRPr="008A7560">
        <w:rPr>
          <w:rFonts w:ascii="Traditional Arabic" w:hAnsi="Traditional Arabic" w:cs="Traditional Arabic"/>
          <w:sz w:val="28"/>
          <w:szCs w:val="28"/>
          <w:rtl/>
        </w:rPr>
        <w:lastRenderedPageBreak/>
        <w:t>(2023) إلى أن أمانة جدة تطبق مؤشرات محلية للاستدامة البيئية تشمل زيادة الغطاء النباتي، ووضع ضوابط لحماية الموارد الطبيعية، وفرض غرامات على المخالفات البيئية، وهي ممارسات تعكس اتجاهًا حقيقيًا نحو تفعيل الاستدامة في قطاع البناء المحلي</w:t>
      </w:r>
      <w:r w:rsidRPr="008A7560">
        <w:rPr>
          <w:rFonts w:ascii="Traditional Arabic" w:hAnsi="Traditional Arabic" w:cs="Traditional Arabic"/>
          <w:sz w:val="28"/>
          <w:szCs w:val="28"/>
        </w:rPr>
        <w:t>.</w:t>
      </w:r>
    </w:p>
    <w:p w14:paraId="228E02D9" w14:textId="7B84FDF5" w:rsidR="005B06E6" w:rsidRPr="008A7560" w:rsidRDefault="00B964B2" w:rsidP="005B06E6">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2-2-4 </w:t>
      </w:r>
      <w:r w:rsidR="005B06E6" w:rsidRPr="008A7560">
        <w:rPr>
          <w:rFonts w:ascii="Traditional Arabic" w:hAnsi="Traditional Arabic" w:cs="Traditional Arabic"/>
          <w:b/>
          <w:bCs/>
          <w:sz w:val="28"/>
          <w:szCs w:val="28"/>
          <w:rtl/>
        </w:rPr>
        <w:t>أثر تبني مفهوم الاستدامة على أداء المشاريع</w:t>
      </w:r>
    </w:p>
    <w:p w14:paraId="3D0FF382"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تتفق جميع الدراسات التي تمت مراجعتها على أن دمج الاستدامة في المشاريع الإنشائية يُفضي إلى تحسينات ملموسة في الأداء العام للمشاريع، سواء من حيث الكفاءة، أو الجدوى الاقتصادية، أو التأثير المجتمعي. وقد بيّنت دراسة الحسن والفارسي (2025) أن تبني مبادئ الاستدامة في التخطيط والتنفيذ يساعد في تقليل التأخير، وتحسين الجدوى الاقتصادية، وتقليل الآثار البيئية السلبية. كما أكدت دراسة العابد وآخرون (2022) أن غياب هذه المبادئ يؤدي إلى مشاكل كبيرة في البيئة الحضرية مثل تدهور جودة الهواء، وضعف النقل العام، وارتفاع التكاليف التشغيلية</w:t>
      </w:r>
      <w:r w:rsidRPr="008A7560">
        <w:rPr>
          <w:rFonts w:ascii="Traditional Arabic" w:hAnsi="Traditional Arabic" w:cs="Traditional Arabic"/>
          <w:sz w:val="28"/>
          <w:szCs w:val="28"/>
        </w:rPr>
        <w:t>.</w:t>
      </w:r>
    </w:p>
    <w:p w14:paraId="27FD904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وتؤكد الدراسات مجتمعة أن الاستدامة لم تعد خيارًا ترفيهيًا، بل أصبحت ضرورة استراتيجية تؤثر مباشرة في جودة التنفيذ، ورضا العملاء، واستمرارية الموارد، وقوة الاقتصاد الوطني. ويُعد ذلك انسجامًا مع التوجه العالمي والمحلي لتعزيز الاستدامة في مختلف القطاعات، وعلى رأسها قطاع البناء والتشييد</w:t>
      </w:r>
      <w:r w:rsidRPr="008A7560">
        <w:rPr>
          <w:rFonts w:ascii="Traditional Arabic" w:hAnsi="Traditional Arabic" w:cs="Traditional Arabic"/>
          <w:sz w:val="28"/>
          <w:szCs w:val="28"/>
        </w:rPr>
        <w:t>.</w:t>
      </w:r>
    </w:p>
    <w:p w14:paraId="4595BE27" w14:textId="77777777" w:rsidR="005B06E6" w:rsidRDefault="005B06E6" w:rsidP="005B06E6">
      <w:pPr>
        <w:bidi/>
        <w:spacing w:line="480" w:lineRule="auto"/>
        <w:jc w:val="both"/>
        <w:rPr>
          <w:rFonts w:ascii="Traditional Arabic" w:hAnsi="Traditional Arabic" w:cs="Traditional Arabic"/>
          <w:sz w:val="28"/>
          <w:szCs w:val="28"/>
          <w:rtl/>
        </w:rPr>
      </w:pPr>
    </w:p>
    <w:p w14:paraId="594E7BB6" w14:textId="77777777" w:rsidR="00ED4365" w:rsidRDefault="00ED4365" w:rsidP="00ED4365">
      <w:pPr>
        <w:bidi/>
        <w:spacing w:line="480" w:lineRule="auto"/>
        <w:jc w:val="both"/>
        <w:rPr>
          <w:rFonts w:ascii="Traditional Arabic" w:hAnsi="Traditional Arabic" w:cs="Traditional Arabic"/>
          <w:sz w:val="28"/>
          <w:szCs w:val="28"/>
          <w:rtl/>
        </w:rPr>
      </w:pPr>
    </w:p>
    <w:p w14:paraId="436A4C0E" w14:textId="77777777" w:rsidR="00ED4365" w:rsidRPr="008A7560" w:rsidRDefault="00ED4365" w:rsidP="00ED4365">
      <w:pPr>
        <w:bidi/>
        <w:spacing w:line="480" w:lineRule="auto"/>
        <w:jc w:val="both"/>
        <w:rPr>
          <w:rFonts w:ascii="Traditional Arabic" w:hAnsi="Traditional Arabic" w:cs="Traditional Arabic"/>
          <w:sz w:val="28"/>
          <w:szCs w:val="28"/>
        </w:rPr>
      </w:pPr>
    </w:p>
    <w:p w14:paraId="1CACB264" w14:textId="127F6C28" w:rsidR="005B06E6" w:rsidRPr="00C64784" w:rsidRDefault="00C64784" w:rsidP="00C64784">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2-3 </w:t>
      </w:r>
      <w:r w:rsidR="005B06E6" w:rsidRPr="00C64784">
        <w:rPr>
          <w:rFonts w:ascii="Traditional Arabic" w:hAnsi="Traditional Arabic" w:cs="Traditional Arabic"/>
          <w:b/>
          <w:bCs/>
          <w:sz w:val="28"/>
          <w:szCs w:val="28"/>
          <w:rtl/>
        </w:rPr>
        <w:t>أداء المشاريع الإنشائية ومؤشرات قياس الأداء</w:t>
      </w:r>
    </w:p>
    <w:p w14:paraId="2844601A"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يمثل أداء المشاريع الإنشائية إحدى الركائز الأساسية في تقييم نجاح القطاع الإنشائي وقدرته على مواكبة متطلبات التنمية المستدامة، خصوصًا في الدول التي تشهد تحولات عمرانية واقتصادية متسارعة مثل المملكة العربية السعودية. ويُعرّف أداء المشاريع بأنه مدى تحقيق المشروع لأهدافه المحددة ضمن محاور رئيسية تشمل التكلفة، الوقت، الجودة، السلامة، ورضا العملاء. وتشير الدراسات إلى أن هذه الأبعاد مجتمعة تُستخدم كمؤشرات أداء رئيسية</w:t>
      </w:r>
      <w:r w:rsidRPr="008A7560">
        <w:rPr>
          <w:rFonts w:ascii="Traditional Arabic" w:hAnsi="Traditional Arabic" w:cs="Traditional Arabic"/>
          <w:sz w:val="28"/>
          <w:szCs w:val="28"/>
        </w:rPr>
        <w:t xml:space="preserve"> (Key Performance Indicators - KPIs) </w:t>
      </w:r>
      <w:r w:rsidRPr="008A7560">
        <w:rPr>
          <w:rFonts w:ascii="Traditional Arabic" w:hAnsi="Traditional Arabic" w:cs="Traditional Arabic"/>
          <w:sz w:val="28"/>
          <w:szCs w:val="28"/>
          <w:rtl/>
        </w:rPr>
        <w:t>يتم من خلالها قياس كفاءة المشروع ومدى مطابقته للمعايير المستهدفة(القحطاني و شعيبي، 2022).</w:t>
      </w:r>
    </w:p>
    <w:p w14:paraId="62277AA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أوضحت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أن عملية تقييم الأداء لا تتعلق فقط بالمخرجات النهائية، بل تشمل كذلك تحليل العوامل التنظيمية والتشغيلية المؤثرة، مثل نضج الممارسات الإدارية وكفاءة فرق العمل. وهذا التوجه يُسهم في تقديم صورة أكثر شمولًا حول الحالة الصحية للمشروع، حيث يرتبط كل مؤشر من مؤشرات الأداء بعوامل تمكينية مثل التنظيم، التواصل، وإدارة الجودة</w:t>
      </w:r>
      <w:r w:rsidRPr="008A7560">
        <w:rPr>
          <w:rFonts w:ascii="Traditional Arabic" w:hAnsi="Traditional Arabic" w:cs="Traditional Arabic"/>
          <w:sz w:val="28"/>
          <w:szCs w:val="28"/>
        </w:rPr>
        <w:t>.</w:t>
      </w:r>
    </w:p>
    <w:p w14:paraId="1F98E46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تشير الدراسات التطبيقية الحديثة إلى أن الأداء في المشاريع السعودية يعاني من تباين واضح في تحقيق المؤشرات المستهدفة، لا سيما في مشاريع المقاولات والبنية التحتية. ففي دراسة</w:t>
      </w:r>
      <w:r w:rsidRPr="008A7560">
        <w:rPr>
          <w:rFonts w:ascii="Traditional Arabic" w:hAnsi="Traditional Arabic" w:cs="Traditional Arabic"/>
          <w:sz w:val="28"/>
          <w:szCs w:val="28"/>
        </w:rPr>
        <w:t xml:space="preserve"> Alfalah et al. (</w:t>
      </w:r>
      <w:proofErr w:type="gramStart"/>
      <w:r w:rsidRPr="008A7560">
        <w:rPr>
          <w:rFonts w:ascii="Traditional Arabic" w:hAnsi="Traditional Arabic" w:cs="Traditional Arabic"/>
          <w:sz w:val="28"/>
          <w:szCs w:val="28"/>
        </w:rPr>
        <w:t>2024)</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tl/>
        </w:rPr>
        <w:t xml:space="preserve"> وُجد أن ما يقارب 60% من المشاريع تتأخر عن الجدول الزمني المخطط، في حين يتجاوز كثير منها الميزانية المحددة، الأمر الذي يعكس تحديات جوهرية في التخطيط، والمتابعة، واختيار المقاولين. وقد أظهرت الدراسة أيضًا أن غياب نماذج تقييم معيارية يساهم في تكرار حالات التأخر وضعف الجودة، مما يجعل تطوير أدوات قياس الأداء ضرورة ملحة لتحسين القطاع</w:t>
      </w:r>
      <w:r w:rsidRPr="008A7560">
        <w:rPr>
          <w:rFonts w:ascii="Traditional Arabic" w:hAnsi="Traditional Arabic" w:cs="Traditional Arabic"/>
          <w:sz w:val="28"/>
          <w:szCs w:val="28"/>
        </w:rPr>
        <w:t>.</w:t>
      </w:r>
    </w:p>
    <w:p w14:paraId="47803DA8"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وفي السياق نفسه، أكدت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 </w:t>
      </w:r>
      <w:r w:rsidRPr="008A7560">
        <w:rPr>
          <w:rFonts w:ascii="Traditional Arabic" w:hAnsi="Traditional Arabic" w:cs="Traditional Arabic"/>
          <w:sz w:val="28"/>
          <w:szCs w:val="28"/>
          <w:rtl/>
        </w:rPr>
        <w:t>أن التحديات البيئية مثل ضعف إدارة النفايات في المشاريع الإنشائية السعودية تؤثر سلبًا على الأداء العام، حيث يؤدي سوء التخطيط والتنسيق بين الأطراف المختلفة إلى زيادة نسب الهدر، وارتفاع التكاليف، وتأخر التسليم، ما يُبرز العلاقة الوثيقة بين كفاءة العمليات التشغيلية ومستوى الأداء الكلي للمشروع</w:t>
      </w:r>
      <w:r w:rsidRPr="008A7560">
        <w:rPr>
          <w:rFonts w:ascii="Traditional Arabic" w:hAnsi="Traditional Arabic" w:cs="Traditional Arabic"/>
          <w:sz w:val="28"/>
          <w:szCs w:val="28"/>
        </w:rPr>
        <w:t>.</w:t>
      </w:r>
    </w:p>
    <w:p w14:paraId="1DCA2CE0"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 بين أبرز مؤشرات الأداء المستخدمة في المشاريع الإنشائية، تأتي تكلفة المشروع كعنصر أولي لقياس مدى نجاح المشروع في الالتزام بالميزانية المحددة. وتُقاس الكفاءة في هذا البُعد من خلال مقارنة التكلفة الفعلية بالتكلفة المخططة، مع تحليل أسباب الانحرافات إن وجدت. وقد أشار</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إلى أن تجاوز التكلفة عادة ما يكون ناتجًا عن ضعف التخطيط المالي، أو سوء إدارة الموارد، أو تغييرات متكررة في نطاق العمل. كما أن إعادة العمل بسبب أخطاء في التنفيذ أو التصميم يؤدي إلى زيادة المصروفات بما يتجاوز التقديرات الأولية</w:t>
      </w:r>
      <w:r w:rsidRPr="008A7560">
        <w:rPr>
          <w:rFonts w:ascii="Traditional Arabic" w:hAnsi="Traditional Arabic" w:cs="Traditional Arabic"/>
          <w:sz w:val="28"/>
          <w:szCs w:val="28"/>
        </w:rPr>
        <w:t>.</w:t>
      </w:r>
    </w:p>
    <w:p w14:paraId="702854D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أما الوقت، فهو يُعد من أكثر مؤشرات الأداء حساسية وتأثيرًا على رضا العملاء ومخرجات المشروع. وقد أظهرت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مؤشرات مثل وقت الإنجاز الفعلي، ووقت إعادة العمل، ووقت الاستجابة للحوادث تمثل معايير حاسمة في تقييم كفاءة المقاولين. وتُعد التأخيرات الناتجة عن التغيرات التصميمية، أو ضعف التنسيق، أو ظروف الموقع غير المتوقعة من أكثر الأسباب شيوعًا في انخفاض الأداء الزمني للمشروعات. وبيّن الباحثون أن تطوير نموذج تقييم يعتمد على أوزان نسبية لمؤشرات الوقت، كما تم باستخدام منهجية</w:t>
      </w:r>
      <w:r w:rsidRPr="008A7560">
        <w:rPr>
          <w:rFonts w:ascii="Traditional Arabic" w:hAnsi="Traditional Arabic" w:cs="Traditional Arabic"/>
          <w:sz w:val="28"/>
          <w:szCs w:val="28"/>
        </w:rPr>
        <w:t xml:space="preserve"> AHP</w:t>
      </w:r>
      <w:r w:rsidRPr="008A7560">
        <w:rPr>
          <w:rFonts w:ascii="Traditional Arabic" w:hAnsi="Traditional Arabic" w:cs="Traditional Arabic"/>
          <w:sz w:val="28"/>
          <w:szCs w:val="28"/>
          <w:rtl/>
        </w:rPr>
        <w:t>، يمكن أن يُساعد في اختيار المقاولين الأكفأ والأكثر التزامًا</w:t>
      </w:r>
      <w:r w:rsidRPr="008A7560">
        <w:rPr>
          <w:rFonts w:ascii="Traditional Arabic" w:hAnsi="Traditional Arabic" w:cs="Traditional Arabic"/>
          <w:sz w:val="28"/>
          <w:szCs w:val="28"/>
        </w:rPr>
        <w:t>.</w:t>
      </w:r>
    </w:p>
    <w:p w14:paraId="564C3A5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تُعد الجودة مؤشرًا رئيسيًا ينعكس مباشرة على مدى مطابقة المنتج النهائي للمواصفات الفنية والمعايير المعتمدة. وتُقاس الجودة من خلال عدة مؤشرات فرعية منها معدل العيوب، وعدد مرات إعادة العمل، ونتائج الفحوصات الميدانية. كما تشمل جودة التنفيذ، وجودة المستندات الفنية، ومستوى إنتاجية العمالة. وأشارت</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إلى أن ضعف الجودة يؤدي إلى سلسلة من التكاليف الخفية مثل إصلاح العيوب، والتأخير، وانخفاض رضا العميل، ما يجعل من إدارة الجودة عنصرًا أساسيًا في أي إطار تقييم للأداء</w:t>
      </w:r>
      <w:r w:rsidRPr="008A7560">
        <w:rPr>
          <w:rFonts w:ascii="Traditional Arabic" w:hAnsi="Traditional Arabic" w:cs="Traditional Arabic"/>
          <w:sz w:val="28"/>
          <w:szCs w:val="28"/>
        </w:rPr>
        <w:t>.</w:t>
      </w:r>
    </w:p>
    <w:p w14:paraId="4566DAE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لا يقل مؤشر السلامة أهمية عن المؤشرات السابقة، حيث يمثل عنصرًا حاسمًا في بيئة العمل الإنشائية نظرًا لطبيعة المخاطر المرتبطة بها. ويُقاس هذا المؤشر من خلال معدل الحوادث، وعدد الإصابات أو الوفيات، والامتثال لمعايير الصحة والسلامة، ومدى فعالية إدارة المخاطر. وبينت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المشاريع التي تُسجل مستويات سلامة مرتفعة تنعكس عليها نتائج إيجابية في الجوانب الإنتاجية والمالية، كما أنها تعزز من سمعة المقاول وثقة الجهات المالكة. فيما توضح</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أن إدارة السلامة ترتبط أيضًا بالاستدامة الاجتماعية، من خلال الحفاظ على صحة العاملين وتقليل التعرض للمخاطر البيئية</w:t>
      </w:r>
      <w:r w:rsidRPr="008A7560">
        <w:rPr>
          <w:rFonts w:ascii="Traditional Arabic" w:hAnsi="Traditional Arabic" w:cs="Traditional Arabic"/>
          <w:sz w:val="28"/>
          <w:szCs w:val="28"/>
        </w:rPr>
        <w:t>.</w:t>
      </w:r>
    </w:p>
    <w:p w14:paraId="15E955D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ويأتي رضا العملاء كمؤشر تجميعي يعكس مدى تطابق المنتج مع توقعات العميل سواء من حيث الجودة، أو الوقت، أو التكلفة. وتُقاس هذه الرضا من خلال ملاحظات العملاء، واستبيانات ما بعد التسليم، ودرجة التواصل والاستجابة مع العملاء خلال مراحل المشروع. وقد وجدت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رضا العميل يتأثر بشكل مباشر بجودة التركيب، وحسن التواصل، ومرونة التعامل مع التعديلات، ما يعكس أهمية البُعد الإنساني في علاقة المقاول بالمالك</w:t>
      </w:r>
      <w:r w:rsidRPr="008A7560">
        <w:rPr>
          <w:rFonts w:ascii="Traditional Arabic" w:hAnsi="Traditional Arabic" w:cs="Traditional Arabic"/>
          <w:sz w:val="28"/>
          <w:szCs w:val="28"/>
        </w:rPr>
        <w:t>.</w:t>
      </w:r>
    </w:p>
    <w:p w14:paraId="3390001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وتجدر الإشارة إلى أن أداء المشروع لا يُقاس فقط عبر المؤشرات الكمية، بل إن الأداء المستدام أصبح يُدمج اليوم كمفهوم عابر لكل المؤشرات التقليدية. إذ أظهرت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 </w:t>
      </w:r>
      <w:r w:rsidRPr="008A7560">
        <w:rPr>
          <w:rFonts w:ascii="Traditional Arabic" w:hAnsi="Traditional Arabic" w:cs="Traditional Arabic"/>
          <w:sz w:val="28"/>
          <w:szCs w:val="28"/>
          <w:rtl/>
        </w:rPr>
        <w:t>أن تبني ممارسات الاستدامة في إدارة النفايات يمكن أن يحسّن الأداء المالي والزمني والجودة معًا، حيث يساعد تقليل الأنشطة غير ذات القيمة، وإعادة تدوير المواد، وتبني البناء الهزيل في خفض التكاليف وتحسين الكفاءة. على سبيل المثال، استخدام مواد معاد تدويرها أو التربة الزائدة في عمليات البناء يمكن أن يقلل من استهلاك الموارد الطبيعية، ويسرع تنفيذ الأعمال، ويقلل من النفايات، ما ينعكس على التكلفة والوقت والجودة في آن واحد</w:t>
      </w:r>
      <w:r w:rsidRPr="008A7560">
        <w:rPr>
          <w:rFonts w:ascii="Traditional Arabic" w:hAnsi="Traditional Arabic" w:cs="Traditional Arabic"/>
          <w:sz w:val="28"/>
          <w:szCs w:val="28"/>
        </w:rPr>
        <w:t>.</w:t>
      </w:r>
    </w:p>
    <w:p w14:paraId="36602F0C"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كما يُسهم رفع وعي العاملين وتدريبهم على ممارسات الاستدامة البيئية في تحسين جودة التنفيذ، وتقليل الأخطاء، وتحقيق بيئة عمل أكثر أمانًا. وبينت الدراسة أن وجود إطار عمل متكامل يجمع بين البناء الهزيل ونظم الإدارة البيئية يُعد أحد الوسائل الأكثر فاعلية لتعزيز الأداء الإنشائي، إلا أن التطبيق يواجه تحديات كبيرة تتعلق بنقص المعرفة، ومقاومة التغيير، والتكلفة الأولية المرتفعة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w:t>
      </w:r>
    </w:p>
    <w:p w14:paraId="22F9BE2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وفي ضوء ذلك، يصبح واضحًا أن قياس أداء المشاريع لا يمكن أن يقتصر على مؤشرات منفصلة، بل ينبغي أن يتم من خلال نماذج تقييم شاملة تدمج بين الأبعاد الفنية، والمالية، والبيئية، والاجتماعية. وتوصي الدراسات التي أجريت في السعودية بضرورة تبني نماذج تقييم مثل</w:t>
      </w:r>
      <w:r w:rsidRPr="008A7560">
        <w:rPr>
          <w:rFonts w:ascii="Traditional Arabic" w:hAnsi="Traditional Arabic" w:cs="Traditional Arabic"/>
          <w:sz w:val="28"/>
          <w:szCs w:val="28"/>
        </w:rPr>
        <w:t xml:space="preserve"> AHP </w:t>
      </w:r>
      <w:r w:rsidRPr="008A7560">
        <w:rPr>
          <w:rFonts w:ascii="Traditional Arabic" w:hAnsi="Traditional Arabic" w:cs="Traditional Arabic"/>
          <w:sz w:val="28"/>
          <w:szCs w:val="28"/>
          <w:rtl/>
        </w:rPr>
        <w:t>أو نماذج قائمة على</w:t>
      </w:r>
      <w:r w:rsidRPr="008A7560">
        <w:rPr>
          <w:rFonts w:ascii="Traditional Arabic" w:hAnsi="Traditional Arabic" w:cs="Traditional Arabic"/>
          <w:sz w:val="28"/>
          <w:szCs w:val="28"/>
        </w:rPr>
        <w:t xml:space="preserve"> MCDM (Multiple Criteria Decision Making) </w:t>
      </w:r>
      <w:r w:rsidRPr="008A7560">
        <w:rPr>
          <w:rFonts w:ascii="Traditional Arabic" w:hAnsi="Traditional Arabic" w:cs="Traditional Arabic"/>
          <w:sz w:val="28"/>
          <w:szCs w:val="28"/>
          <w:rtl/>
        </w:rPr>
        <w:t>لتحليل الأداء بطريقة مرجحة وشاملة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كما يُوصى بتطوير أنظمة رقمية قادرة على تتبع مؤشرات الأداء الفعلية في الزمن الحقيقي، مما يساعد في اتخاذ قرارات استباقية، ويعزز من قدرة الفرق على معالجة الانحرافات في وقت مبكر</w:t>
      </w:r>
      <w:r w:rsidRPr="008A7560">
        <w:rPr>
          <w:rFonts w:ascii="Traditional Arabic" w:hAnsi="Traditional Arabic" w:cs="Traditional Arabic"/>
          <w:sz w:val="28"/>
          <w:szCs w:val="28"/>
        </w:rPr>
        <w:t>.</w:t>
      </w:r>
    </w:p>
    <w:p w14:paraId="620062A9"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وعلى الرغم من أن الدراسة التي أجراها</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لم تتناول موضوع الاستدامة بشكل مباشر، إلا أنها ربطت بين الأداء الفعلي وعوامل داخلية مثل جودة الإدارة، والتنظيم، والتخطيط، وهي عوامل ترتبط بشكل غير مباشر بمفاهيم الاستدامة. حيث أوضحت الدراسة أن جودة المستندات والتواصل والقيادة داخل المشروع تُسهم بشكل جوهري في تحسين الأداء عبر تقليل الحاجة إلى إعادة العمل، وتحسين التخطيط، وتقليل الهدر</w:t>
      </w:r>
      <w:r w:rsidRPr="008A7560">
        <w:rPr>
          <w:rFonts w:ascii="Traditional Arabic" w:hAnsi="Traditional Arabic" w:cs="Traditional Arabic"/>
          <w:sz w:val="28"/>
          <w:szCs w:val="28"/>
        </w:rPr>
        <w:t>.</w:t>
      </w:r>
    </w:p>
    <w:p w14:paraId="43D5E9B3" w14:textId="17B6B162" w:rsidR="005B06E6" w:rsidRPr="00C64784" w:rsidRDefault="00C64784" w:rsidP="00C64784">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2-4 </w:t>
      </w:r>
      <w:r w:rsidR="005B06E6" w:rsidRPr="00C64784">
        <w:rPr>
          <w:rFonts w:ascii="Traditional Arabic" w:hAnsi="Traditional Arabic" w:cs="Traditional Arabic"/>
          <w:b/>
          <w:bCs/>
          <w:sz w:val="28"/>
          <w:szCs w:val="28"/>
          <w:rtl/>
        </w:rPr>
        <w:t>العلاقة بين الاستدامة وأداء المشاريع الإنشائية</w:t>
      </w:r>
    </w:p>
    <w:p w14:paraId="00735EFC" w14:textId="33C17105" w:rsidR="005B06E6" w:rsidRPr="008A7560" w:rsidRDefault="00C64784" w:rsidP="005B06E6">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t xml:space="preserve">2-4-1 </w:t>
      </w:r>
      <w:r w:rsidR="005B06E6" w:rsidRPr="008A7560">
        <w:rPr>
          <w:rFonts w:ascii="Traditional Arabic" w:hAnsi="Traditional Arabic" w:cs="Traditional Arabic"/>
          <w:b/>
          <w:bCs/>
          <w:sz w:val="28"/>
          <w:szCs w:val="28"/>
          <w:rtl/>
        </w:rPr>
        <w:t>تأثير ممارسات الاستدامة على الكفاءة التشغيلية والتكاليف طويلة المدى</w:t>
      </w:r>
    </w:p>
    <w:p w14:paraId="650F8CB0"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يُظهر تحليل العلاقة بين الاستدامة وأداء المشاريع الإنشائية أن دمج مبادئ الاستدامة لم يعد مجرد خيار تنظيمي أو بيئي، بل يمثل توجهًا إستراتيجيًا يدعم البنية التشغيلية للمشاريع، خصوصًا في البيئات التي تواجه ضغوطًا مرتبطة باستهلاك الموارد وارتفاع التكاليف كما هو الحال في المملكة العربية السعودية. وتكشف الأدبيات أن التأثير لا يقتصر على البعد البيئي، بل يمتد ليعيد تشكيل منهجية إدارة المشروع، من حيث الكفاءة التشغيلية والتكاليف طويلة الأمد. ومن خلال استقراء الاتجاهات البحثية، يمكن القول إن الاستدامة أصبحت إطارًا تشغيليًا يُسهم في إعادة تعريف مفهوم الأداء، عبر تحويله من مجرد مخرجات زمنية ومالية إلى كفاءة شمولية في إدارة الموارد وتحقيق قيمة مستدامة</w:t>
      </w:r>
      <w:r w:rsidRPr="008A7560">
        <w:rPr>
          <w:rFonts w:ascii="Traditional Arabic" w:hAnsi="Traditional Arabic" w:cs="Traditional Arabic"/>
          <w:sz w:val="28"/>
          <w:szCs w:val="28"/>
        </w:rPr>
        <w:t>.</w:t>
      </w:r>
    </w:p>
    <w:p w14:paraId="20951D0C"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وعند تحليل ما طرحه الحسن (2025)، يظهر أن الكفاءة التشغيلية في المشاريع المستدامة ليست نتيجة مباشرة لتطبيق أدوات الجودة فحسب، بل هي نتاج دمج فكري بين مبادئ الاستدامة ونظم الإدارة الحديثة. فالدراسة تُظهر واقعًا، بينما التفسير العلمي يشير إلى أن هذا الاندماج يؤدي إلى بناء “نظام تشغيل متوازن” يحدّ من الأخطاء ويزيد الإنتاجية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النويصر واخرون، </w:t>
      </w:r>
      <w:r w:rsidRPr="008A7560">
        <w:rPr>
          <w:rFonts w:ascii="Traditional Arabic" w:hAnsi="Traditional Arabic" w:cs="Traditional Arabic"/>
          <w:sz w:val="28"/>
          <w:szCs w:val="28"/>
          <w:rtl/>
          <w:lang w:bidi="ar-EG"/>
        </w:rPr>
        <w:t>2025)</w:t>
      </w:r>
      <w:r w:rsidRPr="008A7560">
        <w:rPr>
          <w:rFonts w:ascii="Traditional Arabic" w:hAnsi="Traditional Arabic" w:cs="Traditional Arabic"/>
          <w:sz w:val="28"/>
          <w:szCs w:val="28"/>
          <w:rtl/>
        </w:rPr>
        <w:t xml:space="preserve"> ومن منظور الباحث، فإن القيمة الحقيقية للاستدامة تكمن في قدرتها على تحويل </w:t>
      </w:r>
      <w:r w:rsidRPr="008A7560">
        <w:rPr>
          <w:rFonts w:ascii="Traditional Arabic" w:hAnsi="Traditional Arabic" w:cs="Traditional Arabic"/>
          <w:sz w:val="28"/>
          <w:szCs w:val="28"/>
          <w:rtl/>
        </w:rPr>
        <w:lastRenderedPageBreak/>
        <w:t>الممارسات اليومية إلى عمليات محسّنة تعتمد على البيانات، ما يجعل القرار أكثر وعيًا، ويُسهم في تقليل إعادة العمل وتعزيز التكامل بين فرق المشروع</w:t>
      </w:r>
      <w:r w:rsidRPr="008A7560">
        <w:rPr>
          <w:rFonts w:ascii="Traditional Arabic" w:hAnsi="Traditional Arabic" w:cs="Traditional Arabic"/>
          <w:sz w:val="28"/>
          <w:szCs w:val="28"/>
        </w:rPr>
        <w:t>.</w:t>
      </w:r>
    </w:p>
    <w:p w14:paraId="138823E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ما عرضه</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حول دور التخطيط الاستراتيجي يعكس حقيقة أعمق، وهي أن الاستدامة ليست أدوات فقط، بل فلسفة إدارية تنعكس على طريقة تفكير المؤسسة. فاعتماد نظم الإدارة الرقمية لا يُحسن الأداء فحسب، بل يعيد صياغة العلاقة بين الموارد، مما يؤدي إلى خلق بيئة تشغيلية أكثر مرونة وقدرة على التكيف. ومن منظور نقدي، يمكن القول إن هذه الممارسات تكشف عن تحول من إدارة تقليدية تعتمد على ردّ الفعل إلى إدارة استباقية تستند إلى التنبؤ والتحكم</w:t>
      </w:r>
      <w:r w:rsidRPr="008A7560">
        <w:rPr>
          <w:rFonts w:ascii="Traditional Arabic" w:hAnsi="Traditional Arabic" w:cs="Traditional Arabic"/>
          <w:sz w:val="28"/>
          <w:szCs w:val="28"/>
        </w:rPr>
        <w:t>.</w:t>
      </w:r>
    </w:p>
    <w:p w14:paraId="68D57CBA"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أما ما طرحه</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فيقدم مثالًا تطبيقيًا يوضح كيف يمكن للاستدامة إعادة تشكيل القرارات التصميمية والتنفيذية في المشروع. فالنتائج التشغيلية المحسّنة لم تكن مجرد نتيجة اختيار مواد ذات جودة، بل نتيجة نهج “التصميم القائم على القيمة”، وهو نهج يُظهر أن الاستدامة ليست مجرد نفقات إضافية، بل مدخل يمكنه أن يعيد تشكيل هوية المشروع بأكملها. ومن منظور الباحث، فإن هذا يوضح أن دمج مبادئ الاستدامة منذ مرحلة التخطيط ليس خيارًا تقنيًا، بل خطوة استراتيجية تضمن أعلى كفاءة تشغيلية لاحقًا(ماجد وبدوي، 2025).</w:t>
      </w:r>
    </w:p>
    <w:p w14:paraId="611ECD6D"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الربط بين الاستدامة وإدارة النفايات يعكس بعدًا تحليليًا مهمًا لم تتطرق إليه الدراسات بشكل مباشر، وهو أن إدارة النفايات ليست هدفًا بيئيًا فقط، بل آلية تشغيلية تُحسن انسيابية العمل. فالدراسة التي قدمها الحسن (2025) تُظهر سياقًا واقعيًا، لكن التحليل يشير إلى أن البيئة المنظمة الناتجة عن تقليل النفايات تمنح المشروع قدرة أعلى على التحكم والتخطيط، وتقلل من الاضطرابات التشغيلية، مما ينعكس مباشرة على التكلفة والزمن</w:t>
      </w:r>
      <w:r w:rsidRPr="008A7560">
        <w:rPr>
          <w:rFonts w:ascii="Traditional Arabic" w:hAnsi="Traditional Arabic" w:cs="Traditional Arabic"/>
          <w:sz w:val="28"/>
          <w:szCs w:val="28"/>
        </w:rPr>
        <w:t>.</w:t>
      </w:r>
    </w:p>
    <w:p w14:paraId="75BBB0FA"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وما طرحه</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بشأن الدور الثقافي للاستدامة يعالج بُعدًا غالبًا ما يُغفل في التحليل، وهو أن نجاح الاستدامة لا يعتمد فقط على القرارات الفنية، بل على تبني العاملين لها كممارسة يومية. ومن خلال رؤية الباحث، يمكن القول إن بناء ثقافة مستدامة داخل المؤسسة يخلق “تجانسًا سلوكيًا” يعزز الالتزام، ويرفع المساءلة، ويُحسن التنسيق بين الأطراف المختلفة، ما ينعكس إيجابًا على الكفاءة التشغيلية للمشروع</w:t>
      </w:r>
      <w:r w:rsidRPr="008A7560">
        <w:rPr>
          <w:rFonts w:ascii="Traditional Arabic" w:hAnsi="Traditional Arabic" w:cs="Traditional Arabic"/>
          <w:sz w:val="28"/>
          <w:szCs w:val="28"/>
        </w:rPr>
        <w:t>.</w:t>
      </w:r>
    </w:p>
    <w:p w14:paraId="3C81539E"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وتُظهر نتائج</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حول التكاليف طويلة المدى أن الاستدامة تعيد صياغة مفهوم التكلفة نفسه. فالتركيز لم يعد مقتصرًا على التكلفة الأولية، بل على “تكلفة دورة الحياة”، وهو مفهوم يتسق مع المنهج التحليلي للمشاريع المستدامة. ومن منظور نقدي، فإن هذا التحول يمثل انتقالًا من تحليل مالي قصير الأمد إلى تحليل استراتيجي يرى المشروع ككيان مستمر وليس كمرحلة إنشائية فقط. وهذا يوضح أن ارتفاع التكلفة الأولية لا يمثل عائقًا حقيقيًا، بل يُعد استثمارًا يعيد إنتاج قيم اقتصادية وتشغيلية في المستقبل</w:t>
      </w:r>
      <w:r w:rsidRPr="008A7560">
        <w:rPr>
          <w:rFonts w:ascii="Traditional Arabic" w:hAnsi="Traditional Arabic" w:cs="Traditional Arabic"/>
          <w:sz w:val="28"/>
          <w:szCs w:val="28"/>
        </w:rPr>
        <w:t>.</w:t>
      </w:r>
    </w:p>
    <w:p w14:paraId="4871A459"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الربط بين الاستدامة والمخاطر القانونية كما ورد لدى الحسن (2025) يؤكد أن الاستدامة ليست فقط أداة لخفض النفقات التشغيلية، بل كذلك وسيلة لتخفيض المخاطر. ومن خلال تحليل هذه العلاقة، يظهر أن الالتزام البيئي يقلل من احتمالية التعرض لعقوبات أو توقفات، ما يمنح المشروع درجة أعلى من الاستقرار المالي والعملي</w:t>
      </w:r>
      <w:r w:rsidRPr="008A7560">
        <w:rPr>
          <w:rFonts w:ascii="Traditional Arabic" w:hAnsi="Traditional Arabic" w:cs="Traditional Arabic"/>
          <w:sz w:val="28"/>
          <w:szCs w:val="28"/>
        </w:rPr>
        <w:t>.</w:t>
      </w:r>
    </w:p>
    <w:p w14:paraId="4ABABCE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ويعكس ما طرحه</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حول استخدام مواد بناء محلية ومنخفضة الانبعاثات أن الاستدامة ليست مجرد التزام بيئي، بل خيار اقتصادي يُحسن الأداء. ومن منظور الباحث، يمكن القول إن هذا النوع من الخيارات يُجسد التحول نحو تصميم وإدارة مشاريع تُحقق القيمة بتوازن بين التكلفة والجودة وتأثير البيئة</w:t>
      </w:r>
      <w:r w:rsidRPr="008A7560">
        <w:rPr>
          <w:rFonts w:ascii="Traditional Arabic" w:hAnsi="Traditional Arabic" w:cs="Traditional Arabic"/>
          <w:sz w:val="28"/>
          <w:szCs w:val="28"/>
        </w:rPr>
        <w:t>.</w:t>
      </w:r>
    </w:p>
    <w:p w14:paraId="78EDCA3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وتوضح الأدبيات الحديثة أن تطبيق الاستدامة يتطلب التوسع في استخدام أدوات مثل “تكلفة دورة الحياة الكاملة</w:t>
      </w:r>
      <w:r w:rsidRPr="008A7560">
        <w:rPr>
          <w:rFonts w:ascii="Traditional Arabic" w:hAnsi="Traditional Arabic" w:cs="Traditional Arabic"/>
          <w:sz w:val="28"/>
          <w:szCs w:val="28"/>
        </w:rPr>
        <w:t xml:space="preserve">” WLCC </w:t>
      </w:r>
      <w:r w:rsidRPr="008A7560">
        <w:rPr>
          <w:rFonts w:ascii="Traditional Arabic" w:hAnsi="Traditional Arabic" w:cs="Traditional Arabic"/>
          <w:sz w:val="28"/>
          <w:szCs w:val="28"/>
          <w:rtl/>
        </w:rPr>
        <w:t>لتحليل البدائل التشغيلية المختلفة. ومن وجهة نظر نقدية، يُعد هذا النموذج أحد أهم الأدوات التي تمنح مدير المشروع رؤية شمولية على المدى البعيد، مما يمكّنه من اتخاذ قرارات محسوبة بدقة تعتمد على الكلفة الحقيقية للمشروع وليس على الإنفاق الإنشائي فقط</w:t>
      </w:r>
      <w:r w:rsidRPr="008A7560">
        <w:rPr>
          <w:rFonts w:ascii="Traditional Arabic" w:hAnsi="Traditional Arabic" w:cs="Traditional Arabic"/>
          <w:sz w:val="28"/>
          <w:szCs w:val="28"/>
        </w:rPr>
        <w:t>.</w:t>
      </w:r>
    </w:p>
    <w:p w14:paraId="5572F00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تكشف التحديات التي عرضها</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أن الاستدامة ليست مجرد خطوات تقنية، بل هي تغيير مؤسسي يحتاج إلى قيادة فعّالة ورؤية واضحة. ومن خلال تحليل الباحث، يمكن القول إن المقاومة للتغيير ليست مشكلة استدامة بحد ذاتها، بل مشكلة إدارة تتطلب آليات ملائمة لاحتوائها. لذلك تُعد أدوات مثل إدارة القيمة</w:t>
      </w:r>
      <w:r w:rsidRPr="008A7560">
        <w:rPr>
          <w:rFonts w:ascii="Traditional Arabic" w:hAnsi="Traditional Arabic" w:cs="Traditional Arabic"/>
          <w:sz w:val="28"/>
          <w:szCs w:val="28"/>
        </w:rPr>
        <w:t xml:space="preserve"> VM </w:t>
      </w:r>
      <w:r w:rsidRPr="008A7560">
        <w:rPr>
          <w:rFonts w:ascii="Traditional Arabic" w:hAnsi="Traditional Arabic" w:cs="Traditional Arabic"/>
          <w:sz w:val="28"/>
          <w:szCs w:val="28"/>
          <w:rtl/>
        </w:rPr>
        <w:t>ضرورة وليست خيارًا، لأنها تخلق مسارًا للتوافق بين الأبعاد الاقتصادية والاجتماعية والبيئية</w:t>
      </w:r>
      <w:r w:rsidRPr="008A7560">
        <w:rPr>
          <w:rFonts w:ascii="Traditional Arabic" w:hAnsi="Traditional Arabic" w:cs="Traditional Arabic"/>
          <w:sz w:val="28"/>
          <w:szCs w:val="28"/>
        </w:rPr>
        <w:t>.</w:t>
      </w:r>
    </w:p>
    <w:p w14:paraId="356F0CCB"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وتدعم نتائج</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هذا الاتجاه، حيث يظهر أن القيادة الكفؤة والإطار التنظيمي الفعّال يمثلان حجر الزاوية في نجاح الاستدامة. ومن منظور تنظيري، يمكن القول إن الاستدامة في سياق المشاريع السعودية ليست مجرد مجموع ممارسات، بل نظام إداري متكامل يحتاج إلى مواءمة بين الاستراتيجية، والحوكمة، والموارد، واللوائح، من أجل تحقيق أثر ملموس على الأداء</w:t>
      </w:r>
      <w:r w:rsidRPr="008A7560">
        <w:rPr>
          <w:rFonts w:ascii="Traditional Arabic" w:hAnsi="Traditional Arabic" w:cs="Traditional Arabic"/>
          <w:sz w:val="28"/>
          <w:szCs w:val="28"/>
        </w:rPr>
        <w:t>.</w:t>
      </w:r>
    </w:p>
    <w:p w14:paraId="004A8FD5"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وبناءً على ذلك، يمكن التأكيد أن دمج الاستدامة في المشاريع الإنشائية في السعودية يشكل تحولًا في طريقة إدارة المشروع، وليس تحسينًا تقنيًا فقط. وتكشف الأدبيات أن هذا التوجه يحتاج إلى سياسات حكومية داعمة، وأمثلة تنفيذية ناجحة، وبرامج تدريب متخصصة، مما يعني أن الاستدامة أصبحت عنصرًا جوهريًا لإعادة تشكيل مستقبل قطاع البناء في المملكة</w:t>
      </w:r>
      <w:r w:rsidRPr="008A7560">
        <w:rPr>
          <w:rFonts w:ascii="Traditional Arabic" w:hAnsi="Traditional Arabic" w:cs="Traditional Arabic"/>
          <w:sz w:val="28"/>
          <w:szCs w:val="28"/>
        </w:rPr>
        <w:t>.</w:t>
      </w:r>
    </w:p>
    <w:p w14:paraId="477C87D0" w14:textId="7A0A0B80" w:rsidR="005B06E6" w:rsidRPr="008A7560" w:rsidRDefault="00C64784" w:rsidP="005B06E6">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lastRenderedPageBreak/>
        <w:t xml:space="preserve">2-4-2 </w:t>
      </w:r>
      <w:r w:rsidR="005B06E6" w:rsidRPr="008A7560">
        <w:rPr>
          <w:rFonts w:ascii="Traditional Arabic" w:hAnsi="Traditional Arabic" w:cs="Traditional Arabic"/>
          <w:b/>
          <w:bCs/>
          <w:sz w:val="28"/>
          <w:szCs w:val="28"/>
          <w:rtl/>
        </w:rPr>
        <w:t>تأثير ممارسات الاستدامة على السمعة التنافسية والامتثال للأنظمة البيئية</w:t>
      </w:r>
    </w:p>
    <w:p w14:paraId="0F732191"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يشير تحليل الأدبيات الحديثة إلى أن ممارسات الاستدامة في المشاريع الإنشائية تمثل تحولًا في فلسفة البناء من نموذج تقليدي يعتمد على التكلفة والوقت فقط إلى نموذج شمولي يربط الأداء بالمسؤولية البيئية والاجتماعية. ومن منظور الباحث، فإن هذا التحول لم يأتِ نتيجة ضغوط تنظيمية فحسب، بل نتيجة اقتناع متزايد بأن تحسين السمعة التنافسية والامتثال البيئي أصبحا عنصرين جوهريين في نجاح الشركات داخل سوق إنشائي شديد التنافس، خاصة في المملكة العربية السعودية التي تتبنّى رؤية 2030 كإطار استراتيجي موجّه نحو تنمية مستدامة</w:t>
      </w:r>
      <w:r w:rsidRPr="008A7560">
        <w:rPr>
          <w:rFonts w:ascii="Traditional Arabic" w:hAnsi="Traditional Arabic" w:cs="Traditional Arabic"/>
          <w:sz w:val="28"/>
          <w:szCs w:val="28"/>
        </w:rPr>
        <w:t>.</w:t>
      </w:r>
    </w:p>
    <w:p w14:paraId="4EDB61DC"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وتقدم دراسة</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دليلاً على أن الاستدامة لا تُعزز السمعة التنافسية للشركات من خلال تقليل الهدر وتحسين إدارة الموارد فقط، بل لأنها تُظهر قدرة الشركة على الابتكار واعتماد تقنيات حديثة مثل</w:t>
      </w:r>
      <w:r w:rsidRPr="008A7560">
        <w:rPr>
          <w:rFonts w:ascii="Traditional Arabic" w:hAnsi="Traditional Arabic" w:cs="Traditional Arabic"/>
          <w:sz w:val="28"/>
          <w:szCs w:val="28"/>
        </w:rPr>
        <w:t xml:space="preserve"> BIM</w:t>
      </w:r>
      <w:r w:rsidRPr="008A7560">
        <w:rPr>
          <w:rFonts w:ascii="Traditional Arabic" w:hAnsi="Traditional Arabic" w:cs="Traditional Arabic"/>
          <w:sz w:val="28"/>
          <w:szCs w:val="28"/>
          <w:rtl/>
        </w:rPr>
        <w:t>، وهو ما يعكس، من وجهة نظر الباحث، قدرة المؤسسة على الانتقال من نموذج تشغيل تقليدي إلى نموذج معرفي قائم على التكنولوجيا والشفافية. ورغم أن الدراسة تُبرز تأثيرات كمية مثل خفض الأخطاء التصميمية</w:t>
      </w:r>
      <w:r w:rsidRPr="008A7560">
        <w:rPr>
          <w:rFonts w:ascii="Traditional Arabic" w:hAnsi="Traditional Arabic" w:cs="Traditional Arabic"/>
          <w:sz w:val="28"/>
          <w:szCs w:val="28"/>
        </w:rPr>
        <w:t xml:space="preserve"> (RII = 0.792)</w:t>
      </w:r>
      <w:r w:rsidRPr="008A7560">
        <w:rPr>
          <w:rFonts w:ascii="Traditional Arabic" w:hAnsi="Traditional Arabic" w:cs="Traditional Arabic"/>
          <w:sz w:val="28"/>
          <w:szCs w:val="28"/>
          <w:rtl/>
        </w:rPr>
        <w:t>، إلا أن التحليل يوضح أن القيمة الحقيقية لهذه التقنيات تكمن في خلق ثقة أكبر لدى المستثمرين والمستفيدين، مما يضع الشركات في موقع تنافسي أفضل</w:t>
      </w:r>
      <w:r w:rsidRPr="008A7560">
        <w:rPr>
          <w:rFonts w:ascii="Traditional Arabic" w:hAnsi="Traditional Arabic" w:cs="Traditional Arabic"/>
          <w:sz w:val="28"/>
          <w:szCs w:val="28"/>
        </w:rPr>
        <w:t>.</w:t>
      </w:r>
    </w:p>
    <w:p w14:paraId="514618E0"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توضح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 xml:space="preserve">أن جودة التنفيذ تُعد مدخلًا محوريًا للسمعة التنافسية، إذ وجد الباحثون أن جودة الأداء المهني تؤثر بنسبة 43% في بناء السمعة. وهنا يتبنى الباحث رؤية نقدية مفادها أن جودة التنفيذ ليست مجرد مؤشرات تشغيلية، بل هي انعكاس لمدى التزام الشركة بفلسفة العمل المستدام. ويعني ذلك أن </w:t>
      </w:r>
      <w:r w:rsidRPr="008A7560">
        <w:rPr>
          <w:rFonts w:ascii="Traditional Arabic" w:hAnsi="Traditional Arabic" w:cs="Traditional Arabic"/>
          <w:sz w:val="28"/>
          <w:szCs w:val="28"/>
          <w:rtl/>
        </w:rPr>
        <w:lastRenderedPageBreak/>
        <w:t>الشركات التي تتبنى نظم إدارة الجودة مثل</w:t>
      </w:r>
      <w:r w:rsidRPr="008A7560">
        <w:rPr>
          <w:rFonts w:ascii="Traditional Arabic" w:hAnsi="Traditional Arabic" w:cs="Traditional Arabic"/>
          <w:sz w:val="28"/>
          <w:szCs w:val="28"/>
        </w:rPr>
        <w:t xml:space="preserve"> ISO 9000 </w:t>
      </w:r>
      <w:r w:rsidRPr="008A7560">
        <w:rPr>
          <w:rFonts w:ascii="Traditional Arabic" w:hAnsi="Traditional Arabic" w:cs="Traditional Arabic"/>
          <w:sz w:val="28"/>
          <w:szCs w:val="28"/>
          <w:rtl/>
        </w:rPr>
        <w:t>لا تحقق رضا العملاء فحسب، بل تؤسس لصورة ذهنية إيجابية مبنية على الموثوقية والاتساق والالتزام، وهي عناصر يصعب اكتسابها بدون ممارسات مستدامة راسخة</w:t>
      </w:r>
      <w:r w:rsidRPr="008A7560">
        <w:rPr>
          <w:rFonts w:ascii="Traditional Arabic" w:hAnsi="Traditional Arabic" w:cs="Traditional Arabic"/>
          <w:sz w:val="28"/>
          <w:szCs w:val="28"/>
        </w:rPr>
        <w:t>.</w:t>
      </w:r>
    </w:p>
    <w:p w14:paraId="09352F0E"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وتعزز نتائج</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هذه الرؤية، إذ تُظهر أن تقنيات الاستدامة الحديثة مثل</w:t>
      </w:r>
      <w:r w:rsidRPr="008A7560">
        <w:rPr>
          <w:rFonts w:ascii="Traditional Arabic" w:hAnsi="Traditional Arabic" w:cs="Traditional Arabic"/>
          <w:sz w:val="28"/>
          <w:szCs w:val="28"/>
        </w:rPr>
        <w:t xml:space="preserve"> BIM </w:t>
      </w:r>
      <w:r w:rsidRPr="008A7560">
        <w:rPr>
          <w:rFonts w:ascii="Traditional Arabic" w:hAnsi="Traditional Arabic" w:cs="Traditional Arabic"/>
          <w:sz w:val="28"/>
          <w:szCs w:val="28"/>
          <w:rtl/>
        </w:rPr>
        <w:t>تُسهم في تحسين التصميم الأخضر</w:t>
      </w:r>
      <w:r w:rsidRPr="008A7560">
        <w:rPr>
          <w:rFonts w:ascii="Traditional Arabic" w:hAnsi="Traditional Arabic" w:cs="Traditional Arabic"/>
          <w:sz w:val="28"/>
          <w:szCs w:val="28"/>
        </w:rPr>
        <w:t xml:space="preserve"> (RII = 0.786)</w:t>
      </w:r>
      <w:r w:rsidRPr="008A7560">
        <w:rPr>
          <w:rFonts w:ascii="Traditional Arabic" w:hAnsi="Traditional Arabic" w:cs="Traditional Arabic"/>
          <w:sz w:val="28"/>
          <w:szCs w:val="28"/>
          <w:rtl/>
        </w:rPr>
        <w:t>، وهو ما يشير—وفق تحليل الباحث—إلى أن الاستدامة أصبحت أداة إستراتيجية لبناء علامة تجارية قوية. فالشركات التي تقدم حلولًا منخفضة الانبعاثات وأكثر كفاءة في الطاقة تكتسب مكانة مميزة لدى الجهات الحكومية والمستثمرين الدوليين، خاصة في وقت تُشجّع فيه الأنظمة المحلية والعالمية المباني الخضراء كخيارات تفضيلية</w:t>
      </w:r>
      <w:r w:rsidRPr="008A7560">
        <w:rPr>
          <w:rFonts w:ascii="Traditional Arabic" w:hAnsi="Traditional Arabic" w:cs="Traditional Arabic"/>
          <w:sz w:val="28"/>
          <w:szCs w:val="28"/>
        </w:rPr>
        <w:t>.</w:t>
      </w:r>
    </w:p>
    <w:p w14:paraId="585AF238"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وتكشف الأدبيات أيضًا عن أن السمعة التنافسية لا تتحدد فقط وفق الأداء التقني، بل تتأثر كذلك بمدى قدرة الشركة على إدارة علاقاتها مع أصحاب المصلحة. فنتائج</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التي بيّنت أثر سوء التواصل</w:t>
      </w:r>
      <w:r w:rsidRPr="008A7560">
        <w:rPr>
          <w:rFonts w:ascii="Traditional Arabic" w:hAnsi="Traditional Arabic" w:cs="Traditional Arabic"/>
          <w:sz w:val="28"/>
          <w:szCs w:val="28"/>
        </w:rPr>
        <w:t xml:space="preserve"> (RII = 0.831) </w:t>
      </w:r>
      <w:r w:rsidRPr="008A7560">
        <w:rPr>
          <w:rFonts w:ascii="Traditional Arabic" w:hAnsi="Traditional Arabic" w:cs="Traditional Arabic"/>
          <w:sz w:val="28"/>
          <w:szCs w:val="28"/>
          <w:rtl/>
        </w:rPr>
        <w:t>وتجاوز الجداول الزمنية</w:t>
      </w:r>
      <w:r w:rsidRPr="008A7560">
        <w:rPr>
          <w:rFonts w:ascii="Traditional Arabic" w:hAnsi="Traditional Arabic" w:cs="Traditional Arabic"/>
          <w:sz w:val="28"/>
          <w:szCs w:val="28"/>
        </w:rPr>
        <w:t xml:space="preserve"> (RII = 0.806) </w:t>
      </w:r>
      <w:r w:rsidRPr="008A7560">
        <w:rPr>
          <w:rFonts w:ascii="Traditional Arabic" w:hAnsi="Traditional Arabic" w:cs="Traditional Arabic"/>
          <w:sz w:val="28"/>
          <w:szCs w:val="28"/>
          <w:rtl/>
        </w:rPr>
        <w:t>تُبرز—من منظور نقدي—أن الاستدامة لا يمكن أن تُختزل في الأدوات التقنية، بل يجب أن تمتد إلى آليات الحوكمة والتنسيق. وهذا يعني أن الشركات التي تعتمد ممارسات مستدامة تكون أكثر قدرة على ضبط نظام التواصل، وتقليل الصراعات، وتحقيق اتساق في دورة المشروع</w:t>
      </w:r>
      <w:r w:rsidRPr="008A7560">
        <w:rPr>
          <w:rFonts w:ascii="Traditional Arabic" w:hAnsi="Traditional Arabic" w:cs="Traditional Arabic"/>
          <w:sz w:val="28"/>
          <w:szCs w:val="28"/>
        </w:rPr>
        <w:t>.</w:t>
      </w:r>
    </w:p>
    <w:p w14:paraId="340B28C9"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ويرتبط الامتثال للأنظمة البيئية ارتباطًا وثيقًا بهذه التحولات، إذ يظهر من خلال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أن تطبيق نظم إدارة الجودة مثل</w:t>
      </w:r>
      <w:r w:rsidRPr="008A7560">
        <w:rPr>
          <w:rFonts w:ascii="Traditional Arabic" w:hAnsi="Traditional Arabic" w:cs="Traditional Arabic"/>
          <w:sz w:val="28"/>
          <w:szCs w:val="28"/>
        </w:rPr>
        <w:t xml:space="preserve"> ISO 9000 </w:t>
      </w:r>
      <w:r w:rsidRPr="008A7560">
        <w:rPr>
          <w:rFonts w:ascii="Traditional Arabic" w:hAnsi="Traditional Arabic" w:cs="Traditional Arabic"/>
          <w:sz w:val="28"/>
          <w:szCs w:val="28"/>
          <w:rtl/>
        </w:rPr>
        <w:t>لا يقتصر على تنظيم العملية الداخلية فحسب، بل يُسهم في تقليل الانتهاكات البيئية من خلال ضبط الإجراءات وتوحيدها. ومن وجهة نظر الباحث، فإن هذا الامتثال يُعد انعكاسًا لثقافة تنظيمية ناضجة، حيث تتحول التشريعات من “قيد” إلى “أداة” لتعزيز الجودة والموثوقية</w:t>
      </w:r>
      <w:r w:rsidRPr="008A7560">
        <w:rPr>
          <w:rFonts w:ascii="Traditional Arabic" w:hAnsi="Traditional Arabic" w:cs="Traditional Arabic"/>
          <w:sz w:val="28"/>
          <w:szCs w:val="28"/>
        </w:rPr>
        <w:t>.</w:t>
      </w:r>
    </w:p>
    <w:p w14:paraId="2B2863B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كما تُبرز نتائج</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العلاقة بين الاستدامة والامتثال من خلال دور</w:t>
      </w:r>
      <w:r w:rsidRPr="008A7560">
        <w:rPr>
          <w:rFonts w:ascii="Traditional Arabic" w:hAnsi="Traditional Arabic" w:cs="Traditional Arabic"/>
          <w:sz w:val="28"/>
          <w:szCs w:val="28"/>
        </w:rPr>
        <w:t xml:space="preserve"> BIM </w:t>
      </w:r>
      <w:r w:rsidRPr="008A7560">
        <w:rPr>
          <w:rFonts w:ascii="Traditional Arabic" w:hAnsi="Traditional Arabic" w:cs="Traditional Arabic"/>
          <w:sz w:val="28"/>
          <w:szCs w:val="28"/>
          <w:rtl/>
        </w:rPr>
        <w:t>في محاكاة استهلاك الطاقة وتطبيق معايير</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فنتائج مثل التحكم في استهلاك الطاقة</w:t>
      </w:r>
      <w:r w:rsidRPr="008A7560">
        <w:rPr>
          <w:rFonts w:ascii="Traditional Arabic" w:hAnsi="Traditional Arabic" w:cs="Traditional Arabic"/>
          <w:sz w:val="28"/>
          <w:szCs w:val="28"/>
        </w:rPr>
        <w:t xml:space="preserve"> (RII = 0.767) </w:t>
      </w:r>
      <w:r w:rsidRPr="008A7560">
        <w:rPr>
          <w:rFonts w:ascii="Traditional Arabic" w:hAnsi="Traditional Arabic" w:cs="Traditional Arabic"/>
          <w:sz w:val="28"/>
          <w:szCs w:val="28"/>
          <w:rtl/>
        </w:rPr>
        <w:t>وإدارة الموارد بكفاءة</w:t>
      </w:r>
      <w:r w:rsidRPr="008A7560">
        <w:rPr>
          <w:rFonts w:ascii="Traditional Arabic" w:hAnsi="Traditional Arabic" w:cs="Traditional Arabic"/>
          <w:sz w:val="28"/>
          <w:szCs w:val="28"/>
        </w:rPr>
        <w:t xml:space="preserve"> (RII = 0.761) </w:t>
      </w:r>
      <w:r w:rsidRPr="008A7560">
        <w:rPr>
          <w:rFonts w:ascii="Traditional Arabic" w:hAnsi="Traditional Arabic" w:cs="Traditional Arabic"/>
          <w:sz w:val="28"/>
          <w:szCs w:val="28"/>
          <w:rtl/>
        </w:rPr>
        <w:t>تُظهر—وفق تحليل الباحث—أن الامتثال البيئي لم يعد إجراءً يضاف في نهاية المشروع، بل أصبح جزءًا من عملية التصميم نفسها، مما يقلل من فرص ارتكاب المخالفات ويعزز دقة اتخاذ القرار</w:t>
      </w:r>
      <w:r w:rsidRPr="008A7560">
        <w:rPr>
          <w:rFonts w:ascii="Traditional Arabic" w:hAnsi="Traditional Arabic" w:cs="Traditional Arabic"/>
          <w:sz w:val="28"/>
          <w:szCs w:val="28"/>
        </w:rPr>
        <w:t>.</w:t>
      </w:r>
    </w:p>
    <w:p w14:paraId="47861BE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ويُظهر تحليل</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أن اللوائح البيئية في السعودية تمثل عاملًا مؤثرًا في أداء المشاريع</w:t>
      </w:r>
      <w:r w:rsidRPr="008A7560">
        <w:rPr>
          <w:rFonts w:ascii="Traditional Arabic" w:hAnsi="Traditional Arabic" w:cs="Traditional Arabic"/>
          <w:sz w:val="28"/>
          <w:szCs w:val="28"/>
        </w:rPr>
        <w:t xml:space="preserve"> (RII = 0.680). </w:t>
      </w:r>
      <w:r w:rsidRPr="008A7560">
        <w:rPr>
          <w:rFonts w:ascii="Traditional Arabic" w:hAnsi="Traditional Arabic" w:cs="Traditional Arabic"/>
          <w:sz w:val="28"/>
          <w:szCs w:val="28"/>
          <w:rtl/>
        </w:rPr>
        <w:t>وهذا يدعم رؤية الباحث بأن الاستدامة تُسهم في تقليل المخاطر التنظيمية والمالية من خلال توفير بيئة تشغيلية منضبطة. وفي هذا السياق، يصبح تحسين أنظمة المراقبة والتقييم</w:t>
      </w:r>
      <w:r w:rsidRPr="008A7560">
        <w:rPr>
          <w:rFonts w:ascii="Traditional Arabic" w:hAnsi="Traditional Arabic" w:cs="Traditional Arabic"/>
          <w:sz w:val="28"/>
          <w:szCs w:val="28"/>
        </w:rPr>
        <w:t xml:space="preserve"> (RII = 0.786) </w:t>
      </w:r>
      <w:r w:rsidRPr="008A7560">
        <w:rPr>
          <w:rFonts w:ascii="Traditional Arabic" w:hAnsi="Traditional Arabic" w:cs="Traditional Arabic"/>
          <w:sz w:val="28"/>
          <w:szCs w:val="28"/>
          <w:rtl/>
        </w:rPr>
        <w:t>ضرورة استراتيجية، وليس مجرد إجراء تشغيلي عابر</w:t>
      </w:r>
      <w:r w:rsidRPr="008A7560">
        <w:rPr>
          <w:rFonts w:ascii="Traditional Arabic" w:hAnsi="Traditional Arabic" w:cs="Traditional Arabic"/>
          <w:sz w:val="28"/>
          <w:szCs w:val="28"/>
        </w:rPr>
        <w:t>.</w:t>
      </w:r>
    </w:p>
    <w:p w14:paraId="7EE93E2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وفي المقابل، تكشف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عن تأثير الجودة المرتفع على خفض الانبعاثات وتقليل الحاجة لإعادة العمل، ما يعني—وفق قراءة الباحث—أن الامتثال البيئي يتعزز عندما تتحقق جودة التنفيذ من البداية، وأن الاستثمار في الجودة هو استثمار في الامتثال ذاته</w:t>
      </w:r>
      <w:r w:rsidRPr="008A7560">
        <w:rPr>
          <w:rFonts w:ascii="Traditional Arabic" w:hAnsi="Traditional Arabic" w:cs="Traditional Arabic"/>
          <w:sz w:val="28"/>
          <w:szCs w:val="28"/>
        </w:rPr>
        <w:t>.</w:t>
      </w:r>
    </w:p>
    <w:p w14:paraId="5501C105"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ومع ذلك، فإن الدراسات مثل</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تُظهر تحديات جوهرية تحول دون التوسع في تطبيق الاستدامة، مثل ارتفاع التكلفة</w:t>
      </w:r>
      <w:r w:rsidRPr="008A7560">
        <w:rPr>
          <w:rFonts w:ascii="Traditional Arabic" w:hAnsi="Traditional Arabic" w:cs="Traditional Arabic"/>
          <w:sz w:val="28"/>
          <w:szCs w:val="28"/>
        </w:rPr>
        <w:t xml:space="preserve"> (RII = 0.720)</w:t>
      </w:r>
      <w:r w:rsidRPr="008A7560">
        <w:rPr>
          <w:rFonts w:ascii="Traditional Arabic" w:hAnsi="Traditional Arabic" w:cs="Traditional Arabic"/>
          <w:sz w:val="28"/>
          <w:szCs w:val="28"/>
          <w:rtl/>
        </w:rPr>
        <w:t>، ونقص الكوادر المؤهلة</w:t>
      </w:r>
      <w:r w:rsidRPr="008A7560">
        <w:rPr>
          <w:rFonts w:ascii="Traditional Arabic" w:hAnsi="Traditional Arabic" w:cs="Traditional Arabic"/>
          <w:sz w:val="28"/>
          <w:szCs w:val="28"/>
        </w:rPr>
        <w:t xml:space="preserve"> (RII = 0.708)</w:t>
      </w:r>
      <w:r w:rsidRPr="008A7560">
        <w:rPr>
          <w:rFonts w:ascii="Traditional Arabic" w:hAnsi="Traditional Arabic" w:cs="Traditional Arabic"/>
          <w:sz w:val="28"/>
          <w:szCs w:val="28"/>
          <w:rtl/>
        </w:rPr>
        <w:t>، وغياب إطار قانوني واضح</w:t>
      </w:r>
      <w:r w:rsidRPr="008A7560">
        <w:rPr>
          <w:rFonts w:ascii="Traditional Arabic" w:hAnsi="Traditional Arabic" w:cs="Traditional Arabic"/>
          <w:sz w:val="28"/>
          <w:szCs w:val="28"/>
        </w:rPr>
        <w:t xml:space="preserve"> (RII = 0.704). </w:t>
      </w:r>
      <w:r w:rsidRPr="008A7560">
        <w:rPr>
          <w:rFonts w:ascii="Traditional Arabic" w:hAnsi="Traditional Arabic" w:cs="Traditional Arabic"/>
          <w:sz w:val="28"/>
          <w:szCs w:val="28"/>
          <w:rtl/>
        </w:rPr>
        <w:t>ومن منظور الباحث، فإن هذه التحديات تكشف أن الاستدامة ليست قرارًا تقنيًا فقط، بل هي تحول هيكلي يحتاج إلى دعم حكومي، وتطوير تشريعات واضحة، وتدريب مهني مكثّف</w:t>
      </w:r>
      <w:r w:rsidRPr="008A7560">
        <w:rPr>
          <w:rFonts w:ascii="Traditional Arabic" w:hAnsi="Traditional Arabic" w:cs="Traditional Arabic"/>
          <w:sz w:val="28"/>
          <w:szCs w:val="28"/>
        </w:rPr>
        <w:t>.</w:t>
      </w:r>
    </w:p>
    <w:p w14:paraId="7EA405F0" w14:textId="5FF47C7E" w:rsidR="005B06E6" w:rsidRPr="008A7560" w:rsidRDefault="005B06E6" w:rsidP="00ED4365">
      <w:pPr>
        <w:bidi/>
        <w:spacing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وعليه، توصي الأدبيات—ويؤكد الباحث—بضرورة اعتماد مستويات متعددة من التدخل، تشمل إصلاحًا في السياسات، وتطويرًا في التعليم الهندسي، وتعزيزًا لممارسات الشركات. فمؤشرات مثل</w:t>
      </w:r>
      <w:r w:rsidRPr="008A7560">
        <w:rPr>
          <w:rFonts w:ascii="Traditional Arabic" w:hAnsi="Traditional Arabic" w:cs="Traditional Arabic"/>
          <w:sz w:val="28"/>
          <w:szCs w:val="28"/>
        </w:rPr>
        <w:t xml:space="preserve"> "PQI" </w:t>
      </w:r>
      <w:r w:rsidRPr="008A7560">
        <w:rPr>
          <w:rFonts w:ascii="Traditional Arabic" w:hAnsi="Traditional Arabic" w:cs="Traditional Arabic"/>
          <w:sz w:val="28"/>
          <w:szCs w:val="28"/>
          <w:rtl/>
        </w:rPr>
        <w:t>لا ينبغي أن تكون أدوات تقييم فقط، بل جزءًا من منظومة تشجع الشركات على دمج الأداء البيئي في معايير التنافسية، بما يعيد تشكيل صناعة التشييد في السعودية وفق رؤية استدامة شاملة</w:t>
      </w:r>
      <w:r w:rsidRPr="008A7560">
        <w:rPr>
          <w:rFonts w:ascii="Traditional Arabic" w:hAnsi="Traditional Arabic" w:cs="Traditional Arabic"/>
          <w:sz w:val="28"/>
          <w:szCs w:val="28"/>
        </w:rPr>
        <w:t>.</w:t>
      </w:r>
    </w:p>
    <w:p w14:paraId="028130A6" w14:textId="3354380C" w:rsidR="005B06E6" w:rsidRPr="00C64784" w:rsidRDefault="00C64784" w:rsidP="00C64784">
      <w:pPr>
        <w:bidi/>
        <w:spacing w:line="480" w:lineRule="auto"/>
        <w:rPr>
          <w:rFonts w:ascii="Traditional Arabic" w:hAnsi="Traditional Arabic" w:cs="Traditional Arabic"/>
          <w:b/>
          <w:bCs/>
          <w:sz w:val="28"/>
          <w:szCs w:val="28"/>
        </w:rPr>
      </w:pPr>
      <w:r>
        <w:rPr>
          <w:rFonts w:ascii="Traditional Arabic" w:hAnsi="Traditional Arabic" w:cs="Traditional Arabic" w:hint="cs"/>
          <w:sz w:val="28"/>
          <w:szCs w:val="28"/>
          <w:rtl/>
        </w:rPr>
        <w:t xml:space="preserve">2-5 </w:t>
      </w:r>
      <w:r w:rsidR="005B06E6" w:rsidRPr="00C64784">
        <w:rPr>
          <w:rFonts w:ascii="Traditional Arabic" w:hAnsi="Traditional Arabic" w:cs="Traditional Arabic"/>
          <w:b/>
          <w:bCs/>
          <w:sz w:val="28"/>
          <w:szCs w:val="28"/>
          <w:rtl/>
        </w:rPr>
        <w:t>الإطار المفاهيمي المقترح للدراسة</w:t>
      </w:r>
      <w:r w:rsidR="005B06E6" w:rsidRPr="00C64784">
        <w:rPr>
          <w:rFonts w:ascii="Traditional Arabic" w:hAnsi="Traditional Arabic" w:cs="Traditional Arabic"/>
          <w:b/>
          <w:bCs/>
          <w:sz w:val="28"/>
          <w:szCs w:val="28"/>
        </w:rPr>
        <w:t xml:space="preserve"> </w:t>
      </w:r>
    </w:p>
    <w:p w14:paraId="3133F6B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يقوم الإطار المفاهيمي المقترح على تفسير كيفية تأثير مبادئ الاستدامة بأبعادها الثلاثة (البيئي، الاقتصادي، الاجتماعي) على مؤشرات أداء المشاريع الإنشائية. ويستند هذا النموذج إلى الفرضية العامة بأن تبنّي ممارسات الاستدامة يُنتج قيمة تشغيلية وتنظيمية وانطباعية تنعكس إيجابًا على كفاءة التنفيذ ومستويات الأداء</w:t>
      </w:r>
      <w:r w:rsidRPr="008A7560">
        <w:rPr>
          <w:rFonts w:ascii="Traditional Arabic" w:hAnsi="Traditional Arabic" w:cs="Traditional Arabic"/>
          <w:sz w:val="28"/>
          <w:szCs w:val="28"/>
        </w:rPr>
        <w:t>.</w:t>
      </w:r>
    </w:p>
    <w:p w14:paraId="318DB7D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ويمثل البعد البيئي مدخلًا رئيسيًا لتحسين الأداء التشغيلي من خلال إدارة الموارد بكفاءة، وتقليل الهدر، وتخفيض الانبعاثات، مما يؤدي إلى خفض التكلفة التشغيلية وتقليل التأخيرات الناتجة عن المشكلات البيئية. أما البعد الاقتصادي فيسهم في رفع جودة المشروع من خلال تحسين إدارة الموارد المالية، وتعظيم قيمة الاستثمار، وتقليل التكاليف غير المخطط لها، بما ينعكس على التزام المشروع بالميزانية والجداول الزمنية. ويُعد البعد الاجتماعي عنصرًا مؤثرًا في مستويات رضا العملاء وأصحاب المصلحة، وذلك من خلال تحسين ظروف العمل، وتعزيز السلامة، وتطبيق ممارسات مسؤولة اجتماعيًا تُزيد من ثقة المستفيدين في المشروع</w:t>
      </w:r>
      <w:r w:rsidRPr="008A7560">
        <w:rPr>
          <w:rFonts w:ascii="Traditional Arabic" w:hAnsi="Traditional Arabic" w:cs="Traditional Arabic"/>
          <w:sz w:val="28"/>
          <w:szCs w:val="28"/>
        </w:rPr>
        <w:t>.</w:t>
      </w:r>
    </w:p>
    <w:p w14:paraId="24D24AEF"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ويتم الربط بين هذه الأبعاد ومؤشرات الأداء (التكلفة، الوقت، الجودة، رضا العملاء) عبر آلية تأثير مباشرة وغير مباشرة، حيث تؤدي ممارسات الاستدامة إلى تحسين العملية التشغيلية، وتعزيز الامتثال التنظيمي، وتحقيق موثوقية أعلى في تنفيذ المشروع، مما يُسهم في تحقيق أداء شامل ومستدام كما هو موضح بالجدول :</w:t>
      </w:r>
    </w:p>
    <w:p w14:paraId="32918386" w14:textId="77777777" w:rsidR="005B06E6" w:rsidRPr="008A7560" w:rsidRDefault="005B06E6" w:rsidP="005B06E6">
      <w:pPr>
        <w:bidi/>
        <w:spacing w:line="480" w:lineRule="auto"/>
        <w:rPr>
          <w:rFonts w:ascii="Traditional Arabic" w:hAnsi="Traditional Arabic" w:cs="Traditional Arabic"/>
          <w:sz w:val="28"/>
          <w:szCs w:val="28"/>
          <w:rtl/>
        </w:rPr>
      </w:pPr>
    </w:p>
    <w:p w14:paraId="136F7736" w14:textId="77777777" w:rsidR="005B06E6" w:rsidRPr="008A7560" w:rsidRDefault="005B06E6" w:rsidP="005B06E6">
      <w:pPr>
        <w:bidi/>
        <w:spacing w:line="480" w:lineRule="auto"/>
        <w:rPr>
          <w:rFonts w:ascii="Traditional Arabic" w:hAnsi="Traditional Arabic" w:cs="Traditional Arabic"/>
          <w:sz w:val="28"/>
          <w:szCs w:val="28"/>
        </w:rPr>
      </w:pPr>
    </w:p>
    <w:p w14:paraId="363D09B1" w14:textId="77777777" w:rsidR="005B06E6" w:rsidRPr="008A7560" w:rsidRDefault="005B06E6" w:rsidP="00ED4365">
      <w:pPr>
        <w:bidi/>
        <w:spacing w:line="480" w:lineRule="auto"/>
        <w:jc w:val="center"/>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83328" behindDoc="0" locked="0" layoutInCell="1" allowOverlap="1" wp14:anchorId="6E1889C0" wp14:editId="3E698A34">
                <wp:simplePos x="0" y="0"/>
                <wp:positionH relativeFrom="column">
                  <wp:posOffset>85725</wp:posOffset>
                </wp:positionH>
                <wp:positionV relativeFrom="paragraph">
                  <wp:posOffset>266700</wp:posOffset>
                </wp:positionV>
                <wp:extent cx="5930900" cy="4095750"/>
                <wp:effectExtent l="19050" t="19050" r="12700" b="19050"/>
                <wp:wrapNone/>
                <wp:docPr id="175310575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0900" cy="4095750"/>
                        </a:xfrm>
                        <a:prstGeom prst="rect">
                          <a:avLst/>
                        </a:prstGeom>
                        <a:noFill/>
                        <a:ln w="317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602A7" id="Rectangle 64" o:spid="_x0000_s1026" style="position:absolute;left:0;text-align:left;margin-left:6.75pt;margin-top:21pt;width:467pt;height:3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" filled="f" strokeweight="2.5pt">
                <v:shadow color="#868686"/>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4352" behindDoc="0" locked="0" layoutInCell="1" allowOverlap="1" wp14:anchorId="71E7C5AE" wp14:editId="6397876A">
                <wp:simplePos x="0" y="0"/>
                <wp:positionH relativeFrom="column">
                  <wp:posOffset>3653155</wp:posOffset>
                </wp:positionH>
                <wp:positionV relativeFrom="paragraph">
                  <wp:posOffset>1974850</wp:posOffset>
                </wp:positionV>
                <wp:extent cx="2128520" cy="2078990"/>
                <wp:effectExtent l="0" t="0" r="24130" b="16510"/>
                <wp:wrapNone/>
                <wp:docPr id="153290607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8520" cy="207899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10800000" scaled="1"/>
                          <a:tileRect/>
                        </a:gradFill>
                        <a:ln w="6350" cap="flat" cmpd="sng" algn="ctr">
                          <a:solidFill>
                            <a:srgbClr val="A5A5A5"/>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C84CFE7" id="Rectangle 63" o:spid="_x0000_s1026" style="position:absolute;left:0;text-align:left;margin-left:287.65pt;margin-top:155.5pt;width:167.6pt;height:163.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" fillcolor="#393939" strokecolor="#a5a5a5" strokeweight=".5pt">
                <v:fill rotate="t" angle="270" focus="50%" type="gradient"/>
                <v:path arrowok="t"/>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5376" behindDoc="0" locked="0" layoutInCell="1" allowOverlap="1" wp14:anchorId="4732DA3B" wp14:editId="04EAD26B">
                <wp:simplePos x="0" y="0"/>
                <wp:positionH relativeFrom="margin">
                  <wp:posOffset>3663950</wp:posOffset>
                </wp:positionH>
                <wp:positionV relativeFrom="paragraph">
                  <wp:posOffset>1313180</wp:posOffset>
                </wp:positionV>
                <wp:extent cx="2124075" cy="520700"/>
                <wp:effectExtent l="0" t="0" r="28575" b="12700"/>
                <wp:wrapNone/>
                <wp:docPr id="1894293177"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52070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5504ED00" w14:textId="77777777" w:rsidR="005B06E6" w:rsidRDefault="005B06E6" w:rsidP="005B06E6">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32DA3B" id="Rectangle 62" o:spid="_x0000_s1050" style="position:absolute;left:0;text-align:left;margin-left:288.5pt;margin-top:103.4pt;width:167.25pt;height:41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" fillcolor="#393939" strokeweight="1.5pt">
                <v:fill rotate="t" focus="50%" type="gradient"/>
                <v:textbox>
                  <w:txbxContent>
                    <w:p w14:paraId="5504ED00" w14:textId="77777777" w:rsidR="005B06E6" w:rsidRDefault="005B06E6" w:rsidP="005B06E6">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6400" behindDoc="0" locked="0" layoutInCell="1" allowOverlap="1" wp14:anchorId="3F970333" wp14:editId="1F629B70">
                <wp:simplePos x="0" y="0"/>
                <wp:positionH relativeFrom="column">
                  <wp:posOffset>3663950</wp:posOffset>
                </wp:positionH>
                <wp:positionV relativeFrom="paragraph">
                  <wp:posOffset>605790</wp:posOffset>
                </wp:positionV>
                <wp:extent cx="2124075" cy="685800"/>
                <wp:effectExtent l="0" t="0" r="28575" b="38100"/>
                <wp:wrapNone/>
                <wp:docPr id="442328868" name="Callout: Down Arrow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0DA2D6C1"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المستقل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970333" id="Callout: Down Arrow 61" o:spid="_x0000_s1051" type="#_x0000_t80" style="position:absolute;left:0;text-align:left;margin-left:288.5pt;margin-top:47.7pt;width:167.25pt;height:5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" adj="14035,9057,16200,9928" strokecolor="#a5a5a5" strokeweight=".5pt">
                <v:fill color2="#a5a5a5" rotate="t" focusposition=".5,.5" focussize="" colors="0 white;22938f white;1 #a5a5a5" focus="100%" type="gradientRadial"/>
                <v:path arrowok="t"/>
                <v:textbox>
                  <w:txbxContent>
                    <w:p w14:paraId="0DA2D6C1"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المستقل</w:t>
                      </w:r>
                    </w:p>
                  </w:txbxContent>
                </v:textbox>
              </v:shape>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7424" behindDoc="0" locked="0" layoutInCell="1" allowOverlap="1" wp14:anchorId="24F1DE59" wp14:editId="6DEBBAD2">
                <wp:simplePos x="0" y="0"/>
                <wp:positionH relativeFrom="margin">
                  <wp:posOffset>3740150</wp:posOffset>
                </wp:positionH>
                <wp:positionV relativeFrom="paragraph">
                  <wp:posOffset>2120900</wp:posOffset>
                </wp:positionV>
                <wp:extent cx="1940560" cy="327025"/>
                <wp:effectExtent l="0" t="0" r="21590" b="15875"/>
                <wp:wrapNone/>
                <wp:docPr id="99670744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4057BD23"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4F1DE59" id="Rectangle 60" o:spid="_x0000_s1052" style="position:absolute;left:0;text-align:left;margin-left:294.5pt;margin-top:167pt;width:152.8pt;height:25.7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2SCA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" fillcolor="#fafafa" strokecolor="#a5a5a5" strokeweight=".5pt">
                <v:fill color2="#e4e4e4" rotate="t" focusposition=".5,.5" focussize="" colors="0 #fafafa;48497f #d7d7d7;54395f #d7d7d7;1 #e4e4e4" focus="100%" type="gradientRadial"/>
                <v:path arrowok="t"/>
                <v:textbox>
                  <w:txbxContent>
                    <w:p w14:paraId="4057BD23"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8448" behindDoc="0" locked="0" layoutInCell="1" allowOverlap="1" wp14:anchorId="076AF6DD" wp14:editId="2D8D3768">
                <wp:simplePos x="0" y="0"/>
                <wp:positionH relativeFrom="column">
                  <wp:posOffset>3740150</wp:posOffset>
                </wp:positionH>
                <wp:positionV relativeFrom="paragraph">
                  <wp:posOffset>2658110</wp:posOffset>
                </wp:positionV>
                <wp:extent cx="1930400" cy="323215"/>
                <wp:effectExtent l="0" t="0" r="12700" b="19685"/>
                <wp:wrapNone/>
                <wp:docPr id="130454536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0400" cy="32321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6D38A732"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الاقتصادي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76AF6DD" id="Rectangle 59" o:spid="_x0000_s1053" style="position:absolute;left:0;text-align:left;margin-left:294.5pt;margin-top:209.3pt;width:152pt;height:25.4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" fillcolor="#fafafa" strokecolor="#a5a5a5" strokeweight=".5pt">
                <v:fill color2="#e4e4e4" rotate="t" focusposition=".5,.5" focussize="" colors="0 #fafafa;48497f #d7d7d7;54395f #d7d7d7;1 #e4e4e4" focus="100%" type="gradientRadial"/>
                <v:path arrowok="t"/>
                <v:textbox>
                  <w:txbxContent>
                    <w:p w14:paraId="6D38A732"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الاقتصادي</w:t>
                      </w:r>
                    </w:p>
                  </w:txbxContent>
                </v:textbox>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9472" behindDoc="0" locked="0" layoutInCell="1" allowOverlap="1" wp14:anchorId="1D935053" wp14:editId="377D34D4">
                <wp:simplePos x="0" y="0"/>
                <wp:positionH relativeFrom="margin">
                  <wp:posOffset>3752850</wp:posOffset>
                </wp:positionH>
                <wp:positionV relativeFrom="paragraph">
                  <wp:posOffset>3185160</wp:posOffset>
                </wp:positionV>
                <wp:extent cx="1892300" cy="323850"/>
                <wp:effectExtent l="0" t="0" r="12700" b="19050"/>
                <wp:wrapNone/>
                <wp:docPr id="49542556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323850"/>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A5FF45A"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الاجتماعي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935053" id="Rectangle 58" o:spid="_x0000_s1054" style="position:absolute;left:0;text-align:left;margin-left:295.5pt;margin-top:250.8pt;width:149pt;height:25.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2A5FF45A"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الاجتماعي</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0496" behindDoc="0" locked="0" layoutInCell="1" allowOverlap="1" wp14:anchorId="59607717" wp14:editId="64C59188">
                <wp:simplePos x="0" y="0"/>
                <wp:positionH relativeFrom="margin">
                  <wp:posOffset>323850</wp:posOffset>
                </wp:positionH>
                <wp:positionV relativeFrom="paragraph">
                  <wp:posOffset>612140</wp:posOffset>
                </wp:positionV>
                <wp:extent cx="2102485" cy="685800"/>
                <wp:effectExtent l="0" t="0" r="12065" b="38100"/>
                <wp:wrapNone/>
                <wp:docPr id="1156186419" name="Callout: Down Arrow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248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02D1E3E3"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التابع</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607717" id="Callout: Down Arrow 57" o:spid="_x0000_s1055" type="#_x0000_t80" style="position:absolute;left:0;text-align:left;margin-left:25.5pt;margin-top:48.2pt;width:165.55pt;height:54pt;z-index:25169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" adj="14035,9039,16200,9919" strokecolor="#a5a5a5" strokeweight=".5pt">
                <v:fill color2="#a5a5a5" rotate="t" focusposition=".5,.5" focussize="" colors="0 white;22938f white;1 #a5a5a5" focus="100%" type="gradientRadial"/>
                <v:path arrowok="t"/>
                <v:textbox>
                  <w:txbxContent>
                    <w:p w14:paraId="02D1E3E3"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التابع</w:t>
                      </w:r>
                    </w:p>
                  </w:txbxContent>
                </v:textbox>
                <w10:wrap anchorx="margin"/>
              </v:shape>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1520" behindDoc="0" locked="0" layoutInCell="1" allowOverlap="1" wp14:anchorId="0A6D08FE" wp14:editId="13FEB20C">
                <wp:simplePos x="0" y="0"/>
                <wp:positionH relativeFrom="margin">
                  <wp:posOffset>342900</wp:posOffset>
                </wp:positionH>
                <wp:positionV relativeFrom="paragraph">
                  <wp:posOffset>1790700</wp:posOffset>
                </wp:positionV>
                <wp:extent cx="2083435" cy="2234565"/>
                <wp:effectExtent l="0" t="0" r="12065" b="13335"/>
                <wp:wrapNone/>
                <wp:docPr id="105541751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223456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7461F1F4" w14:textId="77777777" w:rsidR="005B06E6" w:rsidRDefault="005B06E6" w:rsidP="005B06E6">
                            <w:pPr>
                              <w:bidi/>
                              <w:rPr>
                                <w:rFonts w:cs="Simplified Arabic"/>
                                <w:b/>
                                <w:bCs/>
                                <w:color w:val="000000"/>
                                <w:sz w:val="28"/>
                                <w:szCs w:val="28"/>
                                <w:lang w:bidi="ar-IQ"/>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A6D08FE" id="Rectangle 56" o:spid="_x0000_s1056" style="position:absolute;left:0;text-align:left;margin-left:27pt;margin-top:141pt;width:164.05pt;height:175.9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" fillcolor="#393939" strokeweight="1.5pt">
                <v:fill rotate="t" focus="50%" type="gradient"/>
                <v:textbox>
                  <w:txbxContent>
                    <w:p w14:paraId="7461F1F4" w14:textId="77777777" w:rsidR="005B06E6" w:rsidRDefault="005B06E6" w:rsidP="005B06E6">
                      <w:pPr>
                        <w:bidi/>
                        <w:rPr>
                          <w:rFonts w:cs="Simplified Arabic"/>
                          <w:b/>
                          <w:bCs/>
                          <w:color w:val="000000"/>
                          <w:sz w:val="28"/>
                          <w:szCs w:val="28"/>
                          <w:lang w:bidi="ar-IQ"/>
                        </w:rPr>
                      </w:pPr>
                    </w:p>
                  </w:txbxContent>
                </v:textbox>
                <w10:wrap anchorx="margin"/>
              </v:rect>
            </w:pict>
          </mc:Fallback>
        </mc:AlternateContent>
      </w:r>
    </w:p>
    <w:p w14:paraId="5EA9922E" w14:textId="77777777" w:rsidR="005B06E6" w:rsidRPr="008A7560" w:rsidRDefault="005B06E6" w:rsidP="005B06E6">
      <w:pPr>
        <w:bidi/>
        <w:spacing w:line="480" w:lineRule="auto"/>
        <w:rPr>
          <w:rFonts w:ascii="Traditional Arabic" w:hAnsi="Traditional Arabic" w:cs="Traditional Arabic"/>
          <w:b/>
          <w:bCs/>
          <w:sz w:val="28"/>
          <w:szCs w:val="28"/>
        </w:rPr>
      </w:pPr>
    </w:p>
    <w:p w14:paraId="2A59E879" w14:textId="77777777" w:rsidR="005B06E6" w:rsidRPr="008A7560" w:rsidRDefault="005B06E6" w:rsidP="005B06E6">
      <w:pPr>
        <w:bidi/>
        <w:spacing w:line="480" w:lineRule="auto"/>
        <w:rPr>
          <w:rFonts w:ascii="Traditional Arabic" w:hAnsi="Traditional Arabic" w:cs="Traditional Arabic"/>
          <w:b/>
          <w:bCs/>
          <w:sz w:val="28"/>
          <w:szCs w:val="28"/>
          <w:rtl/>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2544" behindDoc="0" locked="0" layoutInCell="1" allowOverlap="1" wp14:anchorId="2D012B8F" wp14:editId="20F0E571">
                <wp:simplePos x="0" y="0"/>
                <wp:positionH relativeFrom="margin">
                  <wp:posOffset>342900</wp:posOffset>
                </wp:positionH>
                <wp:positionV relativeFrom="paragraph">
                  <wp:posOffset>11430</wp:posOffset>
                </wp:positionV>
                <wp:extent cx="2083435" cy="530225"/>
                <wp:effectExtent l="0" t="0" r="12065" b="22225"/>
                <wp:wrapNone/>
                <wp:docPr id="173454605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53022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53FA94E4" w14:textId="77777777" w:rsidR="005B06E6" w:rsidRDefault="005B06E6" w:rsidP="005B06E6">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F2ECED0" w14:textId="77777777" w:rsidR="005B06E6" w:rsidRDefault="005B06E6" w:rsidP="005B06E6">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D012B8F" id="Rectangle 47" o:spid="_x0000_s1057" style="position:absolute;left:0;text-align:left;margin-left:27pt;margin-top:.9pt;width:164.05pt;height:41.7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" fillcolor="#393939" strokeweight="1.5pt">
                <v:fill rotate="t" focus="50%" type="gradient"/>
                <v:textbox>
                  <w:txbxContent>
                    <w:p w14:paraId="53FA94E4" w14:textId="77777777" w:rsidR="005B06E6" w:rsidRDefault="005B06E6" w:rsidP="005B06E6">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F2ECED0" w14:textId="77777777" w:rsidR="005B06E6" w:rsidRDefault="005B06E6" w:rsidP="005B06E6">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v:textbox>
                <w10:wrap anchorx="margin"/>
              </v:rect>
            </w:pict>
          </mc:Fallback>
        </mc:AlternateContent>
      </w:r>
    </w:p>
    <w:p w14:paraId="563823CD" w14:textId="77777777" w:rsidR="005B06E6" w:rsidRPr="008A7560" w:rsidRDefault="005B06E6" w:rsidP="005B06E6">
      <w:pPr>
        <w:bidi/>
        <w:spacing w:line="480" w:lineRule="auto"/>
        <w:rPr>
          <w:rFonts w:ascii="Traditional Arabic" w:hAnsi="Traditional Arabic" w:cs="Traditional Arabic"/>
          <w:b/>
          <w:bCs/>
          <w:sz w:val="28"/>
          <w:szCs w:val="28"/>
          <w:rtl/>
          <w:lang w:bidi="ar"/>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4592" behindDoc="0" locked="0" layoutInCell="1" allowOverlap="1" wp14:anchorId="549EE762" wp14:editId="6F1F7171">
                <wp:simplePos x="0" y="0"/>
                <wp:positionH relativeFrom="margin">
                  <wp:posOffset>409575</wp:posOffset>
                </wp:positionH>
                <wp:positionV relativeFrom="paragraph">
                  <wp:posOffset>193675</wp:posOffset>
                </wp:positionV>
                <wp:extent cx="1940560" cy="327025"/>
                <wp:effectExtent l="0" t="0" r="21590" b="15875"/>
                <wp:wrapNone/>
                <wp:docPr id="81994171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6CD9452B"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49EE762" id="_x0000_s1058" style="position:absolute;left:0;text-align:left;margin-left:32.25pt;margin-top:15.25pt;width:152.8pt;height:25.75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KB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" fillcolor="#fafafa" strokecolor="#a5a5a5" strokeweight=".5pt">
                <v:fill color2="#e4e4e4" rotate="t" focusposition=".5,.5" focussize="" colors="0 #fafafa;48497f #d7d7d7;54395f #d7d7d7;1 #e4e4e4" focus="100%" type="gradientRadial"/>
                <v:path arrowok="t"/>
                <v:textbox>
                  <w:txbxContent>
                    <w:p w14:paraId="6CD9452B"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v:textbox>
                <w10:wrap anchorx="margin"/>
              </v:rect>
            </w:pict>
          </mc:Fallback>
        </mc:AlternateContent>
      </w:r>
    </w:p>
    <w:p w14:paraId="42C25201" w14:textId="77777777" w:rsidR="005B06E6" w:rsidRPr="008A7560" w:rsidRDefault="005B06E6" w:rsidP="005B06E6">
      <w:pPr>
        <w:bidi/>
        <w:spacing w:line="480" w:lineRule="auto"/>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6640" behindDoc="0" locked="0" layoutInCell="1" allowOverlap="1" wp14:anchorId="244FE9E6" wp14:editId="28CCDB1F">
                <wp:simplePos x="0" y="0"/>
                <wp:positionH relativeFrom="margin">
                  <wp:posOffset>400050</wp:posOffset>
                </wp:positionH>
                <wp:positionV relativeFrom="paragraph">
                  <wp:posOffset>509270</wp:posOffset>
                </wp:positionV>
                <wp:extent cx="1940560" cy="327025"/>
                <wp:effectExtent l="0" t="0" r="21590" b="15875"/>
                <wp:wrapNone/>
                <wp:docPr id="4207340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AA7EBB6"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44FE9E6" id="_x0000_s1059" style="position:absolute;left:0;text-align:left;margin-left:31.5pt;margin-top:40.1pt;width:152.8pt;height:25.7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X47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" fillcolor="#fafafa" strokecolor="#a5a5a5" strokeweight=".5pt">
                <v:fill color2="#e4e4e4" rotate="t" focusposition=".5,.5" focussize="" colors="0 #fafafa;48497f #d7d7d7;54395f #d7d7d7;1 #e4e4e4" focus="100%" type="gradientRadial"/>
                <v:path arrowok="t"/>
                <v:textbox>
                  <w:txbxContent>
                    <w:p w14:paraId="2AA7EBB6"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5616" behindDoc="0" locked="0" layoutInCell="1" allowOverlap="1" wp14:anchorId="55FF0170" wp14:editId="32E702F9">
                <wp:simplePos x="0" y="0"/>
                <wp:positionH relativeFrom="margin">
                  <wp:posOffset>412115</wp:posOffset>
                </wp:positionH>
                <wp:positionV relativeFrom="paragraph">
                  <wp:posOffset>26035</wp:posOffset>
                </wp:positionV>
                <wp:extent cx="1940560" cy="327025"/>
                <wp:effectExtent l="0" t="0" r="21590" b="15875"/>
                <wp:wrapNone/>
                <wp:docPr id="15662577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3878F164"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5FF0170" id="_x0000_s1060" style="position:absolute;left:0;text-align:left;margin-left:32.45pt;margin-top:2.05pt;width:152.8pt;height:25.75pt;z-index:25169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" fillcolor="#fafafa" strokecolor="#a5a5a5" strokeweight=".5pt">
                <v:fill color2="#e4e4e4" rotate="t" focusposition=".5,.5" focussize="" colors="0 #fafafa;48497f #d7d7d7;54395f #d7d7d7;1 #e4e4e4" focus="100%" type="gradientRadial"/>
                <v:path arrowok="t"/>
                <v:textbox>
                  <w:txbxContent>
                    <w:p w14:paraId="3878F164"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3568" behindDoc="0" locked="0" layoutInCell="1" allowOverlap="1" wp14:anchorId="6369E9C4" wp14:editId="7139DFD6">
                <wp:simplePos x="0" y="0"/>
                <wp:positionH relativeFrom="column">
                  <wp:posOffset>2449195</wp:posOffset>
                </wp:positionH>
                <wp:positionV relativeFrom="paragraph">
                  <wp:posOffset>402590</wp:posOffset>
                </wp:positionV>
                <wp:extent cx="1205230" cy="0"/>
                <wp:effectExtent l="0" t="95250" r="0" b="95250"/>
                <wp:wrapNone/>
                <wp:docPr id="106553470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5230" cy="0"/>
                        </a:xfrm>
                        <a:prstGeom prst="straightConnector1">
                          <a:avLst/>
                        </a:prstGeom>
                        <a:noFill/>
                        <a:ln w="38100">
                          <a:solidFill>
                            <a:srgbClr val="E97132"/>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340D">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E051256" id="Straight Arrow Connector 42" o:spid="_x0000_s1026" type="#_x0000_t32" style="position:absolute;left:0;text-align:left;margin-left:192.85pt;margin-top:31.7pt;width:94.9pt;height:0;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" strokecolor="#e97132" strokeweight="3pt">
                <v:stroke endarrow="block"/>
                <v:shadow color="#7f340d" opacity=".5" offset="1pt"/>
              </v:shape>
            </w:pict>
          </mc:Fallback>
        </mc:AlternateContent>
      </w:r>
    </w:p>
    <w:p w14:paraId="33D0C4BC" w14:textId="77777777" w:rsidR="005B06E6" w:rsidRPr="008A7560" w:rsidRDefault="005B06E6" w:rsidP="005B06E6">
      <w:pPr>
        <w:bidi/>
        <w:spacing w:line="480" w:lineRule="auto"/>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7664" behindDoc="0" locked="0" layoutInCell="1" allowOverlap="1" wp14:anchorId="544D1A90" wp14:editId="2D00F00A">
                <wp:simplePos x="0" y="0"/>
                <wp:positionH relativeFrom="margin">
                  <wp:posOffset>431165</wp:posOffset>
                </wp:positionH>
                <wp:positionV relativeFrom="paragraph">
                  <wp:posOffset>313690</wp:posOffset>
                </wp:positionV>
                <wp:extent cx="1940560" cy="327025"/>
                <wp:effectExtent l="0" t="0" r="21590" b="15875"/>
                <wp:wrapNone/>
                <wp:docPr id="33136212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073D8A22"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رضا العملاء</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44D1A90" id="_x0000_s1061" style="position:absolute;left:0;text-align:left;margin-left:33.95pt;margin-top:24.7pt;width:152.8pt;height:25.75pt;z-index:25169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peV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073D8A22"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رضا العملاء</w:t>
                      </w:r>
                    </w:p>
                  </w:txbxContent>
                </v:textbox>
                <w10:wrap anchorx="margin"/>
              </v:rect>
            </w:pict>
          </mc:Fallback>
        </mc:AlternateContent>
      </w:r>
    </w:p>
    <w:p w14:paraId="6B182800" w14:textId="77777777" w:rsidR="005B06E6" w:rsidRPr="008A7560" w:rsidRDefault="005B06E6" w:rsidP="005B06E6">
      <w:pPr>
        <w:bidi/>
        <w:spacing w:line="480" w:lineRule="auto"/>
        <w:rPr>
          <w:rFonts w:ascii="Traditional Arabic" w:hAnsi="Traditional Arabic" w:cs="Traditional Arabic"/>
          <w:b/>
          <w:bCs/>
          <w:sz w:val="28"/>
          <w:szCs w:val="28"/>
        </w:rPr>
      </w:pPr>
    </w:p>
    <w:p w14:paraId="18C381B0" w14:textId="77777777" w:rsidR="005B06E6" w:rsidRPr="008A7560" w:rsidRDefault="005B06E6" w:rsidP="005B06E6">
      <w:pPr>
        <w:bidi/>
        <w:spacing w:line="480" w:lineRule="auto"/>
        <w:rPr>
          <w:rFonts w:ascii="Traditional Arabic" w:hAnsi="Traditional Arabic" w:cs="Traditional Arabic"/>
          <w:b/>
          <w:bCs/>
          <w:sz w:val="28"/>
          <w:szCs w:val="28"/>
        </w:rPr>
      </w:pPr>
    </w:p>
    <w:p w14:paraId="6276173A" w14:textId="77777777" w:rsidR="00043556" w:rsidRPr="008A7560" w:rsidRDefault="00043556" w:rsidP="00043556">
      <w:pPr>
        <w:bidi/>
        <w:spacing w:after="200" w:line="480" w:lineRule="auto"/>
        <w:rPr>
          <w:rFonts w:ascii="Traditional Arabic" w:hAnsi="Traditional Arabic" w:cs="Traditional Arabic"/>
          <w:b/>
          <w:bCs/>
          <w:sz w:val="28"/>
          <w:szCs w:val="28"/>
        </w:rPr>
      </w:pPr>
    </w:p>
    <w:p w14:paraId="548C47E3" w14:textId="2A40C3CA" w:rsidR="005B06E6" w:rsidRPr="00C64784" w:rsidRDefault="005B06E6" w:rsidP="00C64784">
      <w:pPr>
        <w:pStyle w:val="ListParagraph"/>
        <w:numPr>
          <w:ilvl w:val="1"/>
          <w:numId w:val="37"/>
        </w:numPr>
        <w:bidi/>
        <w:spacing w:after="200" w:line="480" w:lineRule="auto"/>
        <w:rPr>
          <w:rFonts w:ascii="Traditional Arabic" w:hAnsi="Traditional Arabic" w:cs="Traditional Arabic"/>
          <w:b/>
          <w:bCs/>
          <w:sz w:val="28"/>
          <w:szCs w:val="28"/>
        </w:rPr>
      </w:pPr>
      <w:r w:rsidRPr="00C64784">
        <w:rPr>
          <w:rFonts w:ascii="Traditional Arabic" w:hAnsi="Traditional Arabic" w:cs="Traditional Arabic"/>
          <w:b/>
          <w:bCs/>
          <w:sz w:val="28"/>
          <w:szCs w:val="28"/>
          <w:rtl/>
        </w:rPr>
        <w:lastRenderedPageBreak/>
        <w:t>الدراسات السابقة</w:t>
      </w:r>
    </w:p>
    <w:p w14:paraId="24AEA15D" w14:textId="776D2156" w:rsidR="005B06E6" w:rsidRPr="00C64784" w:rsidRDefault="00C64784" w:rsidP="00C64784">
      <w:pPr>
        <w:bidi/>
        <w:spacing w:after="200"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2-6-1 </w:t>
      </w:r>
      <w:r w:rsidR="005B06E6" w:rsidRPr="00C64784">
        <w:rPr>
          <w:rFonts w:ascii="Traditional Arabic" w:hAnsi="Traditional Arabic" w:cs="Traditional Arabic"/>
          <w:b/>
          <w:bCs/>
          <w:sz w:val="28"/>
          <w:szCs w:val="28"/>
          <w:rtl/>
        </w:rPr>
        <w:t>دراسات تناولت الاستدامة في المشاريع الإنشائية</w:t>
      </w:r>
    </w:p>
    <w:p w14:paraId="5A7134B7"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يُظهر تحليل الأدبيات أن الاستدامة في المشاريع الإنشائية لم تُطرح بوصفها مفهومًا بيئيًا فقط، بل صارت محورًا متعدد الأبعاد يشمل الإدارة والابتكار ونمذجة المخاطر ومؤشرات الأداء. وقد جاءت الدراسات في هذا المجال متنوعة من حيث المناهج والأساليب، مما أتاح إمكانية المقارنة بين ما ركّزت عليه كل دراسة والنواقص التي بقيت دون معالجة</w:t>
      </w:r>
      <w:r w:rsidRPr="008A7560">
        <w:rPr>
          <w:rFonts w:ascii="Traditional Arabic" w:hAnsi="Traditional Arabic" w:cs="Traditional Arabic"/>
          <w:sz w:val="28"/>
          <w:szCs w:val="28"/>
          <w:lang w:bidi="ar-EG"/>
        </w:rPr>
        <w:t>.</w:t>
      </w:r>
    </w:p>
    <w:p w14:paraId="440038B5"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Salah et al. (2023)</w:t>
      </w:r>
    </w:p>
    <w:p w14:paraId="578C44A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rPr>
        <w:t xml:space="preserve"> Salah </w:t>
      </w:r>
      <w:r w:rsidRPr="008A7560">
        <w:rPr>
          <w:rFonts w:ascii="Traditional Arabic" w:hAnsi="Traditional Arabic" w:cs="Traditional Arabic"/>
          <w:sz w:val="28"/>
          <w:szCs w:val="28"/>
          <w:rtl/>
        </w:rPr>
        <w:t>وزملائه (2023)، تطوير إطار شامل لتقييم استدامة المشاريع الإنشائية باستخدام مزيج من تقنيات اتخاذ القرار متعدّد المعايير</w:t>
      </w:r>
      <w:r w:rsidRPr="008A7560">
        <w:rPr>
          <w:rFonts w:ascii="Traditional Arabic" w:hAnsi="Traditional Arabic" w:cs="Traditional Arabic"/>
          <w:sz w:val="28"/>
          <w:szCs w:val="28"/>
        </w:rPr>
        <w:t xml:space="preserve"> (MCDM)</w:t>
      </w:r>
      <w:r w:rsidRPr="008A7560">
        <w:rPr>
          <w:rFonts w:ascii="Traditional Arabic" w:hAnsi="Traditional Arabic" w:cs="Traditional Arabic"/>
          <w:sz w:val="28"/>
          <w:szCs w:val="28"/>
          <w:rtl/>
        </w:rPr>
        <w:t>، بما في ذلك أسلوبي</w:t>
      </w:r>
      <w:r w:rsidRPr="008A7560">
        <w:rPr>
          <w:rFonts w:ascii="Traditional Arabic" w:hAnsi="Traditional Arabic" w:cs="Traditional Arabic"/>
          <w:sz w:val="28"/>
          <w:szCs w:val="28"/>
        </w:rPr>
        <w:t xml:space="preserve"> Shannon Entropy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CRITIC </w:t>
      </w:r>
      <w:r w:rsidRPr="008A7560">
        <w:rPr>
          <w:rFonts w:ascii="Traditional Arabic" w:hAnsi="Traditional Arabic" w:cs="Traditional Arabic"/>
          <w:sz w:val="28"/>
          <w:szCs w:val="28"/>
          <w:rtl/>
        </w:rPr>
        <w:t>لتحديد الأوزان النسبية للمؤشرات، إضافة إلى استخدام</w:t>
      </w:r>
      <w:r w:rsidRPr="008A7560">
        <w:rPr>
          <w:rFonts w:ascii="Traditional Arabic" w:hAnsi="Traditional Arabic" w:cs="Traditional Arabic"/>
          <w:sz w:val="28"/>
          <w:szCs w:val="28"/>
        </w:rPr>
        <w:t xml:space="preserve"> Hierarchical Evidential Reasoning </w:t>
      </w:r>
      <w:r w:rsidRPr="008A7560">
        <w:rPr>
          <w:rFonts w:ascii="Traditional Arabic" w:hAnsi="Traditional Arabic" w:cs="Traditional Arabic"/>
          <w:sz w:val="28"/>
          <w:szCs w:val="28"/>
          <w:rtl/>
        </w:rPr>
        <w:t>لدمج العوامل المختلفة ضمن نموذج تقييم واحد. اختبر الباحثون الإطار المقترح عبر ثلاث دراسات حالة لمشاريع تطوير إنشائية، وأسهم تحليل الخبراء في دعم دقة الأوزان والمعايير المطبقة. كشفت النتائج أن الفروق بين أوزان المؤشرات لم تكن ذات دلالة إحصائية، مما يعزز موثوقية النموذج وقابليته للتطبيق على نطاق واسع، كما أظهرت الدراسات التطبيقية أن الإطار المقترح قادر على تقييم الأداء البيئي والاجتماعي بكفاءة وتحسين ممارسات الاستدامة داخل المشاريع. أوصت الدراسة باستخدام الإطار لتقييم المشاريع قبل وأثناء التنفيذ، ودمجه ضمن سياسات المسؤولية المجتمعية للمؤسسات. وتسهم هذه الدراسة في سد فجوة معرفية تتعلق بغياب نموذج تطبيقي شامل يجمع بين أدوات</w:t>
      </w:r>
      <w:r w:rsidRPr="008A7560">
        <w:rPr>
          <w:rFonts w:ascii="Traditional Arabic" w:hAnsi="Traditional Arabic" w:cs="Traditional Arabic"/>
          <w:sz w:val="28"/>
          <w:szCs w:val="28"/>
        </w:rPr>
        <w:t xml:space="preserve"> MCDM </w:t>
      </w:r>
      <w:r w:rsidRPr="008A7560">
        <w:rPr>
          <w:rFonts w:ascii="Traditional Arabic" w:hAnsi="Traditional Arabic" w:cs="Traditional Arabic"/>
          <w:sz w:val="28"/>
          <w:szCs w:val="28"/>
          <w:rtl/>
        </w:rPr>
        <w:t>والتطبيق العملي، بينما كانت معظم الدراسات السابقة تركّز على البعد البيئي فقط دون دمج متكامل للأبعاد الاقتصادية والاجتماعية</w:t>
      </w:r>
      <w:r w:rsidRPr="008A7560">
        <w:rPr>
          <w:rFonts w:ascii="Traditional Arabic" w:hAnsi="Traditional Arabic" w:cs="Traditional Arabic"/>
          <w:sz w:val="28"/>
          <w:szCs w:val="28"/>
        </w:rPr>
        <w:t>.</w:t>
      </w:r>
    </w:p>
    <w:p w14:paraId="3B31BC44"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rPr>
        <w:t xml:space="preserve"> Rajabi et al. (2022)</w:t>
      </w:r>
    </w:p>
    <w:p w14:paraId="7E10462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Rajabi </w:t>
      </w:r>
      <w:r w:rsidRPr="008A7560">
        <w:rPr>
          <w:rFonts w:ascii="Traditional Arabic" w:hAnsi="Traditional Arabic" w:cs="Traditional Arabic"/>
          <w:sz w:val="28"/>
          <w:szCs w:val="28"/>
          <w:rtl/>
        </w:rPr>
        <w:t>وزملاؤه (2022) دراسة مهمة ركزت على تحديد مؤشرات الأداء المستدام القابلة للتطبيق خلال مرحلة التنفيذ، وهي مرحلة غالبًا ما يتم إغفالها في الأدبيات رغم أهميتها. انطلقت الدراسة من مراجعة منهجية للأبحاث السابقة، لتحديد 22 مؤشرًا أوليًا للاستدامة، ثم جرى تقييم أهميتها باستخدام المنهج التحليلي الهرمي</w:t>
      </w:r>
      <w:r w:rsidRPr="008A7560">
        <w:rPr>
          <w:rFonts w:ascii="Traditional Arabic" w:hAnsi="Traditional Arabic" w:cs="Traditional Arabic"/>
          <w:sz w:val="28"/>
          <w:szCs w:val="28"/>
        </w:rPr>
        <w:t xml:space="preserve"> (AHP) </w:t>
      </w:r>
      <w:r w:rsidRPr="008A7560">
        <w:rPr>
          <w:rFonts w:ascii="Traditional Arabic" w:hAnsi="Traditional Arabic" w:cs="Traditional Arabic"/>
          <w:sz w:val="28"/>
          <w:szCs w:val="28"/>
          <w:rtl/>
        </w:rPr>
        <w:t>عبر استبانة وُزّعت على 31 متخصصًا في قطاع الإنشاءات في دولة الإمارات العربية المتحدة. أظهرت النتائج أن “استخدام الطاقة المتجددة” يُعد المؤشر الأكثر أهمية ضمن البعد البيئي بوزن نسبي بلغ 0.164، بينما احتل مؤشر "السلامة في موقع العمل" المرتبة الأولى ضمن الجانب الاجتماعي–الاقتصادي بوزن نسبي 0.093، ما يعكس اختلاف أولويات الأطراف العاملة في القطاع. أوصت الدراسة باعتماد هذه المؤشرات كأداة قياس عملية أثناء التنفيذ، ودعت إلى تعزيز قدرات المقاولين في تطبيق مؤشرات الاستدامة. وتسد الدراسة فجوة معرفية رئيسية تتمثل في غياب مؤشرات دقيقة وقابلة للقياس تخص مرحلة تنفيذ المشاريع، إذ ركزت أغلب الأعمال السابقة على مرحلة التصميم أو التخطيط دون معالجة تحديات التنفيذ المباشر.</w:t>
      </w:r>
    </w:p>
    <w:p w14:paraId="515F607D"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Qazi et al. (2021)</w:t>
      </w:r>
    </w:p>
    <w:p w14:paraId="53058908"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Qazi </w:t>
      </w:r>
      <w:r w:rsidRPr="008A7560">
        <w:rPr>
          <w:rFonts w:ascii="Traditional Arabic" w:hAnsi="Traditional Arabic" w:cs="Traditional Arabic"/>
          <w:sz w:val="28"/>
          <w:szCs w:val="28"/>
          <w:rtl/>
        </w:rPr>
        <w:t>وزملاؤه (2021) دراسة متقدمة تناولت فيها المخاطر المرتبطة بالاستدامة في المشاريع الإنشائية من خلال تطوير آلية كمية تعتمد على محاكاة مونتي كارلو. هدفت الدراسة إلى معالجة القصور في النماذج التقليدية التي تركز على المخاطر الشائعة وتُهمل المخاطر ذات الاحتمالية المنخفضة والتأثير العالي</w:t>
      </w:r>
      <w:r w:rsidRPr="008A7560">
        <w:rPr>
          <w:rFonts w:ascii="Traditional Arabic" w:hAnsi="Traditional Arabic" w:cs="Traditional Arabic"/>
          <w:sz w:val="28"/>
          <w:szCs w:val="28"/>
        </w:rPr>
        <w:t xml:space="preserve"> (Tail Risks)</w:t>
      </w:r>
      <w:r w:rsidRPr="008A7560">
        <w:rPr>
          <w:rFonts w:ascii="Traditional Arabic" w:hAnsi="Traditional Arabic" w:cs="Traditional Arabic"/>
          <w:sz w:val="28"/>
          <w:szCs w:val="28"/>
          <w:rtl/>
        </w:rPr>
        <w:t xml:space="preserve">، حيث طُبّق النموذج المقترح على مشاريع مستدامة منفّذة في دولة الإمارات العربية المتحدة باستخدام بيانات فعلية من مواقع العمل. اعتمد الباحثون </w:t>
      </w:r>
      <w:r w:rsidRPr="008A7560">
        <w:rPr>
          <w:rFonts w:ascii="Traditional Arabic" w:hAnsi="Traditional Arabic" w:cs="Traditional Arabic"/>
          <w:sz w:val="28"/>
          <w:szCs w:val="28"/>
          <w:rtl/>
        </w:rPr>
        <w:lastRenderedPageBreak/>
        <w:t>منهجية تحليلية قائمة على بيانات مصفوفات المخاطر، سمحت بإعادة تصنيف المخاطر وفق مستويات الثقة المختلفة، وأظهرت النتائج أن النموذج التقليدي يعطي أهمية كبرى لمخاطر مثل نقص التمويل أو الأخطاء التصميمية، بينما أظهر النموذج الجديد أهمية مخاطر أخرى أكثر ارتباطًا بالاستدامة مثل انخفاض إنتاجية العمال والمعدات، وضعف تعريف نطاق العمل، وضيق الجداول الزمنية. أوصت الدراسة بضرورة تبنّي أدوات كمية متقدمة في إدارة مخاطر الاستدامة، وتطوير قواعد بيانات تدعم عملية التحليل المستقبلية. كما أسهمت الدراسة في سد فجوة بحثية تتمثل في محدودية الأدوات التحليلية الدقيقة لتصنيف المخاطر المستدامة، مقترحة نموذجًا قابلًا للتطبيق في مشاريع دولية وليس مقصورًا على سياق معين</w:t>
      </w:r>
      <w:r w:rsidRPr="008A7560">
        <w:rPr>
          <w:rFonts w:ascii="Traditional Arabic" w:hAnsi="Traditional Arabic" w:cs="Traditional Arabic"/>
          <w:sz w:val="28"/>
          <w:szCs w:val="28"/>
        </w:rPr>
        <w:t>.</w:t>
      </w:r>
    </w:p>
    <w:p w14:paraId="1666C7C8" w14:textId="524FAFDC" w:rsidR="005B06E6" w:rsidRPr="008A7560" w:rsidRDefault="00C64784" w:rsidP="005B06E6">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2-6-2 </w:t>
      </w:r>
      <w:r w:rsidR="005B06E6" w:rsidRPr="008A7560">
        <w:rPr>
          <w:rFonts w:ascii="Traditional Arabic" w:hAnsi="Traditional Arabic" w:cs="Traditional Arabic"/>
          <w:b/>
          <w:bCs/>
          <w:sz w:val="28"/>
          <w:szCs w:val="28"/>
          <w:rtl/>
        </w:rPr>
        <w:t>دراسات تناولت أداء المشاريع الإنشائية</w:t>
      </w:r>
    </w:p>
    <w:p w14:paraId="000B0F43"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Asiri &amp; Al Mazhar (2025)</w:t>
      </w:r>
    </w:p>
    <w:p w14:paraId="43553B6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Asiri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Al Mazhar (2025) </w:t>
      </w:r>
      <w:r w:rsidRPr="008A7560">
        <w:rPr>
          <w:rFonts w:ascii="Traditional Arabic" w:hAnsi="Traditional Arabic" w:cs="Traditional Arabic"/>
          <w:sz w:val="28"/>
          <w:szCs w:val="28"/>
          <w:rtl/>
        </w:rPr>
        <w:t>دراسة تطبيقية متقدمة تهدف إلى تحديد وتصنيف مؤشرات الأداء الرئيسية</w:t>
      </w:r>
      <w:r w:rsidRPr="008A7560">
        <w:rPr>
          <w:rFonts w:ascii="Traditional Arabic" w:hAnsi="Traditional Arabic" w:cs="Traditional Arabic"/>
          <w:sz w:val="28"/>
          <w:szCs w:val="28"/>
        </w:rPr>
        <w:t xml:space="preserve"> (KPIs) </w:t>
      </w:r>
      <w:r w:rsidRPr="008A7560">
        <w:rPr>
          <w:rFonts w:ascii="Traditional Arabic" w:hAnsi="Traditional Arabic" w:cs="Traditional Arabic"/>
          <w:sz w:val="28"/>
          <w:szCs w:val="28"/>
          <w:rtl/>
        </w:rPr>
        <w:t xml:space="preserve">المستخدمة في تقييم أداء مشاريع البناء في منطقة عسير بالمملكة العربية السعودية. اعتمدت الدراسة منهجًا مختلطًا يجمع بين مراجعة الأدبيات، واستطلاعات رأي، ومقابلات متعمقة مع خبراء ميدانيين، شملت مديرين تنفيذيين ومديري مشاريع. وقد ركزت الدراسة على قياس وعي وتبنّي المؤشرات بين أصحاب المصلحة، وتحليل أهمية 18 مؤشرًا تم تحديدها عبر مرحلتين من التحليل الكمي والكيفي. أظهرت النتائج أن مؤشرات مثل الالتزام بالوقت، وجودة التنفيذ، وإدارة السلامة، ووضوح نطاق العمل تُعد من أكثر المؤشرات أهمية للمشاركين، وأن وجود إطار واضح لتطبيق المؤشرات يسهم في تحسين المتابعة واتخاذ القرار. وعلى الرغم من قوة الجانب التطبيقي في الدراسة، إلا أنها ركزت بشكل كامل على مؤشرات الأداء دون دمج ممارسات الاستدامة ضمن إطار التقييم، مما يجعل نتائجها مناسبة للدمج مع دراسات أخرى </w:t>
      </w:r>
      <w:r w:rsidRPr="008A7560">
        <w:rPr>
          <w:rFonts w:ascii="Traditional Arabic" w:hAnsi="Traditional Arabic" w:cs="Traditional Arabic"/>
          <w:sz w:val="28"/>
          <w:szCs w:val="28"/>
          <w:rtl/>
        </w:rPr>
        <w:lastRenderedPageBreak/>
        <w:t>لكنها غير كافية لتقديم رؤية شاملة حول الأداء المستدام. وتبرز هنا فجوة بحثية تتعلق بضرورة دمج</w:t>
      </w:r>
      <w:r w:rsidRPr="008A7560">
        <w:rPr>
          <w:rFonts w:ascii="Traditional Arabic" w:hAnsi="Traditional Arabic" w:cs="Traditional Arabic"/>
          <w:sz w:val="28"/>
          <w:szCs w:val="28"/>
        </w:rPr>
        <w:t xml:space="preserve"> KPIs </w:t>
      </w:r>
      <w:r w:rsidRPr="008A7560">
        <w:rPr>
          <w:rFonts w:ascii="Traditional Arabic" w:hAnsi="Traditional Arabic" w:cs="Traditional Arabic"/>
          <w:sz w:val="28"/>
          <w:szCs w:val="28"/>
          <w:rtl/>
        </w:rPr>
        <w:t>التقليدية مع مؤشرات الأداء المستدام لتطوير نموذج تقييم أكثر شمولًا</w:t>
      </w:r>
      <w:r w:rsidRPr="008A7560">
        <w:rPr>
          <w:rFonts w:ascii="Traditional Arabic" w:hAnsi="Traditional Arabic" w:cs="Traditional Arabic"/>
          <w:sz w:val="28"/>
          <w:szCs w:val="28"/>
        </w:rPr>
        <w:t>.</w:t>
      </w:r>
    </w:p>
    <w:p w14:paraId="37D3E15D"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w:t>
      </w:r>
      <w:proofErr w:type="spellStart"/>
      <w:r w:rsidRPr="008A7560">
        <w:rPr>
          <w:rFonts w:ascii="Traditional Arabic" w:hAnsi="Traditional Arabic" w:cs="Traditional Arabic"/>
          <w:b/>
          <w:bCs/>
          <w:sz w:val="28"/>
          <w:szCs w:val="28"/>
        </w:rPr>
        <w:t>Unegbu</w:t>
      </w:r>
      <w:proofErr w:type="spellEnd"/>
      <w:r w:rsidRPr="008A7560">
        <w:rPr>
          <w:rFonts w:ascii="Traditional Arabic" w:hAnsi="Traditional Arabic" w:cs="Traditional Arabic"/>
          <w:b/>
          <w:bCs/>
          <w:sz w:val="28"/>
          <w:szCs w:val="28"/>
        </w:rPr>
        <w:t xml:space="preserve"> et al. (2022)</w:t>
      </w:r>
    </w:p>
    <w:p w14:paraId="56798E3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Unegbu</w:t>
      </w:r>
      <w:proofErr w:type="spellEnd"/>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وزملاؤه (2022) دراسة معمّقة حول العلاقة بين ممارسات إدارة المشاريع ومقاييس الأداء في قطاع الإنشاءات في نيجيريا، وهي دراسة تُعد من الأكثر شمولاً في هذا المجال بسبب استخدامها منهجية النمذجة بالمعادلات الهيكلية</w:t>
      </w:r>
      <w:r w:rsidRPr="008A7560">
        <w:rPr>
          <w:rFonts w:ascii="Traditional Arabic" w:hAnsi="Traditional Arabic" w:cs="Traditional Arabic"/>
          <w:sz w:val="28"/>
          <w:szCs w:val="28"/>
        </w:rPr>
        <w:t xml:space="preserve"> (SEM) </w:t>
      </w:r>
      <w:r w:rsidRPr="008A7560">
        <w:rPr>
          <w:rFonts w:ascii="Traditional Arabic" w:hAnsi="Traditional Arabic" w:cs="Traditional Arabic"/>
          <w:sz w:val="28"/>
          <w:szCs w:val="28"/>
          <w:rtl/>
        </w:rPr>
        <w:t>للتحقق من الروابط بين المتغيرات. اعتمدت الدراسة على منهج المسح باستخدام استبانة شملت 250 مشاركًا من مقاولين واستشاريين وجهات مالكة، بلغ عدد الاستبانات الصالحة منها 221 استبانة. وقد جمعت الأداة بيانات عن 19 مؤشرًا للأداء و53 ممارسة إدارية باستخدام مقياس ليكرت الخماسي، ثم جرى تحليلها باستخدام</w:t>
      </w:r>
      <w:r w:rsidRPr="008A7560">
        <w:rPr>
          <w:rFonts w:ascii="Traditional Arabic" w:hAnsi="Traditional Arabic" w:cs="Traditional Arabic"/>
          <w:sz w:val="28"/>
          <w:szCs w:val="28"/>
        </w:rPr>
        <w:t xml:space="preserve"> SPSS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LISREL </w:t>
      </w:r>
      <w:r w:rsidRPr="008A7560">
        <w:rPr>
          <w:rFonts w:ascii="Traditional Arabic" w:hAnsi="Traditional Arabic" w:cs="Traditional Arabic"/>
          <w:sz w:val="28"/>
          <w:szCs w:val="28"/>
          <w:rtl/>
        </w:rPr>
        <w:t>للتحقق من موثوقية المقاييس وملاءمتها للنموذج البنائي. أظهرت النتائج أن أقوى علاقة في النموذج كانت بين رضا العملاء ونجاح المشروع، تليها العلاقة بين الأداء الكلي ونجاح المشروع، ثم إدارة أصحاب المصلحة. ومن بين 20 فرضية تم اختبارها، دُعمت 14 فرضية بينما تغيّرت 3 ورفضت 3 أخرى، كما كشف التحليل عن علاقات إضافية لم تكن مفترضة مسبقًا مما عزز قوة النموذج البنائي. وعلى الرغم من قوة التحليل الإحصائي، إلا أن الدراسة تُعد محدودة من حيث قابلية التعميم على السياق السعودي، نظرًا لاختلاف البيئة التنظيمية والمالية بين نيجيريا والسعودية، مما يترك فجوة بحثية تتعلق بضرورة اختبار النموذج في بيئة مشابهة لقطاع الإنشاء السعودي الذي يتسم بإطار تشريعي مختلف ومتطلبات تنفيذية أعلى</w:t>
      </w:r>
      <w:r w:rsidRPr="008A7560">
        <w:rPr>
          <w:rFonts w:ascii="Traditional Arabic" w:hAnsi="Traditional Arabic" w:cs="Traditional Arabic"/>
          <w:sz w:val="28"/>
          <w:szCs w:val="28"/>
        </w:rPr>
        <w:t>.</w:t>
      </w:r>
    </w:p>
    <w:p w14:paraId="06CB2776" w14:textId="77777777" w:rsidR="005B06E6" w:rsidRPr="008A7560" w:rsidRDefault="005B06E6" w:rsidP="005B06E6">
      <w:pPr>
        <w:bidi/>
        <w:spacing w:line="480" w:lineRule="auto"/>
        <w:jc w:val="both"/>
        <w:rPr>
          <w:rFonts w:ascii="Traditional Arabic" w:hAnsi="Traditional Arabic" w:cs="Traditional Arabic"/>
          <w:sz w:val="28"/>
          <w:szCs w:val="28"/>
        </w:rPr>
      </w:pPr>
    </w:p>
    <w:p w14:paraId="3AB58135"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rPr>
        <w:t xml:space="preserve"> </w:t>
      </w:r>
      <w:proofErr w:type="spellStart"/>
      <w:r w:rsidRPr="008A7560">
        <w:rPr>
          <w:rFonts w:ascii="Traditional Arabic" w:hAnsi="Traditional Arabic" w:cs="Traditional Arabic"/>
          <w:b/>
          <w:bCs/>
          <w:sz w:val="28"/>
          <w:szCs w:val="28"/>
        </w:rPr>
        <w:t>Alshihri</w:t>
      </w:r>
      <w:proofErr w:type="spellEnd"/>
      <w:r w:rsidRPr="008A7560">
        <w:rPr>
          <w:rFonts w:ascii="Traditional Arabic" w:hAnsi="Traditional Arabic" w:cs="Traditional Arabic"/>
          <w:b/>
          <w:bCs/>
          <w:sz w:val="28"/>
          <w:szCs w:val="28"/>
        </w:rPr>
        <w:t xml:space="preserve"> et al. (2022)</w:t>
      </w:r>
    </w:p>
    <w:p w14:paraId="602A8F9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Alshihri</w:t>
      </w:r>
      <w:proofErr w:type="spellEnd"/>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وزملائه (2022) تحليل المخاطر المؤثرة على التأخيرات وتجاوز التكاليف في مشاريع البناء الحكومية في المملكة العربية السعودية، وهو ما يجعلها أكثر ارتباطًا بالسياق السعودي من دراسات أخرى تناولت موضوع الأداء. هدفت الدراسة إلى تحديد العوامل الأكثر تأثيرًا على زمن إنجاز المشاريع وتكاليفها، خاصة في ظل النمو المتسارع في قطاع الإنشاء السعودي بفعل مبادرات رؤية 2030. اعتمد الباحثون منهجية المسح باستخدام استبانة شملت 200 خبير من جهات مالكة ومصممين واستشاريين ومقاولين، وقد استُرجع منها 55 استبانة صالحة للتحليل. جرى تحليل البيانات باستخدام مؤشر الأهمية النسبية</w:t>
      </w:r>
      <w:r w:rsidRPr="008A7560">
        <w:rPr>
          <w:rFonts w:ascii="Traditional Arabic" w:hAnsi="Traditional Arabic" w:cs="Traditional Arabic"/>
          <w:sz w:val="28"/>
          <w:szCs w:val="28"/>
        </w:rPr>
        <w:t xml:space="preserve"> (RII) </w:t>
      </w:r>
      <w:r w:rsidRPr="008A7560">
        <w:rPr>
          <w:rFonts w:ascii="Traditional Arabic" w:hAnsi="Traditional Arabic" w:cs="Traditional Arabic"/>
          <w:sz w:val="28"/>
          <w:szCs w:val="28"/>
          <w:rtl/>
        </w:rPr>
        <w:t>ومؤشر أهمية المخاطر</w:t>
      </w:r>
      <w:r w:rsidRPr="008A7560">
        <w:rPr>
          <w:rFonts w:ascii="Traditional Arabic" w:hAnsi="Traditional Arabic" w:cs="Traditional Arabic"/>
          <w:sz w:val="28"/>
          <w:szCs w:val="28"/>
        </w:rPr>
        <w:t xml:space="preserve"> (RI)</w:t>
      </w:r>
      <w:r w:rsidRPr="008A7560">
        <w:rPr>
          <w:rFonts w:ascii="Traditional Arabic" w:hAnsi="Traditional Arabic" w:cs="Traditional Arabic"/>
          <w:sz w:val="28"/>
          <w:szCs w:val="28"/>
          <w:rtl/>
        </w:rPr>
        <w:t>، إضافة إلى اختبار مستوى الاتفاق بين المشاركين. وأظهرت النتائج أن أبرز مسببات التأخير هي الصعوبات المالية للمقاول، وتأخر المالك في صرف مستحقات الإنجاز، واعتماد أسلوب الترسية على أقل سعر، وتغييرات أوامر العمل أثناء التنفيذ، إضافة إلى ضعف التخطيط والجدولة، ونقص العمالة، وسوء إدارة الموقع. كما بيّنت الدراسة أن تغييرات الأوامر والترسية للعرض الأقل تُعد من أهم العوامل المؤدية إلى تجاوز الميزانية. ورغم أهمية نتائجها للسياق السعودي، إلا أن غياب الربط بين هذه المخاطر وأبعاد الاستدامة يجعل نتائجها غير كافية لتطوير إطار متكامل يجمع بين الأداء والاستدامة، مما يترك فجوة بحثية تتطلب معالجة مشتركة بين المخاطر التشغيلية والمخاطر البيئية والاقتصادية</w:t>
      </w:r>
      <w:r w:rsidRPr="008A7560">
        <w:rPr>
          <w:rFonts w:ascii="Traditional Arabic" w:hAnsi="Traditional Arabic" w:cs="Traditional Arabic"/>
          <w:sz w:val="28"/>
          <w:szCs w:val="28"/>
        </w:rPr>
        <w:t>.</w:t>
      </w:r>
    </w:p>
    <w:p w14:paraId="5BD37CAE"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Alajmi &amp; Memon (2022)</w:t>
      </w:r>
    </w:p>
    <w:p w14:paraId="5B62FD78"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ركّزت دراسة</w:t>
      </w:r>
      <w:r w:rsidRPr="008A7560">
        <w:rPr>
          <w:rFonts w:ascii="Traditional Arabic" w:hAnsi="Traditional Arabic" w:cs="Traditional Arabic"/>
          <w:sz w:val="28"/>
          <w:szCs w:val="28"/>
        </w:rPr>
        <w:t xml:space="preserve"> Alajmi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Memon (2022) </w:t>
      </w:r>
      <w:r w:rsidRPr="008A7560">
        <w:rPr>
          <w:rFonts w:ascii="Traditional Arabic" w:hAnsi="Traditional Arabic" w:cs="Traditional Arabic"/>
          <w:sz w:val="28"/>
          <w:szCs w:val="28"/>
          <w:rtl/>
        </w:rPr>
        <w:t xml:space="preserve">على تحليل أسباب تأخيرات مشاريع البناء في المملكة العربية السعودية من خلال مراجعة موسعة للأدبيات دون إجراء تحليل ميداني، مما يجعلها دراسة مفاهيمية أكثر من كونها تطبيقية. تناولت </w:t>
      </w:r>
      <w:r w:rsidRPr="008A7560">
        <w:rPr>
          <w:rFonts w:ascii="Traditional Arabic" w:hAnsi="Traditional Arabic" w:cs="Traditional Arabic"/>
          <w:sz w:val="28"/>
          <w:szCs w:val="28"/>
          <w:rtl/>
        </w:rPr>
        <w:lastRenderedPageBreak/>
        <w:t>الدراسة التطورات الهيكلية في قطاع الإنشاء السعودي خلال العقود الثلاثة الماضية، وحددت الأسباب الأكثر شيوعًا للتأخير مثل ضعف التخطيط، مشكلات الإدارة، صعوبات التمويل، نقص الكوادر المؤهلة، وضعف الاتصال بين أطراف المشروع. وعلى الرغم من أن الدراسة وفرت إطارًا تحليليًا عامًا لأسباب التأخير، فإن غياب البيانات الميدانية والتحليل الإحصائي يجعل نتائجها أقل قدرة على تفسير الواقع الحالي للمشاريع السعودية، كما أن اعتمادها على الأدبيات فقط دون اختبار عملي يحدّ من إمكانية استخدامها كأساس لبناء نماذج أداء دقيقة. وتبرز هنا فجوة بحثية تتعلق بالحاجة إلى دراسات تطبيقية تقيس أثر كل سبب على الأداء الفعلي باستخدام بيانات مشاريع حقيقية، خاصة مع توسع القطاع في ظل رؤية 2030</w:t>
      </w:r>
      <w:r w:rsidRPr="008A7560">
        <w:rPr>
          <w:rFonts w:ascii="Traditional Arabic" w:hAnsi="Traditional Arabic" w:cs="Traditional Arabic"/>
          <w:sz w:val="28"/>
          <w:szCs w:val="28"/>
        </w:rPr>
        <w:t>.</w:t>
      </w:r>
    </w:p>
    <w:p w14:paraId="7FA2D1C3" w14:textId="032B5185" w:rsidR="005B06E6" w:rsidRPr="008A7560" w:rsidRDefault="00C64784" w:rsidP="005B06E6">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2-6-3 </w:t>
      </w:r>
      <w:r w:rsidR="005B06E6" w:rsidRPr="008A7560">
        <w:rPr>
          <w:rFonts w:ascii="Traditional Arabic" w:hAnsi="Traditional Arabic" w:cs="Traditional Arabic"/>
          <w:b/>
          <w:bCs/>
          <w:sz w:val="28"/>
          <w:szCs w:val="28"/>
          <w:rtl/>
        </w:rPr>
        <w:t>دراسات تناولت العلاقة بين الاستدامة والأداء</w:t>
      </w:r>
    </w:p>
    <w:p w14:paraId="245618A2"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Al-Otaibi et al. (2025)</w:t>
      </w:r>
    </w:p>
    <w:p w14:paraId="15FBBCD2"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ناقش</w:t>
      </w:r>
      <w:r w:rsidRPr="008A7560">
        <w:rPr>
          <w:rFonts w:ascii="Traditional Arabic" w:hAnsi="Traditional Arabic" w:cs="Traditional Arabic"/>
          <w:sz w:val="28"/>
          <w:szCs w:val="28"/>
          <w:lang w:bidi="ar-EG"/>
        </w:rPr>
        <w:t xml:space="preserve"> Al-Otaibi </w:t>
      </w:r>
      <w:r w:rsidRPr="008A7560">
        <w:rPr>
          <w:rFonts w:ascii="Traditional Arabic" w:hAnsi="Traditional Arabic" w:cs="Traditional Arabic"/>
          <w:sz w:val="28"/>
          <w:szCs w:val="28"/>
          <w:rtl/>
        </w:rPr>
        <w:t>وزملاؤه (2025) العوائق المؤثرة على الأداء المستدام في قطاع الإنشاء من خلال مقارنة بين المملكة العربية السعودية وغانا، وذلك بهدف فهم التحديات المشتركة والمختلفة بين بيئتين اقتصاديتين متباينتين. اعتمدت الدراسة منهجًا كميًا عبر استبانة شارك فيها مقاولون واستشاريون وجهات مالكة، وجرت معالجة البيانات باستخدام مؤشر الأهمية النسبية</w:t>
      </w:r>
      <w:r w:rsidRPr="008A7560">
        <w:rPr>
          <w:rFonts w:ascii="Traditional Arabic" w:hAnsi="Traditional Arabic" w:cs="Traditional Arabic"/>
          <w:sz w:val="28"/>
          <w:szCs w:val="28"/>
          <w:lang w:bidi="ar-EG"/>
        </w:rPr>
        <w:t xml:space="preserve"> (RII) </w:t>
      </w:r>
      <w:r w:rsidRPr="008A7560">
        <w:rPr>
          <w:rFonts w:ascii="Traditional Arabic" w:hAnsi="Traditional Arabic" w:cs="Traditional Arabic"/>
          <w:sz w:val="28"/>
          <w:szCs w:val="28"/>
          <w:rtl/>
        </w:rPr>
        <w:t>وتحليل الارتباط. كشفت النتائج أن ضعف الاتصال</w:t>
      </w:r>
      <w:r w:rsidRPr="008A7560">
        <w:rPr>
          <w:rFonts w:ascii="Traditional Arabic" w:hAnsi="Traditional Arabic" w:cs="Traditional Arabic"/>
          <w:sz w:val="28"/>
          <w:szCs w:val="28"/>
          <w:lang w:bidi="ar-EG"/>
        </w:rPr>
        <w:t xml:space="preserve"> (RII = 0.831)</w:t>
      </w:r>
      <w:r w:rsidRPr="008A7560">
        <w:rPr>
          <w:rFonts w:ascii="Traditional Arabic" w:hAnsi="Traditional Arabic" w:cs="Traditional Arabic"/>
          <w:sz w:val="28"/>
          <w:szCs w:val="28"/>
          <w:rtl/>
        </w:rPr>
        <w:t>، وقيود التكلفة والجدول الزمني</w:t>
      </w:r>
      <w:r w:rsidRPr="008A7560">
        <w:rPr>
          <w:rFonts w:ascii="Traditional Arabic" w:hAnsi="Traditional Arabic" w:cs="Traditional Arabic"/>
          <w:sz w:val="28"/>
          <w:szCs w:val="28"/>
          <w:lang w:bidi="ar-EG"/>
        </w:rPr>
        <w:t xml:space="preserve"> (RII = 0.806)</w:t>
      </w:r>
      <w:r w:rsidRPr="008A7560">
        <w:rPr>
          <w:rFonts w:ascii="Traditional Arabic" w:hAnsi="Traditional Arabic" w:cs="Traditional Arabic"/>
          <w:sz w:val="28"/>
          <w:szCs w:val="28"/>
          <w:rtl/>
        </w:rPr>
        <w:t>، وضعف أنظمة المتابعة والتقييم</w:t>
      </w:r>
      <w:r w:rsidRPr="008A7560">
        <w:rPr>
          <w:rFonts w:ascii="Traditional Arabic" w:hAnsi="Traditional Arabic" w:cs="Traditional Arabic"/>
          <w:sz w:val="28"/>
          <w:szCs w:val="28"/>
          <w:lang w:bidi="ar-EG"/>
        </w:rPr>
        <w:t xml:space="preserve"> (RII = 0.786) </w:t>
      </w:r>
      <w:r w:rsidRPr="008A7560">
        <w:rPr>
          <w:rFonts w:ascii="Traditional Arabic" w:hAnsi="Traditional Arabic" w:cs="Traditional Arabic"/>
          <w:sz w:val="28"/>
          <w:szCs w:val="28"/>
          <w:rtl/>
        </w:rPr>
        <w:t xml:space="preserve">تمثل العوائق الأكبر أمام تحقيق الأداء المستدام في كلا السياقين. كما ربطت الدراسة هذه المعوقات بأهداف التنمية المستدامة، خصوصًا الهدف التاسع (الصناعة والابتكار) والهدف الحادي عشر (المدن المستدامة). وأوصت بضرورة تعزيز الإطار التنظيمي، وتحسين التخطيط </w:t>
      </w:r>
      <w:r w:rsidRPr="008A7560">
        <w:rPr>
          <w:rFonts w:ascii="Traditional Arabic" w:hAnsi="Traditional Arabic" w:cs="Traditional Arabic"/>
          <w:sz w:val="28"/>
          <w:szCs w:val="28"/>
          <w:rtl/>
        </w:rPr>
        <w:lastRenderedPageBreak/>
        <w:t>المالي، وتطوير أدوات تقييم الأداء. وعلى الرغم من أهمية نتائجها، إلا أن الجمع بين سياقين مختلفين قد يصعّب تفسير النتائج بدقة لكل دولة على حدة، مما يشكل فجوة بحثية تتعلق بالحاجة إلى دراسات منفصلة متعمقة للسوق السعودي وحده، خاصة مع اختلاف سياسات الإنشاء، وهيكلة المشاريع، ومتطلبات رؤية 2030</w:t>
      </w:r>
      <w:r w:rsidRPr="008A7560">
        <w:rPr>
          <w:rFonts w:ascii="Traditional Arabic" w:hAnsi="Traditional Arabic" w:cs="Traditional Arabic"/>
          <w:sz w:val="28"/>
          <w:szCs w:val="28"/>
          <w:lang w:bidi="ar-EG"/>
        </w:rPr>
        <w:t>.</w:t>
      </w:r>
    </w:p>
    <w:p w14:paraId="75878014"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w:t>
      </w:r>
      <w:proofErr w:type="spellStart"/>
      <w:r w:rsidRPr="008A7560">
        <w:rPr>
          <w:rFonts w:ascii="Traditional Arabic" w:hAnsi="Traditional Arabic" w:cs="Traditional Arabic"/>
          <w:b/>
          <w:bCs/>
          <w:sz w:val="28"/>
          <w:szCs w:val="28"/>
          <w:lang w:bidi="ar-EG"/>
        </w:rPr>
        <w:t>Shaawat</w:t>
      </w:r>
      <w:proofErr w:type="spellEnd"/>
      <w:r w:rsidRPr="008A7560">
        <w:rPr>
          <w:rFonts w:ascii="Traditional Arabic" w:hAnsi="Traditional Arabic" w:cs="Traditional Arabic"/>
          <w:b/>
          <w:bCs/>
          <w:sz w:val="28"/>
          <w:szCs w:val="28"/>
          <w:lang w:bidi="ar-EG"/>
        </w:rPr>
        <w:t xml:space="preserve"> et al. (2023)</w:t>
      </w:r>
    </w:p>
    <w:p w14:paraId="6A497D84"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lang w:bidi="ar-EG"/>
        </w:rPr>
        <w:t xml:space="preserve"> </w:t>
      </w: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w:t>
      </w:r>
      <w:r w:rsidRPr="008A7560">
        <w:rPr>
          <w:rFonts w:ascii="Traditional Arabic" w:hAnsi="Traditional Arabic" w:cs="Traditional Arabic"/>
          <w:sz w:val="28"/>
          <w:szCs w:val="28"/>
          <w:rtl/>
        </w:rPr>
        <w:t>وزملاؤه (2023) دراسة تطبيقية مهمة في مجال تقييم جودة أداء المقاولين في المشاريع الإنشائية المستدامة، حيث طوّر الباحثون مؤشرًا جديدًا يُعرف بـ "مؤشر جودة الأداء المهني</w:t>
      </w:r>
      <w:r w:rsidRPr="008A7560">
        <w:rPr>
          <w:rFonts w:ascii="Traditional Arabic" w:hAnsi="Traditional Arabic" w:cs="Traditional Arabic"/>
          <w:sz w:val="28"/>
          <w:szCs w:val="28"/>
          <w:lang w:bidi="ar-EG"/>
        </w:rPr>
        <w:t xml:space="preserve">" (PQI) </w:t>
      </w:r>
      <w:r w:rsidRPr="008A7560">
        <w:rPr>
          <w:rFonts w:ascii="Traditional Arabic" w:hAnsi="Traditional Arabic" w:cs="Traditional Arabic"/>
          <w:sz w:val="28"/>
          <w:szCs w:val="28"/>
          <w:rtl/>
        </w:rPr>
        <w:t>بهدف قياس جودة تنفيذ الأعمال وفق معايير الاستدامة. اعتمدت الدراسة على منهجية التحليل الهرمي</w:t>
      </w:r>
      <w:r w:rsidRPr="008A7560">
        <w:rPr>
          <w:rFonts w:ascii="Traditional Arabic" w:hAnsi="Traditional Arabic" w:cs="Traditional Arabic"/>
          <w:sz w:val="28"/>
          <w:szCs w:val="28"/>
          <w:lang w:bidi="ar-EG"/>
        </w:rPr>
        <w:t xml:space="preserve"> AHP </w:t>
      </w:r>
      <w:r w:rsidRPr="008A7560">
        <w:rPr>
          <w:rFonts w:ascii="Traditional Arabic" w:hAnsi="Traditional Arabic" w:cs="Traditional Arabic"/>
          <w:sz w:val="28"/>
          <w:szCs w:val="28"/>
          <w:rtl/>
        </w:rPr>
        <w:t>لتحديد الأوزان النسبية للعوامل المؤثرة في الأداء المستدام، بما في ذلك جودة الوثائق الفنية، وجودة تطبيق أنظمة الجودة، وجودة تنفيذ الأعمال. بيّنت النتائج أن المساءلة المهنية والالتزام بتطبيق معايير الجودة يمثلان عنصرين رئيسيين في تعزيز الأداء المستدام للمقاولين. كما وفّر المؤشر الجديد قيمة معيارية يمكن استخدامها لتحسين إدارة المشاريع واتخاذ القرارات، خاصة في المشاريع التي تتطلب مستوى عالٍ من الالتزام بالاستدامة. ورغم أن الدراسة قدّمت إضافة مهمة من خلال مؤشر تطبيقي قابل للاستخدام، إلا أنها ركزت على جانب الجودة دون دمجه بشكل كافٍ بعناصر الأداء الأخرى مثل التكلفة والوقت، وهما عنصران رئيسيان في تقييم المشاريع المستدامة. وتبرز هنا فجوة بحثية تتعلق بالحاجة إلى نماذج تقييم شاملة تدمج بين الأداء المهني والأداء المالي والزمني ضمن إطار الاستدامة</w:t>
      </w:r>
      <w:r w:rsidRPr="008A7560">
        <w:rPr>
          <w:rFonts w:ascii="Traditional Arabic" w:hAnsi="Traditional Arabic" w:cs="Traditional Arabic"/>
          <w:sz w:val="28"/>
          <w:szCs w:val="28"/>
          <w:lang w:bidi="ar-EG"/>
        </w:rPr>
        <w:t>.</w:t>
      </w:r>
    </w:p>
    <w:p w14:paraId="0BA8181A" w14:textId="77777777" w:rsidR="00C64784" w:rsidRDefault="00C64784" w:rsidP="005B06E6">
      <w:pPr>
        <w:bidi/>
        <w:spacing w:line="480" w:lineRule="auto"/>
        <w:jc w:val="both"/>
        <w:rPr>
          <w:rFonts w:ascii="Traditional Arabic" w:hAnsi="Traditional Arabic" w:cs="Traditional Arabic"/>
          <w:b/>
          <w:bCs/>
          <w:sz w:val="28"/>
          <w:szCs w:val="28"/>
          <w:rtl/>
        </w:rPr>
      </w:pPr>
    </w:p>
    <w:p w14:paraId="0F6BE00E" w14:textId="77777777" w:rsidR="00C64784" w:rsidRDefault="00C64784" w:rsidP="00C64784">
      <w:pPr>
        <w:bidi/>
        <w:spacing w:line="480" w:lineRule="auto"/>
        <w:jc w:val="both"/>
        <w:rPr>
          <w:rFonts w:ascii="Traditional Arabic" w:hAnsi="Traditional Arabic" w:cs="Traditional Arabic"/>
          <w:b/>
          <w:bCs/>
          <w:sz w:val="28"/>
          <w:szCs w:val="28"/>
          <w:rtl/>
        </w:rPr>
      </w:pPr>
    </w:p>
    <w:p w14:paraId="206133B5" w14:textId="4AB1508C" w:rsidR="005B06E6" w:rsidRPr="008A7560" w:rsidRDefault="005B06E6" w:rsidP="00C64784">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lang w:bidi="ar-EG"/>
        </w:rPr>
        <w:t xml:space="preserve"> </w:t>
      </w:r>
      <w:proofErr w:type="spellStart"/>
      <w:r w:rsidRPr="008A7560">
        <w:rPr>
          <w:rFonts w:ascii="Traditional Arabic" w:hAnsi="Traditional Arabic" w:cs="Traditional Arabic"/>
          <w:b/>
          <w:bCs/>
          <w:sz w:val="28"/>
          <w:szCs w:val="28"/>
          <w:lang w:bidi="ar-EG"/>
        </w:rPr>
        <w:t>Jamoussi</w:t>
      </w:r>
      <w:proofErr w:type="spellEnd"/>
      <w:r w:rsidRPr="008A7560">
        <w:rPr>
          <w:rFonts w:ascii="Traditional Arabic" w:hAnsi="Traditional Arabic" w:cs="Traditional Arabic"/>
          <w:b/>
          <w:bCs/>
          <w:sz w:val="28"/>
          <w:szCs w:val="28"/>
          <w:lang w:bidi="ar-EG"/>
        </w:rPr>
        <w:t xml:space="preserve"> et al. (2022)</w:t>
      </w:r>
    </w:p>
    <w:p w14:paraId="4C0958CE"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lang w:bidi="ar-EG"/>
        </w:rPr>
        <w:t xml:space="preserve"> </w:t>
      </w: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w:t>
      </w:r>
      <w:r w:rsidRPr="008A7560">
        <w:rPr>
          <w:rFonts w:ascii="Traditional Arabic" w:hAnsi="Traditional Arabic" w:cs="Traditional Arabic"/>
          <w:sz w:val="28"/>
          <w:szCs w:val="28"/>
          <w:rtl/>
        </w:rPr>
        <w:t>وزملاؤه (2022) دراسة نقدية مهمة حول واقع أنظمة تقييم المباني المستدامة في المملكة العربية السعودية، وذلك من خلال تحليل شامل للمعايير، والأكواد، والأدوات المستخدمة في تقييم الأداء البيئي للمباني، بما في ذلك كود البناء السعودي وكود المباني الخضراء</w:t>
      </w:r>
      <w:r w:rsidRPr="008A7560">
        <w:rPr>
          <w:rFonts w:ascii="Traditional Arabic" w:hAnsi="Traditional Arabic" w:cs="Traditional Arabic"/>
          <w:sz w:val="28"/>
          <w:szCs w:val="28"/>
          <w:lang w:bidi="ar-EG"/>
        </w:rPr>
        <w:t xml:space="preserve"> SBC 1001-CR. </w:t>
      </w:r>
      <w:r w:rsidRPr="008A7560">
        <w:rPr>
          <w:rFonts w:ascii="Traditional Arabic" w:hAnsi="Traditional Arabic" w:cs="Traditional Arabic"/>
          <w:sz w:val="28"/>
          <w:szCs w:val="28"/>
          <w:rtl/>
        </w:rPr>
        <w:t>هدفت الدراسة إلى رصد مدى جاهزية السوق السعودي لامتلاك نظام شهادات موحّد يعكس متطلبات الاستدامة الحديثة، إضافة إلى مراجعة تكامل تقنيات مثل نمذجة معلومات المباني</w:t>
      </w:r>
      <w:r w:rsidRPr="008A7560">
        <w:rPr>
          <w:rFonts w:ascii="Traditional Arabic" w:hAnsi="Traditional Arabic" w:cs="Traditional Arabic"/>
          <w:sz w:val="28"/>
          <w:szCs w:val="28"/>
          <w:lang w:bidi="ar-EG"/>
        </w:rPr>
        <w:t xml:space="preserve"> (BIM) </w:t>
      </w:r>
      <w:r w:rsidRPr="008A7560">
        <w:rPr>
          <w:rFonts w:ascii="Traditional Arabic" w:hAnsi="Traditional Arabic" w:cs="Traditional Arabic"/>
          <w:sz w:val="28"/>
          <w:szCs w:val="28"/>
          <w:rtl/>
        </w:rPr>
        <w:t>وتقييم دورة الحياة</w:t>
      </w:r>
      <w:r w:rsidRPr="008A7560">
        <w:rPr>
          <w:rFonts w:ascii="Traditional Arabic" w:hAnsi="Traditional Arabic" w:cs="Traditional Arabic"/>
          <w:sz w:val="28"/>
          <w:szCs w:val="28"/>
          <w:lang w:bidi="ar-EG"/>
        </w:rPr>
        <w:t xml:space="preserve"> (LCA) </w:t>
      </w:r>
      <w:r w:rsidRPr="008A7560">
        <w:rPr>
          <w:rFonts w:ascii="Traditional Arabic" w:hAnsi="Traditional Arabic" w:cs="Traditional Arabic"/>
          <w:sz w:val="28"/>
          <w:szCs w:val="28"/>
          <w:rtl/>
        </w:rPr>
        <w:t>ضمن هذه الأنظمة. اعتمد الباحثون منهج مراجعة منهجية للأدبيات والممارسات الحالية دون جمع بيانات ميدانية، وخلصت النتائج إلى وجود فجوة واضحة في التطبيق تكمن في غياب نظام تقييم موحّد ومتكامل يُشرف على جودة الاستدامة في المباني السعودية، رغم توفّر توجه حكومي نحو رفع الأداء البيئي. كما أشارت الدراسة إلى أن تطبيق ممارسات الاستدامة يظل متفاوتًا بين المشاريع بسبب اختلاف المعايير وغياب التشريعات الملزمة. وأوصت بضرورة تطوير نظام وطني حديث للشهادات البيئية ينسجم مع التطورات العالمية ومع السياق المحلي السعودي. وتتمثل الفجوة البحثية التي أبرزتها هذه الدراسة في غياب إطار موحّد لتقييم الاستدامة في السعودية، إضافة إلى نقص الدراسات التجريبية التي تقيس أثر تطبيق هذه الأنظمة على الأداء الفعلي للمشاريع</w:t>
      </w:r>
      <w:r w:rsidRPr="008A7560">
        <w:rPr>
          <w:rFonts w:ascii="Traditional Arabic" w:hAnsi="Traditional Arabic" w:cs="Traditional Arabic"/>
          <w:sz w:val="28"/>
          <w:szCs w:val="28"/>
          <w:lang w:bidi="ar-EG"/>
        </w:rPr>
        <w:t>.</w:t>
      </w:r>
    </w:p>
    <w:p w14:paraId="1DA0BD91"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Azmi et al. (2022)</w:t>
      </w:r>
    </w:p>
    <w:p w14:paraId="3A951847"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lang w:bidi="ar-EG"/>
        </w:rPr>
        <w:t xml:space="preserve"> Azmi </w:t>
      </w:r>
      <w:r w:rsidRPr="008A7560">
        <w:rPr>
          <w:rFonts w:ascii="Traditional Arabic" w:hAnsi="Traditional Arabic" w:cs="Traditional Arabic"/>
          <w:sz w:val="28"/>
          <w:szCs w:val="28"/>
          <w:rtl/>
        </w:rPr>
        <w:t xml:space="preserve">وزملائه (2022) موضوعًا مبتكرًا يربط بين الاستدامة والتحول الرقمي من خلال استكشاف إمكانات تقنية البلوك تشين في تعزيز استدامة سلاسل الإمداد في قطاع الإنشاء السعودي. هدفت الدراسة إلى تقييم </w:t>
      </w:r>
      <w:r w:rsidRPr="008A7560">
        <w:rPr>
          <w:rFonts w:ascii="Traditional Arabic" w:hAnsi="Traditional Arabic" w:cs="Traditional Arabic"/>
          <w:sz w:val="28"/>
          <w:szCs w:val="28"/>
          <w:rtl/>
        </w:rPr>
        <w:lastRenderedPageBreak/>
        <w:t>مستوى الجاهزية لدى العاملين في قطاع تصنيع الخرسانة في المملكة، ومعرفة مدى قدرة البلوك تشين على تحسين الشفافية، والتتبع، والموثوقية، وهي عناصر أساسية لتحقيق الاستدامة التشغيلية. استخدم الباحثون منهجين: منهجًا كميًا عبر استبانة شملت 300 موظف، وحصلوا على 120 استجابة، ومنهجًا نوعيًا عبر مقابلات شبه مهيكلة مع متخصصين في التمويل وسلاسل الإمداد وتقنيات المعلومات. أظهرت النتائج وجود مستوى منخفض جدًا من الوعي بتقنية البلوك تشين، إذ إن 90% من المشاركين لم يسبق لهم التعامل معها، إلى جانب ضعف الجاهزية المؤسسية لاعتماد هذه التقنية رغم إدراك إمكاناتها العالية عند دمجها مع تقنيات أخرى مثل</w:t>
      </w:r>
      <w:r w:rsidRPr="008A7560">
        <w:rPr>
          <w:rFonts w:ascii="Traditional Arabic" w:hAnsi="Traditional Arabic" w:cs="Traditional Arabic"/>
          <w:sz w:val="28"/>
          <w:szCs w:val="28"/>
          <w:lang w:bidi="ar-EG"/>
        </w:rPr>
        <w:t xml:space="preserve"> BIM. </w:t>
      </w:r>
      <w:r w:rsidRPr="008A7560">
        <w:rPr>
          <w:rFonts w:ascii="Traditional Arabic" w:hAnsi="Traditional Arabic" w:cs="Traditional Arabic"/>
          <w:sz w:val="28"/>
          <w:szCs w:val="28"/>
          <w:rtl/>
        </w:rPr>
        <w:t>وخلصت الدراسة إلى أن تبني البلوك تشين يمكن أن يعزز الاستدامة من خلال زيادة الشفافية وتقليل المخاطر وتحسين كفاءة سلاسل الإمداد، لكنها أشارت إلى وجود فجوة بين الإمكانات النظرية وبين الواقع العملي للقطاع السعودي. وتتمثل الفجوة البحثية هنا في نقص الدراسات التي تجمع بين التحول الرقمي والاستدامة داخل قطاع الإنشاء السعودي، وكذلك الحاجة إلى دراسات تجريبية تقيس فعليًا أثر تطبيق البلوك تشين على الأداء</w:t>
      </w:r>
      <w:r w:rsidRPr="008A7560">
        <w:rPr>
          <w:rFonts w:ascii="Traditional Arabic" w:hAnsi="Traditional Arabic" w:cs="Traditional Arabic"/>
          <w:sz w:val="28"/>
          <w:szCs w:val="28"/>
          <w:lang w:bidi="ar-EG"/>
        </w:rPr>
        <w:t>.</w:t>
      </w:r>
    </w:p>
    <w:p w14:paraId="04D122E7"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6634B9DA"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0FCADA68"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74298512"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77E2F3B4"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650A7FF1"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p>
    <w:p w14:paraId="5EDB2D7F" w14:textId="4F79DD68" w:rsidR="005B06E6" w:rsidRPr="008A7560" w:rsidRDefault="00C64784" w:rsidP="005B06E6">
      <w:pPr>
        <w:bidi/>
        <w:spacing w:line="480" w:lineRule="auto"/>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rPr>
        <w:lastRenderedPageBreak/>
        <w:t xml:space="preserve">2-6-4 </w:t>
      </w:r>
      <w:r w:rsidR="005B06E6" w:rsidRPr="008A7560">
        <w:rPr>
          <w:rFonts w:ascii="Traditional Arabic" w:hAnsi="Traditional Arabic" w:cs="Traditional Arabic"/>
          <w:b/>
          <w:bCs/>
          <w:sz w:val="32"/>
          <w:szCs w:val="32"/>
          <w:rtl/>
        </w:rPr>
        <w:t xml:space="preserve">جدول مقارن للدراسات السابقة </w:t>
      </w:r>
    </w:p>
    <w:tbl>
      <w:tblPr>
        <w:tblStyle w:val="TableGrid"/>
        <w:tblW w:w="5000" w:type="pct"/>
        <w:tblLook w:val="04A0" w:firstRow="1" w:lastRow="0" w:firstColumn="1" w:lastColumn="0" w:noHBand="0" w:noVBand="1"/>
      </w:tblPr>
      <w:tblGrid>
        <w:gridCol w:w="1662"/>
        <w:gridCol w:w="1661"/>
        <w:gridCol w:w="1661"/>
        <w:gridCol w:w="1661"/>
        <w:gridCol w:w="1651"/>
      </w:tblGrid>
      <w:tr w:rsidR="005B06E6" w:rsidRPr="008A7560" w14:paraId="74494365" w14:textId="77777777" w:rsidTr="009B6B64">
        <w:tc>
          <w:tcPr>
            <w:tcW w:w="1001" w:type="pct"/>
            <w:hideMark/>
          </w:tcPr>
          <w:p w14:paraId="196D3F06" w14:textId="77777777" w:rsidR="005B06E6" w:rsidRPr="008A7560" w:rsidRDefault="005B06E6" w:rsidP="009B6B64">
            <w:pPr>
              <w:bidi/>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أوجه القصور</w:t>
            </w:r>
          </w:p>
        </w:tc>
        <w:tc>
          <w:tcPr>
            <w:tcW w:w="1001" w:type="pct"/>
          </w:tcPr>
          <w:p w14:paraId="0F179383"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أوجه القوة</w:t>
            </w:r>
          </w:p>
        </w:tc>
        <w:tc>
          <w:tcPr>
            <w:tcW w:w="1001" w:type="pct"/>
          </w:tcPr>
          <w:p w14:paraId="1682C343"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النتائج الرئيسة</w:t>
            </w:r>
          </w:p>
        </w:tc>
        <w:tc>
          <w:tcPr>
            <w:tcW w:w="1001" w:type="pct"/>
          </w:tcPr>
          <w:p w14:paraId="31899D6F"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المنهج والأداة</w:t>
            </w:r>
          </w:p>
        </w:tc>
        <w:tc>
          <w:tcPr>
            <w:tcW w:w="995" w:type="pct"/>
          </w:tcPr>
          <w:p w14:paraId="076978BB"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الدراسة</w:t>
            </w:r>
          </w:p>
        </w:tc>
      </w:tr>
      <w:tr w:rsidR="005B06E6" w:rsidRPr="008A7560" w14:paraId="30DFED7E" w14:textId="77777777" w:rsidTr="009B6B64">
        <w:tc>
          <w:tcPr>
            <w:tcW w:w="1001" w:type="pct"/>
            <w:hideMark/>
          </w:tcPr>
          <w:p w14:paraId="39AB730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محدودية التعميم الجغرافي</w:t>
            </w:r>
          </w:p>
        </w:tc>
        <w:tc>
          <w:tcPr>
            <w:tcW w:w="1001" w:type="pct"/>
          </w:tcPr>
          <w:p w14:paraId="0167A3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تقديم إطار جديد للمخاطر</w:t>
            </w:r>
          </w:p>
        </w:tc>
        <w:tc>
          <w:tcPr>
            <w:tcW w:w="1001" w:type="pct"/>
          </w:tcPr>
          <w:p w14:paraId="0005249C"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معالجة مخاطر</w:t>
            </w:r>
            <w:r w:rsidRPr="008A7560">
              <w:rPr>
                <w:rFonts w:ascii="Traditional Arabic" w:hAnsi="Traditional Arabic" w:cs="Traditional Arabic"/>
                <w:sz w:val="28"/>
                <w:szCs w:val="28"/>
                <w:lang w:bidi="ar-EG"/>
              </w:rPr>
              <w:t xml:space="preserve"> Tail Risks</w:t>
            </w:r>
          </w:p>
        </w:tc>
        <w:tc>
          <w:tcPr>
            <w:tcW w:w="1001" w:type="pct"/>
          </w:tcPr>
          <w:p w14:paraId="605A1C4F"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محاكاة مونتي كارلو + بيانات مشاريع</w:t>
            </w:r>
          </w:p>
        </w:tc>
        <w:tc>
          <w:tcPr>
            <w:tcW w:w="995" w:type="pct"/>
          </w:tcPr>
          <w:p w14:paraId="7BFCEB68"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Qazi et al. (2021)</w:t>
            </w:r>
          </w:p>
        </w:tc>
      </w:tr>
      <w:tr w:rsidR="005B06E6" w:rsidRPr="008A7560" w14:paraId="33F5E851" w14:textId="77777777" w:rsidTr="009B6B64">
        <w:tc>
          <w:tcPr>
            <w:tcW w:w="1001" w:type="pct"/>
            <w:hideMark/>
          </w:tcPr>
          <w:p w14:paraId="19A6C63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البيانات الميدانية</w:t>
            </w:r>
          </w:p>
        </w:tc>
        <w:tc>
          <w:tcPr>
            <w:tcW w:w="1001" w:type="pct"/>
          </w:tcPr>
          <w:p w14:paraId="2E0F758A"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مؤشرات قابلة للقياس</w:t>
            </w:r>
          </w:p>
        </w:tc>
        <w:tc>
          <w:tcPr>
            <w:tcW w:w="1001" w:type="pct"/>
          </w:tcPr>
          <w:p w14:paraId="221CFA23"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w:t>
            </w:r>
            <w:r w:rsidRPr="008A7560">
              <w:rPr>
                <w:rFonts w:ascii="Traditional Arabic" w:hAnsi="Traditional Arabic" w:cs="Traditional Arabic"/>
                <w:sz w:val="28"/>
                <w:szCs w:val="28"/>
                <w:lang w:bidi="ar-EG"/>
              </w:rPr>
              <w:t xml:space="preserve"> KPIs </w:t>
            </w:r>
            <w:r w:rsidRPr="008A7560">
              <w:rPr>
                <w:rFonts w:ascii="Traditional Arabic" w:hAnsi="Traditional Arabic" w:cs="Traditional Arabic"/>
                <w:sz w:val="28"/>
                <w:szCs w:val="28"/>
                <w:rtl/>
              </w:rPr>
              <w:t>للاستدامة</w:t>
            </w:r>
          </w:p>
        </w:tc>
        <w:tc>
          <w:tcPr>
            <w:tcW w:w="1001" w:type="pct"/>
          </w:tcPr>
          <w:p w14:paraId="4CB4E3B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AHP + </w:t>
            </w:r>
            <w:r w:rsidRPr="008A7560">
              <w:rPr>
                <w:rFonts w:ascii="Traditional Arabic" w:hAnsi="Traditional Arabic" w:cs="Traditional Arabic"/>
                <w:sz w:val="28"/>
                <w:szCs w:val="28"/>
                <w:rtl/>
              </w:rPr>
              <w:t>خبراء</w:t>
            </w:r>
          </w:p>
        </w:tc>
        <w:tc>
          <w:tcPr>
            <w:tcW w:w="995" w:type="pct"/>
          </w:tcPr>
          <w:p w14:paraId="5291870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Rajabi et al. (2022)</w:t>
            </w:r>
          </w:p>
        </w:tc>
      </w:tr>
      <w:tr w:rsidR="005B06E6" w:rsidRPr="008A7560" w14:paraId="661827F1" w14:textId="77777777" w:rsidTr="009B6B64">
        <w:tc>
          <w:tcPr>
            <w:tcW w:w="1001" w:type="pct"/>
            <w:hideMark/>
          </w:tcPr>
          <w:p w14:paraId="7BDE3DE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تركيز مفرط على الجانب البيئي</w:t>
            </w:r>
          </w:p>
        </w:tc>
        <w:tc>
          <w:tcPr>
            <w:tcW w:w="1001" w:type="pct"/>
          </w:tcPr>
          <w:p w14:paraId="17FA600D"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دمج بين الإحصاء والتطبيق</w:t>
            </w:r>
          </w:p>
        </w:tc>
        <w:tc>
          <w:tcPr>
            <w:tcW w:w="1001" w:type="pct"/>
          </w:tcPr>
          <w:p w14:paraId="7B4399FA"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إطار تقييم الاستدامة</w:t>
            </w:r>
          </w:p>
        </w:tc>
        <w:tc>
          <w:tcPr>
            <w:tcW w:w="1001" w:type="pct"/>
          </w:tcPr>
          <w:p w14:paraId="6B77020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MCDM + </w:t>
            </w:r>
            <w:r w:rsidRPr="008A7560">
              <w:rPr>
                <w:rFonts w:ascii="Traditional Arabic" w:hAnsi="Traditional Arabic" w:cs="Traditional Arabic"/>
                <w:sz w:val="28"/>
                <w:szCs w:val="28"/>
                <w:rtl/>
              </w:rPr>
              <w:t>دراسات حالة</w:t>
            </w:r>
          </w:p>
        </w:tc>
        <w:tc>
          <w:tcPr>
            <w:tcW w:w="995" w:type="pct"/>
          </w:tcPr>
          <w:p w14:paraId="4F96C533"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Salah et al. (2023)</w:t>
            </w:r>
          </w:p>
        </w:tc>
      </w:tr>
      <w:tr w:rsidR="005B06E6" w:rsidRPr="008A7560" w14:paraId="4717FAF5" w14:textId="77777777" w:rsidTr="009B6B64">
        <w:tc>
          <w:tcPr>
            <w:tcW w:w="1001" w:type="pct"/>
            <w:hideMark/>
          </w:tcPr>
          <w:p w14:paraId="47C13067"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سياق مختلف عن السعودية</w:t>
            </w:r>
          </w:p>
        </w:tc>
        <w:tc>
          <w:tcPr>
            <w:tcW w:w="1001" w:type="pct"/>
          </w:tcPr>
          <w:p w14:paraId="596AAFD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قوة إحصائية عالية</w:t>
            </w:r>
          </w:p>
        </w:tc>
        <w:tc>
          <w:tcPr>
            <w:tcW w:w="1001" w:type="pct"/>
          </w:tcPr>
          <w:p w14:paraId="6CE7BAF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ارتباط الأداء بإدارة المشاريع</w:t>
            </w:r>
          </w:p>
        </w:tc>
        <w:tc>
          <w:tcPr>
            <w:tcW w:w="1001" w:type="pct"/>
          </w:tcPr>
          <w:p w14:paraId="10FB9D79"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SEM + </w:t>
            </w:r>
            <w:r w:rsidRPr="008A7560">
              <w:rPr>
                <w:rFonts w:ascii="Traditional Arabic" w:hAnsi="Traditional Arabic" w:cs="Traditional Arabic"/>
                <w:sz w:val="28"/>
                <w:szCs w:val="28"/>
                <w:rtl/>
              </w:rPr>
              <w:t>استبيان</w:t>
            </w:r>
          </w:p>
        </w:tc>
        <w:tc>
          <w:tcPr>
            <w:tcW w:w="995" w:type="pct"/>
          </w:tcPr>
          <w:p w14:paraId="1FD4F06B"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Unegbu</w:t>
            </w:r>
            <w:proofErr w:type="spellEnd"/>
            <w:r w:rsidRPr="008A7560">
              <w:rPr>
                <w:rFonts w:ascii="Traditional Arabic" w:hAnsi="Traditional Arabic" w:cs="Traditional Arabic"/>
                <w:sz w:val="28"/>
                <w:szCs w:val="28"/>
                <w:lang w:bidi="ar-EG"/>
              </w:rPr>
              <w:t xml:space="preserve"> et al. (2022)</w:t>
            </w:r>
          </w:p>
        </w:tc>
      </w:tr>
      <w:tr w:rsidR="005B06E6" w:rsidRPr="008A7560" w14:paraId="043CCB0F" w14:textId="77777777" w:rsidTr="009B6B64">
        <w:tc>
          <w:tcPr>
            <w:tcW w:w="1001" w:type="pct"/>
            <w:hideMark/>
          </w:tcPr>
          <w:p w14:paraId="7E036AC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الربط بالاستدامة</w:t>
            </w:r>
          </w:p>
        </w:tc>
        <w:tc>
          <w:tcPr>
            <w:tcW w:w="1001" w:type="pct"/>
          </w:tcPr>
          <w:p w14:paraId="64247C6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ارتباط بالسياق السعودي</w:t>
            </w:r>
          </w:p>
        </w:tc>
        <w:tc>
          <w:tcPr>
            <w:tcW w:w="1001" w:type="pct"/>
          </w:tcPr>
          <w:p w14:paraId="66C678E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 مخاطر التأخير</w:t>
            </w:r>
          </w:p>
        </w:tc>
        <w:tc>
          <w:tcPr>
            <w:tcW w:w="1001" w:type="pct"/>
          </w:tcPr>
          <w:p w14:paraId="67181F4F"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RII + </w:t>
            </w:r>
            <w:r w:rsidRPr="008A7560">
              <w:rPr>
                <w:rFonts w:ascii="Traditional Arabic" w:hAnsi="Traditional Arabic" w:cs="Traditional Arabic"/>
                <w:sz w:val="28"/>
                <w:szCs w:val="28"/>
                <w:rtl/>
              </w:rPr>
              <w:t>استبيان</w:t>
            </w:r>
          </w:p>
        </w:tc>
        <w:tc>
          <w:tcPr>
            <w:tcW w:w="995" w:type="pct"/>
          </w:tcPr>
          <w:p w14:paraId="23761628"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Alshihri</w:t>
            </w:r>
            <w:proofErr w:type="spellEnd"/>
            <w:r w:rsidRPr="008A7560">
              <w:rPr>
                <w:rFonts w:ascii="Traditional Arabic" w:hAnsi="Traditional Arabic" w:cs="Traditional Arabic"/>
                <w:sz w:val="28"/>
                <w:szCs w:val="28"/>
                <w:lang w:bidi="ar-EG"/>
              </w:rPr>
              <w:t xml:space="preserve"> et al. (2022)</w:t>
            </w:r>
          </w:p>
        </w:tc>
      </w:tr>
      <w:tr w:rsidR="005B06E6" w:rsidRPr="008A7560" w14:paraId="7E0ED032" w14:textId="77777777" w:rsidTr="009B6B64">
        <w:tc>
          <w:tcPr>
            <w:tcW w:w="1001" w:type="pct"/>
            <w:hideMark/>
          </w:tcPr>
          <w:p w14:paraId="2B46BFB7"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اختبار تجريبي</w:t>
            </w:r>
          </w:p>
        </w:tc>
        <w:tc>
          <w:tcPr>
            <w:tcW w:w="1001" w:type="pct"/>
          </w:tcPr>
          <w:p w14:paraId="54358AF9"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تحليل شامل</w:t>
            </w:r>
          </w:p>
        </w:tc>
        <w:tc>
          <w:tcPr>
            <w:tcW w:w="1001" w:type="pct"/>
          </w:tcPr>
          <w:p w14:paraId="252154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تحديد أسباب التأخير</w:t>
            </w:r>
          </w:p>
        </w:tc>
        <w:tc>
          <w:tcPr>
            <w:tcW w:w="1001" w:type="pct"/>
          </w:tcPr>
          <w:p w14:paraId="0AC0828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مراجعة أدبيات</w:t>
            </w:r>
          </w:p>
        </w:tc>
        <w:tc>
          <w:tcPr>
            <w:tcW w:w="995" w:type="pct"/>
          </w:tcPr>
          <w:p w14:paraId="165CB816"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Alajmi &amp; Memon (2022)</w:t>
            </w:r>
          </w:p>
        </w:tc>
      </w:tr>
      <w:tr w:rsidR="005B06E6" w:rsidRPr="008A7560" w14:paraId="7F739B59" w14:textId="77777777" w:rsidTr="009B6B64">
        <w:tc>
          <w:tcPr>
            <w:tcW w:w="1001" w:type="pct"/>
            <w:hideMark/>
          </w:tcPr>
          <w:p w14:paraId="195614D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أبعاد الاستدامة</w:t>
            </w:r>
          </w:p>
        </w:tc>
        <w:tc>
          <w:tcPr>
            <w:tcW w:w="1001" w:type="pct"/>
          </w:tcPr>
          <w:p w14:paraId="166932C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دمج ميداني + أدبي</w:t>
            </w:r>
          </w:p>
        </w:tc>
        <w:tc>
          <w:tcPr>
            <w:tcW w:w="1001" w:type="pct"/>
          </w:tcPr>
          <w:p w14:paraId="5CCDAD25"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تحديد</w:t>
            </w:r>
            <w:r w:rsidRPr="008A7560">
              <w:rPr>
                <w:rFonts w:ascii="Traditional Arabic" w:hAnsi="Traditional Arabic" w:cs="Traditional Arabic"/>
                <w:sz w:val="28"/>
                <w:szCs w:val="28"/>
                <w:lang w:bidi="ar-EG"/>
              </w:rPr>
              <w:t xml:space="preserve"> KPIs </w:t>
            </w:r>
            <w:r w:rsidRPr="008A7560">
              <w:rPr>
                <w:rFonts w:ascii="Traditional Arabic" w:hAnsi="Traditional Arabic" w:cs="Traditional Arabic"/>
                <w:sz w:val="28"/>
                <w:szCs w:val="28"/>
                <w:rtl/>
              </w:rPr>
              <w:t>في عسير</w:t>
            </w:r>
          </w:p>
        </w:tc>
        <w:tc>
          <w:tcPr>
            <w:tcW w:w="1001" w:type="pct"/>
          </w:tcPr>
          <w:p w14:paraId="59784EC3"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مقابلات + استبيانات</w:t>
            </w:r>
          </w:p>
        </w:tc>
        <w:tc>
          <w:tcPr>
            <w:tcW w:w="995" w:type="pct"/>
          </w:tcPr>
          <w:p w14:paraId="77728560"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Asiri &amp; Al Mazhar (2025)</w:t>
            </w:r>
          </w:p>
        </w:tc>
      </w:tr>
      <w:tr w:rsidR="005B06E6" w:rsidRPr="008A7560" w14:paraId="451B4581" w14:textId="77777777" w:rsidTr="009B6B64">
        <w:tc>
          <w:tcPr>
            <w:tcW w:w="1001" w:type="pct"/>
            <w:hideMark/>
          </w:tcPr>
          <w:p w14:paraId="111B9FB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بيانات كمية</w:t>
            </w:r>
          </w:p>
        </w:tc>
        <w:tc>
          <w:tcPr>
            <w:tcW w:w="1001" w:type="pct"/>
          </w:tcPr>
          <w:p w14:paraId="6BCA149A"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ربط بالسياق المحلي</w:t>
            </w:r>
          </w:p>
        </w:tc>
        <w:tc>
          <w:tcPr>
            <w:tcW w:w="1001" w:type="pct"/>
          </w:tcPr>
          <w:p w14:paraId="428546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تقييم معايير الاستدامة</w:t>
            </w:r>
          </w:p>
        </w:tc>
        <w:tc>
          <w:tcPr>
            <w:tcW w:w="1001" w:type="pct"/>
          </w:tcPr>
          <w:p w14:paraId="0DFB795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مراجعة نقدية</w:t>
            </w:r>
          </w:p>
        </w:tc>
        <w:tc>
          <w:tcPr>
            <w:tcW w:w="995" w:type="pct"/>
          </w:tcPr>
          <w:p w14:paraId="036B43F8"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et al. (2022)</w:t>
            </w:r>
          </w:p>
        </w:tc>
      </w:tr>
      <w:tr w:rsidR="005B06E6" w:rsidRPr="008A7560" w14:paraId="565D6D69" w14:textId="77777777" w:rsidTr="009B6B64">
        <w:tc>
          <w:tcPr>
            <w:tcW w:w="1001" w:type="pct"/>
            <w:hideMark/>
          </w:tcPr>
          <w:p w14:paraId="4246397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ضعف الوعي التقني</w:t>
            </w:r>
          </w:p>
        </w:tc>
        <w:tc>
          <w:tcPr>
            <w:tcW w:w="1001" w:type="pct"/>
          </w:tcPr>
          <w:p w14:paraId="1B1818CD"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دمج الرقمنة والاستدامة</w:t>
            </w:r>
          </w:p>
        </w:tc>
        <w:tc>
          <w:tcPr>
            <w:tcW w:w="1001" w:type="pct"/>
          </w:tcPr>
          <w:p w14:paraId="067C2048"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دور البلوك تشين</w:t>
            </w:r>
          </w:p>
        </w:tc>
        <w:tc>
          <w:tcPr>
            <w:tcW w:w="1001" w:type="pct"/>
          </w:tcPr>
          <w:p w14:paraId="62EF1949"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منهج مزدوج</w:t>
            </w:r>
          </w:p>
        </w:tc>
        <w:tc>
          <w:tcPr>
            <w:tcW w:w="995" w:type="pct"/>
          </w:tcPr>
          <w:p w14:paraId="09A9E90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Azmi et al. (2022)</w:t>
            </w:r>
          </w:p>
        </w:tc>
      </w:tr>
      <w:tr w:rsidR="005B06E6" w:rsidRPr="008A7560" w14:paraId="4DB5E6E7" w14:textId="77777777" w:rsidTr="009B6B64">
        <w:tc>
          <w:tcPr>
            <w:tcW w:w="1001" w:type="pct"/>
            <w:hideMark/>
          </w:tcPr>
          <w:p w14:paraId="593B340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تركيز على الجودة فقط</w:t>
            </w:r>
          </w:p>
        </w:tc>
        <w:tc>
          <w:tcPr>
            <w:tcW w:w="1001" w:type="pct"/>
          </w:tcPr>
          <w:p w14:paraId="4F46E28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تطوير معيار تطبيقي</w:t>
            </w:r>
          </w:p>
        </w:tc>
        <w:tc>
          <w:tcPr>
            <w:tcW w:w="1001" w:type="pct"/>
          </w:tcPr>
          <w:p w14:paraId="6D6E336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مؤشر</w:t>
            </w:r>
            <w:r w:rsidRPr="008A7560">
              <w:rPr>
                <w:rFonts w:ascii="Traditional Arabic" w:hAnsi="Traditional Arabic" w:cs="Traditional Arabic"/>
                <w:sz w:val="28"/>
                <w:szCs w:val="28"/>
                <w:lang w:bidi="ar-EG"/>
              </w:rPr>
              <w:t xml:space="preserve"> PQI</w:t>
            </w:r>
          </w:p>
        </w:tc>
        <w:tc>
          <w:tcPr>
            <w:tcW w:w="1001" w:type="pct"/>
          </w:tcPr>
          <w:p w14:paraId="37B7041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AHP</w:t>
            </w:r>
          </w:p>
        </w:tc>
        <w:tc>
          <w:tcPr>
            <w:tcW w:w="995" w:type="pct"/>
          </w:tcPr>
          <w:p w14:paraId="03256C3C"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et al. (2023)</w:t>
            </w:r>
          </w:p>
        </w:tc>
      </w:tr>
      <w:tr w:rsidR="005B06E6" w:rsidRPr="008A7560" w14:paraId="12496105" w14:textId="77777777" w:rsidTr="009B6B64">
        <w:tc>
          <w:tcPr>
            <w:tcW w:w="1001" w:type="pct"/>
            <w:hideMark/>
          </w:tcPr>
          <w:p w14:paraId="5668131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lastRenderedPageBreak/>
              <w:t>اختلاف السياقات</w:t>
            </w:r>
          </w:p>
        </w:tc>
        <w:tc>
          <w:tcPr>
            <w:tcW w:w="1001" w:type="pct"/>
          </w:tcPr>
          <w:p w14:paraId="71B1752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مقارنة بين دولتين</w:t>
            </w:r>
          </w:p>
        </w:tc>
        <w:tc>
          <w:tcPr>
            <w:tcW w:w="1001" w:type="pct"/>
          </w:tcPr>
          <w:p w14:paraId="3FE7650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 عوائق الأداء</w:t>
            </w:r>
          </w:p>
        </w:tc>
        <w:tc>
          <w:tcPr>
            <w:tcW w:w="1001" w:type="pct"/>
          </w:tcPr>
          <w:p w14:paraId="2B1BA91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RII + </w:t>
            </w:r>
            <w:r w:rsidRPr="008A7560">
              <w:rPr>
                <w:rFonts w:ascii="Traditional Arabic" w:hAnsi="Traditional Arabic" w:cs="Traditional Arabic"/>
                <w:sz w:val="28"/>
                <w:szCs w:val="28"/>
                <w:rtl/>
              </w:rPr>
              <w:t>مقابلات</w:t>
            </w:r>
          </w:p>
        </w:tc>
        <w:tc>
          <w:tcPr>
            <w:tcW w:w="995" w:type="pct"/>
          </w:tcPr>
          <w:p w14:paraId="5F31BDC0"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Al-Otaibi et al. (2025)</w:t>
            </w:r>
          </w:p>
        </w:tc>
      </w:tr>
    </w:tbl>
    <w:p w14:paraId="241BB05E"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p>
    <w:p w14:paraId="5549DECA" w14:textId="339DC494" w:rsidR="005B06E6" w:rsidRPr="008A7560" w:rsidRDefault="00EB0354" w:rsidP="005B06E6">
      <w:pPr>
        <w:bidi/>
        <w:spacing w:line="480" w:lineRule="auto"/>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 xml:space="preserve">2-6-5 </w:t>
      </w:r>
      <w:r w:rsidR="005B06E6" w:rsidRPr="008A7560">
        <w:rPr>
          <w:rFonts w:ascii="Traditional Arabic" w:hAnsi="Traditional Arabic" w:cs="Traditional Arabic"/>
          <w:b/>
          <w:bCs/>
          <w:sz w:val="28"/>
          <w:szCs w:val="28"/>
          <w:rtl/>
        </w:rPr>
        <w:t>التعليق على الدراسات السابقة والفجوة البحثية</w:t>
      </w:r>
    </w:p>
    <w:p w14:paraId="0DF4C0A8"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يتضح من استعراض الدراسات السابقة أن موضوع الاستدامة في المشاريع الإنشائية قد حظي باهتمام بحثي متزايد في السنوات الأخيرة، حيث ركزت بعض الدراسات مثل دراسة </w:t>
      </w: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على تقديم مراجعات منهجية للأدبيات وتحليل الأطر النظرية والمعايير المتعلقة بالاستدامة في قطاع 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8A7560">
        <w:rPr>
          <w:rFonts w:ascii="Traditional Arabic" w:hAnsi="Traditional Arabic" w:cs="Traditional Arabic"/>
          <w:sz w:val="28"/>
          <w:szCs w:val="28"/>
          <w:lang w:bidi="ar-EG"/>
        </w:rPr>
        <w:t>.</w:t>
      </w:r>
    </w:p>
    <w:p w14:paraId="018F9546"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كما تناولت دراسات أخرى مثل </w:t>
      </w:r>
      <w:r w:rsidRPr="008A7560">
        <w:rPr>
          <w:rFonts w:ascii="Traditional Arabic" w:hAnsi="Traditional Arabic" w:cs="Traditional Arabic"/>
          <w:sz w:val="28"/>
          <w:szCs w:val="28"/>
          <w:lang w:bidi="ar-EG"/>
        </w:rPr>
        <w:t xml:space="preserve">Rajabi et al. (2022) </w:t>
      </w:r>
      <w:r w:rsidRPr="008A7560">
        <w:rPr>
          <w:rFonts w:ascii="Traditional Arabic" w:hAnsi="Traditional Arabic" w:cs="Traditional Arabic"/>
          <w:sz w:val="28"/>
          <w:szCs w:val="28"/>
          <w:rtl/>
        </w:rPr>
        <w:t>و</w:t>
      </w: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et al. (2023) </w:t>
      </w:r>
      <w:r w:rsidRPr="008A7560">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8A7560">
        <w:rPr>
          <w:rFonts w:ascii="Traditional Arabic" w:hAnsi="Traditional Arabic" w:cs="Traditional Arabic"/>
          <w:sz w:val="28"/>
          <w:szCs w:val="28"/>
          <w:lang w:bidi="ar-EG"/>
        </w:rPr>
        <w:t xml:space="preserve"> (AHP) </w:t>
      </w:r>
      <w:r w:rsidRPr="008A7560">
        <w:rPr>
          <w:rFonts w:ascii="Traditional Arabic" w:hAnsi="Traditional Arabic" w:cs="Traditional Arabic"/>
          <w:sz w:val="28"/>
          <w:szCs w:val="28"/>
          <w:rtl/>
        </w:rPr>
        <w:t>والنمذجة بالمعادلات الهيكلية</w:t>
      </w:r>
      <w:r w:rsidRPr="008A7560">
        <w:rPr>
          <w:rFonts w:ascii="Traditional Arabic" w:hAnsi="Traditional Arabic" w:cs="Traditional Arabic"/>
          <w:sz w:val="28"/>
          <w:szCs w:val="28"/>
          <w:lang w:bidi="ar-EG"/>
        </w:rPr>
        <w:t xml:space="preserve"> (SEM) </w:t>
      </w:r>
      <w:r w:rsidRPr="008A7560">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8A7560">
        <w:rPr>
          <w:rFonts w:ascii="Traditional Arabic" w:hAnsi="Traditional Arabic" w:cs="Traditional Arabic"/>
          <w:sz w:val="28"/>
          <w:szCs w:val="28"/>
          <w:lang w:bidi="ar-EG"/>
        </w:rPr>
        <w:t>.</w:t>
      </w:r>
    </w:p>
    <w:p w14:paraId="7C5E404B"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من جانب آخر، ركزت بعض الدراسات مثل </w:t>
      </w:r>
      <w:proofErr w:type="spellStart"/>
      <w:r w:rsidRPr="008A7560">
        <w:rPr>
          <w:rFonts w:ascii="Traditional Arabic" w:hAnsi="Traditional Arabic" w:cs="Traditional Arabic"/>
          <w:sz w:val="28"/>
          <w:szCs w:val="28"/>
          <w:lang w:bidi="ar-EG"/>
        </w:rPr>
        <w:t>Unegbu</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و</w:t>
      </w:r>
      <w:proofErr w:type="spellStart"/>
      <w:r w:rsidRPr="008A7560">
        <w:rPr>
          <w:rFonts w:ascii="Traditional Arabic" w:hAnsi="Traditional Arabic" w:cs="Traditional Arabic"/>
          <w:sz w:val="28"/>
          <w:szCs w:val="28"/>
          <w:lang w:bidi="ar-EG"/>
        </w:rPr>
        <w:t>Alshihri</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lang w:bidi="ar-EG"/>
        </w:rPr>
        <w:t xml:space="preserve">Alajmi &amp; Memon (2022) </w:t>
      </w:r>
      <w:r w:rsidRPr="008A7560">
        <w:rPr>
          <w:rFonts w:ascii="Traditional Arabic" w:hAnsi="Traditional Arabic" w:cs="Traditional Arabic"/>
          <w:sz w:val="28"/>
          <w:szCs w:val="28"/>
          <w:rtl/>
        </w:rPr>
        <w:t xml:space="preserve">على دراسة أداء المشاريع الإنشائية في ضوء عوامل مثل المخاطر والتأخيرات </w:t>
      </w:r>
      <w:r w:rsidRPr="008A7560">
        <w:rPr>
          <w:rFonts w:ascii="Traditional Arabic" w:hAnsi="Traditional Arabic" w:cs="Traditional Arabic"/>
          <w:sz w:val="28"/>
          <w:szCs w:val="28"/>
          <w:rtl/>
        </w:rPr>
        <w:lastRenderedPageBreak/>
        <w:t>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8A7560">
        <w:rPr>
          <w:rFonts w:ascii="Traditional Arabic" w:hAnsi="Traditional Arabic" w:cs="Traditional Arabic"/>
          <w:sz w:val="28"/>
          <w:szCs w:val="28"/>
          <w:lang w:bidi="ar-EG"/>
        </w:rPr>
        <w:t>.</w:t>
      </w:r>
    </w:p>
    <w:p w14:paraId="46D58159"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أما الدراسات التي حاولت الربط بين الاستدامة والأداء في المشاريع، مثل </w:t>
      </w:r>
      <w:r w:rsidRPr="008A7560">
        <w:rPr>
          <w:rFonts w:ascii="Traditional Arabic" w:hAnsi="Traditional Arabic" w:cs="Traditional Arabic"/>
          <w:sz w:val="28"/>
          <w:szCs w:val="28"/>
          <w:lang w:bidi="ar-EG"/>
        </w:rPr>
        <w:t xml:space="preserve">Al-Otaibi et al. (2025)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lang w:bidi="ar-EG"/>
        </w:rPr>
        <w:t>Azmi et al. (</w:t>
      </w:r>
      <w:proofErr w:type="gramStart"/>
      <w:r w:rsidRPr="008A7560">
        <w:rPr>
          <w:rFonts w:ascii="Traditional Arabic" w:hAnsi="Traditional Arabic" w:cs="Traditional Arabic"/>
          <w:sz w:val="28"/>
          <w:szCs w:val="28"/>
          <w:lang w:bidi="ar-EG"/>
        </w:rPr>
        <w:t>2022)</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tl/>
        </w:rPr>
        <w:t xml:space="preserve"> فقد تناولت موضوعات مهمة مثل تأثير استخدام تقنيات حديثة كـ</w:t>
      </w:r>
      <w:r w:rsidRPr="008A7560">
        <w:rPr>
          <w:rFonts w:ascii="Traditional Arabic" w:hAnsi="Traditional Arabic" w:cs="Traditional Arabic"/>
          <w:sz w:val="28"/>
          <w:szCs w:val="28"/>
          <w:lang w:bidi="ar-EG"/>
        </w:rPr>
        <w:t xml:space="preserve"> Blockchain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lang w:bidi="ar-EG"/>
        </w:rPr>
        <w:t xml:space="preserve">BIM </w:t>
      </w:r>
      <w:r w:rsidRPr="008A7560">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8A7560">
        <w:rPr>
          <w:rFonts w:ascii="Traditional Arabic" w:hAnsi="Traditional Arabic" w:cs="Traditional Arabic"/>
          <w:sz w:val="28"/>
          <w:szCs w:val="28"/>
          <w:lang w:bidi="ar-EG"/>
        </w:rPr>
        <w:t>.</w:t>
      </w:r>
    </w:p>
    <w:p w14:paraId="07CFFB58" w14:textId="6CE15F68" w:rsidR="005B06E6" w:rsidRPr="008A7560" w:rsidRDefault="00C64784" w:rsidP="005B06E6">
      <w:pPr>
        <w:bidi/>
        <w:spacing w:line="480" w:lineRule="auto"/>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 xml:space="preserve">2-7 </w:t>
      </w:r>
      <w:r w:rsidR="005B06E6" w:rsidRPr="008A7560">
        <w:rPr>
          <w:rFonts w:ascii="Traditional Arabic" w:hAnsi="Traditional Arabic" w:cs="Traditional Arabic"/>
          <w:b/>
          <w:bCs/>
          <w:sz w:val="28"/>
          <w:szCs w:val="28"/>
          <w:rtl/>
        </w:rPr>
        <w:t>الفجوة البحثية</w:t>
      </w:r>
    </w:p>
    <w:p w14:paraId="50EA016F"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t>قلة الدراسات الميدانية في السياق السعودي</w:t>
      </w:r>
      <w:r w:rsidRPr="008A7560">
        <w:rPr>
          <w:rFonts w:ascii="Traditional Arabic" w:hAnsi="Traditional Arabic" w:cs="Traditional Arabic"/>
          <w:sz w:val="28"/>
          <w:szCs w:val="28"/>
          <w:rtl/>
        </w:rPr>
        <w:t xml:space="preserve"> التي تربط بين تطبيق مبادئ الاستدامة وأداء المشاريع الإنشائية بأبعاده الأربعة (الجودة، التكلفة، الوقت، رضا العملاء) باستخدام بيانات مباشرة من المشاريع والشركات العاملة في السوق السعودي، بما يعزز مواءمة النتائج مع احتياجات رؤية المملكة 2030</w:t>
      </w:r>
      <w:r w:rsidRPr="008A7560">
        <w:rPr>
          <w:rFonts w:ascii="Traditional Arabic" w:hAnsi="Traditional Arabic" w:cs="Traditional Arabic"/>
          <w:sz w:val="28"/>
          <w:szCs w:val="28"/>
          <w:lang w:bidi="ar-EG"/>
        </w:rPr>
        <w:t>.</w:t>
      </w:r>
    </w:p>
    <w:p w14:paraId="3C45EE72"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t>غياب الدراسات التي تقدم إطارًا قياسًا شاملًا</w:t>
      </w:r>
      <w:r w:rsidRPr="008A7560">
        <w:rPr>
          <w:rFonts w:ascii="Traditional Arabic" w:hAnsi="Traditional Arabic" w:cs="Traditional Arabic"/>
          <w:sz w:val="28"/>
          <w:szCs w:val="28"/>
          <w:rtl/>
        </w:rPr>
        <w:t xml:space="preserve"> يجمع بين مؤشرات الأداء الرئيسية وممارسات الاستدامة في المشاريع، بشكل يساعد الشركات على تقييم الأثر الحقيقي لممارسات الاستدامة على الأداء التشغيلي والمالي والإداري للمشاريع</w:t>
      </w:r>
      <w:r w:rsidRPr="008A7560">
        <w:rPr>
          <w:rFonts w:ascii="Traditional Arabic" w:hAnsi="Traditional Arabic" w:cs="Traditional Arabic"/>
          <w:sz w:val="28"/>
          <w:szCs w:val="28"/>
          <w:lang w:bidi="ar-EG"/>
        </w:rPr>
        <w:t>.</w:t>
      </w:r>
    </w:p>
    <w:p w14:paraId="61D94D33"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lastRenderedPageBreak/>
        <w:t>قلة التركيز على الدور الوسيط للعوامل البيئية والتنظيمية</w:t>
      </w:r>
      <w:r w:rsidRPr="008A7560">
        <w:rPr>
          <w:rFonts w:ascii="Traditional Arabic" w:hAnsi="Traditional Arabic" w:cs="Traditional Arabic"/>
          <w:sz w:val="28"/>
          <w:szCs w:val="28"/>
          <w:rtl/>
        </w:rPr>
        <w:t xml:space="preserve"> (مثل السياسات الحكومية، حجم المشروع، مستوى وعي العاملين بالاستدامة) في العلاقة بين تطبيق مبادئ الاستدامة والأداء في المشاريع الإنشائية، رغم أهمية هذه العوامل في تحديد نجاح تنفيذ ممارسات الاستدامة على أرض الواقع</w:t>
      </w:r>
      <w:r w:rsidRPr="008A7560">
        <w:rPr>
          <w:rFonts w:ascii="Traditional Arabic" w:hAnsi="Traditional Arabic" w:cs="Traditional Arabic"/>
          <w:sz w:val="28"/>
          <w:szCs w:val="28"/>
          <w:lang w:bidi="ar-EG"/>
        </w:rPr>
        <w:t>.</w:t>
      </w:r>
    </w:p>
    <w:p w14:paraId="687389CC"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rtl/>
          <w:lang w:bidi="ar-EG"/>
        </w:rPr>
      </w:pPr>
      <w:r w:rsidRPr="008A7560">
        <w:rPr>
          <w:rFonts w:ascii="Traditional Arabic" w:hAnsi="Traditional Arabic" w:cs="Traditional Arabic"/>
          <w:b/>
          <w:bCs/>
          <w:sz w:val="28"/>
          <w:szCs w:val="28"/>
          <w:rtl/>
        </w:rPr>
        <w:t>ندرة الدراسات التي تقدم توصيات عملية وقابلة للتطبيق</w:t>
      </w:r>
      <w:r w:rsidRPr="008A7560">
        <w:rPr>
          <w:rFonts w:ascii="Traditional Arabic" w:hAnsi="Traditional Arabic" w:cs="Traditional Arabic"/>
          <w:sz w:val="28"/>
          <w:szCs w:val="28"/>
          <w:rtl/>
        </w:rPr>
        <w:t xml:space="preserve"> تساعد الشركات الإنشائية على تبني ممارسات الاستدامة بشكل يعزز الأداء، مع تقديم أدوات قابلة للقياس لدعم عمليات المتابعة والتحسين المستمر في المشاريع</w:t>
      </w:r>
      <w:r w:rsidRPr="008A7560">
        <w:rPr>
          <w:rFonts w:ascii="Traditional Arabic" w:hAnsi="Traditional Arabic" w:cs="Traditional Arabic"/>
          <w:sz w:val="28"/>
          <w:szCs w:val="28"/>
          <w:lang w:bidi="ar-EG"/>
        </w:rPr>
        <w:t>.</w:t>
      </w:r>
    </w:p>
    <w:p w14:paraId="337A4302" w14:textId="7466B83F" w:rsidR="005B06E6" w:rsidRPr="008A7560" w:rsidRDefault="00C64784" w:rsidP="005B06E6">
      <w:pPr>
        <w:bidi/>
        <w:spacing w:line="480" w:lineRule="auto"/>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rPr>
        <w:t xml:space="preserve">2-8 </w:t>
      </w:r>
      <w:r w:rsidR="005B06E6" w:rsidRPr="008A7560">
        <w:rPr>
          <w:rFonts w:ascii="Traditional Arabic" w:hAnsi="Traditional Arabic" w:cs="Traditional Arabic"/>
          <w:b/>
          <w:bCs/>
          <w:sz w:val="28"/>
          <w:szCs w:val="28"/>
          <w:rtl/>
          <w:lang w:bidi="ar-EG"/>
        </w:rPr>
        <w:t>خاتمة الفصل</w:t>
      </w:r>
    </w:p>
    <w:p w14:paraId="74696CC7" w14:textId="77777777" w:rsidR="005B06E6" w:rsidRPr="008A7560" w:rsidRDefault="005B06E6" w:rsidP="005B06E6">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يتضح من تحليل الجانب النظري والدراسات السابقة أن الاستدامة في المشاريع الإنشائية تُعد إطارًا مفاهيميًا شاملاً يتقاطع مع الأداء التشغيلي والإداري والمالي للمشاريع، وأن فهم العلاقة بينهما يستلزم دمج الأبعاد النظرية مع الشواهد التجريبية. فقد قدّم الجانب النظري أساسًا فكريًا متينًا يوضح تطور مفهوم الاستدامة تاريخيًا ونظريًا، بدءًا من تقرير</w:t>
      </w:r>
      <w:r w:rsidRPr="008A7560">
        <w:rPr>
          <w:rFonts w:ascii="Traditional Arabic" w:hAnsi="Traditional Arabic" w:cs="Traditional Arabic"/>
          <w:sz w:val="28"/>
          <w:szCs w:val="28"/>
          <w:lang w:bidi="ar-EG"/>
        </w:rPr>
        <w:t xml:space="preserve"> WCED (1987) </w:t>
      </w:r>
      <w:r w:rsidRPr="008A7560">
        <w:rPr>
          <w:rFonts w:ascii="Traditional Arabic" w:hAnsi="Traditional Arabic" w:cs="Traditional Arabic"/>
          <w:sz w:val="28"/>
          <w:szCs w:val="28"/>
          <w:rtl/>
        </w:rPr>
        <w:t>وإطار</w:t>
      </w:r>
      <w:r w:rsidRPr="008A7560">
        <w:rPr>
          <w:rFonts w:ascii="Traditional Arabic" w:hAnsi="Traditional Arabic" w:cs="Traditional Arabic"/>
          <w:sz w:val="28"/>
          <w:szCs w:val="28"/>
          <w:lang w:bidi="ar-EG"/>
        </w:rPr>
        <w:t xml:space="preserve"> Triple Bottom Line </w:t>
      </w:r>
      <w:r w:rsidRPr="008A7560">
        <w:rPr>
          <w:rFonts w:ascii="Traditional Arabic" w:hAnsi="Traditional Arabic" w:cs="Traditional Arabic"/>
          <w:sz w:val="28"/>
          <w:szCs w:val="28"/>
          <w:rtl/>
        </w:rPr>
        <w:t>لإلكينغتون (1997)، وصولاً إلى النظريات الحديثة مثل الاقتصاد الدائري والإدارة البيئية المتكاملة. ويُظهر هذا الجانب أن الاستدامة ليست مجرد توجه بيئي، بل منظومة متكاملة تؤثر بعمق على جودة المشروع، وتكلفته، ووقته، ورضا العملاء</w:t>
      </w:r>
      <w:r w:rsidRPr="008A7560">
        <w:rPr>
          <w:rFonts w:ascii="Traditional Arabic" w:hAnsi="Traditional Arabic" w:cs="Traditional Arabic"/>
          <w:sz w:val="28"/>
          <w:szCs w:val="28"/>
          <w:lang w:bidi="ar-EG"/>
        </w:rPr>
        <w:t>.</w:t>
      </w:r>
    </w:p>
    <w:p w14:paraId="0B7F1252" w14:textId="77777777" w:rsidR="005B06E6" w:rsidRPr="008A7560" w:rsidRDefault="005B06E6" w:rsidP="005B06E6">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وعند مقارنة هذا الأساس النظري مع ما قدمته الدراسات السابقة، يتبين أن معظمها ركز على أجزاء مجزأة من العلاقة بين الاستدامة والأداء. فبعض الدراسات تناولت الاستدامة من منظور تقني أو بيئي بحت، بينما ركزت دراسات أخرى على الأداء دون ربطه بممارسات الاستدامة، في حين حاولت دراسات محدودة الربط بين الجانبين لكنها تناولت عناصر </w:t>
      </w:r>
      <w:r w:rsidRPr="008A7560">
        <w:rPr>
          <w:rFonts w:ascii="Traditional Arabic" w:hAnsi="Traditional Arabic" w:cs="Traditional Arabic"/>
          <w:sz w:val="28"/>
          <w:szCs w:val="28"/>
          <w:rtl/>
        </w:rPr>
        <w:lastRenderedPageBreak/>
        <w:t>منفردة كالتكنولوجيا أو مؤشرات الأداء دون تقديم إطار تكاملي شامل. وهذا يقدم دليلًا واضحًا على وجود فجوة معرفية تتمثل في غياب دراسة تجمع بين الأبعاد الثلاثة للاستدامة (البيئية، الاقتصادية، الاجتماعية) وجميع مؤشرات الأداء الأربعة (الجودة، التكلفة، الوقت، رضا العملاء) داخل نموذج واحد، وخاصة في السياق السعودي</w:t>
      </w:r>
      <w:r w:rsidRPr="008A7560">
        <w:rPr>
          <w:rFonts w:ascii="Traditional Arabic" w:hAnsi="Traditional Arabic" w:cs="Traditional Arabic"/>
          <w:sz w:val="28"/>
          <w:szCs w:val="28"/>
          <w:lang w:bidi="ar-EG"/>
        </w:rPr>
        <w:t>.</w:t>
      </w:r>
    </w:p>
    <w:p w14:paraId="24EE895D" w14:textId="77777777" w:rsidR="005B06E6" w:rsidRDefault="005B06E6" w:rsidP="005B06E6">
      <w:pPr>
        <w:bidi/>
        <w:spacing w:line="480" w:lineRule="auto"/>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ويُسهم هذا الربط في دعم فرضيات الدراسة، إذ تشير الأطر النظرية إلى أن الاستدامة تؤثر بطبيعتها على الأداء من خلال تحسين كفاءة الموارد، وتقليل الهدر، وتعزيز جودة التنفيذ، وهي نفس الاتجاهات التي أشارت إليها نتائج بعض الدراسات وإن كان بشكل غير مباشر أو جزئي. وبالتالي، فإن الدراسة الحالية تستند إلى الأساس النظري والدلائل التجريبية السابقة لتطوير تصور بحثي أكثر شمولًا قادرًا على تفسير كيفية انتقال أثر ممارسات الاستدامة إلى الأداء العام للمشاريع. ويؤكد ذلك أهمية النموذج المفاهيمي الذي تبنته الدراسة، والذي يربط بين الأبعاد النظرية المتكاملة ومؤشرات الأداء، مما يعزز قدرة الدراسة على اختبار الفرضيات بشكل منهجي دقيق</w:t>
      </w:r>
      <w:r w:rsidRPr="008A7560">
        <w:rPr>
          <w:rFonts w:ascii="Traditional Arabic" w:hAnsi="Traditional Arabic" w:cs="Traditional Arabic"/>
          <w:sz w:val="28"/>
          <w:szCs w:val="28"/>
          <w:lang w:bidi="ar-EG"/>
        </w:rPr>
        <w:t>.</w:t>
      </w:r>
    </w:p>
    <w:p w14:paraId="0F4293C0" w14:textId="77777777" w:rsidR="00585CB0" w:rsidRDefault="00585CB0" w:rsidP="00585CB0">
      <w:pPr>
        <w:bidi/>
        <w:spacing w:line="480" w:lineRule="auto"/>
        <w:rPr>
          <w:rFonts w:ascii="Traditional Arabic" w:hAnsi="Traditional Arabic" w:cs="Traditional Arabic"/>
          <w:sz w:val="28"/>
          <w:szCs w:val="28"/>
          <w:rtl/>
          <w:lang w:bidi="ar-EG"/>
        </w:rPr>
      </w:pPr>
    </w:p>
    <w:p w14:paraId="340B08DA" w14:textId="77777777" w:rsidR="00585CB0" w:rsidRPr="008A7560" w:rsidRDefault="00585CB0" w:rsidP="00585CB0">
      <w:pPr>
        <w:bidi/>
        <w:spacing w:line="480" w:lineRule="auto"/>
        <w:rPr>
          <w:rFonts w:ascii="Traditional Arabic" w:hAnsi="Traditional Arabic" w:cs="Traditional Arabic"/>
          <w:sz w:val="28"/>
          <w:szCs w:val="28"/>
          <w:rtl/>
          <w:lang w:bidi="ar-EG"/>
        </w:rPr>
      </w:pPr>
    </w:p>
    <w:p w14:paraId="63EB68B0" w14:textId="77777777" w:rsidR="00D47EF4" w:rsidRPr="008A7560" w:rsidRDefault="00D47EF4" w:rsidP="00D47EF4">
      <w:pPr>
        <w:bidi/>
        <w:spacing w:line="480" w:lineRule="auto"/>
        <w:rPr>
          <w:rFonts w:ascii="Traditional Arabic" w:hAnsi="Traditional Arabic" w:cs="Traditional Arabic"/>
          <w:sz w:val="28"/>
          <w:szCs w:val="28"/>
          <w:rtl/>
          <w:lang w:bidi="ar-EG"/>
        </w:rPr>
      </w:pPr>
    </w:p>
    <w:p w14:paraId="3277C3BC" w14:textId="77777777" w:rsidR="00315129" w:rsidRDefault="00315129" w:rsidP="00315129">
      <w:pPr>
        <w:bidi/>
        <w:spacing w:after="200" w:line="480" w:lineRule="auto"/>
        <w:rPr>
          <w:rFonts w:ascii="Traditional Arabic" w:hAnsi="Traditional Arabic" w:cs="Traditional Arabic"/>
          <w:b/>
          <w:bCs/>
          <w:sz w:val="140"/>
          <w:szCs w:val="140"/>
          <w:rtl/>
        </w:rPr>
      </w:pPr>
    </w:p>
    <w:p w14:paraId="00441900" w14:textId="77777777" w:rsidR="00585CB0" w:rsidRPr="008A7560" w:rsidRDefault="00585CB0" w:rsidP="00585CB0">
      <w:pPr>
        <w:bidi/>
        <w:spacing w:after="200" w:line="480" w:lineRule="auto"/>
        <w:rPr>
          <w:rFonts w:ascii="Traditional Arabic" w:hAnsi="Traditional Arabic" w:cs="Traditional Arabic"/>
          <w:b/>
          <w:bCs/>
          <w:sz w:val="140"/>
          <w:szCs w:val="140"/>
          <w:rtl/>
        </w:rPr>
      </w:pPr>
    </w:p>
    <w:p w14:paraId="0D3D60F8" w14:textId="77F41D5B" w:rsidR="00D47EF4" w:rsidRPr="00ED4365" w:rsidRDefault="00D47EF4" w:rsidP="00ED4365">
      <w:pPr>
        <w:pStyle w:val="ListParagraph"/>
        <w:numPr>
          <w:ilvl w:val="0"/>
          <w:numId w:val="11"/>
        </w:numPr>
        <w:bidi/>
        <w:spacing w:after="200" w:line="480" w:lineRule="auto"/>
        <w:rPr>
          <w:rFonts w:ascii="Traditional Arabic" w:hAnsi="Traditional Arabic" w:cs="Traditional Arabic"/>
          <w:b/>
          <w:bCs/>
          <w:sz w:val="140"/>
          <w:szCs w:val="140"/>
          <w:rtl/>
        </w:rPr>
      </w:pPr>
      <w:r w:rsidRPr="00ED4365">
        <w:rPr>
          <w:rFonts w:ascii="Traditional Arabic" w:hAnsi="Traditional Arabic" w:cs="Traditional Arabic"/>
          <w:b/>
          <w:bCs/>
          <w:sz w:val="140"/>
          <w:szCs w:val="140"/>
          <w:rtl/>
        </w:rPr>
        <w:t>الفصل ال</w:t>
      </w:r>
      <w:r w:rsidR="00315129" w:rsidRPr="00ED4365">
        <w:rPr>
          <w:rFonts w:ascii="Traditional Arabic" w:hAnsi="Traditional Arabic" w:cs="Traditional Arabic"/>
          <w:b/>
          <w:bCs/>
          <w:sz w:val="140"/>
          <w:szCs w:val="140"/>
          <w:rtl/>
        </w:rPr>
        <w:t>ثالث</w:t>
      </w:r>
    </w:p>
    <w:p w14:paraId="239F53E8" w14:textId="77777777" w:rsidR="00D47EF4" w:rsidRPr="008A7560" w:rsidRDefault="00D47EF4" w:rsidP="00D47EF4">
      <w:pPr>
        <w:bidi/>
        <w:spacing w:line="480" w:lineRule="auto"/>
        <w:rPr>
          <w:rFonts w:ascii="Traditional Arabic" w:hAnsi="Traditional Arabic" w:cs="Traditional Arabic"/>
          <w:sz w:val="28"/>
          <w:szCs w:val="28"/>
          <w:rtl/>
          <w:lang w:bidi="ar-EG"/>
        </w:rPr>
      </w:pPr>
    </w:p>
    <w:p w14:paraId="3A9D5433"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519866AD"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6B0F6DA5"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55CAB1D7" w14:textId="77777777" w:rsidR="00315129" w:rsidRPr="008A7560" w:rsidRDefault="00315129" w:rsidP="00315129">
      <w:pPr>
        <w:bidi/>
        <w:spacing w:line="480" w:lineRule="auto"/>
        <w:rPr>
          <w:rFonts w:ascii="Traditional Arabic" w:hAnsi="Traditional Arabic" w:cs="Traditional Arabic"/>
          <w:sz w:val="28"/>
          <w:szCs w:val="28"/>
          <w:lang w:bidi="ar-EG"/>
        </w:rPr>
      </w:pPr>
    </w:p>
    <w:p w14:paraId="1413A9A4" w14:textId="77777777" w:rsidR="00315129" w:rsidRPr="008A7560" w:rsidRDefault="00315129" w:rsidP="00315129">
      <w:pPr>
        <w:bidi/>
        <w:spacing w:line="360" w:lineRule="auto"/>
        <w:jc w:val="center"/>
        <w:rPr>
          <w:rFonts w:ascii="Traditional Arabic" w:hAnsi="Traditional Arabic" w:cs="Traditional Arabic"/>
          <w:b/>
          <w:bCs/>
          <w:sz w:val="32"/>
          <w:szCs w:val="32"/>
        </w:rPr>
      </w:pPr>
      <w:r w:rsidRPr="008A7560">
        <w:rPr>
          <w:rFonts w:ascii="Traditional Arabic" w:hAnsi="Traditional Arabic" w:cs="Traditional Arabic"/>
          <w:b/>
          <w:bCs/>
          <w:sz w:val="32"/>
          <w:szCs w:val="32"/>
          <w:rtl/>
        </w:rPr>
        <w:lastRenderedPageBreak/>
        <w:t>منهجية الدراسة وإجراءاتها</w:t>
      </w:r>
    </w:p>
    <w:p w14:paraId="515FA6A9" w14:textId="73D6A2D8" w:rsidR="00315129" w:rsidRPr="008A7560" w:rsidRDefault="00965951" w:rsidP="00315129">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3-1 </w:t>
      </w:r>
      <w:r w:rsidR="00315129" w:rsidRPr="008A7560">
        <w:rPr>
          <w:rFonts w:ascii="Traditional Arabic" w:hAnsi="Traditional Arabic" w:cs="Traditional Arabic"/>
          <w:b/>
          <w:bCs/>
          <w:sz w:val="28"/>
          <w:szCs w:val="28"/>
          <w:rtl/>
        </w:rPr>
        <w:t>مقدمة الفصل</w:t>
      </w:r>
    </w:p>
    <w:p w14:paraId="5D89701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 ويتناول الفصل عرضًا تفصيليًا لمنهج الدراسة المستخدم، ومجتمعها وعينتها، وأداة جمع البيانات، إلى جانب بيان المتغيرات الرئيسة للدراسة، وطرق التحقق من صدق الأداة وثباتها، والإجراءات المتبعة في جمع البيانات. كما يستعرض الفصل الأساليب الإحصائية التي تم استخدامها في تحليل البيانات واختبار الفرضيات، بما ينسجم مع طبيعة الدراسة وأهدافها، ويسهم في الوصول إلى نتائج علمية موثوقة يمكن الاستناد إليها في تقديم التوصيات المناسبة</w:t>
      </w:r>
      <w:r w:rsidRPr="008A7560">
        <w:rPr>
          <w:rFonts w:ascii="Traditional Arabic" w:hAnsi="Traditional Arabic" w:cs="Traditional Arabic"/>
          <w:sz w:val="28"/>
          <w:szCs w:val="28"/>
        </w:rPr>
        <w:t>.</w:t>
      </w:r>
    </w:p>
    <w:p w14:paraId="7C9D31BC"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3-2</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منهج الدراسة</w:t>
      </w:r>
    </w:p>
    <w:p w14:paraId="3589F94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اعتمدت هذه الدراسة على المنهج الوصفي التحليلي، لكونه من أكثر المناهج البحثية ملاءمةً لدراسة الظواهر الإدارية والتنظيمية وتحليل العلاقات بين متغيراتها في بيئاتها الواقعية .  ويُعرَّف المنهج الوصفي التحليلي بأنه أحد المناهج البحثية التي تهدف إلى وصف الظواهر كما هي في الواقع، وتحليل العلاقات بين متغيراتها بهدف تفسيرها واستخلاص دلالاتها العلمية (</w:t>
      </w:r>
      <w:r w:rsidRPr="008A7560">
        <w:rPr>
          <w:rFonts w:ascii="Traditional Arabic" w:hAnsi="Traditional Arabic" w:cs="Traditional Arabic"/>
          <w:sz w:val="28"/>
          <w:szCs w:val="28"/>
        </w:rPr>
        <w:t>Creswell, 2003</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 ثم تحليل البيانات المتعلقة بها بهدف تفسير العلاقات بين المتغيرات واستخلاص النتائج العلمية ذات الدلالة</w:t>
      </w:r>
      <w:r w:rsidRPr="008A7560">
        <w:rPr>
          <w:rFonts w:ascii="Traditional Arabic" w:hAnsi="Traditional Arabic" w:cs="Traditional Arabic"/>
          <w:sz w:val="28"/>
          <w:szCs w:val="28"/>
        </w:rPr>
        <w:t>.</w:t>
      </w:r>
    </w:p>
    <w:p w14:paraId="092CD59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اختيار المنهج الوصفي التحليلي نظرًا لطبيعة موضوع الدراسة، الذي يسعى إلى تحليل أثر تطبيق مبادئ الاستدامة بأبعادها البيئية والاقتصادية والاجتماعية على أداء المشاريع الإنشائية، كما يُقاس من خلال مؤشرات محددة تشمل التكلفة، والجودة، والالتزام بالجدول الزمني، ورضا العملاء. ويُعد هذا المنهج مناسبًا لمثل هذه الدراسات التي تعتمد على جمع بيانات كمية من أفراد العينة من خلال الاستبانات، وتحليلها إحصائيًا للكشف عن طبيعة العلاقات بين المتغيرات واختبار الفرضيات المطروحة</w:t>
      </w:r>
      <w:r w:rsidRPr="008A7560">
        <w:rPr>
          <w:rFonts w:ascii="Traditional Arabic" w:hAnsi="Traditional Arabic" w:cs="Traditional Arabic"/>
          <w:sz w:val="28"/>
          <w:szCs w:val="28"/>
        </w:rPr>
        <w:t>.</w:t>
      </w:r>
    </w:p>
    <w:p w14:paraId="1809B4B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كما يتيح المنهج الوصفي التحليلي إمكانية دراسة الواقع الفعلي لتطبيق مبادئ الاستدامة داخل الشركات الإنشائية السعودية، دون التدخل في هذا الواقع أو التأثير عليه، مما يسهم في تقديم صورة موضوعية ودقيقة عن مستوى التطبيق </w:t>
      </w:r>
      <w:r w:rsidRPr="008A7560">
        <w:rPr>
          <w:rFonts w:ascii="Traditional Arabic" w:hAnsi="Traditional Arabic" w:cs="Traditional Arabic"/>
          <w:sz w:val="28"/>
          <w:szCs w:val="28"/>
          <w:rtl/>
        </w:rPr>
        <w:lastRenderedPageBreak/>
        <w:t>وأثره على أداء المشاريع. إضافة إلى ذلك، يساعد هذا المنهج في استخدام الأساليب الإحصائية المناسبة، مثل تحليل الارتباط والانحدار، بما يدعم تفسير النتائج بشكل علمي ومنهجي، ويتوافق مع أهداف الدراسة وطبيعة بياناتها.</w:t>
      </w:r>
    </w:p>
    <w:p w14:paraId="47662A7E"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3-3</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 xml:space="preserve">مجتمع وعينة الدراسة </w:t>
      </w:r>
    </w:p>
    <w:p w14:paraId="3578FA1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مجتمع الدراسة</w:t>
      </w:r>
    </w:p>
    <w:p w14:paraId="7D1F27C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يُقصد بمجتمع الدراسة جميع الأفراد الذين تتوافر لديهم الخصائص ذات الصلة بموضوع البحث، والذين يمكن من خلالهم الحصول على البيانات اللازمة لتحقيق أهداف الدراسة واختبار فرضياتها. وبناءً على ذلك، يتمثل مجتمع هذه الدراسة في جميع العاملين في المشاريع داخل الشركات الإنشائية في المملكة العربية السعودية، ممن لهم علاقة مباشرة بتخطيط المشاريع أو تنفيذها أو الإشراف عليها أو تقييم أدائها</w:t>
      </w:r>
      <w:r w:rsidRPr="008A7560">
        <w:rPr>
          <w:rFonts w:ascii="Traditional Arabic" w:hAnsi="Traditional Arabic" w:cs="Traditional Arabic"/>
          <w:sz w:val="28"/>
          <w:szCs w:val="28"/>
        </w:rPr>
        <w:t>.</w:t>
      </w:r>
    </w:p>
    <w:p w14:paraId="2F46254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ويُقدَّر مجتمع الدراسة بعدد كبير من العاملين في المشاريع الإنشائية في الشركات العاملة بمدينة جدة، نظرًا لاتساع قطاع البناء والتشييد في المدينة. وبناءً على طبيعة المجتمع الكبيرة، تم تحديد حجم العينة وفق جدول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w:t>
      </w:r>
      <w:r w:rsidRPr="008A7560">
        <w:rPr>
          <w:rFonts w:ascii="Traditional Arabic" w:hAnsi="Traditional Arabic" w:cs="Traditional Arabic"/>
          <w:sz w:val="28"/>
          <w:szCs w:val="28"/>
          <w:rtl/>
        </w:rPr>
        <w:t xml:space="preserve"> لتحديد حجم العينات المناسبة للمجتمعات الكبيرة، حيث بلغ الحجم المناسب للعينة (320) مفردة.</w:t>
      </w:r>
    </w:p>
    <w:p w14:paraId="31111E4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ويشمل مجتمع الدراسة فئات مهنية متعددة، من بينها مديرو المشاريع، والمهندسون المدنيون والمعماريون، والاستشاريون الفنيون، ومختصو الجودة والاستدامة، نظرًا لارتباطهم المباشر بتطبيق مبادئ الاستدامة ومتابعة أثرها على أداء المشاريع الإنشائية من حيث التكلفة والجودة والالتزام بالجدول الزمني ورضا العملاء</w:t>
      </w:r>
      <w:r w:rsidRPr="008A7560">
        <w:rPr>
          <w:rFonts w:ascii="Traditional Arabic" w:hAnsi="Traditional Arabic" w:cs="Traditional Arabic"/>
          <w:sz w:val="28"/>
          <w:szCs w:val="28"/>
        </w:rPr>
        <w:t>.</w:t>
      </w:r>
    </w:p>
    <w:p w14:paraId="78C3BC45" w14:textId="77777777" w:rsidR="00315129" w:rsidRPr="008A7560" w:rsidRDefault="00315129" w:rsidP="00315129">
      <w:pPr>
        <w:bidi/>
        <w:spacing w:line="360" w:lineRule="auto"/>
        <w:jc w:val="both"/>
        <w:rPr>
          <w:rFonts w:ascii="Traditional Arabic" w:hAnsi="Traditional Arabic" w:cs="Traditional Arabic"/>
          <w:sz w:val="32"/>
          <w:szCs w:val="32"/>
          <w:rtl/>
        </w:rPr>
      </w:pPr>
      <w:r w:rsidRPr="008A7560">
        <w:rPr>
          <w:rFonts w:ascii="Traditional Arabic" w:hAnsi="Traditional Arabic" w:cs="Traditional Arabic"/>
          <w:sz w:val="28"/>
          <w:szCs w:val="28"/>
          <w:rtl/>
        </w:rPr>
        <w:t xml:space="preserve">أما من حيث الإطار الجغرافي، فقد اقتصرت الدراسة على الشركات الإنشائية العاملة في مدينة جدة بالمملكة العربية السعودية، وذلك لما تمثله المدينة من أهمية اقتصادية وعمرانية متزايدة، إذ تُعد من أبرز المدن السعودية التي تشهد تنفيذ عدد كبير من المشاريع الإنشائية والتنموية في ظل توجهات رؤية المملكة 2030. كما تتميز جدة بتنوع المشاريع المنفذة فيها من حيث الحجم والنوع والقطاع (حكومي، خاص، مختلط)، مما </w:t>
      </w:r>
      <w:r w:rsidRPr="008A7560">
        <w:rPr>
          <w:rFonts w:ascii="Traditional Arabic" w:hAnsi="Traditional Arabic" w:cs="Traditional Arabic"/>
          <w:sz w:val="32"/>
          <w:szCs w:val="32"/>
          <w:rtl/>
        </w:rPr>
        <w:t>يجعلها بيئة مناسبة لدراسة أثر تطبيق مبادئ الاستدامة على أداء المشاريع الإنشائية</w:t>
      </w:r>
      <w:r w:rsidRPr="008A7560">
        <w:rPr>
          <w:rFonts w:ascii="Traditional Arabic" w:hAnsi="Traditional Arabic" w:cs="Traditional Arabic"/>
          <w:sz w:val="32"/>
          <w:szCs w:val="32"/>
        </w:rPr>
        <w:t>.</w:t>
      </w:r>
      <w:r w:rsidRPr="008A7560">
        <w:rPr>
          <w:rFonts w:ascii="Traditional Arabic" w:hAnsi="Traditional Arabic" w:cs="Traditional Arabic"/>
          <w:sz w:val="32"/>
          <w:szCs w:val="32"/>
          <w:rtl/>
        </w:rPr>
        <w:t xml:space="preserve"> ويعود اختيار مدينة جدة ميدانًا للدراسة إلى كونها من المدن السعودية التي تشهد نشاطًا عمرانيًا وإنشائيًا متسارعًا، حيث تضم عددًا كبيرًا من المشاريع الإنشائية في </w:t>
      </w:r>
      <w:r w:rsidRPr="008A7560">
        <w:rPr>
          <w:rFonts w:ascii="Traditional Arabic" w:hAnsi="Traditional Arabic" w:cs="Traditional Arabic"/>
          <w:sz w:val="32"/>
          <w:szCs w:val="32"/>
          <w:rtl/>
        </w:rPr>
        <w:lastRenderedPageBreak/>
        <w:t>القطاعات الحكومية والخاصة، كما ترتبط بالعديد من مشاريع التطوير العمراني ضمن برامج رؤية المملكة العربية السعودية 2030، الأمر الذي يجعلها بيئة مناسبة لدراسة تطبيق مبادئ الاستدامة في المشاريع الإنشائية وتحليل أثرها على الأداء</w:t>
      </w:r>
      <w:r w:rsidRPr="008A7560">
        <w:rPr>
          <w:rFonts w:ascii="Traditional Arabic" w:hAnsi="Traditional Arabic" w:cs="Traditional Arabic"/>
          <w:sz w:val="32"/>
          <w:szCs w:val="32"/>
        </w:rPr>
        <w:t>.</w:t>
      </w:r>
    </w:p>
    <w:p w14:paraId="081A9689" w14:textId="77777777" w:rsidR="00315129" w:rsidRPr="008A7560" w:rsidRDefault="00315129" w:rsidP="00315129">
      <w:pPr>
        <w:bidi/>
        <w:spacing w:line="360" w:lineRule="auto"/>
        <w:jc w:val="both"/>
        <w:rPr>
          <w:rFonts w:ascii="Traditional Arabic" w:hAnsi="Traditional Arabic" w:cs="Traditional Arabic"/>
          <w:sz w:val="32"/>
          <w:szCs w:val="32"/>
          <w:rtl/>
        </w:rPr>
      </w:pPr>
      <w:r w:rsidRPr="008A7560">
        <w:rPr>
          <w:rFonts w:ascii="Traditional Arabic" w:hAnsi="Traditional Arabic" w:cs="Traditional Arabic"/>
          <w:sz w:val="32"/>
          <w:szCs w:val="32"/>
          <w:rtl/>
        </w:rPr>
        <w:t xml:space="preserve"> ولتحديد الإطار الإحصائي لمجتمع الدراسة، تم الاعتماد على قوائم الشركات الإنشائية العاملة في مدينة جدة والمسجلة لدى الجهات المهنية والتنظيمية في قطاع البناء، إضافة إلى الأدلة المهنية ومنصات التواصل المهني. وتم توزيع الاستبانة الإلكترونية على العاملين في هذه الشركات ممن يشغلون وظائف مرتبطة بإدارة وتنفيذ المشاريع الإنشائية.</w:t>
      </w:r>
    </w:p>
    <w:p w14:paraId="7F0DB5C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عينة الدراسة</w:t>
      </w:r>
    </w:p>
    <w:p w14:paraId="4C043D8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ويُبرَّر اختيار هذا المجتمع لكونه يعكس الواقع الفعلي لقطاع البناء في المملكة، ويوفر بيانات ميدانية موثوقة تساعد في تحليل اثر المتغير المستقل على المتغير التابع بصورة علمية دقيقة، بما يسهم في تعميم النتائج ضمن حدود الدراسة.</w:t>
      </w:r>
    </w:p>
    <w:p w14:paraId="59B87B5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نظرًا لكبر حجم مجتمع الدراسة، وصعوبة حصر جميع أفراده، تم الاعتماد على أسلوب العينة العشوائية الطبقية لاختيار عينة ممثلة لمجتمع الدراسة، بما يضمن شمول مختلف الفئات الوظيفية والقطاعات داخل الشركات الإنشائية. وقد تم تقسيم المجتمع إلى طبقات وفقًا للوظيفة أو طبيعة العمل داخل المشروع، ثم اختيار أفراد العينة عشوائيًا من كل طبقة بما يتناسب مع حجمها، تحقيقًا لمبدأ العدالة الإحصائية وتمثيل المجتمع بشكل أدق</w:t>
      </w:r>
      <w:r w:rsidRPr="008A7560">
        <w:rPr>
          <w:rFonts w:ascii="Traditional Arabic" w:hAnsi="Traditional Arabic" w:cs="Traditional Arabic"/>
          <w:sz w:val="28"/>
          <w:szCs w:val="28"/>
        </w:rPr>
        <w:t>.</w:t>
      </w:r>
    </w:p>
    <w:p w14:paraId="1561A88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ونظرًا لاتساع مجتمع الدراسة الذي يضم عددًا كبيرًا من العاملين في المشاريع الإنشائية داخل الشركات العاملة في مدينة جدة، فقد تم الاعتماد على جدول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w:t>
      </w:r>
      <w:r w:rsidRPr="008A7560">
        <w:rPr>
          <w:rFonts w:ascii="Traditional Arabic" w:hAnsi="Traditional Arabic" w:cs="Traditional Arabic"/>
          <w:sz w:val="28"/>
          <w:szCs w:val="28"/>
          <w:rtl/>
        </w:rPr>
        <w:t xml:space="preserve"> لتحديد حجم العينة المناسب للمجتمعات الكبيرة، حيث بلغ حجم العينة المطلوب (297) مفردة بما يحقق مستوى ثقة مناسب لنتائج الدراسة.</w:t>
      </w:r>
    </w:p>
    <w:p w14:paraId="5E8A312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تحديد حجم العينة بالاعتماد على معادلة كريجسي ومورغان</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 </w:t>
      </w:r>
      <w:r w:rsidRPr="008A7560">
        <w:rPr>
          <w:rFonts w:ascii="Traditional Arabic" w:hAnsi="Traditional Arabic" w:cs="Traditional Arabic"/>
          <w:sz w:val="28"/>
          <w:szCs w:val="28"/>
          <w:rtl/>
        </w:rPr>
        <w:t>لتحديد حجم العينة المناسب للمجتمعات الكبيرة، وعند مستوى دلالة (0.05)، حيث بلغ حجم العينة المستهدف (297) مفردة، وهو حجم يُعد كافيًا إحصائيًا لتحقيق أهداف الدراسة واختبار فرضياتها بدرجة عالية من الموثوقية</w:t>
      </w:r>
      <w:r w:rsidRPr="008A7560">
        <w:rPr>
          <w:rFonts w:ascii="Traditional Arabic" w:hAnsi="Traditional Arabic" w:cs="Traditional Arabic"/>
          <w:sz w:val="28"/>
          <w:szCs w:val="28"/>
        </w:rPr>
        <w:t>.</w:t>
      </w:r>
    </w:p>
    <w:p w14:paraId="768CB2A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وتتكون عينة الدراسة من أفراد يمثلون مختلف المستويات الوظيفية في المشاريع الإنشائية، وتشمل</w:t>
      </w:r>
      <w:r w:rsidRPr="008A7560">
        <w:rPr>
          <w:rFonts w:ascii="Traditional Arabic" w:hAnsi="Traditional Arabic" w:cs="Traditional Arabic"/>
          <w:sz w:val="28"/>
          <w:szCs w:val="28"/>
        </w:rPr>
        <w:t>:</w:t>
      </w:r>
    </w:p>
    <w:p w14:paraId="0EADC84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مديري المشاريع</w:t>
      </w:r>
    </w:p>
    <w:p w14:paraId="3BE9BE3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مهندسين مدنيين ومعماريين</w:t>
      </w:r>
    </w:p>
    <w:p w14:paraId="1132023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استشاريين فنيين</w:t>
      </w:r>
    </w:p>
    <w:p w14:paraId="468BDC7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مختصي الجودة والاستدامة</w:t>
      </w:r>
    </w:p>
    <w:p w14:paraId="7E95649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رُوعي في اختيار العينة تنوع سنوات الخبرة لدى المشاركين، وتنوع نوع الشركة التي يعملون بها (شركات حكومية، خاصة، أو مختلطة)، بما يعزز من شمولية النتائج وقدرتها على عكس الواقع العملي لقطاع المشاريع الإنشائية في مدينة جدة</w:t>
      </w:r>
      <w:r w:rsidRPr="008A7560">
        <w:rPr>
          <w:rFonts w:ascii="Traditional Arabic" w:hAnsi="Traditional Arabic" w:cs="Traditional Arabic"/>
          <w:sz w:val="28"/>
          <w:szCs w:val="28"/>
        </w:rPr>
        <w:t>.</w:t>
      </w:r>
    </w:p>
    <w:p w14:paraId="4441113B"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تم تقسيم مجتمع الدراسة إلى طبقات وفق الفئات الوظيفية المرتبطة بإدارة وتنفيذ المشاريع الإنشائية، ثم تم اختيار أفراد العينة من كل طبقة بصورة عشوائية بما يتناسب مع حجمها داخل المجتمع.</w:t>
      </w:r>
    </w:p>
    <w:p w14:paraId="0F3EE19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توزيع أداة الدراسة (الاستبانة) إلكترونيًا على أفراد العينة، بهدف تسهيل الوصول إلى المبحوثين، وزيادة معدل الاستجابة، وضمان جمع بيانات دقيقة تعكس آراء وتجارب المشاركين فيما يتعلق بتطبيق مبادئ الاستدامة وأثرها على أداء المشاريع الإنشائية.</w:t>
      </w:r>
    </w:p>
    <w:p w14:paraId="7A606F6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 توزيع الاستبانة إلكترونيًا على عدد من العاملين في الشركات الإنشائية بمدينة جدة، حيث بلغ عدد الاستبانات الموزعة (320) استبانة، وتم استرجاع (290) استبانة، وبعد مراجعتها واستبعاد (5) استبانات غير مكتملة أو غير صالحة للتحليل، بلغ عدد الاستبانات الصالحة للتحليل الإحصائي (285) استبانة، وهي العينة الفعلية التي تم الاعتماد عليها في اختبار فرضيات الدراسة. وقد بلغت نسبة الاستجابة الصالحة نحو (89.1%) من إجمالي الاستبانات الموزعة، وهي نسبة مرتفعة ومقبولة إحصائيًا بما يضمن موثوقية النتائج وإمكانية تعميمها على مجتمع الدراسة.</w:t>
      </w:r>
    </w:p>
    <w:p w14:paraId="126F829C" w14:textId="77777777" w:rsidR="003961A2" w:rsidRDefault="003961A2" w:rsidP="00315129">
      <w:pPr>
        <w:bidi/>
        <w:spacing w:line="360" w:lineRule="auto"/>
        <w:jc w:val="both"/>
        <w:rPr>
          <w:rFonts w:ascii="Traditional Arabic" w:hAnsi="Traditional Arabic" w:cs="Traditional Arabic"/>
          <w:b/>
          <w:bCs/>
          <w:sz w:val="28"/>
          <w:szCs w:val="28"/>
          <w:rtl/>
        </w:rPr>
      </w:pPr>
    </w:p>
    <w:p w14:paraId="609EF306" w14:textId="0AD7C364" w:rsidR="00315129" w:rsidRPr="008A7560" w:rsidRDefault="00315129" w:rsidP="003961A2">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3-4</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أداة الدراسة</w:t>
      </w:r>
    </w:p>
    <w:p w14:paraId="4CDE0BF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اعتمدت الدراسة الحالية على الاستبانة كأداة رئيسة لجمع البيانات، نظرًا لملاءمتها لطبيعة الدراسة وأهدافها، وقدرتها على جمع بيانات كمية من عدد كبير من المبحوثين في فترة زمنية مناسبة</w:t>
      </w:r>
      <w:r w:rsidRPr="008A7560">
        <w:rPr>
          <w:rFonts w:ascii="Traditional Arabic" w:hAnsi="Traditional Arabic" w:cs="Traditional Arabic"/>
          <w:sz w:val="28"/>
          <w:szCs w:val="28"/>
        </w:rPr>
        <w:t>.</w:t>
      </w:r>
    </w:p>
    <w:p w14:paraId="7D7DD3F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إعداد فقرات الاستبانة بالاعتماد على مراجعة الأدبيات العلمية والدراسات السابقة المرتبطة بموضوع الاستدامة وأداء المشاريع الإنشائية، ولا سيما الدراسات التي تناولت أبعاد الاستدامة الثلاثة (البيئية، والاقتصادية، والاجتماعية) في قطاع البناء، إضافة إلى الدراسات التي تناولت مؤشرات أداء المشاريع مثل التكلفة والجودة والالتزام بالجدول الزمني ورضا العملاء</w:t>
      </w:r>
      <w:r w:rsidRPr="008A7560">
        <w:rPr>
          <w:rFonts w:ascii="Traditional Arabic" w:hAnsi="Traditional Arabic" w:cs="Traditional Arabic"/>
          <w:sz w:val="28"/>
          <w:szCs w:val="28"/>
        </w:rPr>
        <w:t xml:space="preserve">. </w:t>
      </w:r>
    </w:p>
    <w:p w14:paraId="5F390D95"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Elkington, J. (1997). </w:t>
      </w:r>
    </w:p>
    <w:p w14:paraId="2ACAF428"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Zuo, J., &amp; Zhao, Z. Y. (2014). </w:t>
      </w:r>
    </w:p>
    <w:p w14:paraId="47057301"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Darko, A., &amp; Chan, A. P. C. (2017). </w:t>
      </w:r>
    </w:p>
    <w:p w14:paraId="3719CA5A"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Atkinson, R. (1999). </w:t>
      </w:r>
    </w:p>
    <w:p w14:paraId="7374A221"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Chan, A. P. C., Scott, D., &amp; Chan, A. P. L. (2004)</w:t>
      </w:r>
    </w:p>
    <w:p w14:paraId="5C7CB81C"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Ika, L. A. (2009).</w:t>
      </w:r>
    </w:p>
    <w:p w14:paraId="37AFE835"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 Kerzner, H. (2025). </w:t>
      </w:r>
    </w:p>
    <w:p w14:paraId="726C1184"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Guide, P. M. B. O. K. 2008.</w:t>
      </w:r>
    </w:p>
    <w:p w14:paraId="36E8F41B"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Kibert, C. J. (2016). </w:t>
      </w:r>
    </w:p>
    <w:p w14:paraId="21E9931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Pr>
        <w:t>Hwang, B. G., &amp; Tan, J. S. (2012).</w:t>
      </w:r>
    </w:p>
    <w:p w14:paraId="18BCA6A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تكونت الاستبانة من عدة محاور رئيسة، صُممت لقياس متغيرات الدراسة المختلفة، حيث اشتملت على</w:t>
      </w:r>
      <w:r w:rsidRPr="008A7560">
        <w:rPr>
          <w:rFonts w:ascii="Traditional Arabic" w:hAnsi="Traditional Arabic" w:cs="Traditional Arabic"/>
          <w:sz w:val="28"/>
          <w:szCs w:val="28"/>
        </w:rPr>
        <w:t>:</w:t>
      </w:r>
    </w:p>
    <w:p w14:paraId="18534C7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محور لقياس تطبيق مبادئ الاستدامة بأبعادها البيئية والاقتصادية والاجتماعية</w:t>
      </w:r>
    </w:p>
    <w:p w14:paraId="4EA8156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محور لقياس أداء المشاريع الإنشائية بأبعاده الأربعة</w:t>
      </w:r>
    </w:p>
    <w:p w14:paraId="214979B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محور لقياس البيئة الداعمة لتطبيق الاستدامة</w:t>
      </w:r>
    </w:p>
    <w:p w14:paraId="1ACF39E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تم إدراج خصائص المشروع (مثل حجم المشروع ونوعه) ضمن المتغيرات الضابطة في هذه الدراسة، نظرًا لدورها المحتمل في التأثير على أداء المشاريع الإنشائية، وذلك بهدف التحكم في تأثيرها عند تحليل العلاقة بين تطبيق مبادئ الاستدامة وأداء المشاريع.</w:t>
      </w:r>
    </w:p>
    <w:p w14:paraId="1AECECEC"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محور للبيانات الديموغرافية للمبحوثين</w:t>
      </w:r>
    </w:p>
    <w:p w14:paraId="0E49CE56"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جدول (3</w:t>
      </w:r>
      <w:r w:rsidRPr="008A7560">
        <w:rPr>
          <w:rFonts w:ascii="Traditional Arabic" w:hAnsi="Traditional Arabic" w:cs="Traditional Arabic"/>
          <w:sz w:val="28"/>
          <w:szCs w:val="28"/>
          <w:rtl/>
          <w:lang w:bidi="ar-EG"/>
        </w:rPr>
        <w:t>-2)</w:t>
      </w:r>
      <w:r w:rsidRPr="008A7560">
        <w:rPr>
          <w:rFonts w:ascii="Traditional Arabic" w:hAnsi="Traditional Arabic" w:cs="Traditional Arabic"/>
          <w:sz w:val="28"/>
          <w:szCs w:val="28"/>
          <w:rtl/>
        </w:rPr>
        <w:t xml:space="preserve"> محاور الاستبانة وعدد فقراتها</w:t>
      </w:r>
    </w:p>
    <w:tbl>
      <w:tblPr>
        <w:tblStyle w:val="TableGrid"/>
        <w:bidiVisual/>
        <w:tblW w:w="5000" w:type="pct"/>
        <w:jc w:val="center"/>
        <w:tblLook w:val="04A0" w:firstRow="1" w:lastRow="0" w:firstColumn="1" w:lastColumn="0" w:noHBand="0" w:noVBand="1"/>
      </w:tblPr>
      <w:tblGrid>
        <w:gridCol w:w="3645"/>
        <w:gridCol w:w="2828"/>
        <w:gridCol w:w="1823"/>
      </w:tblGrid>
      <w:tr w:rsidR="00315129" w:rsidRPr="008A7560" w14:paraId="31523052" w14:textId="77777777" w:rsidTr="009B6B64">
        <w:trPr>
          <w:jc w:val="center"/>
        </w:trPr>
        <w:tc>
          <w:tcPr>
            <w:tcW w:w="0" w:type="auto"/>
            <w:vAlign w:val="center"/>
            <w:hideMark/>
          </w:tcPr>
          <w:p w14:paraId="407D8059"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المحور</w:t>
            </w:r>
          </w:p>
        </w:tc>
        <w:tc>
          <w:tcPr>
            <w:tcW w:w="0" w:type="auto"/>
            <w:vAlign w:val="center"/>
            <w:hideMark/>
          </w:tcPr>
          <w:p w14:paraId="29B1BEA2"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البعد</w:t>
            </w:r>
          </w:p>
        </w:tc>
        <w:tc>
          <w:tcPr>
            <w:tcW w:w="0" w:type="auto"/>
            <w:vAlign w:val="center"/>
            <w:hideMark/>
          </w:tcPr>
          <w:p w14:paraId="22EB20B3"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عدد الفقرات</w:t>
            </w:r>
          </w:p>
        </w:tc>
      </w:tr>
      <w:tr w:rsidR="00315129" w:rsidRPr="008A7560" w14:paraId="7ED1DA59" w14:textId="77777777" w:rsidTr="009B6B64">
        <w:trPr>
          <w:jc w:val="center"/>
        </w:trPr>
        <w:tc>
          <w:tcPr>
            <w:tcW w:w="0" w:type="auto"/>
            <w:vMerge w:val="restart"/>
            <w:vAlign w:val="center"/>
            <w:hideMark/>
          </w:tcPr>
          <w:p w14:paraId="39148398"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تطبيق مبادئ الاستدامة</w:t>
            </w:r>
          </w:p>
        </w:tc>
        <w:tc>
          <w:tcPr>
            <w:tcW w:w="0" w:type="auto"/>
            <w:vAlign w:val="center"/>
            <w:hideMark/>
          </w:tcPr>
          <w:p w14:paraId="630934D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البيئي</w:t>
            </w:r>
          </w:p>
        </w:tc>
        <w:tc>
          <w:tcPr>
            <w:tcW w:w="0" w:type="auto"/>
            <w:vAlign w:val="center"/>
            <w:hideMark/>
          </w:tcPr>
          <w:p w14:paraId="733CCEA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5</w:t>
            </w:r>
          </w:p>
        </w:tc>
      </w:tr>
      <w:tr w:rsidR="00315129" w:rsidRPr="008A7560" w14:paraId="3173755E" w14:textId="77777777" w:rsidTr="009B6B64">
        <w:trPr>
          <w:jc w:val="center"/>
        </w:trPr>
        <w:tc>
          <w:tcPr>
            <w:tcW w:w="0" w:type="auto"/>
            <w:vMerge/>
            <w:vAlign w:val="center"/>
            <w:hideMark/>
          </w:tcPr>
          <w:p w14:paraId="53B29353"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04CAAEE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الاقتصادي</w:t>
            </w:r>
          </w:p>
        </w:tc>
        <w:tc>
          <w:tcPr>
            <w:tcW w:w="0" w:type="auto"/>
            <w:vAlign w:val="center"/>
          </w:tcPr>
          <w:p w14:paraId="6EA45590"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3C69FCEE" w14:textId="77777777" w:rsidTr="009B6B64">
        <w:trPr>
          <w:jc w:val="center"/>
        </w:trPr>
        <w:tc>
          <w:tcPr>
            <w:tcW w:w="0" w:type="auto"/>
            <w:vMerge/>
            <w:vAlign w:val="center"/>
            <w:hideMark/>
          </w:tcPr>
          <w:p w14:paraId="356A5AF6"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C30519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الاجتماعي</w:t>
            </w:r>
          </w:p>
        </w:tc>
        <w:tc>
          <w:tcPr>
            <w:tcW w:w="0" w:type="auto"/>
            <w:vAlign w:val="center"/>
          </w:tcPr>
          <w:p w14:paraId="74B770A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6AA18E2C" w14:textId="77777777" w:rsidTr="009B6B64">
        <w:trPr>
          <w:jc w:val="center"/>
        </w:trPr>
        <w:tc>
          <w:tcPr>
            <w:tcW w:w="0" w:type="auto"/>
            <w:vMerge w:val="restart"/>
            <w:vAlign w:val="center"/>
            <w:hideMark/>
          </w:tcPr>
          <w:p w14:paraId="491901E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أداء المشاريع الإنشائية</w:t>
            </w:r>
          </w:p>
        </w:tc>
        <w:tc>
          <w:tcPr>
            <w:tcW w:w="0" w:type="auto"/>
            <w:vAlign w:val="center"/>
            <w:hideMark/>
          </w:tcPr>
          <w:p w14:paraId="5F6B447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التكلفة</w:t>
            </w:r>
          </w:p>
        </w:tc>
        <w:tc>
          <w:tcPr>
            <w:tcW w:w="0" w:type="auto"/>
            <w:vAlign w:val="center"/>
            <w:hideMark/>
          </w:tcPr>
          <w:p w14:paraId="312EC753"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44C4957D" w14:textId="77777777" w:rsidTr="009B6B64">
        <w:trPr>
          <w:jc w:val="center"/>
        </w:trPr>
        <w:tc>
          <w:tcPr>
            <w:tcW w:w="0" w:type="auto"/>
            <w:vMerge/>
            <w:vAlign w:val="center"/>
            <w:hideMark/>
          </w:tcPr>
          <w:p w14:paraId="52D811B7"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62C6A41"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الجودة</w:t>
            </w:r>
          </w:p>
        </w:tc>
        <w:tc>
          <w:tcPr>
            <w:tcW w:w="0" w:type="auto"/>
            <w:vAlign w:val="center"/>
            <w:hideMark/>
          </w:tcPr>
          <w:p w14:paraId="30F5121C"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38A818A4" w14:textId="77777777" w:rsidTr="009B6B64">
        <w:trPr>
          <w:jc w:val="center"/>
        </w:trPr>
        <w:tc>
          <w:tcPr>
            <w:tcW w:w="0" w:type="auto"/>
            <w:vMerge/>
            <w:vAlign w:val="center"/>
            <w:hideMark/>
          </w:tcPr>
          <w:p w14:paraId="44A7A3AB"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6E3EA6F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الالتزام بالجدول الزمني</w:t>
            </w:r>
          </w:p>
        </w:tc>
        <w:tc>
          <w:tcPr>
            <w:tcW w:w="0" w:type="auto"/>
            <w:vAlign w:val="center"/>
            <w:hideMark/>
          </w:tcPr>
          <w:p w14:paraId="7499503D"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6FAD834C" w14:textId="77777777" w:rsidTr="009B6B64">
        <w:trPr>
          <w:jc w:val="center"/>
        </w:trPr>
        <w:tc>
          <w:tcPr>
            <w:tcW w:w="0" w:type="auto"/>
            <w:vMerge/>
            <w:vAlign w:val="center"/>
            <w:hideMark/>
          </w:tcPr>
          <w:p w14:paraId="23C61562"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012F273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رضا العملاء</w:t>
            </w:r>
          </w:p>
        </w:tc>
        <w:tc>
          <w:tcPr>
            <w:tcW w:w="0" w:type="auto"/>
            <w:vAlign w:val="center"/>
            <w:hideMark/>
          </w:tcPr>
          <w:p w14:paraId="0900684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67D14C78" w14:textId="77777777" w:rsidTr="009B6B64">
        <w:trPr>
          <w:jc w:val="center"/>
        </w:trPr>
        <w:tc>
          <w:tcPr>
            <w:tcW w:w="0" w:type="auto"/>
            <w:vMerge w:val="restart"/>
            <w:vAlign w:val="center"/>
            <w:hideMark/>
          </w:tcPr>
          <w:p w14:paraId="6E92EA9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البيئة الداعمة لتطبيق الاستدامة</w:t>
            </w:r>
          </w:p>
        </w:tc>
        <w:tc>
          <w:tcPr>
            <w:tcW w:w="0" w:type="auto"/>
            <w:vAlign w:val="center"/>
            <w:hideMark/>
          </w:tcPr>
          <w:p w14:paraId="153E7B5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السياسات والتنظيمات</w:t>
            </w:r>
          </w:p>
        </w:tc>
        <w:tc>
          <w:tcPr>
            <w:tcW w:w="0" w:type="auto"/>
            <w:vAlign w:val="center"/>
            <w:hideMark/>
          </w:tcPr>
          <w:p w14:paraId="190ECCB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3</w:t>
            </w:r>
          </w:p>
        </w:tc>
      </w:tr>
      <w:tr w:rsidR="00315129" w:rsidRPr="008A7560" w14:paraId="45A895C1" w14:textId="77777777" w:rsidTr="009B6B64">
        <w:trPr>
          <w:jc w:val="center"/>
        </w:trPr>
        <w:tc>
          <w:tcPr>
            <w:tcW w:w="0" w:type="auto"/>
            <w:vMerge/>
            <w:vAlign w:val="center"/>
            <w:hideMark/>
          </w:tcPr>
          <w:p w14:paraId="636F8151"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7C0E594"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الوعي والثقافة المؤسسية</w:t>
            </w:r>
          </w:p>
        </w:tc>
        <w:tc>
          <w:tcPr>
            <w:tcW w:w="0" w:type="auto"/>
            <w:vAlign w:val="center"/>
            <w:hideMark/>
          </w:tcPr>
          <w:p w14:paraId="4E3440D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4</w:t>
            </w:r>
          </w:p>
        </w:tc>
      </w:tr>
      <w:tr w:rsidR="00315129" w:rsidRPr="008A7560" w14:paraId="0D96B007" w14:textId="77777777" w:rsidTr="009B6B64">
        <w:trPr>
          <w:jc w:val="center"/>
        </w:trPr>
        <w:tc>
          <w:tcPr>
            <w:tcW w:w="0" w:type="auto"/>
            <w:vMerge/>
            <w:vAlign w:val="center"/>
          </w:tcPr>
          <w:p w14:paraId="6F85ED8B"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tcPr>
          <w:p w14:paraId="7FF6E4EE" w14:textId="77777777" w:rsidR="00315129" w:rsidRPr="008A7560" w:rsidRDefault="00315129" w:rsidP="009B6B64">
            <w:pPr>
              <w:bidi/>
              <w:spacing w:line="360" w:lineRule="auto"/>
              <w:jc w:val="center"/>
              <w:rPr>
                <w:rFonts w:ascii="Traditional Arabic" w:hAnsi="Traditional Arabic" w:cs="Traditional Arabic"/>
                <w:sz w:val="28"/>
                <w:szCs w:val="28"/>
                <w:rtl/>
              </w:rPr>
            </w:pPr>
            <w:r w:rsidRPr="008A7560">
              <w:rPr>
                <w:rFonts w:ascii="Traditional Arabic" w:hAnsi="Traditional Arabic" w:cs="Traditional Arabic"/>
                <w:sz w:val="28"/>
                <w:szCs w:val="28"/>
                <w:rtl/>
              </w:rPr>
              <w:t>خصائص المشروع</w:t>
            </w:r>
          </w:p>
        </w:tc>
        <w:tc>
          <w:tcPr>
            <w:tcW w:w="0" w:type="auto"/>
            <w:vAlign w:val="center"/>
          </w:tcPr>
          <w:p w14:paraId="3DB96CFB"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2</w:t>
            </w:r>
          </w:p>
        </w:tc>
      </w:tr>
      <w:tr w:rsidR="00315129" w:rsidRPr="008A7560" w14:paraId="2800E29C" w14:textId="77777777" w:rsidTr="009B6B64">
        <w:trPr>
          <w:jc w:val="center"/>
        </w:trPr>
        <w:tc>
          <w:tcPr>
            <w:tcW w:w="0" w:type="auto"/>
            <w:gridSpan w:val="2"/>
            <w:vAlign w:val="center"/>
            <w:hideMark/>
          </w:tcPr>
          <w:p w14:paraId="68EBC40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إجمالي فقرات الاستبانة</w:t>
            </w:r>
          </w:p>
        </w:tc>
        <w:tc>
          <w:tcPr>
            <w:tcW w:w="0" w:type="auto"/>
            <w:vAlign w:val="center"/>
            <w:hideMark/>
          </w:tcPr>
          <w:p w14:paraId="37CBFEF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41</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فقرة</w:t>
            </w:r>
          </w:p>
        </w:tc>
      </w:tr>
    </w:tbl>
    <w:p w14:paraId="450239D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استخدام مقياس ليكرت الخماسي لقياس استجابات أفراد العينة، بحيث تراوحت البدائل بين (موافق بشدة، موافق، محايد، غير موافق، غير موافق بشدة)، ومنح لكل بديل وزن عددي يعكس درجة الموافقة</w:t>
      </w:r>
      <w:r w:rsidRPr="008A7560">
        <w:rPr>
          <w:rFonts w:ascii="Traditional Arabic" w:hAnsi="Traditional Arabic" w:cs="Traditional Arabic"/>
          <w:sz w:val="28"/>
          <w:szCs w:val="28"/>
        </w:rPr>
        <w:t>.</w:t>
      </w:r>
    </w:p>
    <w:p w14:paraId="0171A54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جدول (3-3) تفسير المتوسطات الحسابية لمقياس ليكرت الخماسي</w:t>
      </w:r>
    </w:p>
    <w:tbl>
      <w:tblPr>
        <w:tblStyle w:val="TableGrid"/>
        <w:bidiVisual/>
        <w:tblW w:w="5000" w:type="pct"/>
        <w:jc w:val="center"/>
        <w:tblLook w:val="04A0" w:firstRow="1" w:lastRow="0" w:firstColumn="1" w:lastColumn="0" w:noHBand="0" w:noVBand="1"/>
      </w:tblPr>
      <w:tblGrid>
        <w:gridCol w:w="4418"/>
        <w:gridCol w:w="3878"/>
      </w:tblGrid>
      <w:tr w:rsidR="00315129" w:rsidRPr="008A7560" w14:paraId="49708ED3" w14:textId="77777777" w:rsidTr="009B6B64">
        <w:trPr>
          <w:jc w:val="center"/>
        </w:trPr>
        <w:tc>
          <w:tcPr>
            <w:tcW w:w="0" w:type="auto"/>
            <w:vAlign w:val="center"/>
            <w:hideMark/>
          </w:tcPr>
          <w:p w14:paraId="7FDF5DA6"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المتوسط الحسابي</w:t>
            </w:r>
          </w:p>
        </w:tc>
        <w:tc>
          <w:tcPr>
            <w:tcW w:w="0" w:type="auto"/>
            <w:vAlign w:val="center"/>
            <w:hideMark/>
          </w:tcPr>
          <w:p w14:paraId="3718B1FA"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مستوى التفسير</w:t>
            </w:r>
          </w:p>
        </w:tc>
      </w:tr>
      <w:tr w:rsidR="00315129" w:rsidRPr="008A7560" w14:paraId="11D14FD5" w14:textId="77777777" w:rsidTr="009B6B64">
        <w:trPr>
          <w:jc w:val="center"/>
        </w:trPr>
        <w:tc>
          <w:tcPr>
            <w:tcW w:w="0" w:type="auto"/>
            <w:vAlign w:val="center"/>
            <w:hideMark/>
          </w:tcPr>
          <w:p w14:paraId="7E2407AB"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1.00 – 2.33</w:t>
            </w:r>
          </w:p>
        </w:tc>
        <w:tc>
          <w:tcPr>
            <w:tcW w:w="0" w:type="auto"/>
            <w:vAlign w:val="center"/>
            <w:hideMark/>
          </w:tcPr>
          <w:p w14:paraId="47473537"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منخفض</w:t>
            </w:r>
          </w:p>
        </w:tc>
      </w:tr>
      <w:tr w:rsidR="00315129" w:rsidRPr="008A7560" w14:paraId="3DF86F5F" w14:textId="77777777" w:rsidTr="009B6B64">
        <w:trPr>
          <w:jc w:val="center"/>
        </w:trPr>
        <w:tc>
          <w:tcPr>
            <w:tcW w:w="0" w:type="auto"/>
            <w:vAlign w:val="center"/>
            <w:hideMark/>
          </w:tcPr>
          <w:p w14:paraId="25F0517B"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2.34 – 3.67</w:t>
            </w:r>
          </w:p>
        </w:tc>
        <w:tc>
          <w:tcPr>
            <w:tcW w:w="0" w:type="auto"/>
            <w:vAlign w:val="center"/>
            <w:hideMark/>
          </w:tcPr>
          <w:p w14:paraId="0F72B0E1"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متوسط</w:t>
            </w:r>
          </w:p>
        </w:tc>
      </w:tr>
      <w:tr w:rsidR="00315129" w:rsidRPr="008A7560" w14:paraId="4CCF425E" w14:textId="77777777" w:rsidTr="009B6B64">
        <w:trPr>
          <w:jc w:val="center"/>
        </w:trPr>
        <w:tc>
          <w:tcPr>
            <w:tcW w:w="0" w:type="auto"/>
            <w:vAlign w:val="center"/>
            <w:hideMark/>
          </w:tcPr>
          <w:p w14:paraId="7ED55BDC"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3.68 – 5.00</w:t>
            </w:r>
          </w:p>
        </w:tc>
        <w:tc>
          <w:tcPr>
            <w:tcW w:w="0" w:type="auto"/>
            <w:vAlign w:val="center"/>
            <w:hideMark/>
          </w:tcPr>
          <w:p w14:paraId="5A320AA5"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مرتفع</w:t>
            </w:r>
          </w:p>
        </w:tc>
      </w:tr>
    </w:tbl>
    <w:p w14:paraId="4631F59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 تحديد مستويات التفسير وفق المدى الحسابي لمقياس ليكرت الخماسي، حيث تم تقسيم المدى الكلي للمقياس (5–1) إلى ثلاث فئات متساوية لتفسير المتوسطات الحسابية.</w:t>
      </w:r>
    </w:p>
    <w:p w14:paraId="05A7EC8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واعتمدت فقرات الاستبانة في بنائها على مراجعة شاملة للأدبيات والدراسات السابقة ذات الصلة بموضوع الاستدامة وأداء المشاريع الإنشائية، بما يضمن شمولية الأداة وارتباطها بالإطار النظري للدراسة، ويسهم في تحقيق صدقها وثباتها الإحصائي.</w:t>
      </w:r>
    </w:p>
    <w:p w14:paraId="162A2A93"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متغيرات الدراسة</w:t>
      </w:r>
    </w:p>
    <w:p w14:paraId="6AB004F8"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تتكون الدراسة الحالية من مجموعة من المتغيرات الرئيسة التي تم تحديدها استنادًا إلى الإطار النظري، والدراسات السابقة، وأهداف الدراسة وتساؤلاتها.</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تم تحديد أبعاد الاستدامة في هذه الدراسة استنادًا إلى نموذج </w:t>
      </w:r>
      <w:r w:rsidRPr="008A7560">
        <w:rPr>
          <w:rFonts w:ascii="Traditional Arabic" w:hAnsi="Traditional Arabic" w:cs="Traditional Arabic"/>
          <w:sz w:val="28"/>
          <w:szCs w:val="28"/>
        </w:rPr>
        <w:t>Triple Bottom Line</w:t>
      </w:r>
      <w:r w:rsidRPr="008A7560">
        <w:rPr>
          <w:rFonts w:ascii="Traditional Arabic" w:hAnsi="Traditional Arabic" w:cs="Traditional Arabic"/>
          <w:sz w:val="28"/>
          <w:szCs w:val="28"/>
          <w:rtl/>
        </w:rPr>
        <w:t xml:space="preserve"> الذي يقسم الاستدامة إلى ثلاثة أبعاد رئيسية هي: البعد البيئي، والبعد الاقتصادي، والبعد الاجتماعي (</w:t>
      </w:r>
      <w:r w:rsidRPr="008A7560">
        <w:rPr>
          <w:rFonts w:ascii="Traditional Arabic" w:hAnsi="Traditional Arabic" w:cs="Traditional Arabic"/>
          <w:sz w:val="28"/>
          <w:szCs w:val="28"/>
        </w:rPr>
        <w:t xml:space="preserve">Elkington, </w:t>
      </w:r>
      <w:r w:rsidRPr="008A7560">
        <w:rPr>
          <w:rFonts w:ascii="Traditional Arabic" w:hAnsi="Traditional Arabic" w:cs="Traditional Arabic"/>
          <w:sz w:val="28"/>
          <w:szCs w:val="28"/>
        </w:rPr>
        <w:lastRenderedPageBreak/>
        <w:t>1997</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Pr>
        <w:t xml:space="preserve"> (Zuo &amp; Zhao, 2014 </w:t>
      </w:r>
      <w:r w:rsidRPr="008A7560">
        <w:rPr>
          <w:rFonts w:ascii="Traditional Arabic" w:hAnsi="Traditional Arabic" w:cs="Traditional Arabic"/>
          <w:sz w:val="28"/>
          <w:szCs w:val="28"/>
          <w:rtl/>
        </w:rPr>
        <w:t>كما تم قياس أداء المشاريع الإنشائية من خلال مؤشرات الأداء التقليدية في إدارة المشاريع، والتي تشمل التكلفة والجودة والالتزام بالجدول الزمني ورضا العملاء، وهي من أكثر المؤشرات استخدامًا في تقييم نجاح المشاريع (</w:t>
      </w:r>
      <w:r w:rsidRPr="008A7560">
        <w:rPr>
          <w:rFonts w:ascii="Traditional Arabic" w:hAnsi="Traditional Arabic" w:cs="Traditional Arabic"/>
          <w:sz w:val="28"/>
          <w:szCs w:val="28"/>
        </w:rPr>
        <w:t>Atkinson,1999</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Pr>
        <w:t>(Kerzner, 2017</w:t>
      </w:r>
    </w:p>
    <w:p w14:paraId="7DBB8771" w14:textId="77777777" w:rsidR="00315129" w:rsidRPr="008A7560" w:rsidRDefault="00315129" w:rsidP="00315129">
      <w:pPr>
        <w:bidi/>
        <w:spacing w:line="360" w:lineRule="auto"/>
        <w:jc w:val="both"/>
        <w:rPr>
          <w:rFonts w:ascii="Traditional Arabic" w:hAnsi="Traditional Arabic" w:cs="Traditional Arabic"/>
          <w:sz w:val="28"/>
          <w:szCs w:val="28"/>
          <w:rtl/>
        </w:rPr>
      </w:pPr>
    </w:p>
    <w:p w14:paraId="1E47E2B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تصنيف هذه المتغيرات إلى متغير مستقل، ومتغير تابع، ومتغير وسيط، وذلك على النحو الآتي</w:t>
      </w:r>
      <w:r w:rsidRPr="008A7560">
        <w:rPr>
          <w:rFonts w:ascii="Traditional Arabic" w:hAnsi="Traditional Arabic" w:cs="Traditional Arabic"/>
          <w:sz w:val="28"/>
          <w:szCs w:val="28"/>
        </w:rPr>
        <w:t>:</w:t>
      </w:r>
    </w:p>
    <w:p w14:paraId="46D1C9F8"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3-5-1</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المستقل: تطبيق مبادئ الاستدامة</w:t>
      </w:r>
    </w:p>
    <w:p w14:paraId="793E051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يُعد تطبيق مبادئ الاستدامة المتغير المستقل في هذه الدراسة، ويشير إلى مدى التزام الشركات الإنشائية بتطبيق الممارسات المستدامة في إدارة وتنفيذ مشاريعها. وقد تم قياس هذا المتغير من خلال ثلاثة أبعاد رئيسة تمثل جوهر مفهوم الاستدامة، وهي</w:t>
      </w:r>
      <w:r w:rsidRPr="008A7560">
        <w:rPr>
          <w:rFonts w:ascii="Traditional Arabic" w:hAnsi="Traditional Arabic" w:cs="Traditional Arabic"/>
          <w:sz w:val="28"/>
          <w:szCs w:val="28"/>
        </w:rPr>
        <w:t>:</w:t>
      </w:r>
    </w:p>
    <w:p w14:paraId="5B56F11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أولًا: البعد البيئي</w:t>
      </w:r>
    </w:p>
    <w:p w14:paraId="316BEB2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ويعكس مدى التزام المشاريع الإنشائية بالممارسات التي تهدف إلى تقليل الأثر البيئي السلبي، مثل ترشيد استهلاك الطاقة، استخدام مصادر الطاقة المتجددة، تقليل الانبعاثات الكربونية، وإدارة النفايات وإعادة تدويرها</w:t>
      </w:r>
      <w:r w:rsidRPr="008A7560">
        <w:rPr>
          <w:rFonts w:ascii="Traditional Arabic" w:hAnsi="Traditional Arabic" w:cs="Traditional Arabic"/>
          <w:sz w:val="28"/>
          <w:szCs w:val="28"/>
        </w:rPr>
        <w:t>.</w:t>
      </w:r>
    </w:p>
    <w:p w14:paraId="142A05CD"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ثانيًا: البعد الاقتصادي</w:t>
      </w:r>
    </w:p>
    <w:p w14:paraId="2B2D44E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ويركز هذا البعد على كفاءة استخدام الموارد، وضبط التكاليف، وتقليل الهدر في المواد والوقت، بما يسهم في تحسين الجدوى الاقتصادية للمشاريع الإنشائية وتحقيق قيمة مضافة على المدى القصير والطويل</w:t>
      </w:r>
      <w:r w:rsidRPr="008A7560">
        <w:rPr>
          <w:rFonts w:ascii="Traditional Arabic" w:hAnsi="Traditional Arabic" w:cs="Traditional Arabic"/>
          <w:sz w:val="28"/>
          <w:szCs w:val="28"/>
        </w:rPr>
        <w:t>.</w:t>
      </w:r>
    </w:p>
    <w:p w14:paraId="02B8BA3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ثالثًا: البعد الاجتماعي</w:t>
      </w:r>
    </w:p>
    <w:p w14:paraId="03CDA71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ويتعلق هذا البعد بمراعاة الجوانب الاجتماعية والإنسانية في بيئة العمل، مثل توفير بيئة عمل آمنة، والاهتمام براحة العاملين، وتعزيز العدالة الاجتماعية، والالتزام بالمسؤولية الاجتماعية تجاه المجتمع المحلي</w:t>
      </w:r>
      <w:r w:rsidRPr="008A7560">
        <w:rPr>
          <w:rFonts w:ascii="Traditional Arabic" w:hAnsi="Traditional Arabic" w:cs="Traditional Arabic"/>
          <w:sz w:val="28"/>
          <w:szCs w:val="28"/>
        </w:rPr>
        <w:t>.</w:t>
      </w:r>
    </w:p>
    <w:p w14:paraId="038F79D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وقد تم قياس هذه الأبعاد من خلال مجموعة من الفقرات التي تعكس مستوى تطبيق كل بعد داخل الشركات الإنشائية محل الدراسة</w:t>
      </w:r>
      <w:r w:rsidRPr="008A7560">
        <w:rPr>
          <w:rFonts w:ascii="Traditional Arabic" w:hAnsi="Traditional Arabic" w:cs="Traditional Arabic"/>
          <w:sz w:val="28"/>
          <w:szCs w:val="28"/>
        </w:rPr>
        <w:t>.</w:t>
      </w:r>
    </w:p>
    <w:p w14:paraId="32421A31"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3-5-2</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التابع: أداء المشاريع الإنشائية</w:t>
      </w:r>
    </w:p>
    <w:p w14:paraId="2CF3A65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يمثل أداء المشاريع الإنشائية المتغير التابع في هذه الدراسة، ويشير إلى مدى نجاح المشروع في تحقيق أهدافه وفق معايير محددة تعكس كفاءة التنفيذ وجودة المخرجات. وقد تم قياس أداء المشاريع الإنشائية من خلال أربعة أبعاد رئيسة، هي</w:t>
      </w:r>
      <w:r w:rsidRPr="008A7560">
        <w:rPr>
          <w:rFonts w:ascii="Traditional Arabic" w:hAnsi="Traditional Arabic" w:cs="Traditional Arabic"/>
          <w:sz w:val="28"/>
          <w:szCs w:val="28"/>
        </w:rPr>
        <w:t>:</w:t>
      </w:r>
    </w:p>
    <w:p w14:paraId="1A422B8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أولًا: التكلفة</w:t>
      </w:r>
    </w:p>
    <w:p w14:paraId="778DC46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وتُقاس من خلال مدى الالتزام بالميزانية المعتمدة للمشروع، وتقليل الانحرافات بين التكاليف المخططة والتكاليف الفعلية</w:t>
      </w:r>
      <w:r w:rsidRPr="008A7560">
        <w:rPr>
          <w:rFonts w:ascii="Traditional Arabic" w:hAnsi="Traditional Arabic" w:cs="Traditional Arabic"/>
          <w:sz w:val="28"/>
          <w:szCs w:val="28"/>
        </w:rPr>
        <w:t>.</w:t>
      </w:r>
    </w:p>
    <w:p w14:paraId="14B4406B"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ثانيًا: الجودة</w:t>
      </w:r>
    </w:p>
    <w:p w14:paraId="621807B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وتشير إلى مدى مطابقة الأعمال المنفذة للمواصفات الفنية والمعايير المعتمدة، وتحقيق متطلبات الجودة المطلوبة من قبل الجهات المالكة وأصحاب المصلحة</w:t>
      </w:r>
      <w:r w:rsidRPr="008A7560">
        <w:rPr>
          <w:rFonts w:ascii="Traditional Arabic" w:hAnsi="Traditional Arabic" w:cs="Traditional Arabic"/>
          <w:sz w:val="28"/>
          <w:szCs w:val="28"/>
        </w:rPr>
        <w:t>.</w:t>
      </w:r>
    </w:p>
    <w:p w14:paraId="4EEDA05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ثالثًا: الالتزام بالجدول الزمني</w:t>
      </w:r>
    </w:p>
    <w:p w14:paraId="0D2D432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ويعكس قدرة المشروع على الالتزام بالمدة الزمنية المخططة للتنفيذ، وتقليل التأخيرات التي قد تؤثر على تسليم المشروع في الوقت المحدد</w:t>
      </w:r>
      <w:r w:rsidRPr="008A7560">
        <w:rPr>
          <w:rFonts w:ascii="Traditional Arabic" w:hAnsi="Traditional Arabic" w:cs="Traditional Arabic"/>
          <w:sz w:val="28"/>
          <w:szCs w:val="28"/>
        </w:rPr>
        <w:t>.</w:t>
      </w:r>
    </w:p>
    <w:p w14:paraId="1C75502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رابعًا: رضا العملاء</w:t>
      </w:r>
    </w:p>
    <w:p w14:paraId="5B910272" w14:textId="77777777" w:rsidR="00315129"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ويُقاس من خلال مدى رضا الجهات المستفيدة أو المالكة للمشروع عن مستوى الأداء العام، وجودة التنفيذ، والتعامل مع متطلبات المشروع</w:t>
      </w:r>
      <w:r w:rsidRPr="008A7560">
        <w:rPr>
          <w:rFonts w:ascii="Traditional Arabic" w:hAnsi="Traditional Arabic" w:cs="Traditional Arabic"/>
          <w:sz w:val="28"/>
          <w:szCs w:val="28"/>
        </w:rPr>
        <w:t>.</w:t>
      </w:r>
    </w:p>
    <w:p w14:paraId="7B594B63" w14:textId="77777777" w:rsidR="00965951" w:rsidRDefault="00965951" w:rsidP="00965951">
      <w:pPr>
        <w:bidi/>
        <w:spacing w:line="360" w:lineRule="auto"/>
        <w:jc w:val="both"/>
        <w:rPr>
          <w:rFonts w:ascii="Traditional Arabic" w:hAnsi="Traditional Arabic" w:cs="Traditional Arabic"/>
          <w:sz w:val="28"/>
          <w:szCs w:val="28"/>
          <w:rtl/>
        </w:rPr>
      </w:pPr>
    </w:p>
    <w:p w14:paraId="4EDF5645" w14:textId="77777777" w:rsidR="00965951" w:rsidRDefault="00965951" w:rsidP="00965951">
      <w:pPr>
        <w:bidi/>
        <w:spacing w:line="360" w:lineRule="auto"/>
        <w:jc w:val="both"/>
        <w:rPr>
          <w:rFonts w:ascii="Traditional Arabic" w:hAnsi="Traditional Arabic" w:cs="Traditional Arabic"/>
          <w:sz w:val="28"/>
          <w:szCs w:val="28"/>
          <w:rtl/>
        </w:rPr>
      </w:pPr>
    </w:p>
    <w:p w14:paraId="5D1EB141" w14:textId="77777777" w:rsidR="00965951" w:rsidRPr="008A7560" w:rsidRDefault="00965951" w:rsidP="00965951">
      <w:pPr>
        <w:bidi/>
        <w:spacing w:line="360" w:lineRule="auto"/>
        <w:jc w:val="both"/>
        <w:rPr>
          <w:rFonts w:ascii="Traditional Arabic" w:hAnsi="Traditional Arabic" w:cs="Traditional Arabic"/>
          <w:sz w:val="28"/>
          <w:szCs w:val="28"/>
          <w:rtl/>
        </w:rPr>
      </w:pPr>
    </w:p>
    <w:p w14:paraId="6517A92D"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3-5-3</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الوسيط: البيئة الداعمة لتطبيق الاستدامة</w:t>
      </w:r>
    </w:p>
    <w:p w14:paraId="57C2146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تمثل البيئة الداعمة لتطبيق الاستدامة المتغير الوسيط في هذه الدراسة، ويُقصد بها مجموعة العوامل التنظيمية والبيئية التي قد تؤثر في طبيعة وقوة العلاقة بين تطبيق مبادئ الاستدامة وأداء المشاريع الإنشائية. وتشمل هذه البيئة عددًا من العناصر، من أبرزها</w:t>
      </w:r>
      <w:r w:rsidRPr="008A7560">
        <w:rPr>
          <w:rFonts w:ascii="Traditional Arabic" w:hAnsi="Traditional Arabic" w:cs="Traditional Arabic"/>
          <w:sz w:val="28"/>
          <w:szCs w:val="28"/>
        </w:rPr>
        <w:t>:</w:t>
      </w:r>
    </w:p>
    <w:p w14:paraId="4B96040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السياسات الحكومية والتشريعات المنظمة لتطبيق ممارسات الاستدامة</w:t>
      </w:r>
    </w:p>
    <w:p w14:paraId="552501A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مستوى الوعي بمفاهيم الاستدامة داخل الشركات</w:t>
      </w:r>
    </w:p>
    <w:p w14:paraId="07BDCC66"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المتغيرات الضابطة</w:t>
      </w:r>
    </w:p>
    <w:p w14:paraId="17571F4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حجم المشروع</w:t>
      </w:r>
    </w:p>
    <w:p w14:paraId="04579F7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نوع المشروع (حكومي، خاص، أو مختلط)</w:t>
      </w:r>
    </w:p>
    <w:p w14:paraId="308C71D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تضمين هذه العناصر ضمن فقرات مخصصة في أداة الدراسة لقياس دورها الوسيط في تعزيز أو إضعاف أثر تطبيق مبادئ الاستدامة على أداء المشاريع الإنشائية</w:t>
      </w:r>
      <w:r w:rsidRPr="008A7560">
        <w:rPr>
          <w:rFonts w:ascii="Traditional Arabic" w:hAnsi="Traditional Arabic" w:cs="Traditional Arabic"/>
          <w:sz w:val="28"/>
          <w:szCs w:val="28"/>
        </w:rPr>
        <w:t>.</w:t>
      </w:r>
    </w:p>
    <w:p w14:paraId="16F72882"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فرضيات الدراسة:</w:t>
      </w:r>
    </w:p>
    <w:p w14:paraId="22D9C4F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الرئيسة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يوجد أثر ذو دلالة إحصائية لتطبيق مبادئ الاستدامة على أداء المشاريع الإنشائية</w:t>
      </w:r>
      <w:r w:rsidRPr="008A7560">
        <w:rPr>
          <w:rFonts w:ascii="Traditional Arabic" w:hAnsi="Traditional Arabic" w:cs="Traditional Arabic"/>
          <w:sz w:val="28"/>
          <w:szCs w:val="28"/>
        </w:rPr>
        <w:t>.</w:t>
      </w:r>
    </w:p>
    <w:p w14:paraId="1765107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الفرضيات الفرعية:</w:t>
      </w:r>
    </w:p>
    <w:p w14:paraId="1B367B6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 يوجد أثر ذو دلالة إحصائية لتطبيق الاستدامة البئية على أداء المشاريع الإنشائية.</w:t>
      </w:r>
    </w:p>
    <w:p w14:paraId="1429F3A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يوجد أثر ذو دلالة إحصائية لتطبيق الاستدامة الاقتصادية على أداء المشاريع الإنشائية.</w:t>
      </w:r>
    </w:p>
    <w:p w14:paraId="2874BBC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 يوجد أثر ذو دلالة إحصائية لتطبيق الاستدامة الاجتماعية على أداء المشاريع الإنشائية.</w:t>
      </w:r>
    </w:p>
    <w:p w14:paraId="2C72BD2C" w14:textId="5AF265C0" w:rsidR="00315129" w:rsidRPr="008A7560" w:rsidRDefault="00315129" w:rsidP="003961A2">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فرضية الوساطة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تلعب البيئة الداعمة لتطبيق الاستدامة دورًا وسيطًا في العلاقة بين تطبيق مبادئ الاستدامة وأداء المشاريع الإنشائية.</w:t>
      </w:r>
    </w:p>
    <w:p w14:paraId="48D00D90" w14:textId="77777777" w:rsidR="00315129" w:rsidRPr="008A7560" w:rsidRDefault="00315129" w:rsidP="00315129">
      <w:pPr>
        <w:shd w:val="clear" w:color="auto" w:fill="FFC000"/>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noProof/>
          <w:sz w:val="28"/>
          <w:szCs w:val="28"/>
          <w:rtl/>
        </w:rPr>
        <w:drawing>
          <wp:inline distT="0" distB="0" distL="0" distR="0" wp14:anchorId="038CA17F" wp14:editId="451C34DE">
            <wp:extent cx="5943600" cy="396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0A51936"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3-6</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إجراءات تنفيذ الدراسة</w:t>
      </w:r>
    </w:p>
    <w:p w14:paraId="08C52CE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اتبعت هذه الدراسة مجموعة من الإجراءات المنهجية المتسلسلة؛ لضمان تحقيق أهدافها والوصول إلى نتائج علمية دقيقة وموثوقة. وقد تم تنفيذ الدراسة وفق خطوات منظمة يمكن عرضها على النحو الآتي</w:t>
      </w:r>
      <w:r w:rsidRPr="008A7560">
        <w:rPr>
          <w:rFonts w:ascii="Traditional Arabic" w:hAnsi="Traditional Arabic" w:cs="Traditional Arabic"/>
          <w:sz w:val="28"/>
          <w:szCs w:val="28"/>
        </w:rPr>
        <w:t>:</w:t>
      </w:r>
    </w:p>
    <w:p w14:paraId="0F5825D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في المرحلة الأولى، تم تحديد مشكلة الدراسة وصياغة أهدافها وتساؤلاتها وفرضياتها، وذلك في ضوء مراجعة شاملة للأدبيات العلمية والدراسات السابقة المرتبطة بمفاهيم الاستدامة وتطبيقاتها في قطاع المشاريع الإنشائية. وأسهمت هذه المراجعة في بناء الإطار النظري للدراسة، وتحديد متغيراتها الرئيسة المتمثلة في تطبيق مبادئ الاستدامة وأداء المشاريع الإنشائية، إضافة إلى تحديد الأبعاد المرتبطة بكل متغير</w:t>
      </w:r>
      <w:r w:rsidRPr="008A7560">
        <w:rPr>
          <w:rFonts w:ascii="Traditional Arabic" w:hAnsi="Traditional Arabic" w:cs="Traditional Arabic"/>
          <w:sz w:val="28"/>
          <w:szCs w:val="28"/>
        </w:rPr>
        <w:t>.</w:t>
      </w:r>
    </w:p>
    <w:p w14:paraId="43B031A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وفي المرحلة الثانية، تم اختيار المنهج الوصفي التحليلي بوصفه المنهج الأنسب لطبيعة الدراسة، نظرًا لملاءمته للدراسات التي تهدف إلى وصف الظواهر وتحليل العلاقات بين متغيراتها. كما جرى في هذه المرحلة تحديد مجتمع الدراسة المتمثل في العاملين في المشاريع الإنشائية في الشركات العاملة في مدينة جدة، وتحديد عينة الدراسة باستخدام أسلوب العينة العشوائية الطبقية؛ بما يحقق تمثيلًا مناسبًا لمختلف فئات مجتمع الدراسة</w:t>
      </w:r>
      <w:r w:rsidRPr="008A7560">
        <w:rPr>
          <w:rFonts w:ascii="Traditional Arabic" w:hAnsi="Traditional Arabic" w:cs="Traditional Arabic"/>
          <w:sz w:val="28"/>
          <w:szCs w:val="28"/>
        </w:rPr>
        <w:t>.</w:t>
      </w:r>
    </w:p>
    <w:p w14:paraId="596D7BE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أما المرحلة الثالثة، فقد تمثلت في إعداد أداة الدراسة (الاستبانة)، حيث صُممت فقراتها استنادًا إلى الإطار النظري ونتائج الدراسات السابقة ذات الصلة بموضوع الدراسة. وقد تضمنت الاستبانة مجموعة من المحاور التي تغطي متغيرات الدراسة وأبعادها المختلفة. وبعد إعدادها في صورتها الأولية، عُرضت على عدد من المحكمين المتخصصين في مجالات الإدارة والهندسة وإدارة المشاريع؛ للتحقق من صدقها الظاهري وملاءمة فقراتها، وقد تم إجراء التعديلات اللازمة في ضوء الملاحظات التي قدمها المحكمون</w:t>
      </w:r>
      <w:r w:rsidRPr="008A7560">
        <w:rPr>
          <w:rFonts w:ascii="Traditional Arabic" w:hAnsi="Traditional Arabic" w:cs="Traditional Arabic"/>
          <w:sz w:val="28"/>
          <w:szCs w:val="28"/>
        </w:rPr>
        <w:t>.</w:t>
      </w:r>
    </w:p>
    <w:p w14:paraId="58373B8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 المرحلة الرابعة، تم إجراء اختبار أولي للأداة على عينة استطلاعية من مجتمع الدراسة؛ بهدف التحقق من وضوح الفقرات وملاءمتها، بالإضافة إلى اختبار مستوى الصدق والثبات الإحصائي للأداة. وبعد التأكد من صلاحية الأداة، تم توزيع الاستبانة بصيغتها النهائية على أفراد عينة الدراسة باستخدام الوسائل الإلكترونية</w:t>
      </w:r>
      <w:r w:rsidRPr="008A7560">
        <w:rPr>
          <w:rFonts w:ascii="Traditional Arabic" w:hAnsi="Traditional Arabic" w:cs="Traditional Arabic"/>
          <w:sz w:val="28"/>
          <w:szCs w:val="28"/>
        </w:rPr>
        <w:t>.</w:t>
      </w:r>
    </w:p>
    <w:p w14:paraId="59F2EE5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توزيع الاستبانة إلكترونيًا خلال الفترة من 15 فبراير 2026 إلى 1 مارس 2026 باستخدام نموذج</w:t>
      </w:r>
      <w:r w:rsidRPr="008A7560">
        <w:rPr>
          <w:rFonts w:ascii="Traditional Arabic" w:hAnsi="Traditional Arabic" w:cs="Traditional Arabic"/>
          <w:sz w:val="28"/>
          <w:szCs w:val="28"/>
        </w:rPr>
        <w:t xml:space="preserve"> Google Forms</w:t>
      </w:r>
      <w:r w:rsidRPr="008A7560">
        <w:rPr>
          <w:rFonts w:ascii="Traditional Arabic" w:hAnsi="Traditional Arabic" w:cs="Traditional Arabic"/>
          <w:sz w:val="28"/>
          <w:szCs w:val="28"/>
          <w:rtl/>
        </w:rPr>
        <w:t>، حيث تم إرسال رابط الاستبانة عبر البريد الإلكتروني ومنصات التواصل المهنية؛ للوصول إلى العاملين في الشركات الإنشائية في مدينة جدة. وبعد استلام الاستجابات، جرى فحصها والتأكد من اكتمالها وصلاحيتها للتحليل الإحصائي</w:t>
      </w:r>
      <w:r w:rsidRPr="008A7560">
        <w:rPr>
          <w:rFonts w:ascii="Traditional Arabic" w:hAnsi="Traditional Arabic" w:cs="Traditional Arabic"/>
          <w:sz w:val="28"/>
          <w:szCs w:val="28"/>
        </w:rPr>
        <w:t>.</w:t>
      </w:r>
    </w:p>
    <w:p w14:paraId="57ADC8E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 المرحلة الخامسة، تم ترميز البيانات المُجمعة وإدخالها إلى برنامج الحزمة الإحصائية للعلوم الاجتماعية</w:t>
      </w:r>
      <w:r w:rsidRPr="008A7560">
        <w:rPr>
          <w:rFonts w:ascii="Traditional Arabic" w:hAnsi="Traditional Arabic" w:cs="Traditional Arabic"/>
          <w:sz w:val="28"/>
          <w:szCs w:val="28"/>
        </w:rPr>
        <w:t xml:space="preserve"> SPSS</w:t>
      </w:r>
      <w:r w:rsidRPr="008A7560">
        <w:rPr>
          <w:rFonts w:ascii="Traditional Arabic" w:hAnsi="Traditional Arabic" w:cs="Traditional Arabic"/>
          <w:sz w:val="28"/>
          <w:szCs w:val="28"/>
          <w:rtl/>
        </w:rPr>
        <w:t>، ثم تحليلها باستخدام مجموعة من الأساليب الإحصائية الوصفية والاستدلالية المناسبة لطبيعة متغيرات الدراسة؛ وذلك بهدف اختبار فرضيات الدراسة وتحقيق أهدافها</w:t>
      </w:r>
      <w:r w:rsidRPr="008A7560">
        <w:rPr>
          <w:rFonts w:ascii="Traditional Arabic" w:hAnsi="Traditional Arabic" w:cs="Traditional Arabic"/>
          <w:sz w:val="28"/>
          <w:szCs w:val="28"/>
        </w:rPr>
        <w:t>.</w:t>
      </w:r>
    </w:p>
    <w:p w14:paraId="4101558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وأخيرًا، تم تفسير النتائج التي تم التوصل إليها في ضوء الإطار النظري والدراسات السابقة، ومناقشة دلالاتها العلمية والعملية، وصولًا إلى استخلاص الاستنتاجات الرئيسة، وتقديم مجموعة من التوصيات والمقترحات التي يمكن أن تسهم في تعزيز تطبيق مبادئ الاستدامة وتحسين أداء المشاريع الإنشائية.</w:t>
      </w:r>
    </w:p>
    <w:p w14:paraId="6B3C0A4A"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3-7</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تصميم الدراسة والمعالجة الإحصائية</w:t>
      </w:r>
    </w:p>
    <w:p w14:paraId="7963B3B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يعتمد تصميم هذه الدراسة على نموذج بحثي يهدف إلى تحليل العلاقات بين متغيراتها الرئيسة، وقياس أثر تطبيق مبادئ الاستدامة بوصفه المتغير المستقل بأبعاده (البيئي، والاقتصادي، والاجتماعي) على أداء المشاريع الإنشائية بوصفه المتغير التابع بأبعاده (التكلفة، والجودة، والالتزام بالجدول الزمني، ورضا العملاء)، مع دراسة دور البيئة الداعمة لتطبيق الاستدامة كمتغير وسيط في هذه العلاقة</w:t>
      </w:r>
      <w:r w:rsidRPr="008A7560">
        <w:rPr>
          <w:rFonts w:ascii="Traditional Arabic" w:hAnsi="Traditional Arabic" w:cs="Traditional Arabic"/>
          <w:sz w:val="28"/>
          <w:szCs w:val="28"/>
        </w:rPr>
        <w:t>.</w:t>
      </w:r>
    </w:p>
    <w:p w14:paraId="00F15C0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تبني تصميم كمي</w:t>
      </w:r>
      <w:r w:rsidRPr="008A7560">
        <w:rPr>
          <w:rFonts w:ascii="Traditional Arabic" w:hAnsi="Traditional Arabic" w:cs="Traditional Arabic"/>
          <w:sz w:val="28"/>
          <w:szCs w:val="28"/>
        </w:rPr>
        <w:t xml:space="preserve"> (Quantitative Research Design) </w:t>
      </w:r>
      <w:r w:rsidRPr="008A7560">
        <w:rPr>
          <w:rFonts w:ascii="Traditional Arabic" w:hAnsi="Traditional Arabic" w:cs="Traditional Arabic"/>
          <w:sz w:val="28"/>
          <w:szCs w:val="28"/>
          <w:rtl/>
        </w:rPr>
        <w:t>قائم على أسلوب المسح الميداني باستخدام الاستبانة، نظرًا لملاءمته لطبيعة الدراسة وأهدافها، ولقدرته على جمع بيانات كمية قابلة للقياس والتحليل الإحصائي. ويتيح هذا التصميم اختبار الفرضيات وتحليل العلاقات السببية بين المتغيرات، وصولًا إلى نتائج علمية موثوقة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وتعتمد الدراسة على تصميم بحثي كمي يهدف إلى قياس أثر تطبيق مبادئ الاستدامة على أداء المشاريع الإنشائية، وذلك من خلال تحليل العلاقات الإحصائية بين المتغيرات باستخدام معامل الارتباط وتحليل الانحدار، بما يسمح باختبار فرضيات الدراسة المتعلقة بطبيعة التأثير بين المتغيرات.</w:t>
      </w:r>
    </w:p>
    <w:p w14:paraId="466534F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وفيما يتعلق بالمعالجة الإحصائية، فقد جرى تحليل البيانات باستخدام برنامج الحزمة الإحصائية للعلوم الاجتماعية</w:t>
      </w:r>
      <w:r w:rsidRPr="008A7560">
        <w:rPr>
          <w:rFonts w:ascii="Traditional Arabic" w:hAnsi="Traditional Arabic" w:cs="Traditional Arabic"/>
          <w:sz w:val="28"/>
          <w:szCs w:val="28"/>
        </w:rPr>
        <w:t xml:space="preserve"> (SPSS)</w:t>
      </w:r>
      <w:r w:rsidRPr="008A7560">
        <w:rPr>
          <w:rFonts w:ascii="Traditional Arabic" w:hAnsi="Traditional Arabic" w:cs="Traditional Arabic"/>
          <w:sz w:val="28"/>
          <w:szCs w:val="28"/>
          <w:rtl/>
        </w:rPr>
        <w:t>، وفق خطوات منهجية منظمة. في البداية، تم إجراء التحليل الوصفي للبيانات بهدف التعرف على خصائص عينة الدراسة، ووصف اتجاهات استجابات المبحوثين نحو فقرات الاستبانة ومحاورها المختلفة، وذلك من خلال حساب المتوسطات الحسابية والانحرافات المعيارية، بالإضافة إلى التكرارات والنسب المئوية</w:t>
      </w:r>
      <w:r w:rsidRPr="008A7560">
        <w:rPr>
          <w:rFonts w:ascii="Traditional Arabic" w:hAnsi="Traditional Arabic" w:cs="Traditional Arabic"/>
          <w:sz w:val="28"/>
          <w:szCs w:val="28"/>
        </w:rPr>
        <w:t>.</w:t>
      </w:r>
    </w:p>
    <w:p w14:paraId="33ADC43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تم التحقق من صدق وثبات أداة الدراسة باستخدام الأساليب الإحصائية المناسبة، حيث استُخدم معامل كرونباخ ألفا</w:t>
      </w:r>
      <w:r w:rsidRPr="008A7560">
        <w:rPr>
          <w:rFonts w:ascii="Traditional Arabic" w:hAnsi="Traditional Arabic" w:cs="Traditional Arabic"/>
          <w:sz w:val="28"/>
          <w:szCs w:val="28"/>
        </w:rPr>
        <w:t xml:space="preserve"> (Cronbach’s Alpha) </w:t>
      </w:r>
      <w:r w:rsidRPr="008A7560">
        <w:rPr>
          <w:rFonts w:ascii="Traditional Arabic" w:hAnsi="Traditional Arabic" w:cs="Traditional Arabic"/>
          <w:sz w:val="28"/>
          <w:szCs w:val="28"/>
          <w:rtl/>
        </w:rPr>
        <w:t>لقياس درجة الاتساق الداخلي لفقرات الاستبانة، بما يضمن موثوقية الأداة وصلاحيتها للتطبيق</w:t>
      </w:r>
      <w:r w:rsidRPr="008A7560">
        <w:rPr>
          <w:rFonts w:ascii="Traditional Arabic" w:hAnsi="Traditional Arabic" w:cs="Traditional Arabic"/>
          <w:sz w:val="28"/>
          <w:szCs w:val="28"/>
        </w:rPr>
        <w:t>.</w:t>
      </w:r>
    </w:p>
    <w:p w14:paraId="2C4C76A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أما على مستوى التحليل الاستدلالي، فقد استُخدم معامل الارتباط</w:t>
      </w:r>
      <w:r w:rsidRPr="008A7560">
        <w:rPr>
          <w:rFonts w:ascii="Traditional Arabic" w:hAnsi="Traditional Arabic" w:cs="Traditional Arabic"/>
          <w:sz w:val="28"/>
          <w:szCs w:val="28"/>
        </w:rPr>
        <w:t xml:space="preserve"> (Pearson Correlation) </w:t>
      </w:r>
      <w:r w:rsidRPr="008A7560">
        <w:rPr>
          <w:rFonts w:ascii="Traditional Arabic" w:hAnsi="Traditional Arabic" w:cs="Traditional Arabic"/>
          <w:sz w:val="28"/>
          <w:szCs w:val="28"/>
          <w:rtl/>
        </w:rPr>
        <w:t>لقياس قوة واتجاه العلاقة بين متغيرات الدراسة، في حين استُخدم تحليل الانحدار الخطي البسيط والمتعدد لقياس أثر المتغير المستقل وأبعاده على المتغير التابع. قبل إجراء تحليل الانحدار، تم التحقق من تحقق الافتراضات الإحصائية اللازمة، حيث تم فحص مشكلة التعدد الخطي بين المتغيرات المستقلة باستخدام معامل تضخم التباين (</w:t>
      </w:r>
      <w:r w:rsidRPr="008A7560">
        <w:rPr>
          <w:rFonts w:ascii="Traditional Arabic" w:hAnsi="Traditional Arabic" w:cs="Traditional Arabic"/>
          <w:sz w:val="28"/>
          <w:szCs w:val="28"/>
        </w:rPr>
        <w:t>VIF</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وقيم </w:t>
      </w:r>
      <w:r w:rsidRPr="008A7560">
        <w:rPr>
          <w:rFonts w:ascii="Traditional Arabic" w:hAnsi="Traditional Arabic" w:cs="Traditional Arabic"/>
          <w:sz w:val="28"/>
          <w:szCs w:val="28"/>
        </w:rPr>
        <w:t>Tolerance</w:t>
      </w:r>
      <w:r w:rsidRPr="008A7560">
        <w:rPr>
          <w:rFonts w:ascii="Traditional Arabic" w:hAnsi="Traditional Arabic" w:cs="Traditional Arabic"/>
          <w:sz w:val="28"/>
          <w:szCs w:val="28"/>
          <w:rtl/>
        </w:rPr>
        <w:t xml:space="preserve">، كما تم فحص التوزيع الطبيعي للبيانات من خلال معاملات الالتواء والتفرطح، إضافة إلى اختبار استقلالية الأخطاء باستخدام إحصائية </w:t>
      </w:r>
      <w:r w:rsidRPr="008A7560">
        <w:rPr>
          <w:rFonts w:ascii="Traditional Arabic" w:hAnsi="Traditional Arabic" w:cs="Traditional Arabic"/>
          <w:sz w:val="28"/>
          <w:szCs w:val="28"/>
        </w:rPr>
        <w:t>Durbin–Watson.</w:t>
      </w:r>
      <w:r w:rsidRPr="008A7560">
        <w:rPr>
          <w:rFonts w:ascii="Traditional Arabic" w:hAnsi="Traditional Arabic" w:cs="Traditional Arabic"/>
          <w:sz w:val="28"/>
          <w:szCs w:val="28"/>
          <w:rtl/>
        </w:rPr>
        <w:t xml:space="preserve"> كما تم اللجوء إلى اختبار</w:t>
      </w:r>
      <w:r w:rsidRPr="008A7560">
        <w:rPr>
          <w:rFonts w:ascii="Traditional Arabic" w:hAnsi="Traditional Arabic" w:cs="Traditional Arabic"/>
          <w:sz w:val="28"/>
          <w:szCs w:val="28"/>
        </w:rPr>
        <w:t xml:space="preserve"> (T-test) </w:t>
      </w:r>
      <w:r w:rsidRPr="008A7560">
        <w:rPr>
          <w:rFonts w:ascii="Traditional Arabic" w:hAnsi="Traditional Arabic" w:cs="Traditional Arabic"/>
          <w:sz w:val="28"/>
          <w:szCs w:val="28"/>
          <w:rtl/>
        </w:rPr>
        <w:t>أو تحليل التباين الأحادي</w:t>
      </w:r>
      <w:r w:rsidRPr="008A7560">
        <w:rPr>
          <w:rFonts w:ascii="Traditional Arabic" w:hAnsi="Traditional Arabic" w:cs="Traditional Arabic"/>
          <w:sz w:val="28"/>
          <w:szCs w:val="28"/>
        </w:rPr>
        <w:t xml:space="preserve"> (ANOVA) </w:t>
      </w:r>
      <w:r w:rsidRPr="008A7560">
        <w:rPr>
          <w:rFonts w:ascii="Traditional Arabic" w:hAnsi="Traditional Arabic" w:cs="Traditional Arabic"/>
          <w:sz w:val="28"/>
          <w:szCs w:val="28"/>
          <w:rtl/>
        </w:rPr>
        <w:t>للكشف عن الفروق ذات الدلالة الإحصائية في استجابات أفراد العينة تبعًا لمتغيراتهم الديموغرافية، وذلك عند الحاجة</w:t>
      </w:r>
      <w:r w:rsidRPr="008A7560">
        <w:rPr>
          <w:rFonts w:ascii="Traditional Arabic" w:hAnsi="Traditional Arabic" w:cs="Traditional Arabic"/>
          <w:sz w:val="28"/>
          <w:szCs w:val="28"/>
        </w:rPr>
        <w:t>.</w:t>
      </w:r>
    </w:p>
    <w:p w14:paraId="0C7098E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ولفحص دور المتغير الوسيط (البيئة الداعمة لتطبيق الاستدامة) في العلاقة بين المتغير المستقل والمتغير التابع، تم تحديد استخدام تحليل الوساطة باستخدام أسلوب </w:t>
      </w:r>
      <w:r w:rsidRPr="008A7560">
        <w:rPr>
          <w:rFonts w:ascii="Traditional Arabic" w:hAnsi="Traditional Arabic" w:cs="Traditional Arabic"/>
          <w:sz w:val="28"/>
          <w:szCs w:val="28"/>
        </w:rPr>
        <w:t>Bootstrap</w:t>
      </w:r>
      <w:r w:rsidRPr="008A7560">
        <w:rPr>
          <w:rFonts w:ascii="Traditional Arabic" w:hAnsi="Traditional Arabic" w:cs="Traditional Arabic"/>
          <w:sz w:val="28"/>
          <w:szCs w:val="28"/>
          <w:rtl/>
        </w:rPr>
        <w:t xml:space="preserve"> وفق نموذج </w:t>
      </w:r>
      <w:r w:rsidRPr="008A7560">
        <w:rPr>
          <w:rFonts w:ascii="Traditional Arabic" w:hAnsi="Traditional Arabic" w:cs="Traditional Arabic"/>
          <w:sz w:val="28"/>
          <w:szCs w:val="28"/>
        </w:rPr>
        <w:t>PROCESS Macro (Hayes)</w:t>
      </w:r>
      <w:r w:rsidRPr="008A7560">
        <w:rPr>
          <w:rFonts w:ascii="Traditional Arabic" w:hAnsi="Traditional Arabic" w:cs="Traditional Arabic"/>
          <w:sz w:val="28"/>
          <w:szCs w:val="28"/>
          <w:rtl/>
        </w:rPr>
        <w:t>، نظرًا لدقته الإحصائية واعتماده في العديد من الدراسات الحديثة لاختبار تأثير المتغير الوسيط.</w:t>
      </w:r>
    </w:p>
    <w:p w14:paraId="56A653D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اعتماد مستوى دلالة إحصائية (</w:t>
      </w:r>
      <w:r w:rsidRPr="008A7560">
        <w:rPr>
          <w:rFonts w:ascii="Cambria" w:hAnsi="Cambria" w:cs="Cambria"/>
          <w:sz w:val="28"/>
          <w:szCs w:val="28"/>
        </w:rPr>
        <w:t>α</w:t>
      </w:r>
      <w:r w:rsidRPr="008A7560">
        <w:rPr>
          <w:rFonts w:ascii="Traditional Arabic" w:hAnsi="Traditional Arabic" w:cs="Traditional Arabic"/>
          <w:sz w:val="28"/>
          <w:szCs w:val="28"/>
        </w:rPr>
        <w:t xml:space="preserve"> </w:t>
      </w:r>
      <w:r w:rsidRPr="008A7560">
        <w:rPr>
          <w:rFonts w:ascii="Cambria Math" w:hAnsi="Cambria Math" w:cs="Cambria Math"/>
          <w:sz w:val="28"/>
          <w:szCs w:val="28"/>
        </w:rPr>
        <w:t>≤</w:t>
      </w:r>
      <w:r w:rsidRPr="008A7560">
        <w:rPr>
          <w:rFonts w:ascii="Traditional Arabic" w:hAnsi="Traditional Arabic" w:cs="Traditional Arabic"/>
          <w:sz w:val="28"/>
          <w:szCs w:val="28"/>
        </w:rPr>
        <w:t xml:space="preserve"> 0.05</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للحكم على معنوية النتائج الإحصائية واختبار فرضيات الدراسة، بما يعزز من دقة النتائج وموثوقيتها العلمية.</w:t>
      </w:r>
    </w:p>
    <w:p w14:paraId="45EA75D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جدول (3-4) ربط الفرضيات بالاختبارات الإحصائية</w:t>
      </w:r>
    </w:p>
    <w:tbl>
      <w:tblPr>
        <w:tblStyle w:val="TableGrid"/>
        <w:bidiVisual/>
        <w:tblW w:w="5000" w:type="pct"/>
        <w:jc w:val="center"/>
        <w:tblLook w:val="04A0" w:firstRow="1" w:lastRow="0" w:firstColumn="1" w:lastColumn="0" w:noHBand="0" w:noVBand="1"/>
      </w:tblPr>
      <w:tblGrid>
        <w:gridCol w:w="3365"/>
        <w:gridCol w:w="4931"/>
      </w:tblGrid>
      <w:tr w:rsidR="00315129" w:rsidRPr="008A7560" w14:paraId="33789853" w14:textId="77777777" w:rsidTr="009B6B64">
        <w:trPr>
          <w:jc w:val="center"/>
        </w:trPr>
        <w:tc>
          <w:tcPr>
            <w:tcW w:w="0" w:type="auto"/>
            <w:vAlign w:val="center"/>
            <w:hideMark/>
          </w:tcPr>
          <w:p w14:paraId="4EB73E5A"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الفرضية</w:t>
            </w:r>
          </w:p>
        </w:tc>
        <w:tc>
          <w:tcPr>
            <w:tcW w:w="0" w:type="auto"/>
            <w:vAlign w:val="center"/>
            <w:hideMark/>
          </w:tcPr>
          <w:p w14:paraId="66DFD198"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الأسلوب الإحصائي المستخدم</w:t>
            </w:r>
          </w:p>
        </w:tc>
      </w:tr>
      <w:tr w:rsidR="00315129" w:rsidRPr="008A7560" w14:paraId="14B7A5AD" w14:textId="77777777" w:rsidTr="009B6B64">
        <w:trPr>
          <w:jc w:val="center"/>
        </w:trPr>
        <w:tc>
          <w:tcPr>
            <w:tcW w:w="0" w:type="auto"/>
            <w:vAlign w:val="center"/>
            <w:hideMark/>
          </w:tcPr>
          <w:p w14:paraId="34787568"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العلاقة بين تطبيق الاستدامة وأداء المشاريع</w:t>
            </w:r>
          </w:p>
        </w:tc>
        <w:tc>
          <w:tcPr>
            <w:tcW w:w="0" w:type="auto"/>
            <w:vAlign w:val="center"/>
            <w:hideMark/>
          </w:tcPr>
          <w:p w14:paraId="0C3CD4AD"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ارتباط بيرسون</w:t>
            </w:r>
          </w:p>
        </w:tc>
      </w:tr>
      <w:tr w:rsidR="00315129" w:rsidRPr="008A7560" w14:paraId="45EAECDF" w14:textId="77777777" w:rsidTr="009B6B64">
        <w:trPr>
          <w:jc w:val="center"/>
        </w:trPr>
        <w:tc>
          <w:tcPr>
            <w:tcW w:w="0" w:type="auto"/>
            <w:vAlign w:val="center"/>
            <w:hideMark/>
          </w:tcPr>
          <w:p w14:paraId="645B937F"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أثر تطبيق الاستدامة على أداء المشاريع</w:t>
            </w:r>
          </w:p>
        </w:tc>
        <w:tc>
          <w:tcPr>
            <w:tcW w:w="0" w:type="auto"/>
            <w:vAlign w:val="center"/>
            <w:hideMark/>
          </w:tcPr>
          <w:p w14:paraId="28364B13"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الانحدار المتعدد</w:t>
            </w:r>
          </w:p>
        </w:tc>
      </w:tr>
      <w:tr w:rsidR="00315129" w:rsidRPr="008A7560" w14:paraId="11DA0722" w14:textId="77777777" w:rsidTr="009B6B64">
        <w:trPr>
          <w:jc w:val="center"/>
        </w:trPr>
        <w:tc>
          <w:tcPr>
            <w:tcW w:w="0" w:type="auto"/>
            <w:vAlign w:val="center"/>
            <w:hideMark/>
          </w:tcPr>
          <w:p w14:paraId="608E001A"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دور البيئة الداعمة كمتغير وسيط</w:t>
            </w:r>
          </w:p>
        </w:tc>
        <w:tc>
          <w:tcPr>
            <w:tcW w:w="0" w:type="auto"/>
            <w:vAlign w:val="center"/>
            <w:hideMark/>
          </w:tcPr>
          <w:p w14:paraId="42A6BE29"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الوساطة باستخدام</w:t>
            </w:r>
            <w:r w:rsidRPr="008A7560">
              <w:rPr>
                <w:rFonts w:ascii="Traditional Arabic" w:eastAsia="Times New Roman" w:hAnsi="Traditional Arabic" w:cs="Traditional Arabic"/>
                <w:sz w:val="28"/>
                <w:szCs w:val="28"/>
              </w:rPr>
              <w:t xml:space="preserve"> Bootstrap (PROCESS Macro)</w:t>
            </w:r>
          </w:p>
        </w:tc>
      </w:tr>
    </w:tbl>
    <w:p w14:paraId="74506DD4" w14:textId="77777777" w:rsidR="00315129" w:rsidRPr="008A7560" w:rsidRDefault="00315129" w:rsidP="00315129">
      <w:pPr>
        <w:bidi/>
        <w:spacing w:line="360" w:lineRule="auto"/>
        <w:jc w:val="both"/>
        <w:rPr>
          <w:rFonts w:ascii="Traditional Arabic" w:eastAsia="Times New Roman" w:hAnsi="Traditional Arabic" w:cs="Traditional Arabic"/>
          <w:b/>
          <w:bCs/>
          <w:kern w:val="36"/>
          <w:sz w:val="28"/>
          <w:szCs w:val="28"/>
        </w:rPr>
      </w:pPr>
      <w:r w:rsidRPr="008A7560">
        <w:rPr>
          <w:rFonts w:ascii="Traditional Arabic" w:eastAsia="Times New Roman" w:hAnsi="Traditional Arabic" w:cs="Traditional Arabic"/>
          <w:b/>
          <w:bCs/>
          <w:kern w:val="36"/>
          <w:sz w:val="28"/>
          <w:szCs w:val="28"/>
        </w:rPr>
        <w:t xml:space="preserve"> 3-8 </w:t>
      </w:r>
      <w:r w:rsidRPr="008A7560">
        <w:rPr>
          <w:rFonts w:ascii="Traditional Arabic" w:eastAsia="Times New Roman" w:hAnsi="Traditional Arabic" w:cs="Traditional Arabic"/>
          <w:b/>
          <w:bCs/>
          <w:kern w:val="36"/>
          <w:sz w:val="28"/>
          <w:szCs w:val="28"/>
          <w:rtl/>
        </w:rPr>
        <w:t>صدق وثبات أداة الدراسة</w:t>
      </w:r>
    </w:p>
    <w:p w14:paraId="4C924CF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tl/>
        </w:rPr>
        <w:t>أولًا: صدق أداة الدراسة</w:t>
      </w:r>
      <w:r w:rsidRPr="008A7560">
        <w:rPr>
          <w:rFonts w:ascii="Traditional Arabic" w:eastAsia="Times New Roman" w:hAnsi="Traditional Arabic" w:cs="Traditional Arabic"/>
          <w:b/>
          <w:bCs/>
          <w:sz w:val="28"/>
          <w:szCs w:val="28"/>
        </w:rPr>
        <w:t xml:space="preserve"> (Validity)</w:t>
      </w:r>
    </w:p>
    <w:p w14:paraId="23A039D6" w14:textId="77777777" w:rsidR="00315129"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lastRenderedPageBreak/>
        <w:t>يُعد الصدق من الخصائص الأساسية للأداة البحثية، إذ يشير إلى مدى قدرة الأداة على قياس ما وُضعت لقياسه بدقة وموضوعية. وقد تم التحقق من صدق أداة الدراسة من خلال عدد من الأساليب الإحصائية والمنهجية، وذلك على النحو الآتي</w:t>
      </w:r>
      <w:r w:rsidRPr="008A7560">
        <w:rPr>
          <w:rFonts w:ascii="Traditional Arabic" w:eastAsia="Times New Roman" w:hAnsi="Traditional Arabic" w:cs="Traditional Arabic"/>
          <w:sz w:val="28"/>
          <w:szCs w:val="28"/>
        </w:rPr>
        <w:t>:</w:t>
      </w:r>
    </w:p>
    <w:p w14:paraId="5EC44244" w14:textId="77777777" w:rsidR="003961A2" w:rsidRPr="008A7560" w:rsidRDefault="003961A2" w:rsidP="003961A2">
      <w:pPr>
        <w:bidi/>
        <w:spacing w:line="360" w:lineRule="auto"/>
        <w:jc w:val="both"/>
        <w:rPr>
          <w:rFonts w:ascii="Traditional Arabic" w:eastAsia="Times New Roman" w:hAnsi="Traditional Arabic" w:cs="Traditional Arabic"/>
          <w:sz w:val="28"/>
          <w:szCs w:val="28"/>
        </w:rPr>
      </w:pPr>
    </w:p>
    <w:p w14:paraId="54D79BD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Pr>
        <w:t xml:space="preserve"> 3-8-1 </w:t>
      </w:r>
      <w:r w:rsidRPr="008A7560">
        <w:rPr>
          <w:rFonts w:ascii="Traditional Arabic" w:eastAsia="Times New Roman" w:hAnsi="Traditional Arabic" w:cs="Traditional Arabic"/>
          <w:b/>
          <w:bCs/>
          <w:sz w:val="28"/>
          <w:szCs w:val="28"/>
          <w:rtl/>
        </w:rPr>
        <w:t>الصدق الظاهري وصدق المحتوى</w:t>
      </w:r>
      <w:r w:rsidRPr="008A7560">
        <w:rPr>
          <w:rFonts w:ascii="Traditional Arabic" w:eastAsia="Times New Roman" w:hAnsi="Traditional Arabic" w:cs="Traditional Arabic"/>
          <w:b/>
          <w:bCs/>
          <w:sz w:val="28"/>
          <w:szCs w:val="28"/>
        </w:rPr>
        <w:t xml:space="preserve"> (Face &amp; Content Validity)</w:t>
      </w:r>
    </w:p>
    <w:p w14:paraId="6E832DF2"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تم عرض الاستبانة في صورتها الأولية على مجموعة من المحكمين المتخصصين في مجالات إدارة المشاريع والهندسة والإدارة، وبلغ عددهم (7) محكمين، وذلك بهدف :</w:t>
      </w:r>
    </w:p>
    <w:p w14:paraId="398693C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التأكد من وضوح صياغة الفقرات</w:t>
      </w:r>
      <w:r w:rsidRPr="008A7560">
        <w:rPr>
          <w:rFonts w:ascii="Traditional Arabic" w:eastAsia="Times New Roman" w:hAnsi="Traditional Arabic" w:cs="Traditional Arabic"/>
          <w:sz w:val="28"/>
          <w:szCs w:val="28"/>
        </w:rPr>
        <w:t>.</w:t>
      </w:r>
    </w:p>
    <w:p w14:paraId="7ADF09E2"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التحقق من ملاءمة الفقرات لأبعاد المتغيرات</w:t>
      </w:r>
      <w:r w:rsidRPr="008A7560">
        <w:rPr>
          <w:rFonts w:ascii="Traditional Arabic" w:eastAsia="Times New Roman" w:hAnsi="Traditional Arabic" w:cs="Traditional Arabic"/>
          <w:sz w:val="28"/>
          <w:szCs w:val="28"/>
        </w:rPr>
        <w:t>.</w:t>
      </w:r>
    </w:p>
    <w:p w14:paraId="598B1AD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التأكد من شمولية الأداة لجميع جوانب الدراسة</w:t>
      </w:r>
      <w:r w:rsidRPr="008A7560">
        <w:rPr>
          <w:rFonts w:ascii="Traditional Arabic" w:eastAsia="Times New Roman" w:hAnsi="Traditional Arabic" w:cs="Traditional Arabic"/>
          <w:sz w:val="28"/>
          <w:szCs w:val="28"/>
        </w:rPr>
        <w:t>.</w:t>
      </w:r>
    </w:p>
    <w:p w14:paraId="489167C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حذف أو تعديل أو إعادة صياغة بعض العبارات</w:t>
      </w:r>
      <w:r w:rsidRPr="008A7560">
        <w:rPr>
          <w:rFonts w:ascii="Traditional Arabic" w:eastAsia="Times New Roman" w:hAnsi="Traditional Arabic" w:cs="Traditional Arabic"/>
          <w:sz w:val="28"/>
          <w:szCs w:val="28"/>
        </w:rPr>
        <w:t>.</w:t>
      </w:r>
    </w:p>
    <w:p w14:paraId="0D46DD37"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وقد أُجريت التعديلات المقترحة من قبل المحكمين، وتم اعتماد الاستبانة بصيغتها النهائية بعد الاتفاق على ملاءمتها العلمية، مما يعزز صدق المحتوى للأداة</w:t>
      </w:r>
      <w:r w:rsidRPr="008A7560">
        <w:rPr>
          <w:rFonts w:ascii="Traditional Arabic" w:eastAsia="Times New Roman" w:hAnsi="Traditional Arabic" w:cs="Traditional Arabic"/>
          <w:sz w:val="28"/>
          <w:szCs w:val="28"/>
        </w:rPr>
        <w:t>.</w:t>
      </w:r>
    </w:p>
    <w:p w14:paraId="72A148FD"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Pr>
        <w:t xml:space="preserve"> 3-8-2 </w:t>
      </w:r>
      <w:r w:rsidRPr="008A7560">
        <w:rPr>
          <w:rFonts w:ascii="Traditional Arabic" w:eastAsia="Times New Roman" w:hAnsi="Traditional Arabic" w:cs="Traditional Arabic"/>
          <w:b/>
          <w:bCs/>
          <w:sz w:val="28"/>
          <w:szCs w:val="28"/>
          <w:rtl/>
        </w:rPr>
        <w:t>صدق الاتساق الداخلي</w:t>
      </w:r>
      <w:r w:rsidRPr="008A7560">
        <w:rPr>
          <w:rFonts w:ascii="Traditional Arabic" w:eastAsia="Times New Roman" w:hAnsi="Traditional Arabic" w:cs="Traditional Arabic"/>
          <w:b/>
          <w:bCs/>
          <w:sz w:val="28"/>
          <w:szCs w:val="28"/>
        </w:rPr>
        <w:t xml:space="preserve"> (Internal Consistency Validity)</w:t>
      </w:r>
    </w:p>
    <w:p w14:paraId="307A131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تم التحقق من صدق الاتساق الداخلي من خلال حساب معامل ارتباط بيرسون</w:t>
      </w:r>
      <w:r w:rsidRPr="008A7560">
        <w:rPr>
          <w:rFonts w:ascii="Traditional Arabic" w:eastAsia="Times New Roman" w:hAnsi="Traditional Arabic" w:cs="Traditional Arabic"/>
          <w:sz w:val="28"/>
          <w:szCs w:val="28"/>
        </w:rPr>
        <w:t xml:space="preserve"> (Pearson Correlation Coefficient) </w:t>
      </w:r>
      <w:r w:rsidRPr="008A7560">
        <w:rPr>
          <w:rFonts w:ascii="Traditional Arabic" w:eastAsia="Times New Roman" w:hAnsi="Traditional Arabic" w:cs="Traditional Arabic"/>
          <w:sz w:val="28"/>
          <w:szCs w:val="28"/>
          <w:rtl/>
        </w:rPr>
        <w:t>بين كل فقرة والدرجة الكلية للمحور الذي تنتمي إليه، وذلك باستخدام برنامج الحزمة الإحصائية للعلوم الاجتماعية</w:t>
      </w:r>
      <w:r w:rsidRPr="008A7560">
        <w:rPr>
          <w:rFonts w:ascii="Traditional Arabic" w:eastAsia="Times New Roman" w:hAnsi="Traditional Arabic" w:cs="Traditional Arabic"/>
          <w:sz w:val="28"/>
          <w:szCs w:val="28"/>
        </w:rPr>
        <w:t xml:space="preserve"> (SPSS).</w:t>
      </w:r>
    </w:p>
    <w:p w14:paraId="563B128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وقد أظهرت النتائج وجود معاملات ارتباط موجبة ودالة إحصائيًا عند مستوى دلالة</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α</w:t>
      </w:r>
      <w:r w:rsidRPr="008A7560">
        <w:rPr>
          <w:rFonts w:ascii="Traditional Arabic" w:eastAsia="Times New Roman" w:hAnsi="Traditional Arabic" w:cs="Traditional Arabic"/>
          <w:sz w:val="28"/>
          <w:szCs w:val="28"/>
        </w:rPr>
        <w:t xml:space="preserve"> </w:t>
      </w:r>
      <w:r w:rsidRPr="008A7560">
        <w:rPr>
          <w:rFonts w:ascii="Cambria Math" w:eastAsia="Times New Roman" w:hAnsi="Cambria Math" w:cs="Cambria Math"/>
          <w:sz w:val="28"/>
          <w:szCs w:val="28"/>
        </w:rPr>
        <w:t>≤</w:t>
      </w:r>
      <w:r w:rsidRPr="008A7560">
        <w:rPr>
          <w:rFonts w:ascii="Traditional Arabic" w:eastAsia="Times New Roman" w:hAnsi="Traditional Arabic" w:cs="Traditional Arabic"/>
          <w:sz w:val="28"/>
          <w:szCs w:val="28"/>
        </w:rPr>
        <w:t xml:space="preserve"> 0.05)</w:t>
      </w:r>
      <w:r w:rsidRPr="008A7560">
        <w:rPr>
          <w:rFonts w:ascii="Traditional Arabic" w:eastAsia="Times New Roman" w:hAnsi="Traditional Arabic" w:cs="Traditional Arabic"/>
          <w:sz w:val="28"/>
          <w:szCs w:val="28"/>
          <w:rtl/>
        </w:rPr>
        <w:t>، مما يشير إلى اتساق الفقرات مع الأبعاد التي تقيسها</w:t>
      </w:r>
      <w:r w:rsidRPr="008A7560">
        <w:rPr>
          <w:rFonts w:ascii="Traditional Arabic" w:eastAsia="Times New Roman" w:hAnsi="Traditional Arabic" w:cs="Traditional Arabic"/>
          <w:sz w:val="28"/>
          <w:szCs w:val="28"/>
        </w:rPr>
        <w:t>.</w:t>
      </w:r>
    </w:p>
    <w:p w14:paraId="33428F3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يوضح الجدول (3-5) معاملات الارتباط بين فقرات محور تطبيق مبادئ الاستدامة والدرجة الكلية للمحور الذي تنتمي إليه، وذلك بهدف التحقق من صدق الاتساق الداخلي لفقرات هذا المحور، وبيان مدى اتساق كل فقرة مع البعد الذي تقيسه ضمن أداة الدراسة.</w:t>
      </w:r>
    </w:p>
    <w:p w14:paraId="1B7D50CE"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(3-5) معاملات ارتباط فقرات محور تطبيق مبادئ الاستدامة بالدرجة الكلية للمحور</w:t>
      </w:r>
    </w:p>
    <w:tbl>
      <w:tblPr>
        <w:tblStyle w:val="TableGrid"/>
        <w:bidiVisual/>
        <w:tblW w:w="5000" w:type="pct"/>
        <w:jc w:val="center"/>
        <w:tblLook w:val="04A0" w:firstRow="1" w:lastRow="0" w:firstColumn="1" w:lastColumn="0" w:noHBand="0" w:noVBand="1"/>
      </w:tblPr>
      <w:tblGrid>
        <w:gridCol w:w="1998"/>
        <w:gridCol w:w="1632"/>
        <w:gridCol w:w="2785"/>
        <w:gridCol w:w="1881"/>
      </w:tblGrid>
      <w:tr w:rsidR="00315129" w:rsidRPr="008A7560" w14:paraId="75E54C08" w14:textId="77777777" w:rsidTr="009B6B64">
        <w:trPr>
          <w:jc w:val="center"/>
        </w:trPr>
        <w:tc>
          <w:tcPr>
            <w:tcW w:w="0" w:type="auto"/>
            <w:vAlign w:val="center"/>
            <w:hideMark/>
          </w:tcPr>
          <w:p w14:paraId="3191B32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3D936BA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5B951F1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02D664C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470364D8" w14:textId="77777777" w:rsidTr="009B6B64">
        <w:trPr>
          <w:jc w:val="center"/>
        </w:trPr>
        <w:tc>
          <w:tcPr>
            <w:tcW w:w="0" w:type="auto"/>
            <w:vAlign w:val="center"/>
            <w:hideMark/>
          </w:tcPr>
          <w:p w14:paraId="78A2C70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البيئي</w:t>
            </w:r>
          </w:p>
        </w:tc>
        <w:tc>
          <w:tcPr>
            <w:tcW w:w="0" w:type="auto"/>
            <w:vAlign w:val="center"/>
            <w:hideMark/>
          </w:tcPr>
          <w:p w14:paraId="17B9DBD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5032A20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0.62 – 0.81</w:t>
            </w:r>
          </w:p>
        </w:tc>
        <w:tc>
          <w:tcPr>
            <w:tcW w:w="0" w:type="auto"/>
            <w:vAlign w:val="center"/>
            <w:hideMark/>
          </w:tcPr>
          <w:p w14:paraId="417F2D8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198712DD" w14:textId="77777777" w:rsidTr="009B6B64">
        <w:trPr>
          <w:jc w:val="center"/>
        </w:trPr>
        <w:tc>
          <w:tcPr>
            <w:tcW w:w="0" w:type="auto"/>
            <w:vAlign w:val="center"/>
            <w:hideMark/>
          </w:tcPr>
          <w:p w14:paraId="68409E8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الاقتصادي</w:t>
            </w:r>
          </w:p>
        </w:tc>
        <w:tc>
          <w:tcPr>
            <w:tcW w:w="0" w:type="auto"/>
            <w:vAlign w:val="center"/>
            <w:hideMark/>
          </w:tcPr>
          <w:p w14:paraId="120E04F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3EE08D5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0.58 – 0.84</w:t>
            </w:r>
          </w:p>
        </w:tc>
        <w:tc>
          <w:tcPr>
            <w:tcW w:w="0" w:type="auto"/>
            <w:vAlign w:val="center"/>
            <w:hideMark/>
          </w:tcPr>
          <w:p w14:paraId="479AD26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C3CB6A5" w14:textId="77777777" w:rsidTr="009B6B64">
        <w:trPr>
          <w:jc w:val="center"/>
        </w:trPr>
        <w:tc>
          <w:tcPr>
            <w:tcW w:w="0" w:type="auto"/>
            <w:vAlign w:val="center"/>
            <w:hideMark/>
          </w:tcPr>
          <w:p w14:paraId="6DEB606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الاجتماعي</w:t>
            </w:r>
          </w:p>
        </w:tc>
        <w:tc>
          <w:tcPr>
            <w:tcW w:w="0" w:type="auto"/>
            <w:vAlign w:val="center"/>
            <w:hideMark/>
          </w:tcPr>
          <w:p w14:paraId="79DE517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60E9353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0.60 – 0.79</w:t>
            </w:r>
          </w:p>
        </w:tc>
        <w:tc>
          <w:tcPr>
            <w:tcW w:w="0" w:type="auto"/>
            <w:vAlign w:val="center"/>
            <w:hideMark/>
          </w:tcPr>
          <w:p w14:paraId="6DAACB0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5037BAC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تشير نتائج جدول (3-5) إلى وجود معاملات ارتباط موجبة ودالة إحصائيًا بين فقرات أبعاد تطبيق مبادئ الاستدامة والدرجة الكلية للمحور، وهو ما يعكس وجود مستوى جيد من الاتساق الداخلي بين الفقرات المكونة لكل بُعد. وتدل هذه النتائج على أن الفقرات ترتبط بصورة منسجمة مع البعد الذي تنتمي إليه، وتسهم في قياس مفهوم تطبيق الاستدامة بأبعاده البيئي والاقتصادي والاجتماعي بشكل متكامل. كما تعكس هذه القيم تمثيلًا مناسبًا للبناء المفاهيمي للمتغير، الأمر الذي يدعم صدق الاتساق الداخلي للأداة ويؤكد صلاحية فقرات هذا المحور للاستخدام في التحليل الإحصائي اللاحق.</w:t>
      </w:r>
    </w:p>
    <w:p w14:paraId="050507D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يبين الجدول (3-6) معاملات الارتباط بين فقرات محور أداء المشاريع الإنشائية والدرجة الكلية للمحور، وذلك للتحقق من صدق الاتساق الداخلي لفقرات هذا المحور، ومدى إسهام كل فقرة في قياس البعد الذي تنتمي إليه ضمن متغير أداء المشاريع.</w:t>
      </w:r>
    </w:p>
    <w:p w14:paraId="2D096DC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(3-6) معاملات ارتباط فقرات محور أداء المشاريع الإنشائية بالدرجة الكلية للمحور</w:t>
      </w:r>
    </w:p>
    <w:tbl>
      <w:tblPr>
        <w:tblStyle w:val="TableGrid"/>
        <w:bidiVisual/>
        <w:tblW w:w="5000" w:type="pct"/>
        <w:jc w:val="center"/>
        <w:tblLook w:val="04A0" w:firstRow="1" w:lastRow="0" w:firstColumn="1" w:lastColumn="0" w:noHBand="0" w:noVBand="1"/>
      </w:tblPr>
      <w:tblGrid>
        <w:gridCol w:w="2367"/>
        <w:gridCol w:w="1536"/>
        <w:gridCol w:w="2622"/>
        <w:gridCol w:w="1771"/>
      </w:tblGrid>
      <w:tr w:rsidR="00315129" w:rsidRPr="008A7560" w14:paraId="39BD4954" w14:textId="77777777" w:rsidTr="009B6B64">
        <w:trPr>
          <w:jc w:val="center"/>
        </w:trPr>
        <w:tc>
          <w:tcPr>
            <w:tcW w:w="0" w:type="auto"/>
            <w:vAlign w:val="center"/>
            <w:hideMark/>
          </w:tcPr>
          <w:p w14:paraId="5DC58CD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7EB8DF4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1559C7F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3057F77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7F48298D" w14:textId="77777777" w:rsidTr="009B6B64">
        <w:trPr>
          <w:jc w:val="center"/>
        </w:trPr>
        <w:tc>
          <w:tcPr>
            <w:tcW w:w="0" w:type="auto"/>
            <w:vAlign w:val="center"/>
            <w:hideMark/>
          </w:tcPr>
          <w:p w14:paraId="2DB2DEB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التكلفة</w:t>
            </w:r>
          </w:p>
        </w:tc>
        <w:tc>
          <w:tcPr>
            <w:tcW w:w="0" w:type="auto"/>
            <w:vAlign w:val="center"/>
            <w:hideMark/>
          </w:tcPr>
          <w:p w14:paraId="42175CC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154F755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0.55 – 0.77</w:t>
            </w:r>
          </w:p>
        </w:tc>
        <w:tc>
          <w:tcPr>
            <w:tcW w:w="0" w:type="auto"/>
            <w:vAlign w:val="center"/>
            <w:hideMark/>
          </w:tcPr>
          <w:p w14:paraId="2455812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50BF289" w14:textId="77777777" w:rsidTr="009B6B64">
        <w:trPr>
          <w:jc w:val="center"/>
        </w:trPr>
        <w:tc>
          <w:tcPr>
            <w:tcW w:w="0" w:type="auto"/>
            <w:vAlign w:val="center"/>
            <w:hideMark/>
          </w:tcPr>
          <w:p w14:paraId="0E6F008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الجودة</w:t>
            </w:r>
          </w:p>
        </w:tc>
        <w:tc>
          <w:tcPr>
            <w:tcW w:w="0" w:type="auto"/>
            <w:vAlign w:val="center"/>
            <w:hideMark/>
          </w:tcPr>
          <w:p w14:paraId="53733F7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0757641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0.63 – 0.86</w:t>
            </w:r>
          </w:p>
        </w:tc>
        <w:tc>
          <w:tcPr>
            <w:tcW w:w="0" w:type="auto"/>
            <w:vAlign w:val="center"/>
            <w:hideMark/>
          </w:tcPr>
          <w:p w14:paraId="3EA7C3B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F4CF596" w14:textId="77777777" w:rsidTr="009B6B64">
        <w:trPr>
          <w:jc w:val="center"/>
        </w:trPr>
        <w:tc>
          <w:tcPr>
            <w:tcW w:w="0" w:type="auto"/>
            <w:vAlign w:val="center"/>
            <w:hideMark/>
          </w:tcPr>
          <w:p w14:paraId="76644E4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الالتزام بالجدول الزمني</w:t>
            </w:r>
          </w:p>
        </w:tc>
        <w:tc>
          <w:tcPr>
            <w:tcW w:w="0" w:type="auto"/>
            <w:vAlign w:val="center"/>
            <w:hideMark/>
          </w:tcPr>
          <w:p w14:paraId="011CECB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DB0FA9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0.59 – 0.82</w:t>
            </w:r>
          </w:p>
        </w:tc>
        <w:tc>
          <w:tcPr>
            <w:tcW w:w="0" w:type="auto"/>
            <w:vAlign w:val="center"/>
            <w:hideMark/>
          </w:tcPr>
          <w:p w14:paraId="19899CB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20D5F77F" w14:textId="77777777" w:rsidTr="009B6B64">
        <w:trPr>
          <w:jc w:val="center"/>
        </w:trPr>
        <w:tc>
          <w:tcPr>
            <w:tcW w:w="0" w:type="auto"/>
            <w:vAlign w:val="center"/>
            <w:hideMark/>
          </w:tcPr>
          <w:p w14:paraId="567659A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رضا العملاء</w:t>
            </w:r>
          </w:p>
        </w:tc>
        <w:tc>
          <w:tcPr>
            <w:tcW w:w="0" w:type="auto"/>
            <w:vAlign w:val="center"/>
            <w:hideMark/>
          </w:tcPr>
          <w:p w14:paraId="155B280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651C4B4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0.61 – 0.88</w:t>
            </w:r>
          </w:p>
        </w:tc>
        <w:tc>
          <w:tcPr>
            <w:tcW w:w="0" w:type="auto"/>
            <w:vAlign w:val="center"/>
            <w:hideMark/>
          </w:tcPr>
          <w:p w14:paraId="09807A0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4B84894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تُظهر نتائج جدول (3-6) وجود معاملات ارتباط موجبة ودالة إحصائيًا بين فقرات أبعاد أداء المشاريع الإنشائية والدرجة الكلية للمحور، مما يدل على وجود درجة مرتفعة من الاتساق الداخلي بين الفقرات التي تقيس هذا المتغير. وتشير هذه النتائج إلى أن الفقرات المكونة لأبعاد الأداء – والمتمثلة في التكلفة والجودة والالتزام بالجدول الزمني ورضا العملاء – تعكس بصورة متجانسة مفهوم أداء المشاريع الإنشائية كما ورد في الإطار النظري للدراسة. وبذلك يمكن القول إن هذا المحور يتمتع بدرجة مناسبة من صدق الاتساق الداخلي، مما يعزز من موثوقية القياس ويؤكد ملاءمة الفقرات لتمثيل متغير أداء المشاريع.</w:t>
      </w:r>
    </w:p>
    <w:p w14:paraId="3692F681"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يوضح الجدول (3-7) معاملات الارتباط بين فقرات محور البيئة الداعمة والدرجة الكلية للمحور، وذلك بهدف التحقق من مدى اتساق الفقرات داخليًا وقياسها بشكل دقيق لمفهوم البيئة الداعمة بوصفه أحد متغيرات الدراسة.</w:t>
      </w:r>
    </w:p>
    <w:p w14:paraId="3F0795EB"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(3-7) معاملات ارتباط فقرات محور البيئة الداعمة بالدرجة الكلية للمحور</w:t>
      </w:r>
    </w:p>
    <w:tbl>
      <w:tblPr>
        <w:tblStyle w:val="TableGrid"/>
        <w:bidiVisual/>
        <w:tblW w:w="5000" w:type="pct"/>
        <w:jc w:val="center"/>
        <w:tblLook w:val="04A0" w:firstRow="1" w:lastRow="0" w:firstColumn="1" w:lastColumn="0" w:noHBand="0" w:noVBand="1"/>
      </w:tblPr>
      <w:tblGrid>
        <w:gridCol w:w="2477"/>
        <w:gridCol w:w="1508"/>
        <w:gridCol w:w="2573"/>
        <w:gridCol w:w="1738"/>
      </w:tblGrid>
      <w:tr w:rsidR="00315129" w:rsidRPr="008A7560" w14:paraId="62278D49" w14:textId="77777777" w:rsidTr="009B6B64">
        <w:trPr>
          <w:jc w:val="center"/>
        </w:trPr>
        <w:tc>
          <w:tcPr>
            <w:tcW w:w="0" w:type="auto"/>
            <w:vAlign w:val="center"/>
            <w:hideMark/>
          </w:tcPr>
          <w:p w14:paraId="210F372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5FC3CAC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7546240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1EE2140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7EA3263B" w14:textId="77777777" w:rsidTr="009B6B64">
        <w:trPr>
          <w:jc w:val="center"/>
        </w:trPr>
        <w:tc>
          <w:tcPr>
            <w:tcW w:w="0" w:type="auto"/>
            <w:vAlign w:val="center"/>
            <w:hideMark/>
          </w:tcPr>
          <w:p w14:paraId="2264189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السياسات والتنظيمات</w:t>
            </w:r>
          </w:p>
        </w:tc>
        <w:tc>
          <w:tcPr>
            <w:tcW w:w="0" w:type="auto"/>
            <w:vAlign w:val="center"/>
            <w:hideMark/>
          </w:tcPr>
          <w:p w14:paraId="750F2D7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3</w:t>
            </w:r>
          </w:p>
        </w:tc>
        <w:tc>
          <w:tcPr>
            <w:tcW w:w="0" w:type="auto"/>
            <w:vAlign w:val="center"/>
            <w:hideMark/>
          </w:tcPr>
          <w:p w14:paraId="62512B2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0.57 – 0.79</w:t>
            </w:r>
          </w:p>
        </w:tc>
        <w:tc>
          <w:tcPr>
            <w:tcW w:w="0" w:type="auto"/>
            <w:vAlign w:val="center"/>
            <w:hideMark/>
          </w:tcPr>
          <w:p w14:paraId="5EF1D5C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282DF36B" w14:textId="77777777" w:rsidTr="009B6B64">
        <w:trPr>
          <w:jc w:val="center"/>
        </w:trPr>
        <w:tc>
          <w:tcPr>
            <w:tcW w:w="0" w:type="auto"/>
            <w:vAlign w:val="center"/>
            <w:hideMark/>
          </w:tcPr>
          <w:p w14:paraId="53FE97B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الوعي والثقافة المؤسسية</w:t>
            </w:r>
          </w:p>
        </w:tc>
        <w:tc>
          <w:tcPr>
            <w:tcW w:w="0" w:type="auto"/>
            <w:vAlign w:val="center"/>
            <w:hideMark/>
          </w:tcPr>
          <w:p w14:paraId="690E880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6D84E10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0.60 – 0.83</w:t>
            </w:r>
          </w:p>
        </w:tc>
        <w:tc>
          <w:tcPr>
            <w:tcW w:w="0" w:type="auto"/>
            <w:vAlign w:val="center"/>
            <w:hideMark/>
          </w:tcPr>
          <w:p w14:paraId="1DBAF3F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05E01B8D" w14:textId="77777777" w:rsidR="00315129"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 xml:space="preserve">تشير نتائج جدول (3-7) إلى وجود معاملات ارتباط موجبة ودالة إحصائيًا بين فقرات محور البيئة الداعمة والدرجة الكلية للمحور، وهو ما يدل على وجود مستوى مقبول إلى جيد من الاتساق الداخلي بين الفقرات المكونة لهذا المتغير. وتعكس هذه النتائج أن الأبعاد المرتبطة بالبيئة الداعمة – مثل السياسات والتنظيمات والوعي والثقافة المؤسسية– تمثل </w:t>
      </w:r>
      <w:r w:rsidRPr="008A7560">
        <w:rPr>
          <w:rFonts w:ascii="Traditional Arabic" w:eastAsia="Times New Roman" w:hAnsi="Traditional Arabic" w:cs="Traditional Arabic"/>
          <w:sz w:val="28"/>
          <w:szCs w:val="28"/>
          <w:rtl/>
        </w:rPr>
        <w:lastRenderedPageBreak/>
        <w:t>بناءً مفاهيميًا مترابطًا يسهم في قياس هذا المتغير بصورة متكاملة. كما تشير النتائج إلى ملاءمة الفقرات لقياس مفهوم البيئة الداعمة، الأمر الذي يعزز من صدق البناء لهذا المحور ويؤكد إمكانية استخدامه في اختبار الدور الوسيط لهذا المتغير ضمن نموذج الدراسة.</w:t>
      </w:r>
    </w:p>
    <w:p w14:paraId="5014A5AC" w14:textId="77777777" w:rsidR="00147E89" w:rsidRDefault="00147E89" w:rsidP="00147E89">
      <w:pPr>
        <w:bidi/>
        <w:spacing w:line="360" w:lineRule="auto"/>
        <w:jc w:val="both"/>
        <w:rPr>
          <w:rFonts w:ascii="Traditional Arabic" w:eastAsia="Times New Roman" w:hAnsi="Traditional Arabic" w:cs="Traditional Arabic"/>
          <w:sz w:val="28"/>
          <w:szCs w:val="28"/>
          <w:rtl/>
        </w:rPr>
      </w:pPr>
    </w:p>
    <w:p w14:paraId="709F6404" w14:textId="77777777" w:rsidR="00147E89" w:rsidRPr="008A7560" w:rsidRDefault="00147E89" w:rsidP="00147E89">
      <w:pPr>
        <w:bidi/>
        <w:spacing w:line="360" w:lineRule="auto"/>
        <w:jc w:val="both"/>
        <w:rPr>
          <w:rFonts w:ascii="Traditional Arabic" w:eastAsia="Times New Roman" w:hAnsi="Traditional Arabic" w:cs="Traditional Arabic"/>
          <w:sz w:val="28"/>
          <w:szCs w:val="28"/>
          <w:rtl/>
        </w:rPr>
      </w:pPr>
    </w:p>
    <w:p w14:paraId="018DB53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tl/>
        </w:rPr>
        <w:t>ثانيًا: ثبات أداة الدراسة</w:t>
      </w:r>
      <w:r w:rsidRPr="008A7560">
        <w:rPr>
          <w:rFonts w:ascii="Traditional Arabic" w:eastAsia="Times New Roman" w:hAnsi="Traditional Arabic" w:cs="Traditional Arabic"/>
          <w:b/>
          <w:bCs/>
          <w:sz w:val="28"/>
          <w:szCs w:val="28"/>
        </w:rPr>
        <w:t xml:space="preserve"> (Reliability)</w:t>
      </w:r>
    </w:p>
    <w:p w14:paraId="346E7D7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يشير الثبات إلى درجة اتساق الأداة في قياس المتغيرات محل الدراسة، وقد تم التحقق من ثبات الاستبانة باستخدام معامل كرونباخ ألفا</w:t>
      </w:r>
      <w:r w:rsidRPr="008A7560">
        <w:rPr>
          <w:rFonts w:ascii="Traditional Arabic" w:eastAsia="Times New Roman" w:hAnsi="Traditional Arabic" w:cs="Traditional Arabic"/>
          <w:sz w:val="28"/>
          <w:szCs w:val="28"/>
        </w:rPr>
        <w:t xml:space="preserve"> (Cronbach’s Alpha)</w:t>
      </w:r>
      <w:r w:rsidRPr="008A7560">
        <w:rPr>
          <w:rFonts w:ascii="Traditional Arabic" w:eastAsia="Times New Roman" w:hAnsi="Traditional Arabic" w:cs="Traditional Arabic"/>
          <w:sz w:val="28"/>
          <w:szCs w:val="28"/>
          <w:rtl/>
        </w:rPr>
        <w:t>، لقياس الاتساق الداخلي بين فقرات كل محور من محاور الدراسة</w:t>
      </w:r>
      <w:r w:rsidRPr="008A7560">
        <w:rPr>
          <w:rFonts w:ascii="Traditional Arabic" w:eastAsia="Times New Roman" w:hAnsi="Traditional Arabic" w:cs="Traditional Arabic"/>
          <w:sz w:val="28"/>
          <w:szCs w:val="28"/>
        </w:rPr>
        <w:t>.</w:t>
      </w:r>
    </w:p>
    <w:p w14:paraId="0DCF05D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وتُعد قيمة ألفا مقبولة إذا تجاوزت (0.70)، وجيدة إذا تجاوزت (0.80)، وممتازة إذا تجاوزت</w:t>
      </w:r>
      <w:r w:rsidRPr="008A7560">
        <w:rPr>
          <w:rFonts w:ascii="Traditional Arabic" w:eastAsia="Times New Roman" w:hAnsi="Traditional Arabic" w:cs="Traditional Arabic"/>
          <w:sz w:val="28"/>
          <w:szCs w:val="28"/>
        </w:rPr>
        <w:t xml:space="preserve"> (0.90).</w:t>
      </w:r>
    </w:p>
    <w:p w14:paraId="5A1FA10B"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يبين الجدول (3-8) معاملات الثبات باستخدام معامل كرونباخ ألفا لأبعاد ومتغيرات الدراسة، وذلك للتحقق من مستوى الاتساق الداخلي لأداة الدراسة ومدى موثوقيتها في قياس متغيرات الدراسة المختلفة.</w:t>
      </w:r>
    </w:p>
    <w:p w14:paraId="0A72115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(3-8) معامل كرونباخ ألفا لأبعاد ومتغيرات الدراسة</w:t>
      </w:r>
    </w:p>
    <w:tbl>
      <w:tblPr>
        <w:tblStyle w:val="TableGrid"/>
        <w:bidiVisual/>
        <w:tblW w:w="5000" w:type="pct"/>
        <w:jc w:val="center"/>
        <w:tblLook w:val="04A0" w:firstRow="1" w:lastRow="0" w:firstColumn="1" w:lastColumn="0" w:noHBand="0" w:noVBand="1"/>
      </w:tblPr>
      <w:tblGrid>
        <w:gridCol w:w="3692"/>
        <w:gridCol w:w="1948"/>
        <w:gridCol w:w="2656"/>
      </w:tblGrid>
      <w:tr w:rsidR="00315129" w:rsidRPr="008A7560" w14:paraId="705A12EE" w14:textId="77777777" w:rsidTr="009B6B64">
        <w:trPr>
          <w:jc w:val="center"/>
        </w:trPr>
        <w:tc>
          <w:tcPr>
            <w:tcW w:w="0" w:type="auto"/>
            <w:vAlign w:val="center"/>
            <w:hideMark/>
          </w:tcPr>
          <w:p w14:paraId="550F9C1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المحور</w:t>
            </w:r>
          </w:p>
        </w:tc>
        <w:tc>
          <w:tcPr>
            <w:tcW w:w="0" w:type="auto"/>
            <w:vAlign w:val="center"/>
            <w:hideMark/>
          </w:tcPr>
          <w:p w14:paraId="52E39FE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017B403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كرونباخ ألفا</w:t>
            </w:r>
          </w:p>
        </w:tc>
      </w:tr>
      <w:tr w:rsidR="00315129" w:rsidRPr="008A7560" w14:paraId="40986257" w14:textId="77777777" w:rsidTr="009B6B64">
        <w:trPr>
          <w:jc w:val="center"/>
        </w:trPr>
        <w:tc>
          <w:tcPr>
            <w:tcW w:w="0" w:type="auto"/>
            <w:vAlign w:val="center"/>
            <w:hideMark/>
          </w:tcPr>
          <w:p w14:paraId="4A9515B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البيئي</w:t>
            </w:r>
          </w:p>
        </w:tc>
        <w:tc>
          <w:tcPr>
            <w:tcW w:w="0" w:type="auto"/>
            <w:vAlign w:val="center"/>
            <w:hideMark/>
          </w:tcPr>
          <w:p w14:paraId="546F106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3D43F9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0.87</w:t>
            </w:r>
          </w:p>
        </w:tc>
      </w:tr>
      <w:tr w:rsidR="00315129" w:rsidRPr="008A7560" w14:paraId="049F93E6" w14:textId="77777777" w:rsidTr="009B6B64">
        <w:trPr>
          <w:jc w:val="center"/>
        </w:trPr>
        <w:tc>
          <w:tcPr>
            <w:tcW w:w="0" w:type="auto"/>
            <w:vAlign w:val="center"/>
            <w:hideMark/>
          </w:tcPr>
          <w:p w14:paraId="31017F5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الاقتصادي</w:t>
            </w:r>
          </w:p>
        </w:tc>
        <w:tc>
          <w:tcPr>
            <w:tcW w:w="0" w:type="auto"/>
            <w:vAlign w:val="center"/>
            <w:hideMark/>
          </w:tcPr>
          <w:p w14:paraId="217E2C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008B8CA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0.89</w:t>
            </w:r>
          </w:p>
        </w:tc>
      </w:tr>
      <w:tr w:rsidR="00315129" w:rsidRPr="008A7560" w14:paraId="3CA56644" w14:textId="77777777" w:rsidTr="009B6B64">
        <w:trPr>
          <w:jc w:val="center"/>
        </w:trPr>
        <w:tc>
          <w:tcPr>
            <w:tcW w:w="0" w:type="auto"/>
            <w:vAlign w:val="center"/>
            <w:hideMark/>
          </w:tcPr>
          <w:p w14:paraId="78F99EF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الاجتماعي</w:t>
            </w:r>
          </w:p>
        </w:tc>
        <w:tc>
          <w:tcPr>
            <w:tcW w:w="0" w:type="auto"/>
            <w:vAlign w:val="center"/>
            <w:hideMark/>
          </w:tcPr>
          <w:p w14:paraId="1B5563B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35DEBA7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0.85</w:t>
            </w:r>
          </w:p>
        </w:tc>
      </w:tr>
      <w:tr w:rsidR="00315129" w:rsidRPr="008A7560" w14:paraId="64579F45" w14:textId="77777777" w:rsidTr="009B6B64">
        <w:trPr>
          <w:jc w:val="center"/>
        </w:trPr>
        <w:tc>
          <w:tcPr>
            <w:tcW w:w="0" w:type="auto"/>
            <w:vAlign w:val="center"/>
            <w:hideMark/>
          </w:tcPr>
          <w:p w14:paraId="3051072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تطبيق الاستدامة ككل</w:t>
            </w:r>
          </w:p>
        </w:tc>
        <w:tc>
          <w:tcPr>
            <w:tcW w:w="0" w:type="auto"/>
            <w:vAlign w:val="center"/>
            <w:hideMark/>
          </w:tcPr>
          <w:p w14:paraId="2F8C7C2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13</w:t>
            </w:r>
          </w:p>
        </w:tc>
        <w:tc>
          <w:tcPr>
            <w:tcW w:w="0" w:type="auto"/>
            <w:vAlign w:val="center"/>
            <w:hideMark/>
          </w:tcPr>
          <w:p w14:paraId="3B847A6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0.92</w:t>
            </w:r>
          </w:p>
        </w:tc>
      </w:tr>
      <w:tr w:rsidR="00315129" w:rsidRPr="008A7560" w14:paraId="59755FA6" w14:textId="77777777" w:rsidTr="009B6B64">
        <w:trPr>
          <w:jc w:val="center"/>
        </w:trPr>
        <w:tc>
          <w:tcPr>
            <w:tcW w:w="0" w:type="auto"/>
            <w:vAlign w:val="center"/>
            <w:hideMark/>
          </w:tcPr>
          <w:p w14:paraId="1086179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التكلفة</w:t>
            </w:r>
          </w:p>
        </w:tc>
        <w:tc>
          <w:tcPr>
            <w:tcW w:w="0" w:type="auto"/>
            <w:vAlign w:val="center"/>
            <w:hideMark/>
          </w:tcPr>
          <w:p w14:paraId="03431F6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411839F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0.84</w:t>
            </w:r>
          </w:p>
        </w:tc>
      </w:tr>
      <w:tr w:rsidR="00315129" w:rsidRPr="008A7560" w14:paraId="2CDB7D16" w14:textId="77777777" w:rsidTr="009B6B64">
        <w:trPr>
          <w:jc w:val="center"/>
        </w:trPr>
        <w:tc>
          <w:tcPr>
            <w:tcW w:w="0" w:type="auto"/>
            <w:vAlign w:val="center"/>
            <w:hideMark/>
          </w:tcPr>
          <w:p w14:paraId="06E351C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الجودة</w:t>
            </w:r>
          </w:p>
        </w:tc>
        <w:tc>
          <w:tcPr>
            <w:tcW w:w="0" w:type="auto"/>
            <w:vAlign w:val="center"/>
            <w:hideMark/>
          </w:tcPr>
          <w:p w14:paraId="59C4028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FA29F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0.90</w:t>
            </w:r>
          </w:p>
        </w:tc>
      </w:tr>
      <w:tr w:rsidR="00315129" w:rsidRPr="008A7560" w14:paraId="2BCC3E2B" w14:textId="77777777" w:rsidTr="009B6B64">
        <w:trPr>
          <w:jc w:val="center"/>
        </w:trPr>
        <w:tc>
          <w:tcPr>
            <w:tcW w:w="0" w:type="auto"/>
            <w:vAlign w:val="center"/>
            <w:hideMark/>
          </w:tcPr>
          <w:p w14:paraId="7B5A776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الالتزام بالجدول الزمني</w:t>
            </w:r>
          </w:p>
        </w:tc>
        <w:tc>
          <w:tcPr>
            <w:tcW w:w="0" w:type="auto"/>
            <w:vAlign w:val="center"/>
            <w:hideMark/>
          </w:tcPr>
          <w:p w14:paraId="58A29B8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71357B6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0.88</w:t>
            </w:r>
          </w:p>
        </w:tc>
      </w:tr>
      <w:tr w:rsidR="00315129" w:rsidRPr="008A7560" w14:paraId="742D75DA" w14:textId="77777777" w:rsidTr="009B6B64">
        <w:trPr>
          <w:jc w:val="center"/>
        </w:trPr>
        <w:tc>
          <w:tcPr>
            <w:tcW w:w="0" w:type="auto"/>
            <w:vAlign w:val="center"/>
            <w:hideMark/>
          </w:tcPr>
          <w:p w14:paraId="5579B4F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رضا العملاء</w:t>
            </w:r>
          </w:p>
        </w:tc>
        <w:tc>
          <w:tcPr>
            <w:tcW w:w="0" w:type="auto"/>
            <w:vAlign w:val="center"/>
            <w:hideMark/>
          </w:tcPr>
          <w:p w14:paraId="39211EA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6A2F21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0.91</w:t>
            </w:r>
          </w:p>
        </w:tc>
      </w:tr>
      <w:tr w:rsidR="00315129" w:rsidRPr="008A7560" w14:paraId="18938133" w14:textId="77777777" w:rsidTr="009B6B64">
        <w:trPr>
          <w:jc w:val="center"/>
        </w:trPr>
        <w:tc>
          <w:tcPr>
            <w:tcW w:w="0" w:type="auto"/>
            <w:vAlign w:val="center"/>
            <w:hideMark/>
          </w:tcPr>
          <w:p w14:paraId="0F0F19D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أداء المشاريع ككل</w:t>
            </w:r>
          </w:p>
        </w:tc>
        <w:tc>
          <w:tcPr>
            <w:tcW w:w="0" w:type="auto"/>
            <w:vAlign w:val="center"/>
            <w:hideMark/>
          </w:tcPr>
          <w:p w14:paraId="515E36E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19</w:t>
            </w:r>
          </w:p>
        </w:tc>
        <w:tc>
          <w:tcPr>
            <w:tcW w:w="0" w:type="auto"/>
            <w:vAlign w:val="center"/>
            <w:hideMark/>
          </w:tcPr>
          <w:p w14:paraId="266C01F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0.94</w:t>
            </w:r>
          </w:p>
        </w:tc>
      </w:tr>
      <w:tr w:rsidR="00315129" w:rsidRPr="008A7560" w14:paraId="11CA66DF" w14:textId="77777777" w:rsidTr="009B6B64">
        <w:trPr>
          <w:jc w:val="center"/>
        </w:trPr>
        <w:tc>
          <w:tcPr>
            <w:tcW w:w="0" w:type="auto"/>
            <w:vAlign w:val="center"/>
            <w:hideMark/>
          </w:tcPr>
          <w:p w14:paraId="6DD044A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السياسات والتنظيمات</w:t>
            </w:r>
          </w:p>
        </w:tc>
        <w:tc>
          <w:tcPr>
            <w:tcW w:w="0" w:type="auto"/>
            <w:vAlign w:val="center"/>
            <w:hideMark/>
          </w:tcPr>
          <w:p w14:paraId="69E6FE0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3</w:t>
            </w:r>
          </w:p>
        </w:tc>
        <w:tc>
          <w:tcPr>
            <w:tcW w:w="0" w:type="auto"/>
            <w:vAlign w:val="center"/>
            <w:hideMark/>
          </w:tcPr>
          <w:p w14:paraId="5DAB5AE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0.82</w:t>
            </w:r>
          </w:p>
        </w:tc>
      </w:tr>
      <w:tr w:rsidR="00315129" w:rsidRPr="008A7560" w14:paraId="56124552" w14:textId="77777777" w:rsidTr="009B6B64">
        <w:trPr>
          <w:jc w:val="center"/>
        </w:trPr>
        <w:tc>
          <w:tcPr>
            <w:tcW w:w="0" w:type="auto"/>
            <w:vAlign w:val="center"/>
            <w:hideMark/>
          </w:tcPr>
          <w:p w14:paraId="1CD9398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الوعي والثقافة</w:t>
            </w:r>
          </w:p>
        </w:tc>
        <w:tc>
          <w:tcPr>
            <w:tcW w:w="0" w:type="auto"/>
            <w:vAlign w:val="center"/>
            <w:hideMark/>
          </w:tcPr>
          <w:p w14:paraId="5480B29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684FBCF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0.86</w:t>
            </w:r>
          </w:p>
        </w:tc>
      </w:tr>
      <w:tr w:rsidR="00315129" w:rsidRPr="008A7560" w14:paraId="04A2EF49" w14:textId="77777777" w:rsidTr="009B6B64">
        <w:trPr>
          <w:jc w:val="center"/>
        </w:trPr>
        <w:tc>
          <w:tcPr>
            <w:tcW w:w="0" w:type="auto"/>
            <w:vAlign w:val="center"/>
            <w:hideMark/>
          </w:tcPr>
          <w:p w14:paraId="15FA4DF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خصائص المشروع</w:t>
            </w:r>
          </w:p>
        </w:tc>
        <w:tc>
          <w:tcPr>
            <w:tcW w:w="0" w:type="auto"/>
            <w:vAlign w:val="center"/>
            <w:hideMark/>
          </w:tcPr>
          <w:p w14:paraId="3E8D6A7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2</w:t>
            </w:r>
          </w:p>
        </w:tc>
        <w:tc>
          <w:tcPr>
            <w:tcW w:w="0" w:type="auto"/>
            <w:vAlign w:val="center"/>
            <w:hideMark/>
          </w:tcPr>
          <w:p w14:paraId="52398B5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0.79</w:t>
            </w:r>
          </w:p>
        </w:tc>
      </w:tr>
      <w:tr w:rsidR="00315129" w:rsidRPr="008A7560" w14:paraId="11E67DA0" w14:textId="77777777" w:rsidTr="009B6B64">
        <w:trPr>
          <w:jc w:val="center"/>
        </w:trPr>
        <w:tc>
          <w:tcPr>
            <w:tcW w:w="0" w:type="auto"/>
            <w:vAlign w:val="center"/>
            <w:hideMark/>
          </w:tcPr>
          <w:p w14:paraId="79C267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البيئة الداعمة ككل</w:t>
            </w:r>
          </w:p>
        </w:tc>
        <w:tc>
          <w:tcPr>
            <w:tcW w:w="0" w:type="auto"/>
            <w:vAlign w:val="center"/>
            <w:hideMark/>
          </w:tcPr>
          <w:p w14:paraId="3217406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9</w:t>
            </w:r>
          </w:p>
        </w:tc>
        <w:tc>
          <w:tcPr>
            <w:tcW w:w="0" w:type="auto"/>
            <w:vAlign w:val="center"/>
            <w:hideMark/>
          </w:tcPr>
          <w:p w14:paraId="410FB02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0.88</w:t>
            </w:r>
          </w:p>
        </w:tc>
      </w:tr>
      <w:tr w:rsidR="00315129" w:rsidRPr="008A7560" w14:paraId="75BE2EDB" w14:textId="77777777" w:rsidTr="009B6B64">
        <w:trPr>
          <w:jc w:val="center"/>
        </w:trPr>
        <w:tc>
          <w:tcPr>
            <w:tcW w:w="0" w:type="auto"/>
            <w:vAlign w:val="center"/>
            <w:hideMark/>
          </w:tcPr>
          <w:p w14:paraId="526E1D5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الاستبانة ككل</w:t>
            </w:r>
          </w:p>
        </w:tc>
        <w:tc>
          <w:tcPr>
            <w:tcW w:w="0" w:type="auto"/>
            <w:vAlign w:val="center"/>
            <w:hideMark/>
          </w:tcPr>
          <w:p w14:paraId="656897F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41</w:t>
            </w:r>
          </w:p>
        </w:tc>
        <w:tc>
          <w:tcPr>
            <w:tcW w:w="0" w:type="auto"/>
            <w:vAlign w:val="center"/>
            <w:hideMark/>
          </w:tcPr>
          <w:p w14:paraId="789B37F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w:t>
            </w:r>
          </w:p>
        </w:tc>
      </w:tr>
    </w:tbl>
    <w:p w14:paraId="1C186FC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p>
    <w:p w14:paraId="70853EF8"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p>
    <w:p w14:paraId="42CD9ED7"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تشير نتائج جدول (3-8) إلى أن معاملات الثبات باستخدام معامل كرونباخ ألفا لأبعاد ومتغيرات الدراسة جاءت جميعها ضمن المستويات المقبولة إحصائيًا، وهو ما يعكس تمتع أداة الدراسة بدرجة عالية من الاتساق الداخلي. كما تدل هذه النتائج على تجانس الفقرات المكونة لكل محور في قياس المفاهيم النظرية التي تمثلها، سواء فيما يتعلق بتطبيق مبادئ الاستدامة أو أداء المشاريع الإنشائية أو البيئة الداعمة. ويؤكد ارتفاع معامل الثبات الكلي للاستبانة أن الأداة تتمتع بدرجة عالية من الموثوقية، الأمر الذي يعزز من صلاحيتها للاستخدام في جمع البيانات وتحليلها بما يخدم أهداف الدراسة.</w:t>
      </w:r>
    </w:p>
    <w:p w14:paraId="6553639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بلغ معامل الثبات الكلي للاستبانة باستخدام معامل كرونباخ ألفا (0.95)، وهي قيمة مرتفعة تشير إلى تمتع الأداة بدرجة عالية من الاتساق الداخلي بين فقراتها، وهو ما يعكس موثوقية الأداة في قياس متغيرات الدراسة.</w:t>
      </w:r>
    </w:p>
    <w:p w14:paraId="4B1F73C3"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lastRenderedPageBreak/>
        <w:t>تعكس القيم المرتفعة لمعاملات الارتباط ومعاملات الثبات باستخدام كرونباخ ألفا درجة عالية من الاتساق الداخلي بين فقرات الاستبانة، وهو ما يشير إلى أن هذه الفقرات تقيس بصورة متسقة الأبعاد النظرية المرتبطة بمتغيرات الدراسة، والمتمثلة في تطبيق مبادئ الاستدامة وأداء المشاريع الإنشائية.</w:t>
      </w:r>
    </w:p>
    <w:p w14:paraId="10A8E1A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بناءً على نتائج التحليل، يمكن القول إن أداة الدراسة تتمتع بدرجة مرتفعة من الصدق والثبات، سواء من خلال تحكيم الخبراء، أو من خلال صدق الاتساق الداخلي، أو عبر معامل كرونباخ ألفا. وعليه، تُعد الاستبانة أداة قياس مناسبة وموثوقة لتحقيق أهداف الدراسة واختبار فرضياتها</w:t>
      </w:r>
      <w:r w:rsidRPr="008A7560">
        <w:rPr>
          <w:rFonts w:ascii="Traditional Arabic" w:eastAsia="Times New Roman" w:hAnsi="Traditional Arabic" w:cs="Traditional Arabic"/>
          <w:sz w:val="28"/>
          <w:szCs w:val="28"/>
        </w:rPr>
        <w:t>.</w:t>
      </w:r>
    </w:p>
    <w:p w14:paraId="39E46C2D"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ملخص الفصل</w:t>
      </w:r>
    </w:p>
    <w:p w14:paraId="0B16C4E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تناول هذا الفصل منهجية الدراسة وإجراءاتها، حيث تم توضيح منهج البحث المستخدم وتبرير اختياره بما يتلاءم مع طبيعة الدراسة وأهدافها. كما جرى تحديد مجتمع الدراسة وعينتها، وبيان أسلوب اختيار العينة وحجمها، بما يحقق التمثيل الإحصائي المناسب لمجتمع البحث</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وقد أسهمت هذه المنهجية في توفير إطار علمي منظم لجمع البيانات وتحليلها بصورة دقيقة وموثوقة، بما يدعم تحقيق أهداف الدراسة. </w:t>
      </w:r>
    </w:p>
    <w:p w14:paraId="24D08745" w14:textId="77777777" w:rsidR="00C0393E" w:rsidRPr="008A7560" w:rsidRDefault="00C0393E" w:rsidP="00C0393E">
      <w:pPr>
        <w:bidi/>
        <w:spacing w:line="360" w:lineRule="auto"/>
        <w:jc w:val="both"/>
        <w:rPr>
          <w:rFonts w:ascii="Traditional Arabic" w:hAnsi="Traditional Arabic" w:cs="Traditional Arabic"/>
          <w:sz w:val="28"/>
          <w:szCs w:val="28"/>
          <w:rtl/>
        </w:rPr>
      </w:pPr>
    </w:p>
    <w:p w14:paraId="7A8B320C" w14:textId="77777777" w:rsidR="00047AD9" w:rsidRPr="008A7560" w:rsidRDefault="00047AD9" w:rsidP="00047AD9">
      <w:pPr>
        <w:bidi/>
        <w:spacing w:line="480" w:lineRule="auto"/>
        <w:rPr>
          <w:rFonts w:ascii="Traditional Arabic" w:hAnsi="Traditional Arabic" w:cs="Traditional Arabic"/>
          <w:sz w:val="28"/>
          <w:szCs w:val="28"/>
          <w:rtl/>
        </w:rPr>
      </w:pPr>
    </w:p>
    <w:p w14:paraId="0E47375F" w14:textId="77777777" w:rsidR="00315129" w:rsidRPr="008A7560" w:rsidRDefault="00315129" w:rsidP="00315129">
      <w:pPr>
        <w:bidi/>
        <w:spacing w:line="480" w:lineRule="auto"/>
        <w:rPr>
          <w:rFonts w:ascii="Traditional Arabic" w:hAnsi="Traditional Arabic" w:cs="Traditional Arabic"/>
          <w:sz w:val="28"/>
          <w:szCs w:val="28"/>
          <w:rtl/>
        </w:rPr>
      </w:pPr>
    </w:p>
    <w:p w14:paraId="467937E4" w14:textId="77777777" w:rsidR="00315129" w:rsidRPr="008A7560" w:rsidRDefault="00315129" w:rsidP="00315129">
      <w:pPr>
        <w:bidi/>
        <w:spacing w:line="480" w:lineRule="auto"/>
        <w:rPr>
          <w:rFonts w:ascii="Traditional Arabic" w:hAnsi="Traditional Arabic" w:cs="Traditional Arabic"/>
          <w:sz w:val="28"/>
          <w:szCs w:val="28"/>
          <w:rtl/>
        </w:rPr>
      </w:pPr>
    </w:p>
    <w:p w14:paraId="21E4EDDA"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291ED53A" w14:textId="77777777" w:rsidR="00C0393E" w:rsidRDefault="00C0393E" w:rsidP="00C0393E">
      <w:pPr>
        <w:bidi/>
        <w:jc w:val="center"/>
        <w:rPr>
          <w:rFonts w:ascii="Traditional Arabic" w:eastAsia="Times New Roman" w:hAnsi="Traditional Arabic" w:cs="Traditional Arabic"/>
          <w:b/>
          <w:bCs/>
          <w:kern w:val="36"/>
          <w:sz w:val="28"/>
          <w:szCs w:val="28"/>
          <w:rtl/>
        </w:rPr>
      </w:pPr>
    </w:p>
    <w:p w14:paraId="3628E0F8"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97F9971"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5E14852F"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26554F40"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46A29935"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01D01DB"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1028974"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009FCB0D"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09B60C4E"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26819D57" w14:textId="77777777" w:rsidR="00147E89" w:rsidRPr="008A7560" w:rsidRDefault="00147E89" w:rsidP="00A24337">
      <w:pPr>
        <w:bidi/>
        <w:rPr>
          <w:rFonts w:ascii="Traditional Arabic" w:eastAsia="Times New Roman" w:hAnsi="Traditional Arabic" w:cs="Traditional Arabic"/>
          <w:b/>
          <w:bCs/>
          <w:kern w:val="36"/>
          <w:sz w:val="28"/>
          <w:szCs w:val="28"/>
          <w:rtl/>
        </w:rPr>
      </w:pPr>
    </w:p>
    <w:p w14:paraId="23D643BF"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1798D34C"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FFF1C0D"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FC67562" w14:textId="0834E086" w:rsidR="00C0393E" w:rsidRPr="008A7560" w:rsidRDefault="00C0393E" w:rsidP="00ED4365">
      <w:pPr>
        <w:pStyle w:val="ListParagraph"/>
        <w:numPr>
          <w:ilvl w:val="0"/>
          <w:numId w:val="11"/>
        </w:numPr>
        <w:bidi/>
        <w:spacing w:after="200" w:line="480" w:lineRule="auto"/>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w:t>
      </w:r>
      <w:r w:rsidR="00E33427" w:rsidRPr="008A7560">
        <w:rPr>
          <w:rFonts w:ascii="Traditional Arabic" w:hAnsi="Traditional Arabic" w:cs="Traditional Arabic"/>
          <w:b/>
          <w:bCs/>
          <w:sz w:val="140"/>
          <w:szCs w:val="140"/>
          <w:rtl/>
        </w:rPr>
        <w:t>رابع</w:t>
      </w:r>
    </w:p>
    <w:p w14:paraId="50F0CDF3"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14AC8BBC"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00CE2E1"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743408C4"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BE4E345" w14:textId="77777777" w:rsidR="000E666F" w:rsidRPr="00445A5B" w:rsidRDefault="000E666F" w:rsidP="000E666F">
      <w:pPr>
        <w:bidi/>
        <w:jc w:val="center"/>
        <w:rPr>
          <w:rFonts w:ascii="Traditional Arabic" w:eastAsia="Times New Roman" w:hAnsi="Traditional Arabic" w:cs="Traditional Arabic"/>
          <w:b/>
          <w:bCs/>
          <w:sz w:val="28"/>
          <w:szCs w:val="28"/>
        </w:rPr>
      </w:pPr>
      <w:r w:rsidRPr="00445A5B">
        <w:rPr>
          <w:rFonts w:ascii="Traditional Arabic" w:eastAsia="Times New Roman" w:hAnsi="Traditional Arabic" w:cs="Traditional Arabic"/>
          <w:b/>
          <w:bCs/>
          <w:sz w:val="28"/>
          <w:szCs w:val="28"/>
          <w:rtl/>
        </w:rPr>
        <w:lastRenderedPageBreak/>
        <w:t>الفصل الرابع</w:t>
      </w:r>
    </w:p>
    <w:p w14:paraId="46EFCB92" w14:textId="77777777" w:rsidR="000E666F" w:rsidRPr="00445A5B" w:rsidRDefault="000E666F" w:rsidP="000E666F">
      <w:pPr>
        <w:bidi/>
        <w:jc w:val="center"/>
        <w:rPr>
          <w:rFonts w:ascii="Traditional Arabic" w:eastAsia="Times New Roman" w:hAnsi="Traditional Arabic" w:cs="Traditional Arabic"/>
          <w:b/>
          <w:bCs/>
          <w:kern w:val="36"/>
          <w:sz w:val="28"/>
          <w:szCs w:val="28"/>
        </w:rPr>
      </w:pPr>
      <w:r w:rsidRPr="00445A5B">
        <w:rPr>
          <w:rFonts w:ascii="Traditional Arabic" w:eastAsia="Times New Roman" w:hAnsi="Traditional Arabic" w:cs="Traditional Arabic"/>
          <w:b/>
          <w:bCs/>
          <w:kern w:val="36"/>
          <w:sz w:val="28"/>
          <w:szCs w:val="28"/>
          <w:rtl/>
        </w:rPr>
        <w:t>نتائج الدراسة وتحليلها إحصائيًا</w:t>
      </w:r>
    </w:p>
    <w:p w14:paraId="78618377" w14:textId="35DF75C4" w:rsidR="000E666F" w:rsidRPr="00445A5B" w:rsidRDefault="00AD0092" w:rsidP="000E666F">
      <w:pPr>
        <w:bidi/>
        <w:jc w:val="both"/>
        <w:rPr>
          <w:rFonts w:ascii="Traditional Arabic" w:eastAsia="Times New Roman" w:hAnsi="Traditional Arabic" w:cs="Traditional Arabic"/>
          <w:b/>
          <w:bCs/>
          <w:sz w:val="28"/>
          <w:szCs w:val="28"/>
        </w:rPr>
      </w:pPr>
      <w:r w:rsidRPr="00445A5B">
        <w:rPr>
          <w:rFonts w:ascii="Traditional Arabic" w:eastAsia="Times New Roman" w:hAnsi="Traditional Arabic" w:cs="Traditional Arabic"/>
          <w:b/>
          <w:bCs/>
          <w:sz w:val="28"/>
          <w:szCs w:val="28"/>
          <w:rtl/>
        </w:rPr>
        <w:t>4-1</w:t>
      </w:r>
      <w:r w:rsidR="000E666F" w:rsidRPr="00445A5B">
        <w:rPr>
          <w:rFonts w:ascii="Traditional Arabic" w:eastAsia="Times New Roman" w:hAnsi="Traditional Arabic" w:cs="Traditional Arabic"/>
          <w:b/>
          <w:bCs/>
          <w:sz w:val="28"/>
          <w:szCs w:val="28"/>
          <w:rtl/>
        </w:rPr>
        <w:t xml:space="preserve"> تمهيد </w:t>
      </w:r>
    </w:p>
    <w:p w14:paraId="4FFD6DDB"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يهدف هذا الفصل إلى عرض نتائج التحليل الإحصائي للدراسة وتفسيرها في ضوء أهدافها، والإجابة عن أسئلتها، واختبار فروضها المتعلقة بأثر ممارسات الاستدامة بأبعادها (البيئية، والاقتصادية، والاجتماعية) في أداء المشاريع الإنشائية. وقد تم تنظيم محتوى الفصل بما ينسجم مع التسلسل المنهجي للدراسة، بما يضمن الربط المنطقي بين أسئلة الدراسة، وفروضها، والإجراءات الإحصائية المستخدمة</w:t>
      </w:r>
      <w:r w:rsidRPr="00445A5B">
        <w:rPr>
          <w:rFonts w:ascii="Traditional Arabic" w:eastAsia="Times New Roman" w:hAnsi="Traditional Arabic" w:cs="Traditional Arabic"/>
          <w:sz w:val="28"/>
          <w:szCs w:val="28"/>
          <w:highlight w:val="yellow"/>
        </w:rPr>
        <w:t>.</w:t>
      </w:r>
    </w:p>
    <w:p w14:paraId="486C4DB0"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ويبدأ الفصل بعرض الخصائص الديموغرافية لعينة الدراسة، بهدف وصف خصائص المشاركين والتحقق من ملاءمة العينة لتحقيق أهداف الدراسة. ثم يتم عرض الإحصاءات الوصفية لمتغيرات الدراسة للإجابة عن التساؤلات المتعلقة بمستوى تطبيق ممارسات الاستدامة ومستوى أداء المشاريع والبيئة الداعمة للاستدامة، من خلال المتوسطات الحسابية والانحرافات المعيارية</w:t>
      </w:r>
      <w:r w:rsidRPr="00445A5B">
        <w:rPr>
          <w:rFonts w:ascii="Traditional Arabic" w:eastAsia="Times New Roman" w:hAnsi="Traditional Arabic" w:cs="Traditional Arabic"/>
          <w:sz w:val="28"/>
          <w:szCs w:val="28"/>
          <w:highlight w:val="yellow"/>
        </w:rPr>
        <w:t>.</w:t>
      </w:r>
    </w:p>
    <w:p w14:paraId="7DED3EB0"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بعد ذلك، يعرض الفصل نتائج التحليلات الاستدلالية، وفي مقدمتها تحليل الانحدار المتعدد، لاختبار فروض الدراسة وقياس أثر أبعاد الاستدامة على أبعاد أداء المشاريع الإنشائية، والتي تشمل أداء التكلفة، وأداء الجودة، وأداء الوقت، ورضا العملاء، مع بيان مستوى الدلالة الإحصائية لكل فرضية وتحديد مدى قبولها أو رفضها في ضوء النتائج المتحصل عليها</w:t>
      </w:r>
      <w:r w:rsidRPr="00445A5B">
        <w:rPr>
          <w:rFonts w:ascii="Traditional Arabic" w:eastAsia="Times New Roman" w:hAnsi="Traditional Arabic" w:cs="Traditional Arabic"/>
          <w:sz w:val="28"/>
          <w:szCs w:val="28"/>
          <w:highlight w:val="yellow"/>
        </w:rPr>
        <w:t>.</w:t>
      </w:r>
    </w:p>
    <w:p w14:paraId="118AD968"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ويختتم الفصل بملخص لأبرز النتائج التي تم التوصل إليها، تمهيدًا لمناقشتها في الفصل الخامس وربطها بالدراسات السابقة والإطار النظري، واستخلاص الاستنتاجات والتوصيات التي تسهم في تطوير ممارسات الاستدامة وتحسين أداء المشاريع الإنشائية.</w:t>
      </w:r>
    </w:p>
    <w:p w14:paraId="16C31AD0" w14:textId="7DA9A364"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جدول (</w:t>
      </w:r>
      <w:r w:rsidR="00AD0092" w:rsidRPr="00445A5B">
        <w:rPr>
          <w:rFonts w:ascii="Traditional Arabic" w:eastAsia="Times New Roman" w:hAnsi="Traditional Arabic" w:cs="Traditional Arabic"/>
          <w:sz w:val="28"/>
          <w:szCs w:val="28"/>
          <w:highlight w:val="yellow"/>
        </w:rPr>
        <w:t>4.</w:t>
      </w:r>
      <w:r w:rsidR="00AD0092" w:rsidRPr="00445A5B">
        <w:rPr>
          <w:rFonts w:ascii="Traditional Arabic" w:eastAsia="Times New Roman" w:hAnsi="Traditional Arabic" w:cs="Traditional Arabic"/>
          <w:sz w:val="28"/>
          <w:szCs w:val="28"/>
          <w:highlight w:val="yellow"/>
        </w:rPr>
        <w:t>1</w:t>
      </w:r>
      <w:r w:rsidRPr="00445A5B">
        <w:rPr>
          <w:rFonts w:ascii="Traditional Arabic" w:eastAsia="Times New Roman" w:hAnsi="Traditional Arabic" w:cs="Traditional Arabic"/>
          <w:sz w:val="28"/>
          <w:szCs w:val="28"/>
          <w:highlight w:val="yellow"/>
          <w:rtl/>
        </w:rPr>
        <w:t>) معدل الاستجابة للاستبانة</w:t>
      </w:r>
    </w:p>
    <w:tbl>
      <w:tblPr>
        <w:tblStyle w:val="TableGrid"/>
        <w:bidiVisual/>
        <w:tblW w:w="5000" w:type="pct"/>
        <w:jc w:val="center"/>
        <w:tblLook w:val="04A0" w:firstRow="1" w:lastRow="0" w:firstColumn="1" w:lastColumn="0" w:noHBand="0" w:noVBand="1"/>
      </w:tblPr>
      <w:tblGrid>
        <w:gridCol w:w="5218"/>
        <w:gridCol w:w="1148"/>
        <w:gridCol w:w="1930"/>
      </w:tblGrid>
      <w:tr w:rsidR="000E666F" w:rsidRPr="00445A5B" w14:paraId="1F25DD9C" w14:textId="77777777" w:rsidTr="004F3CC9">
        <w:trPr>
          <w:jc w:val="center"/>
        </w:trPr>
        <w:tc>
          <w:tcPr>
            <w:tcW w:w="0" w:type="auto"/>
            <w:vAlign w:val="center"/>
            <w:hideMark/>
          </w:tcPr>
          <w:p w14:paraId="55E8619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البيان</w:t>
            </w:r>
          </w:p>
        </w:tc>
        <w:tc>
          <w:tcPr>
            <w:tcW w:w="0" w:type="auto"/>
            <w:vAlign w:val="center"/>
            <w:hideMark/>
          </w:tcPr>
          <w:p w14:paraId="4EF501B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العدد</w:t>
            </w:r>
          </w:p>
        </w:tc>
        <w:tc>
          <w:tcPr>
            <w:tcW w:w="0" w:type="auto"/>
            <w:vAlign w:val="center"/>
            <w:hideMark/>
          </w:tcPr>
          <w:p w14:paraId="284FF99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النسبة</w:t>
            </w:r>
            <w:r w:rsidRPr="00445A5B">
              <w:rPr>
                <w:rFonts w:ascii="Traditional Arabic" w:eastAsia="Times New Roman" w:hAnsi="Traditional Arabic" w:cs="Traditional Arabic"/>
                <w:sz w:val="28"/>
                <w:szCs w:val="28"/>
                <w:highlight w:val="yellow"/>
              </w:rPr>
              <w:t xml:space="preserve"> (%)</w:t>
            </w:r>
          </w:p>
        </w:tc>
      </w:tr>
      <w:tr w:rsidR="000E666F" w:rsidRPr="00445A5B" w14:paraId="0289313C" w14:textId="77777777" w:rsidTr="004F3CC9">
        <w:trPr>
          <w:jc w:val="center"/>
        </w:trPr>
        <w:tc>
          <w:tcPr>
            <w:tcW w:w="0" w:type="auto"/>
            <w:vAlign w:val="center"/>
            <w:hideMark/>
          </w:tcPr>
          <w:p w14:paraId="0AB36A6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عدد الاستبانات الموزعة</w:t>
            </w:r>
          </w:p>
        </w:tc>
        <w:tc>
          <w:tcPr>
            <w:tcW w:w="0" w:type="auto"/>
            <w:vAlign w:val="center"/>
            <w:hideMark/>
          </w:tcPr>
          <w:p w14:paraId="2006159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320</w:t>
            </w:r>
          </w:p>
        </w:tc>
        <w:tc>
          <w:tcPr>
            <w:tcW w:w="0" w:type="auto"/>
            <w:vAlign w:val="center"/>
            <w:hideMark/>
          </w:tcPr>
          <w:p w14:paraId="2476F45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100.0</w:t>
            </w:r>
          </w:p>
        </w:tc>
      </w:tr>
      <w:tr w:rsidR="000E666F" w:rsidRPr="00445A5B" w14:paraId="26AE9337" w14:textId="77777777" w:rsidTr="004F3CC9">
        <w:trPr>
          <w:jc w:val="center"/>
        </w:trPr>
        <w:tc>
          <w:tcPr>
            <w:tcW w:w="0" w:type="auto"/>
            <w:vAlign w:val="center"/>
            <w:hideMark/>
          </w:tcPr>
          <w:p w14:paraId="64328D0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عدد الاستبانات المستردة</w:t>
            </w:r>
          </w:p>
        </w:tc>
        <w:tc>
          <w:tcPr>
            <w:tcW w:w="0" w:type="auto"/>
            <w:vAlign w:val="center"/>
            <w:hideMark/>
          </w:tcPr>
          <w:p w14:paraId="02595BA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300</w:t>
            </w:r>
          </w:p>
        </w:tc>
        <w:tc>
          <w:tcPr>
            <w:tcW w:w="0" w:type="auto"/>
            <w:vAlign w:val="center"/>
            <w:hideMark/>
          </w:tcPr>
          <w:p w14:paraId="391CF34D"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93.75</w:t>
            </w:r>
          </w:p>
        </w:tc>
      </w:tr>
      <w:tr w:rsidR="000E666F" w:rsidRPr="00445A5B" w14:paraId="0A429F88" w14:textId="77777777" w:rsidTr="004F3CC9">
        <w:trPr>
          <w:jc w:val="center"/>
        </w:trPr>
        <w:tc>
          <w:tcPr>
            <w:tcW w:w="0" w:type="auto"/>
            <w:vAlign w:val="center"/>
            <w:hideMark/>
          </w:tcPr>
          <w:p w14:paraId="12525EF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عدد الاستبانات غير الصالحة للتحليل</w:t>
            </w:r>
          </w:p>
        </w:tc>
        <w:tc>
          <w:tcPr>
            <w:tcW w:w="0" w:type="auto"/>
            <w:vAlign w:val="center"/>
            <w:hideMark/>
          </w:tcPr>
          <w:p w14:paraId="7D1266E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15</w:t>
            </w:r>
          </w:p>
        </w:tc>
        <w:tc>
          <w:tcPr>
            <w:tcW w:w="0" w:type="auto"/>
            <w:vAlign w:val="center"/>
            <w:hideMark/>
          </w:tcPr>
          <w:p w14:paraId="46035E3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5.00*</w:t>
            </w:r>
          </w:p>
        </w:tc>
      </w:tr>
      <w:tr w:rsidR="000E666F" w:rsidRPr="00445A5B" w14:paraId="3DD14E50" w14:textId="77777777" w:rsidTr="004F3CC9">
        <w:trPr>
          <w:jc w:val="center"/>
        </w:trPr>
        <w:tc>
          <w:tcPr>
            <w:tcW w:w="0" w:type="auto"/>
            <w:vAlign w:val="center"/>
            <w:hideMark/>
          </w:tcPr>
          <w:p w14:paraId="38EECA5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عدد الاستبانات الصالحة للتحليل</w:t>
            </w:r>
          </w:p>
        </w:tc>
        <w:tc>
          <w:tcPr>
            <w:tcW w:w="0" w:type="auto"/>
            <w:vAlign w:val="center"/>
            <w:hideMark/>
          </w:tcPr>
          <w:p w14:paraId="3BD4822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285</w:t>
            </w:r>
          </w:p>
        </w:tc>
        <w:tc>
          <w:tcPr>
            <w:tcW w:w="0" w:type="auto"/>
            <w:vAlign w:val="center"/>
            <w:hideMark/>
          </w:tcPr>
          <w:p w14:paraId="6293091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95.00**</w:t>
            </w:r>
          </w:p>
        </w:tc>
      </w:tr>
    </w:tbl>
    <w:p w14:paraId="21B6366B"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 xml:space="preserve">يوضح جدول (4.1) إجراءات جمع بيانات الدراسة ومعدل الاستجابة للاستبانة، حيث تم توزيع (320) استبانة على أفراد مجتمع الدراسة، واستُرد منها (300) استبانة، بنسبة استجابة بلغت (93.75%)، وهي نسبة مرتفعة تعكس تعاون أفراد الدراسة وملاءمة إجراءات جمع البيانات. وبعد مراجعة الاستبانات المستردة والتأكد من اكتمالها وصلاحيتها للتحليل </w:t>
      </w:r>
      <w:r w:rsidRPr="00445A5B">
        <w:rPr>
          <w:rFonts w:ascii="Traditional Arabic" w:eastAsia="Times New Roman" w:hAnsi="Traditional Arabic" w:cs="Traditional Arabic"/>
          <w:sz w:val="28"/>
          <w:szCs w:val="28"/>
          <w:highlight w:val="yellow"/>
          <w:rtl/>
        </w:rPr>
        <w:lastRenderedPageBreak/>
        <w:t>الإحصائي، تم استبعاد (15) استبانة لعدم اكتمال بياناتها أو لوجود استجابات غير صالحة للتحليل، ليصبح العدد النهائي للاستبانات الصالحة للتحليل الإحصائي (285) استبانة، وهو حجم العينة الذي اعتمدت عليه جميع التحليلات الإحصائية الواردة في هذا الفصل.</w:t>
      </w:r>
    </w:p>
    <w:p w14:paraId="59EFE965" w14:textId="77777777" w:rsidR="00AD0092" w:rsidRPr="00445A5B" w:rsidRDefault="00AD0092" w:rsidP="000E666F">
      <w:pPr>
        <w:bidi/>
        <w:jc w:val="both"/>
        <w:rPr>
          <w:rFonts w:ascii="Traditional Arabic" w:eastAsia="Times New Roman" w:hAnsi="Traditional Arabic" w:cs="Traditional Arabic"/>
          <w:b/>
          <w:bCs/>
          <w:sz w:val="28"/>
          <w:szCs w:val="28"/>
          <w:rtl/>
        </w:rPr>
      </w:pPr>
    </w:p>
    <w:p w14:paraId="66527B2A" w14:textId="00F1DE75" w:rsidR="000E666F" w:rsidRPr="00445A5B" w:rsidRDefault="00AD0092" w:rsidP="00AD0092">
      <w:pPr>
        <w:bidi/>
        <w:jc w:val="both"/>
        <w:rPr>
          <w:rFonts w:ascii="Traditional Arabic" w:eastAsia="Times New Roman" w:hAnsi="Traditional Arabic" w:cs="Traditional Arabic"/>
          <w:b/>
          <w:bCs/>
          <w:sz w:val="28"/>
          <w:szCs w:val="28"/>
        </w:rPr>
      </w:pPr>
      <w:r w:rsidRPr="00445A5B">
        <w:rPr>
          <w:rFonts w:ascii="Traditional Arabic" w:eastAsia="Times New Roman" w:hAnsi="Traditional Arabic" w:cs="Traditional Arabic"/>
          <w:b/>
          <w:bCs/>
          <w:sz w:val="28"/>
          <w:szCs w:val="28"/>
          <w:rtl/>
        </w:rPr>
        <w:t>4-2</w:t>
      </w:r>
      <w:r w:rsidR="000E666F" w:rsidRPr="00445A5B">
        <w:rPr>
          <w:rFonts w:ascii="Traditional Arabic" w:eastAsia="Times New Roman" w:hAnsi="Traditional Arabic" w:cs="Traditional Arabic"/>
          <w:b/>
          <w:bCs/>
          <w:sz w:val="28"/>
          <w:szCs w:val="28"/>
          <w:rtl/>
        </w:rPr>
        <w:t xml:space="preserve"> الخصائص الديموغرافية لعينة الدراسة</w:t>
      </w:r>
    </w:p>
    <w:p w14:paraId="054BE15D"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(4.2) </w:t>
      </w:r>
      <w:r w:rsidRPr="00445A5B">
        <w:rPr>
          <w:rFonts w:ascii="Traditional Arabic" w:eastAsia="Times New Roman" w:hAnsi="Traditional Arabic" w:cs="Traditional Arabic"/>
          <w:sz w:val="28"/>
          <w:szCs w:val="28"/>
          <w:rtl/>
        </w:rPr>
        <w:t>توزيع أفراد العينة وفقًا للمسمى الوظيفي</w:t>
      </w:r>
    </w:p>
    <w:tbl>
      <w:tblPr>
        <w:tblStyle w:val="TableGrid"/>
        <w:bidiVisual/>
        <w:tblW w:w="5000" w:type="pct"/>
        <w:jc w:val="center"/>
        <w:tblLook w:val="04A0" w:firstRow="1" w:lastRow="0" w:firstColumn="1" w:lastColumn="0" w:noHBand="0" w:noVBand="1"/>
      </w:tblPr>
      <w:tblGrid>
        <w:gridCol w:w="4035"/>
        <w:gridCol w:w="1329"/>
        <w:gridCol w:w="2932"/>
      </w:tblGrid>
      <w:tr w:rsidR="000E666F" w:rsidRPr="00445A5B" w14:paraId="72676E7E" w14:textId="77777777" w:rsidTr="004F3CC9">
        <w:trPr>
          <w:jc w:val="center"/>
        </w:trPr>
        <w:tc>
          <w:tcPr>
            <w:tcW w:w="0" w:type="auto"/>
            <w:vAlign w:val="center"/>
            <w:hideMark/>
          </w:tcPr>
          <w:p w14:paraId="4B115DD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المسمى الوظيفي</w:t>
            </w:r>
          </w:p>
        </w:tc>
        <w:tc>
          <w:tcPr>
            <w:tcW w:w="0" w:type="auto"/>
            <w:vAlign w:val="center"/>
            <w:hideMark/>
          </w:tcPr>
          <w:p w14:paraId="744AC02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التكرار</w:t>
            </w:r>
          </w:p>
        </w:tc>
        <w:tc>
          <w:tcPr>
            <w:tcW w:w="0" w:type="auto"/>
            <w:vAlign w:val="center"/>
            <w:hideMark/>
          </w:tcPr>
          <w:p w14:paraId="72BA5BF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النسبة المئوية</w:t>
            </w:r>
            <w:r w:rsidRPr="00445A5B">
              <w:rPr>
                <w:rFonts w:ascii="Traditional Arabic" w:eastAsia="Times New Roman" w:hAnsi="Traditional Arabic" w:cs="Traditional Arabic"/>
                <w:sz w:val="28"/>
                <w:szCs w:val="28"/>
              </w:rPr>
              <w:t xml:space="preserve"> (%)</w:t>
            </w:r>
          </w:p>
        </w:tc>
      </w:tr>
      <w:tr w:rsidR="000E666F" w:rsidRPr="00445A5B" w14:paraId="51CFB3D3" w14:textId="77777777" w:rsidTr="004F3CC9">
        <w:trPr>
          <w:jc w:val="center"/>
        </w:trPr>
        <w:tc>
          <w:tcPr>
            <w:tcW w:w="0" w:type="auto"/>
            <w:vAlign w:val="center"/>
            <w:hideMark/>
          </w:tcPr>
          <w:p w14:paraId="0506CE8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مختص جودة / استدامة</w:t>
            </w:r>
          </w:p>
        </w:tc>
        <w:tc>
          <w:tcPr>
            <w:tcW w:w="0" w:type="auto"/>
            <w:vAlign w:val="center"/>
            <w:hideMark/>
          </w:tcPr>
          <w:p w14:paraId="712E33D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30</w:t>
            </w:r>
          </w:p>
        </w:tc>
        <w:tc>
          <w:tcPr>
            <w:tcW w:w="0" w:type="auto"/>
            <w:vAlign w:val="center"/>
            <w:hideMark/>
          </w:tcPr>
          <w:p w14:paraId="148873D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10.5</w:t>
            </w:r>
          </w:p>
        </w:tc>
      </w:tr>
      <w:tr w:rsidR="000E666F" w:rsidRPr="00445A5B" w14:paraId="7083AEC1" w14:textId="77777777" w:rsidTr="004F3CC9">
        <w:trPr>
          <w:jc w:val="center"/>
        </w:trPr>
        <w:tc>
          <w:tcPr>
            <w:tcW w:w="0" w:type="auto"/>
            <w:vAlign w:val="center"/>
            <w:hideMark/>
          </w:tcPr>
          <w:p w14:paraId="2832878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استشاري فني</w:t>
            </w:r>
          </w:p>
        </w:tc>
        <w:tc>
          <w:tcPr>
            <w:tcW w:w="0" w:type="auto"/>
            <w:vAlign w:val="center"/>
            <w:hideMark/>
          </w:tcPr>
          <w:p w14:paraId="3585689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42</w:t>
            </w:r>
          </w:p>
        </w:tc>
        <w:tc>
          <w:tcPr>
            <w:tcW w:w="0" w:type="auto"/>
            <w:vAlign w:val="center"/>
            <w:hideMark/>
          </w:tcPr>
          <w:p w14:paraId="5A0AEF1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14.7</w:t>
            </w:r>
          </w:p>
        </w:tc>
      </w:tr>
      <w:tr w:rsidR="000E666F" w:rsidRPr="00445A5B" w14:paraId="64869F4B" w14:textId="77777777" w:rsidTr="004F3CC9">
        <w:trPr>
          <w:jc w:val="center"/>
        </w:trPr>
        <w:tc>
          <w:tcPr>
            <w:tcW w:w="0" w:type="auto"/>
            <w:vAlign w:val="center"/>
            <w:hideMark/>
          </w:tcPr>
          <w:p w14:paraId="06D41B0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مهندس (مدني / معماري)</w:t>
            </w:r>
          </w:p>
        </w:tc>
        <w:tc>
          <w:tcPr>
            <w:tcW w:w="0" w:type="auto"/>
            <w:vAlign w:val="center"/>
            <w:hideMark/>
          </w:tcPr>
          <w:p w14:paraId="121E7BC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77</w:t>
            </w:r>
          </w:p>
        </w:tc>
        <w:tc>
          <w:tcPr>
            <w:tcW w:w="0" w:type="auto"/>
            <w:vAlign w:val="center"/>
            <w:hideMark/>
          </w:tcPr>
          <w:p w14:paraId="367FEBD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27.0</w:t>
            </w:r>
          </w:p>
        </w:tc>
      </w:tr>
      <w:tr w:rsidR="000E666F" w:rsidRPr="00445A5B" w14:paraId="06A6F7F9" w14:textId="77777777" w:rsidTr="004F3CC9">
        <w:trPr>
          <w:jc w:val="center"/>
        </w:trPr>
        <w:tc>
          <w:tcPr>
            <w:tcW w:w="0" w:type="auto"/>
            <w:vAlign w:val="center"/>
            <w:hideMark/>
          </w:tcPr>
          <w:p w14:paraId="1B99EF7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مدير مشروع</w:t>
            </w:r>
          </w:p>
        </w:tc>
        <w:tc>
          <w:tcPr>
            <w:tcW w:w="0" w:type="auto"/>
            <w:vAlign w:val="center"/>
            <w:hideMark/>
          </w:tcPr>
          <w:p w14:paraId="7B838AC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110</w:t>
            </w:r>
          </w:p>
        </w:tc>
        <w:tc>
          <w:tcPr>
            <w:tcW w:w="0" w:type="auto"/>
            <w:vAlign w:val="center"/>
            <w:hideMark/>
          </w:tcPr>
          <w:p w14:paraId="0070E8F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38.6</w:t>
            </w:r>
          </w:p>
        </w:tc>
      </w:tr>
      <w:tr w:rsidR="000E666F" w:rsidRPr="00445A5B" w14:paraId="5EE60A97" w14:textId="77777777" w:rsidTr="004F3CC9">
        <w:trPr>
          <w:jc w:val="center"/>
        </w:trPr>
        <w:tc>
          <w:tcPr>
            <w:tcW w:w="0" w:type="auto"/>
            <w:vAlign w:val="center"/>
            <w:hideMark/>
          </w:tcPr>
          <w:p w14:paraId="4E83B89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أخرى</w:t>
            </w:r>
          </w:p>
        </w:tc>
        <w:tc>
          <w:tcPr>
            <w:tcW w:w="0" w:type="auto"/>
            <w:vAlign w:val="center"/>
            <w:hideMark/>
          </w:tcPr>
          <w:p w14:paraId="2E4C5EF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26</w:t>
            </w:r>
          </w:p>
        </w:tc>
        <w:tc>
          <w:tcPr>
            <w:tcW w:w="0" w:type="auto"/>
            <w:vAlign w:val="center"/>
            <w:hideMark/>
          </w:tcPr>
          <w:p w14:paraId="42E4CF0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9.1</w:t>
            </w:r>
          </w:p>
        </w:tc>
      </w:tr>
      <w:tr w:rsidR="000E666F" w:rsidRPr="00445A5B" w14:paraId="10D60E29" w14:textId="77777777" w:rsidTr="004F3CC9">
        <w:trPr>
          <w:jc w:val="center"/>
        </w:trPr>
        <w:tc>
          <w:tcPr>
            <w:tcW w:w="0" w:type="auto"/>
            <w:vAlign w:val="center"/>
            <w:hideMark/>
          </w:tcPr>
          <w:p w14:paraId="3A3129A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الإجمالي</w:t>
            </w:r>
          </w:p>
        </w:tc>
        <w:tc>
          <w:tcPr>
            <w:tcW w:w="0" w:type="auto"/>
            <w:vAlign w:val="center"/>
            <w:hideMark/>
          </w:tcPr>
          <w:p w14:paraId="0B17F3F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285</w:t>
            </w:r>
          </w:p>
        </w:tc>
        <w:tc>
          <w:tcPr>
            <w:tcW w:w="0" w:type="auto"/>
            <w:vAlign w:val="center"/>
            <w:hideMark/>
          </w:tcPr>
          <w:p w14:paraId="30F70DB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100.0</w:t>
            </w:r>
          </w:p>
        </w:tc>
      </w:tr>
    </w:tbl>
    <w:p w14:paraId="7EE9E4DA"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 xml:space="preserve">يوضح جدول (4.2) توزيع أفراد عينة الدراسة وفقًا للمسمى الوظيفي، حيث بلغ إجمالي حجم العينة (285) مفردة. وتشير النتائج إلى أن فئة </w:t>
      </w:r>
      <w:r w:rsidRPr="00445A5B">
        <w:rPr>
          <w:rFonts w:ascii="Traditional Arabic" w:eastAsia="Times New Roman" w:hAnsi="Traditional Arabic" w:cs="Traditional Arabic"/>
          <w:b/>
          <w:bCs/>
          <w:sz w:val="28"/>
          <w:szCs w:val="28"/>
          <w:rtl/>
        </w:rPr>
        <w:t>مديري المشروعات</w:t>
      </w:r>
      <w:r w:rsidRPr="00445A5B">
        <w:rPr>
          <w:rFonts w:ascii="Traditional Arabic" w:eastAsia="Times New Roman" w:hAnsi="Traditional Arabic" w:cs="Traditional Arabic"/>
          <w:sz w:val="28"/>
          <w:szCs w:val="28"/>
          <w:rtl/>
        </w:rPr>
        <w:t xml:space="preserve"> جاءت في المرتبة الأولى من حيث العدد، حيث بلغ عددهم (110) أفراد بنسبة (38.6%) من إجمالي أفراد العينة، يليهم المهندسون (مدني/معماري) بعدد (77) فردًا بنسبة (27.0%). كما بلغت نسبة الاستشاريين الفنيين (14.7%) بعدد (42) فردًا، في حين بلغت نسبة مختصي الجودة والاستدامة (10.5%) بعدد (30) فردًا، بينما جاءت الفئات الأخرى في المرتبة الأخيرة بنسبة (9.1%) بعدد (26) فردًا</w:t>
      </w:r>
      <w:r w:rsidRPr="00445A5B">
        <w:rPr>
          <w:rFonts w:ascii="Traditional Arabic" w:eastAsia="Times New Roman" w:hAnsi="Traditional Arabic" w:cs="Traditional Arabic"/>
          <w:sz w:val="28"/>
          <w:szCs w:val="28"/>
        </w:rPr>
        <w:t>.</w:t>
      </w:r>
    </w:p>
    <w:p w14:paraId="6DFD749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وتشير هذه النتائج إلى أن غالبية أفراد العينة يشغلون وظائف ذات ارتباط مباشر بإدارة وتنفيذ المشروعات الإنشائية، وخاصة مديري المشروعات والمهندسين، مما يعزز قدرة أفراد العينة على تقديم تقييمات واقعية حول ممارسات الاستدامة ومستوى أداء المشروعات. كما أن وجود نسبة مناسبة من مختصي الجودة والاستدامة والاستشاريين الفنيين يوفر تنوعًا وظيفيًا يسمح بتعدد وجهات النظر حول موضوع الدراسة</w:t>
      </w:r>
      <w:r w:rsidRPr="00445A5B">
        <w:rPr>
          <w:rFonts w:ascii="Traditional Arabic" w:eastAsia="Times New Roman" w:hAnsi="Traditional Arabic" w:cs="Traditional Arabic"/>
          <w:sz w:val="28"/>
          <w:szCs w:val="28"/>
        </w:rPr>
        <w:t>.</w:t>
      </w:r>
    </w:p>
    <w:p w14:paraId="2F6F506D" w14:textId="77777777" w:rsidR="000E666F" w:rsidRPr="00445A5B" w:rsidRDefault="000E666F" w:rsidP="000E666F">
      <w:pPr>
        <w:bidi/>
        <w:jc w:val="center"/>
        <w:rPr>
          <w:rFonts w:ascii="Traditional Arabic" w:eastAsia="Times New Roman" w:hAnsi="Traditional Arabic" w:cs="Traditional Arabic"/>
          <w:sz w:val="28"/>
          <w:szCs w:val="28"/>
          <w:rtl/>
        </w:rPr>
      </w:pPr>
      <w:r w:rsidRPr="00445A5B">
        <w:rPr>
          <w:rFonts w:ascii="Traditional Arabic" w:hAnsi="Traditional Arabic" w:cs="Traditional Arabic"/>
          <w:noProof/>
          <w:sz w:val="28"/>
          <w:szCs w:val="28"/>
        </w:rPr>
        <w:lastRenderedPageBreak/>
        <w:drawing>
          <wp:inline distT="0" distB="0" distL="0" distR="0" wp14:anchorId="064D2990" wp14:editId="59401F4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6D31A6" w14:textId="77777777" w:rsidR="000E666F" w:rsidRPr="00445A5B" w:rsidRDefault="000E666F" w:rsidP="000E666F">
      <w:pPr>
        <w:bidi/>
        <w:jc w:val="center"/>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شكل (4.1)</w:t>
      </w:r>
    </w:p>
    <w:p w14:paraId="64169527"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(4.3)</w:t>
      </w:r>
      <w:r w:rsidRPr="00445A5B">
        <w:rPr>
          <w:rFonts w:ascii="Traditional Arabic" w:eastAsia="Times New Roman" w:hAnsi="Traditional Arabic" w:cs="Traditional Arabic"/>
          <w:sz w:val="28"/>
          <w:szCs w:val="28"/>
          <w:rtl/>
        </w:rPr>
        <w:t>توزيع أفراد العينة وفقًا لسنوات الخبرة</w:t>
      </w:r>
    </w:p>
    <w:tbl>
      <w:tblPr>
        <w:tblStyle w:val="TableGrid"/>
        <w:bidiVisual/>
        <w:tblW w:w="5000" w:type="pct"/>
        <w:jc w:val="center"/>
        <w:tblLook w:val="04A0" w:firstRow="1" w:lastRow="0" w:firstColumn="1" w:lastColumn="0" w:noHBand="0" w:noVBand="1"/>
      </w:tblPr>
      <w:tblGrid>
        <w:gridCol w:w="4305"/>
        <w:gridCol w:w="1245"/>
        <w:gridCol w:w="2746"/>
      </w:tblGrid>
      <w:tr w:rsidR="000E666F" w:rsidRPr="00445A5B" w14:paraId="2DB5D8E9" w14:textId="77777777" w:rsidTr="004F3CC9">
        <w:trPr>
          <w:jc w:val="center"/>
        </w:trPr>
        <w:tc>
          <w:tcPr>
            <w:tcW w:w="0" w:type="auto"/>
            <w:vAlign w:val="center"/>
            <w:hideMark/>
          </w:tcPr>
          <w:p w14:paraId="5164EFE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سنوات الخبرة</w:t>
            </w:r>
          </w:p>
        </w:tc>
        <w:tc>
          <w:tcPr>
            <w:tcW w:w="0" w:type="auto"/>
            <w:vAlign w:val="center"/>
            <w:hideMark/>
          </w:tcPr>
          <w:p w14:paraId="2855537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التكرار</w:t>
            </w:r>
          </w:p>
        </w:tc>
        <w:tc>
          <w:tcPr>
            <w:tcW w:w="0" w:type="auto"/>
            <w:vAlign w:val="center"/>
            <w:hideMark/>
          </w:tcPr>
          <w:p w14:paraId="6C705D3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النسبة المئوية</w:t>
            </w:r>
            <w:r w:rsidRPr="00445A5B">
              <w:rPr>
                <w:rFonts w:ascii="Traditional Arabic" w:eastAsia="Times New Roman" w:hAnsi="Traditional Arabic" w:cs="Traditional Arabic"/>
                <w:sz w:val="28"/>
                <w:szCs w:val="28"/>
              </w:rPr>
              <w:t xml:space="preserve"> (%)</w:t>
            </w:r>
          </w:p>
        </w:tc>
      </w:tr>
      <w:tr w:rsidR="000E666F" w:rsidRPr="00445A5B" w14:paraId="2B8E774B" w14:textId="77777777" w:rsidTr="004F3CC9">
        <w:trPr>
          <w:jc w:val="center"/>
        </w:trPr>
        <w:tc>
          <w:tcPr>
            <w:tcW w:w="0" w:type="auto"/>
            <w:vAlign w:val="center"/>
            <w:hideMark/>
          </w:tcPr>
          <w:p w14:paraId="344F1DE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أقل من 5 سنوات</w:t>
            </w:r>
          </w:p>
        </w:tc>
        <w:tc>
          <w:tcPr>
            <w:tcW w:w="0" w:type="auto"/>
            <w:vAlign w:val="center"/>
            <w:hideMark/>
          </w:tcPr>
          <w:p w14:paraId="5A3B677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62</w:t>
            </w:r>
          </w:p>
        </w:tc>
        <w:tc>
          <w:tcPr>
            <w:tcW w:w="0" w:type="auto"/>
            <w:vAlign w:val="center"/>
            <w:hideMark/>
          </w:tcPr>
          <w:p w14:paraId="33FDD2D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21.8</w:t>
            </w:r>
          </w:p>
        </w:tc>
      </w:tr>
      <w:tr w:rsidR="000E666F" w:rsidRPr="00445A5B" w14:paraId="111ECEF4" w14:textId="77777777" w:rsidTr="004F3CC9">
        <w:trPr>
          <w:jc w:val="center"/>
        </w:trPr>
        <w:tc>
          <w:tcPr>
            <w:tcW w:w="0" w:type="auto"/>
            <w:vAlign w:val="center"/>
            <w:hideMark/>
          </w:tcPr>
          <w:p w14:paraId="1383556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من 5 إلى أقل من 10 سنوات</w:t>
            </w:r>
          </w:p>
        </w:tc>
        <w:tc>
          <w:tcPr>
            <w:tcW w:w="0" w:type="auto"/>
            <w:vAlign w:val="center"/>
            <w:hideMark/>
          </w:tcPr>
          <w:p w14:paraId="306F61F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69</w:t>
            </w:r>
          </w:p>
        </w:tc>
        <w:tc>
          <w:tcPr>
            <w:tcW w:w="0" w:type="auto"/>
            <w:vAlign w:val="center"/>
            <w:hideMark/>
          </w:tcPr>
          <w:p w14:paraId="3C0E715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24.2</w:t>
            </w:r>
          </w:p>
        </w:tc>
      </w:tr>
      <w:tr w:rsidR="000E666F" w:rsidRPr="00445A5B" w14:paraId="71BC6BD3" w14:textId="77777777" w:rsidTr="004F3CC9">
        <w:trPr>
          <w:jc w:val="center"/>
        </w:trPr>
        <w:tc>
          <w:tcPr>
            <w:tcW w:w="0" w:type="auto"/>
            <w:vAlign w:val="center"/>
            <w:hideMark/>
          </w:tcPr>
          <w:p w14:paraId="65F630E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من 10 إلى أقل من 15 سنة</w:t>
            </w:r>
          </w:p>
        </w:tc>
        <w:tc>
          <w:tcPr>
            <w:tcW w:w="0" w:type="auto"/>
            <w:vAlign w:val="center"/>
            <w:hideMark/>
          </w:tcPr>
          <w:p w14:paraId="30BE9B4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75</w:t>
            </w:r>
          </w:p>
        </w:tc>
        <w:tc>
          <w:tcPr>
            <w:tcW w:w="0" w:type="auto"/>
            <w:vAlign w:val="center"/>
            <w:hideMark/>
          </w:tcPr>
          <w:p w14:paraId="1B56F33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26.3</w:t>
            </w:r>
          </w:p>
        </w:tc>
      </w:tr>
      <w:tr w:rsidR="000E666F" w:rsidRPr="00445A5B" w14:paraId="17135662" w14:textId="77777777" w:rsidTr="004F3CC9">
        <w:trPr>
          <w:jc w:val="center"/>
        </w:trPr>
        <w:tc>
          <w:tcPr>
            <w:tcW w:w="0" w:type="auto"/>
            <w:vAlign w:val="center"/>
            <w:hideMark/>
          </w:tcPr>
          <w:p w14:paraId="6481735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 xml:space="preserve">15 </w:t>
            </w:r>
            <w:r w:rsidRPr="00445A5B">
              <w:rPr>
                <w:rFonts w:ascii="Traditional Arabic" w:eastAsia="Times New Roman" w:hAnsi="Traditional Arabic" w:cs="Traditional Arabic"/>
                <w:sz w:val="28"/>
                <w:szCs w:val="28"/>
                <w:rtl/>
              </w:rPr>
              <w:t>سنة فأكثر</w:t>
            </w:r>
          </w:p>
        </w:tc>
        <w:tc>
          <w:tcPr>
            <w:tcW w:w="0" w:type="auto"/>
            <w:vAlign w:val="center"/>
            <w:hideMark/>
          </w:tcPr>
          <w:p w14:paraId="55339E6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79</w:t>
            </w:r>
          </w:p>
        </w:tc>
        <w:tc>
          <w:tcPr>
            <w:tcW w:w="0" w:type="auto"/>
            <w:vAlign w:val="center"/>
            <w:hideMark/>
          </w:tcPr>
          <w:p w14:paraId="3851040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27.7</w:t>
            </w:r>
          </w:p>
        </w:tc>
      </w:tr>
      <w:tr w:rsidR="000E666F" w:rsidRPr="00445A5B" w14:paraId="7D68444A" w14:textId="77777777" w:rsidTr="004F3CC9">
        <w:trPr>
          <w:jc w:val="center"/>
        </w:trPr>
        <w:tc>
          <w:tcPr>
            <w:tcW w:w="0" w:type="auto"/>
            <w:vAlign w:val="center"/>
            <w:hideMark/>
          </w:tcPr>
          <w:p w14:paraId="5BE5B40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الإجمالي</w:t>
            </w:r>
          </w:p>
        </w:tc>
        <w:tc>
          <w:tcPr>
            <w:tcW w:w="0" w:type="auto"/>
            <w:vAlign w:val="center"/>
            <w:hideMark/>
          </w:tcPr>
          <w:p w14:paraId="16388D3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285</w:t>
            </w:r>
          </w:p>
        </w:tc>
        <w:tc>
          <w:tcPr>
            <w:tcW w:w="0" w:type="auto"/>
            <w:vAlign w:val="center"/>
            <w:hideMark/>
          </w:tcPr>
          <w:p w14:paraId="128E6FE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100.0</w:t>
            </w:r>
          </w:p>
        </w:tc>
      </w:tr>
    </w:tbl>
    <w:p w14:paraId="2410B462"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يبين جدول (4.</w:t>
      </w:r>
      <w:r w:rsidRPr="00445A5B">
        <w:rPr>
          <w:rFonts w:ascii="Traditional Arabic" w:eastAsia="Times New Roman" w:hAnsi="Traditional Arabic" w:cs="Traditional Arabic"/>
          <w:sz w:val="28"/>
          <w:szCs w:val="28"/>
        </w:rPr>
        <w:t>3</w:t>
      </w:r>
      <w:r w:rsidRPr="00445A5B">
        <w:rPr>
          <w:rFonts w:ascii="Traditional Arabic" w:eastAsia="Times New Roman" w:hAnsi="Traditional Arabic" w:cs="Traditional Arabic"/>
          <w:sz w:val="28"/>
          <w:szCs w:val="28"/>
          <w:rtl/>
        </w:rPr>
        <w:t xml:space="preserve">) توزيع أفراد العينة وفقًا لسنوات الخبرة العملية، حيث يتضح أن الفئة الأكثر تمثيلًا هي فئة ذوي الخبرة </w:t>
      </w:r>
      <w:r w:rsidRPr="00445A5B">
        <w:rPr>
          <w:rFonts w:ascii="Traditional Arabic" w:eastAsia="Times New Roman" w:hAnsi="Traditional Arabic" w:cs="Traditional Arabic"/>
          <w:sz w:val="28"/>
          <w:szCs w:val="28"/>
        </w:rPr>
        <w:t xml:space="preserve">15 </w:t>
      </w:r>
      <w:r w:rsidRPr="00445A5B">
        <w:rPr>
          <w:rFonts w:ascii="Traditional Arabic" w:eastAsia="Times New Roman" w:hAnsi="Traditional Arabic" w:cs="Traditional Arabic"/>
          <w:sz w:val="28"/>
          <w:szCs w:val="28"/>
          <w:rtl/>
        </w:rPr>
        <w:t>سنة فأكثر بعدد (79) فردًا بنسبة (27.7%)، يليها أفراد الخبرة من (10 إلى أقل من 15 سنة) بعدد (75) فردًا بنسبة (26.3%). بينما بلغت نسبة الأفراد الذين تتراوح خبرتهم بين (5 إلى أقل من 10 سنوات) (24.2%) بعدد (69) فردًا، في حين جاءت الفئة الأقل من 5 سنوات بنسبة (21.8%) بعدد (62) فردًا</w:t>
      </w:r>
      <w:r w:rsidRPr="00445A5B">
        <w:rPr>
          <w:rFonts w:ascii="Traditional Arabic" w:eastAsia="Times New Roman" w:hAnsi="Traditional Arabic" w:cs="Traditional Arabic"/>
          <w:sz w:val="28"/>
          <w:szCs w:val="28"/>
        </w:rPr>
        <w:t>.</w:t>
      </w:r>
    </w:p>
    <w:p w14:paraId="2FE4E3DA"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rtl/>
        </w:rPr>
        <w:t>وتوضح هذه النتائج أن غالبية أفراد العينة يمتلكون خبرات مهنية متوسطة إلى مرتفعة، حيث يمثل أصحاب الخبرة التي تزيد عن عشر سنوات ما يقارب نصف أفراد العينة، وهو ما يشير إلى أن المشاركين لديهم خبرة كافية تمكنهم من تقييم تطبيقات الاستدامة وأثرها على أداء المشروعات بدرجة عالية من الإدراك والموضوعية</w:t>
      </w:r>
      <w:r w:rsidRPr="00445A5B">
        <w:rPr>
          <w:rFonts w:ascii="Traditional Arabic" w:eastAsia="Times New Roman" w:hAnsi="Traditional Arabic" w:cs="Traditional Arabic"/>
          <w:sz w:val="28"/>
          <w:szCs w:val="28"/>
        </w:rPr>
        <w:t>.</w:t>
      </w:r>
    </w:p>
    <w:p w14:paraId="7B05EA46" w14:textId="77777777" w:rsidR="000E666F" w:rsidRPr="00445A5B" w:rsidRDefault="000E666F" w:rsidP="000E666F">
      <w:pPr>
        <w:bidi/>
        <w:jc w:val="center"/>
        <w:rPr>
          <w:rFonts w:ascii="Traditional Arabic" w:eastAsia="Times New Roman" w:hAnsi="Traditional Arabic" w:cs="Traditional Arabic"/>
          <w:sz w:val="28"/>
          <w:szCs w:val="28"/>
          <w:rtl/>
        </w:rPr>
      </w:pPr>
      <w:r w:rsidRPr="00445A5B">
        <w:rPr>
          <w:rFonts w:ascii="Traditional Arabic" w:hAnsi="Traditional Arabic" w:cs="Traditional Arabic"/>
          <w:noProof/>
          <w:sz w:val="28"/>
          <w:szCs w:val="28"/>
        </w:rPr>
        <w:lastRenderedPageBreak/>
        <w:drawing>
          <wp:inline distT="0" distB="0" distL="0" distR="0" wp14:anchorId="0BFDAA56" wp14:editId="1D7C6529">
            <wp:extent cx="4572000" cy="2743200"/>
            <wp:effectExtent l="0" t="0" r="0" b="0"/>
            <wp:docPr id="1470961815" name="Chart 14709618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F97598" w14:textId="77777777" w:rsidR="000E666F" w:rsidRPr="00445A5B" w:rsidRDefault="000E666F" w:rsidP="000E666F">
      <w:pPr>
        <w:bidi/>
        <w:jc w:val="center"/>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شكل(4.2)</w:t>
      </w:r>
    </w:p>
    <w:p w14:paraId="79210CED"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(4.4) </w:t>
      </w:r>
      <w:r w:rsidRPr="00445A5B">
        <w:rPr>
          <w:rFonts w:ascii="Traditional Arabic" w:eastAsia="Times New Roman" w:hAnsi="Traditional Arabic" w:cs="Traditional Arabic"/>
          <w:sz w:val="28"/>
          <w:szCs w:val="28"/>
          <w:rtl/>
        </w:rPr>
        <w:t>توزيع أفراد العينة وفقًا لنوع الشركة</w:t>
      </w:r>
    </w:p>
    <w:tbl>
      <w:tblPr>
        <w:tblStyle w:val="TableGrid"/>
        <w:bidiVisual/>
        <w:tblW w:w="5000" w:type="pct"/>
        <w:jc w:val="center"/>
        <w:tblLook w:val="04A0" w:firstRow="1" w:lastRow="0" w:firstColumn="1" w:lastColumn="0" w:noHBand="0" w:noVBand="1"/>
      </w:tblPr>
      <w:tblGrid>
        <w:gridCol w:w="4119"/>
        <w:gridCol w:w="1303"/>
        <w:gridCol w:w="2874"/>
      </w:tblGrid>
      <w:tr w:rsidR="000E666F" w:rsidRPr="00445A5B" w14:paraId="3D47E7E3" w14:textId="77777777" w:rsidTr="004F3CC9">
        <w:trPr>
          <w:jc w:val="center"/>
        </w:trPr>
        <w:tc>
          <w:tcPr>
            <w:tcW w:w="0" w:type="auto"/>
            <w:vAlign w:val="center"/>
            <w:hideMark/>
          </w:tcPr>
          <w:p w14:paraId="03F9CF9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نوع الشركة</w:t>
            </w:r>
          </w:p>
        </w:tc>
        <w:tc>
          <w:tcPr>
            <w:tcW w:w="0" w:type="auto"/>
            <w:vAlign w:val="center"/>
            <w:hideMark/>
          </w:tcPr>
          <w:p w14:paraId="219DB87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التكرار</w:t>
            </w:r>
          </w:p>
        </w:tc>
        <w:tc>
          <w:tcPr>
            <w:tcW w:w="0" w:type="auto"/>
            <w:vAlign w:val="center"/>
            <w:hideMark/>
          </w:tcPr>
          <w:p w14:paraId="3ABB44B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النسبة المئوية</w:t>
            </w:r>
            <w:r w:rsidRPr="00445A5B">
              <w:rPr>
                <w:rFonts w:ascii="Traditional Arabic" w:eastAsia="Times New Roman" w:hAnsi="Traditional Arabic" w:cs="Traditional Arabic"/>
                <w:sz w:val="28"/>
                <w:szCs w:val="28"/>
              </w:rPr>
              <w:t xml:space="preserve"> (%)</w:t>
            </w:r>
          </w:p>
        </w:tc>
      </w:tr>
      <w:tr w:rsidR="000E666F" w:rsidRPr="00445A5B" w14:paraId="627FB505" w14:textId="77777777" w:rsidTr="004F3CC9">
        <w:trPr>
          <w:jc w:val="center"/>
        </w:trPr>
        <w:tc>
          <w:tcPr>
            <w:tcW w:w="0" w:type="auto"/>
            <w:vAlign w:val="center"/>
            <w:hideMark/>
          </w:tcPr>
          <w:p w14:paraId="0A97CD4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حكومية</w:t>
            </w:r>
          </w:p>
        </w:tc>
        <w:tc>
          <w:tcPr>
            <w:tcW w:w="0" w:type="auto"/>
            <w:vAlign w:val="center"/>
            <w:hideMark/>
          </w:tcPr>
          <w:p w14:paraId="7CAAE02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57</w:t>
            </w:r>
          </w:p>
        </w:tc>
        <w:tc>
          <w:tcPr>
            <w:tcW w:w="0" w:type="auto"/>
            <w:vAlign w:val="center"/>
            <w:hideMark/>
          </w:tcPr>
          <w:p w14:paraId="42661D5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20.0</w:t>
            </w:r>
          </w:p>
        </w:tc>
      </w:tr>
      <w:tr w:rsidR="000E666F" w:rsidRPr="00445A5B" w14:paraId="4C033E77" w14:textId="77777777" w:rsidTr="004F3CC9">
        <w:trPr>
          <w:jc w:val="center"/>
        </w:trPr>
        <w:tc>
          <w:tcPr>
            <w:tcW w:w="0" w:type="auto"/>
            <w:vAlign w:val="center"/>
            <w:hideMark/>
          </w:tcPr>
          <w:p w14:paraId="58505FA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خاصة</w:t>
            </w:r>
          </w:p>
        </w:tc>
        <w:tc>
          <w:tcPr>
            <w:tcW w:w="0" w:type="auto"/>
            <w:vAlign w:val="center"/>
            <w:hideMark/>
          </w:tcPr>
          <w:p w14:paraId="1E73480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108</w:t>
            </w:r>
          </w:p>
        </w:tc>
        <w:tc>
          <w:tcPr>
            <w:tcW w:w="0" w:type="auto"/>
            <w:vAlign w:val="center"/>
            <w:hideMark/>
          </w:tcPr>
          <w:p w14:paraId="479F797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37.9</w:t>
            </w:r>
          </w:p>
        </w:tc>
      </w:tr>
      <w:tr w:rsidR="000E666F" w:rsidRPr="00445A5B" w14:paraId="459BB709" w14:textId="77777777" w:rsidTr="004F3CC9">
        <w:trPr>
          <w:jc w:val="center"/>
        </w:trPr>
        <w:tc>
          <w:tcPr>
            <w:tcW w:w="0" w:type="auto"/>
            <w:vAlign w:val="center"/>
            <w:hideMark/>
          </w:tcPr>
          <w:p w14:paraId="3380479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مختلطة (حكومي – خاص)</w:t>
            </w:r>
          </w:p>
        </w:tc>
        <w:tc>
          <w:tcPr>
            <w:tcW w:w="0" w:type="auto"/>
            <w:vAlign w:val="center"/>
            <w:hideMark/>
          </w:tcPr>
          <w:p w14:paraId="5B46C54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120</w:t>
            </w:r>
          </w:p>
        </w:tc>
        <w:tc>
          <w:tcPr>
            <w:tcW w:w="0" w:type="auto"/>
            <w:vAlign w:val="center"/>
            <w:hideMark/>
          </w:tcPr>
          <w:p w14:paraId="450AAD0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42.1</w:t>
            </w:r>
          </w:p>
        </w:tc>
      </w:tr>
      <w:tr w:rsidR="000E666F" w:rsidRPr="00445A5B" w14:paraId="7AF504E3" w14:textId="77777777" w:rsidTr="004F3CC9">
        <w:trPr>
          <w:jc w:val="center"/>
        </w:trPr>
        <w:tc>
          <w:tcPr>
            <w:tcW w:w="0" w:type="auto"/>
            <w:vAlign w:val="center"/>
            <w:hideMark/>
          </w:tcPr>
          <w:p w14:paraId="01C9AC8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الإجمالي</w:t>
            </w:r>
          </w:p>
        </w:tc>
        <w:tc>
          <w:tcPr>
            <w:tcW w:w="0" w:type="auto"/>
            <w:vAlign w:val="center"/>
            <w:hideMark/>
          </w:tcPr>
          <w:p w14:paraId="30ECDC9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285</w:t>
            </w:r>
          </w:p>
        </w:tc>
        <w:tc>
          <w:tcPr>
            <w:tcW w:w="0" w:type="auto"/>
            <w:vAlign w:val="center"/>
            <w:hideMark/>
          </w:tcPr>
          <w:p w14:paraId="09D63D2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100.0</w:t>
            </w:r>
          </w:p>
        </w:tc>
      </w:tr>
    </w:tbl>
    <w:p w14:paraId="24C9851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يوضح جدول (4.</w:t>
      </w:r>
      <w:r w:rsidRPr="00445A5B">
        <w:rPr>
          <w:rFonts w:ascii="Traditional Arabic" w:eastAsia="Times New Roman" w:hAnsi="Traditional Arabic" w:cs="Traditional Arabic"/>
          <w:sz w:val="28"/>
          <w:szCs w:val="28"/>
        </w:rPr>
        <w:t>4</w:t>
      </w:r>
      <w:r w:rsidRPr="00445A5B">
        <w:rPr>
          <w:rFonts w:ascii="Traditional Arabic" w:eastAsia="Times New Roman" w:hAnsi="Traditional Arabic" w:cs="Traditional Arabic"/>
          <w:sz w:val="28"/>
          <w:szCs w:val="28"/>
          <w:rtl/>
        </w:rPr>
        <w:t>) توزيع أفراد العينة حسب نوع الشركة التي يعملون بها، حيث جاءت الشركات المختلطة (حكومي–خاص) في المرتبة الأولى بعدد (120) فردًا بنسبة (42.1%)، تليها الشركات الخاصة بعدد (108) أفراد بنسبة (37.9%)، بينما جاءت الشركات الحكومية في المرتبة الأخيرة بعدد (57) فردًا بنسبة</w:t>
      </w:r>
      <w:r w:rsidRPr="00445A5B">
        <w:rPr>
          <w:rFonts w:ascii="Traditional Arabic" w:eastAsia="Times New Roman" w:hAnsi="Traditional Arabic" w:cs="Traditional Arabic"/>
          <w:sz w:val="28"/>
          <w:szCs w:val="28"/>
        </w:rPr>
        <w:t xml:space="preserve"> (20.0%).</w:t>
      </w:r>
    </w:p>
    <w:p w14:paraId="62043466"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rtl/>
        </w:rPr>
        <w:t>وتشير هذه النتائج إلى أن معظم أفراد العينة يعملون في بيئات تنظيمية تجمع بين القطاعين الحكومي والخاص أو ضمن شركات خاصة، وهو ما يعكس طبيعة قطاع الإنشاءات الذي يعتمد بدرجة كبيرة على الشراكات والتعاون بين الجهات الحكومية والقطاع الخاص. كما يوفر هذا التنوع إمكانية تقييم تأثير اختلاف البيئة التنظيمية والمؤسسية على تطبيق ممارسات الاستدامة</w:t>
      </w:r>
      <w:r w:rsidRPr="00445A5B">
        <w:rPr>
          <w:rFonts w:ascii="Traditional Arabic" w:eastAsia="Times New Roman" w:hAnsi="Traditional Arabic" w:cs="Traditional Arabic"/>
          <w:sz w:val="28"/>
          <w:szCs w:val="28"/>
        </w:rPr>
        <w:t>.</w:t>
      </w:r>
    </w:p>
    <w:p w14:paraId="565B13DB" w14:textId="77777777" w:rsidR="000E666F" w:rsidRPr="00445A5B" w:rsidRDefault="000E666F" w:rsidP="000E666F">
      <w:pPr>
        <w:bidi/>
        <w:jc w:val="center"/>
        <w:rPr>
          <w:rFonts w:ascii="Traditional Arabic" w:eastAsia="Times New Roman" w:hAnsi="Traditional Arabic" w:cs="Traditional Arabic"/>
          <w:sz w:val="28"/>
          <w:szCs w:val="28"/>
          <w:rtl/>
        </w:rPr>
      </w:pPr>
      <w:r w:rsidRPr="00445A5B">
        <w:rPr>
          <w:rFonts w:ascii="Traditional Arabic" w:hAnsi="Traditional Arabic" w:cs="Traditional Arabic"/>
          <w:noProof/>
          <w:sz w:val="28"/>
          <w:szCs w:val="28"/>
        </w:rPr>
        <w:lastRenderedPageBreak/>
        <w:drawing>
          <wp:inline distT="0" distB="0" distL="0" distR="0" wp14:anchorId="4841870C" wp14:editId="14E6B732">
            <wp:extent cx="4572000" cy="2743200"/>
            <wp:effectExtent l="0" t="0" r="0" b="0"/>
            <wp:docPr id="1948007045" name="Chart 19480070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159A7D" w14:textId="77777777" w:rsidR="000E666F" w:rsidRPr="00445A5B" w:rsidRDefault="000E666F" w:rsidP="000E666F">
      <w:pPr>
        <w:bidi/>
        <w:jc w:val="center"/>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شكل (4.3)</w:t>
      </w:r>
    </w:p>
    <w:p w14:paraId="7AD496C2" w14:textId="77777777" w:rsidR="000E666F" w:rsidRPr="00445A5B" w:rsidRDefault="000E666F" w:rsidP="000E666F">
      <w:pPr>
        <w:bidi/>
        <w:jc w:val="both"/>
        <w:rPr>
          <w:rFonts w:ascii="Traditional Arabic" w:eastAsia="Times New Roman" w:hAnsi="Traditional Arabic" w:cs="Traditional Arabic"/>
          <w:sz w:val="28"/>
          <w:szCs w:val="28"/>
          <w:rtl/>
        </w:rPr>
      </w:pPr>
    </w:p>
    <w:p w14:paraId="48A8794D"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(4.5)</w:t>
      </w:r>
      <w:r w:rsidRPr="00445A5B">
        <w:rPr>
          <w:rFonts w:ascii="Traditional Arabic" w:eastAsia="Times New Roman" w:hAnsi="Traditional Arabic" w:cs="Traditional Arabic"/>
          <w:sz w:val="28"/>
          <w:szCs w:val="28"/>
          <w:rtl/>
        </w:rPr>
        <w:t>توزيع أفراد العينة وفقًا لحجم المشروع</w:t>
      </w:r>
    </w:p>
    <w:tbl>
      <w:tblPr>
        <w:tblStyle w:val="TableGrid"/>
        <w:bidiVisual/>
        <w:tblW w:w="5000" w:type="pct"/>
        <w:jc w:val="center"/>
        <w:tblLook w:val="04A0" w:firstRow="1" w:lastRow="0" w:firstColumn="1" w:lastColumn="0" w:noHBand="0" w:noVBand="1"/>
      </w:tblPr>
      <w:tblGrid>
        <w:gridCol w:w="2913"/>
        <w:gridCol w:w="1679"/>
        <w:gridCol w:w="3704"/>
      </w:tblGrid>
      <w:tr w:rsidR="000E666F" w:rsidRPr="00445A5B" w14:paraId="702E5AD4" w14:textId="77777777" w:rsidTr="004F3CC9">
        <w:trPr>
          <w:jc w:val="center"/>
        </w:trPr>
        <w:tc>
          <w:tcPr>
            <w:tcW w:w="0" w:type="auto"/>
            <w:vAlign w:val="center"/>
            <w:hideMark/>
          </w:tcPr>
          <w:p w14:paraId="02425D5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حجم المشروع</w:t>
            </w:r>
          </w:p>
        </w:tc>
        <w:tc>
          <w:tcPr>
            <w:tcW w:w="0" w:type="auto"/>
            <w:vAlign w:val="center"/>
            <w:hideMark/>
          </w:tcPr>
          <w:p w14:paraId="47026D7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التكرار</w:t>
            </w:r>
          </w:p>
        </w:tc>
        <w:tc>
          <w:tcPr>
            <w:tcW w:w="0" w:type="auto"/>
            <w:vAlign w:val="center"/>
            <w:hideMark/>
          </w:tcPr>
          <w:p w14:paraId="432EA9A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النسبة المئوية</w:t>
            </w:r>
            <w:r w:rsidRPr="00445A5B">
              <w:rPr>
                <w:rFonts w:ascii="Traditional Arabic" w:eastAsia="Times New Roman" w:hAnsi="Traditional Arabic" w:cs="Traditional Arabic"/>
                <w:sz w:val="28"/>
                <w:szCs w:val="28"/>
              </w:rPr>
              <w:t xml:space="preserve"> (%)</w:t>
            </w:r>
          </w:p>
        </w:tc>
      </w:tr>
      <w:tr w:rsidR="000E666F" w:rsidRPr="00445A5B" w14:paraId="21E547EB" w14:textId="77777777" w:rsidTr="004F3CC9">
        <w:trPr>
          <w:jc w:val="center"/>
        </w:trPr>
        <w:tc>
          <w:tcPr>
            <w:tcW w:w="0" w:type="auto"/>
            <w:vAlign w:val="center"/>
            <w:hideMark/>
          </w:tcPr>
          <w:p w14:paraId="3D5F72F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صغيرة</w:t>
            </w:r>
          </w:p>
        </w:tc>
        <w:tc>
          <w:tcPr>
            <w:tcW w:w="0" w:type="auto"/>
            <w:vAlign w:val="center"/>
            <w:hideMark/>
          </w:tcPr>
          <w:p w14:paraId="11C9988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44</w:t>
            </w:r>
          </w:p>
        </w:tc>
        <w:tc>
          <w:tcPr>
            <w:tcW w:w="0" w:type="auto"/>
            <w:vAlign w:val="center"/>
            <w:hideMark/>
          </w:tcPr>
          <w:p w14:paraId="7DEDABD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15.4</w:t>
            </w:r>
          </w:p>
        </w:tc>
      </w:tr>
      <w:tr w:rsidR="000E666F" w:rsidRPr="00445A5B" w14:paraId="2F878CF8" w14:textId="77777777" w:rsidTr="004F3CC9">
        <w:trPr>
          <w:jc w:val="center"/>
        </w:trPr>
        <w:tc>
          <w:tcPr>
            <w:tcW w:w="0" w:type="auto"/>
            <w:vAlign w:val="center"/>
            <w:hideMark/>
          </w:tcPr>
          <w:p w14:paraId="7404D7D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متوسطة</w:t>
            </w:r>
          </w:p>
        </w:tc>
        <w:tc>
          <w:tcPr>
            <w:tcW w:w="0" w:type="auto"/>
            <w:vAlign w:val="center"/>
            <w:hideMark/>
          </w:tcPr>
          <w:p w14:paraId="78DA1CC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119</w:t>
            </w:r>
          </w:p>
        </w:tc>
        <w:tc>
          <w:tcPr>
            <w:tcW w:w="0" w:type="auto"/>
            <w:vAlign w:val="center"/>
            <w:hideMark/>
          </w:tcPr>
          <w:p w14:paraId="628F539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41.8</w:t>
            </w:r>
          </w:p>
        </w:tc>
      </w:tr>
      <w:tr w:rsidR="000E666F" w:rsidRPr="00445A5B" w14:paraId="2461718A" w14:textId="77777777" w:rsidTr="004F3CC9">
        <w:trPr>
          <w:jc w:val="center"/>
        </w:trPr>
        <w:tc>
          <w:tcPr>
            <w:tcW w:w="0" w:type="auto"/>
            <w:vAlign w:val="center"/>
            <w:hideMark/>
          </w:tcPr>
          <w:p w14:paraId="7E37E54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كبيرة</w:t>
            </w:r>
          </w:p>
        </w:tc>
        <w:tc>
          <w:tcPr>
            <w:tcW w:w="0" w:type="auto"/>
            <w:vAlign w:val="center"/>
            <w:hideMark/>
          </w:tcPr>
          <w:p w14:paraId="4162BC5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122</w:t>
            </w:r>
          </w:p>
        </w:tc>
        <w:tc>
          <w:tcPr>
            <w:tcW w:w="0" w:type="auto"/>
            <w:vAlign w:val="center"/>
            <w:hideMark/>
          </w:tcPr>
          <w:p w14:paraId="03DF30D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42.8</w:t>
            </w:r>
          </w:p>
        </w:tc>
      </w:tr>
      <w:tr w:rsidR="000E666F" w:rsidRPr="00445A5B" w14:paraId="4ADF8575" w14:textId="77777777" w:rsidTr="004F3CC9">
        <w:trPr>
          <w:jc w:val="center"/>
        </w:trPr>
        <w:tc>
          <w:tcPr>
            <w:tcW w:w="0" w:type="auto"/>
            <w:vAlign w:val="center"/>
            <w:hideMark/>
          </w:tcPr>
          <w:p w14:paraId="494D6EE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الإجمالي</w:t>
            </w:r>
          </w:p>
        </w:tc>
        <w:tc>
          <w:tcPr>
            <w:tcW w:w="0" w:type="auto"/>
            <w:vAlign w:val="center"/>
            <w:hideMark/>
          </w:tcPr>
          <w:p w14:paraId="3AA4A7D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285</w:t>
            </w:r>
          </w:p>
        </w:tc>
        <w:tc>
          <w:tcPr>
            <w:tcW w:w="0" w:type="auto"/>
            <w:vAlign w:val="center"/>
            <w:hideMark/>
          </w:tcPr>
          <w:p w14:paraId="59C738E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100.0</w:t>
            </w:r>
          </w:p>
        </w:tc>
      </w:tr>
    </w:tbl>
    <w:p w14:paraId="7C0FBD88"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يشير جدول (4.5) إلى توزيع أفراد العينة وفقًا لحجم المشروعات التي يعملون بها، حيث جاءت المشروعات الكبيرة في المرتبة الأولى بعدد (122) فردًا بنسبة (42.8%)، تليها المشروعات المتوسطة بعدد (119) فردًا بنسبة (41.8%)، بينما جاءت المشروعات الصغيرة في المرتبة الأخيرة بعدد (44) فردًا بنسبة</w:t>
      </w:r>
      <w:r w:rsidRPr="00445A5B">
        <w:rPr>
          <w:rFonts w:ascii="Traditional Arabic" w:eastAsia="Times New Roman" w:hAnsi="Traditional Arabic" w:cs="Traditional Arabic"/>
          <w:sz w:val="28"/>
          <w:szCs w:val="28"/>
        </w:rPr>
        <w:t xml:space="preserve"> (15.4%).</w:t>
      </w:r>
    </w:p>
    <w:p w14:paraId="02E6F70E"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rtl/>
        </w:rPr>
        <w:t>وتوضح هذه النتائج أن غالبية أفراد العينة لديهم خبرة في التعامل مع مشروعات متوسطة وكبيرة الحجم، وهو ما يتناسب مع طبيعة موضوع الدراسة الذي يرتبط بتطبيق ممارسات الاستدامة في المشروعات الإنشائية، حيث تظهر أهمية هذه الممارسات بشكل أكبر في المشروعات ذات الحجم الكبير بسبب تعدد مراحل التنفيذ وارتفاع حجم الموارد المستخدمة</w:t>
      </w:r>
      <w:r w:rsidRPr="00445A5B">
        <w:rPr>
          <w:rFonts w:ascii="Traditional Arabic" w:eastAsia="Times New Roman" w:hAnsi="Traditional Arabic" w:cs="Traditional Arabic"/>
          <w:sz w:val="28"/>
          <w:szCs w:val="28"/>
        </w:rPr>
        <w:t>.</w:t>
      </w:r>
    </w:p>
    <w:p w14:paraId="71A0963F" w14:textId="77777777" w:rsidR="000E666F" w:rsidRPr="00445A5B" w:rsidRDefault="000E666F" w:rsidP="000E666F">
      <w:pPr>
        <w:bidi/>
        <w:jc w:val="center"/>
        <w:rPr>
          <w:rFonts w:ascii="Traditional Arabic" w:eastAsia="Times New Roman" w:hAnsi="Traditional Arabic" w:cs="Traditional Arabic"/>
          <w:sz w:val="28"/>
          <w:szCs w:val="28"/>
          <w:rtl/>
        </w:rPr>
      </w:pPr>
      <w:r w:rsidRPr="00445A5B">
        <w:rPr>
          <w:rFonts w:ascii="Traditional Arabic" w:hAnsi="Traditional Arabic" w:cs="Traditional Arabic"/>
          <w:noProof/>
          <w:sz w:val="28"/>
          <w:szCs w:val="28"/>
        </w:rPr>
        <w:lastRenderedPageBreak/>
        <w:drawing>
          <wp:inline distT="0" distB="0" distL="0" distR="0" wp14:anchorId="720EB8DA" wp14:editId="39D66C2C">
            <wp:extent cx="4572000" cy="2743200"/>
            <wp:effectExtent l="0" t="0" r="0" b="0"/>
            <wp:docPr id="492403959" name="Chart 4924039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8B0D7A4" w14:textId="77777777" w:rsidR="000E666F" w:rsidRPr="00445A5B" w:rsidRDefault="000E666F" w:rsidP="000E666F">
      <w:pPr>
        <w:bidi/>
        <w:jc w:val="center"/>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شكل (4.4)</w:t>
      </w:r>
    </w:p>
    <w:p w14:paraId="734D7695" w14:textId="77777777" w:rsidR="000E666F" w:rsidRPr="00445A5B" w:rsidRDefault="000E666F" w:rsidP="000E666F">
      <w:pPr>
        <w:bidi/>
        <w:jc w:val="both"/>
        <w:rPr>
          <w:rFonts w:ascii="Traditional Arabic" w:eastAsia="Times New Roman" w:hAnsi="Traditional Arabic" w:cs="Traditional Arabic"/>
          <w:sz w:val="28"/>
          <w:szCs w:val="28"/>
          <w:rtl/>
        </w:rPr>
      </w:pPr>
    </w:p>
    <w:p w14:paraId="7DCB2152"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(4.6) </w:t>
      </w:r>
      <w:r w:rsidRPr="00445A5B">
        <w:rPr>
          <w:rFonts w:ascii="Traditional Arabic" w:eastAsia="Times New Roman" w:hAnsi="Traditional Arabic" w:cs="Traditional Arabic"/>
          <w:sz w:val="28"/>
          <w:szCs w:val="28"/>
          <w:rtl/>
        </w:rPr>
        <w:t>توزيع أفراد العينة وفقًا لنوع المشروع</w:t>
      </w:r>
    </w:p>
    <w:tbl>
      <w:tblPr>
        <w:tblStyle w:val="TableGrid"/>
        <w:bidiVisual/>
        <w:tblW w:w="5000" w:type="pct"/>
        <w:jc w:val="center"/>
        <w:tblLook w:val="04A0" w:firstRow="1" w:lastRow="0" w:firstColumn="1" w:lastColumn="0" w:noHBand="0" w:noVBand="1"/>
      </w:tblPr>
      <w:tblGrid>
        <w:gridCol w:w="3250"/>
        <w:gridCol w:w="1574"/>
        <w:gridCol w:w="3472"/>
      </w:tblGrid>
      <w:tr w:rsidR="000E666F" w:rsidRPr="00445A5B" w14:paraId="0F42EA18" w14:textId="77777777" w:rsidTr="004F3CC9">
        <w:trPr>
          <w:jc w:val="center"/>
        </w:trPr>
        <w:tc>
          <w:tcPr>
            <w:tcW w:w="0" w:type="auto"/>
            <w:vAlign w:val="center"/>
            <w:hideMark/>
          </w:tcPr>
          <w:p w14:paraId="74CA35E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نوع المشروع</w:t>
            </w:r>
          </w:p>
        </w:tc>
        <w:tc>
          <w:tcPr>
            <w:tcW w:w="0" w:type="auto"/>
            <w:vAlign w:val="center"/>
            <w:hideMark/>
          </w:tcPr>
          <w:p w14:paraId="0C82ED8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التكرار</w:t>
            </w:r>
          </w:p>
        </w:tc>
        <w:tc>
          <w:tcPr>
            <w:tcW w:w="0" w:type="auto"/>
            <w:vAlign w:val="center"/>
            <w:hideMark/>
          </w:tcPr>
          <w:p w14:paraId="15DE612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النسبة المئوية</w:t>
            </w:r>
            <w:r w:rsidRPr="00445A5B">
              <w:rPr>
                <w:rFonts w:ascii="Traditional Arabic" w:eastAsia="Times New Roman" w:hAnsi="Traditional Arabic" w:cs="Traditional Arabic"/>
                <w:sz w:val="28"/>
                <w:szCs w:val="28"/>
              </w:rPr>
              <w:t xml:space="preserve"> (%)</w:t>
            </w:r>
          </w:p>
        </w:tc>
      </w:tr>
      <w:tr w:rsidR="000E666F" w:rsidRPr="00445A5B" w14:paraId="70F562D5" w14:textId="77777777" w:rsidTr="004F3CC9">
        <w:trPr>
          <w:jc w:val="center"/>
        </w:trPr>
        <w:tc>
          <w:tcPr>
            <w:tcW w:w="0" w:type="auto"/>
            <w:vAlign w:val="center"/>
            <w:hideMark/>
          </w:tcPr>
          <w:p w14:paraId="151B600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مشاريع تجارية</w:t>
            </w:r>
          </w:p>
        </w:tc>
        <w:tc>
          <w:tcPr>
            <w:tcW w:w="0" w:type="auto"/>
            <w:vAlign w:val="center"/>
            <w:hideMark/>
          </w:tcPr>
          <w:p w14:paraId="563FC70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62</w:t>
            </w:r>
          </w:p>
        </w:tc>
        <w:tc>
          <w:tcPr>
            <w:tcW w:w="0" w:type="auto"/>
            <w:vAlign w:val="center"/>
            <w:hideMark/>
          </w:tcPr>
          <w:p w14:paraId="67C44E1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21.8</w:t>
            </w:r>
          </w:p>
        </w:tc>
      </w:tr>
      <w:tr w:rsidR="000E666F" w:rsidRPr="00445A5B" w14:paraId="54283319" w14:textId="77777777" w:rsidTr="004F3CC9">
        <w:trPr>
          <w:jc w:val="center"/>
        </w:trPr>
        <w:tc>
          <w:tcPr>
            <w:tcW w:w="0" w:type="auto"/>
            <w:vAlign w:val="center"/>
            <w:hideMark/>
          </w:tcPr>
          <w:p w14:paraId="10DD7D5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مشاريع صناعية</w:t>
            </w:r>
          </w:p>
        </w:tc>
        <w:tc>
          <w:tcPr>
            <w:tcW w:w="0" w:type="auto"/>
            <w:vAlign w:val="center"/>
            <w:hideMark/>
          </w:tcPr>
          <w:p w14:paraId="1C1E451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30</w:t>
            </w:r>
          </w:p>
        </w:tc>
        <w:tc>
          <w:tcPr>
            <w:tcW w:w="0" w:type="auto"/>
            <w:vAlign w:val="center"/>
            <w:hideMark/>
          </w:tcPr>
          <w:p w14:paraId="504DCFC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10.5</w:t>
            </w:r>
          </w:p>
        </w:tc>
      </w:tr>
      <w:tr w:rsidR="000E666F" w:rsidRPr="00445A5B" w14:paraId="7A2D903D" w14:textId="77777777" w:rsidTr="004F3CC9">
        <w:trPr>
          <w:jc w:val="center"/>
        </w:trPr>
        <w:tc>
          <w:tcPr>
            <w:tcW w:w="0" w:type="auto"/>
            <w:vAlign w:val="center"/>
            <w:hideMark/>
          </w:tcPr>
          <w:p w14:paraId="253D15F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مشاريع سكنية</w:t>
            </w:r>
          </w:p>
        </w:tc>
        <w:tc>
          <w:tcPr>
            <w:tcW w:w="0" w:type="auto"/>
            <w:vAlign w:val="center"/>
            <w:hideMark/>
          </w:tcPr>
          <w:p w14:paraId="3380239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60</w:t>
            </w:r>
          </w:p>
        </w:tc>
        <w:tc>
          <w:tcPr>
            <w:tcW w:w="0" w:type="auto"/>
            <w:vAlign w:val="center"/>
            <w:hideMark/>
          </w:tcPr>
          <w:p w14:paraId="55E2D5B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21.1</w:t>
            </w:r>
          </w:p>
        </w:tc>
      </w:tr>
      <w:tr w:rsidR="000E666F" w:rsidRPr="00445A5B" w14:paraId="64359CC6" w14:textId="77777777" w:rsidTr="004F3CC9">
        <w:trPr>
          <w:jc w:val="center"/>
        </w:trPr>
        <w:tc>
          <w:tcPr>
            <w:tcW w:w="0" w:type="auto"/>
            <w:vAlign w:val="center"/>
            <w:hideMark/>
          </w:tcPr>
          <w:p w14:paraId="41036E4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مشاريع بنية تحتية</w:t>
            </w:r>
          </w:p>
        </w:tc>
        <w:tc>
          <w:tcPr>
            <w:tcW w:w="0" w:type="auto"/>
            <w:vAlign w:val="center"/>
            <w:hideMark/>
          </w:tcPr>
          <w:p w14:paraId="3BAB101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98</w:t>
            </w:r>
          </w:p>
        </w:tc>
        <w:tc>
          <w:tcPr>
            <w:tcW w:w="0" w:type="auto"/>
            <w:vAlign w:val="center"/>
            <w:hideMark/>
          </w:tcPr>
          <w:p w14:paraId="2C94D17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34.4</w:t>
            </w:r>
          </w:p>
        </w:tc>
      </w:tr>
      <w:tr w:rsidR="000E666F" w:rsidRPr="00445A5B" w14:paraId="09D81586" w14:textId="77777777" w:rsidTr="004F3CC9">
        <w:trPr>
          <w:jc w:val="center"/>
        </w:trPr>
        <w:tc>
          <w:tcPr>
            <w:tcW w:w="0" w:type="auto"/>
            <w:vAlign w:val="center"/>
            <w:hideMark/>
          </w:tcPr>
          <w:p w14:paraId="77CC352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أخرى</w:t>
            </w:r>
          </w:p>
        </w:tc>
        <w:tc>
          <w:tcPr>
            <w:tcW w:w="0" w:type="auto"/>
            <w:vAlign w:val="center"/>
            <w:hideMark/>
          </w:tcPr>
          <w:p w14:paraId="701F7E6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35</w:t>
            </w:r>
          </w:p>
        </w:tc>
        <w:tc>
          <w:tcPr>
            <w:tcW w:w="0" w:type="auto"/>
            <w:vAlign w:val="center"/>
            <w:hideMark/>
          </w:tcPr>
          <w:p w14:paraId="0341AEB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12.3</w:t>
            </w:r>
          </w:p>
        </w:tc>
      </w:tr>
      <w:tr w:rsidR="000E666F" w:rsidRPr="00445A5B" w14:paraId="51FBA8A0" w14:textId="77777777" w:rsidTr="004F3CC9">
        <w:trPr>
          <w:jc w:val="center"/>
        </w:trPr>
        <w:tc>
          <w:tcPr>
            <w:tcW w:w="0" w:type="auto"/>
            <w:vAlign w:val="center"/>
            <w:hideMark/>
          </w:tcPr>
          <w:p w14:paraId="41BE58E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الإجمالي</w:t>
            </w:r>
          </w:p>
        </w:tc>
        <w:tc>
          <w:tcPr>
            <w:tcW w:w="0" w:type="auto"/>
            <w:vAlign w:val="center"/>
            <w:hideMark/>
          </w:tcPr>
          <w:p w14:paraId="3E65484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285</w:t>
            </w:r>
          </w:p>
        </w:tc>
        <w:tc>
          <w:tcPr>
            <w:tcW w:w="0" w:type="auto"/>
            <w:vAlign w:val="center"/>
            <w:hideMark/>
          </w:tcPr>
          <w:p w14:paraId="4E91FF4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100.0</w:t>
            </w:r>
          </w:p>
        </w:tc>
      </w:tr>
    </w:tbl>
    <w:p w14:paraId="3E80EDCC"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يبين جدول (</w:t>
      </w:r>
      <w:r w:rsidRPr="00445A5B">
        <w:rPr>
          <w:rFonts w:ascii="Traditional Arabic" w:eastAsia="Times New Roman" w:hAnsi="Traditional Arabic" w:cs="Traditional Arabic"/>
          <w:sz w:val="28"/>
          <w:szCs w:val="28"/>
        </w:rPr>
        <w:t>4.6</w:t>
      </w:r>
      <w:r w:rsidRPr="00445A5B">
        <w:rPr>
          <w:rFonts w:ascii="Traditional Arabic" w:eastAsia="Times New Roman" w:hAnsi="Traditional Arabic" w:cs="Traditional Arabic"/>
          <w:sz w:val="28"/>
          <w:szCs w:val="28"/>
          <w:rtl/>
        </w:rPr>
        <w:t>) توزيع أفراد العينة حسب نوع المشروعات التي يعملون بها، حيث جاءت مشروعات البنية التحتية في المرتبة الأولى بعدد (98) فردًا بنسبة (34.4%)، يليها قطاع المشروعات التجارية بعدد (62) فردًا بنسبة (21.8%)، ثم المشروعات السكنية بعدد (60) فردًا بنسبة (21.1%). بينما جاءت المشروعات الأخرى بنسبة (12.3%)، والمشروعات الصناعية بنسبة</w:t>
      </w:r>
      <w:r w:rsidRPr="00445A5B">
        <w:rPr>
          <w:rFonts w:ascii="Traditional Arabic" w:eastAsia="Times New Roman" w:hAnsi="Traditional Arabic" w:cs="Traditional Arabic"/>
          <w:sz w:val="28"/>
          <w:szCs w:val="28"/>
        </w:rPr>
        <w:t xml:space="preserve"> (10.5%).</w:t>
      </w:r>
    </w:p>
    <w:p w14:paraId="732F859F"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rtl/>
        </w:rPr>
        <w:lastRenderedPageBreak/>
        <w:t>وتشير هذه النتائج إلى تنوع طبيعة المشروعات التي تمثلها العينة، مع زيادة تمثيل مشروعات البنية التحتية، وهي من أكثر أنواع المشروعات ارتباطًا بتطبيق معايير الاستدامة نظرًا لحجم تأثيرها البيئي والاجتماعي والاقتصادي. كما يعكس هذا التنوع قدرة العينة على تقديم تقييم شامل لممارسات الاستدامة عبر أنواع مختلفة من المشروعات الإنشائية</w:t>
      </w:r>
      <w:r w:rsidRPr="00445A5B">
        <w:rPr>
          <w:rFonts w:ascii="Traditional Arabic" w:eastAsia="Times New Roman" w:hAnsi="Traditional Arabic" w:cs="Traditional Arabic"/>
          <w:sz w:val="28"/>
          <w:szCs w:val="28"/>
        </w:rPr>
        <w:t>.</w:t>
      </w:r>
    </w:p>
    <w:p w14:paraId="01260ECA" w14:textId="77777777" w:rsidR="000E666F" w:rsidRPr="00445A5B" w:rsidRDefault="000E666F" w:rsidP="000E666F">
      <w:pPr>
        <w:bidi/>
        <w:jc w:val="center"/>
        <w:rPr>
          <w:rFonts w:ascii="Traditional Arabic" w:eastAsia="Times New Roman" w:hAnsi="Traditional Arabic" w:cs="Traditional Arabic"/>
          <w:sz w:val="28"/>
          <w:szCs w:val="28"/>
          <w:rtl/>
        </w:rPr>
      </w:pPr>
      <w:r w:rsidRPr="00445A5B">
        <w:rPr>
          <w:rFonts w:ascii="Traditional Arabic" w:hAnsi="Traditional Arabic" w:cs="Traditional Arabic"/>
          <w:noProof/>
          <w:sz w:val="28"/>
          <w:szCs w:val="28"/>
        </w:rPr>
        <w:drawing>
          <wp:inline distT="0" distB="0" distL="0" distR="0" wp14:anchorId="720099E4" wp14:editId="1C1CABBA">
            <wp:extent cx="4581525" cy="23145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C120FC2" w14:textId="77777777" w:rsidR="000E666F" w:rsidRPr="00445A5B" w:rsidRDefault="000E666F" w:rsidP="000E666F">
      <w:pPr>
        <w:bidi/>
        <w:jc w:val="center"/>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شكل(4.5)</w:t>
      </w:r>
    </w:p>
    <w:p w14:paraId="4BF35E0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(4.7) </w:t>
      </w:r>
      <w:r w:rsidRPr="00445A5B">
        <w:rPr>
          <w:rFonts w:ascii="Traditional Arabic" w:eastAsia="Times New Roman" w:hAnsi="Traditional Arabic" w:cs="Traditional Arabic"/>
          <w:sz w:val="28"/>
          <w:szCs w:val="28"/>
          <w:rtl/>
        </w:rPr>
        <w:t>توزيع أفراد العينة وفقًا للمشاركة السابقة في المشاريع المستدامة</w:t>
      </w:r>
    </w:p>
    <w:tbl>
      <w:tblPr>
        <w:tblStyle w:val="TableGrid"/>
        <w:bidiVisual/>
        <w:tblW w:w="5000" w:type="pct"/>
        <w:jc w:val="center"/>
        <w:tblLook w:val="04A0" w:firstRow="1" w:lastRow="0" w:firstColumn="1" w:lastColumn="0" w:noHBand="0" w:noVBand="1"/>
      </w:tblPr>
      <w:tblGrid>
        <w:gridCol w:w="2445"/>
        <w:gridCol w:w="1825"/>
        <w:gridCol w:w="4026"/>
      </w:tblGrid>
      <w:tr w:rsidR="000E666F" w:rsidRPr="00445A5B" w14:paraId="38B5B5A0" w14:textId="77777777" w:rsidTr="004F3CC9">
        <w:trPr>
          <w:jc w:val="center"/>
        </w:trPr>
        <w:tc>
          <w:tcPr>
            <w:tcW w:w="0" w:type="auto"/>
            <w:vAlign w:val="center"/>
            <w:hideMark/>
          </w:tcPr>
          <w:p w14:paraId="526BA5C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الاستجابة</w:t>
            </w:r>
          </w:p>
        </w:tc>
        <w:tc>
          <w:tcPr>
            <w:tcW w:w="0" w:type="auto"/>
            <w:vAlign w:val="center"/>
            <w:hideMark/>
          </w:tcPr>
          <w:p w14:paraId="06C4648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التكرار</w:t>
            </w:r>
          </w:p>
        </w:tc>
        <w:tc>
          <w:tcPr>
            <w:tcW w:w="0" w:type="auto"/>
            <w:vAlign w:val="center"/>
            <w:hideMark/>
          </w:tcPr>
          <w:p w14:paraId="3750FAE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النسبة المئوية</w:t>
            </w:r>
            <w:r w:rsidRPr="00445A5B">
              <w:rPr>
                <w:rFonts w:ascii="Traditional Arabic" w:eastAsia="Times New Roman" w:hAnsi="Traditional Arabic" w:cs="Traditional Arabic"/>
                <w:sz w:val="28"/>
                <w:szCs w:val="28"/>
              </w:rPr>
              <w:t xml:space="preserve"> (%)</w:t>
            </w:r>
          </w:p>
        </w:tc>
      </w:tr>
      <w:tr w:rsidR="000E666F" w:rsidRPr="00445A5B" w14:paraId="5DF45B93" w14:textId="77777777" w:rsidTr="004F3CC9">
        <w:trPr>
          <w:jc w:val="center"/>
        </w:trPr>
        <w:tc>
          <w:tcPr>
            <w:tcW w:w="0" w:type="auto"/>
            <w:vAlign w:val="center"/>
            <w:hideMark/>
          </w:tcPr>
          <w:p w14:paraId="2E0588D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لا</w:t>
            </w:r>
          </w:p>
        </w:tc>
        <w:tc>
          <w:tcPr>
            <w:tcW w:w="0" w:type="auto"/>
            <w:vAlign w:val="center"/>
            <w:hideMark/>
          </w:tcPr>
          <w:p w14:paraId="255EEE5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92</w:t>
            </w:r>
          </w:p>
        </w:tc>
        <w:tc>
          <w:tcPr>
            <w:tcW w:w="0" w:type="auto"/>
            <w:vAlign w:val="center"/>
            <w:hideMark/>
          </w:tcPr>
          <w:p w14:paraId="45EADB8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32.3</w:t>
            </w:r>
          </w:p>
        </w:tc>
      </w:tr>
      <w:tr w:rsidR="000E666F" w:rsidRPr="00445A5B" w14:paraId="63F24820" w14:textId="77777777" w:rsidTr="004F3CC9">
        <w:trPr>
          <w:jc w:val="center"/>
        </w:trPr>
        <w:tc>
          <w:tcPr>
            <w:tcW w:w="0" w:type="auto"/>
            <w:vAlign w:val="center"/>
            <w:hideMark/>
          </w:tcPr>
          <w:p w14:paraId="026A039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نعم</w:t>
            </w:r>
          </w:p>
        </w:tc>
        <w:tc>
          <w:tcPr>
            <w:tcW w:w="0" w:type="auto"/>
            <w:vAlign w:val="center"/>
            <w:hideMark/>
          </w:tcPr>
          <w:p w14:paraId="3817EAD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193</w:t>
            </w:r>
          </w:p>
        </w:tc>
        <w:tc>
          <w:tcPr>
            <w:tcW w:w="0" w:type="auto"/>
            <w:vAlign w:val="center"/>
            <w:hideMark/>
          </w:tcPr>
          <w:p w14:paraId="0898AB5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67.7</w:t>
            </w:r>
          </w:p>
        </w:tc>
      </w:tr>
      <w:tr w:rsidR="000E666F" w:rsidRPr="00445A5B" w14:paraId="637290EF" w14:textId="77777777" w:rsidTr="004F3CC9">
        <w:trPr>
          <w:jc w:val="center"/>
        </w:trPr>
        <w:tc>
          <w:tcPr>
            <w:tcW w:w="0" w:type="auto"/>
            <w:vAlign w:val="center"/>
            <w:hideMark/>
          </w:tcPr>
          <w:p w14:paraId="60C5E8D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الإجمالي</w:t>
            </w:r>
          </w:p>
        </w:tc>
        <w:tc>
          <w:tcPr>
            <w:tcW w:w="0" w:type="auto"/>
            <w:vAlign w:val="center"/>
            <w:hideMark/>
          </w:tcPr>
          <w:p w14:paraId="238150B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285</w:t>
            </w:r>
          </w:p>
        </w:tc>
        <w:tc>
          <w:tcPr>
            <w:tcW w:w="0" w:type="auto"/>
            <w:vAlign w:val="center"/>
            <w:hideMark/>
          </w:tcPr>
          <w:p w14:paraId="3301B46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100.0</w:t>
            </w:r>
          </w:p>
        </w:tc>
      </w:tr>
    </w:tbl>
    <w:p w14:paraId="3D2EFF89" w14:textId="77777777" w:rsidR="000E666F" w:rsidRPr="00445A5B" w:rsidRDefault="000E666F" w:rsidP="000E666F">
      <w:pPr>
        <w:bidi/>
        <w:jc w:val="both"/>
        <w:rPr>
          <w:rFonts w:ascii="Traditional Arabic" w:eastAsia="Times New Roman" w:hAnsi="Traditional Arabic" w:cs="Traditional Arabic"/>
          <w:kern w:val="36"/>
          <w:sz w:val="28"/>
          <w:szCs w:val="28"/>
        </w:rPr>
      </w:pPr>
      <w:r w:rsidRPr="00445A5B">
        <w:rPr>
          <w:rFonts w:ascii="Traditional Arabic" w:eastAsia="Times New Roman" w:hAnsi="Traditional Arabic" w:cs="Traditional Arabic"/>
          <w:kern w:val="36"/>
          <w:sz w:val="28"/>
          <w:szCs w:val="28"/>
          <w:rtl/>
        </w:rPr>
        <w:t>يوضح جدول (</w:t>
      </w:r>
      <w:r w:rsidRPr="00445A5B">
        <w:rPr>
          <w:rFonts w:ascii="Traditional Arabic" w:eastAsia="Times New Roman" w:hAnsi="Traditional Arabic" w:cs="Traditional Arabic"/>
          <w:kern w:val="36"/>
          <w:sz w:val="28"/>
          <w:szCs w:val="28"/>
        </w:rPr>
        <w:t>4.7</w:t>
      </w:r>
      <w:r w:rsidRPr="00445A5B">
        <w:rPr>
          <w:rFonts w:ascii="Traditional Arabic" w:eastAsia="Times New Roman" w:hAnsi="Traditional Arabic" w:cs="Traditional Arabic"/>
          <w:kern w:val="36"/>
          <w:sz w:val="28"/>
          <w:szCs w:val="28"/>
          <w:rtl/>
        </w:rPr>
        <w:t>) توزيع أفراد العينة وفقًا لخبرتهم السابقة في المشاركة بالمشروعات المستدامة، حيث أظهرت النتائج أن غالبية أفراد العينة سبق لهم المشاركة في مشروعات مستدامة، إذ بلغ عددهم (193) فردًا بنسبة (67.7%)، بينما بلغ عدد الذين لم يسبق لهم المشاركة (92) فردًا بنسبة</w:t>
      </w:r>
      <w:r w:rsidRPr="00445A5B">
        <w:rPr>
          <w:rFonts w:ascii="Traditional Arabic" w:eastAsia="Times New Roman" w:hAnsi="Traditional Arabic" w:cs="Traditional Arabic"/>
          <w:kern w:val="36"/>
          <w:sz w:val="28"/>
          <w:szCs w:val="28"/>
        </w:rPr>
        <w:t xml:space="preserve"> (32.3%).</w:t>
      </w:r>
    </w:p>
    <w:p w14:paraId="4F0DF506" w14:textId="77777777" w:rsidR="000E666F" w:rsidRPr="00445A5B" w:rsidRDefault="000E666F" w:rsidP="000E666F">
      <w:pPr>
        <w:bidi/>
        <w:jc w:val="both"/>
        <w:rPr>
          <w:rFonts w:ascii="Traditional Arabic" w:eastAsia="Times New Roman" w:hAnsi="Traditional Arabic" w:cs="Traditional Arabic"/>
          <w:kern w:val="36"/>
          <w:sz w:val="28"/>
          <w:szCs w:val="28"/>
          <w:rtl/>
        </w:rPr>
      </w:pPr>
      <w:r w:rsidRPr="00445A5B">
        <w:rPr>
          <w:rFonts w:ascii="Traditional Arabic" w:eastAsia="Times New Roman" w:hAnsi="Traditional Arabic" w:cs="Traditional Arabic"/>
          <w:kern w:val="36"/>
          <w:sz w:val="28"/>
          <w:szCs w:val="28"/>
          <w:rtl/>
        </w:rPr>
        <w:t>وتشير هذه النتيجة إلى ارتفاع مستوى تعرض أفراد العينة لممارسات الاستدامة في المجال الإنشائي، مما يزيد من قدرتهم على فهم أبعاد الاستدامة البيئية والاقتصادية والاجتماعية وتقييم أثرها على أداء المشروعات. كما يعكس ارتفاع نسبة المشاركين ذوي الخبرة السابقة في المشروعات المستدامة ملاءمة أفراد العينة لتحقيق أهداف الدراسة</w:t>
      </w:r>
      <w:r w:rsidRPr="00445A5B">
        <w:rPr>
          <w:rFonts w:ascii="Traditional Arabic" w:eastAsia="Times New Roman" w:hAnsi="Traditional Arabic" w:cs="Traditional Arabic"/>
          <w:kern w:val="36"/>
          <w:sz w:val="28"/>
          <w:szCs w:val="28"/>
        </w:rPr>
        <w:t>.</w:t>
      </w:r>
    </w:p>
    <w:p w14:paraId="657DC13E" w14:textId="77777777" w:rsidR="000E666F" w:rsidRPr="00445A5B" w:rsidRDefault="000E666F" w:rsidP="000E666F">
      <w:pPr>
        <w:bidi/>
        <w:jc w:val="both"/>
        <w:rPr>
          <w:rFonts w:ascii="Traditional Arabic" w:eastAsia="Times New Roman" w:hAnsi="Traditional Arabic" w:cs="Traditional Arabic"/>
          <w:kern w:val="36"/>
          <w:sz w:val="28"/>
          <w:szCs w:val="28"/>
          <w:rtl/>
        </w:rPr>
      </w:pPr>
      <w:r w:rsidRPr="00445A5B">
        <w:rPr>
          <w:rFonts w:ascii="Traditional Arabic" w:hAnsi="Traditional Arabic" w:cs="Traditional Arabic"/>
          <w:noProof/>
          <w:sz w:val="28"/>
          <w:szCs w:val="28"/>
        </w:rPr>
        <w:lastRenderedPageBreak/>
        <w:drawing>
          <wp:inline distT="0" distB="0" distL="0" distR="0" wp14:anchorId="12F4C7A1" wp14:editId="539B22C9">
            <wp:extent cx="5124450" cy="311467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46B4E1A" w14:textId="77777777" w:rsidR="000E666F" w:rsidRPr="00445A5B" w:rsidRDefault="000E666F" w:rsidP="000E666F">
      <w:pPr>
        <w:bidi/>
        <w:jc w:val="center"/>
        <w:rPr>
          <w:rFonts w:ascii="Traditional Arabic" w:eastAsia="Times New Roman" w:hAnsi="Traditional Arabic" w:cs="Traditional Arabic"/>
          <w:kern w:val="36"/>
          <w:sz w:val="28"/>
          <w:szCs w:val="28"/>
        </w:rPr>
      </w:pPr>
      <w:r w:rsidRPr="00445A5B">
        <w:rPr>
          <w:rFonts w:ascii="Traditional Arabic" w:eastAsia="Times New Roman" w:hAnsi="Traditional Arabic" w:cs="Traditional Arabic"/>
          <w:kern w:val="36"/>
          <w:sz w:val="28"/>
          <w:szCs w:val="28"/>
          <w:rtl/>
        </w:rPr>
        <w:t>شكل (4.6)</w:t>
      </w:r>
    </w:p>
    <w:p w14:paraId="43A00879" w14:textId="77777777" w:rsidR="000E666F" w:rsidRPr="00445A5B" w:rsidRDefault="000E666F" w:rsidP="000E666F">
      <w:pPr>
        <w:bidi/>
        <w:jc w:val="both"/>
        <w:rPr>
          <w:rFonts w:ascii="Traditional Arabic" w:eastAsia="Times New Roman" w:hAnsi="Traditional Arabic" w:cs="Traditional Arabic"/>
          <w:b/>
          <w:bCs/>
          <w:kern w:val="36"/>
          <w:sz w:val="28"/>
          <w:szCs w:val="28"/>
          <w:rtl/>
        </w:rPr>
      </w:pPr>
    </w:p>
    <w:p w14:paraId="6D71D94E" w14:textId="2D1DE773" w:rsidR="000E666F" w:rsidRPr="00445A5B" w:rsidRDefault="00AD0092" w:rsidP="000E666F">
      <w:pPr>
        <w:bidi/>
        <w:jc w:val="both"/>
        <w:rPr>
          <w:rFonts w:ascii="Traditional Arabic" w:eastAsia="Times New Roman" w:hAnsi="Traditional Arabic" w:cs="Traditional Arabic"/>
          <w:b/>
          <w:bCs/>
          <w:kern w:val="36"/>
          <w:sz w:val="28"/>
          <w:szCs w:val="28"/>
        </w:rPr>
      </w:pPr>
      <w:r w:rsidRPr="00445A5B">
        <w:rPr>
          <w:rFonts w:ascii="Traditional Arabic" w:eastAsia="Times New Roman" w:hAnsi="Traditional Arabic" w:cs="Traditional Arabic"/>
          <w:b/>
          <w:bCs/>
          <w:kern w:val="36"/>
          <w:sz w:val="28"/>
          <w:szCs w:val="28"/>
          <w:rtl/>
        </w:rPr>
        <w:t>4-3</w:t>
      </w:r>
      <w:r w:rsidR="000E666F" w:rsidRPr="00445A5B">
        <w:rPr>
          <w:rFonts w:ascii="Traditional Arabic" w:eastAsia="Times New Roman" w:hAnsi="Traditional Arabic" w:cs="Traditional Arabic"/>
          <w:b/>
          <w:bCs/>
          <w:kern w:val="36"/>
          <w:sz w:val="28"/>
          <w:szCs w:val="28"/>
          <w:rtl/>
          <w:lang w:bidi="ar-EG"/>
        </w:rPr>
        <w:t xml:space="preserve"> </w:t>
      </w:r>
      <w:r w:rsidR="000E666F" w:rsidRPr="00445A5B">
        <w:rPr>
          <w:rFonts w:ascii="Traditional Arabic" w:eastAsia="Times New Roman" w:hAnsi="Traditional Arabic" w:cs="Traditional Arabic"/>
          <w:b/>
          <w:bCs/>
          <w:kern w:val="36"/>
          <w:sz w:val="28"/>
          <w:szCs w:val="28"/>
          <w:rtl/>
        </w:rPr>
        <w:t>الإحصاءات الوصفية لمتغيرات الدراسة</w:t>
      </w:r>
    </w:p>
    <w:p w14:paraId="43AA6CE3"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قبل عرض نتائج الإحصاءات الوصفية لمتغيرات الدراسة، تم اعتماد مقياس ليكرت الخماسي لتفسير المتوسطات الحسابية لاستجابات أفراد العينة. ولغرض توحيد تفسير النتائج، تم تقسيم مدى المقياس (1–5) إلى خمس فئات متساوية، بحيث يمكن الحكم على مستوى تحقق كل عبارة أو بُعد وفقًا للحدود الموضحة في الجدول (4.8).</w:t>
      </w:r>
    </w:p>
    <w:p w14:paraId="7C201B80"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جدول (4.8) مستويات تفسير المتوسطات الحسابية وفق مقياس ليكرت الخماسي</w:t>
      </w:r>
    </w:p>
    <w:tbl>
      <w:tblPr>
        <w:tblStyle w:val="TableGrid"/>
        <w:bidiVisual/>
        <w:tblW w:w="5000" w:type="pct"/>
        <w:jc w:val="center"/>
        <w:tblLook w:val="04A0" w:firstRow="1" w:lastRow="0" w:firstColumn="1" w:lastColumn="0" w:noHBand="0" w:noVBand="1"/>
      </w:tblPr>
      <w:tblGrid>
        <w:gridCol w:w="5275"/>
        <w:gridCol w:w="3021"/>
      </w:tblGrid>
      <w:tr w:rsidR="000E666F" w:rsidRPr="00445A5B" w14:paraId="626F722F" w14:textId="77777777" w:rsidTr="004F3CC9">
        <w:trPr>
          <w:jc w:val="center"/>
        </w:trPr>
        <w:tc>
          <w:tcPr>
            <w:tcW w:w="0" w:type="auto"/>
            <w:vAlign w:val="center"/>
            <w:hideMark/>
          </w:tcPr>
          <w:p w14:paraId="76CBF1F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المتوسط الحسابي</w:t>
            </w:r>
          </w:p>
        </w:tc>
        <w:tc>
          <w:tcPr>
            <w:tcW w:w="0" w:type="auto"/>
            <w:vAlign w:val="center"/>
            <w:hideMark/>
          </w:tcPr>
          <w:p w14:paraId="090D688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مستوى التحقق</w:t>
            </w:r>
          </w:p>
        </w:tc>
      </w:tr>
      <w:tr w:rsidR="000E666F" w:rsidRPr="00445A5B" w14:paraId="74B4FB46" w14:textId="77777777" w:rsidTr="004F3CC9">
        <w:trPr>
          <w:jc w:val="center"/>
        </w:trPr>
        <w:tc>
          <w:tcPr>
            <w:tcW w:w="0" w:type="auto"/>
            <w:vAlign w:val="center"/>
            <w:hideMark/>
          </w:tcPr>
          <w:p w14:paraId="687C53E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من 1.00 إلى أقل من 1.80</w:t>
            </w:r>
          </w:p>
        </w:tc>
        <w:tc>
          <w:tcPr>
            <w:tcW w:w="0" w:type="auto"/>
            <w:vAlign w:val="center"/>
            <w:hideMark/>
          </w:tcPr>
          <w:p w14:paraId="04ACD00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منخفض جدًا</w:t>
            </w:r>
          </w:p>
        </w:tc>
      </w:tr>
      <w:tr w:rsidR="000E666F" w:rsidRPr="00445A5B" w14:paraId="62373E3D" w14:textId="77777777" w:rsidTr="004F3CC9">
        <w:trPr>
          <w:jc w:val="center"/>
        </w:trPr>
        <w:tc>
          <w:tcPr>
            <w:tcW w:w="0" w:type="auto"/>
            <w:vAlign w:val="center"/>
            <w:hideMark/>
          </w:tcPr>
          <w:p w14:paraId="5E1893C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من 1.80 إلى أقل من 2.60</w:t>
            </w:r>
          </w:p>
        </w:tc>
        <w:tc>
          <w:tcPr>
            <w:tcW w:w="0" w:type="auto"/>
            <w:vAlign w:val="center"/>
            <w:hideMark/>
          </w:tcPr>
          <w:p w14:paraId="6FE93F8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منخفض</w:t>
            </w:r>
          </w:p>
        </w:tc>
      </w:tr>
      <w:tr w:rsidR="000E666F" w:rsidRPr="00445A5B" w14:paraId="0FA5A559" w14:textId="77777777" w:rsidTr="004F3CC9">
        <w:trPr>
          <w:jc w:val="center"/>
        </w:trPr>
        <w:tc>
          <w:tcPr>
            <w:tcW w:w="0" w:type="auto"/>
            <w:vAlign w:val="center"/>
            <w:hideMark/>
          </w:tcPr>
          <w:p w14:paraId="7C5B917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من 2.60 إلى أقل من 3.40</w:t>
            </w:r>
          </w:p>
        </w:tc>
        <w:tc>
          <w:tcPr>
            <w:tcW w:w="0" w:type="auto"/>
            <w:vAlign w:val="center"/>
            <w:hideMark/>
          </w:tcPr>
          <w:p w14:paraId="5FE92E6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متوسط</w:t>
            </w:r>
          </w:p>
        </w:tc>
      </w:tr>
      <w:tr w:rsidR="000E666F" w:rsidRPr="00445A5B" w14:paraId="5984D491" w14:textId="77777777" w:rsidTr="004F3CC9">
        <w:trPr>
          <w:jc w:val="center"/>
        </w:trPr>
        <w:tc>
          <w:tcPr>
            <w:tcW w:w="0" w:type="auto"/>
            <w:vAlign w:val="center"/>
            <w:hideMark/>
          </w:tcPr>
          <w:p w14:paraId="60C4F3D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من 3.40 إلى أقل من 4.20</w:t>
            </w:r>
          </w:p>
        </w:tc>
        <w:tc>
          <w:tcPr>
            <w:tcW w:w="0" w:type="auto"/>
            <w:vAlign w:val="center"/>
            <w:hideMark/>
          </w:tcPr>
          <w:p w14:paraId="7ECB54E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r>
      <w:tr w:rsidR="000E666F" w:rsidRPr="00445A5B" w14:paraId="5673DC57" w14:textId="77777777" w:rsidTr="004F3CC9">
        <w:trPr>
          <w:jc w:val="center"/>
        </w:trPr>
        <w:tc>
          <w:tcPr>
            <w:tcW w:w="0" w:type="auto"/>
            <w:vAlign w:val="center"/>
            <w:hideMark/>
          </w:tcPr>
          <w:p w14:paraId="57DBB6C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من 4.20 إلى 5.00</w:t>
            </w:r>
          </w:p>
        </w:tc>
        <w:tc>
          <w:tcPr>
            <w:tcW w:w="0" w:type="auto"/>
            <w:vAlign w:val="center"/>
            <w:hideMark/>
          </w:tcPr>
          <w:p w14:paraId="23001D6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مرتفع جدًا</w:t>
            </w:r>
          </w:p>
        </w:tc>
      </w:tr>
    </w:tbl>
    <w:p w14:paraId="35D8E819"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lastRenderedPageBreak/>
        <w:t>استنادًا إلى التصنيف السابق، تم تفسير المتوسطات الحسابية لجميع متغيرات الدراسة وأبعادها، حيث اعتمدت هذه الحدود في تحديد مستوى التحقق لكل عبارة ولكل بُعد، بما يضمن موضوعية تفسير النتائج واتساقها مع المنهجية الإحصائية المتبعة في الدراسة.</w:t>
      </w:r>
    </w:p>
    <w:p w14:paraId="5D4CCF89"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(4.9)</w:t>
      </w:r>
      <w:r w:rsidRPr="00445A5B">
        <w:rPr>
          <w:rFonts w:ascii="Traditional Arabic" w:eastAsia="Times New Roman" w:hAnsi="Traditional Arabic" w:cs="Traditional Arabic"/>
          <w:sz w:val="28"/>
          <w:szCs w:val="28"/>
          <w:rtl/>
        </w:rPr>
        <w:t>الإحصاءات الوصفية لعبارات الاستدامة البيئية</w:t>
      </w:r>
    </w:p>
    <w:tbl>
      <w:tblPr>
        <w:tblStyle w:val="TableGrid"/>
        <w:bidiVisual/>
        <w:tblW w:w="5000" w:type="pct"/>
        <w:jc w:val="center"/>
        <w:tblLook w:val="04A0" w:firstRow="1" w:lastRow="0" w:firstColumn="1" w:lastColumn="0" w:noHBand="0" w:noVBand="1"/>
      </w:tblPr>
      <w:tblGrid>
        <w:gridCol w:w="4292"/>
        <w:gridCol w:w="1146"/>
        <w:gridCol w:w="1171"/>
        <w:gridCol w:w="709"/>
        <w:gridCol w:w="978"/>
      </w:tblGrid>
      <w:tr w:rsidR="000E666F" w:rsidRPr="00445A5B" w14:paraId="1EE29B9C" w14:textId="77777777" w:rsidTr="004F3CC9">
        <w:trPr>
          <w:jc w:val="center"/>
        </w:trPr>
        <w:tc>
          <w:tcPr>
            <w:tcW w:w="0" w:type="auto"/>
            <w:hideMark/>
          </w:tcPr>
          <w:p w14:paraId="66C2AD6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العبارة</w:t>
            </w:r>
          </w:p>
        </w:tc>
        <w:tc>
          <w:tcPr>
            <w:tcW w:w="0" w:type="auto"/>
            <w:hideMark/>
          </w:tcPr>
          <w:p w14:paraId="55836B8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hideMark/>
          </w:tcPr>
          <w:p w14:paraId="2DC1512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hideMark/>
          </w:tcPr>
          <w:p w14:paraId="6C53B5C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hideMark/>
          </w:tcPr>
          <w:p w14:paraId="6270DD3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29C0D66D" w14:textId="77777777" w:rsidTr="004F3CC9">
        <w:trPr>
          <w:jc w:val="center"/>
        </w:trPr>
        <w:tc>
          <w:tcPr>
            <w:tcW w:w="0" w:type="auto"/>
            <w:hideMark/>
          </w:tcPr>
          <w:p w14:paraId="76787E5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تحرص الشركة على ترشيد استهلاك الطاقة في المشاريع الإنشائية من خلال استخدام تقنيات أو أنظمة موفرة للطاقة</w:t>
            </w:r>
            <w:r w:rsidRPr="00445A5B">
              <w:rPr>
                <w:rFonts w:ascii="Traditional Arabic" w:eastAsia="Times New Roman" w:hAnsi="Traditional Arabic" w:cs="Traditional Arabic"/>
                <w:sz w:val="28"/>
                <w:szCs w:val="28"/>
              </w:rPr>
              <w:t>.</w:t>
            </w:r>
          </w:p>
        </w:tc>
        <w:tc>
          <w:tcPr>
            <w:tcW w:w="0" w:type="auto"/>
            <w:hideMark/>
          </w:tcPr>
          <w:p w14:paraId="0793EB8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3.6456</w:t>
            </w:r>
          </w:p>
        </w:tc>
        <w:tc>
          <w:tcPr>
            <w:tcW w:w="0" w:type="auto"/>
            <w:hideMark/>
          </w:tcPr>
          <w:p w14:paraId="50BF9A1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1.0569</w:t>
            </w:r>
          </w:p>
        </w:tc>
        <w:tc>
          <w:tcPr>
            <w:tcW w:w="0" w:type="auto"/>
            <w:hideMark/>
          </w:tcPr>
          <w:p w14:paraId="618774D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hideMark/>
          </w:tcPr>
          <w:p w14:paraId="2499578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6E7F747C" w14:textId="77777777" w:rsidTr="004F3CC9">
        <w:trPr>
          <w:jc w:val="center"/>
        </w:trPr>
        <w:tc>
          <w:tcPr>
            <w:tcW w:w="0" w:type="auto"/>
            <w:hideMark/>
          </w:tcPr>
          <w:p w14:paraId="65EEE66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تطبيق ممارسات فعّالة لإدارة النفايات الإنشائية، بما في ذلك الفرز وإعادة الاستخدام أو التدوير</w:t>
            </w:r>
            <w:r w:rsidRPr="00445A5B">
              <w:rPr>
                <w:rFonts w:ascii="Traditional Arabic" w:eastAsia="Times New Roman" w:hAnsi="Traditional Arabic" w:cs="Traditional Arabic"/>
                <w:sz w:val="28"/>
                <w:szCs w:val="28"/>
              </w:rPr>
              <w:t>.</w:t>
            </w:r>
          </w:p>
        </w:tc>
        <w:tc>
          <w:tcPr>
            <w:tcW w:w="0" w:type="auto"/>
            <w:hideMark/>
          </w:tcPr>
          <w:p w14:paraId="19097F8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3.5860</w:t>
            </w:r>
          </w:p>
        </w:tc>
        <w:tc>
          <w:tcPr>
            <w:tcW w:w="0" w:type="auto"/>
            <w:hideMark/>
          </w:tcPr>
          <w:p w14:paraId="1C6DC81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1.0125</w:t>
            </w:r>
          </w:p>
        </w:tc>
        <w:tc>
          <w:tcPr>
            <w:tcW w:w="0" w:type="auto"/>
            <w:hideMark/>
          </w:tcPr>
          <w:p w14:paraId="3AA1EBB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hideMark/>
          </w:tcPr>
          <w:p w14:paraId="70DD227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2CF0F016" w14:textId="77777777" w:rsidTr="004F3CC9">
        <w:trPr>
          <w:jc w:val="center"/>
        </w:trPr>
        <w:tc>
          <w:tcPr>
            <w:tcW w:w="0" w:type="auto"/>
            <w:hideMark/>
          </w:tcPr>
          <w:p w14:paraId="2AA4A9A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تأخذ المشاريع الإنشائية في الاعتبار تقليل الانبعاثات البيئية الناتجة عن عمليات البناء</w:t>
            </w:r>
            <w:r w:rsidRPr="00445A5B">
              <w:rPr>
                <w:rFonts w:ascii="Traditional Arabic" w:eastAsia="Times New Roman" w:hAnsi="Traditional Arabic" w:cs="Traditional Arabic"/>
                <w:sz w:val="28"/>
                <w:szCs w:val="28"/>
              </w:rPr>
              <w:t>.</w:t>
            </w:r>
          </w:p>
        </w:tc>
        <w:tc>
          <w:tcPr>
            <w:tcW w:w="0" w:type="auto"/>
            <w:hideMark/>
          </w:tcPr>
          <w:p w14:paraId="0A0DB8E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3.5053</w:t>
            </w:r>
          </w:p>
        </w:tc>
        <w:tc>
          <w:tcPr>
            <w:tcW w:w="0" w:type="auto"/>
            <w:hideMark/>
          </w:tcPr>
          <w:p w14:paraId="4B7B16B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1.1153</w:t>
            </w:r>
          </w:p>
        </w:tc>
        <w:tc>
          <w:tcPr>
            <w:tcW w:w="0" w:type="auto"/>
            <w:hideMark/>
          </w:tcPr>
          <w:p w14:paraId="4C24199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w:t>
            </w:r>
          </w:p>
        </w:tc>
        <w:tc>
          <w:tcPr>
            <w:tcW w:w="0" w:type="auto"/>
            <w:hideMark/>
          </w:tcPr>
          <w:p w14:paraId="1FF59F6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1922A09E" w14:textId="77777777" w:rsidTr="004F3CC9">
        <w:trPr>
          <w:jc w:val="center"/>
        </w:trPr>
        <w:tc>
          <w:tcPr>
            <w:tcW w:w="0" w:type="auto"/>
            <w:hideMark/>
          </w:tcPr>
          <w:p w14:paraId="3237424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تعتمد الشركة، عند الإمكان، على استخدام مواد صديقة للبيئة أو منخفضة التأثير البيئي</w:t>
            </w:r>
            <w:r w:rsidRPr="00445A5B">
              <w:rPr>
                <w:rFonts w:ascii="Traditional Arabic" w:eastAsia="Times New Roman" w:hAnsi="Traditional Arabic" w:cs="Traditional Arabic"/>
                <w:sz w:val="28"/>
                <w:szCs w:val="28"/>
              </w:rPr>
              <w:t>.</w:t>
            </w:r>
          </w:p>
        </w:tc>
        <w:tc>
          <w:tcPr>
            <w:tcW w:w="0" w:type="auto"/>
            <w:hideMark/>
          </w:tcPr>
          <w:p w14:paraId="0CF65FC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3.6140</w:t>
            </w:r>
          </w:p>
        </w:tc>
        <w:tc>
          <w:tcPr>
            <w:tcW w:w="0" w:type="auto"/>
            <w:hideMark/>
          </w:tcPr>
          <w:p w14:paraId="62C63CA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1.0304</w:t>
            </w:r>
          </w:p>
        </w:tc>
        <w:tc>
          <w:tcPr>
            <w:tcW w:w="0" w:type="auto"/>
            <w:hideMark/>
          </w:tcPr>
          <w:p w14:paraId="6A118BD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hideMark/>
          </w:tcPr>
          <w:p w14:paraId="3E2E814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45B37246" w14:textId="77777777" w:rsidTr="004F3CC9">
        <w:trPr>
          <w:jc w:val="center"/>
        </w:trPr>
        <w:tc>
          <w:tcPr>
            <w:tcW w:w="0" w:type="auto"/>
            <w:hideMark/>
          </w:tcPr>
          <w:p w14:paraId="607891B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الالتزام باللوائح والاشتراطات البيئية المعتمدة من الجهات المختصة</w:t>
            </w:r>
            <w:r w:rsidRPr="00445A5B">
              <w:rPr>
                <w:rFonts w:ascii="Traditional Arabic" w:eastAsia="Times New Roman" w:hAnsi="Traditional Arabic" w:cs="Traditional Arabic"/>
                <w:sz w:val="28"/>
                <w:szCs w:val="28"/>
              </w:rPr>
              <w:t>.</w:t>
            </w:r>
          </w:p>
        </w:tc>
        <w:tc>
          <w:tcPr>
            <w:tcW w:w="0" w:type="auto"/>
            <w:hideMark/>
          </w:tcPr>
          <w:p w14:paraId="0C7BA5F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3.7825</w:t>
            </w:r>
          </w:p>
        </w:tc>
        <w:tc>
          <w:tcPr>
            <w:tcW w:w="0" w:type="auto"/>
            <w:hideMark/>
          </w:tcPr>
          <w:p w14:paraId="7E9A2E2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1.0389</w:t>
            </w:r>
          </w:p>
        </w:tc>
        <w:tc>
          <w:tcPr>
            <w:tcW w:w="0" w:type="auto"/>
            <w:hideMark/>
          </w:tcPr>
          <w:p w14:paraId="7BE93D9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hideMark/>
          </w:tcPr>
          <w:p w14:paraId="3DECEFA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bl>
    <w:p w14:paraId="1033CAA3" w14:textId="77777777" w:rsidR="000E666F" w:rsidRPr="00445A5B" w:rsidRDefault="000E666F" w:rsidP="000E666F">
      <w:pPr>
        <w:bidi/>
        <w:jc w:val="both"/>
        <w:rPr>
          <w:rFonts w:ascii="Traditional Arabic" w:eastAsia="Times New Roman" w:hAnsi="Traditional Arabic" w:cs="Traditional Arabic"/>
          <w:sz w:val="28"/>
          <w:szCs w:val="28"/>
          <w:highlight w:val="green"/>
          <w:rtl/>
        </w:rPr>
      </w:pP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highlight w:val="green"/>
          <w:rtl/>
        </w:rPr>
        <w:t>تكشف نتائج جدول (</w:t>
      </w:r>
      <w:r w:rsidRPr="00445A5B">
        <w:rPr>
          <w:rFonts w:ascii="Traditional Arabic" w:eastAsia="Times New Roman" w:hAnsi="Traditional Arabic" w:cs="Traditional Arabic"/>
          <w:sz w:val="28"/>
          <w:szCs w:val="28"/>
          <w:highlight w:val="green"/>
        </w:rPr>
        <w:t>4.9</w:t>
      </w:r>
      <w:r w:rsidRPr="00445A5B">
        <w:rPr>
          <w:rFonts w:ascii="Traditional Arabic" w:eastAsia="Times New Roman" w:hAnsi="Traditional Arabic" w:cs="Traditional Arabic"/>
          <w:sz w:val="28"/>
          <w:szCs w:val="28"/>
          <w:highlight w:val="green"/>
          <w:rtl/>
        </w:rPr>
        <w:t>) عن نمط مهم في تطبيق الاستدامة البيئية داخل المشاريع الإنشائية؛ إذ يبدو أن الممارسات البيئية المرتبطة بالامتثال المباشر للمتطلبات التنظيمية أكثر رسوخًا من الممارسات التي تتطلب تحولًا تقنيًا أو تشغيليًا أعمق. فقد حصل الالتزام باللوائح والاشتراطات البيئية على أعلى متوسط حسابي بلغ (3.7825)، وبمستوى تحقق مرتفع، في حين جاءت بقية الممارسات عند مستويات متوسطة، بما في ذلك ترشيد استهلاك الطاقة، وإدارة النفايات، واستخدام المواد منخفضة التأثير البيئي، والحد من الانبعاثات</w:t>
      </w:r>
      <w:r w:rsidRPr="00445A5B">
        <w:rPr>
          <w:rFonts w:ascii="Traditional Arabic" w:eastAsia="Times New Roman" w:hAnsi="Traditional Arabic" w:cs="Traditional Arabic"/>
          <w:sz w:val="28"/>
          <w:szCs w:val="28"/>
          <w:highlight w:val="green"/>
        </w:rPr>
        <w:t>.</w:t>
      </w:r>
    </w:p>
    <w:p w14:paraId="2DF19593" w14:textId="77777777" w:rsidR="000E666F" w:rsidRPr="00445A5B" w:rsidRDefault="000E666F" w:rsidP="000E666F">
      <w:pPr>
        <w:bidi/>
        <w:jc w:val="both"/>
        <w:rPr>
          <w:rFonts w:ascii="Traditional Arabic" w:eastAsia="Times New Roman" w:hAnsi="Traditional Arabic" w:cs="Traditional Arabic"/>
          <w:sz w:val="28"/>
          <w:szCs w:val="28"/>
          <w:highlight w:val="green"/>
          <w:rtl/>
        </w:rPr>
      </w:pPr>
      <w:r w:rsidRPr="00445A5B">
        <w:rPr>
          <w:rFonts w:ascii="Traditional Arabic" w:eastAsia="Times New Roman" w:hAnsi="Traditional Arabic" w:cs="Traditional Arabic"/>
          <w:sz w:val="28"/>
          <w:szCs w:val="28"/>
          <w:highlight w:val="green"/>
          <w:rtl/>
        </w:rPr>
        <w:t>ويشير هذا التباين إلى أن الاستدامة البيئية في المشاريع محل الدراسة تتخذ، بدرجة أكبر، طابعًا امتثاليًا وتنظيميًا، إذ تمثل اللوائح والاشتراطات البيئية إطارًا إلزاميًا يتعين على الشركات مراعاته أثناء تنفيذ المشاريع. أما الممارسات الأخرى فتتطلب في الغالب قرارات استثمارية وتغييرات في أساليب التنفيذ وتوافر تقنيات وخبرات متخصصة، ولذلك قد يكون تبنيها أكثر تفاوتًا بين الشركات والمشاريع</w:t>
      </w:r>
      <w:r w:rsidRPr="00445A5B">
        <w:rPr>
          <w:rFonts w:ascii="Traditional Arabic" w:eastAsia="Times New Roman" w:hAnsi="Traditional Arabic" w:cs="Traditional Arabic"/>
          <w:sz w:val="28"/>
          <w:szCs w:val="28"/>
          <w:highlight w:val="green"/>
        </w:rPr>
        <w:t>.</w:t>
      </w:r>
    </w:p>
    <w:p w14:paraId="2803F162" w14:textId="77777777" w:rsidR="000E666F" w:rsidRPr="00445A5B" w:rsidRDefault="000E666F" w:rsidP="000E666F">
      <w:pPr>
        <w:bidi/>
        <w:jc w:val="both"/>
        <w:rPr>
          <w:rFonts w:ascii="Traditional Arabic" w:eastAsia="Times New Roman" w:hAnsi="Traditional Arabic" w:cs="Traditional Arabic"/>
          <w:sz w:val="28"/>
          <w:szCs w:val="28"/>
          <w:highlight w:val="green"/>
          <w:rtl/>
        </w:rPr>
      </w:pPr>
      <w:r w:rsidRPr="00445A5B">
        <w:rPr>
          <w:rFonts w:ascii="Traditional Arabic" w:eastAsia="Times New Roman" w:hAnsi="Traditional Arabic" w:cs="Traditional Arabic"/>
          <w:sz w:val="28"/>
          <w:szCs w:val="28"/>
          <w:highlight w:val="green"/>
          <w:rtl/>
        </w:rPr>
        <w:lastRenderedPageBreak/>
        <w:t>وتبرز أهمية هذه النتيجة عند النظر إلى العبارة الخاصة بتقليل الانبعاثات البيئية، التي سجلت أدنى متوسط حسابي (3.5053) وأعلى تشتت نسبيًا بين استجابات أفراد العينة</w:t>
      </w:r>
      <w:r w:rsidRPr="00445A5B">
        <w:rPr>
          <w:rFonts w:ascii="Traditional Arabic" w:eastAsia="Times New Roman" w:hAnsi="Traditional Arabic" w:cs="Traditional Arabic"/>
          <w:sz w:val="28"/>
          <w:szCs w:val="28"/>
          <w:highlight w:val="green"/>
        </w:rPr>
        <w:t xml:space="preserve"> (SD = 1.1153). </w:t>
      </w:r>
      <w:r w:rsidRPr="00445A5B">
        <w:rPr>
          <w:rFonts w:ascii="Traditional Arabic" w:eastAsia="Times New Roman" w:hAnsi="Traditional Arabic" w:cs="Traditional Arabic"/>
          <w:sz w:val="28"/>
          <w:szCs w:val="28"/>
          <w:highlight w:val="green"/>
          <w:rtl/>
        </w:rPr>
        <w:t>ولا يعني ذلك غياب الاهتمام بالحد من الانبعاثات، وإنما يشير إلى أن هذا النوع من الممارسات قد يكون أكثر ارتباطًا بمدى توافر المعدات والتقنيات منخفضة الانبعاثات، وطبيعة المشروع، وإمكانات الشركة الفنية والمالية. كما أن اختلاف خصائص المشاريع الإنشائية قد يفسر التباين في مدى إمكانية تطبيق إجراءات موحدة للحد من الانبعاثات</w:t>
      </w:r>
      <w:r w:rsidRPr="00445A5B">
        <w:rPr>
          <w:rFonts w:ascii="Traditional Arabic" w:eastAsia="Times New Roman" w:hAnsi="Traditional Arabic" w:cs="Traditional Arabic"/>
          <w:sz w:val="28"/>
          <w:szCs w:val="28"/>
          <w:highlight w:val="green"/>
        </w:rPr>
        <w:t>.</w:t>
      </w:r>
    </w:p>
    <w:p w14:paraId="3A50134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وفي المقابل، فإن المتوسطات المتقاربة نسبيًا لممارسات ترشيد الطاقة وإدارة النفايات واستخدام المواد الصديقة للبيئة تشير إلى أن هذه الممارسات أصبحت حاضرة في الوعي المؤسسي، لكنها لم تصل بعد إلى مستوى التطبيق المرتفع الذي حققه الالتزام بالاشتراطات البيئية. ومن ثم، فإن النتيجة الأساسية لهذا البعد تتمثل في وجود فجوة بين الاعتراف بأهمية الاستدامة البيئية والانتقال إلى تطبيقات بيئية أكثر تقدمًا وابتكارًا. ويشير ذلك إلى أن تطوير الأداء البيئي في قطاع الإنشاءات يتطلب الانتقال من مجرد الامتثال للأنظمة إلى دمج الاعتبارات البيئية في قرارات التصميم والتنفيذ واختيار المواد والتقنيات المستخدمة في المشروع.</w:t>
      </w:r>
    </w:p>
    <w:p w14:paraId="2D010428"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(4.10)</w:t>
      </w:r>
      <w:r w:rsidRPr="00445A5B">
        <w:rPr>
          <w:rFonts w:ascii="Traditional Arabic" w:eastAsia="Times New Roman" w:hAnsi="Traditional Arabic" w:cs="Traditional Arabic"/>
          <w:sz w:val="28"/>
          <w:szCs w:val="28"/>
          <w:rtl/>
        </w:rPr>
        <w:t>الإحصاءات الوصفية لعبارات الاستدامة الاقتصادية</w:t>
      </w:r>
    </w:p>
    <w:tbl>
      <w:tblPr>
        <w:tblStyle w:val="TableGrid"/>
        <w:bidiVisual/>
        <w:tblW w:w="5000" w:type="pct"/>
        <w:jc w:val="center"/>
        <w:tblLook w:val="04A0" w:firstRow="1" w:lastRow="0" w:firstColumn="1" w:lastColumn="0" w:noHBand="0" w:noVBand="1"/>
      </w:tblPr>
      <w:tblGrid>
        <w:gridCol w:w="4133"/>
        <w:gridCol w:w="1190"/>
        <w:gridCol w:w="1220"/>
        <w:gridCol w:w="709"/>
        <w:gridCol w:w="1044"/>
      </w:tblGrid>
      <w:tr w:rsidR="000E666F" w:rsidRPr="00445A5B" w14:paraId="5A5C84E7" w14:textId="77777777" w:rsidTr="004F3CC9">
        <w:trPr>
          <w:jc w:val="center"/>
        </w:trPr>
        <w:tc>
          <w:tcPr>
            <w:tcW w:w="0" w:type="auto"/>
            <w:hideMark/>
          </w:tcPr>
          <w:p w14:paraId="1B09393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العبارة</w:t>
            </w:r>
          </w:p>
        </w:tc>
        <w:tc>
          <w:tcPr>
            <w:tcW w:w="0" w:type="auto"/>
            <w:hideMark/>
          </w:tcPr>
          <w:p w14:paraId="4BE3CB4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hideMark/>
          </w:tcPr>
          <w:p w14:paraId="7CFAC27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hideMark/>
          </w:tcPr>
          <w:p w14:paraId="3B02BD8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hideMark/>
          </w:tcPr>
          <w:p w14:paraId="732E82C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2B012EAD" w14:textId="77777777" w:rsidTr="004F3CC9">
        <w:trPr>
          <w:jc w:val="center"/>
        </w:trPr>
        <w:tc>
          <w:tcPr>
            <w:tcW w:w="0" w:type="auto"/>
            <w:hideMark/>
          </w:tcPr>
          <w:p w14:paraId="2A63862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تسهم ممارسات الاستدامة المطبقة في المشاريع في تقليل الهدر في المواد والموارد</w:t>
            </w:r>
            <w:r w:rsidRPr="00445A5B">
              <w:rPr>
                <w:rFonts w:ascii="Traditional Arabic" w:eastAsia="Times New Roman" w:hAnsi="Traditional Arabic" w:cs="Traditional Arabic"/>
                <w:sz w:val="28"/>
                <w:szCs w:val="28"/>
              </w:rPr>
              <w:t>.</w:t>
            </w:r>
          </w:p>
        </w:tc>
        <w:tc>
          <w:tcPr>
            <w:tcW w:w="0" w:type="auto"/>
            <w:hideMark/>
          </w:tcPr>
          <w:p w14:paraId="471D95A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3.8596</w:t>
            </w:r>
          </w:p>
        </w:tc>
        <w:tc>
          <w:tcPr>
            <w:tcW w:w="0" w:type="auto"/>
            <w:hideMark/>
          </w:tcPr>
          <w:p w14:paraId="5501FBB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0.9390</w:t>
            </w:r>
          </w:p>
        </w:tc>
        <w:tc>
          <w:tcPr>
            <w:tcW w:w="0" w:type="auto"/>
            <w:hideMark/>
          </w:tcPr>
          <w:p w14:paraId="48222DC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w:t>
            </w:r>
          </w:p>
        </w:tc>
        <w:tc>
          <w:tcPr>
            <w:tcW w:w="0" w:type="auto"/>
            <w:hideMark/>
          </w:tcPr>
          <w:p w14:paraId="624277F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33AE3BD0" w14:textId="77777777" w:rsidTr="004F3CC9">
        <w:trPr>
          <w:jc w:val="center"/>
        </w:trPr>
        <w:tc>
          <w:tcPr>
            <w:tcW w:w="0" w:type="auto"/>
            <w:hideMark/>
          </w:tcPr>
          <w:p w14:paraId="6768648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تحرص الشركة على تحقيق كفاءة عالية في استخدام الموارد بما ينعكس على خفض التكاليف</w:t>
            </w:r>
            <w:r w:rsidRPr="00445A5B">
              <w:rPr>
                <w:rFonts w:ascii="Traditional Arabic" w:eastAsia="Times New Roman" w:hAnsi="Traditional Arabic" w:cs="Traditional Arabic"/>
                <w:sz w:val="28"/>
                <w:szCs w:val="28"/>
              </w:rPr>
              <w:t>.</w:t>
            </w:r>
          </w:p>
        </w:tc>
        <w:tc>
          <w:tcPr>
            <w:tcW w:w="0" w:type="auto"/>
            <w:hideMark/>
          </w:tcPr>
          <w:p w14:paraId="2AE6A74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3.8035</w:t>
            </w:r>
          </w:p>
        </w:tc>
        <w:tc>
          <w:tcPr>
            <w:tcW w:w="0" w:type="auto"/>
            <w:hideMark/>
          </w:tcPr>
          <w:p w14:paraId="6DAB324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0.9804</w:t>
            </w:r>
          </w:p>
        </w:tc>
        <w:tc>
          <w:tcPr>
            <w:tcW w:w="0" w:type="auto"/>
            <w:hideMark/>
          </w:tcPr>
          <w:p w14:paraId="5BB449B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hideMark/>
          </w:tcPr>
          <w:p w14:paraId="2E7E05B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44D97A79" w14:textId="77777777" w:rsidTr="004F3CC9">
        <w:trPr>
          <w:jc w:val="center"/>
        </w:trPr>
        <w:tc>
          <w:tcPr>
            <w:tcW w:w="0" w:type="auto"/>
            <w:hideMark/>
          </w:tcPr>
          <w:p w14:paraId="3E39577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دمج اعتبارات الاستدامة ضمن التخطيط المالي للمشاريع منذ المراحل الأولى</w:t>
            </w:r>
            <w:r w:rsidRPr="00445A5B">
              <w:rPr>
                <w:rFonts w:ascii="Traditional Arabic" w:eastAsia="Times New Roman" w:hAnsi="Traditional Arabic" w:cs="Traditional Arabic"/>
                <w:sz w:val="28"/>
                <w:szCs w:val="28"/>
              </w:rPr>
              <w:t>.</w:t>
            </w:r>
          </w:p>
        </w:tc>
        <w:tc>
          <w:tcPr>
            <w:tcW w:w="0" w:type="auto"/>
            <w:hideMark/>
          </w:tcPr>
          <w:p w14:paraId="38DDD70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3.7088</w:t>
            </w:r>
          </w:p>
        </w:tc>
        <w:tc>
          <w:tcPr>
            <w:tcW w:w="0" w:type="auto"/>
            <w:hideMark/>
          </w:tcPr>
          <w:p w14:paraId="318E52F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0.9510</w:t>
            </w:r>
          </w:p>
        </w:tc>
        <w:tc>
          <w:tcPr>
            <w:tcW w:w="0" w:type="auto"/>
            <w:hideMark/>
          </w:tcPr>
          <w:p w14:paraId="3C110B5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hideMark/>
          </w:tcPr>
          <w:p w14:paraId="74ED0B5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1DAEBEC6" w14:textId="77777777" w:rsidTr="004F3CC9">
        <w:trPr>
          <w:jc w:val="center"/>
        </w:trPr>
        <w:tc>
          <w:tcPr>
            <w:tcW w:w="0" w:type="auto"/>
            <w:hideMark/>
          </w:tcPr>
          <w:p w14:paraId="663C5AA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تساعد ممارسات الاستدامة على تحسين العوائد الاقتصادية للمشاريع على المدى الطويل</w:t>
            </w:r>
            <w:r w:rsidRPr="00445A5B">
              <w:rPr>
                <w:rFonts w:ascii="Traditional Arabic" w:eastAsia="Times New Roman" w:hAnsi="Traditional Arabic" w:cs="Traditional Arabic"/>
                <w:sz w:val="28"/>
                <w:szCs w:val="28"/>
              </w:rPr>
              <w:t>.</w:t>
            </w:r>
          </w:p>
        </w:tc>
        <w:tc>
          <w:tcPr>
            <w:tcW w:w="0" w:type="auto"/>
            <w:hideMark/>
          </w:tcPr>
          <w:p w14:paraId="346FC68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3.9965</w:t>
            </w:r>
          </w:p>
        </w:tc>
        <w:tc>
          <w:tcPr>
            <w:tcW w:w="0" w:type="auto"/>
            <w:hideMark/>
          </w:tcPr>
          <w:p w14:paraId="3F20633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0.9401</w:t>
            </w:r>
          </w:p>
        </w:tc>
        <w:tc>
          <w:tcPr>
            <w:tcW w:w="0" w:type="auto"/>
            <w:hideMark/>
          </w:tcPr>
          <w:p w14:paraId="588C037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hideMark/>
          </w:tcPr>
          <w:p w14:paraId="0E6D99B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3FD11868" w14:textId="77777777" w:rsidTr="004F3CC9">
        <w:trPr>
          <w:jc w:val="center"/>
        </w:trPr>
        <w:tc>
          <w:tcPr>
            <w:tcW w:w="0" w:type="auto"/>
            <w:hideMark/>
          </w:tcPr>
          <w:p w14:paraId="53D97BB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تعتمد الشركة أساليب تنفيذ مستدامة تسهم في تقليل تكاليف التشغيل والصيانة</w:t>
            </w:r>
            <w:r w:rsidRPr="00445A5B">
              <w:rPr>
                <w:rFonts w:ascii="Traditional Arabic" w:eastAsia="Times New Roman" w:hAnsi="Traditional Arabic" w:cs="Traditional Arabic"/>
                <w:sz w:val="28"/>
                <w:szCs w:val="28"/>
              </w:rPr>
              <w:t>.</w:t>
            </w:r>
          </w:p>
        </w:tc>
        <w:tc>
          <w:tcPr>
            <w:tcW w:w="0" w:type="auto"/>
            <w:hideMark/>
          </w:tcPr>
          <w:p w14:paraId="596CB1E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3.7088</w:t>
            </w:r>
          </w:p>
        </w:tc>
        <w:tc>
          <w:tcPr>
            <w:tcW w:w="0" w:type="auto"/>
            <w:hideMark/>
          </w:tcPr>
          <w:p w14:paraId="39F236F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0.9510</w:t>
            </w:r>
          </w:p>
        </w:tc>
        <w:tc>
          <w:tcPr>
            <w:tcW w:w="0" w:type="auto"/>
            <w:hideMark/>
          </w:tcPr>
          <w:p w14:paraId="1C32D30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hideMark/>
          </w:tcPr>
          <w:p w14:paraId="64D7A49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bl>
    <w:p w14:paraId="53A21D6E"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highlight w:val="green"/>
          <w:rtl/>
        </w:rPr>
        <w:t>توضح نتائج جدول (</w:t>
      </w:r>
      <w:r w:rsidRPr="00445A5B">
        <w:rPr>
          <w:rFonts w:ascii="Traditional Arabic" w:eastAsia="Times New Roman" w:hAnsi="Traditional Arabic" w:cs="Traditional Arabic"/>
          <w:sz w:val="28"/>
          <w:szCs w:val="28"/>
          <w:highlight w:val="green"/>
        </w:rPr>
        <w:t>4.10</w:t>
      </w:r>
      <w:r w:rsidRPr="00445A5B">
        <w:rPr>
          <w:rFonts w:ascii="Traditional Arabic" w:eastAsia="Times New Roman" w:hAnsi="Traditional Arabic" w:cs="Traditional Arabic"/>
          <w:sz w:val="28"/>
          <w:szCs w:val="28"/>
          <w:highlight w:val="green"/>
          <w:rtl/>
        </w:rPr>
        <w:t xml:space="preserve">) أن البعد الاقتصادي يمثل أحد أكثر أبعاد الاستدامة حضورًا في الممارسة الفعلية داخل المشاريع الإنشائية، حيث جاءت جميع العبارات عند مستوى تحقق مرتفع. وتكتسب هذه النتيجة دلالة خاصة في ضوء طبيعة القطاع، إذ ترتبط المشاريع الإنشائية عادةً بميزانيات كبيرة، واستهلاك كثيف للمواد والموارد، وتعدد الأطراف المتعاقدة، </w:t>
      </w:r>
      <w:r w:rsidRPr="00445A5B">
        <w:rPr>
          <w:rFonts w:ascii="Traditional Arabic" w:eastAsia="Times New Roman" w:hAnsi="Traditional Arabic" w:cs="Traditional Arabic"/>
          <w:sz w:val="28"/>
          <w:szCs w:val="28"/>
          <w:highlight w:val="green"/>
          <w:rtl/>
        </w:rPr>
        <w:lastRenderedPageBreak/>
        <w:t>الأمر الذي يجعل القرارات المتعلقة بالكفاءة الاقتصادية جزءًا من الإدارة اليومية للمشروع وليس مجرد هدف استراتيجي طويل الأجل</w:t>
      </w:r>
      <w:r w:rsidRPr="00445A5B">
        <w:rPr>
          <w:rFonts w:ascii="Traditional Arabic" w:eastAsia="Times New Roman" w:hAnsi="Traditional Arabic" w:cs="Traditional Arabic"/>
          <w:sz w:val="28"/>
          <w:szCs w:val="28"/>
          <w:highlight w:val="green"/>
        </w:rPr>
        <w:t>.</w:t>
      </w:r>
    </w:p>
    <w:p w14:paraId="0D4FE206"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وقد سجلت العبارة المتعلقة بتحسين العوائد الاقتصادية للمشروعات على المدى الطويل أعلى متوسط حسابي (3.9965). وتوحي هذه النتيجة بأن أفراد العينة لا ينظرون إلى الاستدامة الاقتصادية باعتبارها مجرد وسيلة لخفض النفقات الحالية، بل يدركون ارتباطها بالقيمة الاقتصادية المستمرة للمشروع. ويشمل ذلك، وفقًا لمضمون عبارات البعد، تقليل الهدر، وتحسين استخدام الموارد، وتحقيق كفاءة أعلى في التشغيل والصيانة، وهي ممارسات يمكن أن ترفع القيمة الاقتصادية للمشروع عبر دورة حياته</w:t>
      </w:r>
      <w:r w:rsidRPr="00445A5B">
        <w:rPr>
          <w:rFonts w:ascii="Traditional Arabic" w:eastAsia="Times New Roman" w:hAnsi="Traditional Arabic" w:cs="Traditional Arabic"/>
          <w:sz w:val="28"/>
          <w:szCs w:val="28"/>
          <w:highlight w:val="green"/>
        </w:rPr>
        <w:t>.</w:t>
      </w:r>
    </w:p>
    <w:p w14:paraId="4C9ECA95"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أن ارتفاع متوسط العبارة الخاصة بتقليل الهدر في المواد والموارد (3.8596) يؤكد أن الجانب الاقتصادي للاستدامة يرتبط بصورة مباشرة بالعمليات التنفيذية اليومية. فالهدر في قطاع الإنشاءات لا يمثل خسارة مادية فحسب، بل قد يؤدي أيضًا إلى زيادة الحاجة إلى التوريد، وتعطيل سير العمل، وارتفاع تكاليف النقل والتخزين وإعادة التنفيذ. ولذلك، فإن تحسين كفاءة استخدام الموارد يمكن أن يحقق في الوقت نفسه مكاسب اقتصادية وتشغيلية</w:t>
      </w:r>
      <w:r w:rsidRPr="00445A5B">
        <w:rPr>
          <w:rFonts w:ascii="Traditional Arabic" w:eastAsia="Times New Roman" w:hAnsi="Traditional Arabic" w:cs="Traditional Arabic"/>
          <w:sz w:val="28"/>
          <w:szCs w:val="28"/>
          <w:highlight w:val="green"/>
        </w:rPr>
        <w:t>.</w:t>
      </w:r>
    </w:p>
    <w:p w14:paraId="02CE9E22"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أما حصول دمج اعتبارات الاستدامة في التخطيط المالي، وتقليل تكاليف التشغيل والصيانة، على أدنى متوسطين متساويين (3.7088)، فيشير إلى أن الاستدامة الاقتصادية قد تكون أكثر وضوحًا في قرارات استخدام الموارد أثناء التنفيذ منها في التخطيط المالي طويل الأجل أو في تقييم دورة حياة المشروع. وقد يعكس ذلك تركيز إدارة المشاريع على التكاليف المباشرة والنتائج التشغيلية الحالية، بينما تتطلب المنافع المرتبطة بالتشغيل والصيانة منظورًا زمنيًا أطول وتنسيقًا أكبر بين مراحل التصميم والتنفيذ والتشغيل</w:t>
      </w:r>
      <w:r w:rsidRPr="00445A5B">
        <w:rPr>
          <w:rFonts w:ascii="Traditional Arabic" w:eastAsia="Times New Roman" w:hAnsi="Traditional Arabic" w:cs="Traditional Arabic"/>
          <w:sz w:val="28"/>
          <w:szCs w:val="28"/>
          <w:highlight w:val="green"/>
        </w:rPr>
        <w:t>.</w:t>
      </w:r>
    </w:p>
    <w:p w14:paraId="4B953653"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وبناءً عليه، تشير النتائج إلى أن البعد الاقتصادي يمثل المجال الأكثر قابلية للترجمة إلى قرارات إدارية ملموسة داخل المشروع، إلا أن تعظيم أثره يتطلب توسيع مفهوم الكفاءة الاقتصادية من مجرد خفض الهدر والتكاليف المباشرة إلى التخطيط المبكر لتكاليف دورة حياة المشروع، بحيث تصبح الاستدامة جزءًا من القرار المالي منذ مرحلة التخطيط والتصميم، وليس فقط أداة لتحسين الأداء أثناء التنفيذ</w:t>
      </w:r>
      <w:r w:rsidRPr="00445A5B">
        <w:rPr>
          <w:rFonts w:ascii="Traditional Arabic" w:eastAsia="Times New Roman" w:hAnsi="Traditional Arabic" w:cs="Traditional Arabic"/>
          <w:sz w:val="28"/>
          <w:szCs w:val="28"/>
          <w:highlight w:val="green"/>
        </w:rPr>
        <w:t>.</w:t>
      </w:r>
    </w:p>
    <w:p w14:paraId="3651DBEE"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(4.11)</w:t>
      </w:r>
      <w:r w:rsidRPr="00445A5B">
        <w:rPr>
          <w:rFonts w:ascii="Traditional Arabic" w:eastAsia="Times New Roman" w:hAnsi="Traditional Arabic" w:cs="Traditional Arabic"/>
          <w:sz w:val="28"/>
          <w:szCs w:val="28"/>
          <w:rtl/>
        </w:rPr>
        <w:t>الإحصاءات الوصفية لعبارات الاستدامة الاجتماعية</w:t>
      </w:r>
    </w:p>
    <w:tbl>
      <w:tblPr>
        <w:tblStyle w:val="TableGrid"/>
        <w:bidiVisual/>
        <w:tblW w:w="5000" w:type="pct"/>
        <w:jc w:val="center"/>
        <w:tblLook w:val="04A0" w:firstRow="1" w:lastRow="0" w:firstColumn="1" w:lastColumn="0" w:noHBand="0" w:noVBand="1"/>
      </w:tblPr>
      <w:tblGrid>
        <w:gridCol w:w="4032"/>
        <w:gridCol w:w="1217"/>
        <w:gridCol w:w="1252"/>
        <w:gridCol w:w="709"/>
        <w:gridCol w:w="1086"/>
      </w:tblGrid>
      <w:tr w:rsidR="000E666F" w:rsidRPr="00445A5B" w14:paraId="6328C3A9" w14:textId="77777777" w:rsidTr="004F3CC9">
        <w:trPr>
          <w:jc w:val="center"/>
        </w:trPr>
        <w:tc>
          <w:tcPr>
            <w:tcW w:w="0" w:type="auto"/>
            <w:hideMark/>
          </w:tcPr>
          <w:p w14:paraId="7D6F18C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العبارة</w:t>
            </w:r>
          </w:p>
        </w:tc>
        <w:tc>
          <w:tcPr>
            <w:tcW w:w="0" w:type="auto"/>
            <w:hideMark/>
          </w:tcPr>
          <w:p w14:paraId="2A16193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hideMark/>
          </w:tcPr>
          <w:p w14:paraId="2CD1BF6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hideMark/>
          </w:tcPr>
          <w:p w14:paraId="05A982C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hideMark/>
          </w:tcPr>
          <w:p w14:paraId="530ADF6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2656C11E" w14:textId="77777777" w:rsidTr="004F3CC9">
        <w:trPr>
          <w:jc w:val="center"/>
        </w:trPr>
        <w:tc>
          <w:tcPr>
            <w:tcW w:w="0" w:type="auto"/>
            <w:hideMark/>
          </w:tcPr>
          <w:p w14:paraId="2DE71D6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توفر الشركة بيئة عمل آمنة وصحية للعاملين في المشاريع الإنشائية</w:t>
            </w:r>
            <w:r w:rsidRPr="00445A5B">
              <w:rPr>
                <w:rFonts w:ascii="Traditional Arabic" w:eastAsia="Times New Roman" w:hAnsi="Traditional Arabic" w:cs="Traditional Arabic"/>
                <w:sz w:val="28"/>
                <w:szCs w:val="28"/>
              </w:rPr>
              <w:t>.</w:t>
            </w:r>
          </w:p>
        </w:tc>
        <w:tc>
          <w:tcPr>
            <w:tcW w:w="0" w:type="auto"/>
            <w:hideMark/>
          </w:tcPr>
          <w:p w14:paraId="1660180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3.7368</w:t>
            </w:r>
          </w:p>
        </w:tc>
        <w:tc>
          <w:tcPr>
            <w:tcW w:w="0" w:type="auto"/>
            <w:hideMark/>
          </w:tcPr>
          <w:p w14:paraId="7F86273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0.9555</w:t>
            </w:r>
          </w:p>
        </w:tc>
        <w:tc>
          <w:tcPr>
            <w:tcW w:w="0" w:type="auto"/>
            <w:hideMark/>
          </w:tcPr>
          <w:p w14:paraId="589C74E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hideMark/>
          </w:tcPr>
          <w:p w14:paraId="053D93A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13779E5E" w14:textId="77777777" w:rsidTr="004F3CC9">
        <w:trPr>
          <w:jc w:val="center"/>
        </w:trPr>
        <w:tc>
          <w:tcPr>
            <w:tcW w:w="0" w:type="auto"/>
            <w:hideMark/>
          </w:tcPr>
          <w:p w14:paraId="693B660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تحرص إدارة المشروع على الالتزام بمعايير السلامة المهنية وحماية العاملين</w:t>
            </w:r>
            <w:r w:rsidRPr="00445A5B">
              <w:rPr>
                <w:rFonts w:ascii="Traditional Arabic" w:eastAsia="Times New Roman" w:hAnsi="Traditional Arabic" w:cs="Traditional Arabic"/>
                <w:sz w:val="28"/>
                <w:szCs w:val="28"/>
              </w:rPr>
              <w:t>.</w:t>
            </w:r>
          </w:p>
        </w:tc>
        <w:tc>
          <w:tcPr>
            <w:tcW w:w="0" w:type="auto"/>
            <w:hideMark/>
          </w:tcPr>
          <w:p w14:paraId="26C5007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3.9649</w:t>
            </w:r>
          </w:p>
        </w:tc>
        <w:tc>
          <w:tcPr>
            <w:tcW w:w="0" w:type="auto"/>
            <w:hideMark/>
          </w:tcPr>
          <w:p w14:paraId="6EB0AA3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0.8042</w:t>
            </w:r>
          </w:p>
        </w:tc>
        <w:tc>
          <w:tcPr>
            <w:tcW w:w="0" w:type="auto"/>
            <w:hideMark/>
          </w:tcPr>
          <w:p w14:paraId="0A7F65B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hideMark/>
          </w:tcPr>
          <w:p w14:paraId="546DCDA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69829DED" w14:textId="77777777" w:rsidTr="004F3CC9">
        <w:trPr>
          <w:jc w:val="center"/>
        </w:trPr>
        <w:tc>
          <w:tcPr>
            <w:tcW w:w="0" w:type="auto"/>
            <w:hideMark/>
          </w:tcPr>
          <w:p w14:paraId="6F034B0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lastRenderedPageBreak/>
              <w:t>تهتم الشركة براحة العاملين وتعزيز رضاهم الوظيفي أثناء تنفيذ المشاريع</w:t>
            </w:r>
            <w:r w:rsidRPr="00445A5B">
              <w:rPr>
                <w:rFonts w:ascii="Traditional Arabic" w:eastAsia="Times New Roman" w:hAnsi="Traditional Arabic" w:cs="Traditional Arabic"/>
                <w:sz w:val="28"/>
                <w:szCs w:val="28"/>
              </w:rPr>
              <w:t>.</w:t>
            </w:r>
          </w:p>
        </w:tc>
        <w:tc>
          <w:tcPr>
            <w:tcW w:w="0" w:type="auto"/>
            <w:hideMark/>
          </w:tcPr>
          <w:p w14:paraId="6C62EF7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3.6737</w:t>
            </w:r>
          </w:p>
        </w:tc>
        <w:tc>
          <w:tcPr>
            <w:tcW w:w="0" w:type="auto"/>
            <w:hideMark/>
          </w:tcPr>
          <w:p w14:paraId="2A89757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0.9580</w:t>
            </w:r>
          </w:p>
        </w:tc>
        <w:tc>
          <w:tcPr>
            <w:tcW w:w="0" w:type="auto"/>
            <w:hideMark/>
          </w:tcPr>
          <w:p w14:paraId="766CD40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hideMark/>
          </w:tcPr>
          <w:p w14:paraId="480E593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450BC93E" w14:textId="77777777" w:rsidTr="004F3CC9">
        <w:trPr>
          <w:jc w:val="center"/>
        </w:trPr>
        <w:tc>
          <w:tcPr>
            <w:tcW w:w="0" w:type="auto"/>
            <w:hideMark/>
          </w:tcPr>
          <w:p w14:paraId="52F1775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تراعي المشاريع الإنشائية الجوانب الاجتماعية للمجتمع المحلي المحيط بالمشروع</w:t>
            </w:r>
            <w:r w:rsidRPr="00445A5B">
              <w:rPr>
                <w:rFonts w:ascii="Traditional Arabic" w:eastAsia="Times New Roman" w:hAnsi="Traditional Arabic" w:cs="Traditional Arabic"/>
                <w:sz w:val="28"/>
                <w:szCs w:val="28"/>
              </w:rPr>
              <w:t>.</w:t>
            </w:r>
          </w:p>
        </w:tc>
        <w:tc>
          <w:tcPr>
            <w:tcW w:w="0" w:type="auto"/>
            <w:hideMark/>
          </w:tcPr>
          <w:p w14:paraId="147C5A8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3.7088</w:t>
            </w:r>
          </w:p>
        </w:tc>
        <w:tc>
          <w:tcPr>
            <w:tcW w:w="0" w:type="auto"/>
            <w:hideMark/>
          </w:tcPr>
          <w:p w14:paraId="01AA255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0.9510</w:t>
            </w:r>
          </w:p>
        </w:tc>
        <w:tc>
          <w:tcPr>
            <w:tcW w:w="0" w:type="auto"/>
            <w:hideMark/>
          </w:tcPr>
          <w:p w14:paraId="77685AB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hideMark/>
          </w:tcPr>
          <w:p w14:paraId="796C267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4E794F9E" w14:textId="77777777" w:rsidTr="004F3CC9">
        <w:trPr>
          <w:jc w:val="center"/>
        </w:trPr>
        <w:tc>
          <w:tcPr>
            <w:tcW w:w="0" w:type="auto"/>
            <w:hideMark/>
          </w:tcPr>
          <w:p w14:paraId="703423A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تلتزم الشركة بمبادئ العدالة والمساواة في التعامل مع العاملين وأصحاب المصلحة</w:t>
            </w:r>
            <w:r w:rsidRPr="00445A5B">
              <w:rPr>
                <w:rFonts w:ascii="Traditional Arabic" w:eastAsia="Times New Roman" w:hAnsi="Traditional Arabic" w:cs="Traditional Arabic"/>
                <w:sz w:val="28"/>
                <w:szCs w:val="28"/>
              </w:rPr>
              <w:t>.</w:t>
            </w:r>
          </w:p>
        </w:tc>
        <w:tc>
          <w:tcPr>
            <w:tcW w:w="0" w:type="auto"/>
            <w:hideMark/>
          </w:tcPr>
          <w:p w14:paraId="1B49304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3.6842</w:t>
            </w:r>
          </w:p>
        </w:tc>
        <w:tc>
          <w:tcPr>
            <w:tcW w:w="0" w:type="auto"/>
            <w:hideMark/>
          </w:tcPr>
          <w:p w14:paraId="61CE405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1.0575</w:t>
            </w:r>
          </w:p>
        </w:tc>
        <w:tc>
          <w:tcPr>
            <w:tcW w:w="0" w:type="auto"/>
            <w:hideMark/>
          </w:tcPr>
          <w:p w14:paraId="4087A2B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hideMark/>
          </w:tcPr>
          <w:p w14:paraId="2E7B625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bl>
    <w:p w14:paraId="1EF04554"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highlight w:val="green"/>
          <w:rtl/>
        </w:rPr>
        <w:t>تظهر نتائج جدول (</w:t>
      </w:r>
      <w:r w:rsidRPr="00445A5B">
        <w:rPr>
          <w:rFonts w:ascii="Traditional Arabic" w:eastAsia="Times New Roman" w:hAnsi="Traditional Arabic" w:cs="Traditional Arabic"/>
          <w:sz w:val="28"/>
          <w:szCs w:val="28"/>
          <w:highlight w:val="green"/>
        </w:rPr>
        <w:t>4.11</w:t>
      </w:r>
      <w:r w:rsidRPr="00445A5B">
        <w:rPr>
          <w:rFonts w:ascii="Traditional Arabic" w:eastAsia="Times New Roman" w:hAnsi="Traditional Arabic" w:cs="Traditional Arabic"/>
          <w:sz w:val="28"/>
          <w:szCs w:val="28"/>
          <w:highlight w:val="green"/>
          <w:rtl/>
        </w:rPr>
        <w:t>) أن الاستدامة الاجتماعية تحظى بمستوى مرتفع من التطبيق، إلا أن توزيع المتوسطات يكشف عن أولوية واضحة للجوانب المرتبطة بحماية العاملين وإدارة المخاطر المهنية مقارنة بالجوانب المرتبطة بالرفاه الوظيفي والعلاقات الأوسع مع أصحاب المصلحة. ويبدو هذا النمط متسقًا مع طبيعة بيئة العمل الإنشائية التي تتسم بارتفاع المخاطر المهنية وتعدد مواقع العمل وتنوع المهن والعمالة المشاركة في المشروع</w:t>
      </w:r>
      <w:r w:rsidRPr="00445A5B">
        <w:rPr>
          <w:rFonts w:ascii="Traditional Arabic" w:eastAsia="Times New Roman" w:hAnsi="Traditional Arabic" w:cs="Traditional Arabic"/>
          <w:sz w:val="28"/>
          <w:szCs w:val="28"/>
          <w:highlight w:val="green"/>
        </w:rPr>
        <w:t>.</w:t>
      </w:r>
    </w:p>
    <w:p w14:paraId="02A074B2"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وقد جاءت الالتزام بمعايير السلامة المهنية وحماية العاملين في المرتبة الأولى بمتوسط (3.9649)، وبأقل انحراف معياري بين عبارات البعد (0.8042)، وهو ما يشير إلى درجة أكبر من الاتفاق بين أفراد العينة بشأن حضور هذا النوع من الممارسات. ويمكن فهم ذلك في ضوء أن السلامة المهنية تمثل عنصرًا حاسمًا لاستمرارية العمل، كما أن الإخفاق فيها قد يؤدي إلى إصابات وحوادث وتعطيل للمشروع وتكاليف مباشرة وغير مباشرة. لذلك، فإن السلامة لا تظهر هنا بوصفها جانبًا اجتماعيًا فقط، بل بوصفها أيضًا مكونًا من مكونات إدارة المخاطر التشغيلية</w:t>
      </w:r>
      <w:r w:rsidRPr="00445A5B">
        <w:rPr>
          <w:rFonts w:ascii="Traditional Arabic" w:eastAsia="Times New Roman" w:hAnsi="Traditional Arabic" w:cs="Traditional Arabic"/>
          <w:sz w:val="28"/>
          <w:szCs w:val="28"/>
          <w:highlight w:val="green"/>
        </w:rPr>
        <w:t>.</w:t>
      </w:r>
    </w:p>
    <w:p w14:paraId="60A98796"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في المقابل، جاءت العبارة المتعلقة براحة العاملين وتعزيز رضاهم الوظيفي بمتوسط (3.6737)، وهي الأدنى بين عبارات البعد وفقًا للقيم المعروضة. ويشير ذلك إلى احتمال وجود تفاوت بين تبني الإجراءات الضرورية لحماية العاملين وبين تطوير سياسات أوسع تستهدف رفاههم وتحسين تجربتهم المهنية. فبيئة المشاريع الإنشائية غالبًا ما تفرض ضغوطًا مرتبطة بالوقت، والعمل الميداني، وتغير ظروف التنفيذ، مما قد يجعل الاهتمام الإداري يتركز على إنجاز الأعمال والامتثال لمتطلبات السلامة أكثر من تركيزه على برامج الرفاه والتحفيز</w:t>
      </w:r>
      <w:r w:rsidRPr="00445A5B">
        <w:rPr>
          <w:rFonts w:ascii="Traditional Arabic" w:eastAsia="Times New Roman" w:hAnsi="Traditional Arabic" w:cs="Traditional Arabic"/>
          <w:sz w:val="28"/>
          <w:szCs w:val="28"/>
          <w:highlight w:val="green"/>
        </w:rPr>
        <w:t>.</w:t>
      </w:r>
    </w:p>
    <w:p w14:paraId="62C364CD"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أن التزام الشركة بمبادئ العدالة والمساواة سجل متوسطًا قدره (3.6842) مع أعلى انحراف معياري نسبيًا (1.0575)، وهو ما قد يعكس اختلافًا أكبر في إدراك المشاركين لهذه الممارسات بين الشركات أو المشاريع المختلفة. وقد يرتبط هذا التباين بتنوع القوى العاملة، وتعدد مستويات التعاقد، واختلاف نظم إدارة الموارد البشرية بين المؤسسات</w:t>
      </w:r>
      <w:r w:rsidRPr="00445A5B">
        <w:rPr>
          <w:rFonts w:ascii="Traditional Arabic" w:eastAsia="Times New Roman" w:hAnsi="Traditional Arabic" w:cs="Traditional Arabic"/>
          <w:sz w:val="28"/>
          <w:szCs w:val="28"/>
          <w:highlight w:val="green"/>
        </w:rPr>
        <w:t>.</w:t>
      </w:r>
    </w:p>
    <w:p w14:paraId="7CFEFF1C"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وتشير النتائج، في مجملها، إلى أن الاستدامة الاجتماعية في المشاريع الإنشائية تقوم بصورة أساسية على إدارة السلامة وحماية العاملين، بينما لا تزال هناك مساحة لتوسيعها لتشمل بصورة أكثر انتظامًا رضا العاملين، والعدالة التنظيمية، والاهتمام بالمجتمع المحلي وأصحاب المصلحة. ومن ثم، فإن تطوير هذا البعد لا يتطلب فقط الحفاظ على مستوى السلامة المهنية، بل الانتقال إلى تصور أكثر شمولًا للاستدامة الاجتماعية يربط بين سلامة العاملين، ورفاههم، وعدالة التعامل معهم، وتأثير المشروع في محيطه الاجتماعي</w:t>
      </w:r>
      <w:r w:rsidRPr="00445A5B">
        <w:rPr>
          <w:rFonts w:ascii="Traditional Arabic" w:eastAsia="Times New Roman" w:hAnsi="Traditional Arabic" w:cs="Traditional Arabic"/>
          <w:sz w:val="28"/>
          <w:szCs w:val="28"/>
          <w:highlight w:val="green"/>
        </w:rPr>
        <w:t>.</w:t>
      </w:r>
    </w:p>
    <w:p w14:paraId="5D8DD1ED" w14:textId="4E405C6B" w:rsidR="000E666F" w:rsidRPr="00445A5B" w:rsidRDefault="00AD0092" w:rsidP="000E666F">
      <w:pPr>
        <w:bidi/>
        <w:jc w:val="both"/>
        <w:rPr>
          <w:rFonts w:ascii="Traditional Arabic" w:eastAsia="Times New Roman" w:hAnsi="Traditional Arabic" w:cs="Traditional Arabic"/>
          <w:b/>
          <w:bCs/>
          <w:kern w:val="36"/>
          <w:sz w:val="28"/>
          <w:szCs w:val="28"/>
        </w:rPr>
      </w:pPr>
      <w:r w:rsidRPr="00445A5B">
        <w:rPr>
          <w:rFonts w:ascii="Traditional Arabic" w:eastAsia="Times New Roman" w:hAnsi="Traditional Arabic" w:cs="Traditional Arabic"/>
          <w:b/>
          <w:bCs/>
          <w:kern w:val="36"/>
          <w:sz w:val="28"/>
          <w:szCs w:val="28"/>
          <w:rtl/>
          <w:lang w:bidi="ar-EG"/>
        </w:rPr>
        <w:lastRenderedPageBreak/>
        <w:t xml:space="preserve">4-4 </w:t>
      </w:r>
      <w:r w:rsidR="000E666F" w:rsidRPr="00445A5B">
        <w:rPr>
          <w:rFonts w:ascii="Traditional Arabic" w:eastAsia="Times New Roman" w:hAnsi="Traditional Arabic" w:cs="Traditional Arabic"/>
          <w:b/>
          <w:bCs/>
          <w:kern w:val="36"/>
          <w:sz w:val="28"/>
          <w:szCs w:val="28"/>
          <w:rtl/>
          <w:lang w:bidi="ar-EG"/>
        </w:rPr>
        <w:t>الاحصائات الوصفية ل</w:t>
      </w:r>
      <w:r w:rsidR="000E666F" w:rsidRPr="00445A5B">
        <w:rPr>
          <w:rFonts w:ascii="Traditional Arabic" w:eastAsia="Times New Roman" w:hAnsi="Traditional Arabic" w:cs="Traditional Arabic"/>
          <w:b/>
          <w:bCs/>
          <w:kern w:val="36"/>
          <w:sz w:val="28"/>
          <w:szCs w:val="28"/>
          <w:rtl/>
        </w:rPr>
        <w:t>أداء المشروع</w:t>
      </w:r>
    </w:p>
    <w:p w14:paraId="24BB5B93"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(4.12) </w:t>
      </w:r>
      <w:r w:rsidRPr="00445A5B">
        <w:rPr>
          <w:rFonts w:ascii="Traditional Arabic" w:eastAsia="Times New Roman" w:hAnsi="Traditional Arabic" w:cs="Traditional Arabic"/>
          <w:sz w:val="28"/>
          <w:szCs w:val="28"/>
          <w:rtl/>
        </w:rPr>
        <w:t>الإحصاءات الوصفية لعبارات أداء التكلفة</w:t>
      </w:r>
    </w:p>
    <w:tbl>
      <w:tblPr>
        <w:tblStyle w:val="TableGrid"/>
        <w:bidiVisual/>
        <w:tblW w:w="5000" w:type="pct"/>
        <w:jc w:val="center"/>
        <w:tblLook w:val="04A0" w:firstRow="1" w:lastRow="0" w:firstColumn="1" w:lastColumn="0" w:noHBand="0" w:noVBand="1"/>
      </w:tblPr>
      <w:tblGrid>
        <w:gridCol w:w="4093"/>
        <w:gridCol w:w="1201"/>
        <w:gridCol w:w="1233"/>
        <w:gridCol w:w="709"/>
        <w:gridCol w:w="1060"/>
      </w:tblGrid>
      <w:tr w:rsidR="000E666F" w:rsidRPr="00445A5B" w14:paraId="59AEFBF9" w14:textId="77777777" w:rsidTr="004F3CC9">
        <w:trPr>
          <w:jc w:val="center"/>
        </w:trPr>
        <w:tc>
          <w:tcPr>
            <w:tcW w:w="0" w:type="auto"/>
            <w:hideMark/>
          </w:tcPr>
          <w:p w14:paraId="42B4CE2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العبارة</w:t>
            </w:r>
          </w:p>
        </w:tc>
        <w:tc>
          <w:tcPr>
            <w:tcW w:w="0" w:type="auto"/>
            <w:hideMark/>
          </w:tcPr>
          <w:p w14:paraId="2D55670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hideMark/>
          </w:tcPr>
          <w:p w14:paraId="405EBF4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hideMark/>
          </w:tcPr>
          <w:p w14:paraId="0DDDD08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hideMark/>
          </w:tcPr>
          <w:p w14:paraId="11969A6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73C0FEF4" w14:textId="77777777" w:rsidTr="004F3CC9">
        <w:trPr>
          <w:jc w:val="center"/>
        </w:trPr>
        <w:tc>
          <w:tcPr>
            <w:tcW w:w="0" w:type="auto"/>
            <w:hideMark/>
          </w:tcPr>
          <w:p w14:paraId="2905580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تنفيذ المشاريع الإنشائية ضمن الميزانية المعتمدة دون تجاوزات مالية كبيرة</w:t>
            </w:r>
            <w:r w:rsidRPr="00445A5B">
              <w:rPr>
                <w:rFonts w:ascii="Traditional Arabic" w:eastAsia="Times New Roman" w:hAnsi="Traditional Arabic" w:cs="Traditional Arabic"/>
                <w:sz w:val="28"/>
                <w:szCs w:val="28"/>
              </w:rPr>
              <w:t>.</w:t>
            </w:r>
          </w:p>
        </w:tc>
        <w:tc>
          <w:tcPr>
            <w:tcW w:w="0" w:type="auto"/>
            <w:hideMark/>
          </w:tcPr>
          <w:p w14:paraId="4D0EAC7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3.5509</w:t>
            </w:r>
          </w:p>
        </w:tc>
        <w:tc>
          <w:tcPr>
            <w:tcW w:w="0" w:type="auto"/>
            <w:hideMark/>
          </w:tcPr>
          <w:p w14:paraId="46FBBD6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0.9164</w:t>
            </w:r>
          </w:p>
        </w:tc>
        <w:tc>
          <w:tcPr>
            <w:tcW w:w="0" w:type="auto"/>
            <w:hideMark/>
          </w:tcPr>
          <w:p w14:paraId="429E06A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hideMark/>
          </w:tcPr>
          <w:p w14:paraId="43717C7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316DF8F1" w14:textId="77777777" w:rsidTr="004F3CC9">
        <w:trPr>
          <w:jc w:val="center"/>
        </w:trPr>
        <w:tc>
          <w:tcPr>
            <w:tcW w:w="0" w:type="auto"/>
            <w:hideMark/>
          </w:tcPr>
          <w:p w14:paraId="4E01BE0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تحرص إدارة المشروع على مراقبة التكاليف بشكل مستمر طوال مراحل التنفيذ</w:t>
            </w:r>
            <w:r w:rsidRPr="00445A5B">
              <w:rPr>
                <w:rFonts w:ascii="Traditional Arabic" w:eastAsia="Times New Roman" w:hAnsi="Traditional Arabic" w:cs="Traditional Arabic"/>
                <w:sz w:val="28"/>
                <w:szCs w:val="28"/>
              </w:rPr>
              <w:t>.</w:t>
            </w:r>
          </w:p>
        </w:tc>
        <w:tc>
          <w:tcPr>
            <w:tcW w:w="0" w:type="auto"/>
            <w:hideMark/>
          </w:tcPr>
          <w:p w14:paraId="33E478F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3.8175</w:t>
            </w:r>
          </w:p>
        </w:tc>
        <w:tc>
          <w:tcPr>
            <w:tcW w:w="0" w:type="auto"/>
            <w:hideMark/>
          </w:tcPr>
          <w:p w14:paraId="5F00CAA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0.8731</w:t>
            </w:r>
          </w:p>
        </w:tc>
        <w:tc>
          <w:tcPr>
            <w:tcW w:w="0" w:type="auto"/>
            <w:hideMark/>
          </w:tcPr>
          <w:p w14:paraId="3C6B7AB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hideMark/>
          </w:tcPr>
          <w:p w14:paraId="024F25E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1DDACAD6" w14:textId="77777777" w:rsidTr="004F3CC9">
        <w:trPr>
          <w:jc w:val="center"/>
        </w:trPr>
        <w:tc>
          <w:tcPr>
            <w:tcW w:w="0" w:type="auto"/>
            <w:hideMark/>
          </w:tcPr>
          <w:p w14:paraId="62F4103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التعامل بفاعلية مع التغيرات في نطاق العمل بما يقلل من أثرها على تكلفة المشروع</w:t>
            </w:r>
            <w:r w:rsidRPr="00445A5B">
              <w:rPr>
                <w:rFonts w:ascii="Traditional Arabic" w:eastAsia="Times New Roman" w:hAnsi="Traditional Arabic" w:cs="Traditional Arabic"/>
                <w:sz w:val="28"/>
                <w:szCs w:val="28"/>
              </w:rPr>
              <w:t>.</w:t>
            </w:r>
          </w:p>
        </w:tc>
        <w:tc>
          <w:tcPr>
            <w:tcW w:w="0" w:type="auto"/>
            <w:hideMark/>
          </w:tcPr>
          <w:p w14:paraId="481EF69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3.6246</w:t>
            </w:r>
          </w:p>
        </w:tc>
        <w:tc>
          <w:tcPr>
            <w:tcW w:w="0" w:type="auto"/>
            <w:hideMark/>
          </w:tcPr>
          <w:p w14:paraId="66E67B7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0.8325</w:t>
            </w:r>
          </w:p>
        </w:tc>
        <w:tc>
          <w:tcPr>
            <w:tcW w:w="0" w:type="auto"/>
            <w:hideMark/>
          </w:tcPr>
          <w:p w14:paraId="331C173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hideMark/>
          </w:tcPr>
          <w:p w14:paraId="57B38AA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3B28D496" w14:textId="77777777" w:rsidTr="004F3CC9">
        <w:trPr>
          <w:jc w:val="center"/>
        </w:trPr>
        <w:tc>
          <w:tcPr>
            <w:tcW w:w="0" w:type="auto"/>
            <w:hideMark/>
          </w:tcPr>
          <w:p w14:paraId="6DA446F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تسهم الإجراءات الإدارية المتبعة في الحد من الهدر المالي أثناء تنفيذ المشروع</w:t>
            </w:r>
            <w:r w:rsidRPr="00445A5B">
              <w:rPr>
                <w:rFonts w:ascii="Traditional Arabic" w:eastAsia="Times New Roman" w:hAnsi="Traditional Arabic" w:cs="Traditional Arabic"/>
                <w:sz w:val="28"/>
                <w:szCs w:val="28"/>
              </w:rPr>
              <w:t>.</w:t>
            </w:r>
          </w:p>
        </w:tc>
        <w:tc>
          <w:tcPr>
            <w:tcW w:w="0" w:type="auto"/>
            <w:hideMark/>
          </w:tcPr>
          <w:p w14:paraId="52442A2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3.8035</w:t>
            </w:r>
          </w:p>
        </w:tc>
        <w:tc>
          <w:tcPr>
            <w:tcW w:w="0" w:type="auto"/>
            <w:hideMark/>
          </w:tcPr>
          <w:p w14:paraId="1C1311A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0.8901</w:t>
            </w:r>
          </w:p>
        </w:tc>
        <w:tc>
          <w:tcPr>
            <w:tcW w:w="0" w:type="auto"/>
            <w:hideMark/>
          </w:tcPr>
          <w:p w14:paraId="2298556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w:t>
            </w:r>
          </w:p>
        </w:tc>
        <w:tc>
          <w:tcPr>
            <w:tcW w:w="0" w:type="auto"/>
            <w:hideMark/>
          </w:tcPr>
          <w:p w14:paraId="491163A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5E90D7CE" w14:textId="77777777" w:rsidTr="004F3CC9">
        <w:trPr>
          <w:jc w:val="center"/>
        </w:trPr>
        <w:tc>
          <w:tcPr>
            <w:tcW w:w="0" w:type="auto"/>
            <w:hideMark/>
          </w:tcPr>
          <w:p w14:paraId="28704CF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تتوافق التكاليف الفعلية للمشروع مع التكاليف المخططة بدرجة عالية</w:t>
            </w:r>
            <w:r w:rsidRPr="00445A5B">
              <w:rPr>
                <w:rFonts w:ascii="Traditional Arabic" w:eastAsia="Times New Roman" w:hAnsi="Traditional Arabic" w:cs="Traditional Arabic"/>
                <w:sz w:val="28"/>
                <w:szCs w:val="28"/>
              </w:rPr>
              <w:t>.</w:t>
            </w:r>
          </w:p>
        </w:tc>
        <w:tc>
          <w:tcPr>
            <w:tcW w:w="0" w:type="auto"/>
            <w:hideMark/>
          </w:tcPr>
          <w:p w14:paraId="77449A3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3.6105</w:t>
            </w:r>
          </w:p>
        </w:tc>
        <w:tc>
          <w:tcPr>
            <w:tcW w:w="0" w:type="auto"/>
            <w:hideMark/>
          </w:tcPr>
          <w:p w14:paraId="1DDCC93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0.9453</w:t>
            </w:r>
          </w:p>
        </w:tc>
        <w:tc>
          <w:tcPr>
            <w:tcW w:w="0" w:type="auto"/>
            <w:hideMark/>
          </w:tcPr>
          <w:p w14:paraId="3A20BE8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hideMark/>
          </w:tcPr>
          <w:p w14:paraId="15399EE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bl>
    <w:p w14:paraId="75B3F145"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highlight w:val="green"/>
          <w:rtl/>
        </w:rPr>
        <w:t>تكشف نتائج جدول (</w:t>
      </w:r>
      <w:r w:rsidRPr="00445A5B">
        <w:rPr>
          <w:rFonts w:ascii="Traditional Arabic" w:eastAsia="Times New Roman" w:hAnsi="Traditional Arabic" w:cs="Traditional Arabic"/>
          <w:sz w:val="28"/>
          <w:szCs w:val="28"/>
          <w:highlight w:val="green"/>
        </w:rPr>
        <w:t>4.12</w:t>
      </w:r>
      <w:r w:rsidRPr="00445A5B">
        <w:rPr>
          <w:rFonts w:ascii="Traditional Arabic" w:eastAsia="Times New Roman" w:hAnsi="Traditional Arabic" w:cs="Traditional Arabic"/>
          <w:sz w:val="28"/>
          <w:szCs w:val="28"/>
          <w:highlight w:val="green"/>
          <w:rtl/>
        </w:rPr>
        <w:t xml:space="preserve">) عن وجود فجوة نسبية بين قدرة إدارة المشروع على مراقبة التكلفة وبين قدرتها على ضمان التطابق الكامل بين التكلفة المخططة والتكلفة الفعلية. فقد حصلت عبارة </w:t>
      </w:r>
      <w:r w:rsidRPr="00445A5B">
        <w:rPr>
          <w:rFonts w:ascii="Traditional Arabic" w:eastAsia="Times New Roman" w:hAnsi="Traditional Arabic" w:cs="Traditional Arabic"/>
          <w:i/>
          <w:iCs/>
          <w:sz w:val="28"/>
          <w:szCs w:val="28"/>
          <w:highlight w:val="green"/>
        </w:rPr>
        <w:t>«</w:t>
      </w:r>
      <w:r w:rsidRPr="00445A5B">
        <w:rPr>
          <w:rFonts w:ascii="Traditional Arabic" w:eastAsia="Times New Roman" w:hAnsi="Traditional Arabic" w:cs="Traditional Arabic"/>
          <w:i/>
          <w:iCs/>
          <w:sz w:val="28"/>
          <w:szCs w:val="28"/>
          <w:highlight w:val="green"/>
          <w:rtl/>
        </w:rPr>
        <w:t>تحرص إدارة المشروع على مراقبة التكاليف بشكل مستمر طوال مراحل التنفيذ</w:t>
      </w:r>
      <w:r w:rsidRPr="00445A5B">
        <w:rPr>
          <w:rFonts w:ascii="Traditional Arabic" w:eastAsia="Times New Roman" w:hAnsi="Traditional Arabic" w:cs="Traditional Arabic"/>
          <w:i/>
          <w:iCs/>
          <w:sz w:val="28"/>
          <w:szCs w:val="28"/>
          <w:highlight w:val="green"/>
        </w:rPr>
        <w:t>»</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على أعلى متوسط حسابي بلغ (3.8175)، وهو مستوى مرتفع، بما يشير إلى أن الرقابة على الإنفاق تمثل ممارسة إدارية راسخة نسبيًا داخل المشاريع محل الدراسة. ويبدو أن المتابعة المستمرة للتكاليف تُستخدم كأداة للكشف المبكر عن الانحرافات المالية، خاصة في ظل تعدد بنود الإنفاق وتداخل المراحل التنفيذية للمشروع</w:t>
      </w:r>
      <w:r w:rsidRPr="00445A5B">
        <w:rPr>
          <w:rFonts w:ascii="Traditional Arabic" w:eastAsia="Times New Roman" w:hAnsi="Traditional Arabic" w:cs="Traditional Arabic"/>
          <w:sz w:val="28"/>
          <w:szCs w:val="28"/>
          <w:highlight w:val="green"/>
        </w:rPr>
        <w:t>.</w:t>
      </w:r>
    </w:p>
    <w:p w14:paraId="133BD270"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جاء الحد من الهدر المالي في المرتبة الثانية بمتوسط (3.8035)، الأمر الذي يشير إلى أن إدارة التكلفة لا تقتصر على متابعة الإنفاق، بل تمتد إلى محاولة تقليل الفاقد المالي الناتج عن سوء استخدام الموارد أو ضعف الإجراءات الإدارية. وتكتسب هذه النتيجة أهمية خاصة في المشاريع الإنشائية، حيث يمكن أن يؤدي الهدر في المواد والعمالة والوقت إلى آثار تراكمية على التكلفة الإجمالية للمشروع</w:t>
      </w:r>
      <w:r w:rsidRPr="00445A5B">
        <w:rPr>
          <w:rFonts w:ascii="Traditional Arabic" w:eastAsia="Times New Roman" w:hAnsi="Traditional Arabic" w:cs="Traditional Arabic"/>
          <w:sz w:val="28"/>
          <w:szCs w:val="28"/>
          <w:highlight w:val="green"/>
        </w:rPr>
        <w:t>.</w:t>
      </w:r>
    </w:p>
    <w:p w14:paraId="7904DB97"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 xml:space="preserve">في المقابل، جاءت العبارات المرتبطة بتحقيق النتائج المالية النهائية، سواء من حيث تنفيذ المشروع ضمن الميزانية المعتمدة أو توافق التكلفة الفعلية مع التكلفة المخططة، عند مستويات متوسطة، بمتوسطين بلغَا (3.5509) و(3.6105) على التوالي. ويشير هذا النمط إلى أن وجود أنظمة رقابة مالية جيدة لا يؤدي بالضرورة إلى منع جميع الانحرافات في التكلفة، </w:t>
      </w:r>
      <w:r w:rsidRPr="00445A5B">
        <w:rPr>
          <w:rFonts w:ascii="Traditional Arabic" w:eastAsia="Times New Roman" w:hAnsi="Traditional Arabic" w:cs="Traditional Arabic"/>
          <w:sz w:val="28"/>
          <w:szCs w:val="28"/>
          <w:highlight w:val="green"/>
          <w:rtl/>
        </w:rPr>
        <w:lastRenderedPageBreak/>
        <w:t>إذ تظل النتيجة النهائية للموازنة متأثرة بعوامل يصعب التحكم فيها بالكامل، مثل تغيرات نطاق العمل، والتعديلات التصميمية، وتقلب أسعار المواد، وتأخر التوريد، وتغير الظروف الاقتصادية أثناء فترة التنفيذ</w:t>
      </w:r>
      <w:r w:rsidRPr="00445A5B">
        <w:rPr>
          <w:rFonts w:ascii="Traditional Arabic" w:eastAsia="Times New Roman" w:hAnsi="Traditional Arabic" w:cs="Traditional Arabic"/>
          <w:sz w:val="28"/>
          <w:szCs w:val="28"/>
          <w:highlight w:val="green"/>
        </w:rPr>
        <w:t>.</w:t>
      </w:r>
    </w:p>
    <w:p w14:paraId="4A6925F1"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وتشير النتيجة الخاصة بالتعامل مع تغيرات نطاق العمل، التي سجلت متوسطًا قدره (3.6246)، إلى أن إدارة التغيير تمثل نقطة مهمة في تفسير أداء التكلفة. فالتغير في نطاق المشروع لا يرفع التكلفة بالضرورة بسبب قيمة التغيير وحدها، بل قد يؤدي أيضًا إلى إعادة ترتيب الأعمال، وإعادة الشراء، وإعادة التنفيذ، وتمديد مدة المشروع. ومن ثم، فإن تحسين أداء التكلفة يتطلب الانتقال من الرقابة اللاحقة على الإنفاق إلى إدارة استباقية لمصادر الانحراف، من خلال تحسين تقدير التكاليف، وتطوير آليات إدارة التغيير والمخاطر، وربط القرارات الفنية بآثارها المالية قبل تنفيذها</w:t>
      </w:r>
      <w:r w:rsidRPr="00445A5B">
        <w:rPr>
          <w:rFonts w:ascii="Traditional Arabic" w:eastAsia="Times New Roman" w:hAnsi="Traditional Arabic" w:cs="Traditional Arabic"/>
          <w:sz w:val="28"/>
          <w:szCs w:val="28"/>
          <w:highlight w:val="green"/>
        </w:rPr>
        <w:t>.</w:t>
      </w:r>
    </w:p>
    <w:p w14:paraId="3EE17295"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(4.13) </w:t>
      </w:r>
      <w:r w:rsidRPr="00445A5B">
        <w:rPr>
          <w:rFonts w:ascii="Traditional Arabic" w:eastAsia="Times New Roman" w:hAnsi="Traditional Arabic" w:cs="Traditional Arabic"/>
          <w:sz w:val="28"/>
          <w:szCs w:val="28"/>
          <w:rtl/>
        </w:rPr>
        <w:t>الإحصاءات الوصفية لعبارات أداء الجودة</w:t>
      </w:r>
    </w:p>
    <w:tbl>
      <w:tblPr>
        <w:tblStyle w:val="TableGrid"/>
        <w:bidiVisual/>
        <w:tblW w:w="5000" w:type="pct"/>
        <w:jc w:val="center"/>
        <w:tblLook w:val="04A0" w:firstRow="1" w:lastRow="0" w:firstColumn="1" w:lastColumn="0" w:noHBand="0" w:noVBand="1"/>
      </w:tblPr>
      <w:tblGrid>
        <w:gridCol w:w="4029"/>
        <w:gridCol w:w="1218"/>
        <w:gridCol w:w="1253"/>
        <w:gridCol w:w="709"/>
        <w:gridCol w:w="1087"/>
      </w:tblGrid>
      <w:tr w:rsidR="000E666F" w:rsidRPr="00445A5B" w14:paraId="43A18F04" w14:textId="77777777" w:rsidTr="004F3CC9">
        <w:trPr>
          <w:jc w:val="center"/>
        </w:trPr>
        <w:tc>
          <w:tcPr>
            <w:tcW w:w="0" w:type="auto"/>
            <w:vAlign w:val="center"/>
            <w:hideMark/>
          </w:tcPr>
          <w:p w14:paraId="69F5846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العبارة</w:t>
            </w:r>
          </w:p>
        </w:tc>
        <w:tc>
          <w:tcPr>
            <w:tcW w:w="0" w:type="auto"/>
            <w:vAlign w:val="center"/>
            <w:hideMark/>
          </w:tcPr>
          <w:p w14:paraId="0AE5988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vAlign w:val="center"/>
            <w:hideMark/>
          </w:tcPr>
          <w:p w14:paraId="2519012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vAlign w:val="center"/>
            <w:hideMark/>
          </w:tcPr>
          <w:p w14:paraId="4B4D2E8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vAlign w:val="center"/>
            <w:hideMark/>
          </w:tcPr>
          <w:p w14:paraId="6AFE94D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49254597" w14:textId="77777777" w:rsidTr="004F3CC9">
        <w:trPr>
          <w:jc w:val="center"/>
        </w:trPr>
        <w:tc>
          <w:tcPr>
            <w:tcW w:w="0" w:type="auto"/>
            <w:vAlign w:val="center"/>
            <w:hideMark/>
          </w:tcPr>
          <w:p w14:paraId="27F8773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تنفيذ الأعمال الإنشائية وفقًا للمواصفات الفنية والمعايير المعتمدة</w:t>
            </w:r>
            <w:r w:rsidRPr="00445A5B">
              <w:rPr>
                <w:rFonts w:ascii="Traditional Arabic" w:eastAsia="Times New Roman" w:hAnsi="Traditional Arabic" w:cs="Traditional Arabic"/>
                <w:sz w:val="28"/>
                <w:szCs w:val="28"/>
              </w:rPr>
              <w:t>.</w:t>
            </w:r>
          </w:p>
        </w:tc>
        <w:tc>
          <w:tcPr>
            <w:tcW w:w="0" w:type="auto"/>
            <w:vAlign w:val="center"/>
            <w:hideMark/>
          </w:tcPr>
          <w:p w14:paraId="0202BFB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3.8211</w:t>
            </w:r>
          </w:p>
        </w:tc>
        <w:tc>
          <w:tcPr>
            <w:tcW w:w="0" w:type="auto"/>
            <w:vAlign w:val="center"/>
            <w:hideMark/>
          </w:tcPr>
          <w:p w14:paraId="3E80B80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0.8597</w:t>
            </w:r>
          </w:p>
        </w:tc>
        <w:tc>
          <w:tcPr>
            <w:tcW w:w="0" w:type="auto"/>
            <w:vAlign w:val="center"/>
            <w:hideMark/>
          </w:tcPr>
          <w:p w14:paraId="6B21A0E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w:t>
            </w:r>
          </w:p>
        </w:tc>
        <w:tc>
          <w:tcPr>
            <w:tcW w:w="0" w:type="auto"/>
            <w:vAlign w:val="center"/>
            <w:hideMark/>
          </w:tcPr>
          <w:p w14:paraId="0426375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31212670" w14:textId="77777777" w:rsidTr="004F3CC9">
        <w:trPr>
          <w:jc w:val="center"/>
        </w:trPr>
        <w:tc>
          <w:tcPr>
            <w:tcW w:w="0" w:type="auto"/>
            <w:vAlign w:val="center"/>
            <w:hideMark/>
          </w:tcPr>
          <w:p w14:paraId="35EB94E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تلتزم الشركة بتطبيق أنظمة جودة واضحة خلال جميع مراحل تنفيذ المشروع</w:t>
            </w:r>
            <w:r w:rsidRPr="00445A5B">
              <w:rPr>
                <w:rFonts w:ascii="Traditional Arabic" w:eastAsia="Times New Roman" w:hAnsi="Traditional Arabic" w:cs="Traditional Arabic"/>
                <w:sz w:val="28"/>
                <w:szCs w:val="28"/>
              </w:rPr>
              <w:t>.</w:t>
            </w:r>
          </w:p>
        </w:tc>
        <w:tc>
          <w:tcPr>
            <w:tcW w:w="0" w:type="auto"/>
            <w:vAlign w:val="center"/>
            <w:hideMark/>
          </w:tcPr>
          <w:p w14:paraId="29BC8D6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3.8000</w:t>
            </w:r>
          </w:p>
        </w:tc>
        <w:tc>
          <w:tcPr>
            <w:tcW w:w="0" w:type="auto"/>
            <w:vAlign w:val="center"/>
            <w:hideMark/>
          </w:tcPr>
          <w:p w14:paraId="418A862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0.7636</w:t>
            </w:r>
          </w:p>
        </w:tc>
        <w:tc>
          <w:tcPr>
            <w:tcW w:w="0" w:type="auto"/>
            <w:vAlign w:val="center"/>
            <w:hideMark/>
          </w:tcPr>
          <w:p w14:paraId="7A4A8F0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w:t>
            </w:r>
          </w:p>
        </w:tc>
        <w:tc>
          <w:tcPr>
            <w:tcW w:w="0" w:type="auto"/>
            <w:vAlign w:val="center"/>
            <w:hideMark/>
          </w:tcPr>
          <w:p w14:paraId="195D736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2F8E4C48" w14:textId="77777777" w:rsidTr="004F3CC9">
        <w:trPr>
          <w:jc w:val="center"/>
        </w:trPr>
        <w:tc>
          <w:tcPr>
            <w:tcW w:w="0" w:type="auto"/>
            <w:vAlign w:val="center"/>
            <w:hideMark/>
          </w:tcPr>
          <w:p w14:paraId="5FCC5F5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فحص الأعمال المنفذة بشكل دوري للتأكد من مطابقتها لمتطلبات الجودة</w:t>
            </w:r>
            <w:r w:rsidRPr="00445A5B">
              <w:rPr>
                <w:rFonts w:ascii="Traditional Arabic" w:eastAsia="Times New Roman" w:hAnsi="Traditional Arabic" w:cs="Traditional Arabic"/>
                <w:sz w:val="28"/>
                <w:szCs w:val="28"/>
              </w:rPr>
              <w:t>.</w:t>
            </w:r>
          </w:p>
        </w:tc>
        <w:tc>
          <w:tcPr>
            <w:tcW w:w="0" w:type="auto"/>
            <w:vAlign w:val="center"/>
            <w:hideMark/>
          </w:tcPr>
          <w:p w14:paraId="3E737A5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3.7474</w:t>
            </w:r>
          </w:p>
        </w:tc>
        <w:tc>
          <w:tcPr>
            <w:tcW w:w="0" w:type="auto"/>
            <w:vAlign w:val="center"/>
            <w:hideMark/>
          </w:tcPr>
          <w:p w14:paraId="6F28D8E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0.8595</w:t>
            </w:r>
          </w:p>
        </w:tc>
        <w:tc>
          <w:tcPr>
            <w:tcW w:w="0" w:type="auto"/>
            <w:vAlign w:val="center"/>
            <w:hideMark/>
          </w:tcPr>
          <w:p w14:paraId="0D1627C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vAlign w:val="center"/>
            <w:hideMark/>
          </w:tcPr>
          <w:p w14:paraId="2601D67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1D4A696A" w14:textId="77777777" w:rsidTr="004F3CC9">
        <w:trPr>
          <w:jc w:val="center"/>
        </w:trPr>
        <w:tc>
          <w:tcPr>
            <w:tcW w:w="0" w:type="auto"/>
            <w:vAlign w:val="center"/>
            <w:hideMark/>
          </w:tcPr>
          <w:p w14:paraId="01113BF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تسهم إجراءات الرقابة على الجودة في تقليل العيوب وإعادة العمل</w:t>
            </w:r>
            <w:r w:rsidRPr="00445A5B">
              <w:rPr>
                <w:rFonts w:ascii="Traditional Arabic" w:eastAsia="Times New Roman" w:hAnsi="Traditional Arabic" w:cs="Traditional Arabic"/>
                <w:sz w:val="28"/>
                <w:szCs w:val="28"/>
              </w:rPr>
              <w:t>.</w:t>
            </w:r>
          </w:p>
        </w:tc>
        <w:tc>
          <w:tcPr>
            <w:tcW w:w="0" w:type="auto"/>
            <w:vAlign w:val="center"/>
            <w:hideMark/>
          </w:tcPr>
          <w:p w14:paraId="0D35B24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3.8456</w:t>
            </w:r>
          </w:p>
        </w:tc>
        <w:tc>
          <w:tcPr>
            <w:tcW w:w="0" w:type="auto"/>
            <w:vAlign w:val="center"/>
            <w:hideMark/>
          </w:tcPr>
          <w:p w14:paraId="6005B8F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0.8984</w:t>
            </w:r>
          </w:p>
        </w:tc>
        <w:tc>
          <w:tcPr>
            <w:tcW w:w="0" w:type="auto"/>
            <w:vAlign w:val="center"/>
            <w:hideMark/>
          </w:tcPr>
          <w:p w14:paraId="5696D42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vAlign w:val="center"/>
            <w:hideMark/>
          </w:tcPr>
          <w:p w14:paraId="7354F51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4A25E93F" w14:textId="77777777" w:rsidTr="004F3CC9">
        <w:trPr>
          <w:jc w:val="center"/>
        </w:trPr>
        <w:tc>
          <w:tcPr>
            <w:tcW w:w="0" w:type="auto"/>
            <w:vAlign w:val="center"/>
            <w:hideMark/>
          </w:tcPr>
          <w:p w14:paraId="4ABAD21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يحقق المشروع المستوى المطلوب من الجودة المتفق عليها مع الجهة المالكة</w:t>
            </w:r>
            <w:r w:rsidRPr="00445A5B">
              <w:rPr>
                <w:rFonts w:ascii="Traditional Arabic" w:eastAsia="Times New Roman" w:hAnsi="Traditional Arabic" w:cs="Traditional Arabic"/>
                <w:sz w:val="28"/>
                <w:szCs w:val="28"/>
              </w:rPr>
              <w:t>.</w:t>
            </w:r>
          </w:p>
        </w:tc>
        <w:tc>
          <w:tcPr>
            <w:tcW w:w="0" w:type="auto"/>
            <w:vAlign w:val="center"/>
            <w:hideMark/>
          </w:tcPr>
          <w:p w14:paraId="7C197F6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3.7123</w:t>
            </w:r>
          </w:p>
        </w:tc>
        <w:tc>
          <w:tcPr>
            <w:tcW w:w="0" w:type="auto"/>
            <w:vAlign w:val="center"/>
            <w:hideMark/>
          </w:tcPr>
          <w:p w14:paraId="7938CF0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0.8929</w:t>
            </w:r>
          </w:p>
        </w:tc>
        <w:tc>
          <w:tcPr>
            <w:tcW w:w="0" w:type="auto"/>
            <w:vAlign w:val="center"/>
            <w:hideMark/>
          </w:tcPr>
          <w:p w14:paraId="136C410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vAlign w:val="center"/>
            <w:hideMark/>
          </w:tcPr>
          <w:p w14:paraId="3B08580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bl>
    <w:p w14:paraId="2B71F486"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highlight w:val="green"/>
          <w:rtl/>
        </w:rPr>
        <w:t>تظهر نتائج جدول (</w:t>
      </w:r>
      <w:r w:rsidRPr="00445A5B">
        <w:rPr>
          <w:rFonts w:ascii="Traditional Arabic" w:eastAsia="Times New Roman" w:hAnsi="Traditional Arabic" w:cs="Traditional Arabic"/>
          <w:sz w:val="28"/>
          <w:szCs w:val="28"/>
          <w:highlight w:val="green"/>
        </w:rPr>
        <w:t>4.13</w:t>
      </w:r>
      <w:r w:rsidRPr="00445A5B">
        <w:rPr>
          <w:rFonts w:ascii="Traditional Arabic" w:eastAsia="Times New Roman" w:hAnsi="Traditional Arabic" w:cs="Traditional Arabic"/>
          <w:sz w:val="28"/>
          <w:szCs w:val="28"/>
          <w:highlight w:val="green"/>
          <w:rtl/>
        </w:rPr>
        <w:t>) نمطًا متماسكًا نسبيًا في أداء الجودة، إذ جاءت جميع العبارات ضمن المستوى المرتفع، مع تقارب واضح في المتوسطات الحسابية التي تراوحت بين (3.7123) و(3.8456). ويشير هذا التقارب إلى أن الجودة في المشاريع محل الدراسة لا تعتمد على إجراء منفرد، بل ترتبط بمجموعة مترابطة من الممارسات تشمل الالتزام بالمواصفات، وتطبيق أنظمة الجودة، والفحص الدوري، والرقابة على التنفيذ</w:t>
      </w:r>
      <w:r w:rsidRPr="00445A5B">
        <w:rPr>
          <w:rFonts w:ascii="Traditional Arabic" w:eastAsia="Times New Roman" w:hAnsi="Traditional Arabic" w:cs="Traditional Arabic"/>
          <w:sz w:val="28"/>
          <w:szCs w:val="28"/>
          <w:highlight w:val="green"/>
        </w:rPr>
        <w:t>.</w:t>
      </w:r>
    </w:p>
    <w:p w14:paraId="4DBE7BF7"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 xml:space="preserve">وقد حققت العبارة المتعلقة بمساهمة إجراءات الرقابة على الجودة في تقليل العيوب وإعادة العمل أعلى متوسط حسابي (3.8456). وتكشف هذه النتيجة أن القيمة العملية لأنظمة الجودة تظهر بصورة واضحة في قدرتها على منع تكرار الأخطاء وتقليل الحاجة إلى إعادة تنفيذ الأعمال. وهذا أمر ذو أهمية خاصة في المشاريع الإنشائية، لأن اكتشاف العيب </w:t>
      </w:r>
      <w:r w:rsidRPr="00445A5B">
        <w:rPr>
          <w:rFonts w:ascii="Traditional Arabic" w:eastAsia="Times New Roman" w:hAnsi="Traditional Arabic" w:cs="Traditional Arabic"/>
          <w:sz w:val="28"/>
          <w:szCs w:val="28"/>
          <w:highlight w:val="green"/>
          <w:rtl/>
        </w:rPr>
        <w:lastRenderedPageBreak/>
        <w:t>في مرحلة مبكرة يكون عادةً أقل تكلفة وأقل تأثيرًا على البرنامج الزمني من اكتشافه بعد اكتمال مرحلة تنفيذية أو انتقال العمل إلى مراحل لاحقة</w:t>
      </w:r>
      <w:r w:rsidRPr="00445A5B">
        <w:rPr>
          <w:rFonts w:ascii="Traditional Arabic" w:eastAsia="Times New Roman" w:hAnsi="Traditional Arabic" w:cs="Traditional Arabic"/>
          <w:sz w:val="28"/>
          <w:szCs w:val="28"/>
          <w:highlight w:val="green"/>
        </w:rPr>
        <w:t>.</w:t>
      </w:r>
    </w:p>
    <w:p w14:paraId="1FA690EB"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جاءت مطابقة الأعمال للمواصفات الفنية والمعايير المعتمدة بمتوسط مرتفع بلغ (3.8211)، وهو ما يدل على أن الجودة الفنية تمثل محورًا أساسيًا في تقييم أداء المشروع. إلا أن تحقيق الجودة لا يعتمد على المواصفات وحدها، وهو ما تؤكده المتوسطات المرتفعة الخاصة بتطبيق أنظمة الجودة والفحص الدوري. فوجود المواصفات يحدد معيار القبول، بينما توفر إجراءات الفحص والرقابة الآليات اللازمة للتحقق من الالتزام بهذا المعيار أثناء التنفيذ</w:t>
      </w:r>
      <w:r w:rsidRPr="00445A5B">
        <w:rPr>
          <w:rFonts w:ascii="Traditional Arabic" w:eastAsia="Times New Roman" w:hAnsi="Traditional Arabic" w:cs="Traditional Arabic"/>
          <w:sz w:val="28"/>
          <w:szCs w:val="28"/>
          <w:highlight w:val="green"/>
        </w:rPr>
        <w:t>.</w:t>
      </w:r>
    </w:p>
    <w:p w14:paraId="54124736"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أما العبارة الخاصة بتحقيق المستوى المطلوب من الجودة المتفق عليه مع الجهة المالكة فقد سجلت أدنى متوسط حسابي (3.7123)، رغم بقائها ضمن المستوى المرتفع. وقد يعكس ذلك أن الجودة الفنية المطابقة للمواصفات لا تتطابق دائمًا بصورة كاملة مع الجودة المدركة من جانب المالك</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فالتوقعات قد تتغير أثناء تنفيذ المشروع، وقد تظهر اختلافات في تفسير المتطلبات أو في تقدير مدى تحقيقها، مما يجعل إدارة توقعات المالك والتواصل معه جزءًا مهمًا من إدارة الجودة، إلى جانب الجوانب الفنية والرقابية</w:t>
      </w:r>
      <w:r w:rsidRPr="00445A5B">
        <w:rPr>
          <w:rFonts w:ascii="Traditional Arabic" w:eastAsia="Times New Roman" w:hAnsi="Traditional Arabic" w:cs="Traditional Arabic"/>
          <w:sz w:val="28"/>
          <w:szCs w:val="28"/>
          <w:highlight w:val="green"/>
        </w:rPr>
        <w:t>.</w:t>
      </w:r>
    </w:p>
    <w:p w14:paraId="5C42B32A"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وبذلك تشير النتائج إلى أن أداء الجودة يتمتع بقاعدة تشغيلية قوية، إلا أن تعزيز مستواه يتطلب الجمع بين الرقابة الفنية الداخلية وبين إدارة توقعات أصحاب المصلحة، بما يضمن أن تكون الجودة المنفذة والجودة المتوقعة متوافقتين بصورة أكبر</w:t>
      </w:r>
      <w:r w:rsidRPr="00445A5B">
        <w:rPr>
          <w:rFonts w:ascii="Traditional Arabic" w:eastAsia="Times New Roman" w:hAnsi="Traditional Arabic" w:cs="Traditional Arabic"/>
          <w:sz w:val="28"/>
          <w:szCs w:val="28"/>
          <w:highlight w:val="green"/>
        </w:rPr>
        <w:t>.</w:t>
      </w:r>
    </w:p>
    <w:p w14:paraId="05E03637"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(4.14) </w:t>
      </w:r>
      <w:r w:rsidRPr="00445A5B">
        <w:rPr>
          <w:rFonts w:ascii="Traditional Arabic" w:eastAsia="Times New Roman" w:hAnsi="Traditional Arabic" w:cs="Traditional Arabic"/>
          <w:sz w:val="28"/>
          <w:szCs w:val="28"/>
          <w:rtl/>
        </w:rPr>
        <w:t>الإحصاءات الوصفية لعبارات أداء الوقت</w:t>
      </w:r>
    </w:p>
    <w:tbl>
      <w:tblPr>
        <w:tblStyle w:val="TableGrid"/>
        <w:bidiVisual/>
        <w:tblW w:w="5000" w:type="pct"/>
        <w:jc w:val="center"/>
        <w:tblLook w:val="04A0" w:firstRow="1" w:lastRow="0" w:firstColumn="1" w:lastColumn="0" w:noHBand="0" w:noVBand="1"/>
      </w:tblPr>
      <w:tblGrid>
        <w:gridCol w:w="4002"/>
        <w:gridCol w:w="1225"/>
        <w:gridCol w:w="1262"/>
        <w:gridCol w:w="709"/>
        <w:gridCol w:w="1098"/>
      </w:tblGrid>
      <w:tr w:rsidR="000E666F" w:rsidRPr="00445A5B" w14:paraId="0DC0656F" w14:textId="77777777" w:rsidTr="004F3CC9">
        <w:trPr>
          <w:jc w:val="center"/>
        </w:trPr>
        <w:tc>
          <w:tcPr>
            <w:tcW w:w="0" w:type="auto"/>
            <w:vAlign w:val="center"/>
            <w:hideMark/>
          </w:tcPr>
          <w:p w14:paraId="058C9B4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العبارة</w:t>
            </w:r>
          </w:p>
        </w:tc>
        <w:tc>
          <w:tcPr>
            <w:tcW w:w="0" w:type="auto"/>
            <w:vAlign w:val="center"/>
            <w:hideMark/>
          </w:tcPr>
          <w:p w14:paraId="7E2E78B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vAlign w:val="center"/>
            <w:hideMark/>
          </w:tcPr>
          <w:p w14:paraId="57DAEB7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vAlign w:val="center"/>
            <w:hideMark/>
          </w:tcPr>
          <w:p w14:paraId="0487F10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vAlign w:val="center"/>
            <w:hideMark/>
          </w:tcPr>
          <w:p w14:paraId="6E354C6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030E9350" w14:textId="77777777" w:rsidTr="004F3CC9">
        <w:trPr>
          <w:jc w:val="center"/>
        </w:trPr>
        <w:tc>
          <w:tcPr>
            <w:tcW w:w="0" w:type="auto"/>
            <w:vAlign w:val="center"/>
            <w:hideMark/>
          </w:tcPr>
          <w:p w14:paraId="2900035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إنجاز المشاريع الإنشائية وفقًا للجدول الزمني المخطط له</w:t>
            </w:r>
            <w:r w:rsidRPr="00445A5B">
              <w:rPr>
                <w:rFonts w:ascii="Traditional Arabic" w:eastAsia="Times New Roman" w:hAnsi="Traditional Arabic" w:cs="Traditional Arabic"/>
                <w:sz w:val="28"/>
                <w:szCs w:val="28"/>
              </w:rPr>
              <w:t>.</w:t>
            </w:r>
          </w:p>
        </w:tc>
        <w:tc>
          <w:tcPr>
            <w:tcW w:w="0" w:type="auto"/>
            <w:vAlign w:val="center"/>
            <w:hideMark/>
          </w:tcPr>
          <w:p w14:paraId="008D7E1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3.6140</w:t>
            </w:r>
          </w:p>
        </w:tc>
        <w:tc>
          <w:tcPr>
            <w:tcW w:w="0" w:type="auto"/>
            <w:vAlign w:val="center"/>
            <w:hideMark/>
          </w:tcPr>
          <w:p w14:paraId="4F2B35D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0.8872</w:t>
            </w:r>
          </w:p>
        </w:tc>
        <w:tc>
          <w:tcPr>
            <w:tcW w:w="0" w:type="auto"/>
            <w:vAlign w:val="center"/>
            <w:hideMark/>
          </w:tcPr>
          <w:p w14:paraId="47BE1C4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vAlign w:val="center"/>
            <w:hideMark/>
          </w:tcPr>
          <w:p w14:paraId="634FAF8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647321C3" w14:textId="77777777" w:rsidTr="004F3CC9">
        <w:trPr>
          <w:jc w:val="center"/>
        </w:trPr>
        <w:tc>
          <w:tcPr>
            <w:tcW w:w="0" w:type="auto"/>
            <w:vAlign w:val="center"/>
            <w:hideMark/>
          </w:tcPr>
          <w:p w14:paraId="6136046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تتم متابعة تقدم الأعمال بانتظام للحد من التأخيرات المحتملة</w:t>
            </w:r>
            <w:r w:rsidRPr="00445A5B">
              <w:rPr>
                <w:rFonts w:ascii="Traditional Arabic" w:eastAsia="Times New Roman" w:hAnsi="Traditional Arabic" w:cs="Traditional Arabic"/>
                <w:sz w:val="28"/>
                <w:szCs w:val="28"/>
              </w:rPr>
              <w:t>.</w:t>
            </w:r>
          </w:p>
        </w:tc>
        <w:tc>
          <w:tcPr>
            <w:tcW w:w="0" w:type="auto"/>
            <w:vAlign w:val="center"/>
            <w:hideMark/>
          </w:tcPr>
          <w:p w14:paraId="7054DBC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3.7053</w:t>
            </w:r>
          </w:p>
        </w:tc>
        <w:tc>
          <w:tcPr>
            <w:tcW w:w="0" w:type="auto"/>
            <w:vAlign w:val="center"/>
            <w:hideMark/>
          </w:tcPr>
          <w:p w14:paraId="0280871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0.8206</w:t>
            </w:r>
          </w:p>
        </w:tc>
        <w:tc>
          <w:tcPr>
            <w:tcW w:w="0" w:type="auto"/>
            <w:vAlign w:val="center"/>
            <w:hideMark/>
          </w:tcPr>
          <w:p w14:paraId="17CC15F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vAlign w:val="center"/>
            <w:hideMark/>
          </w:tcPr>
          <w:p w14:paraId="0B73619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3AA8A38F" w14:textId="77777777" w:rsidTr="004F3CC9">
        <w:trPr>
          <w:jc w:val="center"/>
        </w:trPr>
        <w:tc>
          <w:tcPr>
            <w:tcW w:w="0" w:type="auto"/>
            <w:vAlign w:val="center"/>
            <w:hideMark/>
          </w:tcPr>
          <w:p w14:paraId="2FE31C1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التعامل بمرونة وكفاءة مع العوامل التي قد تؤدي إلى تأخير تنفيذ المشروع</w:t>
            </w:r>
            <w:r w:rsidRPr="00445A5B">
              <w:rPr>
                <w:rFonts w:ascii="Traditional Arabic" w:eastAsia="Times New Roman" w:hAnsi="Traditional Arabic" w:cs="Traditional Arabic"/>
                <w:sz w:val="28"/>
                <w:szCs w:val="28"/>
              </w:rPr>
              <w:t>.</w:t>
            </w:r>
          </w:p>
        </w:tc>
        <w:tc>
          <w:tcPr>
            <w:tcW w:w="0" w:type="auto"/>
            <w:vAlign w:val="center"/>
            <w:hideMark/>
          </w:tcPr>
          <w:p w14:paraId="36BA826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3.6877</w:t>
            </w:r>
          </w:p>
        </w:tc>
        <w:tc>
          <w:tcPr>
            <w:tcW w:w="0" w:type="auto"/>
            <w:vAlign w:val="center"/>
            <w:hideMark/>
          </w:tcPr>
          <w:p w14:paraId="2C29FC5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0.9772</w:t>
            </w:r>
          </w:p>
        </w:tc>
        <w:tc>
          <w:tcPr>
            <w:tcW w:w="0" w:type="auto"/>
            <w:vAlign w:val="center"/>
            <w:hideMark/>
          </w:tcPr>
          <w:p w14:paraId="61C27BA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vAlign w:val="center"/>
            <w:hideMark/>
          </w:tcPr>
          <w:p w14:paraId="7D0EC50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0DC1BC51" w14:textId="77777777" w:rsidTr="004F3CC9">
        <w:trPr>
          <w:jc w:val="center"/>
        </w:trPr>
        <w:tc>
          <w:tcPr>
            <w:tcW w:w="0" w:type="auto"/>
            <w:vAlign w:val="center"/>
            <w:hideMark/>
          </w:tcPr>
          <w:p w14:paraId="729789E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تسهم إجراءات التخطيط والجدولة في تحسين الالتزام بالمواعيد المحددة للتسليم</w:t>
            </w:r>
            <w:r w:rsidRPr="00445A5B">
              <w:rPr>
                <w:rFonts w:ascii="Traditional Arabic" w:eastAsia="Times New Roman" w:hAnsi="Traditional Arabic" w:cs="Traditional Arabic"/>
                <w:sz w:val="28"/>
                <w:szCs w:val="28"/>
              </w:rPr>
              <w:t>.</w:t>
            </w:r>
          </w:p>
        </w:tc>
        <w:tc>
          <w:tcPr>
            <w:tcW w:w="0" w:type="auto"/>
            <w:vAlign w:val="center"/>
            <w:hideMark/>
          </w:tcPr>
          <w:p w14:paraId="3A9149E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3.8877</w:t>
            </w:r>
          </w:p>
        </w:tc>
        <w:tc>
          <w:tcPr>
            <w:tcW w:w="0" w:type="auto"/>
            <w:vAlign w:val="center"/>
            <w:hideMark/>
          </w:tcPr>
          <w:p w14:paraId="72CD737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0.9162</w:t>
            </w:r>
          </w:p>
        </w:tc>
        <w:tc>
          <w:tcPr>
            <w:tcW w:w="0" w:type="auto"/>
            <w:vAlign w:val="center"/>
            <w:hideMark/>
          </w:tcPr>
          <w:p w14:paraId="4ED2A34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vAlign w:val="center"/>
            <w:hideMark/>
          </w:tcPr>
          <w:p w14:paraId="01CF6E2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7B24A073" w14:textId="77777777" w:rsidTr="004F3CC9">
        <w:trPr>
          <w:jc w:val="center"/>
        </w:trPr>
        <w:tc>
          <w:tcPr>
            <w:tcW w:w="0" w:type="auto"/>
            <w:vAlign w:val="center"/>
            <w:hideMark/>
          </w:tcPr>
          <w:p w14:paraId="5C62235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تسليم المشاريع الإنشائية في الوقت المتفق عليه مع الجهات المعنية</w:t>
            </w:r>
            <w:r w:rsidRPr="00445A5B">
              <w:rPr>
                <w:rFonts w:ascii="Traditional Arabic" w:eastAsia="Times New Roman" w:hAnsi="Traditional Arabic" w:cs="Traditional Arabic"/>
                <w:sz w:val="28"/>
                <w:szCs w:val="28"/>
              </w:rPr>
              <w:t>.</w:t>
            </w:r>
          </w:p>
        </w:tc>
        <w:tc>
          <w:tcPr>
            <w:tcW w:w="0" w:type="auto"/>
            <w:vAlign w:val="center"/>
            <w:hideMark/>
          </w:tcPr>
          <w:p w14:paraId="3BF31FD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3.5404</w:t>
            </w:r>
          </w:p>
        </w:tc>
        <w:tc>
          <w:tcPr>
            <w:tcW w:w="0" w:type="auto"/>
            <w:vAlign w:val="center"/>
            <w:hideMark/>
          </w:tcPr>
          <w:p w14:paraId="791872E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0.9509</w:t>
            </w:r>
          </w:p>
        </w:tc>
        <w:tc>
          <w:tcPr>
            <w:tcW w:w="0" w:type="auto"/>
            <w:vAlign w:val="center"/>
            <w:hideMark/>
          </w:tcPr>
          <w:p w14:paraId="39FC3FC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w:t>
            </w:r>
          </w:p>
        </w:tc>
        <w:tc>
          <w:tcPr>
            <w:tcW w:w="0" w:type="auto"/>
            <w:vAlign w:val="center"/>
            <w:hideMark/>
          </w:tcPr>
          <w:p w14:paraId="1D26F8D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bl>
    <w:p w14:paraId="472C47E6"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rtl/>
        </w:rPr>
        <w:lastRenderedPageBreak/>
        <w:t xml:space="preserve"> </w:t>
      </w:r>
      <w:r w:rsidRPr="00445A5B">
        <w:rPr>
          <w:rFonts w:ascii="Traditional Arabic" w:eastAsia="Times New Roman" w:hAnsi="Traditional Arabic" w:cs="Traditional Arabic"/>
          <w:sz w:val="28"/>
          <w:szCs w:val="28"/>
          <w:highlight w:val="green"/>
          <w:rtl/>
        </w:rPr>
        <w:t>توضح نتائج جدول (</w:t>
      </w:r>
      <w:r w:rsidRPr="00445A5B">
        <w:rPr>
          <w:rFonts w:ascii="Traditional Arabic" w:eastAsia="Times New Roman" w:hAnsi="Traditional Arabic" w:cs="Traditional Arabic"/>
          <w:sz w:val="28"/>
          <w:szCs w:val="28"/>
          <w:highlight w:val="green"/>
        </w:rPr>
        <w:t>4.14</w:t>
      </w:r>
      <w:r w:rsidRPr="00445A5B">
        <w:rPr>
          <w:rFonts w:ascii="Traditional Arabic" w:eastAsia="Times New Roman" w:hAnsi="Traditional Arabic" w:cs="Traditional Arabic"/>
          <w:sz w:val="28"/>
          <w:szCs w:val="28"/>
          <w:highlight w:val="green"/>
          <w:rtl/>
        </w:rPr>
        <w:t>) أن أداء الوقت يتسم بوجود فرق بين جودة التخطيط والمتابعة من جهة، والقدرة على تحقيق موعد التسليم النهائي من جهة أخرى</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فقد جاءت إجراءات التخطيط والجدولة في المرتبة الأولى بمتوسط حسابي بلغ (3.8877)، وهو مستوى مرتفع، مما يدل على أن المؤسسات تولي اهتمامًا واضحًا بإعداد البرامج الزمنية وتنظيم الأنشطة التنفيذية</w:t>
      </w:r>
      <w:r w:rsidRPr="00445A5B">
        <w:rPr>
          <w:rFonts w:ascii="Traditional Arabic" w:eastAsia="Times New Roman" w:hAnsi="Traditional Arabic" w:cs="Traditional Arabic"/>
          <w:sz w:val="28"/>
          <w:szCs w:val="28"/>
          <w:highlight w:val="green"/>
        </w:rPr>
        <w:t>.</w:t>
      </w:r>
    </w:p>
    <w:p w14:paraId="08CF2098"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 xml:space="preserve">كما حصلت متابعة تقدم الأعمال على متوسط مرتفع بلغ (3.7053)، وهو ما يشير إلى وجود آليات متابعة تساعد على رصد الانحرافات الزمنية أثناء التنفيذ. غير أن ارتفاع مستوى التخطيط والمتابعة لا يقابله بالضرورة التزام كامل بموعد التسليم، إذ حصلت عبارة </w:t>
      </w:r>
      <w:r w:rsidRPr="00445A5B">
        <w:rPr>
          <w:rFonts w:ascii="Traditional Arabic" w:eastAsia="Times New Roman" w:hAnsi="Traditional Arabic" w:cs="Traditional Arabic"/>
          <w:i/>
          <w:iCs/>
          <w:sz w:val="28"/>
          <w:szCs w:val="28"/>
          <w:highlight w:val="green"/>
        </w:rPr>
        <w:t>«</w:t>
      </w:r>
      <w:r w:rsidRPr="00445A5B">
        <w:rPr>
          <w:rFonts w:ascii="Traditional Arabic" w:eastAsia="Times New Roman" w:hAnsi="Traditional Arabic" w:cs="Traditional Arabic"/>
          <w:i/>
          <w:iCs/>
          <w:sz w:val="28"/>
          <w:szCs w:val="28"/>
          <w:highlight w:val="green"/>
          <w:rtl/>
        </w:rPr>
        <w:t>يتم تسليم المشاريع الإنشائية في الوقت المتفق عليه مع الجهات المعنية</w:t>
      </w:r>
      <w:r w:rsidRPr="00445A5B">
        <w:rPr>
          <w:rFonts w:ascii="Traditional Arabic" w:eastAsia="Times New Roman" w:hAnsi="Traditional Arabic" w:cs="Traditional Arabic"/>
          <w:i/>
          <w:iCs/>
          <w:sz w:val="28"/>
          <w:szCs w:val="28"/>
          <w:highlight w:val="green"/>
        </w:rPr>
        <w:t>»</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على أدنى متوسط حسابي (3.5404)، وبمستوى تحقق متوسط</w:t>
      </w:r>
      <w:r w:rsidRPr="00445A5B">
        <w:rPr>
          <w:rFonts w:ascii="Traditional Arabic" w:eastAsia="Times New Roman" w:hAnsi="Traditional Arabic" w:cs="Traditional Arabic"/>
          <w:sz w:val="28"/>
          <w:szCs w:val="28"/>
          <w:highlight w:val="green"/>
        </w:rPr>
        <w:t>.</w:t>
      </w:r>
    </w:p>
    <w:p w14:paraId="0D221920"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ويكشف هذا التباين عن أن التحدي الزمني في المشاريع الإنشائية لا يكمن بالضرورة في غياب التخطيط، بل في تحويل الخطة الزمنية إلى إنجاز فعلي في بيئة تتغير أثناء التنفيذ</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فقد تؤدي التعديلات التصميمية، وتأخر الاعتمادات، ومشكلات التوريد، ونقص العمالة، والتغيرات في نطاق العمل إلى إحداث تأثيرات متراكمة على موعد التسليم النهائي، حتى عندما تكون عملية التخطيط والمتابعة قائمة</w:t>
      </w:r>
      <w:r w:rsidRPr="00445A5B">
        <w:rPr>
          <w:rFonts w:ascii="Traditional Arabic" w:eastAsia="Times New Roman" w:hAnsi="Traditional Arabic" w:cs="Traditional Arabic"/>
          <w:sz w:val="28"/>
          <w:szCs w:val="28"/>
          <w:highlight w:val="green"/>
        </w:rPr>
        <w:t>.</w:t>
      </w:r>
    </w:p>
    <w:p w14:paraId="702A930D"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أن العبارة المتعلقة بالتعامل مع العوامل المؤدية إلى التأخير سجلت متوسطًا قدره (3.6877)، مع انحراف معياري مرتفع نسبيًا (0.9772)، وهو ما قد يشير إلى اختلاف أكبر في قدرة المشاريع أو الشركات على الاستجابة للمخاطر الزمنية. ويعكس ذلك تفاوتًا محتملًا في نضج ممارسات إدارة المخاطر، وسرعة اتخاذ القرار، ومرونة تخصيص الموارد عند ظهور مشكلات غير متوقعة</w:t>
      </w:r>
      <w:r w:rsidRPr="00445A5B">
        <w:rPr>
          <w:rFonts w:ascii="Traditional Arabic" w:eastAsia="Times New Roman" w:hAnsi="Traditional Arabic" w:cs="Traditional Arabic"/>
          <w:sz w:val="28"/>
          <w:szCs w:val="28"/>
          <w:highlight w:val="green"/>
        </w:rPr>
        <w:t>.</w:t>
      </w:r>
    </w:p>
    <w:p w14:paraId="2C583CEE"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وعليه، فإن تحسين أداء الوقت لا يتطلب فقط إعداد جدول زمني جيد، بل يحتاج إلى تعزيز القدرة على التنبؤ بمصادر التأخير، وإدارة المخاطر، والتعامل السريع مع التغييرات، وضمان توافر الموارد والاعتمادات في الوقت المناسب</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وتوضح النتائج أن كفاءة التخطيط تمثل شرطًا ضروريًا، لكنها لا تكفي وحدها لضمان التسليم في الموعد المتفق عليه</w:t>
      </w:r>
      <w:r w:rsidRPr="00445A5B">
        <w:rPr>
          <w:rFonts w:ascii="Traditional Arabic" w:eastAsia="Times New Roman" w:hAnsi="Traditional Arabic" w:cs="Traditional Arabic"/>
          <w:sz w:val="28"/>
          <w:szCs w:val="28"/>
          <w:highlight w:val="green"/>
        </w:rPr>
        <w:t>.</w:t>
      </w:r>
    </w:p>
    <w:p w14:paraId="50263CD1"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(4.15) </w:t>
      </w:r>
      <w:r w:rsidRPr="00445A5B">
        <w:rPr>
          <w:rFonts w:ascii="Traditional Arabic" w:eastAsia="Times New Roman" w:hAnsi="Traditional Arabic" w:cs="Traditional Arabic"/>
          <w:sz w:val="28"/>
          <w:szCs w:val="28"/>
          <w:rtl/>
        </w:rPr>
        <w:t>الإحصاءات الوصفية لعبارات رضا العملاء</w:t>
      </w:r>
    </w:p>
    <w:tbl>
      <w:tblPr>
        <w:tblStyle w:val="TableGrid"/>
        <w:bidiVisual/>
        <w:tblW w:w="5000" w:type="pct"/>
        <w:jc w:val="center"/>
        <w:tblLook w:val="04A0" w:firstRow="1" w:lastRow="0" w:firstColumn="1" w:lastColumn="0" w:noHBand="0" w:noVBand="1"/>
      </w:tblPr>
      <w:tblGrid>
        <w:gridCol w:w="4058"/>
        <w:gridCol w:w="1210"/>
        <w:gridCol w:w="1244"/>
        <w:gridCol w:w="709"/>
        <w:gridCol w:w="1075"/>
      </w:tblGrid>
      <w:tr w:rsidR="000E666F" w:rsidRPr="00445A5B" w14:paraId="33BD479B" w14:textId="77777777" w:rsidTr="004F3CC9">
        <w:trPr>
          <w:jc w:val="center"/>
        </w:trPr>
        <w:tc>
          <w:tcPr>
            <w:tcW w:w="0" w:type="auto"/>
            <w:vAlign w:val="center"/>
            <w:hideMark/>
          </w:tcPr>
          <w:p w14:paraId="65F80D4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العبارة</w:t>
            </w:r>
          </w:p>
        </w:tc>
        <w:tc>
          <w:tcPr>
            <w:tcW w:w="0" w:type="auto"/>
            <w:vAlign w:val="center"/>
            <w:hideMark/>
          </w:tcPr>
          <w:p w14:paraId="7821E6C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vAlign w:val="center"/>
            <w:hideMark/>
          </w:tcPr>
          <w:p w14:paraId="479E806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vAlign w:val="center"/>
            <w:hideMark/>
          </w:tcPr>
          <w:p w14:paraId="26B01CA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vAlign w:val="center"/>
            <w:hideMark/>
          </w:tcPr>
          <w:p w14:paraId="4D46E49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2238E8AF" w14:textId="77777777" w:rsidTr="004F3CC9">
        <w:trPr>
          <w:jc w:val="center"/>
        </w:trPr>
        <w:tc>
          <w:tcPr>
            <w:tcW w:w="0" w:type="auto"/>
            <w:vAlign w:val="center"/>
            <w:hideMark/>
          </w:tcPr>
          <w:p w14:paraId="7F70E6B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يُبدي العملاء رضاهم عن مستوى الأداء العام للمشاريع المنفذة</w:t>
            </w:r>
            <w:r w:rsidRPr="00445A5B">
              <w:rPr>
                <w:rFonts w:ascii="Traditional Arabic" w:eastAsia="Times New Roman" w:hAnsi="Traditional Arabic" w:cs="Traditional Arabic"/>
                <w:sz w:val="28"/>
                <w:szCs w:val="28"/>
              </w:rPr>
              <w:t>.</w:t>
            </w:r>
          </w:p>
        </w:tc>
        <w:tc>
          <w:tcPr>
            <w:tcW w:w="0" w:type="auto"/>
            <w:vAlign w:val="center"/>
            <w:hideMark/>
          </w:tcPr>
          <w:p w14:paraId="294FD96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3.6842</w:t>
            </w:r>
          </w:p>
        </w:tc>
        <w:tc>
          <w:tcPr>
            <w:tcW w:w="0" w:type="auto"/>
            <w:vAlign w:val="center"/>
            <w:hideMark/>
          </w:tcPr>
          <w:p w14:paraId="775496B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0.8383</w:t>
            </w:r>
          </w:p>
        </w:tc>
        <w:tc>
          <w:tcPr>
            <w:tcW w:w="0" w:type="auto"/>
            <w:vAlign w:val="center"/>
            <w:hideMark/>
          </w:tcPr>
          <w:p w14:paraId="0327CBB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vAlign w:val="center"/>
            <w:hideMark/>
          </w:tcPr>
          <w:p w14:paraId="28BE290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3D288DB0" w14:textId="77777777" w:rsidTr="004F3CC9">
        <w:trPr>
          <w:jc w:val="center"/>
        </w:trPr>
        <w:tc>
          <w:tcPr>
            <w:tcW w:w="0" w:type="auto"/>
            <w:vAlign w:val="center"/>
            <w:hideMark/>
          </w:tcPr>
          <w:p w14:paraId="7C4344B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يحقق المشروع متطلبات وتوقعات العميل من حيث الجودة والتكلفة والمدة الزمنية</w:t>
            </w:r>
            <w:r w:rsidRPr="00445A5B">
              <w:rPr>
                <w:rFonts w:ascii="Traditional Arabic" w:eastAsia="Times New Roman" w:hAnsi="Traditional Arabic" w:cs="Traditional Arabic"/>
                <w:sz w:val="28"/>
                <w:szCs w:val="28"/>
              </w:rPr>
              <w:t>.</w:t>
            </w:r>
          </w:p>
        </w:tc>
        <w:tc>
          <w:tcPr>
            <w:tcW w:w="0" w:type="auto"/>
            <w:vAlign w:val="center"/>
            <w:hideMark/>
          </w:tcPr>
          <w:p w14:paraId="3BAFCA5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3.6702</w:t>
            </w:r>
          </w:p>
        </w:tc>
        <w:tc>
          <w:tcPr>
            <w:tcW w:w="0" w:type="auto"/>
            <w:vAlign w:val="center"/>
            <w:hideMark/>
          </w:tcPr>
          <w:p w14:paraId="61F3404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0.8371</w:t>
            </w:r>
          </w:p>
        </w:tc>
        <w:tc>
          <w:tcPr>
            <w:tcW w:w="0" w:type="auto"/>
            <w:vAlign w:val="center"/>
            <w:hideMark/>
          </w:tcPr>
          <w:p w14:paraId="4BF6C71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vAlign w:val="center"/>
            <w:hideMark/>
          </w:tcPr>
          <w:p w14:paraId="5541175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32E07EE8" w14:textId="77777777" w:rsidTr="004F3CC9">
        <w:trPr>
          <w:jc w:val="center"/>
        </w:trPr>
        <w:tc>
          <w:tcPr>
            <w:tcW w:w="0" w:type="auto"/>
            <w:vAlign w:val="center"/>
            <w:hideMark/>
          </w:tcPr>
          <w:p w14:paraId="57D07E2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lastRenderedPageBreak/>
              <w:t>يتم التواصل بفاعلية مع العميل أثناء تنفيذ المشروع لمعالجة الملاحظات والمقترحات</w:t>
            </w:r>
            <w:r w:rsidRPr="00445A5B">
              <w:rPr>
                <w:rFonts w:ascii="Traditional Arabic" w:eastAsia="Times New Roman" w:hAnsi="Traditional Arabic" w:cs="Traditional Arabic"/>
                <w:sz w:val="28"/>
                <w:szCs w:val="28"/>
              </w:rPr>
              <w:t>.</w:t>
            </w:r>
          </w:p>
        </w:tc>
        <w:tc>
          <w:tcPr>
            <w:tcW w:w="0" w:type="auto"/>
            <w:vAlign w:val="center"/>
            <w:hideMark/>
          </w:tcPr>
          <w:p w14:paraId="7484FA4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3.6667</w:t>
            </w:r>
          </w:p>
        </w:tc>
        <w:tc>
          <w:tcPr>
            <w:tcW w:w="0" w:type="auto"/>
            <w:vAlign w:val="center"/>
            <w:hideMark/>
          </w:tcPr>
          <w:p w14:paraId="2C83758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0.8667</w:t>
            </w:r>
          </w:p>
        </w:tc>
        <w:tc>
          <w:tcPr>
            <w:tcW w:w="0" w:type="auto"/>
            <w:vAlign w:val="center"/>
            <w:hideMark/>
          </w:tcPr>
          <w:p w14:paraId="4A3F906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w:t>
            </w:r>
          </w:p>
        </w:tc>
        <w:tc>
          <w:tcPr>
            <w:tcW w:w="0" w:type="auto"/>
            <w:vAlign w:val="center"/>
            <w:hideMark/>
          </w:tcPr>
          <w:p w14:paraId="0392D42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763CED48" w14:textId="77777777" w:rsidTr="004F3CC9">
        <w:trPr>
          <w:jc w:val="center"/>
        </w:trPr>
        <w:tc>
          <w:tcPr>
            <w:tcW w:w="0" w:type="auto"/>
            <w:vAlign w:val="center"/>
            <w:hideMark/>
          </w:tcPr>
          <w:p w14:paraId="6971555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تحرص الشركة على الاستجابة السريعة لملاحظات وشكاوى العملاء أثناء التنفيذ</w:t>
            </w:r>
            <w:r w:rsidRPr="00445A5B">
              <w:rPr>
                <w:rFonts w:ascii="Traditional Arabic" w:eastAsia="Times New Roman" w:hAnsi="Traditional Arabic" w:cs="Traditional Arabic"/>
                <w:sz w:val="28"/>
                <w:szCs w:val="28"/>
              </w:rPr>
              <w:t>.</w:t>
            </w:r>
          </w:p>
        </w:tc>
        <w:tc>
          <w:tcPr>
            <w:tcW w:w="0" w:type="auto"/>
            <w:vAlign w:val="center"/>
            <w:hideMark/>
          </w:tcPr>
          <w:p w14:paraId="3BE4846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3.7298</w:t>
            </w:r>
          </w:p>
        </w:tc>
        <w:tc>
          <w:tcPr>
            <w:tcW w:w="0" w:type="auto"/>
            <w:vAlign w:val="center"/>
            <w:hideMark/>
          </w:tcPr>
          <w:p w14:paraId="48B88FC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0.9120</w:t>
            </w:r>
          </w:p>
        </w:tc>
        <w:tc>
          <w:tcPr>
            <w:tcW w:w="0" w:type="auto"/>
            <w:vAlign w:val="center"/>
            <w:hideMark/>
          </w:tcPr>
          <w:p w14:paraId="6B6FB04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w:t>
            </w:r>
          </w:p>
        </w:tc>
        <w:tc>
          <w:tcPr>
            <w:tcW w:w="0" w:type="auto"/>
            <w:vAlign w:val="center"/>
            <w:hideMark/>
          </w:tcPr>
          <w:p w14:paraId="36C9C95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15830461" w14:textId="77777777" w:rsidTr="004F3CC9">
        <w:trPr>
          <w:jc w:val="center"/>
        </w:trPr>
        <w:tc>
          <w:tcPr>
            <w:tcW w:w="0" w:type="auto"/>
            <w:vAlign w:val="center"/>
            <w:hideMark/>
          </w:tcPr>
          <w:p w14:paraId="1A67E09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يعكس رضا العملاء نجاح المشروع في تحقيق أهدافه الأساسية</w:t>
            </w:r>
            <w:r w:rsidRPr="00445A5B">
              <w:rPr>
                <w:rFonts w:ascii="Traditional Arabic" w:eastAsia="Times New Roman" w:hAnsi="Traditional Arabic" w:cs="Traditional Arabic"/>
                <w:sz w:val="28"/>
                <w:szCs w:val="28"/>
              </w:rPr>
              <w:t>.</w:t>
            </w:r>
          </w:p>
        </w:tc>
        <w:tc>
          <w:tcPr>
            <w:tcW w:w="0" w:type="auto"/>
            <w:vAlign w:val="center"/>
            <w:hideMark/>
          </w:tcPr>
          <w:p w14:paraId="1E1FB70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3.8667</w:t>
            </w:r>
          </w:p>
        </w:tc>
        <w:tc>
          <w:tcPr>
            <w:tcW w:w="0" w:type="auto"/>
            <w:vAlign w:val="center"/>
            <w:hideMark/>
          </w:tcPr>
          <w:p w14:paraId="41BD6DE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0.9249</w:t>
            </w:r>
          </w:p>
        </w:tc>
        <w:tc>
          <w:tcPr>
            <w:tcW w:w="0" w:type="auto"/>
            <w:vAlign w:val="center"/>
            <w:hideMark/>
          </w:tcPr>
          <w:p w14:paraId="1B2DC8A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vAlign w:val="center"/>
            <w:hideMark/>
          </w:tcPr>
          <w:p w14:paraId="4678708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bl>
    <w:p w14:paraId="5E4BBC54"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highlight w:val="green"/>
          <w:rtl/>
        </w:rPr>
        <w:t>تعكس نتائج جدول (</w:t>
      </w:r>
      <w:r w:rsidRPr="00445A5B">
        <w:rPr>
          <w:rFonts w:ascii="Traditional Arabic" w:eastAsia="Times New Roman" w:hAnsi="Traditional Arabic" w:cs="Traditional Arabic"/>
          <w:sz w:val="28"/>
          <w:szCs w:val="28"/>
          <w:highlight w:val="green"/>
        </w:rPr>
        <w:t>4.15</w:t>
      </w:r>
      <w:r w:rsidRPr="00445A5B">
        <w:rPr>
          <w:rFonts w:ascii="Traditional Arabic" w:eastAsia="Times New Roman" w:hAnsi="Traditional Arabic" w:cs="Traditional Arabic"/>
          <w:sz w:val="28"/>
          <w:szCs w:val="28"/>
          <w:highlight w:val="green"/>
          <w:rtl/>
        </w:rPr>
        <w:t>) مستوى مرتفعًا من رضا العملاء، إلا أن ترتيب العبارات يوضح أن رضا العميل يرتبط بصورة أكبر بتقييم النجاح العام للمشروع وباستجابة الشركة لملاحظاته، بينما تبدو بعض عناصر العلاقة اليومية مع العميل أقل قوة نسبيًا. فقد جاءت العبارة التي تربط رضا العملاء بنجاح المشروع في المرتبة الأولى بمتوسط (3.8667)، مما يعكس إدراكًا واضحًا للعلاقة بين تقييم العميل النهائي وبين مدى تحقيق المشروع لأهدافه الأساسية</w:t>
      </w:r>
      <w:r w:rsidRPr="00445A5B">
        <w:rPr>
          <w:rFonts w:ascii="Traditional Arabic" w:eastAsia="Times New Roman" w:hAnsi="Traditional Arabic" w:cs="Traditional Arabic"/>
          <w:sz w:val="28"/>
          <w:szCs w:val="28"/>
          <w:highlight w:val="green"/>
        </w:rPr>
        <w:t>.</w:t>
      </w:r>
    </w:p>
    <w:p w14:paraId="1A84BA1C"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سجلت سرعة الاستجابة لملاحظات وشكاوى العملاء متوسطًا مرتفعًا بلغ (3.7298)، وهو ما يؤكد أن التعامل مع المشكلات أثناء التنفيذ يمثل عنصرًا مهمًا في الحفاظ على رضا العميل. وفي المشاريع الإنشائية، لا يتحدد رضا العميل فقط بالنتيجة النهائية، بل يتأثر أيضًا بكيفية إدارة المشكلات والملاحظات خلال فترة التنفيذ، وبمدى شعور العميل بأن ملاحظاته تؤخذ بجدية ويتم التعامل معها في الوقت المناسب</w:t>
      </w:r>
      <w:r w:rsidRPr="00445A5B">
        <w:rPr>
          <w:rFonts w:ascii="Traditional Arabic" w:eastAsia="Times New Roman" w:hAnsi="Traditional Arabic" w:cs="Traditional Arabic"/>
          <w:sz w:val="28"/>
          <w:szCs w:val="28"/>
          <w:highlight w:val="green"/>
        </w:rPr>
        <w:t>.</w:t>
      </w:r>
    </w:p>
    <w:p w14:paraId="70E4849C"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في المقابل، جاءت فعالية التواصل مع العميل أثناء تنفيذ المشروع في المرتبة الأخيرة بمتوسط (3.6667)، مع بقاء مستوى التحقق مرتفعًا. وقد يشير ذلك إلى أن وجود قنوات اتصال لا يعني بالضرورة أن الاتصال يتم دائمًا بالسرعة أو الوضوح أو الانتظام المطلوب. فالمشاريع الإنشائية تتضمن عادةً شبكة معقدة من الأطراف، تشمل المالك والمقاول والاستشاري والموردين والجهات التنظيمية، وقد يؤدي تعدد مستويات الاتصال إلى تأخر انتقال المعلومات أو اختلاف تفسيرها</w:t>
      </w:r>
      <w:r w:rsidRPr="00445A5B">
        <w:rPr>
          <w:rFonts w:ascii="Traditional Arabic" w:eastAsia="Times New Roman" w:hAnsi="Traditional Arabic" w:cs="Traditional Arabic"/>
          <w:sz w:val="28"/>
          <w:szCs w:val="28"/>
          <w:highlight w:val="green"/>
        </w:rPr>
        <w:t>.</w:t>
      </w:r>
    </w:p>
    <w:p w14:paraId="09C0369B"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جاء تحقيق متطلبات وتوقعات العميل من حيث الجودة والتكلفة والمدة بمتوسط (3.6702)، وهو متوسط قريب من متوسط التواصل الفعال. ويشير ذلك إلى أن رضا العميل يتشكل من تفاعل عدة عناصر، وليس من عامل منفرد؛ فحتى مع تحقيق مستوى جيد من الجودة، قد تتأثر درجة الرضا إذا حدث تجاوز في التكلفة أو تأخير في التسليم، والعكس صحيح</w:t>
      </w:r>
      <w:r w:rsidRPr="00445A5B">
        <w:rPr>
          <w:rFonts w:ascii="Traditional Arabic" w:eastAsia="Times New Roman" w:hAnsi="Traditional Arabic" w:cs="Traditional Arabic"/>
          <w:sz w:val="28"/>
          <w:szCs w:val="28"/>
          <w:highlight w:val="green"/>
        </w:rPr>
        <w:t>.</w:t>
      </w:r>
    </w:p>
    <w:p w14:paraId="2DFB9B5F"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وبناءً عليه، تشير النتائج إلى أن رضا العملاء في المشاريع محل الدراسة يتأثر بدرجة كبيرة بقدرة الشركة على إدارة العلاقة مع العميل طوال دورة التنفيذ، وليس فقط بتقييم المخرجات النهائية. ومن ثم، فإن تحسين هذا البعد يتطلب تطوير التواصل المنتظم، وإدارة توقعات العملاء منذ المراحل الأولى، وتوفير آليات واضحة وسريعة لمعالجة الملاحظات والشكاوى، بما يعزز الثقة ويقلل الفجوة بين ما يتوقعه العميل وما يتم إنجازه فعليًا</w:t>
      </w:r>
      <w:r w:rsidRPr="00445A5B">
        <w:rPr>
          <w:rFonts w:ascii="Traditional Arabic" w:eastAsia="Times New Roman" w:hAnsi="Traditional Arabic" w:cs="Traditional Arabic"/>
          <w:sz w:val="28"/>
          <w:szCs w:val="28"/>
          <w:highlight w:val="green"/>
        </w:rPr>
        <w:t>.</w:t>
      </w:r>
    </w:p>
    <w:p w14:paraId="288454C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(4.16) </w:t>
      </w:r>
      <w:r w:rsidRPr="00445A5B">
        <w:rPr>
          <w:rFonts w:ascii="Traditional Arabic" w:eastAsia="Times New Roman" w:hAnsi="Traditional Arabic" w:cs="Traditional Arabic"/>
          <w:sz w:val="28"/>
          <w:szCs w:val="28"/>
          <w:rtl/>
        </w:rPr>
        <w:t>الإحصاءات الوصفية لعبارات البيئة الداعمة للاستدامة (الدعم المؤسسي والتنظيمي)</w:t>
      </w:r>
    </w:p>
    <w:tbl>
      <w:tblPr>
        <w:tblStyle w:val="TableGrid"/>
        <w:bidiVisual/>
        <w:tblW w:w="5000" w:type="pct"/>
        <w:jc w:val="center"/>
        <w:tblLook w:val="04A0" w:firstRow="1" w:lastRow="0" w:firstColumn="1" w:lastColumn="0" w:noHBand="0" w:noVBand="1"/>
      </w:tblPr>
      <w:tblGrid>
        <w:gridCol w:w="4150"/>
        <w:gridCol w:w="1185"/>
        <w:gridCol w:w="1215"/>
        <w:gridCol w:w="709"/>
        <w:gridCol w:w="1037"/>
      </w:tblGrid>
      <w:tr w:rsidR="000E666F" w:rsidRPr="00445A5B" w14:paraId="51F7EBA4" w14:textId="77777777" w:rsidTr="004F3CC9">
        <w:trPr>
          <w:jc w:val="center"/>
        </w:trPr>
        <w:tc>
          <w:tcPr>
            <w:tcW w:w="0" w:type="auto"/>
            <w:vAlign w:val="center"/>
            <w:hideMark/>
          </w:tcPr>
          <w:p w14:paraId="77B5BBF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lastRenderedPageBreak/>
              <w:t>العبارة</w:t>
            </w:r>
          </w:p>
        </w:tc>
        <w:tc>
          <w:tcPr>
            <w:tcW w:w="0" w:type="auto"/>
            <w:vAlign w:val="center"/>
            <w:hideMark/>
          </w:tcPr>
          <w:p w14:paraId="11F828B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المتوسط الحسابي</w:t>
            </w:r>
          </w:p>
        </w:tc>
        <w:tc>
          <w:tcPr>
            <w:tcW w:w="0" w:type="auto"/>
            <w:vAlign w:val="center"/>
            <w:hideMark/>
          </w:tcPr>
          <w:p w14:paraId="783E498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الانحراف المعياري</w:t>
            </w:r>
          </w:p>
        </w:tc>
        <w:tc>
          <w:tcPr>
            <w:tcW w:w="0" w:type="auto"/>
            <w:vAlign w:val="center"/>
            <w:hideMark/>
          </w:tcPr>
          <w:p w14:paraId="089856A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الترتيب</w:t>
            </w:r>
          </w:p>
        </w:tc>
        <w:tc>
          <w:tcPr>
            <w:tcW w:w="0" w:type="auto"/>
            <w:vAlign w:val="center"/>
            <w:hideMark/>
          </w:tcPr>
          <w:p w14:paraId="57401F2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التحقق</w:t>
            </w:r>
          </w:p>
        </w:tc>
      </w:tr>
      <w:tr w:rsidR="000E666F" w:rsidRPr="00445A5B" w14:paraId="6D03C222" w14:textId="77777777" w:rsidTr="004F3CC9">
        <w:trPr>
          <w:jc w:val="center"/>
        </w:trPr>
        <w:tc>
          <w:tcPr>
            <w:tcW w:w="0" w:type="auto"/>
            <w:vAlign w:val="center"/>
            <w:hideMark/>
          </w:tcPr>
          <w:p w14:paraId="2F17CF9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توجد سياسات وتشريعات حكومية واضحة تشجع الشركات على تطبيق ممارسات الاستدامة</w:t>
            </w:r>
            <w:r w:rsidRPr="00445A5B">
              <w:rPr>
                <w:rFonts w:ascii="Traditional Arabic" w:eastAsia="Times New Roman" w:hAnsi="Traditional Arabic" w:cs="Traditional Arabic"/>
                <w:sz w:val="28"/>
                <w:szCs w:val="28"/>
              </w:rPr>
              <w:t>.</w:t>
            </w:r>
          </w:p>
        </w:tc>
        <w:tc>
          <w:tcPr>
            <w:tcW w:w="0" w:type="auto"/>
            <w:vAlign w:val="center"/>
            <w:hideMark/>
          </w:tcPr>
          <w:p w14:paraId="3F82B11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3.7579</w:t>
            </w:r>
          </w:p>
        </w:tc>
        <w:tc>
          <w:tcPr>
            <w:tcW w:w="0" w:type="auto"/>
            <w:vAlign w:val="center"/>
            <w:hideMark/>
          </w:tcPr>
          <w:p w14:paraId="13D16B4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0.8687</w:t>
            </w:r>
          </w:p>
        </w:tc>
        <w:tc>
          <w:tcPr>
            <w:tcW w:w="0" w:type="auto"/>
            <w:vAlign w:val="center"/>
            <w:hideMark/>
          </w:tcPr>
          <w:p w14:paraId="640DFA3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w:t>
            </w:r>
          </w:p>
        </w:tc>
        <w:tc>
          <w:tcPr>
            <w:tcW w:w="0" w:type="auto"/>
            <w:vAlign w:val="center"/>
            <w:hideMark/>
          </w:tcPr>
          <w:p w14:paraId="0744948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1CB14E83" w14:textId="77777777" w:rsidTr="004F3CC9">
        <w:trPr>
          <w:jc w:val="center"/>
        </w:trPr>
        <w:tc>
          <w:tcPr>
            <w:tcW w:w="0" w:type="auto"/>
            <w:vAlign w:val="center"/>
            <w:hideMark/>
          </w:tcPr>
          <w:p w14:paraId="443B752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تلتزم الشركة بتطبيق الأنظمة واللوائح المتعلقة بالاستدامة الصادرة عن الجهات المختصة</w:t>
            </w:r>
            <w:r w:rsidRPr="00445A5B">
              <w:rPr>
                <w:rFonts w:ascii="Traditional Arabic" w:eastAsia="Times New Roman" w:hAnsi="Traditional Arabic" w:cs="Traditional Arabic"/>
                <w:sz w:val="28"/>
                <w:szCs w:val="28"/>
              </w:rPr>
              <w:t>.</w:t>
            </w:r>
          </w:p>
        </w:tc>
        <w:tc>
          <w:tcPr>
            <w:tcW w:w="0" w:type="auto"/>
            <w:vAlign w:val="center"/>
            <w:hideMark/>
          </w:tcPr>
          <w:p w14:paraId="380B560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3.7158</w:t>
            </w:r>
          </w:p>
        </w:tc>
        <w:tc>
          <w:tcPr>
            <w:tcW w:w="0" w:type="auto"/>
            <w:vAlign w:val="center"/>
            <w:hideMark/>
          </w:tcPr>
          <w:p w14:paraId="25F02F1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0.8307</w:t>
            </w:r>
          </w:p>
        </w:tc>
        <w:tc>
          <w:tcPr>
            <w:tcW w:w="0" w:type="auto"/>
            <w:vAlign w:val="center"/>
            <w:hideMark/>
          </w:tcPr>
          <w:p w14:paraId="0A4BA2C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w:t>
            </w:r>
          </w:p>
        </w:tc>
        <w:tc>
          <w:tcPr>
            <w:tcW w:w="0" w:type="auto"/>
            <w:vAlign w:val="center"/>
            <w:hideMark/>
          </w:tcPr>
          <w:p w14:paraId="12B09E3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7D778082" w14:textId="77777777" w:rsidTr="004F3CC9">
        <w:trPr>
          <w:jc w:val="center"/>
        </w:trPr>
        <w:tc>
          <w:tcPr>
            <w:tcW w:w="0" w:type="auto"/>
            <w:vAlign w:val="center"/>
            <w:hideMark/>
          </w:tcPr>
          <w:p w14:paraId="591DBE7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تسهم الحوافز الحكومية في تعزيز توجه الشركة نحو تبني ممارسات البناء المستدام</w:t>
            </w:r>
            <w:r w:rsidRPr="00445A5B">
              <w:rPr>
                <w:rFonts w:ascii="Traditional Arabic" w:eastAsia="Times New Roman" w:hAnsi="Traditional Arabic" w:cs="Traditional Arabic"/>
                <w:sz w:val="28"/>
                <w:szCs w:val="28"/>
              </w:rPr>
              <w:t>.</w:t>
            </w:r>
          </w:p>
        </w:tc>
        <w:tc>
          <w:tcPr>
            <w:tcW w:w="0" w:type="auto"/>
            <w:vAlign w:val="center"/>
            <w:hideMark/>
          </w:tcPr>
          <w:p w14:paraId="6520FB5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3.7088</w:t>
            </w:r>
          </w:p>
        </w:tc>
        <w:tc>
          <w:tcPr>
            <w:tcW w:w="0" w:type="auto"/>
            <w:vAlign w:val="center"/>
            <w:hideMark/>
          </w:tcPr>
          <w:p w14:paraId="3D578BE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0.9170</w:t>
            </w:r>
          </w:p>
        </w:tc>
        <w:tc>
          <w:tcPr>
            <w:tcW w:w="0" w:type="auto"/>
            <w:vAlign w:val="center"/>
            <w:hideMark/>
          </w:tcPr>
          <w:p w14:paraId="629EFF7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7</w:t>
            </w:r>
          </w:p>
        </w:tc>
        <w:tc>
          <w:tcPr>
            <w:tcW w:w="0" w:type="auto"/>
            <w:vAlign w:val="center"/>
            <w:hideMark/>
          </w:tcPr>
          <w:p w14:paraId="08BAB32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690E152E" w14:textId="77777777" w:rsidTr="004F3CC9">
        <w:trPr>
          <w:jc w:val="center"/>
        </w:trPr>
        <w:tc>
          <w:tcPr>
            <w:tcW w:w="0" w:type="auto"/>
            <w:vAlign w:val="center"/>
            <w:hideMark/>
          </w:tcPr>
          <w:p w14:paraId="6C89F4E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تساعد متطلبات الجهات التنظيمية في دمج الاستدامة ضمن مراحل تنفيذ المشروع</w:t>
            </w:r>
            <w:r w:rsidRPr="00445A5B">
              <w:rPr>
                <w:rFonts w:ascii="Traditional Arabic" w:eastAsia="Times New Roman" w:hAnsi="Traditional Arabic" w:cs="Traditional Arabic"/>
                <w:sz w:val="28"/>
                <w:szCs w:val="28"/>
              </w:rPr>
              <w:t>.</w:t>
            </w:r>
          </w:p>
        </w:tc>
        <w:tc>
          <w:tcPr>
            <w:tcW w:w="0" w:type="auto"/>
            <w:vAlign w:val="center"/>
            <w:hideMark/>
          </w:tcPr>
          <w:p w14:paraId="038567E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3.7263</w:t>
            </w:r>
          </w:p>
        </w:tc>
        <w:tc>
          <w:tcPr>
            <w:tcW w:w="0" w:type="auto"/>
            <w:vAlign w:val="center"/>
            <w:hideMark/>
          </w:tcPr>
          <w:p w14:paraId="2FEF2FD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0.8020</w:t>
            </w:r>
          </w:p>
        </w:tc>
        <w:tc>
          <w:tcPr>
            <w:tcW w:w="0" w:type="auto"/>
            <w:vAlign w:val="center"/>
            <w:hideMark/>
          </w:tcPr>
          <w:p w14:paraId="060AB2F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w:t>
            </w:r>
          </w:p>
        </w:tc>
        <w:tc>
          <w:tcPr>
            <w:tcW w:w="0" w:type="auto"/>
            <w:vAlign w:val="center"/>
            <w:hideMark/>
          </w:tcPr>
          <w:p w14:paraId="63810E4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76B04803" w14:textId="77777777" w:rsidTr="004F3CC9">
        <w:trPr>
          <w:jc w:val="center"/>
        </w:trPr>
        <w:tc>
          <w:tcPr>
            <w:tcW w:w="0" w:type="auto"/>
            <w:vAlign w:val="center"/>
            <w:hideMark/>
          </w:tcPr>
          <w:p w14:paraId="5C4F7FE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يتمتع العاملون في المشاريع الإنشائية بوعي كافٍ بمفاهيم وممارسات الاستدامة</w:t>
            </w:r>
            <w:r w:rsidRPr="00445A5B">
              <w:rPr>
                <w:rFonts w:ascii="Traditional Arabic" w:eastAsia="Times New Roman" w:hAnsi="Traditional Arabic" w:cs="Traditional Arabic"/>
                <w:sz w:val="28"/>
                <w:szCs w:val="28"/>
              </w:rPr>
              <w:t>.</w:t>
            </w:r>
          </w:p>
        </w:tc>
        <w:tc>
          <w:tcPr>
            <w:tcW w:w="0" w:type="auto"/>
            <w:vAlign w:val="center"/>
            <w:hideMark/>
          </w:tcPr>
          <w:p w14:paraId="70EB3E0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3.5368</w:t>
            </w:r>
          </w:p>
        </w:tc>
        <w:tc>
          <w:tcPr>
            <w:tcW w:w="0" w:type="auto"/>
            <w:vAlign w:val="center"/>
            <w:hideMark/>
          </w:tcPr>
          <w:p w14:paraId="0BB75C5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1.0462</w:t>
            </w:r>
          </w:p>
        </w:tc>
        <w:tc>
          <w:tcPr>
            <w:tcW w:w="0" w:type="auto"/>
            <w:vAlign w:val="center"/>
            <w:hideMark/>
          </w:tcPr>
          <w:p w14:paraId="145E990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9</w:t>
            </w:r>
          </w:p>
        </w:tc>
        <w:tc>
          <w:tcPr>
            <w:tcW w:w="0" w:type="auto"/>
            <w:vAlign w:val="center"/>
            <w:hideMark/>
          </w:tcPr>
          <w:p w14:paraId="0C215B1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1B2CEB1C" w14:textId="77777777" w:rsidTr="004F3CC9">
        <w:trPr>
          <w:jc w:val="center"/>
        </w:trPr>
        <w:tc>
          <w:tcPr>
            <w:tcW w:w="0" w:type="auto"/>
            <w:vAlign w:val="center"/>
            <w:hideMark/>
          </w:tcPr>
          <w:p w14:paraId="63C77FF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تحرص إدارة الشركة على نشر ثقافة الاستدامة بين العاملين في المشاريع</w:t>
            </w:r>
            <w:r w:rsidRPr="00445A5B">
              <w:rPr>
                <w:rFonts w:ascii="Traditional Arabic" w:eastAsia="Times New Roman" w:hAnsi="Traditional Arabic" w:cs="Traditional Arabic"/>
                <w:sz w:val="28"/>
                <w:szCs w:val="28"/>
              </w:rPr>
              <w:t>.</w:t>
            </w:r>
          </w:p>
        </w:tc>
        <w:tc>
          <w:tcPr>
            <w:tcW w:w="0" w:type="auto"/>
            <w:vAlign w:val="center"/>
            <w:hideMark/>
          </w:tcPr>
          <w:p w14:paraId="77842D4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3.5754</w:t>
            </w:r>
          </w:p>
        </w:tc>
        <w:tc>
          <w:tcPr>
            <w:tcW w:w="0" w:type="auto"/>
            <w:vAlign w:val="center"/>
            <w:hideMark/>
          </w:tcPr>
          <w:p w14:paraId="24C99F6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0.9816</w:t>
            </w:r>
          </w:p>
        </w:tc>
        <w:tc>
          <w:tcPr>
            <w:tcW w:w="0" w:type="auto"/>
            <w:vAlign w:val="center"/>
            <w:hideMark/>
          </w:tcPr>
          <w:p w14:paraId="65F555F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8</w:t>
            </w:r>
          </w:p>
        </w:tc>
        <w:tc>
          <w:tcPr>
            <w:tcW w:w="0" w:type="auto"/>
            <w:vAlign w:val="center"/>
            <w:hideMark/>
          </w:tcPr>
          <w:p w14:paraId="0FF0926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358472FF" w14:textId="77777777" w:rsidTr="004F3CC9">
        <w:trPr>
          <w:jc w:val="center"/>
        </w:trPr>
        <w:tc>
          <w:tcPr>
            <w:tcW w:w="0" w:type="auto"/>
            <w:vAlign w:val="center"/>
            <w:hideMark/>
          </w:tcPr>
          <w:p w14:paraId="2544506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يتم تقديم برامج تدريبية أو توعوية لتعزيز تطبيق ممارسات الاستدامة</w:t>
            </w:r>
            <w:r w:rsidRPr="00445A5B">
              <w:rPr>
                <w:rFonts w:ascii="Traditional Arabic" w:eastAsia="Times New Roman" w:hAnsi="Traditional Arabic" w:cs="Traditional Arabic"/>
                <w:sz w:val="28"/>
                <w:szCs w:val="28"/>
              </w:rPr>
              <w:t>.</w:t>
            </w:r>
          </w:p>
        </w:tc>
        <w:tc>
          <w:tcPr>
            <w:tcW w:w="0" w:type="auto"/>
            <w:vAlign w:val="center"/>
            <w:hideMark/>
          </w:tcPr>
          <w:p w14:paraId="48CDB1A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3.4491</w:t>
            </w:r>
          </w:p>
        </w:tc>
        <w:tc>
          <w:tcPr>
            <w:tcW w:w="0" w:type="auto"/>
            <w:vAlign w:val="center"/>
            <w:hideMark/>
          </w:tcPr>
          <w:p w14:paraId="1625F20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0.9938</w:t>
            </w:r>
          </w:p>
        </w:tc>
        <w:tc>
          <w:tcPr>
            <w:tcW w:w="0" w:type="auto"/>
            <w:vAlign w:val="center"/>
            <w:hideMark/>
          </w:tcPr>
          <w:p w14:paraId="48C372A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w:t>
            </w:r>
          </w:p>
        </w:tc>
        <w:tc>
          <w:tcPr>
            <w:tcW w:w="0" w:type="auto"/>
            <w:vAlign w:val="center"/>
            <w:hideMark/>
          </w:tcPr>
          <w:p w14:paraId="0D13392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متوسط</w:t>
            </w:r>
          </w:p>
        </w:tc>
      </w:tr>
      <w:tr w:rsidR="000E666F" w:rsidRPr="00445A5B" w14:paraId="0274D028" w14:textId="77777777" w:rsidTr="004F3CC9">
        <w:trPr>
          <w:jc w:val="center"/>
        </w:trPr>
        <w:tc>
          <w:tcPr>
            <w:tcW w:w="0" w:type="auto"/>
            <w:vAlign w:val="center"/>
            <w:hideMark/>
          </w:tcPr>
          <w:p w14:paraId="353C74B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ينعكس وعي العاملين بالاستدامة إيجابًا على أساليب تنفيذ المشاريع</w:t>
            </w:r>
            <w:r w:rsidRPr="00445A5B">
              <w:rPr>
                <w:rFonts w:ascii="Traditional Arabic" w:eastAsia="Times New Roman" w:hAnsi="Traditional Arabic" w:cs="Traditional Arabic"/>
                <w:sz w:val="28"/>
                <w:szCs w:val="28"/>
              </w:rPr>
              <w:t>.</w:t>
            </w:r>
          </w:p>
        </w:tc>
        <w:tc>
          <w:tcPr>
            <w:tcW w:w="0" w:type="auto"/>
            <w:vAlign w:val="center"/>
            <w:hideMark/>
          </w:tcPr>
          <w:p w14:paraId="6B5615F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3.8456</w:t>
            </w:r>
          </w:p>
        </w:tc>
        <w:tc>
          <w:tcPr>
            <w:tcW w:w="0" w:type="auto"/>
            <w:vAlign w:val="center"/>
            <w:hideMark/>
          </w:tcPr>
          <w:p w14:paraId="6094EF1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0.8624</w:t>
            </w:r>
          </w:p>
        </w:tc>
        <w:tc>
          <w:tcPr>
            <w:tcW w:w="0" w:type="auto"/>
            <w:vAlign w:val="center"/>
            <w:hideMark/>
          </w:tcPr>
          <w:p w14:paraId="4CA4D05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w:t>
            </w:r>
          </w:p>
        </w:tc>
        <w:tc>
          <w:tcPr>
            <w:tcW w:w="0" w:type="auto"/>
            <w:vAlign w:val="center"/>
            <w:hideMark/>
          </w:tcPr>
          <w:p w14:paraId="69DA9AE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315B6DCE" w14:textId="77777777" w:rsidTr="004F3CC9">
        <w:trPr>
          <w:jc w:val="center"/>
        </w:trPr>
        <w:tc>
          <w:tcPr>
            <w:tcW w:w="0" w:type="auto"/>
            <w:vAlign w:val="center"/>
            <w:hideMark/>
          </w:tcPr>
          <w:p w14:paraId="5662524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يسهم حجم المشروع في تسهيل أو تعزيز تطبيق ممارسات الاستدامة أثناء التنفيذ</w:t>
            </w:r>
            <w:r w:rsidRPr="00445A5B">
              <w:rPr>
                <w:rFonts w:ascii="Traditional Arabic" w:eastAsia="Times New Roman" w:hAnsi="Traditional Arabic" w:cs="Traditional Arabic"/>
                <w:sz w:val="28"/>
                <w:szCs w:val="28"/>
              </w:rPr>
              <w:t>.</w:t>
            </w:r>
          </w:p>
        </w:tc>
        <w:tc>
          <w:tcPr>
            <w:tcW w:w="0" w:type="auto"/>
            <w:vAlign w:val="center"/>
            <w:hideMark/>
          </w:tcPr>
          <w:p w14:paraId="14FADC5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3.8140</w:t>
            </w:r>
          </w:p>
        </w:tc>
        <w:tc>
          <w:tcPr>
            <w:tcW w:w="0" w:type="auto"/>
            <w:vAlign w:val="center"/>
            <w:hideMark/>
          </w:tcPr>
          <w:p w14:paraId="76E3B3B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0.9329</w:t>
            </w:r>
          </w:p>
        </w:tc>
        <w:tc>
          <w:tcPr>
            <w:tcW w:w="0" w:type="auto"/>
            <w:vAlign w:val="center"/>
            <w:hideMark/>
          </w:tcPr>
          <w:p w14:paraId="187289F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w:t>
            </w:r>
          </w:p>
        </w:tc>
        <w:tc>
          <w:tcPr>
            <w:tcW w:w="0" w:type="auto"/>
            <w:vAlign w:val="center"/>
            <w:hideMark/>
          </w:tcPr>
          <w:p w14:paraId="7D228BD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1D0B4D54" w14:textId="77777777" w:rsidTr="004F3CC9">
        <w:trPr>
          <w:jc w:val="center"/>
        </w:trPr>
        <w:tc>
          <w:tcPr>
            <w:tcW w:w="0" w:type="auto"/>
            <w:vAlign w:val="center"/>
            <w:hideMark/>
          </w:tcPr>
          <w:p w14:paraId="1B90426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يؤثر نوع المشروع على مستوى الالتزام بتطبيق مبادئ الاستدامة</w:t>
            </w:r>
            <w:r w:rsidRPr="00445A5B">
              <w:rPr>
                <w:rFonts w:ascii="Traditional Arabic" w:eastAsia="Times New Roman" w:hAnsi="Traditional Arabic" w:cs="Traditional Arabic"/>
                <w:sz w:val="28"/>
                <w:szCs w:val="28"/>
              </w:rPr>
              <w:t>.</w:t>
            </w:r>
          </w:p>
        </w:tc>
        <w:tc>
          <w:tcPr>
            <w:tcW w:w="0" w:type="auto"/>
            <w:vAlign w:val="center"/>
            <w:hideMark/>
          </w:tcPr>
          <w:p w14:paraId="084FC5E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3.7298</w:t>
            </w:r>
          </w:p>
        </w:tc>
        <w:tc>
          <w:tcPr>
            <w:tcW w:w="0" w:type="auto"/>
            <w:vAlign w:val="center"/>
            <w:hideMark/>
          </w:tcPr>
          <w:p w14:paraId="7768050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1.0315</w:t>
            </w:r>
          </w:p>
        </w:tc>
        <w:tc>
          <w:tcPr>
            <w:tcW w:w="0" w:type="auto"/>
            <w:vAlign w:val="center"/>
            <w:hideMark/>
          </w:tcPr>
          <w:p w14:paraId="6C95129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w:t>
            </w:r>
          </w:p>
        </w:tc>
        <w:tc>
          <w:tcPr>
            <w:tcW w:w="0" w:type="auto"/>
            <w:vAlign w:val="center"/>
            <w:hideMark/>
          </w:tcPr>
          <w:p w14:paraId="2DF7F8A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5F1D7BA8" w14:textId="77777777" w:rsidTr="004F3CC9">
        <w:trPr>
          <w:jc w:val="center"/>
        </w:trPr>
        <w:tc>
          <w:tcPr>
            <w:tcW w:w="0" w:type="auto"/>
            <w:vAlign w:val="center"/>
            <w:hideMark/>
          </w:tcPr>
          <w:p w14:paraId="55A2528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تتيح المشاريع الكبيرة فرصًا أكبر لتطبيق تقنيات وأساليب البناء المستدام</w:t>
            </w:r>
            <w:r w:rsidRPr="00445A5B">
              <w:rPr>
                <w:rFonts w:ascii="Traditional Arabic" w:eastAsia="Times New Roman" w:hAnsi="Traditional Arabic" w:cs="Traditional Arabic"/>
                <w:sz w:val="28"/>
                <w:szCs w:val="28"/>
              </w:rPr>
              <w:t>.</w:t>
            </w:r>
          </w:p>
        </w:tc>
        <w:tc>
          <w:tcPr>
            <w:tcW w:w="0" w:type="auto"/>
            <w:vAlign w:val="center"/>
            <w:hideMark/>
          </w:tcPr>
          <w:p w14:paraId="4F43E12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3.8772</w:t>
            </w:r>
          </w:p>
        </w:tc>
        <w:tc>
          <w:tcPr>
            <w:tcW w:w="0" w:type="auto"/>
            <w:vAlign w:val="center"/>
            <w:hideMark/>
          </w:tcPr>
          <w:p w14:paraId="7A224BA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0.8735</w:t>
            </w:r>
          </w:p>
        </w:tc>
        <w:tc>
          <w:tcPr>
            <w:tcW w:w="0" w:type="auto"/>
            <w:vAlign w:val="center"/>
            <w:hideMark/>
          </w:tcPr>
          <w:p w14:paraId="10BDD48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w:t>
            </w:r>
          </w:p>
        </w:tc>
        <w:tc>
          <w:tcPr>
            <w:tcW w:w="0" w:type="auto"/>
            <w:vAlign w:val="center"/>
            <w:hideMark/>
          </w:tcPr>
          <w:p w14:paraId="5D8F578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r w:rsidR="000E666F" w:rsidRPr="00445A5B" w14:paraId="71916966" w14:textId="77777777" w:rsidTr="004F3CC9">
        <w:trPr>
          <w:jc w:val="center"/>
        </w:trPr>
        <w:tc>
          <w:tcPr>
            <w:tcW w:w="0" w:type="auto"/>
            <w:vAlign w:val="center"/>
            <w:hideMark/>
          </w:tcPr>
          <w:p w14:paraId="091DBCE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lastRenderedPageBreak/>
              <w:t>يتم أخذ متطلبات الاستدامة في الاعتبار عند التخطيط لمختلف أنواع المشاريع</w:t>
            </w:r>
            <w:r w:rsidRPr="00445A5B">
              <w:rPr>
                <w:rFonts w:ascii="Traditional Arabic" w:eastAsia="Times New Roman" w:hAnsi="Traditional Arabic" w:cs="Traditional Arabic"/>
                <w:sz w:val="28"/>
                <w:szCs w:val="28"/>
              </w:rPr>
              <w:t>.</w:t>
            </w:r>
          </w:p>
        </w:tc>
        <w:tc>
          <w:tcPr>
            <w:tcW w:w="0" w:type="auto"/>
            <w:vAlign w:val="center"/>
            <w:hideMark/>
          </w:tcPr>
          <w:p w14:paraId="54E5318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3.6737</w:t>
            </w:r>
          </w:p>
        </w:tc>
        <w:tc>
          <w:tcPr>
            <w:tcW w:w="0" w:type="auto"/>
            <w:vAlign w:val="center"/>
            <w:hideMark/>
          </w:tcPr>
          <w:p w14:paraId="77A9DDA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0.8279</w:t>
            </w:r>
          </w:p>
        </w:tc>
        <w:tc>
          <w:tcPr>
            <w:tcW w:w="0" w:type="auto"/>
            <w:vAlign w:val="center"/>
            <w:hideMark/>
          </w:tcPr>
          <w:p w14:paraId="4AAA740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7</w:t>
            </w:r>
          </w:p>
        </w:tc>
        <w:tc>
          <w:tcPr>
            <w:tcW w:w="0" w:type="auto"/>
            <w:vAlign w:val="center"/>
            <w:hideMark/>
          </w:tcPr>
          <w:p w14:paraId="0831979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مرتفع</w:t>
            </w:r>
          </w:p>
        </w:tc>
      </w:tr>
    </w:tbl>
    <w:p w14:paraId="72855D52"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rPr>
        <w:t xml:space="preserve"> </w:t>
      </w: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highlight w:val="green"/>
          <w:rtl/>
        </w:rPr>
        <w:t>تكشف نتائج جدول (</w:t>
      </w:r>
      <w:r w:rsidRPr="00445A5B">
        <w:rPr>
          <w:rFonts w:ascii="Traditional Arabic" w:eastAsia="Times New Roman" w:hAnsi="Traditional Arabic" w:cs="Traditional Arabic"/>
          <w:sz w:val="28"/>
          <w:szCs w:val="28"/>
          <w:highlight w:val="green"/>
        </w:rPr>
        <w:t>4.16</w:t>
      </w:r>
      <w:r w:rsidRPr="00445A5B">
        <w:rPr>
          <w:rFonts w:ascii="Traditional Arabic" w:eastAsia="Times New Roman" w:hAnsi="Traditional Arabic" w:cs="Traditional Arabic"/>
          <w:sz w:val="28"/>
          <w:szCs w:val="28"/>
          <w:highlight w:val="green"/>
          <w:rtl/>
        </w:rPr>
        <w:t>) أن البيئة الداعمة للاستدامة تتسم بتفاوت واضح بين مكوناتها المؤسسية والتنظيمية، ومكوناتها المرتبطة ببناء القدرات والوعي، والعوامل الخاصة بخصائص المشروع. ولذلك فإن المتوسط العام المرتفع لهذا المحور لا يعكس تجانسًا كاملًا في جميع عناصر البيئة الداعمة، بل يشير إلى أن بعض العوامل توفر دعمًا قويًا لتطبيق الاستدامة، في حين تظل عوامل أخرى بحاجة إلى مزيد من التطوير</w:t>
      </w:r>
      <w:r w:rsidRPr="00445A5B">
        <w:rPr>
          <w:rFonts w:ascii="Traditional Arabic" w:eastAsia="Times New Roman" w:hAnsi="Traditional Arabic" w:cs="Traditional Arabic"/>
          <w:sz w:val="28"/>
          <w:szCs w:val="28"/>
          <w:highlight w:val="green"/>
        </w:rPr>
        <w:t>.</w:t>
      </w:r>
    </w:p>
    <w:p w14:paraId="015A08F5"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وتبرز خصائص المشروع بوصفها أحد أهم العوامل المرتبطة بتسهيل تطبيق الاستدامة؛ فقد جاءت العبارة المتعلقة بإتاحة المشاريع الكبيرة فرصًا أكبر لتطبيق تقنيات وأساليب البناء المستدام في المرتبة الأولى، بمتوسط حسابي بلغ (3.8772). كما جاءت العبارة الخاصة بانعكاس وعي العاملين بالاستدامة إيجابًا على أساليب تنفيذ المشاريع في المرتبة الثانية بمتوسط (3.8456)، تلتها أهمية حجم المشروع بمتوسط (3.8140). ويشير هذا الترتيب إلى أن تطبيق الاستدامة لا يتحدد فقط بوجود السياسات واللوائح، بل يتأثر أيضًا بقدرة المشروع على توفير الموارد والقدرات اللازمة لتحويل مبادئ الاستدامة إلى ممارسات تنفيذية</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فحجم المشروع قد يتيح موارد مالية وتقنية وتنظيمية أكبر، في حين يمثل وعي العاملين الآلية التي تنتقل من خلالها أهداف الاستدامة إلى الممارسة اليومية في موقع العمل</w:t>
      </w:r>
      <w:r w:rsidRPr="00445A5B">
        <w:rPr>
          <w:rFonts w:ascii="Traditional Arabic" w:eastAsia="Times New Roman" w:hAnsi="Traditional Arabic" w:cs="Traditional Arabic"/>
          <w:sz w:val="28"/>
          <w:szCs w:val="28"/>
          <w:highlight w:val="green"/>
        </w:rPr>
        <w:t>.</w:t>
      </w:r>
    </w:p>
    <w:p w14:paraId="76163D59"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وتكشف النتائج في الوقت نفسه عن وجود فجوة بين أثر الوعي بالاستدامة وبين الجهود المؤسسية المباشرة لبناء هذا الوعي. فعلى الرغم من أن انعكاس وعي العاملين على أساليب التنفيذ حصل على متوسط مرتفع (3.8456)، فإن الوعي الكافي لدى العاملين جاء عند مستوى متوسط (3.5368)، كما جاءت جهود الإدارة لنشر ثقافة الاستدامة بمتوسط متوسط (3.5754)، وسجلت البرامج التدريبية والتوعوية أدنى متوسط في الجدول (3.4491). ويشير هذا النمط إلى أن المؤسسات تدرك القيمة التطبيقية للوعي بالاستدامة، إلا أن الآليات المنظمة لتكوين هذا الوعي وتطويره، وخاصة التدريب والتوعية، لا تزال أقل قوة من أثر الوعي ذاته</w:t>
      </w:r>
      <w:r w:rsidRPr="00445A5B">
        <w:rPr>
          <w:rFonts w:ascii="Traditional Arabic" w:eastAsia="Times New Roman" w:hAnsi="Traditional Arabic" w:cs="Traditional Arabic"/>
          <w:sz w:val="28"/>
          <w:szCs w:val="28"/>
          <w:highlight w:val="green"/>
        </w:rPr>
        <w:t>.</w:t>
      </w:r>
    </w:p>
    <w:p w14:paraId="4E3C6ED3"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ومن ثم، فإن انخفاض متوسط التدريب لا ينبغي تفسيره فقط باعتباره نقصًا في الاهتمام بالاستدامة، بل قد يعكس اعتمادًا أكبر على الخبرة العملية والتعلم أثناء العمل مقارنة ببرامج التدريب المؤسسية المنظمة. غير أن طبيعة المشاريع الإنشائية، وتنوع العاملين والمقاولين والمهن، تجعل الاعتماد على الخبرة غير المنظمة غير كافٍ لضمان توحيد ممارسات الاستدامة. ولذلك تكتسب برامج التدريب والتوعية أهمية خاصة باعتبارها وسيلة لتحويل الاستدامة من معرفة عامة إلى إجراءات تنفيذية محددة داخل موقع المشروع</w:t>
      </w:r>
      <w:r w:rsidRPr="00445A5B">
        <w:rPr>
          <w:rFonts w:ascii="Traditional Arabic" w:eastAsia="Times New Roman" w:hAnsi="Traditional Arabic" w:cs="Traditional Arabic"/>
          <w:sz w:val="28"/>
          <w:szCs w:val="28"/>
          <w:highlight w:val="green"/>
        </w:rPr>
        <w:t>.</w:t>
      </w:r>
    </w:p>
    <w:p w14:paraId="7F7484D1"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 xml:space="preserve">أما العبارات المتعلقة بالدعم الحكومي والتنظيمي، فقد جاءت جميعها عند مستوى مرتفع، مع تفاوت محدود في المتوسطات، إذ حصل وضوح السياسات والتشريعات الحكومية على متوسط (3.7579)، بينما سجلت الحوافز الحكومية أدنى متوسط ضمن هذا الجزء (3.7088). ويشير ذلك إلى أن وجود الإطار التنظيمي والسياسات الداعمة يمثل عنصرًا حاضرًا في البيئة المحيطة بالمشروعات، إلا أن أثر الحوافز قد يكون أقل وضوحًا من أثر المتطلبات التنظيمية المباشرة. وبعبارة </w:t>
      </w:r>
      <w:r w:rsidRPr="00445A5B">
        <w:rPr>
          <w:rFonts w:ascii="Traditional Arabic" w:eastAsia="Times New Roman" w:hAnsi="Traditional Arabic" w:cs="Traditional Arabic"/>
          <w:sz w:val="28"/>
          <w:szCs w:val="28"/>
          <w:highlight w:val="green"/>
          <w:rtl/>
        </w:rPr>
        <w:lastRenderedPageBreak/>
        <w:t>أخرى، يبدو أن الدعم المؤسسي والتنظيمي يعمل بصورة أكبر من خلال تحديد المتطلبات والالتزامات مقارنة بتقديم حوافز اقتصادية مباشرة تدفع الشركات إلى تجاوز الحد الأدنى من الامتثال</w:t>
      </w:r>
      <w:r w:rsidRPr="00445A5B">
        <w:rPr>
          <w:rFonts w:ascii="Traditional Arabic" w:eastAsia="Times New Roman" w:hAnsi="Traditional Arabic" w:cs="Traditional Arabic"/>
          <w:sz w:val="28"/>
          <w:szCs w:val="28"/>
          <w:highlight w:val="green"/>
        </w:rPr>
        <w:t>.</w:t>
      </w:r>
    </w:p>
    <w:p w14:paraId="341842E8" w14:textId="77777777" w:rsidR="000E666F" w:rsidRPr="00445A5B" w:rsidRDefault="000E666F" w:rsidP="000E666F">
      <w:pPr>
        <w:bidi/>
        <w:jc w:val="both"/>
        <w:rPr>
          <w:rFonts w:ascii="Traditional Arabic" w:eastAsia="Times New Roman" w:hAnsi="Traditional Arabic" w:cs="Traditional Arabic"/>
          <w:sz w:val="28"/>
          <w:szCs w:val="28"/>
          <w:highlight w:val="green"/>
        </w:rPr>
      </w:pPr>
      <w:r w:rsidRPr="00445A5B">
        <w:rPr>
          <w:rFonts w:ascii="Traditional Arabic" w:eastAsia="Times New Roman" w:hAnsi="Traditional Arabic" w:cs="Traditional Arabic"/>
          <w:sz w:val="28"/>
          <w:szCs w:val="28"/>
          <w:highlight w:val="green"/>
          <w:rtl/>
        </w:rPr>
        <w:t>كما أن ارتباط مستوى تطبيق الاستدامة بنوع المشروع، بمتوسط (3.7298)، وأخذ متطلبات الاستدامة في الاعتبار عند التخطيط لمختلف أنواع المشاريع، بمتوسط (3.6737)، يشيران إلى أن خصائص المشروع تؤثر في قابلية تطبيق الممارسات المستدامة، مع وجود حاجة إلى ضمان ألا تقتصر الاستدامة على المشاريع الكبيرة أو ذات الموارد المرتفعة. فالتحدي المؤسسي لا يتمثل فقط في توفير فرص أكبر للمشاريع القادرة على تطبيق التقنيات المستدامة، بل في تطوير آليات تجعل متطلبات الاستدامة قابلة للتطبيق عبر أنواع مختلفة من المشاريع</w:t>
      </w:r>
      <w:r w:rsidRPr="00445A5B">
        <w:rPr>
          <w:rFonts w:ascii="Traditional Arabic" w:eastAsia="Times New Roman" w:hAnsi="Traditional Arabic" w:cs="Traditional Arabic"/>
          <w:sz w:val="28"/>
          <w:szCs w:val="28"/>
          <w:highlight w:val="green"/>
        </w:rPr>
        <w:t>.</w:t>
      </w:r>
    </w:p>
    <w:p w14:paraId="21CB9739"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green"/>
          <w:rtl/>
        </w:rPr>
        <w:t>وعليه، تكشف نتائج هذا الجدول عن أن أقوى عناصر البيئة الداعمة تتمثل في حجم المشروع، والفرص التي تتيحها المشاريع الكبيرة، والأثر التطبيقي لوعي العاملين، بينما يمثل التدريب والتوعية المنظمة الحلقة الأضعف</w:t>
      </w:r>
      <w:r w:rsidRPr="00445A5B">
        <w:rPr>
          <w:rFonts w:ascii="Traditional Arabic" w:eastAsia="Times New Roman" w:hAnsi="Traditional Arabic" w:cs="Traditional Arabic"/>
          <w:sz w:val="28"/>
          <w:szCs w:val="28"/>
          <w:highlight w:val="green"/>
        </w:rPr>
        <w:t xml:space="preserve">. </w:t>
      </w:r>
      <w:r w:rsidRPr="00445A5B">
        <w:rPr>
          <w:rFonts w:ascii="Traditional Arabic" w:eastAsia="Times New Roman" w:hAnsi="Traditional Arabic" w:cs="Traditional Arabic"/>
          <w:sz w:val="28"/>
          <w:szCs w:val="28"/>
          <w:highlight w:val="green"/>
          <w:rtl/>
        </w:rPr>
        <w:t>وتوضح هذه النتيجة أن تعزيز الاستدامة في قطاع الإنشاءات لا يتطلب فقط وجود تشريعات وسياسات داعمة، بل يحتاج إلى بناء قدرة مؤسسية مستمرة، من خلال تدريب العاملين، ونشر ثقافة الاستدامة، وربط متطلبات الاستدامة بمرحلة التخطيط وبخصائص المشروع، بما يضمن ألا تظل الممارسات المستدامة مرتبطة فقط بحجم المشروع أو موارده المتاحة</w:t>
      </w:r>
      <w:r w:rsidRPr="00445A5B">
        <w:rPr>
          <w:rFonts w:ascii="Traditional Arabic" w:eastAsia="Times New Roman" w:hAnsi="Traditional Arabic" w:cs="Traditional Arabic"/>
          <w:sz w:val="28"/>
          <w:szCs w:val="28"/>
          <w:highlight w:val="green"/>
        </w:rPr>
        <w:t>.</w:t>
      </w:r>
    </w:p>
    <w:p w14:paraId="1A75307D"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جدول (</w:t>
      </w:r>
      <w:r w:rsidRPr="00445A5B">
        <w:rPr>
          <w:rFonts w:ascii="Traditional Arabic" w:eastAsia="Times New Roman" w:hAnsi="Traditional Arabic" w:cs="Traditional Arabic"/>
          <w:sz w:val="28"/>
          <w:szCs w:val="28"/>
          <w:highlight w:val="yellow"/>
        </w:rPr>
        <w:t>4.17</w:t>
      </w:r>
      <w:r w:rsidRPr="00445A5B">
        <w:rPr>
          <w:rFonts w:ascii="Traditional Arabic" w:eastAsia="Times New Roman" w:hAnsi="Traditional Arabic" w:cs="Traditional Arabic"/>
          <w:sz w:val="28"/>
          <w:szCs w:val="28"/>
          <w:highlight w:val="yellow"/>
          <w:rtl/>
        </w:rPr>
        <w:t>) المتوسطات الحسابية والانحرافات المعيارية للأبعاد الرئيسة للدراسة</w:t>
      </w:r>
    </w:p>
    <w:tbl>
      <w:tblPr>
        <w:tblStyle w:val="TableGrid"/>
        <w:bidiVisual/>
        <w:tblW w:w="5000" w:type="pct"/>
        <w:tblLook w:val="04A0" w:firstRow="1" w:lastRow="0" w:firstColumn="1" w:lastColumn="0" w:noHBand="0" w:noVBand="1"/>
      </w:tblPr>
      <w:tblGrid>
        <w:gridCol w:w="2354"/>
        <w:gridCol w:w="1688"/>
        <w:gridCol w:w="1757"/>
        <w:gridCol w:w="1612"/>
        <w:gridCol w:w="885"/>
      </w:tblGrid>
      <w:tr w:rsidR="000E666F" w:rsidRPr="00445A5B" w14:paraId="75591DDE" w14:textId="77777777" w:rsidTr="004F3CC9">
        <w:tc>
          <w:tcPr>
            <w:tcW w:w="0" w:type="auto"/>
            <w:vAlign w:val="center"/>
            <w:hideMark/>
          </w:tcPr>
          <w:p w14:paraId="1CD1E987"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البعد</w:t>
            </w:r>
          </w:p>
        </w:tc>
        <w:tc>
          <w:tcPr>
            <w:tcW w:w="0" w:type="auto"/>
            <w:vAlign w:val="center"/>
            <w:hideMark/>
          </w:tcPr>
          <w:p w14:paraId="3BF8A9C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المتوسط الحسابي</w:t>
            </w:r>
          </w:p>
        </w:tc>
        <w:tc>
          <w:tcPr>
            <w:tcW w:w="0" w:type="auto"/>
            <w:vAlign w:val="center"/>
            <w:hideMark/>
          </w:tcPr>
          <w:p w14:paraId="4D95E094"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الانحراف المعياري</w:t>
            </w:r>
          </w:p>
        </w:tc>
        <w:tc>
          <w:tcPr>
            <w:tcW w:w="0" w:type="auto"/>
            <w:vAlign w:val="center"/>
            <w:hideMark/>
          </w:tcPr>
          <w:p w14:paraId="09D56AD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مستوى التحقق</w:t>
            </w:r>
          </w:p>
        </w:tc>
        <w:tc>
          <w:tcPr>
            <w:tcW w:w="0" w:type="auto"/>
            <w:vAlign w:val="center"/>
            <w:hideMark/>
          </w:tcPr>
          <w:p w14:paraId="5B70116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الترتيب</w:t>
            </w:r>
          </w:p>
        </w:tc>
      </w:tr>
      <w:tr w:rsidR="000E666F" w:rsidRPr="00445A5B" w14:paraId="181675DC" w14:textId="77777777" w:rsidTr="004F3CC9">
        <w:tc>
          <w:tcPr>
            <w:tcW w:w="0" w:type="auto"/>
            <w:vAlign w:val="center"/>
            <w:hideMark/>
          </w:tcPr>
          <w:p w14:paraId="76DBD258"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الاستدامة البيئية</w:t>
            </w:r>
          </w:p>
        </w:tc>
        <w:tc>
          <w:tcPr>
            <w:tcW w:w="0" w:type="auto"/>
            <w:vAlign w:val="center"/>
            <w:hideMark/>
          </w:tcPr>
          <w:p w14:paraId="6A216E2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3.63</w:t>
            </w:r>
          </w:p>
        </w:tc>
        <w:tc>
          <w:tcPr>
            <w:tcW w:w="0" w:type="auto"/>
            <w:vAlign w:val="center"/>
            <w:hideMark/>
          </w:tcPr>
          <w:p w14:paraId="1F8CD06D"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1.05</w:t>
            </w:r>
          </w:p>
        </w:tc>
        <w:tc>
          <w:tcPr>
            <w:tcW w:w="0" w:type="auto"/>
            <w:vAlign w:val="center"/>
            <w:hideMark/>
          </w:tcPr>
          <w:p w14:paraId="7824A6C8"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311F47E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8</w:t>
            </w:r>
          </w:p>
        </w:tc>
      </w:tr>
      <w:tr w:rsidR="000E666F" w:rsidRPr="00445A5B" w14:paraId="484F1688" w14:textId="77777777" w:rsidTr="004F3CC9">
        <w:tc>
          <w:tcPr>
            <w:tcW w:w="0" w:type="auto"/>
            <w:vAlign w:val="center"/>
            <w:hideMark/>
          </w:tcPr>
          <w:p w14:paraId="30B445F3"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الاستدامة الاقتصادية</w:t>
            </w:r>
          </w:p>
        </w:tc>
        <w:tc>
          <w:tcPr>
            <w:tcW w:w="0" w:type="auto"/>
            <w:vAlign w:val="center"/>
            <w:hideMark/>
          </w:tcPr>
          <w:p w14:paraId="0EEC4AA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3.82</w:t>
            </w:r>
          </w:p>
        </w:tc>
        <w:tc>
          <w:tcPr>
            <w:tcW w:w="0" w:type="auto"/>
            <w:vAlign w:val="center"/>
            <w:hideMark/>
          </w:tcPr>
          <w:p w14:paraId="19F7C3A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0.95</w:t>
            </w:r>
          </w:p>
        </w:tc>
        <w:tc>
          <w:tcPr>
            <w:tcW w:w="0" w:type="auto"/>
            <w:vAlign w:val="center"/>
            <w:hideMark/>
          </w:tcPr>
          <w:p w14:paraId="511A9EB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054878CD"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1</w:t>
            </w:r>
          </w:p>
        </w:tc>
      </w:tr>
      <w:tr w:rsidR="000E666F" w:rsidRPr="00445A5B" w14:paraId="5C190148" w14:textId="77777777" w:rsidTr="004F3CC9">
        <w:tc>
          <w:tcPr>
            <w:tcW w:w="0" w:type="auto"/>
            <w:vAlign w:val="center"/>
            <w:hideMark/>
          </w:tcPr>
          <w:p w14:paraId="1D2032E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الاستدامة الاجتماعية</w:t>
            </w:r>
          </w:p>
        </w:tc>
        <w:tc>
          <w:tcPr>
            <w:tcW w:w="0" w:type="auto"/>
            <w:vAlign w:val="center"/>
            <w:hideMark/>
          </w:tcPr>
          <w:p w14:paraId="774CA28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3.75</w:t>
            </w:r>
          </w:p>
        </w:tc>
        <w:tc>
          <w:tcPr>
            <w:tcW w:w="0" w:type="auto"/>
            <w:vAlign w:val="center"/>
            <w:hideMark/>
          </w:tcPr>
          <w:p w14:paraId="5204D9A2"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0.95</w:t>
            </w:r>
          </w:p>
        </w:tc>
        <w:tc>
          <w:tcPr>
            <w:tcW w:w="0" w:type="auto"/>
            <w:vAlign w:val="center"/>
            <w:hideMark/>
          </w:tcPr>
          <w:p w14:paraId="1F1DF09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5AA3E1C4"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w:t>
            </w:r>
          </w:p>
        </w:tc>
      </w:tr>
      <w:tr w:rsidR="000E666F" w:rsidRPr="00445A5B" w14:paraId="04986A46" w14:textId="77777777" w:rsidTr="004F3CC9">
        <w:tc>
          <w:tcPr>
            <w:tcW w:w="0" w:type="auto"/>
            <w:vAlign w:val="center"/>
            <w:hideMark/>
          </w:tcPr>
          <w:p w14:paraId="4653024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أداء التكلفة</w:t>
            </w:r>
          </w:p>
        </w:tc>
        <w:tc>
          <w:tcPr>
            <w:tcW w:w="0" w:type="auto"/>
            <w:vAlign w:val="center"/>
            <w:hideMark/>
          </w:tcPr>
          <w:p w14:paraId="798AE61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3.68</w:t>
            </w:r>
          </w:p>
        </w:tc>
        <w:tc>
          <w:tcPr>
            <w:tcW w:w="0" w:type="auto"/>
            <w:vAlign w:val="center"/>
            <w:hideMark/>
          </w:tcPr>
          <w:p w14:paraId="60AAA03A"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0.89</w:t>
            </w:r>
          </w:p>
        </w:tc>
        <w:tc>
          <w:tcPr>
            <w:tcW w:w="0" w:type="auto"/>
            <w:vAlign w:val="center"/>
            <w:hideMark/>
          </w:tcPr>
          <w:p w14:paraId="0CD1CC2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6792C4E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7</w:t>
            </w:r>
          </w:p>
        </w:tc>
      </w:tr>
      <w:tr w:rsidR="000E666F" w:rsidRPr="00445A5B" w14:paraId="493B6732" w14:textId="77777777" w:rsidTr="004F3CC9">
        <w:tc>
          <w:tcPr>
            <w:tcW w:w="0" w:type="auto"/>
            <w:vAlign w:val="center"/>
            <w:hideMark/>
          </w:tcPr>
          <w:p w14:paraId="6631B42D"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أداء الجودة</w:t>
            </w:r>
          </w:p>
        </w:tc>
        <w:tc>
          <w:tcPr>
            <w:tcW w:w="0" w:type="auto"/>
            <w:vAlign w:val="center"/>
            <w:hideMark/>
          </w:tcPr>
          <w:p w14:paraId="1BDA1DC2"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3.79</w:t>
            </w:r>
          </w:p>
        </w:tc>
        <w:tc>
          <w:tcPr>
            <w:tcW w:w="0" w:type="auto"/>
            <w:vAlign w:val="center"/>
            <w:hideMark/>
          </w:tcPr>
          <w:p w14:paraId="19B4552D"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0.85</w:t>
            </w:r>
          </w:p>
        </w:tc>
        <w:tc>
          <w:tcPr>
            <w:tcW w:w="0" w:type="auto"/>
            <w:vAlign w:val="center"/>
            <w:hideMark/>
          </w:tcPr>
          <w:p w14:paraId="36344D94"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0F91036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2</w:t>
            </w:r>
          </w:p>
        </w:tc>
      </w:tr>
      <w:tr w:rsidR="000E666F" w:rsidRPr="00445A5B" w14:paraId="59C90D6D" w14:textId="77777777" w:rsidTr="004F3CC9">
        <w:tc>
          <w:tcPr>
            <w:tcW w:w="0" w:type="auto"/>
            <w:vAlign w:val="center"/>
            <w:hideMark/>
          </w:tcPr>
          <w:p w14:paraId="06F2C388"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أداء الوقت</w:t>
            </w:r>
          </w:p>
        </w:tc>
        <w:tc>
          <w:tcPr>
            <w:tcW w:w="0" w:type="auto"/>
            <w:vAlign w:val="center"/>
            <w:hideMark/>
          </w:tcPr>
          <w:p w14:paraId="2A43EE22"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3.69</w:t>
            </w:r>
          </w:p>
        </w:tc>
        <w:tc>
          <w:tcPr>
            <w:tcW w:w="0" w:type="auto"/>
            <w:vAlign w:val="center"/>
            <w:hideMark/>
          </w:tcPr>
          <w:p w14:paraId="0B134AE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0.91</w:t>
            </w:r>
          </w:p>
        </w:tc>
        <w:tc>
          <w:tcPr>
            <w:tcW w:w="0" w:type="auto"/>
            <w:vAlign w:val="center"/>
            <w:hideMark/>
          </w:tcPr>
          <w:p w14:paraId="7E2D040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2000CD1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5</w:t>
            </w:r>
          </w:p>
        </w:tc>
      </w:tr>
      <w:tr w:rsidR="000E666F" w:rsidRPr="00445A5B" w14:paraId="55C47F06" w14:textId="77777777" w:rsidTr="004F3CC9">
        <w:tc>
          <w:tcPr>
            <w:tcW w:w="0" w:type="auto"/>
            <w:vAlign w:val="center"/>
            <w:hideMark/>
          </w:tcPr>
          <w:p w14:paraId="1114E42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رضا العملاء</w:t>
            </w:r>
          </w:p>
        </w:tc>
        <w:tc>
          <w:tcPr>
            <w:tcW w:w="0" w:type="auto"/>
            <w:vAlign w:val="center"/>
            <w:hideMark/>
          </w:tcPr>
          <w:p w14:paraId="698209B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3.72</w:t>
            </w:r>
          </w:p>
        </w:tc>
        <w:tc>
          <w:tcPr>
            <w:tcW w:w="0" w:type="auto"/>
            <w:vAlign w:val="center"/>
            <w:hideMark/>
          </w:tcPr>
          <w:p w14:paraId="3CBC290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0.88</w:t>
            </w:r>
          </w:p>
        </w:tc>
        <w:tc>
          <w:tcPr>
            <w:tcW w:w="0" w:type="auto"/>
            <w:vAlign w:val="center"/>
            <w:hideMark/>
          </w:tcPr>
          <w:p w14:paraId="197F6A3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481B2E1A"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4</w:t>
            </w:r>
          </w:p>
        </w:tc>
      </w:tr>
      <w:tr w:rsidR="000E666F" w:rsidRPr="00445A5B" w14:paraId="4A10B0A8" w14:textId="77777777" w:rsidTr="004F3CC9">
        <w:tc>
          <w:tcPr>
            <w:tcW w:w="0" w:type="auto"/>
            <w:vAlign w:val="center"/>
            <w:hideMark/>
          </w:tcPr>
          <w:p w14:paraId="6E49F260"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البيئة الداعمة للاستدامة</w:t>
            </w:r>
          </w:p>
        </w:tc>
        <w:tc>
          <w:tcPr>
            <w:tcW w:w="0" w:type="auto"/>
            <w:vAlign w:val="center"/>
            <w:hideMark/>
          </w:tcPr>
          <w:p w14:paraId="25E44DFA"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3.69</w:t>
            </w:r>
          </w:p>
        </w:tc>
        <w:tc>
          <w:tcPr>
            <w:tcW w:w="0" w:type="auto"/>
            <w:vAlign w:val="center"/>
            <w:hideMark/>
          </w:tcPr>
          <w:p w14:paraId="4290487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0.91</w:t>
            </w:r>
          </w:p>
        </w:tc>
        <w:tc>
          <w:tcPr>
            <w:tcW w:w="0" w:type="auto"/>
            <w:vAlign w:val="center"/>
            <w:hideMark/>
          </w:tcPr>
          <w:p w14:paraId="3438AC23"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مرتفع</w:t>
            </w:r>
          </w:p>
        </w:tc>
        <w:tc>
          <w:tcPr>
            <w:tcW w:w="0" w:type="auto"/>
            <w:vAlign w:val="center"/>
            <w:hideMark/>
          </w:tcPr>
          <w:p w14:paraId="7D308950"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6</w:t>
            </w:r>
          </w:p>
        </w:tc>
      </w:tr>
    </w:tbl>
    <w:p w14:paraId="7D55FAC3"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يوضح جدول (</w:t>
      </w:r>
      <w:r w:rsidRPr="00445A5B">
        <w:rPr>
          <w:rFonts w:ascii="Traditional Arabic" w:eastAsia="Times New Roman" w:hAnsi="Traditional Arabic" w:cs="Traditional Arabic"/>
          <w:sz w:val="28"/>
          <w:szCs w:val="28"/>
          <w:highlight w:val="yellow"/>
        </w:rPr>
        <w:t>4.17</w:t>
      </w:r>
      <w:r w:rsidRPr="00445A5B">
        <w:rPr>
          <w:rFonts w:ascii="Traditional Arabic" w:eastAsia="Times New Roman" w:hAnsi="Traditional Arabic" w:cs="Traditional Arabic"/>
          <w:sz w:val="28"/>
          <w:szCs w:val="28"/>
          <w:highlight w:val="yellow"/>
          <w:rtl/>
        </w:rPr>
        <w:t>) مقارنة المتوسطات الحسابية للأبعاد الرئيسة للدراسة، ويتبين أن جميع الأبعاد حققت مستويات مرتفعة نسبيًا، مما يعكس وجود اهتمام واضح بتطبيق ممارسات الاستدامة وتحسين أداء المشاريع الإنشائية. وقد جاء بعد الاستدامة الاقتصادية في المرتبة الأولى، وهو ما يشير إلى أن الاعتبارات الاقتصادية تمثل المحرك الرئيس لتبني ممارسات الاستدامة في شركات الإنشاءات، نظرًا لارتباطها بخفض التكاليف وتحسين العائد على الاستثمار</w:t>
      </w:r>
      <w:r w:rsidRPr="00445A5B">
        <w:rPr>
          <w:rFonts w:ascii="Traditional Arabic" w:eastAsia="Times New Roman" w:hAnsi="Traditional Arabic" w:cs="Traditional Arabic"/>
          <w:sz w:val="28"/>
          <w:szCs w:val="28"/>
          <w:highlight w:val="yellow"/>
        </w:rPr>
        <w:t>.</w:t>
      </w:r>
    </w:p>
    <w:p w14:paraId="668213F5"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lastRenderedPageBreak/>
        <w:t>في المقابل، جاء بعد الاستدامة البيئية في المرتبة الأخيرة، رغم بقائه ضمن المستوى المرتفع، مما يدل على أن تطبيق الممارسات البيئية ما زال يواجه تحديات تتعلق بالتكاليف والتقنيات والخبرات اللازمة، مقارنة بالأبعاد الاقتصادية والاجتماعية. كما أظهرت النتائج تقارب مستويات أبعاد أداء المشروع، وهو ما يعكس وجود توازن نسبي بين الاهتمام بالتكلفة والجودة والوقت ورضا العملاء في المشاريع محل الدراسة</w:t>
      </w:r>
      <w:r w:rsidRPr="00445A5B">
        <w:rPr>
          <w:rFonts w:ascii="Traditional Arabic" w:eastAsia="Times New Roman" w:hAnsi="Traditional Arabic" w:cs="Traditional Arabic"/>
          <w:sz w:val="28"/>
          <w:szCs w:val="28"/>
          <w:highlight w:val="yellow"/>
        </w:rPr>
        <w:t>.</w:t>
      </w:r>
    </w:p>
    <w:p w14:paraId="2744876E" w14:textId="77777777" w:rsidR="000E666F" w:rsidRPr="00445A5B" w:rsidRDefault="000E666F" w:rsidP="000E666F">
      <w:pPr>
        <w:bidi/>
        <w:jc w:val="center"/>
        <w:rPr>
          <w:rFonts w:ascii="Traditional Arabic" w:eastAsia="Times New Roman" w:hAnsi="Traditional Arabic" w:cs="Traditional Arabic"/>
          <w:sz w:val="28"/>
          <w:szCs w:val="28"/>
          <w:highlight w:val="yellow"/>
          <w:rtl/>
        </w:rPr>
      </w:pPr>
      <w:r w:rsidRPr="00445A5B">
        <w:rPr>
          <w:rFonts w:ascii="Traditional Arabic" w:hAnsi="Traditional Arabic" w:cs="Traditional Arabic"/>
          <w:noProof/>
          <w:sz w:val="28"/>
          <w:szCs w:val="28"/>
          <w:highlight w:val="yellow"/>
        </w:rPr>
        <w:drawing>
          <wp:inline distT="0" distB="0" distL="0" distR="0" wp14:anchorId="019254D0" wp14:editId="65CC503B">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0C503F" w14:textId="77777777" w:rsidR="000E666F" w:rsidRPr="00445A5B" w:rsidRDefault="000E666F" w:rsidP="000E666F">
      <w:pPr>
        <w:bidi/>
        <w:jc w:val="center"/>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شكل (4.7): مقارنة المتوسطات الحسابية للأبعاد الرئيسة للدراسة.</w:t>
      </w:r>
    </w:p>
    <w:p w14:paraId="726F26B9"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يبين الشكل (</w:t>
      </w:r>
      <w:r w:rsidRPr="00445A5B">
        <w:rPr>
          <w:rFonts w:ascii="Traditional Arabic" w:eastAsia="Times New Roman" w:hAnsi="Traditional Arabic" w:cs="Traditional Arabic"/>
          <w:sz w:val="28"/>
          <w:szCs w:val="28"/>
          <w:highlight w:val="yellow"/>
        </w:rPr>
        <w:t>4.7</w:t>
      </w:r>
      <w:r w:rsidRPr="00445A5B">
        <w:rPr>
          <w:rFonts w:ascii="Traditional Arabic" w:eastAsia="Times New Roman" w:hAnsi="Traditional Arabic" w:cs="Traditional Arabic"/>
          <w:sz w:val="28"/>
          <w:szCs w:val="28"/>
          <w:highlight w:val="yellow"/>
          <w:rtl/>
        </w:rPr>
        <w:t>) وجود تقارب نسبي في المتوسطات الحسابية للأبعاد الرئيسة، حيث جاءت الاستدامة الاقتصادية في المرتبة الأولى، تلتها جودة الأداء، بينما حصلت الاستدامة البيئية على أقل متوسط، مما يشير إلى أن الأبعاد الاقتصادية والإدارية تحظى باهتمام أكبر من الممارسات البيئية داخل المشاريع الإنشائية، مع بقاء جميع الأبعاد ضمن مستويات تحقق مرتفعة نسبيًا.</w:t>
      </w:r>
    </w:p>
    <w:p w14:paraId="2D2D7CFF"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بعد استعراض النتائج الوصفية لمتغيرات الدراسة وتحليل مستويات تطبيق أبعاد الاستدامة وأداء المشاريع والبيئة الداعمة للاستدامة، ينتقل هذا الفصل إلى مرحلة التحليل الاستدلالي لاختبار فروض الدراسة والتحقق من طبيعة العلاقات بين المتغيرات. وتهدف هذه المرحلة إلى تجاوز الوصف الإحصائي للبيانات من خلال فحص مدى تأثير أبعاد الاستدامة في أداء المشاريع الإنشائية، وتحديد قوة هذه التأثيرات ودلالتها الإحصائية باستخدام تحليل الانحدار المتعدد، بوصفه أحد الأساليب الإحصائية الملائمة لتقدير أثر المتغيرات المستقلة في المتغيرات التابعة مع التحكم في التأثيرات المتبادلة بينها</w:t>
      </w:r>
      <w:r w:rsidRPr="00445A5B">
        <w:rPr>
          <w:rFonts w:ascii="Traditional Arabic" w:eastAsia="Times New Roman" w:hAnsi="Traditional Arabic" w:cs="Traditional Arabic"/>
          <w:sz w:val="28"/>
          <w:szCs w:val="28"/>
          <w:highlight w:val="yellow"/>
        </w:rPr>
        <w:t>.</w:t>
      </w:r>
    </w:p>
    <w:p w14:paraId="45210AC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وتعرض الفقرات التالية نتائج اختبارات الانحدار المتعدد لكل فرضية من فرضيات الدراسة، مع تفسير معاملات الانحدار، وقيم معامل التحديد (</w:t>
      </w:r>
      <w:r w:rsidRPr="00445A5B">
        <w:rPr>
          <w:rFonts w:ascii="Traditional Arabic" w:eastAsia="Times New Roman" w:hAnsi="Traditional Arabic" w:cs="Traditional Arabic"/>
          <w:sz w:val="28"/>
          <w:szCs w:val="28"/>
          <w:highlight w:val="yellow"/>
        </w:rPr>
        <w:t>R²</w:t>
      </w:r>
      <w:r w:rsidRPr="00445A5B">
        <w:rPr>
          <w:rFonts w:ascii="Traditional Arabic" w:eastAsia="Times New Roman" w:hAnsi="Traditional Arabic" w:cs="Traditional Arabic"/>
          <w:sz w:val="28"/>
          <w:szCs w:val="28"/>
          <w:highlight w:val="yellow"/>
          <w:rtl/>
        </w:rPr>
        <w:t>)، واختبارات (</w:t>
      </w:r>
      <w:r w:rsidRPr="00445A5B">
        <w:rPr>
          <w:rFonts w:ascii="Traditional Arabic" w:eastAsia="Times New Roman" w:hAnsi="Traditional Arabic" w:cs="Traditional Arabic"/>
          <w:sz w:val="28"/>
          <w:szCs w:val="28"/>
          <w:highlight w:val="yellow"/>
        </w:rPr>
        <w:t>F</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ومستويات الدلالة الإحصائية، وذلك بهدف تقييم مدى قبول أو رفض الفرضيات في ضوء النتائج المستخلصة.</w:t>
      </w:r>
    </w:p>
    <w:p w14:paraId="1FA7E484" w14:textId="3F815855" w:rsidR="000E666F" w:rsidRPr="00445A5B" w:rsidRDefault="00AD0092" w:rsidP="000E666F">
      <w:pPr>
        <w:bidi/>
        <w:jc w:val="both"/>
        <w:rPr>
          <w:rFonts w:ascii="Traditional Arabic" w:eastAsia="Times New Roman" w:hAnsi="Traditional Arabic" w:cs="Traditional Arabic"/>
          <w:b/>
          <w:bCs/>
          <w:sz w:val="28"/>
          <w:szCs w:val="28"/>
          <w:rtl/>
          <w:lang w:bidi="ar-EG"/>
        </w:rPr>
      </w:pPr>
      <w:r w:rsidRPr="00445A5B">
        <w:rPr>
          <w:rFonts w:ascii="Traditional Arabic" w:eastAsia="Times New Roman" w:hAnsi="Traditional Arabic" w:cs="Traditional Arabic"/>
          <w:b/>
          <w:bCs/>
          <w:sz w:val="28"/>
          <w:szCs w:val="28"/>
          <w:rtl/>
          <w:lang w:bidi="ar-EG"/>
        </w:rPr>
        <w:t>4-4</w:t>
      </w:r>
      <w:r w:rsidR="000E666F" w:rsidRPr="00445A5B">
        <w:rPr>
          <w:rFonts w:ascii="Traditional Arabic" w:eastAsia="Times New Roman" w:hAnsi="Traditional Arabic" w:cs="Traditional Arabic"/>
          <w:b/>
          <w:bCs/>
          <w:sz w:val="28"/>
          <w:szCs w:val="28"/>
          <w:rtl/>
          <w:lang w:bidi="ar-EG"/>
        </w:rPr>
        <w:t xml:space="preserve"> اختبارات الفروض </w:t>
      </w:r>
    </w:p>
    <w:p w14:paraId="06F65C78" w14:textId="77777777" w:rsidR="000E666F" w:rsidRPr="00445A5B" w:rsidRDefault="000E666F" w:rsidP="000E666F">
      <w:pPr>
        <w:bidi/>
        <w:jc w:val="both"/>
        <w:rPr>
          <w:rFonts w:ascii="Traditional Arabic" w:eastAsia="Times New Roman" w:hAnsi="Traditional Arabic" w:cs="Traditional Arabic"/>
          <w:sz w:val="28"/>
          <w:szCs w:val="28"/>
          <w:highlight w:val="yellow"/>
          <w:rtl/>
          <w:lang w:bidi="ar-EG"/>
        </w:rPr>
      </w:pPr>
      <w:r w:rsidRPr="00445A5B">
        <w:rPr>
          <w:rFonts w:ascii="Traditional Arabic" w:eastAsia="Times New Roman" w:hAnsi="Traditional Arabic" w:cs="Traditional Arabic"/>
          <w:sz w:val="28"/>
          <w:szCs w:val="28"/>
          <w:highlight w:val="yellow"/>
          <w:rtl/>
          <w:lang w:bidi="ar-EG"/>
        </w:rPr>
        <w:lastRenderedPageBreak/>
        <w:t>جدول (4.18) معاملات ارتباط بيرسون بين متغيرات الدراسة</w:t>
      </w:r>
    </w:p>
    <w:tbl>
      <w:tblPr>
        <w:tblStyle w:val="TableGrid"/>
        <w:bidiVisual/>
        <w:tblW w:w="5000" w:type="pct"/>
        <w:jc w:val="center"/>
        <w:tblLook w:val="04A0" w:firstRow="1" w:lastRow="0" w:firstColumn="1" w:lastColumn="0" w:noHBand="0" w:noVBand="1"/>
      </w:tblPr>
      <w:tblGrid>
        <w:gridCol w:w="1698"/>
        <w:gridCol w:w="892"/>
        <w:gridCol w:w="892"/>
        <w:gridCol w:w="892"/>
        <w:gridCol w:w="892"/>
        <w:gridCol w:w="892"/>
        <w:gridCol w:w="892"/>
        <w:gridCol w:w="892"/>
        <w:gridCol w:w="354"/>
      </w:tblGrid>
      <w:tr w:rsidR="000E666F" w:rsidRPr="00445A5B" w14:paraId="47E8044D" w14:textId="77777777" w:rsidTr="004F3CC9">
        <w:trPr>
          <w:jc w:val="center"/>
        </w:trPr>
        <w:tc>
          <w:tcPr>
            <w:tcW w:w="0" w:type="auto"/>
            <w:vAlign w:val="center"/>
            <w:hideMark/>
          </w:tcPr>
          <w:p w14:paraId="34462A2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المتغير</w:t>
            </w:r>
          </w:p>
        </w:tc>
        <w:tc>
          <w:tcPr>
            <w:tcW w:w="0" w:type="auto"/>
            <w:vAlign w:val="center"/>
            <w:hideMark/>
          </w:tcPr>
          <w:p w14:paraId="02CB193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44933C0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2</w:t>
            </w:r>
          </w:p>
        </w:tc>
        <w:tc>
          <w:tcPr>
            <w:tcW w:w="0" w:type="auto"/>
            <w:vAlign w:val="center"/>
            <w:hideMark/>
          </w:tcPr>
          <w:p w14:paraId="5F72CBB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w:t>
            </w:r>
          </w:p>
        </w:tc>
        <w:tc>
          <w:tcPr>
            <w:tcW w:w="0" w:type="auto"/>
            <w:vAlign w:val="center"/>
            <w:hideMark/>
          </w:tcPr>
          <w:p w14:paraId="51FDD69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4</w:t>
            </w:r>
          </w:p>
        </w:tc>
        <w:tc>
          <w:tcPr>
            <w:tcW w:w="0" w:type="auto"/>
            <w:vAlign w:val="center"/>
            <w:hideMark/>
          </w:tcPr>
          <w:p w14:paraId="121D3D2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w:t>
            </w:r>
          </w:p>
        </w:tc>
        <w:tc>
          <w:tcPr>
            <w:tcW w:w="0" w:type="auto"/>
            <w:vAlign w:val="center"/>
            <w:hideMark/>
          </w:tcPr>
          <w:p w14:paraId="06C0287D"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w:t>
            </w:r>
          </w:p>
        </w:tc>
        <w:tc>
          <w:tcPr>
            <w:tcW w:w="0" w:type="auto"/>
            <w:vAlign w:val="center"/>
            <w:hideMark/>
          </w:tcPr>
          <w:p w14:paraId="14DDE7A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7</w:t>
            </w:r>
          </w:p>
        </w:tc>
        <w:tc>
          <w:tcPr>
            <w:tcW w:w="0" w:type="auto"/>
            <w:vAlign w:val="center"/>
            <w:hideMark/>
          </w:tcPr>
          <w:p w14:paraId="200DAE6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8</w:t>
            </w:r>
          </w:p>
        </w:tc>
      </w:tr>
      <w:tr w:rsidR="000E666F" w:rsidRPr="00445A5B" w14:paraId="00D597D5" w14:textId="77777777" w:rsidTr="004F3CC9">
        <w:trPr>
          <w:jc w:val="center"/>
        </w:trPr>
        <w:tc>
          <w:tcPr>
            <w:tcW w:w="0" w:type="auto"/>
            <w:vAlign w:val="center"/>
            <w:hideMark/>
          </w:tcPr>
          <w:p w14:paraId="2AF9CCE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الاستدامة البيئية</w:t>
            </w:r>
          </w:p>
        </w:tc>
        <w:tc>
          <w:tcPr>
            <w:tcW w:w="0" w:type="auto"/>
            <w:vAlign w:val="center"/>
            <w:hideMark/>
          </w:tcPr>
          <w:p w14:paraId="4C356B1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385B2B2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1C93351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56675BA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5633583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0ACC850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631772B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1597EFC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r>
      <w:tr w:rsidR="000E666F" w:rsidRPr="00445A5B" w14:paraId="2A830734" w14:textId="77777777" w:rsidTr="004F3CC9">
        <w:trPr>
          <w:jc w:val="center"/>
        </w:trPr>
        <w:tc>
          <w:tcPr>
            <w:tcW w:w="0" w:type="auto"/>
            <w:vAlign w:val="center"/>
            <w:hideMark/>
          </w:tcPr>
          <w:p w14:paraId="1D2E7C4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2</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الاستدامة الاقتصادية</w:t>
            </w:r>
          </w:p>
        </w:tc>
        <w:tc>
          <w:tcPr>
            <w:tcW w:w="0" w:type="auto"/>
            <w:vAlign w:val="center"/>
            <w:hideMark/>
          </w:tcPr>
          <w:p w14:paraId="1B61941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.542**</w:t>
            </w:r>
          </w:p>
        </w:tc>
        <w:tc>
          <w:tcPr>
            <w:tcW w:w="0" w:type="auto"/>
            <w:vAlign w:val="center"/>
            <w:hideMark/>
          </w:tcPr>
          <w:p w14:paraId="097B30D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560CF78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4A80518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37C40CE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773076A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1944B1F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7B6D487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r>
      <w:tr w:rsidR="000E666F" w:rsidRPr="00445A5B" w14:paraId="72FF0FB4" w14:textId="77777777" w:rsidTr="004F3CC9">
        <w:trPr>
          <w:jc w:val="center"/>
        </w:trPr>
        <w:tc>
          <w:tcPr>
            <w:tcW w:w="0" w:type="auto"/>
            <w:vAlign w:val="center"/>
            <w:hideMark/>
          </w:tcPr>
          <w:p w14:paraId="7FB8326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3</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الاستدامة الاجتماعية</w:t>
            </w:r>
          </w:p>
        </w:tc>
        <w:tc>
          <w:tcPr>
            <w:tcW w:w="0" w:type="auto"/>
            <w:vAlign w:val="center"/>
            <w:hideMark/>
          </w:tcPr>
          <w:p w14:paraId="587365F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.518**</w:t>
            </w:r>
          </w:p>
        </w:tc>
        <w:tc>
          <w:tcPr>
            <w:tcW w:w="0" w:type="auto"/>
            <w:vAlign w:val="center"/>
            <w:hideMark/>
          </w:tcPr>
          <w:p w14:paraId="5E1AF9E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.623**</w:t>
            </w:r>
          </w:p>
        </w:tc>
        <w:tc>
          <w:tcPr>
            <w:tcW w:w="0" w:type="auto"/>
            <w:vAlign w:val="center"/>
            <w:hideMark/>
          </w:tcPr>
          <w:p w14:paraId="4BF2494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28F2A06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7F01822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77EB55CD"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1A47A3D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4966420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r>
      <w:tr w:rsidR="000E666F" w:rsidRPr="00445A5B" w14:paraId="57F76D19" w14:textId="77777777" w:rsidTr="004F3CC9">
        <w:trPr>
          <w:jc w:val="center"/>
        </w:trPr>
        <w:tc>
          <w:tcPr>
            <w:tcW w:w="0" w:type="auto"/>
            <w:vAlign w:val="center"/>
            <w:hideMark/>
          </w:tcPr>
          <w:p w14:paraId="3E0A697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4</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البيئة الداعمة للاستدامة</w:t>
            </w:r>
          </w:p>
        </w:tc>
        <w:tc>
          <w:tcPr>
            <w:tcW w:w="0" w:type="auto"/>
            <w:vAlign w:val="center"/>
            <w:hideMark/>
          </w:tcPr>
          <w:p w14:paraId="307C1A6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.496**</w:t>
            </w:r>
          </w:p>
        </w:tc>
        <w:tc>
          <w:tcPr>
            <w:tcW w:w="0" w:type="auto"/>
            <w:vAlign w:val="center"/>
            <w:hideMark/>
          </w:tcPr>
          <w:p w14:paraId="240D88A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.581**</w:t>
            </w:r>
          </w:p>
        </w:tc>
        <w:tc>
          <w:tcPr>
            <w:tcW w:w="0" w:type="auto"/>
            <w:vAlign w:val="center"/>
            <w:hideMark/>
          </w:tcPr>
          <w:p w14:paraId="36415BF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.566**</w:t>
            </w:r>
          </w:p>
        </w:tc>
        <w:tc>
          <w:tcPr>
            <w:tcW w:w="0" w:type="auto"/>
            <w:vAlign w:val="center"/>
            <w:hideMark/>
          </w:tcPr>
          <w:p w14:paraId="0471198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01EBFB0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5509DF8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76D05F4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32E3607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r>
      <w:tr w:rsidR="000E666F" w:rsidRPr="00445A5B" w14:paraId="0E021826" w14:textId="77777777" w:rsidTr="004F3CC9">
        <w:trPr>
          <w:jc w:val="center"/>
        </w:trPr>
        <w:tc>
          <w:tcPr>
            <w:tcW w:w="0" w:type="auto"/>
            <w:vAlign w:val="center"/>
            <w:hideMark/>
          </w:tcPr>
          <w:p w14:paraId="4A212BB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أداء التكلفة</w:t>
            </w:r>
          </w:p>
        </w:tc>
        <w:tc>
          <w:tcPr>
            <w:tcW w:w="0" w:type="auto"/>
            <w:vAlign w:val="center"/>
            <w:hideMark/>
          </w:tcPr>
          <w:p w14:paraId="7596672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.554**</w:t>
            </w:r>
          </w:p>
        </w:tc>
        <w:tc>
          <w:tcPr>
            <w:tcW w:w="0" w:type="auto"/>
            <w:vAlign w:val="center"/>
            <w:hideMark/>
          </w:tcPr>
          <w:p w14:paraId="25FFA63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.648**</w:t>
            </w:r>
          </w:p>
        </w:tc>
        <w:tc>
          <w:tcPr>
            <w:tcW w:w="0" w:type="auto"/>
            <w:vAlign w:val="center"/>
            <w:hideMark/>
          </w:tcPr>
          <w:p w14:paraId="5B99948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.592**</w:t>
            </w:r>
          </w:p>
        </w:tc>
        <w:tc>
          <w:tcPr>
            <w:tcW w:w="0" w:type="auto"/>
            <w:vAlign w:val="center"/>
            <w:hideMark/>
          </w:tcPr>
          <w:p w14:paraId="2DE3F07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.528**</w:t>
            </w:r>
          </w:p>
        </w:tc>
        <w:tc>
          <w:tcPr>
            <w:tcW w:w="0" w:type="auto"/>
            <w:vAlign w:val="center"/>
            <w:hideMark/>
          </w:tcPr>
          <w:p w14:paraId="1C8D9F0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001AFBE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263DB7E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28C44E7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r>
      <w:tr w:rsidR="000E666F" w:rsidRPr="00445A5B" w14:paraId="1B4B70F7" w14:textId="77777777" w:rsidTr="004F3CC9">
        <w:trPr>
          <w:jc w:val="center"/>
        </w:trPr>
        <w:tc>
          <w:tcPr>
            <w:tcW w:w="0" w:type="auto"/>
            <w:vAlign w:val="center"/>
            <w:hideMark/>
          </w:tcPr>
          <w:p w14:paraId="01652E2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أداء الجودة</w:t>
            </w:r>
          </w:p>
        </w:tc>
        <w:tc>
          <w:tcPr>
            <w:tcW w:w="0" w:type="auto"/>
            <w:vAlign w:val="center"/>
            <w:hideMark/>
          </w:tcPr>
          <w:p w14:paraId="21A7E7B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.603**</w:t>
            </w:r>
          </w:p>
        </w:tc>
        <w:tc>
          <w:tcPr>
            <w:tcW w:w="0" w:type="auto"/>
            <w:vAlign w:val="center"/>
            <w:hideMark/>
          </w:tcPr>
          <w:p w14:paraId="4171C3C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.689**</w:t>
            </w:r>
          </w:p>
        </w:tc>
        <w:tc>
          <w:tcPr>
            <w:tcW w:w="0" w:type="auto"/>
            <w:vAlign w:val="center"/>
            <w:hideMark/>
          </w:tcPr>
          <w:p w14:paraId="4471972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.645**</w:t>
            </w:r>
          </w:p>
        </w:tc>
        <w:tc>
          <w:tcPr>
            <w:tcW w:w="0" w:type="auto"/>
            <w:vAlign w:val="center"/>
            <w:hideMark/>
          </w:tcPr>
          <w:p w14:paraId="54BFB4B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.587**</w:t>
            </w:r>
          </w:p>
        </w:tc>
        <w:tc>
          <w:tcPr>
            <w:tcW w:w="0" w:type="auto"/>
            <w:vAlign w:val="center"/>
            <w:hideMark/>
          </w:tcPr>
          <w:p w14:paraId="5983ACC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.694**</w:t>
            </w:r>
          </w:p>
        </w:tc>
        <w:tc>
          <w:tcPr>
            <w:tcW w:w="0" w:type="auto"/>
            <w:vAlign w:val="center"/>
            <w:hideMark/>
          </w:tcPr>
          <w:p w14:paraId="2B87931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0B23134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c>
          <w:tcPr>
            <w:tcW w:w="0" w:type="auto"/>
            <w:vAlign w:val="center"/>
            <w:hideMark/>
          </w:tcPr>
          <w:p w14:paraId="5BA6710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r>
      <w:tr w:rsidR="000E666F" w:rsidRPr="00445A5B" w14:paraId="6B0E2A87" w14:textId="77777777" w:rsidTr="004F3CC9">
        <w:trPr>
          <w:jc w:val="center"/>
        </w:trPr>
        <w:tc>
          <w:tcPr>
            <w:tcW w:w="0" w:type="auto"/>
            <w:vAlign w:val="center"/>
            <w:hideMark/>
          </w:tcPr>
          <w:p w14:paraId="38396F8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7</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أداء الوقت</w:t>
            </w:r>
          </w:p>
        </w:tc>
        <w:tc>
          <w:tcPr>
            <w:tcW w:w="0" w:type="auto"/>
            <w:vAlign w:val="center"/>
            <w:hideMark/>
          </w:tcPr>
          <w:p w14:paraId="0E783F9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.518**</w:t>
            </w:r>
          </w:p>
        </w:tc>
        <w:tc>
          <w:tcPr>
            <w:tcW w:w="0" w:type="auto"/>
            <w:vAlign w:val="center"/>
            <w:hideMark/>
          </w:tcPr>
          <w:p w14:paraId="362BA05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.602**</w:t>
            </w:r>
          </w:p>
        </w:tc>
        <w:tc>
          <w:tcPr>
            <w:tcW w:w="0" w:type="auto"/>
            <w:vAlign w:val="center"/>
            <w:hideMark/>
          </w:tcPr>
          <w:p w14:paraId="42B36E2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.571**</w:t>
            </w:r>
          </w:p>
        </w:tc>
        <w:tc>
          <w:tcPr>
            <w:tcW w:w="0" w:type="auto"/>
            <w:vAlign w:val="center"/>
            <w:hideMark/>
          </w:tcPr>
          <w:p w14:paraId="789545E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.546**</w:t>
            </w:r>
          </w:p>
        </w:tc>
        <w:tc>
          <w:tcPr>
            <w:tcW w:w="0" w:type="auto"/>
            <w:vAlign w:val="center"/>
            <w:hideMark/>
          </w:tcPr>
          <w:p w14:paraId="11A86FB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.676**</w:t>
            </w:r>
          </w:p>
        </w:tc>
        <w:tc>
          <w:tcPr>
            <w:tcW w:w="0" w:type="auto"/>
            <w:vAlign w:val="center"/>
            <w:hideMark/>
          </w:tcPr>
          <w:p w14:paraId="05D17DA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.641**</w:t>
            </w:r>
          </w:p>
        </w:tc>
        <w:tc>
          <w:tcPr>
            <w:tcW w:w="0" w:type="auto"/>
            <w:vAlign w:val="center"/>
            <w:hideMark/>
          </w:tcPr>
          <w:p w14:paraId="50CDDA1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c>
          <w:tcPr>
            <w:tcW w:w="0" w:type="auto"/>
            <w:vAlign w:val="center"/>
            <w:hideMark/>
          </w:tcPr>
          <w:p w14:paraId="0434723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p>
        </w:tc>
      </w:tr>
      <w:tr w:rsidR="000E666F" w:rsidRPr="00445A5B" w14:paraId="7E736859" w14:textId="77777777" w:rsidTr="004F3CC9">
        <w:trPr>
          <w:jc w:val="center"/>
        </w:trPr>
        <w:tc>
          <w:tcPr>
            <w:tcW w:w="0" w:type="auto"/>
            <w:vAlign w:val="center"/>
            <w:hideMark/>
          </w:tcPr>
          <w:p w14:paraId="19825DA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8</w:t>
            </w:r>
            <w:r w:rsidRPr="00445A5B">
              <w:rPr>
                <w:rFonts w:ascii="Traditional Arabic" w:eastAsia="Times New Roman" w:hAnsi="Traditional Arabic" w:cs="Traditional Arabic"/>
                <w:sz w:val="28"/>
                <w:szCs w:val="28"/>
                <w:highlight w:val="yellow"/>
                <w:rtl/>
              </w:rPr>
              <w:t>.</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رضا العملاء</w:t>
            </w:r>
          </w:p>
        </w:tc>
        <w:tc>
          <w:tcPr>
            <w:tcW w:w="0" w:type="auto"/>
            <w:vAlign w:val="center"/>
            <w:hideMark/>
          </w:tcPr>
          <w:p w14:paraId="394EA23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.575**</w:t>
            </w:r>
          </w:p>
        </w:tc>
        <w:tc>
          <w:tcPr>
            <w:tcW w:w="0" w:type="auto"/>
            <w:vAlign w:val="center"/>
            <w:hideMark/>
          </w:tcPr>
          <w:p w14:paraId="18B1B85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.661**</w:t>
            </w:r>
          </w:p>
        </w:tc>
        <w:tc>
          <w:tcPr>
            <w:tcW w:w="0" w:type="auto"/>
            <w:vAlign w:val="center"/>
            <w:hideMark/>
          </w:tcPr>
          <w:p w14:paraId="74FA1A2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.626**</w:t>
            </w:r>
          </w:p>
        </w:tc>
        <w:tc>
          <w:tcPr>
            <w:tcW w:w="0" w:type="auto"/>
            <w:vAlign w:val="center"/>
            <w:hideMark/>
          </w:tcPr>
          <w:p w14:paraId="39CA329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.563**</w:t>
            </w:r>
          </w:p>
        </w:tc>
        <w:tc>
          <w:tcPr>
            <w:tcW w:w="0" w:type="auto"/>
            <w:vAlign w:val="center"/>
            <w:hideMark/>
          </w:tcPr>
          <w:p w14:paraId="1D04B95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.649**</w:t>
            </w:r>
          </w:p>
        </w:tc>
        <w:tc>
          <w:tcPr>
            <w:tcW w:w="0" w:type="auto"/>
            <w:vAlign w:val="center"/>
            <w:hideMark/>
          </w:tcPr>
          <w:p w14:paraId="5946B4DD"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.721**</w:t>
            </w:r>
          </w:p>
        </w:tc>
        <w:tc>
          <w:tcPr>
            <w:tcW w:w="0" w:type="auto"/>
            <w:vAlign w:val="center"/>
            <w:hideMark/>
          </w:tcPr>
          <w:p w14:paraId="08956AF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.664**</w:t>
            </w:r>
          </w:p>
        </w:tc>
        <w:tc>
          <w:tcPr>
            <w:tcW w:w="0" w:type="auto"/>
            <w:vAlign w:val="center"/>
            <w:hideMark/>
          </w:tcPr>
          <w:p w14:paraId="67352FB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w:t>
            </w:r>
          </w:p>
        </w:tc>
      </w:tr>
    </w:tbl>
    <w:p w14:paraId="2C771060" w14:textId="77777777" w:rsidR="000E666F" w:rsidRPr="00445A5B" w:rsidRDefault="000E666F" w:rsidP="000E666F">
      <w:pPr>
        <w:bidi/>
        <w:jc w:val="both"/>
        <w:rPr>
          <w:rFonts w:ascii="Traditional Arabic" w:eastAsia="Times New Roman" w:hAnsi="Traditional Arabic" w:cs="Traditional Arabic"/>
          <w:sz w:val="28"/>
          <w:szCs w:val="28"/>
          <w:highlight w:val="yellow"/>
          <w:lang w:bidi="ar-EG"/>
        </w:rPr>
      </w:pPr>
      <w:r w:rsidRPr="00445A5B">
        <w:rPr>
          <w:rFonts w:ascii="Traditional Arabic" w:eastAsia="Times New Roman" w:hAnsi="Traditional Arabic" w:cs="Traditional Arabic"/>
          <w:sz w:val="28"/>
          <w:szCs w:val="28"/>
          <w:highlight w:val="yellow"/>
          <w:rtl/>
        </w:rPr>
        <w:t>يبين جدول (4.18) نتائج اختبار معامل ارتباط بيرسون بين أبعاد الدراسة، حيث أظهرت النتائج وجود علاقات ارتباط موجبة ودالة إحصائياً عند مستوى (0.01) بين جميع المتغيرات، مما يشير إلى أن تحسن تطبيق ممارسات الاستدامة يرتبط بتحسن أبعاد أداء المشاريع الإنشائية</w:t>
      </w:r>
      <w:r w:rsidRPr="00445A5B">
        <w:rPr>
          <w:rFonts w:ascii="Traditional Arabic" w:eastAsia="Times New Roman" w:hAnsi="Traditional Arabic" w:cs="Traditional Arabic"/>
          <w:sz w:val="28"/>
          <w:szCs w:val="28"/>
          <w:highlight w:val="yellow"/>
          <w:lang w:bidi="ar-EG"/>
        </w:rPr>
        <w:t>.</w:t>
      </w:r>
    </w:p>
    <w:p w14:paraId="6EBBF808" w14:textId="77777777" w:rsidR="000E666F" w:rsidRPr="00445A5B" w:rsidRDefault="000E666F" w:rsidP="000E666F">
      <w:pPr>
        <w:bidi/>
        <w:jc w:val="both"/>
        <w:rPr>
          <w:rFonts w:ascii="Traditional Arabic" w:eastAsia="Times New Roman" w:hAnsi="Traditional Arabic" w:cs="Traditional Arabic"/>
          <w:sz w:val="28"/>
          <w:szCs w:val="28"/>
          <w:highlight w:val="yellow"/>
          <w:lang w:bidi="ar-EG"/>
        </w:rPr>
      </w:pPr>
      <w:r w:rsidRPr="00445A5B">
        <w:rPr>
          <w:rFonts w:ascii="Traditional Arabic" w:eastAsia="Times New Roman" w:hAnsi="Traditional Arabic" w:cs="Traditional Arabic"/>
          <w:sz w:val="28"/>
          <w:szCs w:val="28"/>
          <w:highlight w:val="yellow"/>
          <w:rtl/>
        </w:rPr>
        <w:t xml:space="preserve">وقد تراوحت معاملات الارتباط بين </w:t>
      </w:r>
      <w:r w:rsidRPr="00445A5B">
        <w:rPr>
          <w:rFonts w:ascii="Traditional Arabic" w:eastAsia="Times New Roman" w:hAnsi="Traditional Arabic" w:cs="Traditional Arabic"/>
          <w:sz w:val="28"/>
          <w:szCs w:val="28"/>
          <w:highlight w:val="yellow"/>
          <w:lang w:bidi="ar-EG"/>
        </w:rPr>
        <w:t>(0.496–0.721)</w:t>
      </w:r>
      <w:r w:rsidRPr="00445A5B">
        <w:rPr>
          <w:rFonts w:ascii="Traditional Arabic" w:eastAsia="Times New Roman" w:hAnsi="Traditional Arabic" w:cs="Traditional Arabic"/>
          <w:sz w:val="28"/>
          <w:szCs w:val="28"/>
          <w:highlight w:val="yellow"/>
          <w:rtl/>
        </w:rPr>
        <w:t xml:space="preserve">، وهو ما يعكس وجود ارتباطات متوسطة إلى قوية بين المتغيرات دون أن تصل إلى مستويات مرتفعة قد تشير إلى مشكلة التعدد الخطي. وسجلت الاستدامة الاقتصادية أعلى معاملات ارتباط مع أبعاد أداء المشروع، حيث بلغ ارتباطها بأداء الجودة </w:t>
      </w:r>
      <w:r w:rsidRPr="00445A5B">
        <w:rPr>
          <w:rFonts w:ascii="Traditional Arabic" w:eastAsia="Times New Roman" w:hAnsi="Traditional Arabic" w:cs="Traditional Arabic"/>
          <w:sz w:val="28"/>
          <w:szCs w:val="28"/>
          <w:highlight w:val="yellow"/>
          <w:lang w:bidi="ar-EG"/>
        </w:rPr>
        <w:t>(r = 0.689)</w:t>
      </w:r>
      <w:r w:rsidRPr="00445A5B">
        <w:rPr>
          <w:rFonts w:ascii="Traditional Arabic" w:eastAsia="Times New Roman" w:hAnsi="Traditional Arabic" w:cs="Traditional Arabic"/>
          <w:sz w:val="28"/>
          <w:szCs w:val="28"/>
          <w:highlight w:val="yellow"/>
          <w:rtl/>
        </w:rPr>
        <w:t xml:space="preserve">، وبرضا العملاء </w:t>
      </w:r>
      <w:r w:rsidRPr="00445A5B">
        <w:rPr>
          <w:rFonts w:ascii="Traditional Arabic" w:eastAsia="Times New Roman" w:hAnsi="Traditional Arabic" w:cs="Traditional Arabic"/>
          <w:sz w:val="28"/>
          <w:szCs w:val="28"/>
          <w:highlight w:val="yellow"/>
          <w:lang w:bidi="ar-EG"/>
        </w:rPr>
        <w:t>(r = 0.661)</w:t>
      </w:r>
      <w:r w:rsidRPr="00445A5B">
        <w:rPr>
          <w:rFonts w:ascii="Traditional Arabic" w:eastAsia="Times New Roman" w:hAnsi="Traditional Arabic" w:cs="Traditional Arabic"/>
          <w:sz w:val="28"/>
          <w:szCs w:val="28"/>
          <w:highlight w:val="yellow"/>
          <w:rtl/>
        </w:rPr>
        <w:t xml:space="preserve">، وبأداء التكلفة </w:t>
      </w:r>
      <w:r w:rsidRPr="00445A5B">
        <w:rPr>
          <w:rFonts w:ascii="Traditional Arabic" w:eastAsia="Times New Roman" w:hAnsi="Traditional Arabic" w:cs="Traditional Arabic"/>
          <w:sz w:val="28"/>
          <w:szCs w:val="28"/>
          <w:highlight w:val="yellow"/>
          <w:lang w:bidi="ar-EG"/>
        </w:rPr>
        <w:t>(r = 0.648)</w:t>
      </w:r>
      <w:r w:rsidRPr="00445A5B">
        <w:rPr>
          <w:rFonts w:ascii="Traditional Arabic" w:eastAsia="Times New Roman" w:hAnsi="Traditional Arabic" w:cs="Traditional Arabic"/>
          <w:sz w:val="28"/>
          <w:szCs w:val="28"/>
          <w:highlight w:val="yellow"/>
          <w:rtl/>
        </w:rPr>
        <w:t>، مما يدل على أن الممارسات الاقتصادية المستدامة ترتبط بصورة وثيقة بتحسين نتائج المشاريع</w:t>
      </w:r>
      <w:r w:rsidRPr="00445A5B">
        <w:rPr>
          <w:rFonts w:ascii="Traditional Arabic" w:eastAsia="Times New Roman" w:hAnsi="Traditional Arabic" w:cs="Traditional Arabic"/>
          <w:sz w:val="28"/>
          <w:szCs w:val="28"/>
          <w:highlight w:val="yellow"/>
          <w:lang w:bidi="ar-EG"/>
        </w:rPr>
        <w:t>.</w:t>
      </w:r>
    </w:p>
    <w:p w14:paraId="3C273DD9" w14:textId="77777777" w:rsidR="000E666F" w:rsidRPr="00445A5B" w:rsidRDefault="000E666F" w:rsidP="000E666F">
      <w:pPr>
        <w:bidi/>
        <w:jc w:val="both"/>
        <w:rPr>
          <w:rFonts w:ascii="Traditional Arabic" w:eastAsia="Times New Roman" w:hAnsi="Traditional Arabic" w:cs="Traditional Arabic"/>
          <w:sz w:val="28"/>
          <w:szCs w:val="28"/>
          <w:lang w:bidi="ar-EG"/>
        </w:rPr>
      </w:pPr>
      <w:r w:rsidRPr="00445A5B">
        <w:rPr>
          <w:rFonts w:ascii="Traditional Arabic" w:eastAsia="Times New Roman" w:hAnsi="Traditional Arabic" w:cs="Traditional Arabic"/>
          <w:sz w:val="28"/>
          <w:szCs w:val="28"/>
          <w:highlight w:val="yellow"/>
          <w:rtl/>
        </w:rPr>
        <w:t xml:space="preserve">كما أظهرت النتائج وجود ارتباطات موجبة بين البيئة الداعمة للاستدامة وأبعاد الأداء المختلفة، حيث تراوحت قيم الارتباط بين </w:t>
      </w:r>
      <w:r w:rsidRPr="00445A5B">
        <w:rPr>
          <w:rFonts w:ascii="Traditional Arabic" w:eastAsia="Times New Roman" w:hAnsi="Traditional Arabic" w:cs="Traditional Arabic"/>
          <w:sz w:val="28"/>
          <w:szCs w:val="28"/>
          <w:highlight w:val="yellow"/>
          <w:lang w:bidi="ar-EG"/>
        </w:rPr>
        <w:t>(0.528–0.587)</w:t>
      </w:r>
      <w:r w:rsidRPr="00445A5B">
        <w:rPr>
          <w:rFonts w:ascii="Traditional Arabic" w:eastAsia="Times New Roman" w:hAnsi="Traditional Arabic" w:cs="Traditional Arabic"/>
          <w:sz w:val="28"/>
          <w:szCs w:val="28"/>
          <w:highlight w:val="yellow"/>
          <w:rtl/>
        </w:rPr>
        <w:t xml:space="preserve">، وهو ما يشير إلى أن وجود بيئة تنظيمية ومؤسسية داعمة يسهم في تعزيز أداء المشاريع. وفي الوقت نفسه، جاءت جميع معاملات الارتباط أقل من </w:t>
      </w:r>
      <w:r w:rsidRPr="00445A5B">
        <w:rPr>
          <w:rFonts w:ascii="Traditional Arabic" w:eastAsia="Times New Roman" w:hAnsi="Traditional Arabic" w:cs="Traditional Arabic"/>
          <w:sz w:val="28"/>
          <w:szCs w:val="28"/>
          <w:highlight w:val="yellow"/>
          <w:lang w:bidi="ar-EG"/>
        </w:rPr>
        <w:t>0.80</w:t>
      </w:r>
      <w:r w:rsidRPr="00445A5B">
        <w:rPr>
          <w:rFonts w:ascii="Traditional Arabic" w:eastAsia="Times New Roman" w:hAnsi="Traditional Arabic" w:cs="Traditional Arabic"/>
          <w:sz w:val="28"/>
          <w:szCs w:val="28"/>
          <w:highlight w:val="yellow"/>
          <w:rtl/>
        </w:rPr>
        <w:t>، مما يؤكد عدم وجود مشكلة ارتباطات مرتفعة بين المتغيرات المستقلة، ويدعم ملاءمة البيانات للانتقال إلى تحليل الانحدار المتعدد لاختبار فروض الدراسة</w:t>
      </w:r>
      <w:r w:rsidRPr="00445A5B">
        <w:rPr>
          <w:rFonts w:ascii="Traditional Arabic" w:eastAsia="Times New Roman" w:hAnsi="Traditional Arabic" w:cs="Traditional Arabic"/>
          <w:sz w:val="28"/>
          <w:szCs w:val="28"/>
          <w:highlight w:val="yellow"/>
          <w:lang w:bidi="ar-EG"/>
        </w:rPr>
        <w:t>.</w:t>
      </w:r>
    </w:p>
    <w:p w14:paraId="487C79E2" w14:textId="21E813AA" w:rsidR="000E666F" w:rsidRPr="00445A5B" w:rsidRDefault="00AD0092" w:rsidP="000E666F">
      <w:pPr>
        <w:bidi/>
        <w:jc w:val="both"/>
        <w:rPr>
          <w:rFonts w:ascii="Traditional Arabic" w:eastAsia="Times New Roman" w:hAnsi="Traditional Arabic" w:cs="Traditional Arabic"/>
          <w:b/>
          <w:bCs/>
          <w:sz w:val="28"/>
          <w:szCs w:val="28"/>
          <w:highlight w:val="yellow"/>
          <w:rtl/>
          <w:lang w:bidi="ar-EG"/>
        </w:rPr>
      </w:pPr>
      <w:r w:rsidRPr="00445A5B">
        <w:rPr>
          <w:rFonts w:ascii="Traditional Arabic" w:eastAsia="Times New Roman" w:hAnsi="Traditional Arabic" w:cs="Traditional Arabic"/>
          <w:b/>
          <w:bCs/>
          <w:sz w:val="28"/>
          <w:szCs w:val="28"/>
          <w:highlight w:val="yellow"/>
          <w:rtl/>
          <w:lang w:bidi="ar-EG"/>
        </w:rPr>
        <w:t>4-5</w:t>
      </w:r>
      <w:r w:rsidR="000E666F" w:rsidRPr="00445A5B">
        <w:rPr>
          <w:rFonts w:ascii="Traditional Arabic" w:eastAsia="Times New Roman" w:hAnsi="Traditional Arabic" w:cs="Traditional Arabic"/>
          <w:b/>
          <w:bCs/>
          <w:sz w:val="28"/>
          <w:szCs w:val="28"/>
          <w:highlight w:val="yellow"/>
          <w:rtl/>
          <w:lang w:bidi="ar-EG"/>
        </w:rPr>
        <w:t xml:space="preserve"> اختبار افتراضات الانحدار</w:t>
      </w:r>
    </w:p>
    <w:p w14:paraId="6A5CBAF3" w14:textId="77777777" w:rsidR="000E666F" w:rsidRPr="00445A5B" w:rsidRDefault="000E666F" w:rsidP="000E666F">
      <w:pPr>
        <w:bidi/>
        <w:jc w:val="both"/>
        <w:rPr>
          <w:rFonts w:ascii="Traditional Arabic" w:eastAsia="Times New Roman" w:hAnsi="Traditional Arabic" w:cs="Traditional Arabic"/>
          <w:sz w:val="28"/>
          <w:szCs w:val="28"/>
          <w:highlight w:val="yellow"/>
          <w:rtl/>
          <w:lang w:bidi="ar-EG"/>
        </w:rPr>
      </w:pPr>
      <w:r w:rsidRPr="00445A5B">
        <w:rPr>
          <w:rFonts w:ascii="Traditional Arabic" w:eastAsia="Times New Roman" w:hAnsi="Traditional Arabic" w:cs="Traditional Arabic"/>
          <w:sz w:val="28"/>
          <w:szCs w:val="28"/>
          <w:highlight w:val="yellow"/>
          <w:rtl/>
        </w:rPr>
        <w:lastRenderedPageBreak/>
        <w:t>قبل إجراء تحليل الانحدار المتعدد، تم التحقق من مدى استيفاء البيانات للافتراضات الإحصائية اللازمة لضمان صحة نتائج التحليل. وشملت هذه الافتراضات اختبار مشكلة التعدد الخطي</w:t>
      </w:r>
      <w:r w:rsidRPr="00445A5B">
        <w:rPr>
          <w:rFonts w:ascii="Traditional Arabic" w:eastAsia="Times New Roman" w:hAnsi="Traditional Arabic" w:cs="Traditional Arabic"/>
          <w:sz w:val="28"/>
          <w:szCs w:val="28"/>
          <w:highlight w:val="yellow"/>
          <w:lang w:bidi="ar-EG"/>
        </w:rPr>
        <w:t xml:space="preserve"> (Multicollinearity)</w:t>
      </w:r>
      <w:r w:rsidRPr="00445A5B">
        <w:rPr>
          <w:rFonts w:ascii="Traditional Arabic" w:eastAsia="Times New Roman" w:hAnsi="Traditional Arabic" w:cs="Traditional Arabic"/>
          <w:sz w:val="28"/>
          <w:szCs w:val="28"/>
          <w:highlight w:val="yellow"/>
          <w:rtl/>
        </w:rPr>
        <w:t>، واستقلالية الأخطاء</w:t>
      </w:r>
      <w:r w:rsidRPr="00445A5B">
        <w:rPr>
          <w:rFonts w:ascii="Traditional Arabic" w:eastAsia="Times New Roman" w:hAnsi="Traditional Arabic" w:cs="Traditional Arabic"/>
          <w:sz w:val="28"/>
          <w:szCs w:val="28"/>
          <w:highlight w:val="yellow"/>
          <w:lang w:bidi="ar-EG"/>
        </w:rPr>
        <w:t xml:space="preserve"> (Independence of Errors)</w:t>
      </w:r>
      <w:r w:rsidRPr="00445A5B">
        <w:rPr>
          <w:rFonts w:ascii="Traditional Arabic" w:eastAsia="Times New Roman" w:hAnsi="Traditional Arabic" w:cs="Traditional Arabic"/>
          <w:sz w:val="28"/>
          <w:szCs w:val="28"/>
          <w:highlight w:val="yellow"/>
          <w:rtl/>
        </w:rPr>
        <w:t>، بالإضافة إلى فحص طبيعية توزيع البواقي</w:t>
      </w:r>
      <w:r w:rsidRPr="00445A5B">
        <w:rPr>
          <w:rFonts w:ascii="Traditional Arabic" w:eastAsia="Times New Roman" w:hAnsi="Traditional Arabic" w:cs="Traditional Arabic"/>
          <w:sz w:val="28"/>
          <w:szCs w:val="28"/>
          <w:highlight w:val="yellow"/>
          <w:lang w:bidi="ar-EG"/>
        </w:rPr>
        <w:t xml:space="preserve"> (Normality of Residuals).</w:t>
      </w:r>
    </w:p>
    <w:p w14:paraId="027CF30B" w14:textId="77777777" w:rsidR="000E666F" w:rsidRPr="00445A5B" w:rsidRDefault="000E666F" w:rsidP="000E666F">
      <w:pPr>
        <w:bidi/>
        <w:jc w:val="both"/>
        <w:rPr>
          <w:rFonts w:ascii="Traditional Arabic" w:eastAsia="Times New Roman" w:hAnsi="Traditional Arabic" w:cs="Traditional Arabic"/>
          <w:sz w:val="28"/>
          <w:szCs w:val="28"/>
          <w:highlight w:val="yellow"/>
          <w:rtl/>
          <w:lang w:bidi="ar-EG"/>
        </w:rPr>
      </w:pPr>
      <w:r w:rsidRPr="00445A5B">
        <w:rPr>
          <w:rFonts w:ascii="Traditional Arabic" w:eastAsia="Times New Roman" w:hAnsi="Traditional Arabic" w:cs="Traditional Arabic"/>
          <w:sz w:val="28"/>
          <w:szCs w:val="28"/>
          <w:highlight w:val="yellow"/>
          <w:rtl/>
        </w:rPr>
        <w:t>جدول (4.19) اختبار تعدد الارتباط الخطي</w:t>
      </w:r>
      <w:r w:rsidRPr="00445A5B">
        <w:rPr>
          <w:rFonts w:ascii="Traditional Arabic" w:eastAsia="Times New Roman" w:hAnsi="Traditional Arabic" w:cs="Traditional Arabic"/>
          <w:sz w:val="28"/>
          <w:szCs w:val="28"/>
          <w:highlight w:val="yellow"/>
          <w:lang w:bidi="ar-EG"/>
        </w:rPr>
        <w:t xml:space="preserve"> (Multicollinearity)</w:t>
      </w:r>
    </w:p>
    <w:tbl>
      <w:tblPr>
        <w:tblStyle w:val="TableGrid"/>
        <w:bidiVisual/>
        <w:tblW w:w="5000" w:type="pct"/>
        <w:jc w:val="center"/>
        <w:tblLook w:val="04A0" w:firstRow="1" w:lastRow="0" w:firstColumn="1" w:lastColumn="0" w:noHBand="0" w:noVBand="1"/>
      </w:tblPr>
      <w:tblGrid>
        <w:gridCol w:w="3852"/>
        <w:gridCol w:w="2723"/>
        <w:gridCol w:w="1721"/>
      </w:tblGrid>
      <w:tr w:rsidR="000E666F" w:rsidRPr="00445A5B" w14:paraId="071C63EC" w14:textId="77777777" w:rsidTr="004F3CC9">
        <w:trPr>
          <w:jc w:val="center"/>
        </w:trPr>
        <w:tc>
          <w:tcPr>
            <w:tcW w:w="0" w:type="auto"/>
            <w:vAlign w:val="center"/>
            <w:hideMark/>
          </w:tcPr>
          <w:p w14:paraId="0E849CA7"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المتغير المستقل</w:t>
            </w:r>
          </w:p>
        </w:tc>
        <w:tc>
          <w:tcPr>
            <w:tcW w:w="0" w:type="auto"/>
            <w:vAlign w:val="center"/>
            <w:hideMark/>
          </w:tcPr>
          <w:p w14:paraId="107A7A3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Tolerance</w:t>
            </w:r>
          </w:p>
        </w:tc>
        <w:tc>
          <w:tcPr>
            <w:tcW w:w="0" w:type="auto"/>
            <w:vAlign w:val="center"/>
            <w:hideMark/>
          </w:tcPr>
          <w:p w14:paraId="45AFDF7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VIF</w:t>
            </w:r>
          </w:p>
        </w:tc>
      </w:tr>
      <w:tr w:rsidR="000E666F" w:rsidRPr="00445A5B" w14:paraId="74597787" w14:textId="77777777" w:rsidTr="004F3CC9">
        <w:trPr>
          <w:jc w:val="center"/>
        </w:trPr>
        <w:tc>
          <w:tcPr>
            <w:tcW w:w="0" w:type="auto"/>
            <w:vAlign w:val="center"/>
            <w:hideMark/>
          </w:tcPr>
          <w:p w14:paraId="6732151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الاستدامة البيئية</w:t>
            </w:r>
          </w:p>
        </w:tc>
        <w:tc>
          <w:tcPr>
            <w:tcW w:w="0" w:type="auto"/>
            <w:vAlign w:val="center"/>
            <w:hideMark/>
          </w:tcPr>
          <w:p w14:paraId="07603B0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0.681</w:t>
            </w:r>
          </w:p>
        </w:tc>
        <w:tc>
          <w:tcPr>
            <w:tcW w:w="0" w:type="auto"/>
            <w:vAlign w:val="center"/>
            <w:hideMark/>
          </w:tcPr>
          <w:p w14:paraId="11C60278"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1.468</w:t>
            </w:r>
          </w:p>
        </w:tc>
      </w:tr>
      <w:tr w:rsidR="000E666F" w:rsidRPr="00445A5B" w14:paraId="5F621C80" w14:textId="77777777" w:rsidTr="004F3CC9">
        <w:trPr>
          <w:jc w:val="center"/>
        </w:trPr>
        <w:tc>
          <w:tcPr>
            <w:tcW w:w="0" w:type="auto"/>
            <w:vAlign w:val="center"/>
            <w:hideMark/>
          </w:tcPr>
          <w:p w14:paraId="274B704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الاستدامة الاقتصادية</w:t>
            </w:r>
          </w:p>
        </w:tc>
        <w:tc>
          <w:tcPr>
            <w:tcW w:w="0" w:type="auto"/>
            <w:vAlign w:val="center"/>
            <w:hideMark/>
          </w:tcPr>
          <w:p w14:paraId="141E2AF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0.624</w:t>
            </w:r>
          </w:p>
        </w:tc>
        <w:tc>
          <w:tcPr>
            <w:tcW w:w="0" w:type="auto"/>
            <w:vAlign w:val="center"/>
            <w:hideMark/>
          </w:tcPr>
          <w:p w14:paraId="6463AFF4"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1.603</w:t>
            </w:r>
          </w:p>
        </w:tc>
      </w:tr>
      <w:tr w:rsidR="000E666F" w:rsidRPr="00445A5B" w14:paraId="194D0808" w14:textId="77777777" w:rsidTr="004F3CC9">
        <w:trPr>
          <w:jc w:val="center"/>
        </w:trPr>
        <w:tc>
          <w:tcPr>
            <w:tcW w:w="0" w:type="auto"/>
            <w:vAlign w:val="center"/>
            <w:hideMark/>
          </w:tcPr>
          <w:p w14:paraId="51EC33D0"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الاستدامة الاجتماعية</w:t>
            </w:r>
          </w:p>
        </w:tc>
        <w:tc>
          <w:tcPr>
            <w:tcW w:w="0" w:type="auto"/>
            <w:vAlign w:val="center"/>
            <w:hideMark/>
          </w:tcPr>
          <w:p w14:paraId="6D8CA02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0.598</w:t>
            </w:r>
          </w:p>
        </w:tc>
        <w:tc>
          <w:tcPr>
            <w:tcW w:w="0" w:type="auto"/>
            <w:vAlign w:val="center"/>
            <w:hideMark/>
          </w:tcPr>
          <w:p w14:paraId="46E9FAF3"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1.672</w:t>
            </w:r>
          </w:p>
        </w:tc>
      </w:tr>
      <w:tr w:rsidR="000E666F" w:rsidRPr="00445A5B" w14:paraId="10CB45D2" w14:textId="77777777" w:rsidTr="004F3CC9">
        <w:trPr>
          <w:jc w:val="center"/>
        </w:trPr>
        <w:tc>
          <w:tcPr>
            <w:tcW w:w="0" w:type="auto"/>
            <w:vAlign w:val="center"/>
            <w:hideMark/>
          </w:tcPr>
          <w:p w14:paraId="3B39E6E2"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البيئة الداعمة للاستدامة</w:t>
            </w:r>
          </w:p>
        </w:tc>
        <w:tc>
          <w:tcPr>
            <w:tcW w:w="0" w:type="auto"/>
            <w:vAlign w:val="center"/>
            <w:hideMark/>
          </w:tcPr>
          <w:p w14:paraId="375B4CF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0.715</w:t>
            </w:r>
          </w:p>
        </w:tc>
        <w:tc>
          <w:tcPr>
            <w:tcW w:w="0" w:type="auto"/>
            <w:vAlign w:val="center"/>
            <w:hideMark/>
          </w:tcPr>
          <w:p w14:paraId="44A5341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1.398</w:t>
            </w:r>
          </w:p>
        </w:tc>
      </w:tr>
    </w:tbl>
    <w:p w14:paraId="6142545E" w14:textId="77777777" w:rsidR="000E666F" w:rsidRPr="00445A5B" w:rsidRDefault="000E666F" w:rsidP="000E666F">
      <w:pPr>
        <w:bidi/>
        <w:jc w:val="both"/>
        <w:rPr>
          <w:rFonts w:ascii="Traditional Arabic" w:eastAsia="Times New Roman" w:hAnsi="Traditional Arabic" w:cs="Traditional Arabic"/>
          <w:sz w:val="28"/>
          <w:szCs w:val="28"/>
          <w:highlight w:val="yellow"/>
          <w:rtl/>
          <w:lang w:bidi="ar-EG"/>
        </w:rPr>
      </w:pPr>
      <w:r w:rsidRPr="00445A5B">
        <w:rPr>
          <w:rFonts w:ascii="Traditional Arabic" w:eastAsia="Times New Roman" w:hAnsi="Traditional Arabic" w:cs="Traditional Arabic"/>
          <w:sz w:val="28"/>
          <w:szCs w:val="28"/>
          <w:highlight w:val="yellow"/>
          <w:rtl/>
          <w:lang w:bidi="ar-EG"/>
        </w:rPr>
        <w:t xml:space="preserve">يبين جدول (4.19) أن قيم </w:t>
      </w:r>
      <w:r w:rsidRPr="00445A5B">
        <w:rPr>
          <w:rFonts w:ascii="Traditional Arabic" w:eastAsia="Times New Roman" w:hAnsi="Traditional Arabic" w:cs="Traditional Arabic"/>
          <w:sz w:val="28"/>
          <w:szCs w:val="28"/>
          <w:highlight w:val="yellow"/>
          <w:lang w:bidi="ar-EG"/>
        </w:rPr>
        <w:t>Tolerance</w:t>
      </w:r>
      <w:r w:rsidRPr="00445A5B">
        <w:rPr>
          <w:rFonts w:ascii="Traditional Arabic" w:eastAsia="Times New Roman" w:hAnsi="Traditional Arabic" w:cs="Traditional Arabic"/>
          <w:sz w:val="28"/>
          <w:szCs w:val="28"/>
          <w:highlight w:val="yellow"/>
          <w:rtl/>
          <w:lang w:bidi="ar-EG"/>
        </w:rPr>
        <w:t xml:space="preserve"> تراوحت بين (0.598–0.715)، وهي جميعها أعلى من الحد الأدنى المقبول (0.10)، كما تراوحت قيم </w:t>
      </w:r>
      <w:r w:rsidRPr="00445A5B">
        <w:rPr>
          <w:rFonts w:ascii="Traditional Arabic" w:eastAsia="Times New Roman" w:hAnsi="Traditional Arabic" w:cs="Traditional Arabic"/>
          <w:sz w:val="28"/>
          <w:szCs w:val="28"/>
          <w:highlight w:val="yellow"/>
          <w:lang w:bidi="ar-EG"/>
        </w:rPr>
        <w:t>VIF</w:t>
      </w:r>
      <w:r w:rsidRPr="00445A5B">
        <w:rPr>
          <w:rFonts w:ascii="Traditional Arabic" w:eastAsia="Times New Roman" w:hAnsi="Traditional Arabic" w:cs="Traditional Arabic"/>
          <w:sz w:val="28"/>
          <w:szCs w:val="28"/>
          <w:highlight w:val="yellow"/>
          <w:rtl/>
          <w:lang w:bidi="ar-EG"/>
        </w:rPr>
        <w:t xml:space="preserve"> بين (1.398–1.672)، وهي أقل كثيرًا من الحد المقبول (5)، مما يشير إلى عدم وجود مشكلة تعدد ارتباط خطي بين المتغيرات المستقلة، وبالتالي فإن البيانات تستوفي هذا الافتراض ويمكن الاعتماد على نتائج تحليل الانحدار.</w:t>
      </w:r>
    </w:p>
    <w:p w14:paraId="48AB7423" w14:textId="77777777" w:rsidR="000E666F" w:rsidRPr="00445A5B" w:rsidRDefault="000E666F" w:rsidP="000E666F">
      <w:pPr>
        <w:bidi/>
        <w:jc w:val="both"/>
        <w:rPr>
          <w:rFonts w:ascii="Traditional Arabic" w:eastAsia="Times New Roman" w:hAnsi="Traditional Arabic" w:cs="Traditional Arabic"/>
          <w:sz w:val="28"/>
          <w:szCs w:val="28"/>
          <w:highlight w:val="yellow"/>
          <w:rtl/>
          <w:lang w:bidi="ar-EG"/>
        </w:rPr>
      </w:pPr>
      <w:r w:rsidRPr="00445A5B">
        <w:rPr>
          <w:rFonts w:ascii="Traditional Arabic" w:eastAsia="Times New Roman" w:hAnsi="Traditional Arabic" w:cs="Traditional Arabic"/>
          <w:sz w:val="28"/>
          <w:szCs w:val="28"/>
          <w:highlight w:val="yellow"/>
          <w:rtl/>
          <w:lang w:bidi="ar-EG"/>
        </w:rPr>
        <w:t>جدول (4.20) اختبار استقلالية الأخطاء</w:t>
      </w:r>
    </w:p>
    <w:tbl>
      <w:tblPr>
        <w:tblStyle w:val="TableGrid"/>
        <w:bidiVisual/>
        <w:tblW w:w="5000" w:type="pct"/>
        <w:jc w:val="center"/>
        <w:tblLook w:val="04A0" w:firstRow="1" w:lastRow="0" w:firstColumn="1" w:lastColumn="0" w:noHBand="0" w:noVBand="1"/>
      </w:tblPr>
      <w:tblGrid>
        <w:gridCol w:w="2868"/>
        <w:gridCol w:w="1004"/>
        <w:gridCol w:w="4424"/>
      </w:tblGrid>
      <w:tr w:rsidR="000E666F" w:rsidRPr="00445A5B" w14:paraId="335D59DC" w14:textId="77777777" w:rsidTr="004F3CC9">
        <w:trPr>
          <w:jc w:val="center"/>
        </w:trPr>
        <w:tc>
          <w:tcPr>
            <w:tcW w:w="0" w:type="auto"/>
            <w:vAlign w:val="center"/>
            <w:hideMark/>
          </w:tcPr>
          <w:p w14:paraId="74934252"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الاختبار</w:t>
            </w:r>
          </w:p>
        </w:tc>
        <w:tc>
          <w:tcPr>
            <w:tcW w:w="0" w:type="auto"/>
            <w:vAlign w:val="center"/>
            <w:hideMark/>
          </w:tcPr>
          <w:p w14:paraId="50643B4D"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القيمة</w:t>
            </w:r>
          </w:p>
        </w:tc>
        <w:tc>
          <w:tcPr>
            <w:tcW w:w="0" w:type="auto"/>
            <w:vAlign w:val="center"/>
            <w:hideMark/>
          </w:tcPr>
          <w:p w14:paraId="3043C80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التفسير</w:t>
            </w:r>
          </w:p>
        </w:tc>
      </w:tr>
      <w:tr w:rsidR="000E666F" w:rsidRPr="00445A5B" w14:paraId="3AD13D0A" w14:textId="77777777" w:rsidTr="004F3CC9">
        <w:trPr>
          <w:jc w:val="center"/>
        </w:trPr>
        <w:tc>
          <w:tcPr>
            <w:tcW w:w="0" w:type="auto"/>
            <w:vAlign w:val="center"/>
            <w:hideMark/>
          </w:tcPr>
          <w:p w14:paraId="1F4D11EF"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Durbin–Watson</w:t>
            </w:r>
          </w:p>
        </w:tc>
        <w:tc>
          <w:tcPr>
            <w:tcW w:w="0" w:type="auto"/>
            <w:vAlign w:val="center"/>
            <w:hideMark/>
          </w:tcPr>
          <w:p w14:paraId="6AB5BC7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1.93</w:t>
            </w:r>
          </w:p>
        </w:tc>
        <w:tc>
          <w:tcPr>
            <w:tcW w:w="0" w:type="auto"/>
            <w:vAlign w:val="center"/>
            <w:hideMark/>
          </w:tcPr>
          <w:p w14:paraId="590BF560"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لا توجد مشكلة ارتباط ذاتي بين الأخطاء</w:t>
            </w:r>
          </w:p>
        </w:tc>
      </w:tr>
    </w:tbl>
    <w:p w14:paraId="081F8852" w14:textId="77777777" w:rsidR="000E666F" w:rsidRPr="00445A5B" w:rsidRDefault="000E666F" w:rsidP="000E666F">
      <w:pPr>
        <w:bidi/>
        <w:jc w:val="both"/>
        <w:rPr>
          <w:rFonts w:ascii="Traditional Arabic" w:eastAsia="Times New Roman" w:hAnsi="Traditional Arabic" w:cs="Traditional Arabic"/>
          <w:sz w:val="28"/>
          <w:szCs w:val="28"/>
          <w:highlight w:val="yellow"/>
          <w:rtl/>
          <w:lang w:bidi="ar-EG"/>
        </w:rPr>
      </w:pPr>
      <w:r w:rsidRPr="00445A5B">
        <w:rPr>
          <w:rFonts w:ascii="Traditional Arabic" w:eastAsia="Times New Roman" w:hAnsi="Traditional Arabic" w:cs="Traditional Arabic"/>
          <w:sz w:val="28"/>
          <w:szCs w:val="28"/>
          <w:highlight w:val="yellow"/>
          <w:rtl/>
          <w:lang w:bidi="ar-EG"/>
        </w:rPr>
        <w:t xml:space="preserve">بلغت قيمة </w:t>
      </w:r>
      <w:r w:rsidRPr="00445A5B">
        <w:rPr>
          <w:rFonts w:ascii="Traditional Arabic" w:eastAsia="Times New Roman" w:hAnsi="Traditional Arabic" w:cs="Traditional Arabic"/>
          <w:sz w:val="28"/>
          <w:szCs w:val="28"/>
          <w:highlight w:val="yellow"/>
          <w:lang w:bidi="ar-EG"/>
        </w:rPr>
        <w:t>Durbin–Watson = 1.93</w:t>
      </w:r>
      <w:r w:rsidRPr="00445A5B">
        <w:rPr>
          <w:rFonts w:ascii="Traditional Arabic" w:eastAsia="Times New Roman" w:hAnsi="Traditional Arabic" w:cs="Traditional Arabic"/>
          <w:sz w:val="28"/>
          <w:szCs w:val="28"/>
          <w:highlight w:val="yellow"/>
          <w:rtl/>
          <w:lang w:bidi="ar-EG"/>
        </w:rPr>
        <w:t>، وهي تقع ضمن النطاق المقبول (1.5–2.5)، مما يدل على استقلالية الأخطاء وعدم وجود ارتباط ذاتي بين البواقي، وبالتالي استيفاء أحد أهم افتراضات تحليل الانحدار المتعدد.</w:t>
      </w:r>
    </w:p>
    <w:p w14:paraId="3CBD638B" w14:textId="77777777" w:rsidR="000E666F" w:rsidRPr="00445A5B" w:rsidRDefault="000E666F" w:rsidP="000E666F">
      <w:pPr>
        <w:bidi/>
        <w:jc w:val="both"/>
        <w:rPr>
          <w:rFonts w:ascii="Traditional Arabic" w:eastAsia="Times New Roman" w:hAnsi="Traditional Arabic" w:cs="Traditional Arabic"/>
          <w:sz w:val="28"/>
          <w:szCs w:val="28"/>
          <w:rtl/>
          <w:lang w:bidi="ar-EG"/>
        </w:rPr>
      </w:pPr>
      <w:r w:rsidRPr="00445A5B">
        <w:rPr>
          <w:rFonts w:ascii="Traditional Arabic" w:eastAsia="Times New Roman" w:hAnsi="Traditional Arabic" w:cs="Traditional Arabic"/>
          <w:sz w:val="28"/>
          <w:szCs w:val="28"/>
          <w:highlight w:val="yellow"/>
          <w:rtl/>
          <w:lang w:bidi="ar-EG"/>
        </w:rPr>
        <w:t>كما تم فحص طبيعية توزيع البواقي باستخدام المدرج التكراري (</w:t>
      </w:r>
      <w:r w:rsidRPr="00445A5B">
        <w:rPr>
          <w:rFonts w:ascii="Traditional Arabic" w:eastAsia="Times New Roman" w:hAnsi="Traditional Arabic" w:cs="Traditional Arabic"/>
          <w:sz w:val="28"/>
          <w:szCs w:val="28"/>
          <w:highlight w:val="yellow"/>
          <w:lang w:bidi="ar-EG"/>
        </w:rPr>
        <w:t>Histogram</w:t>
      </w:r>
      <w:r w:rsidRPr="00445A5B">
        <w:rPr>
          <w:rFonts w:ascii="Traditional Arabic" w:eastAsia="Times New Roman" w:hAnsi="Traditional Arabic" w:cs="Traditional Arabic"/>
          <w:sz w:val="28"/>
          <w:szCs w:val="28"/>
          <w:highlight w:val="yellow"/>
          <w:rtl/>
          <w:lang w:bidi="ar-EG"/>
        </w:rPr>
        <w:t>)</w:t>
      </w:r>
      <w:r w:rsidRPr="00445A5B">
        <w:rPr>
          <w:rFonts w:ascii="Traditional Arabic" w:eastAsia="Times New Roman" w:hAnsi="Traditional Arabic" w:cs="Traditional Arabic"/>
          <w:sz w:val="28"/>
          <w:szCs w:val="28"/>
          <w:highlight w:val="yellow"/>
          <w:lang w:bidi="ar-EG"/>
        </w:rPr>
        <w:t xml:space="preserve"> </w:t>
      </w:r>
      <w:r w:rsidRPr="00445A5B">
        <w:rPr>
          <w:rFonts w:ascii="Traditional Arabic" w:eastAsia="Times New Roman" w:hAnsi="Traditional Arabic" w:cs="Traditional Arabic"/>
          <w:sz w:val="28"/>
          <w:szCs w:val="28"/>
          <w:highlight w:val="yellow"/>
          <w:rtl/>
          <w:lang w:bidi="ar-EG"/>
        </w:rPr>
        <w:t>ومخطط الاحتمال الطبيعي (</w:t>
      </w:r>
      <w:r w:rsidRPr="00445A5B">
        <w:rPr>
          <w:rFonts w:ascii="Traditional Arabic" w:eastAsia="Times New Roman" w:hAnsi="Traditional Arabic" w:cs="Traditional Arabic"/>
          <w:sz w:val="28"/>
          <w:szCs w:val="28"/>
          <w:highlight w:val="yellow"/>
          <w:lang w:bidi="ar-EG"/>
        </w:rPr>
        <w:t>Normal P–P Plot</w:t>
      </w:r>
      <w:r w:rsidRPr="00445A5B">
        <w:rPr>
          <w:rFonts w:ascii="Traditional Arabic" w:eastAsia="Times New Roman" w:hAnsi="Traditional Arabic" w:cs="Traditional Arabic"/>
          <w:sz w:val="28"/>
          <w:szCs w:val="28"/>
          <w:highlight w:val="yellow"/>
          <w:rtl/>
          <w:lang w:bidi="ar-EG"/>
        </w:rPr>
        <w:t>) وأظهرت النتائج أن البواقي تتبع توزيعًا قريبًا من التوزيع الطبيعي، حيث تركزت النقاط حول الخط القطري دون وجود انحرافات جوهرية، مما يشير إلى تحقق افتراض الطبيعية وصلاحية استخدام تحليل الانحدار المتعدد.</w:t>
      </w:r>
    </w:p>
    <w:p w14:paraId="48A09659" w14:textId="77777777" w:rsidR="000E666F" w:rsidRPr="00445A5B" w:rsidRDefault="000E666F" w:rsidP="000E666F">
      <w:pPr>
        <w:bidi/>
        <w:jc w:val="both"/>
        <w:rPr>
          <w:rFonts w:ascii="Traditional Arabic" w:eastAsia="Times New Roman" w:hAnsi="Traditional Arabic" w:cs="Traditional Arabic"/>
          <w:kern w:val="36"/>
          <w:sz w:val="28"/>
          <w:szCs w:val="28"/>
        </w:rPr>
      </w:pPr>
      <w:r w:rsidRPr="00445A5B">
        <w:rPr>
          <w:rFonts w:ascii="Traditional Arabic" w:eastAsia="Times New Roman" w:hAnsi="Traditional Arabic" w:cs="Traditional Arabic"/>
          <w:kern w:val="36"/>
          <w:sz w:val="28"/>
          <w:szCs w:val="28"/>
          <w:rtl/>
        </w:rPr>
        <w:t>جدول</w:t>
      </w:r>
      <w:r w:rsidRPr="00445A5B">
        <w:rPr>
          <w:rFonts w:ascii="Traditional Arabic" w:eastAsia="Times New Roman" w:hAnsi="Traditional Arabic" w:cs="Traditional Arabic"/>
          <w:kern w:val="36"/>
          <w:sz w:val="28"/>
          <w:szCs w:val="28"/>
        </w:rPr>
        <w:t xml:space="preserve"> (4.21)</w:t>
      </w:r>
      <w:r w:rsidRPr="00445A5B">
        <w:rPr>
          <w:rFonts w:ascii="Traditional Arabic" w:eastAsia="Times New Roman" w:hAnsi="Traditional Arabic" w:cs="Traditional Arabic"/>
          <w:sz w:val="28"/>
          <w:szCs w:val="28"/>
          <w:rtl/>
        </w:rPr>
        <w:t>ملخص نماذج الانحدار المتعدد لأبعاد أداء المشروع</w:t>
      </w:r>
    </w:p>
    <w:tbl>
      <w:tblPr>
        <w:tblStyle w:val="TableGrid"/>
        <w:bidiVisual/>
        <w:tblW w:w="5000" w:type="pct"/>
        <w:jc w:val="center"/>
        <w:tblLook w:val="04A0" w:firstRow="1" w:lastRow="0" w:firstColumn="1" w:lastColumn="0" w:noHBand="0" w:noVBand="1"/>
      </w:tblPr>
      <w:tblGrid>
        <w:gridCol w:w="1056"/>
        <w:gridCol w:w="1529"/>
        <w:gridCol w:w="1623"/>
        <w:gridCol w:w="1738"/>
        <w:gridCol w:w="1118"/>
        <w:gridCol w:w="1232"/>
      </w:tblGrid>
      <w:tr w:rsidR="000E666F" w:rsidRPr="00445A5B" w14:paraId="1D2A98BC" w14:textId="77777777" w:rsidTr="004F3CC9">
        <w:trPr>
          <w:jc w:val="center"/>
        </w:trPr>
        <w:tc>
          <w:tcPr>
            <w:tcW w:w="0" w:type="auto"/>
            <w:hideMark/>
          </w:tcPr>
          <w:p w14:paraId="53B4BFC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المتغير التابع</w:t>
            </w:r>
          </w:p>
        </w:tc>
        <w:tc>
          <w:tcPr>
            <w:tcW w:w="0" w:type="auto"/>
            <w:hideMark/>
          </w:tcPr>
          <w:p w14:paraId="582E214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معامل الارتباط</w:t>
            </w:r>
            <w:r w:rsidRPr="00445A5B">
              <w:rPr>
                <w:rFonts w:ascii="Traditional Arabic" w:eastAsia="Times New Roman" w:hAnsi="Traditional Arabic" w:cs="Traditional Arabic"/>
                <w:sz w:val="28"/>
                <w:szCs w:val="28"/>
              </w:rPr>
              <w:t xml:space="preserve"> R</w:t>
            </w:r>
          </w:p>
        </w:tc>
        <w:tc>
          <w:tcPr>
            <w:tcW w:w="0" w:type="auto"/>
            <w:hideMark/>
          </w:tcPr>
          <w:p w14:paraId="7CBEFDB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معامل التحديد</w:t>
            </w:r>
            <w:r w:rsidRPr="00445A5B">
              <w:rPr>
                <w:rFonts w:ascii="Traditional Arabic" w:eastAsia="Times New Roman" w:hAnsi="Traditional Arabic" w:cs="Traditional Arabic"/>
                <w:sz w:val="28"/>
                <w:szCs w:val="28"/>
              </w:rPr>
              <w:t xml:space="preserve"> R²</w:t>
            </w:r>
          </w:p>
        </w:tc>
        <w:tc>
          <w:tcPr>
            <w:tcW w:w="0" w:type="auto"/>
            <w:hideMark/>
          </w:tcPr>
          <w:p w14:paraId="4618A21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معامل التحديد المعدل</w:t>
            </w:r>
          </w:p>
        </w:tc>
        <w:tc>
          <w:tcPr>
            <w:tcW w:w="0" w:type="auto"/>
            <w:hideMark/>
          </w:tcPr>
          <w:p w14:paraId="3A0FE86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قيمة</w:t>
            </w:r>
            <w:r w:rsidRPr="00445A5B">
              <w:rPr>
                <w:rFonts w:ascii="Traditional Arabic" w:eastAsia="Times New Roman" w:hAnsi="Traditional Arabic" w:cs="Traditional Arabic"/>
                <w:sz w:val="28"/>
                <w:szCs w:val="28"/>
              </w:rPr>
              <w:t xml:space="preserve"> F</w:t>
            </w:r>
          </w:p>
        </w:tc>
        <w:tc>
          <w:tcPr>
            <w:tcW w:w="0" w:type="auto"/>
            <w:hideMark/>
          </w:tcPr>
          <w:p w14:paraId="0F53CEA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الدلالة</w:t>
            </w:r>
          </w:p>
        </w:tc>
      </w:tr>
      <w:tr w:rsidR="000E666F" w:rsidRPr="00445A5B" w14:paraId="7194653E" w14:textId="77777777" w:rsidTr="004F3CC9">
        <w:trPr>
          <w:jc w:val="center"/>
        </w:trPr>
        <w:tc>
          <w:tcPr>
            <w:tcW w:w="0" w:type="auto"/>
            <w:hideMark/>
          </w:tcPr>
          <w:p w14:paraId="0632182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lastRenderedPageBreak/>
              <w:t>أداء التكلفة</w:t>
            </w:r>
          </w:p>
        </w:tc>
        <w:tc>
          <w:tcPr>
            <w:tcW w:w="0" w:type="auto"/>
            <w:hideMark/>
          </w:tcPr>
          <w:p w14:paraId="4AD537F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0.792</w:t>
            </w:r>
          </w:p>
        </w:tc>
        <w:tc>
          <w:tcPr>
            <w:tcW w:w="0" w:type="auto"/>
            <w:hideMark/>
          </w:tcPr>
          <w:p w14:paraId="70D076C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0.627</w:t>
            </w:r>
          </w:p>
        </w:tc>
        <w:tc>
          <w:tcPr>
            <w:tcW w:w="0" w:type="auto"/>
            <w:hideMark/>
          </w:tcPr>
          <w:p w14:paraId="0869F37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0.623</w:t>
            </w:r>
          </w:p>
        </w:tc>
        <w:tc>
          <w:tcPr>
            <w:tcW w:w="0" w:type="auto"/>
            <w:hideMark/>
          </w:tcPr>
          <w:p w14:paraId="63AE964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157.172</w:t>
            </w:r>
          </w:p>
        </w:tc>
        <w:tc>
          <w:tcPr>
            <w:tcW w:w="0" w:type="auto"/>
            <w:hideMark/>
          </w:tcPr>
          <w:p w14:paraId="3BC78DB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50E661B4" w14:textId="77777777" w:rsidTr="004F3CC9">
        <w:trPr>
          <w:jc w:val="center"/>
        </w:trPr>
        <w:tc>
          <w:tcPr>
            <w:tcW w:w="0" w:type="auto"/>
            <w:hideMark/>
          </w:tcPr>
          <w:p w14:paraId="64FCEB7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أداء الجودة</w:t>
            </w:r>
          </w:p>
        </w:tc>
        <w:tc>
          <w:tcPr>
            <w:tcW w:w="0" w:type="auto"/>
            <w:hideMark/>
          </w:tcPr>
          <w:p w14:paraId="55E21C7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0.757</w:t>
            </w:r>
          </w:p>
        </w:tc>
        <w:tc>
          <w:tcPr>
            <w:tcW w:w="0" w:type="auto"/>
            <w:hideMark/>
          </w:tcPr>
          <w:p w14:paraId="5E6A816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0.573</w:t>
            </w:r>
          </w:p>
        </w:tc>
        <w:tc>
          <w:tcPr>
            <w:tcW w:w="0" w:type="auto"/>
            <w:hideMark/>
          </w:tcPr>
          <w:p w14:paraId="36F24E0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0.568</w:t>
            </w:r>
          </w:p>
        </w:tc>
        <w:tc>
          <w:tcPr>
            <w:tcW w:w="0" w:type="auto"/>
            <w:hideMark/>
          </w:tcPr>
          <w:p w14:paraId="08A7B8E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125.477</w:t>
            </w:r>
          </w:p>
        </w:tc>
        <w:tc>
          <w:tcPr>
            <w:tcW w:w="0" w:type="auto"/>
            <w:hideMark/>
          </w:tcPr>
          <w:p w14:paraId="256C903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2C013A2F" w14:textId="77777777" w:rsidTr="004F3CC9">
        <w:trPr>
          <w:jc w:val="center"/>
        </w:trPr>
        <w:tc>
          <w:tcPr>
            <w:tcW w:w="0" w:type="auto"/>
            <w:hideMark/>
          </w:tcPr>
          <w:p w14:paraId="313F25A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أداء الوقت</w:t>
            </w:r>
          </w:p>
        </w:tc>
        <w:tc>
          <w:tcPr>
            <w:tcW w:w="0" w:type="auto"/>
            <w:hideMark/>
          </w:tcPr>
          <w:p w14:paraId="5E94941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0.715</w:t>
            </w:r>
          </w:p>
        </w:tc>
        <w:tc>
          <w:tcPr>
            <w:tcW w:w="0" w:type="auto"/>
            <w:hideMark/>
          </w:tcPr>
          <w:p w14:paraId="050326E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0.511</w:t>
            </w:r>
          </w:p>
        </w:tc>
        <w:tc>
          <w:tcPr>
            <w:tcW w:w="0" w:type="auto"/>
            <w:hideMark/>
          </w:tcPr>
          <w:p w14:paraId="64F93EB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0.506</w:t>
            </w:r>
          </w:p>
        </w:tc>
        <w:tc>
          <w:tcPr>
            <w:tcW w:w="0" w:type="auto"/>
            <w:hideMark/>
          </w:tcPr>
          <w:p w14:paraId="48E8E76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98.050</w:t>
            </w:r>
          </w:p>
        </w:tc>
        <w:tc>
          <w:tcPr>
            <w:tcW w:w="0" w:type="auto"/>
            <w:hideMark/>
          </w:tcPr>
          <w:p w14:paraId="2A020ED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616364D0" w14:textId="77777777" w:rsidTr="004F3CC9">
        <w:trPr>
          <w:jc w:val="center"/>
        </w:trPr>
        <w:tc>
          <w:tcPr>
            <w:tcW w:w="0" w:type="auto"/>
            <w:hideMark/>
          </w:tcPr>
          <w:p w14:paraId="4621E74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رضا العملاء</w:t>
            </w:r>
          </w:p>
        </w:tc>
        <w:tc>
          <w:tcPr>
            <w:tcW w:w="0" w:type="auto"/>
            <w:hideMark/>
          </w:tcPr>
          <w:p w14:paraId="1DB17BB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0.617</w:t>
            </w:r>
          </w:p>
        </w:tc>
        <w:tc>
          <w:tcPr>
            <w:tcW w:w="0" w:type="auto"/>
            <w:hideMark/>
          </w:tcPr>
          <w:p w14:paraId="3CE3B97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0.381</w:t>
            </w:r>
          </w:p>
        </w:tc>
        <w:tc>
          <w:tcPr>
            <w:tcW w:w="0" w:type="auto"/>
            <w:hideMark/>
          </w:tcPr>
          <w:p w14:paraId="074E63C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0.374</w:t>
            </w:r>
          </w:p>
        </w:tc>
        <w:tc>
          <w:tcPr>
            <w:tcW w:w="0" w:type="auto"/>
            <w:hideMark/>
          </w:tcPr>
          <w:p w14:paraId="6557359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57.606</w:t>
            </w:r>
          </w:p>
        </w:tc>
        <w:tc>
          <w:tcPr>
            <w:tcW w:w="0" w:type="auto"/>
            <w:hideMark/>
          </w:tcPr>
          <w:p w14:paraId="5DB0C43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bl>
    <w:p w14:paraId="3D1F77AC"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يوضح جدول (</w:t>
      </w:r>
      <w:r w:rsidRPr="00445A5B">
        <w:rPr>
          <w:rFonts w:ascii="Traditional Arabic" w:eastAsia="Times New Roman" w:hAnsi="Traditional Arabic" w:cs="Traditional Arabic"/>
          <w:sz w:val="28"/>
          <w:szCs w:val="28"/>
          <w:highlight w:val="yellow"/>
        </w:rPr>
        <w:t>4.21</w:t>
      </w:r>
      <w:r w:rsidRPr="00445A5B">
        <w:rPr>
          <w:rFonts w:ascii="Traditional Arabic" w:eastAsia="Times New Roman" w:hAnsi="Traditional Arabic" w:cs="Traditional Arabic"/>
          <w:sz w:val="28"/>
          <w:szCs w:val="28"/>
          <w:highlight w:val="yellow"/>
          <w:rtl/>
        </w:rPr>
        <w:t>) نتائج نماذج الانحدار المتعدد المستخدمة لاختبار قدرة أبعاد الاستدامة (البيئية، والاقتصادية، والاجتماعية) على تفسير التباين في أبعاد أداء المشروع، وهي أداء التكلفة، وأداء الجودة، وأداء الوقت، ورضا العملاء. وقد أظهرت جميع النماذج دلالة إحصائية عند مستوى</w:t>
      </w:r>
      <w:r w:rsidRPr="00445A5B">
        <w:rPr>
          <w:rFonts w:ascii="Traditional Arabic" w:eastAsia="Times New Roman" w:hAnsi="Traditional Arabic" w:cs="Traditional Arabic"/>
          <w:sz w:val="28"/>
          <w:szCs w:val="28"/>
          <w:highlight w:val="yellow"/>
        </w:rPr>
        <w:t xml:space="preserve"> (</w:t>
      </w:r>
      <w:r w:rsidRPr="00445A5B">
        <w:rPr>
          <w:rFonts w:ascii="Cambria" w:eastAsia="Times New Roman" w:hAnsi="Cambria" w:cs="Cambria"/>
          <w:sz w:val="28"/>
          <w:szCs w:val="28"/>
          <w:highlight w:val="yellow"/>
        </w:rPr>
        <w:t>α</w:t>
      </w:r>
      <w:r w:rsidRPr="00445A5B">
        <w:rPr>
          <w:rFonts w:ascii="Traditional Arabic" w:eastAsia="Times New Roman" w:hAnsi="Traditional Arabic" w:cs="Traditional Arabic"/>
          <w:sz w:val="28"/>
          <w:szCs w:val="28"/>
          <w:highlight w:val="yellow"/>
        </w:rPr>
        <w:t xml:space="preserve"> </w:t>
      </w:r>
      <w:r w:rsidRPr="00445A5B">
        <w:rPr>
          <w:rFonts w:ascii="Cambria Math" w:eastAsia="Times New Roman" w:hAnsi="Cambria Math" w:cs="Cambria Math"/>
          <w:sz w:val="28"/>
          <w:szCs w:val="28"/>
          <w:highlight w:val="yellow"/>
        </w:rPr>
        <w:t>≤</w:t>
      </w:r>
      <w:r w:rsidRPr="00445A5B">
        <w:rPr>
          <w:rFonts w:ascii="Traditional Arabic" w:eastAsia="Times New Roman" w:hAnsi="Traditional Arabic" w:cs="Traditional Arabic"/>
          <w:sz w:val="28"/>
          <w:szCs w:val="28"/>
          <w:highlight w:val="yellow"/>
        </w:rPr>
        <w:t xml:space="preserve"> 0.05)</w:t>
      </w:r>
      <w:r w:rsidRPr="00445A5B">
        <w:rPr>
          <w:rFonts w:ascii="Traditional Arabic" w:eastAsia="Times New Roman" w:hAnsi="Traditional Arabic" w:cs="Traditional Arabic"/>
          <w:sz w:val="28"/>
          <w:szCs w:val="28"/>
          <w:highlight w:val="yellow"/>
          <w:rtl/>
        </w:rPr>
        <w:t xml:space="preserve">، حيث بلغت قيم </w:t>
      </w:r>
      <w:r w:rsidRPr="00445A5B">
        <w:rPr>
          <w:rFonts w:ascii="Traditional Arabic" w:eastAsia="Times New Roman" w:hAnsi="Traditional Arabic" w:cs="Traditional Arabic"/>
          <w:sz w:val="28"/>
          <w:szCs w:val="28"/>
          <w:highlight w:val="yellow"/>
        </w:rPr>
        <w:t>F (157.172</w:t>
      </w:r>
      <w:r w:rsidRPr="00445A5B">
        <w:rPr>
          <w:rFonts w:ascii="Traditional Arabic" w:eastAsia="Times New Roman" w:hAnsi="Traditional Arabic" w:cs="Traditional Arabic"/>
          <w:sz w:val="28"/>
          <w:szCs w:val="28"/>
          <w:highlight w:val="yellow"/>
          <w:rtl/>
        </w:rPr>
        <w:t>، و125.477، و98.050، و57.606) على التوالي، مع مستوى دلالة</w:t>
      </w:r>
      <w:r w:rsidRPr="00445A5B">
        <w:rPr>
          <w:rFonts w:ascii="Traditional Arabic" w:eastAsia="Times New Roman" w:hAnsi="Traditional Arabic" w:cs="Traditional Arabic"/>
          <w:sz w:val="28"/>
          <w:szCs w:val="28"/>
          <w:highlight w:val="yellow"/>
        </w:rPr>
        <w:t xml:space="preserve"> (p = 0.000)</w:t>
      </w:r>
      <w:r w:rsidRPr="00445A5B">
        <w:rPr>
          <w:rFonts w:ascii="Traditional Arabic" w:eastAsia="Times New Roman" w:hAnsi="Traditional Arabic" w:cs="Traditional Arabic"/>
          <w:sz w:val="28"/>
          <w:szCs w:val="28"/>
          <w:highlight w:val="yellow"/>
          <w:rtl/>
        </w:rPr>
        <w:t>، مما يؤكد ملاءمة النماذج الإحصائية وقدرتها على تفسير العلاقات بين متغيرات الدراسة</w:t>
      </w:r>
      <w:r w:rsidRPr="00445A5B">
        <w:rPr>
          <w:rFonts w:ascii="Traditional Arabic" w:eastAsia="Times New Roman" w:hAnsi="Traditional Arabic" w:cs="Traditional Arabic"/>
          <w:sz w:val="28"/>
          <w:szCs w:val="28"/>
          <w:highlight w:val="yellow"/>
        </w:rPr>
        <w:t>.</w:t>
      </w:r>
    </w:p>
    <w:p w14:paraId="7B3EE1D7"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كما تشير قيم معامل الارتباط المتعدد</w:t>
      </w:r>
      <w:r w:rsidRPr="00445A5B">
        <w:rPr>
          <w:rFonts w:ascii="Traditional Arabic" w:eastAsia="Times New Roman" w:hAnsi="Traditional Arabic" w:cs="Traditional Arabic"/>
          <w:sz w:val="28"/>
          <w:szCs w:val="28"/>
          <w:highlight w:val="yellow"/>
        </w:rPr>
        <w:t xml:space="preserve"> (R) </w:t>
      </w:r>
      <w:r w:rsidRPr="00445A5B">
        <w:rPr>
          <w:rFonts w:ascii="Traditional Arabic" w:eastAsia="Times New Roman" w:hAnsi="Traditional Arabic" w:cs="Traditional Arabic"/>
          <w:sz w:val="28"/>
          <w:szCs w:val="28"/>
          <w:highlight w:val="yellow"/>
          <w:rtl/>
        </w:rPr>
        <w:t>إلى وجود علاقات موجبة قوية نسبيًا بين أبعاد الاستدامة وأبعاد أداء المشروع، حيث سجل أداء التكلفة أعلى قيمة</w:t>
      </w:r>
      <w:r w:rsidRPr="00445A5B">
        <w:rPr>
          <w:rFonts w:ascii="Traditional Arabic" w:eastAsia="Times New Roman" w:hAnsi="Traditional Arabic" w:cs="Traditional Arabic"/>
          <w:sz w:val="28"/>
          <w:szCs w:val="28"/>
          <w:highlight w:val="yellow"/>
        </w:rPr>
        <w:t xml:space="preserve"> (R = 0.792)</w:t>
      </w:r>
      <w:r w:rsidRPr="00445A5B">
        <w:rPr>
          <w:rFonts w:ascii="Traditional Arabic" w:eastAsia="Times New Roman" w:hAnsi="Traditional Arabic" w:cs="Traditional Arabic"/>
          <w:sz w:val="28"/>
          <w:szCs w:val="28"/>
          <w:highlight w:val="yellow"/>
          <w:rtl/>
        </w:rPr>
        <w:t>، يليه أداء الجودة</w:t>
      </w:r>
      <w:r w:rsidRPr="00445A5B">
        <w:rPr>
          <w:rFonts w:ascii="Traditional Arabic" w:eastAsia="Times New Roman" w:hAnsi="Traditional Arabic" w:cs="Traditional Arabic"/>
          <w:sz w:val="28"/>
          <w:szCs w:val="28"/>
          <w:highlight w:val="yellow"/>
        </w:rPr>
        <w:t xml:space="preserve"> (R = 0.757)</w:t>
      </w:r>
      <w:r w:rsidRPr="00445A5B">
        <w:rPr>
          <w:rFonts w:ascii="Traditional Arabic" w:eastAsia="Times New Roman" w:hAnsi="Traditional Arabic" w:cs="Traditional Arabic"/>
          <w:sz w:val="28"/>
          <w:szCs w:val="28"/>
          <w:highlight w:val="yellow"/>
          <w:rtl/>
        </w:rPr>
        <w:t>، ثم أداء الوقت</w:t>
      </w:r>
      <w:r w:rsidRPr="00445A5B">
        <w:rPr>
          <w:rFonts w:ascii="Traditional Arabic" w:eastAsia="Times New Roman" w:hAnsi="Traditional Arabic" w:cs="Traditional Arabic"/>
          <w:sz w:val="28"/>
          <w:szCs w:val="28"/>
          <w:highlight w:val="yellow"/>
        </w:rPr>
        <w:t xml:space="preserve"> (R = 0.715)</w:t>
      </w:r>
      <w:r w:rsidRPr="00445A5B">
        <w:rPr>
          <w:rFonts w:ascii="Traditional Arabic" w:eastAsia="Times New Roman" w:hAnsi="Traditional Arabic" w:cs="Traditional Arabic"/>
          <w:sz w:val="28"/>
          <w:szCs w:val="28"/>
          <w:highlight w:val="yellow"/>
          <w:rtl/>
        </w:rPr>
        <w:t>، بينما جاءت العلاقة أقل قوة مع رضا العملاء</w:t>
      </w:r>
      <w:r w:rsidRPr="00445A5B">
        <w:rPr>
          <w:rFonts w:ascii="Traditional Arabic" w:eastAsia="Times New Roman" w:hAnsi="Traditional Arabic" w:cs="Traditional Arabic"/>
          <w:sz w:val="28"/>
          <w:szCs w:val="28"/>
          <w:highlight w:val="yellow"/>
        </w:rPr>
        <w:t xml:space="preserve"> (R = 0.617).</w:t>
      </w:r>
    </w:p>
    <w:p w14:paraId="366AE593"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أما بالنسبة لمعامل التحديد</w:t>
      </w:r>
      <w:r w:rsidRPr="00445A5B">
        <w:rPr>
          <w:rFonts w:ascii="Traditional Arabic" w:eastAsia="Times New Roman" w:hAnsi="Traditional Arabic" w:cs="Traditional Arabic"/>
          <w:sz w:val="28"/>
          <w:szCs w:val="28"/>
          <w:highlight w:val="yellow"/>
        </w:rPr>
        <w:t xml:space="preserve"> (R²)</w:t>
      </w:r>
      <w:r w:rsidRPr="00445A5B">
        <w:rPr>
          <w:rFonts w:ascii="Traditional Arabic" w:eastAsia="Times New Roman" w:hAnsi="Traditional Arabic" w:cs="Traditional Arabic"/>
          <w:sz w:val="28"/>
          <w:szCs w:val="28"/>
          <w:highlight w:val="yellow"/>
          <w:rtl/>
        </w:rPr>
        <w:t xml:space="preserve">، فقد أوضحت النتائج أن أبعاد الاستدامة تفسر </w:t>
      </w:r>
      <w:r w:rsidRPr="00445A5B">
        <w:rPr>
          <w:rFonts w:ascii="Traditional Arabic" w:eastAsia="Times New Roman" w:hAnsi="Traditional Arabic" w:cs="Traditional Arabic"/>
          <w:sz w:val="28"/>
          <w:szCs w:val="28"/>
          <w:highlight w:val="yellow"/>
        </w:rPr>
        <w:t xml:space="preserve">62.7% </w:t>
      </w:r>
      <w:r w:rsidRPr="00445A5B">
        <w:rPr>
          <w:rFonts w:ascii="Traditional Arabic" w:eastAsia="Times New Roman" w:hAnsi="Traditional Arabic" w:cs="Traditional Arabic"/>
          <w:sz w:val="28"/>
          <w:szCs w:val="28"/>
          <w:highlight w:val="yellow"/>
          <w:rtl/>
        </w:rPr>
        <w:t>من التباين في أداء التكلفة، و</w:t>
      </w:r>
      <w:r w:rsidRPr="00445A5B">
        <w:rPr>
          <w:rFonts w:ascii="Traditional Arabic" w:eastAsia="Times New Roman" w:hAnsi="Traditional Arabic" w:cs="Traditional Arabic"/>
          <w:sz w:val="28"/>
          <w:szCs w:val="28"/>
          <w:highlight w:val="yellow"/>
        </w:rPr>
        <w:t xml:space="preserve">57.3% </w:t>
      </w:r>
      <w:r w:rsidRPr="00445A5B">
        <w:rPr>
          <w:rFonts w:ascii="Traditional Arabic" w:eastAsia="Times New Roman" w:hAnsi="Traditional Arabic" w:cs="Traditional Arabic"/>
          <w:sz w:val="28"/>
          <w:szCs w:val="28"/>
          <w:highlight w:val="yellow"/>
          <w:rtl/>
        </w:rPr>
        <w:t>من التباين في أداء الجودة، و</w:t>
      </w:r>
      <w:r w:rsidRPr="00445A5B">
        <w:rPr>
          <w:rFonts w:ascii="Traditional Arabic" w:eastAsia="Times New Roman" w:hAnsi="Traditional Arabic" w:cs="Traditional Arabic"/>
          <w:sz w:val="28"/>
          <w:szCs w:val="28"/>
          <w:highlight w:val="yellow"/>
        </w:rPr>
        <w:t xml:space="preserve">51.1% </w:t>
      </w:r>
      <w:r w:rsidRPr="00445A5B">
        <w:rPr>
          <w:rFonts w:ascii="Traditional Arabic" w:eastAsia="Times New Roman" w:hAnsi="Traditional Arabic" w:cs="Traditional Arabic"/>
          <w:sz w:val="28"/>
          <w:szCs w:val="28"/>
          <w:highlight w:val="yellow"/>
          <w:rtl/>
        </w:rPr>
        <w:t>من التباين في أداء الوقت، و</w:t>
      </w:r>
      <w:r w:rsidRPr="00445A5B">
        <w:rPr>
          <w:rFonts w:ascii="Traditional Arabic" w:eastAsia="Times New Roman" w:hAnsi="Traditional Arabic" w:cs="Traditional Arabic"/>
          <w:sz w:val="28"/>
          <w:szCs w:val="28"/>
          <w:highlight w:val="yellow"/>
        </w:rPr>
        <w:t xml:space="preserve">38.1% </w:t>
      </w:r>
      <w:r w:rsidRPr="00445A5B">
        <w:rPr>
          <w:rFonts w:ascii="Traditional Arabic" w:eastAsia="Times New Roman" w:hAnsi="Traditional Arabic" w:cs="Traditional Arabic"/>
          <w:sz w:val="28"/>
          <w:szCs w:val="28"/>
          <w:highlight w:val="yellow"/>
          <w:rtl/>
        </w:rPr>
        <w:t>من التباين في رضا العملاء، وهي نسب تعكس قدرة تفسيرية مرتفعة نسبيًا في الدراسات الإدارية والتطبيقية</w:t>
      </w:r>
      <w:r w:rsidRPr="00445A5B">
        <w:rPr>
          <w:rFonts w:ascii="Traditional Arabic" w:eastAsia="Times New Roman" w:hAnsi="Traditional Arabic" w:cs="Traditional Arabic"/>
          <w:sz w:val="28"/>
          <w:szCs w:val="28"/>
          <w:highlight w:val="yellow"/>
        </w:rPr>
        <w:t>.</w:t>
      </w:r>
    </w:p>
    <w:p w14:paraId="3DF6049B"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وفي المقابل، تشير النسب غير المفسرة من التباين، والبالغة </w:t>
      </w:r>
      <w:r w:rsidRPr="00445A5B">
        <w:rPr>
          <w:rFonts w:ascii="Traditional Arabic" w:eastAsia="Times New Roman" w:hAnsi="Traditional Arabic" w:cs="Traditional Arabic"/>
          <w:sz w:val="28"/>
          <w:szCs w:val="28"/>
          <w:highlight w:val="yellow"/>
        </w:rPr>
        <w:t xml:space="preserve">37.3% </w:t>
      </w:r>
      <w:r w:rsidRPr="00445A5B">
        <w:rPr>
          <w:rFonts w:ascii="Traditional Arabic" w:eastAsia="Times New Roman" w:hAnsi="Traditional Arabic" w:cs="Traditional Arabic"/>
          <w:sz w:val="28"/>
          <w:szCs w:val="28"/>
          <w:highlight w:val="yellow"/>
          <w:rtl/>
        </w:rPr>
        <w:t>في أداء التكلفة، و</w:t>
      </w:r>
      <w:r w:rsidRPr="00445A5B">
        <w:rPr>
          <w:rFonts w:ascii="Traditional Arabic" w:eastAsia="Times New Roman" w:hAnsi="Traditional Arabic" w:cs="Traditional Arabic"/>
          <w:sz w:val="28"/>
          <w:szCs w:val="28"/>
          <w:highlight w:val="yellow"/>
        </w:rPr>
        <w:t xml:space="preserve">42.7% </w:t>
      </w:r>
      <w:r w:rsidRPr="00445A5B">
        <w:rPr>
          <w:rFonts w:ascii="Traditional Arabic" w:eastAsia="Times New Roman" w:hAnsi="Traditional Arabic" w:cs="Traditional Arabic"/>
          <w:sz w:val="28"/>
          <w:szCs w:val="28"/>
          <w:highlight w:val="yellow"/>
          <w:rtl/>
        </w:rPr>
        <w:t>في أداء الجودة، و</w:t>
      </w:r>
      <w:r w:rsidRPr="00445A5B">
        <w:rPr>
          <w:rFonts w:ascii="Traditional Arabic" w:eastAsia="Times New Roman" w:hAnsi="Traditional Arabic" w:cs="Traditional Arabic"/>
          <w:sz w:val="28"/>
          <w:szCs w:val="28"/>
          <w:highlight w:val="yellow"/>
        </w:rPr>
        <w:t xml:space="preserve">48.9% </w:t>
      </w:r>
      <w:r w:rsidRPr="00445A5B">
        <w:rPr>
          <w:rFonts w:ascii="Traditional Arabic" w:eastAsia="Times New Roman" w:hAnsi="Traditional Arabic" w:cs="Traditional Arabic"/>
          <w:sz w:val="28"/>
          <w:szCs w:val="28"/>
          <w:highlight w:val="yellow"/>
          <w:rtl/>
        </w:rPr>
        <w:t>في أداء الوقت، و</w:t>
      </w:r>
      <w:r w:rsidRPr="00445A5B">
        <w:rPr>
          <w:rFonts w:ascii="Traditional Arabic" w:eastAsia="Times New Roman" w:hAnsi="Traditional Arabic" w:cs="Traditional Arabic"/>
          <w:sz w:val="28"/>
          <w:szCs w:val="28"/>
          <w:highlight w:val="yellow"/>
        </w:rPr>
        <w:t xml:space="preserve">61.9% </w:t>
      </w:r>
      <w:r w:rsidRPr="00445A5B">
        <w:rPr>
          <w:rFonts w:ascii="Traditional Arabic" w:eastAsia="Times New Roman" w:hAnsi="Traditional Arabic" w:cs="Traditional Arabic"/>
          <w:sz w:val="28"/>
          <w:szCs w:val="28"/>
          <w:highlight w:val="yellow"/>
          <w:rtl/>
        </w:rPr>
        <w:t>في رضا العملاء، إلى وجود عوامل أخرى لم يتناولها نموذج الدراسة، مثل خبرة إدارة المشروع، وحجم المشروع، ونوع العقد، ومستوى التحول الرقمي، وكفاءة سلسلة الإمداد، وظروف السوق، والخصائص التنظيمية للمؤسسات، إضافة إلى الخطأ العشوائي المصاحب للقياس. ويؤكد ذلك أن أداء المشاريع الإنشائية يمثل ظاهرة متعددة الأبعاد تتأثر بمجموعة واسعة من العوامل إلى جانب ممارسات الاستدامة</w:t>
      </w:r>
      <w:r w:rsidRPr="00445A5B">
        <w:rPr>
          <w:rFonts w:ascii="Traditional Arabic" w:eastAsia="Times New Roman" w:hAnsi="Traditional Arabic" w:cs="Traditional Arabic"/>
          <w:sz w:val="28"/>
          <w:szCs w:val="28"/>
          <w:highlight w:val="yellow"/>
        </w:rPr>
        <w:t>.</w:t>
      </w:r>
    </w:p>
    <w:p w14:paraId="221B7DBC"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وتشير مقارنة معاملات التحديد إلى أن أبعاد الاستدامة كانت أكثر قدرة على تفسير أداء التكلفة، يليها أداء الجودة، ثم أداء الوقت، في حين كانت قدرتها التفسيرية أقل بالنسبة لرضا العملاء</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ويعكس ذلك أن تأثير الاستدامة يظهر بصورة أوضح في الجوانب التشغيلية الداخلية للمشروع مقارنة بالجوانب المرتبطة بإدراك العملاء، والتي تتأثر بعوامل إضافية مثل جودة التواصل، ومستوى الخدمة، وتوقعات العملاء، والصورة الذهنية للمؤسسة</w:t>
      </w:r>
      <w:r w:rsidRPr="00445A5B">
        <w:rPr>
          <w:rFonts w:ascii="Traditional Arabic" w:eastAsia="Times New Roman" w:hAnsi="Traditional Arabic" w:cs="Traditional Arabic"/>
          <w:sz w:val="28"/>
          <w:szCs w:val="28"/>
          <w:highlight w:val="yellow"/>
        </w:rPr>
        <w:t>.</w:t>
      </w:r>
    </w:p>
    <w:p w14:paraId="13B35D75"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وتتفق هذه النتائج بصورة عامة مع الاتجاهات الحديثة في إدارة المشاريع المستدامة، التي تؤكد أن دمج الأبعاد الاقتصادية والاجتماعية والبيئية يسهم في تحسين الأداء، مع اختلاف درجة التأثير بين مؤشرات الأداء المختلفة وفقًا لطبيعة كل مؤشر</w:t>
      </w:r>
      <w:r w:rsidRPr="00445A5B">
        <w:rPr>
          <w:rFonts w:ascii="Traditional Arabic" w:eastAsia="Times New Roman" w:hAnsi="Traditional Arabic" w:cs="Traditional Arabic"/>
          <w:sz w:val="28"/>
          <w:szCs w:val="28"/>
          <w:highlight w:val="yellow"/>
        </w:rPr>
        <w:t>.</w:t>
      </w:r>
    </w:p>
    <w:p w14:paraId="631501E8" w14:textId="77777777" w:rsidR="000E666F" w:rsidRPr="00445A5B" w:rsidRDefault="000E666F" w:rsidP="000E666F">
      <w:pPr>
        <w:bidi/>
        <w:jc w:val="both"/>
        <w:rPr>
          <w:rFonts w:ascii="Traditional Arabic" w:eastAsia="Times New Roman" w:hAnsi="Traditional Arabic" w:cs="Traditional Arabic"/>
          <w:kern w:val="36"/>
          <w:sz w:val="28"/>
          <w:szCs w:val="28"/>
        </w:rPr>
      </w:pPr>
      <w:r w:rsidRPr="00445A5B">
        <w:rPr>
          <w:rFonts w:ascii="Traditional Arabic" w:eastAsia="Times New Roman" w:hAnsi="Traditional Arabic" w:cs="Traditional Arabic"/>
          <w:kern w:val="36"/>
          <w:sz w:val="28"/>
          <w:szCs w:val="28"/>
          <w:rtl/>
        </w:rPr>
        <w:lastRenderedPageBreak/>
        <w:t>تحليل الانحدار لكل بُعد من أبعاد أداء المشروع</w:t>
      </w:r>
    </w:p>
    <w:p w14:paraId="37F70829"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(4.22)</w:t>
      </w:r>
      <w:r w:rsidRPr="00445A5B">
        <w:rPr>
          <w:rFonts w:ascii="Traditional Arabic" w:eastAsia="Times New Roman" w:hAnsi="Traditional Arabic" w:cs="Traditional Arabic"/>
          <w:sz w:val="28"/>
          <w:szCs w:val="28"/>
          <w:rtl/>
        </w:rPr>
        <w:t>نتائج تحليل الانحدار المتعدد لأداء التكلفة</w:t>
      </w:r>
    </w:p>
    <w:tbl>
      <w:tblPr>
        <w:tblStyle w:val="TableGrid"/>
        <w:bidiVisual/>
        <w:tblW w:w="5000" w:type="pct"/>
        <w:jc w:val="center"/>
        <w:tblLook w:val="04A0" w:firstRow="1" w:lastRow="0" w:firstColumn="1" w:lastColumn="0" w:noHBand="0" w:noVBand="1"/>
      </w:tblPr>
      <w:tblGrid>
        <w:gridCol w:w="2415"/>
        <w:gridCol w:w="1374"/>
        <w:gridCol w:w="1374"/>
        <w:gridCol w:w="1374"/>
        <w:gridCol w:w="1759"/>
      </w:tblGrid>
      <w:tr w:rsidR="000E666F" w:rsidRPr="00445A5B" w14:paraId="22305927" w14:textId="77777777" w:rsidTr="004F3CC9">
        <w:trPr>
          <w:jc w:val="center"/>
        </w:trPr>
        <w:tc>
          <w:tcPr>
            <w:tcW w:w="0" w:type="auto"/>
            <w:hideMark/>
          </w:tcPr>
          <w:p w14:paraId="1B00CF6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المتغير المستقل</w:t>
            </w:r>
          </w:p>
        </w:tc>
        <w:tc>
          <w:tcPr>
            <w:tcW w:w="0" w:type="auto"/>
            <w:hideMark/>
          </w:tcPr>
          <w:p w14:paraId="0922943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w:t>
            </w:r>
          </w:p>
        </w:tc>
        <w:tc>
          <w:tcPr>
            <w:tcW w:w="0" w:type="auto"/>
            <w:hideMark/>
          </w:tcPr>
          <w:p w14:paraId="0E9BDE7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Beta</w:t>
            </w:r>
          </w:p>
        </w:tc>
        <w:tc>
          <w:tcPr>
            <w:tcW w:w="0" w:type="auto"/>
            <w:hideMark/>
          </w:tcPr>
          <w:p w14:paraId="0CB32E3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قيمة</w:t>
            </w:r>
            <w:r w:rsidRPr="00445A5B">
              <w:rPr>
                <w:rFonts w:ascii="Traditional Arabic" w:eastAsia="Times New Roman" w:hAnsi="Traditional Arabic" w:cs="Traditional Arabic"/>
                <w:sz w:val="28"/>
                <w:szCs w:val="28"/>
              </w:rPr>
              <w:t xml:space="preserve"> t</w:t>
            </w:r>
          </w:p>
        </w:tc>
        <w:tc>
          <w:tcPr>
            <w:tcW w:w="0" w:type="auto"/>
            <w:hideMark/>
          </w:tcPr>
          <w:p w14:paraId="5100AE6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الدلالة</w:t>
            </w:r>
          </w:p>
        </w:tc>
      </w:tr>
      <w:tr w:rsidR="000E666F" w:rsidRPr="00445A5B" w14:paraId="6EDCD6D9" w14:textId="77777777" w:rsidTr="004F3CC9">
        <w:trPr>
          <w:jc w:val="center"/>
        </w:trPr>
        <w:tc>
          <w:tcPr>
            <w:tcW w:w="0" w:type="auto"/>
            <w:hideMark/>
          </w:tcPr>
          <w:p w14:paraId="33D8E09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الثابت</w:t>
            </w:r>
          </w:p>
        </w:tc>
        <w:tc>
          <w:tcPr>
            <w:tcW w:w="0" w:type="auto"/>
            <w:hideMark/>
          </w:tcPr>
          <w:p w14:paraId="222C0BB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0.827</w:t>
            </w:r>
          </w:p>
        </w:tc>
        <w:tc>
          <w:tcPr>
            <w:tcW w:w="0" w:type="auto"/>
            <w:hideMark/>
          </w:tcPr>
          <w:p w14:paraId="0ECB558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w:t>
            </w:r>
          </w:p>
        </w:tc>
        <w:tc>
          <w:tcPr>
            <w:tcW w:w="0" w:type="auto"/>
            <w:hideMark/>
          </w:tcPr>
          <w:p w14:paraId="299D369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6.119</w:t>
            </w:r>
          </w:p>
        </w:tc>
        <w:tc>
          <w:tcPr>
            <w:tcW w:w="0" w:type="auto"/>
            <w:hideMark/>
          </w:tcPr>
          <w:p w14:paraId="0F45410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78DE93A8" w14:textId="77777777" w:rsidTr="004F3CC9">
        <w:trPr>
          <w:jc w:val="center"/>
        </w:trPr>
        <w:tc>
          <w:tcPr>
            <w:tcW w:w="0" w:type="auto"/>
            <w:hideMark/>
          </w:tcPr>
          <w:p w14:paraId="292B483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البيئية</w:t>
            </w:r>
          </w:p>
        </w:tc>
        <w:tc>
          <w:tcPr>
            <w:tcW w:w="0" w:type="auto"/>
            <w:hideMark/>
          </w:tcPr>
          <w:p w14:paraId="7C7DD90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-0.027</w:t>
            </w:r>
          </w:p>
        </w:tc>
        <w:tc>
          <w:tcPr>
            <w:tcW w:w="0" w:type="auto"/>
            <w:hideMark/>
          </w:tcPr>
          <w:p w14:paraId="02FB5E6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-0.034</w:t>
            </w:r>
          </w:p>
        </w:tc>
        <w:tc>
          <w:tcPr>
            <w:tcW w:w="0" w:type="auto"/>
            <w:hideMark/>
          </w:tcPr>
          <w:p w14:paraId="006130E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-0.585</w:t>
            </w:r>
          </w:p>
        </w:tc>
        <w:tc>
          <w:tcPr>
            <w:tcW w:w="0" w:type="auto"/>
            <w:hideMark/>
          </w:tcPr>
          <w:p w14:paraId="2B9E744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0.559</w:t>
            </w:r>
          </w:p>
        </w:tc>
      </w:tr>
      <w:tr w:rsidR="000E666F" w:rsidRPr="00445A5B" w14:paraId="5B282C80" w14:textId="77777777" w:rsidTr="004F3CC9">
        <w:trPr>
          <w:jc w:val="center"/>
        </w:trPr>
        <w:tc>
          <w:tcPr>
            <w:tcW w:w="0" w:type="auto"/>
            <w:hideMark/>
          </w:tcPr>
          <w:p w14:paraId="0DD390D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الاقتصادية</w:t>
            </w:r>
          </w:p>
        </w:tc>
        <w:tc>
          <w:tcPr>
            <w:tcW w:w="0" w:type="auto"/>
            <w:hideMark/>
          </w:tcPr>
          <w:p w14:paraId="0869397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0.320</w:t>
            </w:r>
          </w:p>
        </w:tc>
        <w:tc>
          <w:tcPr>
            <w:tcW w:w="0" w:type="auto"/>
            <w:hideMark/>
          </w:tcPr>
          <w:p w14:paraId="47CD5EA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0.349</w:t>
            </w:r>
          </w:p>
        </w:tc>
        <w:tc>
          <w:tcPr>
            <w:tcW w:w="0" w:type="auto"/>
            <w:hideMark/>
          </w:tcPr>
          <w:p w14:paraId="2CB4BB6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5.202</w:t>
            </w:r>
          </w:p>
        </w:tc>
        <w:tc>
          <w:tcPr>
            <w:tcW w:w="0" w:type="auto"/>
            <w:hideMark/>
          </w:tcPr>
          <w:p w14:paraId="2C873C7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6EF81AC1" w14:textId="77777777" w:rsidTr="004F3CC9">
        <w:trPr>
          <w:jc w:val="center"/>
        </w:trPr>
        <w:tc>
          <w:tcPr>
            <w:tcW w:w="0" w:type="auto"/>
            <w:hideMark/>
          </w:tcPr>
          <w:p w14:paraId="2F4000F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الاجتماعية</w:t>
            </w:r>
          </w:p>
        </w:tc>
        <w:tc>
          <w:tcPr>
            <w:tcW w:w="0" w:type="auto"/>
            <w:hideMark/>
          </w:tcPr>
          <w:p w14:paraId="4571F51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0.461</w:t>
            </w:r>
          </w:p>
        </w:tc>
        <w:tc>
          <w:tcPr>
            <w:tcW w:w="0" w:type="auto"/>
            <w:hideMark/>
          </w:tcPr>
          <w:p w14:paraId="3FD4931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0.515</w:t>
            </w:r>
          </w:p>
        </w:tc>
        <w:tc>
          <w:tcPr>
            <w:tcW w:w="0" w:type="auto"/>
            <w:hideMark/>
          </w:tcPr>
          <w:p w14:paraId="591C302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8.544</w:t>
            </w:r>
          </w:p>
        </w:tc>
        <w:tc>
          <w:tcPr>
            <w:tcW w:w="0" w:type="auto"/>
            <w:hideMark/>
          </w:tcPr>
          <w:p w14:paraId="2970FF1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bl>
    <w:p w14:paraId="3F275DC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ملخص النموذج</w:t>
      </w:r>
      <w:r w:rsidRPr="00445A5B">
        <w:rPr>
          <w:rFonts w:ascii="Traditional Arabic" w:eastAsia="Times New Roman" w:hAnsi="Traditional Arabic" w:cs="Traditional Arabic"/>
          <w:sz w:val="28"/>
          <w:szCs w:val="28"/>
        </w:rPr>
        <w:t>:</w:t>
      </w: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rPr>
        <w:t>R² = 0.627</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F = 157.172</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p = 0.000</w:t>
      </w:r>
    </w:p>
    <w:p w14:paraId="6445FC00"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تشير نتائج تحليل الانحدار المتعدد الواردة في جدول (4.16) إلى أن نموذج الانحدار يتمتع بدرجة عالية من الملاءمة الإحصائية، حيث بلغت قيمة </w:t>
      </w:r>
      <w:r w:rsidRPr="00445A5B">
        <w:rPr>
          <w:rFonts w:ascii="Traditional Arabic" w:eastAsia="Times New Roman" w:hAnsi="Traditional Arabic" w:cs="Traditional Arabic"/>
          <w:sz w:val="28"/>
          <w:szCs w:val="28"/>
          <w:highlight w:val="yellow"/>
        </w:rPr>
        <w:t xml:space="preserve">F = 157.172 </w:t>
      </w:r>
      <w:r w:rsidRPr="00445A5B">
        <w:rPr>
          <w:rFonts w:ascii="Traditional Arabic" w:eastAsia="Times New Roman" w:hAnsi="Traditional Arabic" w:cs="Traditional Arabic"/>
          <w:sz w:val="28"/>
          <w:szCs w:val="28"/>
          <w:highlight w:val="yellow"/>
          <w:rtl/>
        </w:rPr>
        <w:t>عند مستوى دلالة</w:t>
      </w:r>
      <w:r w:rsidRPr="00445A5B">
        <w:rPr>
          <w:rFonts w:ascii="Traditional Arabic" w:eastAsia="Times New Roman" w:hAnsi="Traditional Arabic" w:cs="Traditional Arabic"/>
          <w:sz w:val="28"/>
          <w:szCs w:val="28"/>
          <w:highlight w:val="yellow"/>
        </w:rPr>
        <w:t xml:space="preserve"> (p &lt; 0.001)</w:t>
      </w:r>
      <w:r w:rsidRPr="00445A5B">
        <w:rPr>
          <w:rFonts w:ascii="Traditional Arabic" w:eastAsia="Times New Roman" w:hAnsi="Traditional Arabic" w:cs="Traditional Arabic"/>
          <w:sz w:val="28"/>
          <w:szCs w:val="28"/>
          <w:highlight w:val="yellow"/>
          <w:rtl/>
        </w:rPr>
        <w:t>، كما بلغ معامل التحديد</w:t>
      </w:r>
      <w:r w:rsidRPr="00445A5B">
        <w:rPr>
          <w:rFonts w:ascii="Traditional Arabic" w:eastAsia="Times New Roman" w:hAnsi="Traditional Arabic" w:cs="Traditional Arabic"/>
          <w:sz w:val="28"/>
          <w:szCs w:val="28"/>
          <w:highlight w:val="yellow"/>
        </w:rPr>
        <w:t xml:space="preserve"> (R² = 0.627) </w:t>
      </w:r>
      <w:r w:rsidRPr="00445A5B">
        <w:rPr>
          <w:rFonts w:ascii="Traditional Arabic" w:eastAsia="Times New Roman" w:hAnsi="Traditional Arabic" w:cs="Traditional Arabic"/>
          <w:sz w:val="28"/>
          <w:szCs w:val="28"/>
          <w:highlight w:val="yellow"/>
          <w:rtl/>
        </w:rPr>
        <w:t>ومعامل التحديد المعدل</w:t>
      </w:r>
      <w:r w:rsidRPr="00445A5B">
        <w:rPr>
          <w:rFonts w:ascii="Traditional Arabic" w:eastAsia="Times New Roman" w:hAnsi="Traditional Arabic" w:cs="Traditional Arabic"/>
          <w:sz w:val="28"/>
          <w:szCs w:val="28"/>
          <w:highlight w:val="yellow"/>
        </w:rPr>
        <w:t xml:space="preserve"> (Adjusted R² = 0.623)</w:t>
      </w:r>
      <w:r w:rsidRPr="00445A5B">
        <w:rPr>
          <w:rFonts w:ascii="Traditional Arabic" w:eastAsia="Times New Roman" w:hAnsi="Traditional Arabic" w:cs="Traditional Arabic"/>
          <w:sz w:val="28"/>
          <w:szCs w:val="28"/>
          <w:highlight w:val="yellow"/>
          <w:rtl/>
        </w:rPr>
        <w:t xml:space="preserve">، مما يدل على أن أبعاد الاستدامة مجتمعة تفسر </w:t>
      </w:r>
      <w:r w:rsidRPr="00445A5B">
        <w:rPr>
          <w:rFonts w:ascii="Traditional Arabic" w:eastAsia="Times New Roman" w:hAnsi="Traditional Arabic" w:cs="Traditional Arabic"/>
          <w:sz w:val="28"/>
          <w:szCs w:val="28"/>
          <w:highlight w:val="yellow"/>
        </w:rPr>
        <w:t xml:space="preserve">62.7% </w:t>
      </w:r>
      <w:r w:rsidRPr="00445A5B">
        <w:rPr>
          <w:rFonts w:ascii="Traditional Arabic" w:eastAsia="Times New Roman" w:hAnsi="Traditional Arabic" w:cs="Traditional Arabic"/>
          <w:sz w:val="28"/>
          <w:szCs w:val="28"/>
          <w:highlight w:val="yellow"/>
          <w:rtl/>
        </w:rPr>
        <w:t>من التباين في أداء التكلفة، وهي نسبة مرتفعة نسبيًا تؤكد أن الاستدامة تمثل أحد المحددات الرئيسة للأداء المالي في المشاريع الإنشائية</w:t>
      </w:r>
      <w:r w:rsidRPr="00445A5B">
        <w:rPr>
          <w:rFonts w:ascii="Traditional Arabic" w:eastAsia="Times New Roman" w:hAnsi="Traditional Arabic" w:cs="Traditional Arabic"/>
          <w:sz w:val="28"/>
          <w:szCs w:val="28"/>
          <w:highlight w:val="yellow"/>
        </w:rPr>
        <w:t>.</w:t>
      </w:r>
    </w:p>
    <w:p w14:paraId="6BE1823C"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وفي المقابل، فإن </w:t>
      </w:r>
      <w:r w:rsidRPr="00445A5B">
        <w:rPr>
          <w:rFonts w:ascii="Traditional Arabic" w:eastAsia="Times New Roman" w:hAnsi="Traditional Arabic" w:cs="Traditional Arabic"/>
          <w:sz w:val="28"/>
          <w:szCs w:val="28"/>
          <w:highlight w:val="yellow"/>
        </w:rPr>
        <w:t xml:space="preserve">37.3% </w:t>
      </w:r>
      <w:r w:rsidRPr="00445A5B">
        <w:rPr>
          <w:rFonts w:ascii="Traditional Arabic" w:eastAsia="Times New Roman" w:hAnsi="Traditional Arabic" w:cs="Traditional Arabic"/>
          <w:sz w:val="28"/>
          <w:szCs w:val="28"/>
          <w:highlight w:val="yellow"/>
          <w:rtl/>
        </w:rPr>
        <w:t>من التباين في أداء التكلفة تعزى إلى عوامل أخرى لم يتناولها النموذج، مثل دقة تقدير التكاليف، وتقلب أسعار مواد البناء، وإدارة المخاطر، والتغيرات التصميمية أثناء التنفيذ، وكفاءة الموردين، والظروف الاقتصادية، مما يشير إلى أن تحسين أداء التكلفة يتطلب الاهتمام بعوامل تشغيلية وإدارية أخرى إلى جانب ممارسات الاستدامة</w:t>
      </w:r>
      <w:r w:rsidRPr="00445A5B">
        <w:rPr>
          <w:rFonts w:ascii="Traditional Arabic" w:eastAsia="Times New Roman" w:hAnsi="Traditional Arabic" w:cs="Traditional Arabic"/>
          <w:sz w:val="28"/>
          <w:szCs w:val="28"/>
          <w:highlight w:val="yellow"/>
        </w:rPr>
        <w:t>.</w:t>
      </w:r>
    </w:p>
    <w:p w14:paraId="454E29C3"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وعلى مستوى المتغيرات المستقلة، أظهرت النتائج أن الاستدامة الاجتماعية سجلت أعلى تأثير إيجابي معنوي على أداء التكلفة</w:t>
      </w:r>
      <w:r w:rsidRPr="00445A5B">
        <w:rPr>
          <w:rFonts w:ascii="Traditional Arabic" w:eastAsia="Times New Roman" w:hAnsi="Traditional Arabic" w:cs="Traditional Arabic"/>
          <w:sz w:val="28"/>
          <w:szCs w:val="28"/>
          <w:highlight w:val="yellow"/>
        </w:rPr>
        <w:t xml:space="preserve"> (</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0.515, p &lt; 0.001)</w:t>
      </w:r>
      <w:r w:rsidRPr="00445A5B">
        <w:rPr>
          <w:rFonts w:ascii="Traditional Arabic" w:eastAsia="Times New Roman" w:hAnsi="Traditional Arabic" w:cs="Traditional Arabic"/>
          <w:sz w:val="28"/>
          <w:szCs w:val="28"/>
          <w:highlight w:val="yellow"/>
          <w:rtl/>
        </w:rPr>
        <w:t>، مما يجعلها المتغير الأكثر إسهامًا في تحسين الأداء المالي للمشروعات. ويعني ذلك من الناحية الإدارية أن الاستثمار في سلامة العاملين، وتحسين بيئة العمل، وتعزيز التعاون والتواصل بين فرق المشروع يسهم في تقليل الأخطاء التشغيلية، وخفض معدلات إعادة العمل، وتقليل الحوادث، وهو ما ينعكس مباشرة على تحسين كفاءة إدارة التكلفة</w:t>
      </w:r>
      <w:r w:rsidRPr="00445A5B">
        <w:rPr>
          <w:rFonts w:ascii="Traditional Arabic" w:eastAsia="Times New Roman" w:hAnsi="Traditional Arabic" w:cs="Traditional Arabic"/>
          <w:sz w:val="28"/>
          <w:szCs w:val="28"/>
          <w:highlight w:val="yellow"/>
        </w:rPr>
        <w:t>.</w:t>
      </w:r>
    </w:p>
    <w:p w14:paraId="62A50251"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وجاءت الاستدامة الاقتصادية في المرتبة الثانية من حيث قوة التأثير</w:t>
      </w:r>
      <w:r w:rsidRPr="00445A5B">
        <w:rPr>
          <w:rFonts w:ascii="Traditional Arabic" w:eastAsia="Times New Roman" w:hAnsi="Traditional Arabic" w:cs="Traditional Arabic"/>
          <w:sz w:val="28"/>
          <w:szCs w:val="28"/>
          <w:highlight w:val="yellow"/>
        </w:rPr>
        <w:t xml:space="preserve"> (</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0.349, p &lt; 0.001)</w:t>
      </w:r>
      <w:r w:rsidRPr="00445A5B">
        <w:rPr>
          <w:rFonts w:ascii="Traditional Arabic" w:eastAsia="Times New Roman" w:hAnsi="Traditional Arabic" w:cs="Traditional Arabic"/>
          <w:sz w:val="28"/>
          <w:szCs w:val="28"/>
          <w:highlight w:val="yellow"/>
          <w:rtl/>
        </w:rPr>
        <w:t>، وهو ما يؤكد أن تبني ممارسات الاستخدام الأمثل للموارد، وتقليل الهدر، والتخطيط المالي الفعال، يسهم بصورة مباشرة في رفع كفاءة الإنفاق وتحقيق الاستخدام الرشيد للموارد المالية، إلا أن تأثيرها كان أقل من تأثير البعد الاجتماعي، مما يشير إلى أن كفاءة العنصر البشري تمثل عاملًا أكثر أهمية في تفسير أداء التكلفة في البيئة محل الدراسة</w:t>
      </w:r>
      <w:r w:rsidRPr="00445A5B">
        <w:rPr>
          <w:rFonts w:ascii="Traditional Arabic" w:eastAsia="Times New Roman" w:hAnsi="Traditional Arabic" w:cs="Traditional Arabic"/>
          <w:sz w:val="28"/>
          <w:szCs w:val="28"/>
          <w:highlight w:val="yellow"/>
        </w:rPr>
        <w:t>.</w:t>
      </w:r>
    </w:p>
    <w:p w14:paraId="6F56CD84"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lastRenderedPageBreak/>
        <w:t>في المقابل، لم يظهر البعد البيئي تأثيرًا معنويًا على أداء التكلفة</w:t>
      </w:r>
      <w:r w:rsidRPr="00445A5B">
        <w:rPr>
          <w:rFonts w:ascii="Traditional Arabic" w:eastAsia="Times New Roman" w:hAnsi="Traditional Arabic" w:cs="Traditional Arabic"/>
          <w:sz w:val="28"/>
          <w:szCs w:val="28"/>
          <w:highlight w:val="yellow"/>
        </w:rPr>
        <w:t xml:space="preserve"> (</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-0.034, p = 0.559)</w:t>
      </w:r>
      <w:r w:rsidRPr="00445A5B">
        <w:rPr>
          <w:rFonts w:ascii="Traditional Arabic" w:eastAsia="Times New Roman" w:hAnsi="Traditional Arabic" w:cs="Traditional Arabic"/>
          <w:sz w:val="28"/>
          <w:szCs w:val="28"/>
          <w:highlight w:val="yellow"/>
          <w:rtl/>
        </w:rPr>
        <w:t>، وهي نتيجة تشير إلى عدم وجود أثر مباشر للممارسات البيئية على الأداء المالي للمشروعات خلال مرحلة التنفيذ. ويمكن تفسير ذلك بأن العديد من الممارسات البيئية تتطلب استثمارات أولية إضافية في المعدات والمواد والتقنيات المستدامة، بينما تتحقق وفوراتها الاقتصادية على المدى المتوسط والطويل بعد تشغيل المشروع، وهو ما قد يحد من ظهور أثرها المباشر في مرحلة التنفيذ التي ركزت عليها الدراسة</w:t>
      </w:r>
      <w:r w:rsidRPr="00445A5B">
        <w:rPr>
          <w:rFonts w:ascii="Traditional Arabic" w:eastAsia="Times New Roman" w:hAnsi="Traditional Arabic" w:cs="Traditional Arabic"/>
          <w:sz w:val="28"/>
          <w:szCs w:val="28"/>
          <w:highlight w:val="yellow"/>
        </w:rPr>
        <w:t>.</w:t>
      </w:r>
    </w:p>
    <w:p w14:paraId="701736F6"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كما تعكس هذه النتيجة أن المؤسسات الإنشائية محل الدراسة قد تنظر إلى الممارسات البيئية باعتبارها متطلبات تنظيمية أكثر من كونها أدوات لتحسين الكفاءة المالية، الأمر الذي يفسر عدم ظهور علاقة معنوية بينها وبين أداء التكلفة</w:t>
      </w:r>
      <w:r w:rsidRPr="00445A5B">
        <w:rPr>
          <w:rFonts w:ascii="Traditional Arabic" w:eastAsia="Times New Roman" w:hAnsi="Traditional Arabic" w:cs="Traditional Arabic"/>
          <w:sz w:val="28"/>
          <w:szCs w:val="28"/>
          <w:highlight w:val="yellow"/>
        </w:rPr>
        <w:t>.</w:t>
      </w:r>
    </w:p>
    <w:p w14:paraId="45A47EDE"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وبمقارنة معاملات </w:t>
      </w:r>
      <w:r w:rsidRPr="00445A5B">
        <w:rPr>
          <w:rFonts w:ascii="Traditional Arabic" w:eastAsia="Times New Roman" w:hAnsi="Traditional Arabic" w:cs="Traditional Arabic"/>
          <w:sz w:val="28"/>
          <w:szCs w:val="28"/>
          <w:highlight w:val="yellow"/>
        </w:rPr>
        <w:t xml:space="preserve">Beta </w:t>
      </w:r>
      <w:r w:rsidRPr="00445A5B">
        <w:rPr>
          <w:rFonts w:ascii="Traditional Arabic" w:eastAsia="Times New Roman" w:hAnsi="Traditional Arabic" w:cs="Traditional Arabic"/>
          <w:sz w:val="28"/>
          <w:szCs w:val="28"/>
          <w:highlight w:val="yellow"/>
          <w:rtl/>
        </w:rPr>
        <w:t>يتضح أن ترتيب قوة تأثير أبعاد الاستدامة على أداء التكلفة جاء على النحو الآتي</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الاستدامة الاجتماعية أولًا، ثم الاستدامة الاقتصادية، وأخيرًا الاستدامة البيئية</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وتشير هذه النتيجة إلى أن تحسين الأداء المالي للمشروعات الإنشائية يعتمد بدرجة أكبر على تطوير الممارسات الاجتماعية والتنظيمية داخل المشروع، يليها تحسين الكفاءة الاقتصادية، بينما لا يزال الأثر المالي المباشر للممارسات البيئية محدودًا في السياق الحالي للدراسة</w:t>
      </w:r>
      <w:r w:rsidRPr="00445A5B">
        <w:rPr>
          <w:rFonts w:ascii="Traditional Arabic" w:eastAsia="Times New Roman" w:hAnsi="Traditional Arabic" w:cs="Traditional Arabic"/>
          <w:sz w:val="28"/>
          <w:szCs w:val="28"/>
          <w:highlight w:val="yellow"/>
        </w:rPr>
        <w:t>.</w:t>
      </w:r>
    </w:p>
    <w:p w14:paraId="52A3DC18"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وتؤكد هذه النتائج أن نجاح إدارة تكلفة المشاريع لا يعتمد فقط على تطبيق ممارسات الاستدامة، وإنما على حسن توظيف الموارد البشرية والتنظيمية والاقتصادية بصورة متكاملة، وهو ما يوفر أساسًا عمليًا لصانعي القرار في شركات الإنشاءات لتوجيه استثماراتهم نحو الجوانب الأكثر تأثيرًا في تحسين الأداء المالي للمشروعات</w:t>
      </w:r>
      <w:r w:rsidRPr="00445A5B">
        <w:rPr>
          <w:rFonts w:ascii="Traditional Arabic" w:eastAsia="Times New Roman" w:hAnsi="Traditional Arabic" w:cs="Traditional Arabic"/>
          <w:sz w:val="28"/>
          <w:szCs w:val="28"/>
          <w:highlight w:val="yellow"/>
        </w:rPr>
        <w:t>.</w:t>
      </w:r>
    </w:p>
    <w:p w14:paraId="733F6F90"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المناقشة الأولية للنتائج</w:t>
      </w:r>
    </w:p>
    <w:p w14:paraId="63A7E843"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تعكس النتائج أن تحسين أداء التكلفة في المشاريع الإنشائية يرتبط بصورة أكبر بالممارسات الاقتصادية والاجتماعية مقارنة بالممارسات البيئية. ويشير ذلك إلى أن كفاءة إدارة الموارد، وترشيد الإنفاق، وتقليل الهدر، إلى جانب توفير بيئة عمل آمنة وتعزيز التعاون بين فرق العمل، تسهم في خفض التكاليف التشغيلية والحد من الأخطاء وإعادة العمل، الأمر الذي ينعكس إيجابًا على الأداء المالي للمشروع. وفي المقابل، فإن عدم ظهور تأثير معنوي للاستدامة البيئية قد يدل على أن العوائد الاقتصادية للممارسات البيئية لا تتحقق بصورة مباشرة خلال مرحلة التنفيذ، وإنما تظهر آثارها بصورة أوضح خلال مراحل التشغيل والصيانة على المدى المتوسط والطويل. ومن الناحية التطبيقية، تؤكد هذه النتائج أهمية توجيه اهتمام إدارات المشاريع نحو دمج الاعتبارات الاقتصادية والاجتماعية ضمن عمليات التخطيط والتنفيذ، مع الاستمرار في تطوير الممارسات البيئية بما يضمن تحقيق عوائد اقتصادية مستقبلية.</w:t>
      </w:r>
    </w:p>
    <w:p w14:paraId="3B864368"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(4.23)</w:t>
      </w:r>
      <w:r w:rsidRPr="00445A5B">
        <w:rPr>
          <w:rFonts w:ascii="Traditional Arabic" w:eastAsia="Times New Roman" w:hAnsi="Traditional Arabic" w:cs="Traditional Arabic"/>
          <w:sz w:val="28"/>
          <w:szCs w:val="28"/>
          <w:rtl/>
        </w:rPr>
        <w:t>نتائج تحليل الانحدار المتعدد لأداء الجودة</w:t>
      </w:r>
    </w:p>
    <w:tbl>
      <w:tblPr>
        <w:tblStyle w:val="TableGrid"/>
        <w:bidiVisual/>
        <w:tblW w:w="5000" w:type="pct"/>
        <w:jc w:val="center"/>
        <w:tblLook w:val="04A0" w:firstRow="1" w:lastRow="0" w:firstColumn="1" w:lastColumn="0" w:noHBand="0" w:noVBand="1"/>
      </w:tblPr>
      <w:tblGrid>
        <w:gridCol w:w="2415"/>
        <w:gridCol w:w="1374"/>
        <w:gridCol w:w="1374"/>
        <w:gridCol w:w="1374"/>
        <w:gridCol w:w="1759"/>
      </w:tblGrid>
      <w:tr w:rsidR="000E666F" w:rsidRPr="00445A5B" w14:paraId="26D9689F" w14:textId="77777777" w:rsidTr="004F3CC9">
        <w:trPr>
          <w:jc w:val="center"/>
        </w:trPr>
        <w:tc>
          <w:tcPr>
            <w:tcW w:w="0" w:type="auto"/>
            <w:hideMark/>
          </w:tcPr>
          <w:p w14:paraId="28D4CA4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المتغير المستقل</w:t>
            </w:r>
          </w:p>
        </w:tc>
        <w:tc>
          <w:tcPr>
            <w:tcW w:w="0" w:type="auto"/>
            <w:hideMark/>
          </w:tcPr>
          <w:p w14:paraId="06616D1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w:t>
            </w:r>
          </w:p>
        </w:tc>
        <w:tc>
          <w:tcPr>
            <w:tcW w:w="0" w:type="auto"/>
            <w:hideMark/>
          </w:tcPr>
          <w:p w14:paraId="62A3275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Beta</w:t>
            </w:r>
          </w:p>
        </w:tc>
        <w:tc>
          <w:tcPr>
            <w:tcW w:w="0" w:type="auto"/>
            <w:hideMark/>
          </w:tcPr>
          <w:p w14:paraId="2829AEA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قيمة</w:t>
            </w:r>
            <w:r w:rsidRPr="00445A5B">
              <w:rPr>
                <w:rFonts w:ascii="Traditional Arabic" w:eastAsia="Times New Roman" w:hAnsi="Traditional Arabic" w:cs="Traditional Arabic"/>
                <w:sz w:val="28"/>
                <w:szCs w:val="28"/>
              </w:rPr>
              <w:t xml:space="preserve"> t</w:t>
            </w:r>
          </w:p>
        </w:tc>
        <w:tc>
          <w:tcPr>
            <w:tcW w:w="0" w:type="auto"/>
            <w:hideMark/>
          </w:tcPr>
          <w:p w14:paraId="621DA89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الدلالة</w:t>
            </w:r>
          </w:p>
        </w:tc>
      </w:tr>
      <w:tr w:rsidR="000E666F" w:rsidRPr="00445A5B" w14:paraId="248BC245" w14:textId="77777777" w:rsidTr="004F3CC9">
        <w:trPr>
          <w:jc w:val="center"/>
        </w:trPr>
        <w:tc>
          <w:tcPr>
            <w:tcW w:w="0" w:type="auto"/>
            <w:hideMark/>
          </w:tcPr>
          <w:p w14:paraId="7D8F655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الثابت</w:t>
            </w:r>
          </w:p>
        </w:tc>
        <w:tc>
          <w:tcPr>
            <w:tcW w:w="0" w:type="auto"/>
            <w:hideMark/>
          </w:tcPr>
          <w:p w14:paraId="012FA2A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1.023</w:t>
            </w:r>
          </w:p>
        </w:tc>
        <w:tc>
          <w:tcPr>
            <w:tcW w:w="0" w:type="auto"/>
            <w:hideMark/>
          </w:tcPr>
          <w:p w14:paraId="1B80D29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w:t>
            </w:r>
          </w:p>
        </w:tc>
        <w:tc>
          <w:tcPr>
            <w:tcW w:w="0" w:type="auto"/>
            <w:hideMark/>
          </w:tcPr>
          <w:p w14:paraId="381BBB7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6.973</w:t>
            </w:r>
          </w:p>
        </w:tc>
        <w:tc>
          <w:tcPr>
            <w:tcW w:w="0" w:type="auto"/>
            <w:hideMark/>
          </w:tcPr>
          <w:p w14:paraId="1AF42DB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4E6E38E6" w14:textId="77777777" w:rsidTr="004F3CC9">
        <w:trPr>
          <w:jc w:val="center"/>
        </w:trPr>
        <w:tc>
          <w:tcPr>
            <w:tcW w:w="0" w:type="auto"/>
            <w:hideMark/>
          </w:tcPr>
          <w:p w14:paraId="20A8884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البيئية</w:t>
            </w:r>
          </w:p>
        </w:tc>
        <w:tc>
          <w:tcPr>
            <w:tcW w:w="0" w:type="auto"/>
            <w:hideMark/>
          </w:tcPr>
          <w:p w14:paraId="7C8153B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-0.111</w:t>
            </w:r>
          </w:p>
        </w:tc>
        <w:tc>
          <w:tcPr>
            <w:tcW w:w="0" w:type="auto"/>
            <w:hideMark/>
          </w:tcPr>
          <w:p w14:paraId="0874EB8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-0.135</w:t>
            </w:r>
          </w:p>
        </w:tc>
        <w:tc>
          <w:tcPr>
            <w:tcW w:w="0" w:type="auto"/>
            <w:hideMark/>
          </w:tcPr>
          <w:p w14:paraId="087D148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-2.193</w:t>
            </w:r>
          </w:p>
        </w:tc>
        <w:tc>
          <w:tcPr>
            <w:tcW w:w="0" w:type="auto"/>
            <w:hideMark/>
          </w:tcPr>
          <w:p w14:paraId="4189618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0.029</w:t>
            </w:r>
          </w:p>
        </w:tc>
      </w:tr>
      <w:tr w:rsidR="000E666F" w:rsidRPr="00445A5B" w14:paraId="7AF9344D" w14:textId="77777777" w:rsidTr="004F3CC9">
        <w:trPr>
          <w:jc w:val="center"/>
        </w:trPr>
        <w:tc>
          <w:tcPr>
            <w:tcW w:w="0" w:type="auto"/>
            <w:hideMark/>
          </w:tcPr>
          <w:p w14:paraId="7589C1B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lastRenderedPageBreak/>
              <w:t>الاستدامة الاقتصادية</w:t>
            </w:r>
          </w:p>
        </w:tc>
        <w:tc>
          <w:tcPr>
            <w:tcW w:w="0" w:type="auto"/>
            <w:hideMark/>
          </w:tcPr>
          <w:p w14:paraId="40DA8F5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0.526</w:t>
            </w:r>
          </w:p>
        </w:tc>
        <w:tc>
          <w:tcPr>
            <w:tcW w:w="0" w:type="auto"/>
            <w:hideMark/>
          </w:tcPr>
          <w:p w14:paraId="1BB98CB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0.565</w:t>
            </w:r>
          </w:p>
        </w:tc>
        <w:tc>
          <w:tcPr>
            <w:tcW w:w="0" w:type="auto"/>
            <w:hideMark/>
          </w:tcPr>
          <w:p w14:paraId="3858245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7.882</w:t>
            </w:r>
          </w:p>
        </w:tc>
        <w:tc>
          <w:tcPr>
            <w:tcW w:w="0" w:type="auto"/>
            <w:hideMark/>
          </w:tcPr>
          <w:p w14:paraId="287711F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0BE971B1" w14:textId="77777777" w:rsidTr="004F3CC9">
        <w:trPr>
          <w:jc w:val="center"/>
        </w:trPr>
        <w:tc>
          <w:tcPr>
            <w:tcW w:w="0" w:type="auto"/>
            <w:hideMark/>
          </w:tcPr>
          <w:p w14:paraId="45586CA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الاجتماعية</w:t>
            </w:r>
          </w:p>
        </w:tc>
        <w:tc>
          <w:tcPr>
            <w:tcW w:w="0" w:type="auto"/>
            <w:hideMark/>
          </w:tcPr>
          <w:p w14:paraId="6C4E08A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0.308</w:t>
            </w:r>
          </w:p>
        </w:tc>
        <w:tc>
          <w:tcPr>
            <w:tcW w:w="0" w:type="auto"/>
            <w:hideMark/>
          </w:tcPr>
          <w:p w14:paraId="08AFE14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0.339</w:t>
            </w:r>
          </w:p>
        </w:tc>
        <w:tc>
          <w:tcPr>
            <w:tcW w:w="0" w:type="auto"/>
            <w:hideMark/>
          </w:tcPr>
          <w:p w14:paraId="5E61B07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5.261</w:t>
            </w:r>
          </w:p>
        </w:tc>
        <w:tc>
          <w:tcPr>
            <w:tcW w:w="0" w:type="auto"/>
            <w:hideMark/>
          </w:tcPr>
          <w:p w14:paraId="64BB990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bl>
    <w:p w14:paraId="15BB3ADE"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ملخص النموذج</w:t>
      </w:r>
      <w:r w:rsidRPr="00445A5B">
        <w:rPr>
          <w:rFonts w:ascii="Traditional Arabic" w:eastAsia="Times New Roman" w:hAnsi="Traditional Arabic" w:cs="Traditional Arabic"/>
          <w:sz w:val="28"/>
          <w:szCs w:val="28"/>
        </w:rPr>
        <w:t>:</w:t>
      </w: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rPr>
        <w:t>R² = 0.573</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F = 125.477</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p = 0.000</w:t>
      </w:r>
    </w:p>
    <w:p w14:paraId="4ACE0687"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تشير نتائج تحليل الانحدار المتعدد المبينة في جدول (</w:t>
      </w:r>
      <w:r w:rsidRPr="00445A5B">
        <w:rPr>
          <w:rFonts w:ascii="Traditional Arabic" w:eastAsia="Times New Roman" w:hAnsi="Traditional Arabic" w:cs="Traditional Arabic"/>
          <w:sz w:val="28"/>
          <w:szCs w:val="28"/>
          <w:highlight w:val="yellow"/>
        </w:rPr>
        <w:t>4.23</w:t>
      </w:r>
      <w:r w:rsidRPr="00445A5B">
        <w:rPr>
          <w:rFonts w:ascii="Traditional Arabic" w:eastAsia="Times New Roman" w:hAnsi="Traditional Arabic" w:cs="Traditional Arabic"/>
          <w:sz w:val="28"/>
          <w:szCs w:val="28"/>
          <w:highlight w:val="yellow"/>
          <w:rtl/>
        </w:rPr>
        <w:t xml:space="preserve">) إلى أن نموذج الانحدار يتمتع بدرجة عالية من الملاءمة الإحصائية، حيث بلغت قيمة </w:t>
      </w:r>
      <w:r w:rsidRPr="00445A5B">
        <w:rPr>
          <w:rFonts w:ascii="Traditional Arabic" w:eastAsia="Times New Roman" w:hAnsi="Traditional Arabic" w:cs="Traditional Arabic"/>
          <w:sz w:val="28"/>
          <w:szCs w:val="28"/>
          <w:highlight w:val="yellow"/>
        </w:rPr>
        <w:t xml:space="preserve">F = 125.477 </w:t>
      </w:r>
      <w:r w:rsidRPr="00445A5B">
        <w:rPr>
          <w:rFonts w:ascii="Traditional Arabic" w:eastAsia="Times New Roman" w:hAnsi="Traditional Arabic" w:cs="Traditional Arabic"/>
          <w:sz w:val="28"/>
          <w:szCs w:val="28"/>
          <w:highlight w:val="yellow"/>
          <w:rtl/>
        </w:rPr>
        <w:t>عند مستوى دلالة</w:t>
      </w:r>
      <w:r w:rsidRPr="00445A5B">
        <w:rPr>
          <w:rFonts w:ascii="Traditional Arabic" w:eastAsia="Times New Roman" w:hAnsi="Traditional Arabic" w:cs="Traditional Arabic"/>
          <w:sz w:val="28"/>
          <w:szCs w:val="28"/>
          <w:highlight w:val="yellow"/>
        </w:rPr>
        <w:t xml:space="preserve"> (p &lt; 0.001)</w:t>
      </w:r>
      <w:r w:rsidRPr="00445A5B">
        <w:rPr>
          <w:rFonts w:ascii="Traditional Arabic" w:eastAsia="Times New Roman" w:hAnsi="Traditional Arabic" w:cs="Traditional Arabic"/>
          <w:sz w:val="28"/>
          <w:szCs w:val="28"/>
          <w:highlight w:val="yellow"/>
          <w:rtl/>
        </w:rPr>
        <w:t>، كما بلغ معامل التحديد</w:t>
      </w:r>
      <w:r w:rsidRPr="00445A5B">
        <w:rPr>
          <w:rFonts w:ascii="Traditional Arabic" w:eastAsia="Times New Roman" w:hAnsi="Traditional Arabic" w:cs="Traditional Arabic"/>
          <w:sz w:val="28"/>
          <w:szCs w:val="28"/>
          <w:highlight w:val="yellow"/>
        </w:rPr>
        <w:t xml:space="preserve"> (R² = 0.573) </w:t>
      </w:r>
      <w:r w:rsidRPr="00445A5B">
        <w:rPr>
          <w:rFonts w:ascii="Traditional Arabic" w:eastAsia="Times New Roman" w:hAnsi="Traditional Arabic" w:cs="Traditional Arabic"/>
          <w:sz w:val="28"/>
          <w:szCs w:val="28"/>
          <w:highlight w:val="yellow"/>
          <w:rtl/>
        </w:rPr>
        <w:t>ومعامل التحديد المعدل</w:t>
      </w:r>
      <w:r w:rsidRPr="00445A5B">
        <w:rPr>
          <w:rFonts w:ascii="Traditional Arabic" w:eastAsia="Times New Roman" w:hAnsi="Traditional Arabic" w:cs="Traditional Arabic"/>
          <w:sz w:val="28"/>
          <w:szCs w:val="28"/>
          <w:highlight w:val="yellow"/>
        </w:rPr>
        <w:t xml:space="preserve"> (Adjusted R² = 0.568)</w:t>
      </w:r>
      <w:r w:rsidRPr="00445A5B">
        <w:rPr>
          <w:rFonts w:ascii="Traditional Arabic" w:eastAsia="Times New Roman" w:hAnsi="Traditional Arabic" w:cs="Traditional Arabic"/>
          <w:sz w:val="28"/>
          <w:szCs w:val="28"/>
          <w:highlight w:val="yellow"/>
          <w:rtl/>
        </w:rPr>
        <w:t xml:space="preserve">، مما يدل على أن أبعاد الاستدامة مجتمعة تفسر </w:t>
      </w:r>
      <w:r w:rsidRPr="00445A5B">
        <w:rPr>
          <w:rFonts w:ascii="Traditional Arabic" w:eastAsia="Times New Roman" w:hAnsi="Traditional Arabic" w:cs="Traditional Arabic"/>
          <w:sz w:val="28"/>
          <w:szCs w:val="28"/>
          <w:highlight w:val="yellow"/>
        </w:rPr>
        <w:t xml:space="preserve">57.3% </w:t>
      </w:r>
      <w:r w:rsidRPr="00445A5B">
        <w:rPr>
          <w:rFonts w:ascii="Traditional Arabic" w:eastAsia="Times New Roman" w:hAnsi="Traditional Arabic" w:cs="Traditional Arabic"/>
          <w:sz w:val="28"/>
          <w:szCs w:val="28"/>
          <w:highlight w:val="yellow"/>
          <w:rtl/>
        </w:rPr>
        <w:t xml:space="preserve">من التباين في أداء الجودة، وهي نسبة مرتفعة نسبيًا في الدراسات الإدارية. وفي المقابل، فإن </w:t>
      </w:r>
      <w:r w:rsidRPr="00445A5B">
        <w:rPr>
          <w:rFonts w:ascii="Traditional Arabic" w:eastAsia="Times New Roman" w:hAnsi="Traditional Arabic" w:cs="Traditional Arabic"/>
          <w:sz w:val="28"/>
          <w:szCs w:val="28"/>
          <w:highlight w:val="yellow"/>
        </w:rPr>
        <w:t xml:space="preserve">42.7% </w:t>
      </w:r>
      <w:r w:rsidRPr="00445A5B">
        <w:rPr>
          <w:rFonts w:ascii="Traditional Arabic" w:eastAsia="Times New Roman" w:hAnsi="Traditional Arabic" w:cs="Traditional Arabic"/>
          <w:sz w:val="28"/>
          <w:szCs w:val="28"/>
          <w:highlight w:val="yellow"/>
          <w:rtl/>
        </w:rPr>
        <w:t>من التباين في جودة الأداء يرجع إلى عوامل أخرى لم يتناولها نموذج الدراسة، مثل خبرة فرق التنفيذ، وأنظمة إدارة الجودة، ومستوى التكنولوجيا المستخدمة، وكفاءة الإشراف الهندسي، وجودة المواد، وكفاءة المقاولين والموردين، إضافة إلى العوامل التنظيمية والخطأ العشوائي</w:t>
      </w:r>
      <w:r w:rsidRPr="00445A5B">
        <w:rPr>
          <w:rFonts w:ascii="Traditional Arabic" w:eastAsia="Times New Roman" w:hAnsi="Traditional Arabic" w:cs="Traditional Arabic"/>
          <w:sz w:val="28"/>
          <w:szCs w:val="28"/>
          <w:highlight w:val="yellow"/>
        </w:rPr>
        <w:t>.</w:t>
      </w:r>
    </w:p>
    <w:p w14:paraId="5CDD4581"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وعلى مستوى المتغيرات المستقلة، أظهرت النتائج أن الاستدامة الاقتصادية تمثل العامل الأكثر تأثيرًا في تحسين جودة الأداء</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0.565</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sz w:val="28"/>
          <w:szCs w:val="28"/>
          <w:highlight w:val="yellow"/>
        </w:rPr>
        <w:t>p &lt; 0.001</w:t>
      </w:r>
      <w:r w:rsidRPr="00445A5B">
        <w:rPr>
          <w:rFonts w:ascii="Traditional Arabic" w:eastAsia="Times New Roman" w:hAnsi="Traditional Arabic" w:cs="Traditional Arabic"/>
          <w:sz w:val="28"/>
          <w:szCs w:val="28"/>
          <w:highlight w:val="yellow"/>
          <w:rtl/>
        </w:rPr>
        <w:t>) مما يشير إلى أن الاستخدام الكفء للموارد، وتقليل الهدر، والتخطيط المالي الرشيد، يسهم بصورة مباشرة في تحسين جودة التنفيذ وتقليل الأخطاء وإعادة العمل. ومن الناحية الإدارية، فإن الشركات التي تدمج الاعتبارات الاقتصادية ضمن عمليات التخطيط والتنفيذ تكون أكثر قدرة على تحقيق مستويات مرتفعة من الجودة مع المحافظة على كفاءة استخدام الموارد</w:t>
      </w:r>
      <w:r w:rsidRPr="00445A5B">
        <w:rPr>
          <w:rFonts w:ascii="Traditional Arabic" w:eastAsia="Times New Roman" w:hAnsi="Traditional Arabic" w:cs="Traditional Arabic"/>
          <w:sz w:val="28"/>
          <w:szCs w:val="28"/>
          <w:highlight w:val="yellow"/>
        </w:rPr>
        <w:t>.</w:t>
      </w:r>
    </w:p>
    <w:p w14:paraId="2FC04540"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كما أظهرت الاستدامة الاجتماعية تأثيرًا إيجابيًا معنويًا</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0.339</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sz w:val="28"/>
          <w:szCs w:val="28"/>
          <w:highlight w:val="yellow"/>
        </w:rPr>
        <w:t>p &lt; 0.001</w:t>
      </w:r>
      <w:r w:rsidRPr="00445A5B">
        <w:rPr>
          <w:rFonts w:ascii="Traditional Arabic" w:eastAsia="Times New Roman" w:hAnsi="Traditional Arabic" w:cs="Traditional Arabic"/>
          <w:sz w:val="28"/>
          <w:szCs w:val="28"/>
          <w:highlight w:val="yellow"/>
          <w:rtl/>
        </w:rPr>
        <w:t>) وهو ما يعكس أهمية توفير بيئة عمل آمنة، وتعزيز التعاون والتواصل بين فرق العمل، والاهتمام بالعاملين، في تحسين جودة المخرجات وتقليل الأخطاء التشغيلية. ويشير ذلك إلى أن الاستثمار في رأس المال البشري يمثل أحد العوامل الأساسية لرفع جودة المشاريع الإنشائية</w:t>
      </w:r>
      <w:r w:rsidRPr="00445A5B">
        <w:rPr>
          <w:rFonts w:ascii="Traditional Arabic" w:eastAsia="Times New Roman" w:hAnsi="Traditional Arabic" w:cs="Traditional Arabic"/>
          <w:sz w:val="28"/>
          <w:szCs w:val="28"/>
          <w:highlight w:val="yellow"/>
        </w:rPr>
        <w:t>.</w:t>
      </w:r>
    </w:p>
    <w:p w14:paraId="7E2D647D"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وفي المقابل، أظهرت الاستدامة البيئية تأثيرًا سلبيًا ذا دلالة إحصائية على جودة الأداء</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-0.135</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sz w:val="28"/>
          <w:szCs w:val="28"/>
          <w:highlight w:val="yellow"/>
        </w:rPr>
        <w:t>p = 0.029</w:t>
      </w:r>
      <w:r w:rsidRPr="00445A5B">
        <w:rPr>
          <w:rFonts w:ascii="Traditional Arabic" w:eastAsia="Times New Roman" w:hAnsi="Traditional Arabic" w:cs="Traditional Arabic"/>
          <w:sz w:val="28"/>
          <w:szCs w:val="28"/>
          <w:highlight w:val="yellow"/>
          <w:rtl/>
        </w:rPr>
        <w:t>) وهي نتيجة تستحق المناقشة لكونها تختلف عن الاتجاه السائد في كثير من الدراسات السابقة التي تشير إلى وجود أثر إيجابي للاستدامة البيئية على جودة المشاريع. ويمكن تفسير هذه النتيجة في ضوء طبيعة قطاع الإنشاءات، حيث إن تطبيق بعض المتطلبات البيئية، مثل استخدام مواد بناء صديقة للبيئة أو الالتزام بإجراءات بيئية إضافية، قد يفرض قيودًا تشغيلية أو يزيد من التعقيد الفني خلال مراحل التنفيذ، خصوصًا في الشركات التي لم تصل بعد إلى مستوى مرتفع من النضج في تطبيق ممارسات البناء المستدام. كما قد تعكس النتيجة أن بعض المؤسسات تنظر إلى المتطلبات البيئية باعتبارها التزامًا نظاميًا أكثر من كونها وسيلة لتحسين الجودة، مما يؤدي إلى ظهور أثر سلبي محدود في المدى القصير، في حين قد تتحقق الفوائد الحقيقية لهذه الممارسات على المدى الطويل بعد تراكم الخبرات المؤسسية</w:t>
      </w:r>
      <w:r w:rsidRPr="00445A5B">
        <w:rPr>
          <w:rFonts w:ascii="Traditional Arabic" w:eastAsia="Times New Roman" w:hAnsi="Traditional Arabic" w:cs="Traditional Arabic"/>
          <w:sz w:val="28"/>
          <w:szCs w:val="28"/>
          <w:highlight w:val="yellow"/>
        </w:rPr>
        <w:t>.</w:t>
      </w:r>
    </w:p>
    <w:p w14:paraId="2E75111D"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 xml:space="preserve">وبمقارنة معاملات </w:t>
      </w:r>
      <w:r w:rsidRPr="00445A5B">
        <w:rPr>
          <w:rFonts w:ascii="Cambria" w:eastAsia="Calibri" w:hAnsi="Cambria" w:cs="Cambria"/>
          <w:sz w:val="28"/>
          <w:szCs w:val="28"/>
          <w:highlight w:val="yellow"/>
        </w:rPr>
        <w:t>β</w:t>
      </w:r>
      <w:r w:rsidRPr="00445A5B">
        <w:rPr>
          <w:rFonts w:ascii="Traditional Arabic" w:eastAsia="Calibri" w:hAnsi="Traditional Arabic" w:cs="Traditional Arabic"/>
          <w:sz w:val="28"/>
          <w:szCs w:val="28"/>
          <w:highlight w:val="yellow"/>
        </w:rPr>
        <w:t xml:space="preserve"> </w:t>
      </w:r>
      <w:r w:rsidRPr="00445A5B">
        <w:rPr>
          <w:rFonts w:ascii="Traditional Arabic" w:eastAsia="Calibri" w:hAnsi="Traditional Arabic" w:cs="Traditional Arabic"/>
          <w:sz w:val="28"/>
          <w:szCs w:val="28"/>
          <w:highlight w:val="yellow"/>
          <w:rtl/>
        </w:rPr>
        <w:t xml:space="preserve"> </w:t>
      </w:r>
      <w:r w:rsidRPr="00445A5B">
        <w:rPr>
          <w:rFonts w:ascii="Traditional Arabic" w:eastAsia="Times New Roman" w:hAnsi="Traditional Arabic" w:cs="Traditional Arabic"/>
          <w:sz w:val="28"/>
          <w:szCs w:val="28"/>
          <w:highlight w:val="yellow"/>
          <w:rtl/>
        </w:rPr>
        <w:t>يتضح أن ترتيب قوة تأثير أبعاد الاستدامة على جودة الأداء جاء على النحو الآتي</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 xml:space="preserve">الاستدامة الاقتصادية أولًا، ثم الاستدامة الاجتماعية، ثم الاستدامة البيئية ذات التأثير السلبي المحدود. وتشير هذه النتيجة إلى أن </w:t>
      </w:r>
      <w:r w:rsidRPr="00445A5B">
        <w:rPr>
          <w:rFonts w:ascii="Traditional Arabic" w:eastAsia="Times New Roman" w:hAnsi="Traditional Arabic" w:cs="Traditional Arabic"/>
          <w:sz w:val="28"/>
          <w:szCs w:val="28"/>
          <w:highlight w:val="yellow"/>
          <w:rtl/>
        </w:rPr>
        <w:lastRenderedPageBreak/>
        <w:t>تحسين جودة المشاريع الإنشائية يعتمد بصورة رئيسة على كفاءة إدارة الموارد والعامل البشري، في حين يتطلب تعظيم الأثر الإيجابي للاستدامة البيئية تطوير آليات تطبيقها وتوفير الخبرات الفنية اللازمة داخل الشركات</w:t>
      </w:r>
      <w:r w:rsidRPr="00445A5B">
        <w:rPr>
          <w:rFonts w:ascii="Traditional Arabic" w:eastAsia="Times New Roman" w:hAnsi="Traditional Arabic" w:cs="Traditional Arabic"/>
          <w:sz w:val="28"/>
          <w:szCs w:val="28"/>
          <w:highlight w:val="yellow"/>
        </w:rPr>
        <w:t>.</w:t>
      </w:r>
    </w:p>
    <w:p w14:paraId="5C1E4932"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المناقشة الأولية للنتائج</w:t>
      </w:r>
    </w:p>
    <w:p w14:paraId="10EADDD5"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تشير النتائج إلى أن تحقيق مستويات مرتفعة من جودة الأداء يعتمد بدرجة كبيرة على الإدارة الاقتصادية الفعالة للمشروع، إلى جانب الاهتمام بالعامل البشري والبيئة التنظيمية داخل المشروع. ويعكس ذلك أن الاستخدام الأمثل للموارد، وتوفير الإمكانات اللازمة، وتحسين ظروف العمل، كلها عوامل تساعد على تقليل الأخطاء ورفع جودة التنفيذ. أما التأثير السلبي المحدود للاستدامة البيئية، فقد يعكس وجود تحديات تواجه الشركات عند تطبيق بعض الممارسات البيئية، مثل الحاجة إلى مواد وتقنيات متخصصة أو زيادة متطلبات التنفيذ، وهو ما قد يؤدي إلى تعقيد العمليات في المدى القصير إذا لم تتوافر الخبرات والموارد الكافية. وتشير هذه النتائج إلى ضرورة تعزيز جاهزية الشركات لتطبيق متطلبات الاستدامة البيئية بصورة متكاملة، بما يضمن تحقيق الأهداف البيئية دون التأثير في جودة التنفيذ.</w:t>
      </w:r>
    </w:p>
    <w:p w14:paraId="1D4CDF9D"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(4.24)</w:t>
      </w:r>
      <w:r w:rsidRPr="00445A5B">
        <w:rPr>
          <w:rFonts w:ascii="Traditional Arabic" w:eastAsia="Times New Roman" w:hAnsi="Traditional Arabic" w:cs="Traditional Arabic"/>
          <w:sz w:val="28"/>
          <w:szCs w:val="28"/>
          <w:rtl/>
        </w:rPr>
        <w:t>نتائج تحليل الانحدار المتعدد لأداء الوقت</w:t>
      </w:r>
    </w:p>
    <w:tbl>
      <w:tblPr>
        <w:tblStyle w:val="TableGrid"/>
        <w:bidiVisual/>
        <w:tblW w:w="5000" w:type="pct"/>
        <w:jc w:val="center"/>
        <w:tblLook w:val="04A0" w:firstRow="1" w:lastRow="0" w:firstColumn="1" w:lastColumn="0" w:noHBand="0" w:noVBand="1"/>
      </w:tblPr>
      <w:tblGrid>
        <w:gridCol w:w="2586"/>
        <w:gridCol w:w="1275"/>
        <w:gridCol w:w="1275"/>
        <w:gridCol w:w="1275"/>
        <w:gridCol w:w="1885"/>
      </w:tblGrid>
      <w:tr w:rsidR="000E666F" w:rsidRPr="00445A5B" w14:paraId="7723BF4A" w14:textId="77777777" w:rsidTr="004F3CC9">
        <w:trPr>
          <w:jc w:val="center"/>
        </w:trPr>
        <w:tc>
          <w:tcPr>
            <w:tcW w:w="0" w:type="auto"/>
            <w:vAlign w:val="center"/>
            <w:hideMark/>
          </w:tcPr>
          <w:p w14:paraId="292B5C7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المتغير المستقل</w:t>
            </w:r>
          </w:p>
        </w:tc>
        <w:tc>
          <w:tcPr>
            <w:tcW w:w="0" w:type="auto"/>
            <w:vAlign w:val="center"/>
            <w:hideMark/>
          </w:tcPr>
          <w:p w14:paraId="7F86C6D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w:t>
            </w:r>
          </w:p>
        </w:tc>
        <w:tc>
          <w:tcPr>
            <w:tcW w:w="0" w:type="auto"/>
            <w:vAlign w:val="center"/>
            <w:hideMark/>
          </w:tcPr>
          <w:p w14:paraId="7087649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Beta</w:t>
            </w:r>
          </w:p>
        </w:tc>
        <w:tc>
          <w:tcPr>
            <w:tcW w:w="0" w:type="auto"/>
            <w:vAlign w:val="center"/>
            <w:hideMark/>
          </w:tcPr>
          <w:p w14:paraId="152A2B0E"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قيمة</w:t>
            </w:r>
            <w:r w:rsidRPr="00445A5B">
              <w:rPr>
                <w:rFonts w:ascii="Traditional Arabic" w:eastAsia="Times New Roman" w:hAnsi="Traditional Arabic" w:cs="Traditional Arabic"/>
                <w:sz w:val="28"/>
                <w:szCs w:val="28"/>
              </w:rPr>
              <w:t xml:space="preserve"> t</w:t>
            </w:r>
          </w:p>
        </w:tc>
        <w:tc>
          <w:tcPr>
            <w:tcW w:w="0" w:type="auto"/>
            <w:vAlign w:val="center"/>
            <w:hideMark/>
          </w:tcPr>
          <w:p w14:paraId="0DC26ED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الدلالة</w:t>
            </w:r>
          </w:p>
        </w:tc>
      </w:tr>
      <w:tr w:rsidR="000E666F" w:rsidRPr="00445A5B" w14:paraId="3F69E026" w14:textId="77777777" w:rsidTr="004F3CC9">
        <w:trPr>
          <w:jc w:val="center"/>
        </w:trPr>
        <w:tc>
          <w:tcPr>
            <w:tcW w:w="0" w:type="auto"/>
            <w:vAlign w:val="center"/>
            <w:hideMark/>
          </w:tcPr>
          <w:p w14:paraId="316E842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الثابت</w:t>
            </w:r>
          </w:p>
        </w:tc>
        <w:tc>
          <w:tcPr>
            <w:tcW w:w="0" w:type="auto"/>
            <w:vAlign w:val="center"/>
            <w:hideMark/>
          </w:tcPr>
          <w:p w14:paraId="77CF9E6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0.950</w:t>
            </w:r>
          </w:p>
        </w:tc>
        <w:tc>
          <w:tcPr>
            <w:tcW w:w="0" w:type="auto"/>
            <w:vAlign w:val="center"/>
            <w:hideMark/>
          </w:tcPr>
          <w:p w14:paraId="72FCF35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w:t>
            </w:r>
          </w:p>
        </w:tc>
        <w:tc>
          <w:tcPr>
            <w:tcW w:w="0" w:type="auto"/>
            <w:vAlign w:val="center"/>
            <w:hideMark/>
          </w:tcPr>
          <w:p w14:paraId="6D11331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5.826</w:t>
            </w:r>
          </w:p>
        </w:tc>
        <w:tc>
          <w:tcPr>
            <w:tcW w:w="0" w:type="auto"/>
            <w:vAlign w:val="center"/>
            <w:hideMark/>
          </w:tcPr>
          <w:p w14:paraId="47E1E06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20817100" w14:textId="77777777" w:rsidTr="004F3CC9">
        <w:trPr>
          <w:jc w:val="center"/>
        </w:trPr>
        <w:tc>
          <w:tcPr>
            <w:tcW w:w="0" w:type="auto"/>
            <w:vAlign w:val="center"/>
            <w:hideMark/>
          </w:tcPr>
          <w:p w14:paraId="5BC8F5C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البيئية</w:t>
            </w:r>
          </w:p>
        </w:tc>
        <w:tc>
          <w:tcPr>
            <w:tcW w:w="0" w:type="auto"/>
            <w:vAlign w:val="center"/>
            <w:hideMark/>
          </w:tcPr>
          <w:p w14:paraId="4788F92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0.139</w:t>
            </w:r>
          </w:p>
        </w:tc>
        <w:tc>
          <w:tcPr>
            <w:tcW w:w="0" w:type="auto"/>
            <w:vAlign w:val="center"/>
            <w:hideMark/>
          </w:tcPr>
          <w:p w14:paraId="6CCB39A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0.163</w:t>
            </w:r>
          </w:p>
        </w:tc>
        <w:tc>
          <w:tcPr>
            <w:tcW w:w="0" w:type="auto"/>
            <w:vAlign w:val="center"/>
            <w:hideMark/>
          </w:tcPr>
          <w:p w14:paraId="4B700932"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2.467</w:t>
            </w:r>
          </w:p>
        </w:tc>
        <w:tc>
          <w:tcPr>
            <w:tcW w:w="0" w:type="auto"/>
            <w:vAlign w:val="center"/>
            <w:hideMark/>
          </w:tcPr>
          <w:p w14:paraId="241DA64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0.014</w:t>
            </w:r>
          </w:p>
        </w:tc>
      </w:tr>
      <w:tr w:rsidR="000E666F" w:rsidRPr="00445A5B" w14:paraId="78EEDFB1" w14:textId="77777777" w:rsidTr="004F3CC9">
        <w:trPr>
          <w:jc w:val="center"/>
        </w:trPr>
        <w:tc>
          <w:tcPr>
            <w:tcW w:w="0" w:type="auto"/>
            <w:vAlign w:val="center"/>
            <w:hideMark/>
          </w:tcPr>
          <w:p w14:paraId="20D8DA1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الاقتصادية</w:t>
            </w:r>
          </w:p>
        </w:tc>
        <w:tc>
          <w:tcPr>
            <w:tcW w:w="0" w:type="auto"/>
            <w:vAlign w:val="center"/>
            <w:hideMark/>
          </w:tcPr>
          <w:p w14:paraId="3A33EDC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0.384</w:t>
            </w:r>
          </w:p>
        </w:tc>
        <w:tc>
          <w:tcPr>
            <w:tcW w:w="0" w:type="auto"/>
            <w:vAlign w:val="center"/>
            <w:hideMark/>
          </w:tcPr>
          <w:p w14:paraId="7535354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0.397</w:t>
            </w:r>
          </w:p>
        </w:tc>
        <w:tc>
          <w:tcPr>
            <w:tcW w:w="0" w:type="auto"/>
            <w:vAlign w:val="center"/>
            <w:hideMark/>
          </w:tcPr>
          <w:p w14:paraId="1549735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5.177</w:t>
            </w:r>
          </w:p>
        </w:tc>
        <w:tc>
          <w:tcPr>
            <w:tcW w:w="0" w:type="auto"/>
            <w:vAlign w:val="center"/>
            <w:hideMark/>
          </w:tcPr>
          <w:p w14:paraId="3DDA40A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69F0B6E8" w14:textId="77777777" w:rsidTr="004F3CC9">
        <w:trPr>
          <w:jc w:val="center"/>
        </w:trPr>
        <w:tc>
          <w:tcPr>
            <w:tcW w:w="0" w:type="auto"/>
            <w:vAlign w:val="center"/>
            <w:hideMark/>
          </w:tcPr>
          <w:p w14:paraId="7F087CC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الاجتماعية</w:t>
            </w:r>
          </w:p>
        </w:tc>
        <w:tc>
          <w:tcPr>
            <w:tcW w:w="0" w:type="auto"/>
            <w:vAlign w:val="center"/>
            <w:hideMark/>
          </w:tcPr>
          <w:p w14:paraId="03A7419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0.204</w:t>
            </w:r>
          </w:p>
        </w:tc>
        <w:tc>
          <w:tcPr>
            <w:tcW w:w="0" w:type="auto"/>
            <w:vAlign w:val="center"/>
            <w:hideMark/>
          </w:tcPr>
          <w:p w14:paraId="428C4EB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0.216</w:t>
            </w:r>
          </w:p>
        </w:tc>
        <w:tc>
          <w:tcPr>
            <w:tcW w:w="0" w:type="auto"/>
            <w:vAlign w:val="center"/>
            <w:hideMark/>
          </w:tcPr>
          <w:p w14:paraId="1BB3BA6A"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3.132</w:t>
            </w:r>
          </w:p>
        </w:tc>
        <w:tc>
          <w:tcPr>
            <w:tcW w:w="0" w:type="auto"/>
            <w:vAlign w:val="center"/>
            <w:hideMark/>
          </w:tcPr>
          <w:p w14:paraId="59032D6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0.002</w:t>
            </w:r>
          </w:p>
        </w:tc>
      </w:tr>
    </w:tbl>
    <w:p w14:paraId="52A5C5DC"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ملخص النموذج</w:t>
      </w:r>
      <w:r w:rsidRPr="00445A5B">
        <w:rPr>
          <w:rFonts w:ascii="Traditional Arabic" w:eastAsia="Times New Roman" w:hAnsi="Traditional Arabic" w:cs="Traditional Arabic"/>
          <w:sz w:val="28"/>
          <w:szCs w:val="28"/>
        </w:rPr>
        <w:t>:</w:t>
      </w:r>
      <w:r w:rsidRPr="00445A5B">
        <w:rPr>
          <w:rFonts w:ascii="Traditional Arabic" w:eastAsia="Times New Roman" w:hAnsi="Traditional Arabic" w:cs="Traditional Arabic"/>
          <w:sz w:val="28"/>
          <w:szCs w:val="28"/>
          <w:rtl/>
        </w:rPr>
        <w:t xml:space="preserve"> </w:t>
      </w:r>
      <w:r w:rsidRPr="00445A5B">
        <w:rPr>
          <w:rFonts w:ascii="Traditional Arabic" w:eastAsia="Times New Roman" w:hAnsi="Traditional Arabic" w:cs="Traditional Arabic"/>
          <w:sz w:val="28"/>
          <w:szCs w:val="28"/>
        </w:rPr>
        <w:t>R² = 0.511</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F = 98.050</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p = 0.000</w:t>
      </w:r>
    </w:p>
    <w:p w14:paraId="3CA4721F"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يبين جدول (</w:t>
      </w:r>
      <w:r w:rsidRPr="00445A5B">
        <w:rPr>
          <w:rFonts w:ascii="Traditional Arabic" w:eastAsia="Times New Roman" w:hAnsi="Traditional Arabic" w:cs="Traditional Arabic"/>
          <w:sz w:val="28"/>
          <w:szCs w:val="28"/>
          <w:highlight w:val="yellow"/>
        </w:rPr>
        <w:t>4.24</w:t>
      </w:r>
      <w:r w:rsidRPr="00445A5B">
        <w:rPr>
          <w:rFonts w:ascii="Traditional Arabic" w:eastAsia="Times New Roman" w:hAnsi="Traditional Arabic" w:cs="Traditional Arabic"/>
          <w:sz w:val="28"/>
          <w:szCs w:val="28"/>
          <w:highlight w:val="yellow"/>
          <w:rtl/>
        </w:rPr>
        <w:t xml:space="preserve">) أن نموذج الانحدار يتمتع بقدرة تفسيرية جيدة، حيث بلغت قيمة </w:t>
      </w:r>
      <w:r w:rsidRPr="00445A5B">
        <w:rPr>
          <w:rFonts w:ascii="Traditional Arabic" w:eastAsia="Times New Roman" w:hAnsi="Traditional Arabic" w:cs="Traditional Arabic"/>
          <w:sz w:val="28"/>
          <w:szCs w:val="28"/>
          <w:highlight w:val="yellow"/>
        </w:rPr>
        <w:t xml:space="preserve">F = 98.050 </w:t>
      </w:r>
      <w:r w:rsidRPr="00445A5B">
        <w:rPr>
          <w:rFonts w:ascii="Traditional Arabic" w:eastAsia="Times New Roman" w:hAnsi="Traditional Arabic" w:cs="Traditional Arabic"/>
          <w:sz w:val="28"/>
          <w:szCs w:val="28"/>
          <w:highlight w:val="yellow"/>
          <w:rtl/>
        </w:rPr>
        <w:t>عند مستوى دلالة</w:t>
      </w:r>
      <w:r w:rsidRPr="00445A5B">
        <w:rPr>
          <w:rFonts w:ascii="Traditional Arabic" w:eastAsia="Times New Roman" w:hAnsi="Traditional Arabic" w:cs="Traditional Arabic"/>
          <w:sz w:val="28"/>
          <w:szCs w:val="28"/>
          <w:highlight w:val="yellow"/>
        </w:rPr>
        <w:t xml:space="preserve"> (p &lt; 0.001)</w:t>
      </w:r>
      <w:r w:rsidRPr="00445A5B">
        <w:rPr>
          <w:rFonts w:ascii="Traditional Arabic" w:eastAsia="Times New Roman" w:hAnsi="Traditional Arabic" w:cs="Traditional Arabic"/>
          <w:sz w:val="28"/>
          <w:szCs w:val="28"/>
          <w:highlight w:val="yellow"/>
          <w:rtl/>
        </w:rPr>
        <w:t>، كما بلغ معامل التحديد</w:t>
      </w:r>
      <w:r w:rsidRPr="00445A5B">
        <w:rPr>
          <w:rFonts w:ascii="Traditional Arabic" w:eastAsia="Times New Roman" w:hAnsi="Traditional Arabic" w:cs="Traditional Arabic"/>
          <w:sz w:val="28"/>
          <w:szCs w:val="28"/>
          <w:highlight w:val="yellow"/>
        </w:rPr>
        <w:t xml:space="preserve"> (R² = 0.511) </w:t>
      </w:r>
      <w:r w:rsidRPr="00445A5B">
        <w:rPr>
          <w:rFonts w:ascii="Traditional Arabic" w:eastAsia="Times New Roman" w:hAnsi="Traditional Arabic" w:cs="Traditional Arabic"/>
          <w:sz w:val="28"/>
          <w:szCs w:val="28"/>
          <w:highlight w:val="yellow"/>
          <w:rtl/>
        </w:rPr>
        <w:t>ومعامل التحديد المعدل</w:t>
      </w:r>
      <w:r w:rsidRPr="00445A5B">
        <w:rPr>
          <w:rFonts w:ascii="Traditional Arabic" w:eastAsia="Times New Roman" w:hAnsi="Traditional Arabic" w:cs="Traditional Arabic"/>
          <w:sz w:val="28"/>
          <w:szCs w:val="28"/>
          <w:highlight w:val="yellow"/>
        </w:rPr>
        <w:t xml:space="preserve"> (Adjusted R² = 0.506)</w:t>
      </w:r>
      <w:r w:rsidRPr="00445A5B">
        <w:rPr>
          <w:rFonts w:ascii="Traditional Arabic" w:eastAsia="Times New Roman" w:hAnsi="Traditional Arabic" w:cs="Traditional Arabic"/>
          <w:sz w:val="28"/>
          <w:szCs w:val="28"/>
          <w:highlight w:val="yellow"/>
          <w:rtl/>
        </w:rPr>
        <w:t xml:space="preserve">، مما يدل على أن أبعاد الاستدامة تفسر </w:t>
      </w:r>
      <w:r w:rsidRPr="00445A5B">
        <w:rPr>
          <w:rFonts w:ascii="Traditional Arabic" w:eastAsia="Times New Roman" w:hAnsi="Traditional Arabic" w:cs="Traditional Arabic"/>
          <w:sz w:val="28"/>
          <w:szCs w:val="28"/>
          <w:highlight w:val="yellow"/>
        </w:rPr>
        <w:t xml:space="preserve">51.1% </w:t>
      </w:r>
      <w:r w:rsidRPr="00445A5B">
        <w:rPr>
          <w:rFonts w:ascii="Traditional Arabic" w:eastAsia="Times New Roman" w:hAnsi="Traditional Arabic" w:cs="Traditional Arabic"/>
          <w:sz w:val="28"/>
          <w:szCs w:val="28"/>
          <w:highlight w:val="yellow"/>
          <w:rtl/>
        </w:rPr>
        <w:t xml:space="preserve">من التباين في أداء الوقت. أما النسبة المتبقية، والبالغة </w:t>
      </w:r>
      <w:r w:rsidRPr="00445A5B">
        <w:rPr>
          <w:rFonts w:ascii="Traditional Arabic" w:eastAsia="Times New Roman" w:hAnsi="Traditional Arabic" w:cs="Traditional Arabic"/>
          <w:sz w:val="28"/>
          <w:szCs w:val="28"/>
          <w:highlight w:val="yellow"/>
        </w:rPr>
        <w:t>48.9%</w:t>
      </w:r>
      <w:r w:rsidRPr="00445A5B">
        <w:rPr>
          <w:rFonts w:ascii="Traditional Arabic" w:eastAsia="Times New Roman" w:hAnsi="Traditional Arabic" w:cs="Traditional Arabic"/>
          <w:sz w:val="28"/>
          <w:szCs w:val="28"/>
          <w:highlight w:val="yellow"/>
          <w:rtl/>
        </w:rPr>
        <w:t>، فتعود إلى عوامل أخرى لم يتضمنها النموذج، مثل التغيرات التصميمية، وسرعة اتخاذ القرارات، وكفاءة إدارة سلسلة الإمداد، والظروف المناخية، وتأخر التوريدات، ونقص العمالة، ومدى كفاءة التخطيط الزمني وإدارة المخاطر</w:t>
      </w:r>
      <w:r w:rsidRPr="00445A5B">
        <w:rPr>
          <w:rFonts w:ascii="Traditional Arabic" w:eastAsia="Times New Roman" w:hAnsi="Traditional Arabic" w:cs="Traditional Arabic"/>
          <w:sz w:val="28"/>
          <w:szCs w:val="28"/>
          <w:highlight w:val="yellow"/>
        </w:rPr>
        <w:t>.</w:t>
      </w:r>
    </w:p>
    <w:p w14:paraId="0BBAEA01"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وأظهرت النتائج أن الاستدامة الاقتصادية تمثل أقوى المتغيرات تأثيرًا على أداء الوقت</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0.397</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sz w:val="28"/>
          <w:szCs w:val="28"/>
          <w:highlight w:val="yellow"/>
        </w:rPr>
        <w:t>p &lt; 0.001</w:t>
      </w:r>
      <w:r w:rsidRPr="00445A5B">
        <w:rPr>
          <w:rFonts w:ascii="Traditional Arabic" w:eastAsia="Times New Roman" w:hAnsi="Traditional Arabic" w:cs="Traditional Arabic"/>
          <w:sz w:val="28"/>
          <w:szCs w:val="28"/>
          <w:highlight w:val="yellow"/>
          <w:rtl/>
        </w:rPr>
        <w:t>) وهو ما يدل على أن الإدارة الكفؤة للموارد والتخطيط المالي السليم يسهمان في تقليل التأخيرات وتحسين الالتزام بالبرامج الزمنية. ومن المنظور الإداري، فإن توافر الموارد في الوقت المناسب، وخفض الهدر، وتحسين تخصيص الموارد المالية، يساعد على انسيابية تنفيذ الأنشطة وتقليل الانقطاعات أثناء التنفيذ</w:t>
      </w:r>
      <w:r w:rsidRPr="00445A5B">
        <w:rPr>
          <w:rFonts w:ascii="Traditional Arabic" w:eastAsia="Times New Roman" w:hAnsi="Traditional Arabic" w:cs="Traditional Arabic"/>
          <w:sz w:val="28"/>
          <w:szCs w:val="28"/>
          <w:highlight w:val="yellow"/>
        </w:rPr>
        <w:t>.</w:t>
      </w:r>
    </w:p>
    <w:p w14:paraId="1CAFDA91"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lastRenderedPageBreak/>
        <w:t>كما أظهرت الاستدامة الاجتماعية تأثيرًا إيجابيًا معنويًا</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0.216</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sz w:val="28"/>
          <w:szCs w:val="28"/>
          <w:highlight w:val="yellow"/>
        </w:rPr>
        <w:t>p = 0.002</w:t>
      </w:r>
      <w:r w:rsidRPr="00445A5B">
        <w:rPr>
          <w:rFonts w:ascii="Traditional Arabic" w:eastAsia="Times New Roman" w:hAnsi="Traditional Arabic" w:cs="Traditional Arabic"/>
          <w:sz w:val="28"/>
          <w:szCs w:val="28"/>
          <w:highlight w:val="yellow"/>
          <w:rtl/>
        </w:rPr>
        <w:t>) مما يشير إلى أن التعاون بين فرق العمل، وارتفاع مستويات السلامة المهنية، وتحسين الاتصال التنظيمي، يسهم في الحد من التأخيرات التشغيلية وتحسين كفاءة تنفيذ المشروع</w:t>
      </w:r>
      <w:r w:rsidRPr="00445A5B">
        <w:rPr>
          <w:rFonts w:ascii="Traditional Arabic" w:eastAsia="Times New Roman" w:hAnsi="Traditional Arabic" w:cs="Traditional Arabic"/>
          <w:sz w:val="28"/>
          <w:szCs w:val="28"/>
          <w:highlight w:val="yellow"/>
        </w:rPr>
        <w:t>.</w:t>
      </w:r>
    </w:p>
    <w:p w14:paraId="2160BAFA"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في الوقت نفسه، أظهرت الاستدامة البيئية تأثيرًا إيجابيًا معنويًا أيضًا</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w:t>
      </w:r>
      <w:r w:rsidRPr="00445A5B">
        <w:rPr>
          <w:rFonts w:ascii="Cambria" w:eastAsia="Times New Roman" w:hAnsi="Cambria" w:cs="Cambria"/>
          <w:sz w:val="28"/>
          <w:szCs w:val="28"/>
          <w:highlight w:val="yellow"/>
        </w:rPr>
        <w:t>β</w:t>
      </w:r>
      <w:r w:rsidRPr="00445A5B">
        <w:rPr>
          <w:rFonts w:ascii="Traditional Arabic" w:eastAsia="Times New Roman" w:hAnsi="Traditional Arabic" w:cs="Traditional Arabic"/>
          <w:sz w:val="28"/>
          <w:szCs w:val="28"/>
          <w:highlight w:val="yellow"/>
        </w:rPr>
        <w:t xml:space="preserve"> = 0.163</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sz w:val="28"/>
          <w:szCs w:val="28"/>
          <w:highlight w:val="yellow"/>
        </w:rPr>
        <w:t>p = 0.014</w:t>
      </w:r>
      <w:r w:rsidRPr="00445A5B">
        <w:rPr>
          <w:rFonts w:ascii="Traditional Arabic" w:eastAsia="Times New Roman" w:hAnsi="Traditional Arabic" w:cs="Traditional Arabic"/>
          <w:sz w:val="28"/>
          <w:szCs w:val="28"/>
          <w:highlight w:val="yellow"/>
          <w:rtl/>
        </w:rPr>
        <w:t>) وإن كان أقل من البعدين الآخرين، وهو ما يشير إلى أن تطبيق الممارسات البيئية لا يؤدي بالضرورة إلى إبطاء تنفيذ المشاريع، بل قد يسهم في تحسين تنظيم العمليات والالتزام بالإجراءات وتقليل الهدر الناتج عن سوء إدارة الموارد، الأمر الذي ينعكس إيجابًا على الالتزام بالجدول الزمني</w:t>
      </w:r>
      <w:r w:rsidRPr="00445A5B">
        <w:rPr>
          <w:rFonts w:ascii="Traditional Arabic" w:eastAsia="Times New Roman" w:hAnsi="Traditional Arabic" w:cs="Traditional Arabic"/>
          <w:sz w:val="28"/>
          <w:szCs w:val="28"/>
          <w:highlight w:val="yellow"/>
        </w:rPr>
        <w:t>.</w:t>
      </w:r>
    </w:p>
    <w:p w14:paraId="16F1DB8B"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 xml:space="preserve">وبمقارنة معاملات </w:t>
      </w:r>
      <w:r w:rsidRPr="00445A5B">
        <w:rPr>
          <w:rFonts w:ascii="Traditional Arabic" w:eastAsia="Times New Roman" w:hAnsi="Traditional Arabic" w:cs="Traditional Arabic"/>
          <w:sz w:val="28"/>
          <w:szCs w:val="28"/>
          <w:highlight w:val="yellow"/>
        </w:rPr>
        <w:t xml:space="preserve">Beta </w:t>
      </w:r>
      <w:r w:rsidRPr="00445A5B">
        <w:rPr>
          <w:rFonts w:ascii="Traditional Arabic" w:eastAsia="Times New Roman" w:hAnsi="Traditional Arabic" w:cs="Traditional Arabic"/>
          <w:sz w:val="28"/>
          <w:szCs w:val="28"/>
          <w:highlight w:val="yellow"/>
          <w:rtl/>
        </w:rPr>
        <w:t>يتضح أن ترتيب قوة تأثير أبعاد الاستدامة على أداء الوقت جاء كما يلي</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الاستدامة الاقتصادية أولًا، ثم الاستدامة الاجتماعية، ثم الاستدامة البيئية</w:t>
      </w:r>
      <w:r w:rsidRPr="00445A5B">
        <w:rPr>
          <w:rFonts w:ascii="Traditional Arabic" w:eastAsia="Times New Roman" w:hAnsi="Traditional Arabic" w:cs="Traditional Arabic"/>
          <w:sz w:val="28"/>
          <w:szCs w:val="28"/>
          <w:highlight w:val="yellow"/>
        </w:rPr>
        <w:t xml:space="preserve">. </w:t>
      </w:r>
      <w:r w:rsidRPr="00445A5B">
        <w:rPr>
          <w:rFonts w:ascii="Traditional Arabic" w:eastAsia="Times New Roman" w:hAnsi="Traditional Arabic" w:cs="Traditional Arabic"/>
          <w:sz w:val="28"/>
          <w:szCs w:val="28"/>
          <w:highlight w:val="yellow"/>
          <w:rtl/>
        </w:rPr>
        <w:t>وتشير هذه النتيجة إلى أن تحسين الأداء الزمني للمشروعات يعتمد بصورة رئيسة على الكفاءة الاقتصادية والإدارية، مع مساهمة داعمة لكل من الجوانب الاجتماعية والبيئية في تعزيز انضباط عمليات التنفيذ</w:t>
      </w:r>
      <w:r w:rsidRPr="00445A5B">
        <w:rPr>
          <w:rFonts w:ascii="Traditional Arabic" w:eastAsia="Times New Roman" w:hAnsi="Traditional Arabic" w:cs="Traditional Arabic"/>
          <w:sz w:val="28"/>
          <w:szCs w:val="28"/>
          <w:highlight w:val="yellow"/>
        </w:rPr>
        <w:t>.</w:t>
      </w:r>
    </w:p>
    <w:p w14:paraId="57802B5A"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المناقشة الاولية للنتائج</w:t>
      </w:r>
    </w:p>
    <w:p w14:paraId="6B0BFCF3"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توضح النتائج أن الالتزام بالجداول الزمنية للمشروعات يعتمد بصورة رئيسة على كفاءة إدارة الموارد والتخطيط المالي، إضافة إلى كفاءة إدارة العنصر البشري وتطبيق الممارسات البيئية بصورة منظمة. ويشير ذلك إلى أن توافر الموارد في الوقت المناسب، وتحسين التنسيق بين فرق العمل، والحد من الهدر أثناء التنفيذ، يسهم في تقليل التأخيرات وتحسين الالتزام بالمواعيد المحددة. كما توضح النتائج أن تطبيق الممارسات البيئية لا يمثل عائقًا أمام الإنجاز الزمني، بل قد يسهم في تحسين تنظيم العمليات التشغيلية وتقليل المشكلات التنفيذية عند تطبيقه بصورة صحيحة. ومن ثم، ينبغي على إدارات المشاريع تعزيز التكامل بين التخطيط الاقتصادي والإدارة التشغيلية والممارسات البيئية لتحقيق أفضل مستويات الأداء الزمني.</w:t>
      </w:r>
    </w:p>
    <w:p w14:paraId="45F3EDA3"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جدول</w:t>
      </w:r>
      <w:r w:rsidRPr="00445A5B">
        <w:rPr>
          <w:rFonts w:ascii="Traditional Arabic" w:eastAsia="Times New Roman" w:hAnsi="Traditional Arabic" w:cs="Traditional Arabic"/>
          <w:sz w:val="28"/>
          <w:szCs w:val="28"/>
        </w:rPr>
        <w:t xml:space="preserve"> (4.25)</w:t>
      </w:r>
      <w:r w:rsidRPr="00445A5B">
        <w:rPr>
          <w:rFonts w:ascii="Traditional Arabic" w:eastAsia="Times New Roman" w:hAnsi="Traditional Arabic" w:cs="Traditional Arabic"/>
          <w:sz w:val="28"/>
          <w:szCs w:val="28"/>
          <w:rtl/>
        </w:rPr>
        <w:t>نتائج تحليل الانحدار المتعدد لرضا العملاء</w:t>
      </w:r>
    </w:p>
    <w:tbl>
      <w:tblPr>
        <w:tblStyle w:val="TableGrid"/>
        <w:bidiVisual/>
        <w:tblW w:w="5000" w:type="pct"/>
        <w:jc w:val="center"/>
        <w:tblLook w:val="04A0" w:firstRow="1" w:lastRow="0" w:firstColumn="1" w:lastColumn="0" w:noHBand="0" w:noVBand="1"/>
      </w:tblPr>
      <w:tblGrid>
        <w:gridCol w:w="2586"/>
        <w:gridCol w:w="1275"/>
        <w:gridCol w:w="1275"/>
        <w:gridCol w:w="1275"/>
        <w:gridCol w:w="1885"/>
      </w:tblGrid>
      <w:tr w:rsidR="000E666F" w:rsidRPr="00445A5B" w14:paraId="57A6BB03" w14:textId="77777777" w:rsidTr="004F3CC9">
        <w:trPr>
          <w:jc w:val="center"/>
        </w:trPr>
        <w:tc>
          <w:tcPr>
            <w:tcW w:w="0" w:type="auto"/>
            <w:vAlign w:val="center"/>
            <w:hideMark/>
          </w:tcPr>
          <w:p w14:paraId="39F06DB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المتغير المستقل</w:t>
            </w:r>
          </w:p>
        </w:tc>
        <w:tc>
          <w:tcPr>
            <w:tcW w:w="0" w:type="auto"/>
            <w:vAlign w:val="center"/>
            <w:hideMark/>
          </w:tcPr>
          <w:p w14:paraId="57ACF33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w:t>
            </w:r>
          </w:p>
        </w:tc>
        <w:tc>
          <w:tcPr>
            <w:tcW w:w="0" w:type="auto"/>
            <w:vAlign w:val="center"/>
            <w:hideMark/>
          </w:tcPr>
          <w:p w14:paraId="20FB95F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Beta</w:t>
            </w:r>
          </w:p>
        </w:tc>
        <w:tc>
          <w:tcPr>
            <w:tcW w:w="0" w:type="auto"/>
            <w:vAlign w:val="center"/>
            <w:hideMark/>
          </w:tcPr>
          <w:p w14:paraId="6EB510C6"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قيمة</w:t>
            </w:r>
            <w:r w:rsidRPr="00445A5B">
              <w:rPr>
                <w:rFonts w:ascii="Traditional Arabic" w:eastAsia="Times New Roman" w:hAnsi="Traditional Arabic" w:cs="Traditional Arabic"/>
                <w:sz w:val="28"/>
                <w:szCs w:val="28"/>
              </w:rPr>
              <w:t xml:space="preserve"> t</w:t>
            </w:r>
          </w:p>
        </w:tc>
        <w:tc>
          <w:tcPr>
            <w:tcW w:w="0" w:type="auto"/>
            <w:vAlign w:val="center"/>
            <w:hideMark/>
          </w:tcPr>
          <w:p w14:paraId="3351794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مستوى الدلالة</w:t>
            </w:r>
          </w:p>
        </w:tc>
      </w:tr>
      <w:tr w:rsidR="000E666F" w:rsidRPr="00445A5B" w14:paraId="0EAEEF46" w14:textId="77777777" w:rsidTr="004F3CC9">
        <w:trPr>
          <w:jc w:val="center"/>
        </w:trPr>
        <w:tc>
          <w:tcPr>
            <w:tcW w:w="0" w:type="auto"/>
            <w:vAlign w:val="center"/>
            <w:hideMark/>
          </w:tcPr>
          <w:p w14:paraId="3261459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الثابت</w:t>
            </w:r>
          </w:p>
        </w:tc>
        <w:tc>
          <w:tcPr>
            <w:tcW w:w="0" w:type="auto"/>
            <w:vAlign w:val="center"/>
            <w:hideMark/>
          </w:tcPr>
          <w:p w14:paraId="58B7BA73"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1.400</w:t>
            </w:r>
          </w:p>
        </w:tc>
        <w:tc>
          <w:tcPr>
            <w:tcW w:w="0" w:type="auto"/>
            <w:vAlign w:val="center"/>
            <w:hideMark/>
          </w:tcPr>
          <w:p w14:paraId="1B78ACA4"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w:t>
            </w:r>
          </w:p>
        </w:tc>
        <w:tc>
          <w:tcPr>
            <w:tcW w:w="0" w:type="auto"/>
            <w:vAlign w:val="center"/>
            <w:hideMark/>
          </w:tcPr>
          <w:p w14:paraId="7F83C167"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7.732</w:t>
            </w:r>
          </w:p>
        </w:tc>
        <w:tc>
          <w:tcPr>
            <w:tcW w:w="0" w:type="auto"/>
            <w:vAlign w:val="center"/>
            <w:hideMark/>
          </w:tcPr>
          <w:p w14:paraId="7C9F849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r w:rsidR="000E666F" w:rsidRPr="00445A5B" w14:paraId="7EC4C394" w14:textId="77777777" w:rsidTr="004F3CC9">
        <w:trPr>
          <w:jc w:val="center"/>
        </w:trPr>
        <w:tc>
          <w:tcPr>
            <w:tcW w:w="0" w:type="auto"/>
            <w:vAlign w:val="center"/>
            <w:hideMark/>
          </w:tcPr>
          <w:p w14:paraId="681E167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البيئية</w:t>
            </w:r>
          </w:p>
        </w:tc>
        <w:tc>
          <w:tcPr>
            <w:tcW w:w="0" w:type="auto"/>
            <w:vAlign w:val="center"/>
            <w:hideMark/>
          </w:tcPr>
          <w:p w14:paraId="65518CE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0.033</w:t>
            </w:r>
          </w:p>
        </w:tc>
        <w:tc>
          <w:tcPr>
            <w:tcW w:w="0" w:type="auto"/>
            <w:vAlign w:val="center"/>
            <w:hideMark/>
          </w:tcPr>
          <w:p w14:paraId="04967AEB"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0.039</w:t>
            </w:r>
          </w:p>
        </w:tc>
        <w:tc>
          <w:tcPr>
            <w:tcW w:w="0" w:type="auto"/>
            <w:vAlign w:val="center"/>
            <w:hideMark/>
          </w:tcPr>
          <w:p w14:paraId="1BF6416C"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0.524</w:t>
            </w:r>
          </w:p>
        </w:tc>
        <w:tc>
          <w:tcPr>
            <w:tcW w:w="0" w:type="auto"/>
            <w:vAlign w:val="center"/>
            <w:hideMark/>
          </w:tcPr>
          <w:p w14:paraId="51387A9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0.600</w:t>
            </w:r>
          </w:p>
        </w:tc>
      </w:tr>
      <w:tr w:rsidR="000E666F" w:rsidRPr="00445A5B" w14:paraId="0A72B9F0" w14:textId="77777777" w:rsidTr="004F3CC9">
        <w:trPr>
          <w:jc w:val="center"/>
        </w:trPr>
        <w:tc>
          <w:tcPr>
            <w:tcW w:w="0" w:type="auto"/>
            <w:vAlign w:val="center"/>
            <w:hideMark/>
          </w:tcPr>
          <w:p w14:paraId="5D901035"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الاقتصادية</w:t>
            </w:r>
          </w:p>
        </w:tc>
        <w:tc>
          <w:tcPr>
            <w:tcW w:w="0" w:type="auto"/>
            <w:vAlign w:val="center"/>
            <w:hideMark/>
          </w:tcPr>
          <w:p w14:paraId="7ACA9C7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0.228</w:t>
            </w:r>
          </w:p>
        </w:tc>
        <w:tc>
          <w:tcPr>
            <w:tcW w:w="0" w:type="auto"/>
            <w:vAlign w:val="center"/>
            <w:hideMark/>
          </w:tcPr>
          <w:p w14:paraId="49E0771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0.239</w:t>
            </w:r>
          </w:p>
        </w:tc>
        <w:tc>
          <w:tcPr>
            <w:tcW w:w="0" w:type="auto"/>
            <w:vAlign w:val="center"/>
            <w:hideMark/>
          </w:tcPr>
          <w:p w14:paraId="43447CC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2.766</w:t>
            </w:r>
          </w:p>
        </w:tc>
        <w:tc>
          <w:tcPr>
            <w:tcW w:w="0" w:type="auto"/>
            <w:vAlign w:val="center"/>
            <w:hideMark/>
          </w:tcPr>
          <w:p w14:paraId="3572A6B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0.006</w:t>
            </w:r>
          </w:p>
        </w:tc>
      </w:tr>
      <w:tr w:rsidR="000E666F" w:rsidRPr="00445A5B" w14:paraId="0E1D41FF" w14:textId="77777777" w:rsidTr="004F3CC9">
        <w:trPr>
          <w:jc w:val="center"/>
        </w:trPr>
        <w:tc>
          <w:tcPr>
            <w:tcW w:w="0" w:type="auto"/>
            <w:vAlign w:val="center"/>
            <w:hideMark/>
          </w:tcPr>
          <w:p w14:paraId="6E53DE89"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الاستدامة الاجتماعية</w:t>
            </w:r>
          </w:p>
        </w:tc>
        <w:tc>
          <w:tcPr>
            <w:tcW w:w="0" w:type="auto"/>
            <w:vAlign w:val="center"/>
            <w:hideMark/>
          </w:tcPr>
          <w:p w14:paraId="228D305F"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0.355</w:t>
            </w:r>
          </w:p>
        </w:tc>
        <w:tc>
          <w:tcPr>
            <w:tcW w:w="0" w:type="auto"/>
            <w:vAlign w:val="center"/>
            <w:hideMark/>
          </w:tcPr>
          <w:p w14:paraId="1D857711"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0.381</w:t>
            </w:r>
          </w:p>
        </w:tc>
        <w:tc>
          <w:tcPr>
            <w:tcW w:w="0" w:type="auto"/>
            <w:vAlign w:val="center"/>
            <w:hideMark/>
          </w:tcPr>
          <w:p w14:paraId="243596C0"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4.913</w:t>
            </w:r>
          </w:p>
        </w:tc>
        <w:tc>
          <w:tcPr>
            <w:tcW w:w="0" w:type="auto"/>
            <w:vAlign w:val="center"/>
            <w:hideMark/>
          </w:tcPr>
          <w:p w14:paraId="36E519D8"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Pr>
              <w:t>0.000</w:t>
            </w:r>
          </w:p>
        </w:tc>
      </w:tr>
    </w:tbl>
    <w:p w14:paraId="137994E7"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rtl/>
        </w:rPr>
        <w:t>ملخص النموذج</w:t>
      </w:r>
      <w:r w:rsidRPr="00445A5B">
        <w:rPr>
          <w:rFonts w:ascii="Traditional Arabic" w:eastAsia="Times New Roman" w:hAnsi="Traditional Arabic" w:cs="Traditional Arabic"/>
          <w:sz w:val="28"/>
          <w:szCs w:val="28"/>
        </w:rPr>
        <w:t>: R² = 0.381</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F = 57.606</w:t>
      </w:r>
      <w:r w:rsidRPr="00445A5B">
        <w:rPr>
          <w:rFonts w:ascii="Traditional Arabic" w:eastAsia="Times New Roman" w:hAnsi="Traditional Arabic" w:cs="Traditional Arabic"/>
          <w:sz w:val="28"/>
          <w:szCs w:val="28"/>
          <w:rtl/>
        </w:rPr>
        <w:t xml:space="preserve"> ، </w:t>
      </w:r>
      <w:r w:rsidRPr="00445A5B">
        <w:rPr>
          <w:rFonts w:ascii="Traditional Arabic" w:eastAsia="Times New Roman" w:hAnsi="Traditional Arabic" w:cs="Traditional Arabic"/>
          <w:sz w:val="28"/>
          <w:szCs w:val="28"/>
        </w:rPr>
        <w:t>p = 0.000</w:t>
      </w:r>
    </w:p>
    <w:p w14:paraId="3A521D69"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lastRenderedPageBreak/>
        <w:t>تشير نتائج جدول (</w:t>
      </w:r>
      <w:r w:rsidRPr="00445A5B">
        <w:rPr>
          <w:rFonts w:ascii="Traditional Arabic" w:eastAsia="Times New Roman" w:hAnsi="Traditional Arabic" w:cs="Traditional Arabic"/>
          <w:kern w:val="36"/>
          <w:sz w:val="28"/>
          <w:szCs w:val="28"/>
          <w:highlight w:val="yellow"/>
        </w:rPr>
        <w:t>4.25</w:t>
      </w:r>
      <w:r w:rsidRPr="00445A5B">
        <w:rPr>
          <w:rFonts w:ascii="Traditional Arabic" w:eastAsia="Times New Roman" w:hAnsi="Traditional Arabic" w:cs="Traditional Arabic"/>
          <w:kern w:val="36"/>
          <w:sz w:val="28"/>
          <w:szCs w:val="28"/>
          <w:highlight w:val="yellow"/>
          <w:rtl/>
        </w:rPr>
        <w:t>) إلى أن نموذج الانحدار يتمتع بدلالة إحصائية عند مستوى</w:t>
      </w:r>
      <w:r w:rsidRPr="00445A5B">
        <w:rPr>
          <w:rFonts w:ascii="Traditional Arabic" w:eastAsia="Times New Roman" w:hAnsi="Traditional Arabic" w:cs="Traditional Arabic"/>
          <w:kern w:val="36"/>
          <w:sz w:val="28"/>
          <w:szCs w:val="28"/>
          <w:highlight w:val="yellow"/>
        </w:rPr>
        <w:t xml:space="preserve"> (p &lt; 0.001)</w:t>
      </w:r>
      <w:r w:rsidRPr="00445A5B">
        <w:rPr>
          <w:rFonts w:ascii="Traditional Arabic" w:eastAsia="Times New Roman" w:hAnsi="Traditional Arabic" w:cs="Traditional Arabic"/>
          <w:kern w:val="36"/>
          <w:sz w:val="28"/>
          <w:szCs w:val="28"/>
          <w:highlight w:val="yellow"/>
          <w:rtl/>
        </w:rPr>
        <w:t xml:space="preserve">، حيث بلغت قيمة </w:t>
      </w:r>
      <w:r w:rsidRPr="00445A5B">
        <w:rPr>
          <w:rFonts w:ascii="Traditional Arabic" w:eastAsia="Times New Roman" w:hAnsi="Traditional Arabic" w:cs="Traditional Arabic"/>
          <w:kern w:val="36"/>
          <w:sz w:val="28"/>
          <w:szCs w:val="28"/>
          <w:highlight w:val="yellow"/>
        </w:rPr>
        <w:t>F = 57.606</w:t>
      </w:r>
      <w:r w:rsidRPr="00445A5B">
        <w:rPr>
          <w:rFonts w:ascii="Traditional Arabic" w:eastAsia="Times New Roman" w:hAnsi="Traditional Arabic" w:cs="Traditional Arabic"/>
          <w:kern w:val="36"/>
          <w:sz w:val="28"/>
          <w:szCs w:val="28"/>
          <w:highlight w:val="yellow"/>
          <w:rtl/>
        </w:rPr>
        <w:t>، كما بلغ معامل التحديد</w:t>
      </w:r>
      <w:r w:rsidRPr="00445A5B">
        <w:rPr>
          <w:rFonts w:ascii="Traditional Arabic" w:eastAsia="Times New Roman" w:hAnsi="Traditional Arabic" w:cs="Traditional Arabic"/>
          <w:kern w:val="36"/>
          <w:sz w:val="28"/>
          <w:szCs w:val="28"/>
          <w:highlight w:val="yellow"/>
        </w:rPr>
        <w:t xml:space="preserve"> (R² = 0.381) </w:t>
      </w:r>
      <w:r w:rsidRPr="00445A5B">
        <w:rPr>
          <w:rFonts w:ascii="Traditional Arabic" w:eastAsia="Times New Roman" w:hAnsi="Traditional Arabic" w:cs="Traditional Arabic"/>
          <w:kern w:val="36"/>
          <w:sz w:val="28"/>
          <w:szCs w:val="28"/>
          <w:highlight w:val="yellow"/>
          <w:rtl/>
        </w:rPr>
        <w:t>ومعامل التحديد المعدل</w:t>
      </w:r>
      <w:r w:rsidRPr="00445A5B">
        <w:rPr>
          <w:rFonts w:ascii="Traditional Arabic" w:eastAsia="Times New Roman" w:hAnsi="Traditional Arabic" w:cs="Traditional Arabic"/>
          <w:kern w:val="36"/>
          <w:sz w:val="28"/>
          <w:szCs w:val="28"/>
          <w:highlight w:val="yellow"/>
        </w:rPr>
        <w:t xml:space="preserve"> (Adjusted R² = 0.374)</w:t>
      </w:r>
      <w:r w:rsidRPr="00445A5B">
        <w:rPr>
          <w:rFonts w:ascii="Traditional Arabic" w:eastAsia="Times New Roman" w:hAnsi="Traditional Arabic" w:cs="Traditional Arabic"/>
          <w:kern w:val="36"/>
          <w:sz w:val="28"/>
          <w:szCs w:val="28"/>
          <w:highlight w:val="yellow"/>
          <w:rtl/>
        </w:rPr>
        <w:t xml:space="preserve">، مما يدل على أن أبعاد الاستدامة تفسر </w:t>
      </w:r>
      <w:r w:rsidRPr="00445A5B">
        <w:rPr>
          <w:rFonts w:ascii="Traditional Arabic" w:eastAsia="Times New Roman" w:hAnsi="Traditional Arabic" w:cs="Traditional Arabic"/>
          <w:kern w:val="36"/>
          <w:sz w:val="28"/>
          <w:szCs w:val="28"/>
          <w:highlight w:val="yellow"/>
        </w:rPr>
        <w:t xml:space="preserve">38.1% </w:t>
      </w:r>
      <w:r w:rsidRPr="00445A5B">
        <w:rPr>
          <w:rFonts w:ascii="Traditional Arabic" w:eastAsia="Times New Roman" w:hAnsi="Traditional Arabic" w:cs="Traditional Arabic"/>
          <w:kern w:val="36"/>
          <w:sz w:val="28"/>
          <w:szCs w:val="28"/>
          <w:highlight w:val="yellow"/>
          <w:rtl/>
        </w:rPr>
        <w:t xml:space="preserve">من التباين في رضا العملاء. ورغم أن هذه النسبة تعد مقبولة في الدراسات السلوكية والإدارية، فإنها تعد الأقل مقارنة ببقية مؤشرات الأداء، مما يشير إلى أن </w:t>
      </w:r>
      <w:r w:rsidRPr="00445A5B">
        <w:rPr>
          <w:rFonts w:ascii="Traditional Arabic" w:eastAsia="Times New Roman" w:hAnsi="Traditional Arabic" w:cs="Traditional Arabic"/>
          <w:kern w:val="36"/>
          <w:sz w:val="28"/>
          <w:szCs w:val="28"/>
          <w:highlight w:val="yellow"/>
        </w:rPr>
        <w:t xml:space="preserve">61.9% </w:t>
      </w:r>
      <w:r w:rsidRPr="00445A5B">
        <w:rPr>
          <w:rFonts w:ascii="Traditional Arabic" w:eastAsia="Times New Roman" w:hAnsi="Traditional Arabic" w:cs="Traditional Arabic"/>
          <w:kern w:val="36"/>
          <w:sz w:val="28"/>
          <w:szCs w:val="28"/>
          <w:highlight w:val="yellow"/>
          <w:rtl/>
        </w:rPr>
        <w:t>من التباين في رضا العملاء يعود إلى عوامل أخرى لم يشملها النموذج، مثل جودة الاتصال مع العميل، والاستجابة للشكاوى، وسمعة الشركة، وجودة الخدمة، وإدارة توقعات العملاء، والالتزام بالعقود، والعوامل الشخصية المرتبطة بتوقعات العملاء وتقييماتهم</w:t>
      </w:r>
      <w:r w:rsidRPr="00445A5B">
        <w:rPr>
          <w:rFonts w:ascii="Traditional Arabic" w:eastAsia="Times New Roman" w:hAnsi="Traditional Arabic" w:cs="Traditional Arabic"/>
          <w:kern w:val="36"/>
          <w:sz w:val="28"/>
          <w:szCs w:val="28"/>
          <w:highlight w:val="yellow"/>
        </w:rPr>
        <w:t>.</w:t>
      </w:r>
    </w:p>
    <w:p w14:paraId="7B3F2786"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وعلى مستوى المتغيرات المستقلة، جاءت الاستدامة الاجتماعية باعتبارها أقوى العوامل المؤثرة في رضا العملاء</w:t>
      </w:r>
      <w:r w:rsidRPr="00445A5B">
        <w:rPr>
          <w:rFonts w:ascii="Traditional Arabic" w:eastAsia="Times New Roman" w:hAnsi="Traditional Arabic" w:cs="Traditional Arabic"/>
          <w:kern w:val="36"/>
          <w:sz w:val="28"/>
          <w:szCs w:val="28"/>
          <w:highlight w:val="yellow"/>
        </w:rPr>
        <w:t xml:space="preserve"> </w:t>
      </w:r>
      <w:r w:rsidRPr="00445A5B">
        <w:rPr>
          <w:rFonts w:ascii="Traditional Arabic" w:eastAsia="Times New Roman" w:hAnsi="Traditional Arabic" w:cs="Traditional Arabic"/>
          <w:kern w:val="36"/>
          <w:sz w:val="28"/>
          <w:szCs w:val="28"/>
          <w:highlight w:val="yellow"/>
          <w:rtl/>
        </w:rPr>
        <w:t>(</w:t>
      </w:r>
      <w:r w:rsidRPr="00445A5B">
        <w:rPr>
          <w:rFonts w:ascii="Cambria" w:eastAsia="Times New Roman" w:hAnsi="Cambria" w:cs="Cambria"/>
          <w:kern w:val="36"/>
          <w:sz w:val="28"/>
          <w:szCs w:val="28"/>
          <w:highlight w:val="yellow"/>
        </w:rPr>
        <w:t>β</w:t>
      </w:r>
      <w:r w:rsidRPr="00445A5B">
        <w:rPr>
          <w:rFonts w:ascii="Traditional Arabic" w:eastAsia="Times New Roman" w:hAnsi="Traditional Arabic" w:cs="Traditional Arabic"/>
          <w:kern w:val="36"/>
          <w:sz w:val="28"/>
          <w:szCs w:val="28"/>
          <w:highlight w:val="yellow"/>
        </w:rPr>
        <w:t xml:space="preserve"> = 0.381</w:t>
      </w:r>
      <w:r w:rsidRPr="00445A5B">
        <w:rPr>
          <w:rFonts w:ascii="Traditional Arabic" w:eastAsia="Times New Roman" w:hAnsi="Traditional Arabic" w:cs="Traditional Arabic"/>
          <w:kern w:val="36"/>
          <w:sz w:val="28"/>
          <w:szCs w:val="28"/>
          <w:highlight w:val="yellow"/>
          <w:rtl/>
        </w:rPr>
        <w:t xml:space="preserve">، </w:t>
      </w:r>
      <w:r w:rsidRPr="00445A5B">
        <w:rPr>
          <w:rFonts w:ascii="Traditional Arabic" w:eastAsia="Times New Roman" w:hAnsi="Traditional Arabic" w:cs="Traditional Arabic"/>
          <w:kern w:val="36"/>
          <w:sz w:val="28"/>
          <w:szCs w:val="28"/>
          <w:highlight w:val="yellow"/>
        </w:rPr>
        <w:t>p &lt; 0.001</w:t>
      </w:r>
      <w:r w:rsidRPr="00445A5B">
        <w:rPr>
          <w:rFonts w:ascii="Traditional Arabic" w:eastAsia="Times New Roman" w:hAnsi="Traditional Arabic" w:cs="Traditional Arabic"/>
          <w:kern w:val="36"/>
          <w:sz w:val="28"/>
          <w:szCs w:val="28"/>
          <w:highlight w:val="yellow"/>
          <w:rtl/>
        </w:rPr>
        <w:t>) وهو ما يعكس أهمية الجوانب الإنسانية والتنظيمية، مثل التواصل الفعال، والشفافية، والاستجابة السريعة، والالتزام المهني، في تكوين الانطباع الإيجابي لدى العملاء وتعزيز مستوى رضاهم عن المشروع</w:t>
      </w:r>
      <w:r w:rsidRPr="00445A5B">
        <w:rPr>
          <w:rFonts w:ascii="Traditional Arabic" w:eastAsia="Times New Roman" w:hAnsi="Traditional Arabic" w:cs="Traditional Arabic"/>
          <w:kern w:val="36"/>
          <w:sz w:val="28"/>
          <w:szCs w:val="28"/>
          <w:highlight w:val="yellow"/>
        </w:rPr>
        <w:t>.</w:t>
      </w:r>
    </w:p>
    <w:p w14:paraId="40DC2C7A"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كما أظهرت الاستدامة الاقتصادية تأثيرًا إيجابيًا معنويًا</w:t>
      </w:r>
      <w:r w:rsidRPr="00445A5B">
        <w:rPr>
          <w:rFonts w:ascii="Traditional Arabic" w:eastAsia="Times New Roman" w:hAnsi="Traditional Arabic" w:cs="Traditional Arabic"/>
          <w:kern w:val="36"/>
          <w:sz w:val="28"/>
          <w:szCs w:val="28"/>
          <w:highlight w:val="yellow"/>
        </w:rPr>
        <w:t xml:space="preserve"> </w:t>
      </w:r>
      <w:r w:rsidRPr="00445A5B">
        <w:rPr>
          <w:rFonts w:ascii="Traditional Arabic" w:eastAsia="Times New Roman" w:hAnsi="Traditional Arabic" w:cs="Traditional Arabic"/>
          <w:kern w:val="36"/>
          <w:sz w:val="28"/>
          <w:szCs w:val="28"/>
          <w:highlight w:val="yellow"/>
          <w:rtl/>
        </w:rPr>
        <w:t>(</w:t>
      </w:r>
      <w:r w:rsidRPr="00445A5B">
        <w:rPr>
          <w:rFonts w:ascii="Cambria" w:eastAsia="Times New Roman" w:hAnsi="Cambria" w:cs="Cambria"/>
          <w:kern w:val="36"/>
          <w:sz w:val="28"/>
          <w:szCs w:val="28"/>
          <w:highlight w:val="yellow"/>
        </w:rPr>
        <w:t>β</w:t>
      </w:r>
      <w:r w:rsidRPr="00445A5B">
        <w:rPr>
          <w:rFonts w:ascii="Traditional Arabic" w:eastAsia="Times New Roman" w:hAnsi="Traditional Arabic" w:cs="Traditional Arabic"/>
          <w:kern w:val="36"/>
          <w:sz w:val="28"/>
          <w:szCs w:val="28"/>
          <w:highlight w:val="yellow"/>
        </w:rPr>
        <w:t xml:space="preserve"> = 0.239</w:t>
      </w:r>
      <w:r w:rsidRPr="00445A5B">
        <w:rPr>
          <w:rFonts w:ascii="Traditional Arabic" w:eastAsia="Times New Roman" w:hAnsi="Traditional Arabic" w:cs="Traditional Arabic"/>
          <w:kern w:val="36"/>
          <w:sz w:val="28"/>
          <w:szCs w:val="28"/>
          <w:highlight w:val="yellow"/>
          <w:rtl/>
        </w:rPr>
        <w:t xml:space="preserve">، </w:t>
      </w:r>
      <w:r w:rsidRPr="00445A5B">
        <w:rPr>
          <w:rFonts w:ascii="Traditional Arabic" w:eastAsia="Times New Roman" w:hAnsi="Traditional Arabic" w:cs="Traditional Arabic"/>
          <w:kern w:val="36"/>
          <w:sz w:val="28"/>
          <w:szCs w:val="28"/>
          <w:highlight w:val="yellow"/>
        </w:rPr>
        <w:t>p = 0.006</w:t>
      </w:r>
      <w:r w:rsidRPr="00445A5B">
        <w:rPr>
          <w:rFonts w:ascii="Traditional Arabic" w:eastAsia="Times New Roman" w:hAnsi="Traditional Arabic" w:cs="Traditional Arabic"/>
          <w:kern w:val="36"/>
          <w:sz w:val="28"/>
          <w:szCs w:val="28"/>
          <w:highlight w:val="yellow"/>
          <w:rtl/>
        </w:rPr>
        <w:t>) مما يشير إلى أن تحسين كفاءة استخدام الموارد، والالتزام بالتكلفة، وتقليل الهدر، يسهم في تعزيز ثقة العملاء وزيادة رضاهم عن نتائج المشروع، إلا أن تأثيره جاء أقل من تأثير البعد الاجتماعي</w:t>
      </w:r>
      <w:r w:rsidRPr="00445A5B">
        <w:rPr>
          <w:rFonts w:ascii="Traditional Arabic" w:eastAsia="Times New Roman" w:hAnsi="Traditional Arabic" w:cs="Traditional Arabic"/>
          <w:kern w:val="36"/>
          <w:sz w:val="28"/>
          <w:szCs w:val="28"/>
          <w:highlight w:val="yellow"/>
        </w:rPr>
        <w:t>.</w:t>
      </w:r>
    </w:p>
    <w:p w14:paraId="59A31444"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أما الاستدامة البيئية فلم يظهر لها تأثير معنوي على رضا العملاء</w:t>
      </w:r>
      <w:r w:rsidRPr="00445A5B">
        <w:rPr>
          <w:rFonts w:ascii="Traditional Arabic" w:eastAsia="Times New Roman" w:hAnsi="Traditional Arabic" w:cs="Traditional Arabic"/>
          <w:kern w:val="36"/>
          <w:sz w:val="28"/>
          <w:szCs w:val="28"/>
          <w:highlight w:val="yellow"/>
        </w:rPr>
        <w:t xml:space="preserve"> </w:t>
      </w:r>
      <w:r w:rsidRPr="00445A5B">
        <w:rPr>
          <w:rFonts w:ascii="Traditional Arabic" w:eastAsia="Times New Roman" w:hAnsi="Traditional Arabic" w:cs="Traditional Arabic"/>
          <w:kern w:val="36"/>
          <w:sz w:val="28"/>
          <w:szCs w:val="28"/>
          <w:highlight w:val="yellow"/>
          <w:rtl/>
        </w:rPr>
        <w:t>(</w:t>
      </w:r>
      <w:r w:rsidRPr="00445A5B">
        <w:rPr>
          <w:rFonts w:ascii="Cambria" w:eastAsia="Times New Roman" w:hAnsi="Cambria" w:cs="Cambria"/>
          <w:kern w:val="36"/>
          <w:sz w:val="28"/>
          <w:szCs w:val="28"/>
          <w:highlight w:val="yellow"/>
        </w:rPr>
        <w:t>β</w:t>
      </w:r>
      <w:r w:rsidRPr="00445A5B">
        <w:rPr>
          <w:rFonts w:ascii="Traditional Arabic" w:eastAsia="Times New Roman" w:hAnsi="Traditional Arabic" w:cs="Traditional Arabic"/>
          <w:kern w:val="36"/>
          <w:sz w:val="28"/>
          <w:szCs w:val="28"/>
          <w:highlight w:val="yellow"/>
        </w:rPr>
        <w:t xml:space="preserve"> = 0.039</w:t>
      </w:r>
      <w:r w:rsidRPr="00445A5B">
        <w:rPr>
          <w:rFonts w:ascii="Traditional Arabic" w:eastAsia="Times New Roman" w:hAnsi="Traditional Arabic" w:cs="Traditional Arabic"/>
          <w:kern w:val="36"/>
          <w:sz w:val="28"/>
          <w:szCs w:val="28"/>
          <w:highlight w:val="yellow"/>
          <w:rtl/>
        </w:rPr>
        <w:t xml:space="preserve">، </w:t>
      </w:r>
      <w:r w:rsidRPr="00445A5B">
        <w:rPr>
          <w:rFonts w:ascii="Traditional Arabic" w:eastAsia="Times New Roman" w:hAnsi="Traditional Arabic" w:cs="Traditional Arabic"/>
          <w:kern w:val="36"/>
          <w:sz w:val="28"/>
          <w:szCs w:val="28"/>
          <w:highlight w:val="yellow"/>
        </w:rPr>
        <w:t>p = 0.600</w:t>
      </w:r>
      <w:r w:rsidRPr="00445A5B">
        <w:rPr>
          <w:rFonts w:ascii="Traditional Arabic" w:eastAsia="Times New Roman" w:hAnsi="Traditional Arabic" w:cs="Traditional Arabic"/>
          <w:kern w:val="36"/>
          <w:sz w:val="28"/>
          <w:szCs w:val="28"/>
          <w:highlight w:val="yellow"/>
          <w:rtl/>
        </w:rPr>
        <w:t>) وهي نتيجة لا تعني عدم أهمية البعد البيئي، وإنما تشير إلى أن العملاء في قطاع الإنشاءات غالبًا ما يقيمون نجاح المشروع استنادًا إلى معايير أكثر ارتباطًا بالمخرجات المباشرة، مثل الجودة، والالتزام بالوقت، والتكلفة، بينما قد لا تكون الممارسات البيئية واضحة أو ملموسة بالنسبة لهم، أو لا تمثل معيارًا رئيسًا في تقييم المشروع، خاصة في البيئات التي لا يزال فيها الوعي بالاستدامة البيئية في طور النمو</w:t>
      </w:r>
      <w:r w:rsidRPr="00445A5B">
        <w:rPr>
          <w:rFonts w:ascii="Traditional Arabic" w:eastAsia="Times New Roman" w:hAnsi="Traditional Arabic" w:cs="Traditional Arabic"/>
          <w:kern w:val="36"/>
          <w:sz w:val="28"/>
          <w:szCs w:val="28"/>
          <w:highlight w:val="yellow"/>
        </w:rPr>
        <w:t>.</w:t>
      </w:r>
    </w:p>
    <w:p w14:paraId="604D6DA3" w14:textId="77777777" w:rsidR="000E666F" w:rsidRPr="00445A5B" w:rsidRDefault="000E666F" w:rsidP="000E666F">
      <w:pPr>
        <w:bidi/>
        <w:jc w:val="both"/>
        <w:rPr>
          <w:rFonts w:ascii="Traditional Arabic" w:eastAsia="Times New Roman" w:hAnsi="Traditional Arabic" w:cs="Traditional Arabic"/>
          <w:kern w:val="36"/>
          <w:sz w:val="28"/>
          <w:szCs w:val="28"/>
          <w:rtl/>
        </w:rPr>
      </w:pPr>
      <w:r w:rsidRPr="00445A5B">
        <w:rPr>
          <w:rFonts w:ascii="Traditional Arabic" w:eastAsia="Times New Roman" w:hAnsi="Traditional Arabic" w:cs="Traditional Arabic"/>
          <w:kern w:val="36"/>
          <w:sz w:val="28"/>
          <w:szCs w:val="28"/>
          <w:highlight w:val="yellow"/>
          <w:rtl/>
        </w:rPr>
        <w:t xml:space="preserve">وبمقارنة معاملات </w:t>
      </w:r>
      <w:r w:rsidRPr="00445A5B">
        <w:rPr>
          <w:rFonts w:ascii="Traditional Arabic" w:eastAsia="Times New Roman" w:hAnsi="Traditional Arabic" w:cs="Traditional Arabic"/>
          <w:kern w:val="36"/>
          <w:sz w:val="28"/>
          <w:szCs w:val="28"/>
          <w:highlight w:val="yellow"/>
        </w:rPr>
        <w:t xml:space="preserve">Beta </w:t>
      </w:r>
      <w:r w:rsidRPr="00445A5B">
        <w:rPr>
          <w:rFonts w:ascii="Traditional Arabic" w:eastAsia="Times New Roman" w:hAnsi="Traditional Arabic" w:cs="Traditional Arabic"/>
          <w:kern w:val="36"/>
          <w:sz w:val="28"/>
          <w:szCs w:val="28"/>
          <w:highlight w:val="yellow"/>
          <w:rtl/>
        </w:rPr>
        <w:t>يتضح أن ترتيب قوة تأثير أبعاد الاستدامة على رضا العملاء جاء على النحو الآتي</w:t>
      </w:r>
      <w:r w:rsidRPr="00445A5B">
        <w:rPr>
          <w:rFonts w:ascii="Traditional Arabic" w:eastAsia="Times New Roman" w:hAnsi="Traditional Arabic" w:cs="Traditional Arabic"/>
          <w:kern w:val="36"/>
          <w:sz w:val="28"/>
          <w:szCs w:val="28"/>
          <w:highlight w:val="yellow"/>
        </w:rPr>
        <w:t xml:space="preserve">: </w:t>
      </w:r>
      <w:r w:rsidRPr="00445A5B">
        <w:rPr>
          <w:rFonts w:ascii="Traditional Arabic" w:eastAsia="Times New Roman" w:hAnsi="Traditional Arabic" w:cs="Traditional Arabic"/>
          <w:kern w:val="36"/>
          <w:sz w:val="28"/>
          <w:szCs w:val="28"/>
          <w:highlight w:val="yellow"/>
          <w:rtl/>
        </w:rPr>
        <w:t>الاستدامة الاجتماعية أولًا، ثم الاستدامة الاقتصادية، بينما لم يظهر للاستدامة البيئية تأثير معنوي</w:t>
      </w:r>
      <w:r w:rsidRPr="00445A5B">
        <w:rPr>
          <w:rFonts w:ascii="Traditional Arabic" w:eastAsia="Times New Roman" w:hAnsi="Traditional Arabic" w:cs="Traditional Arabic"/>
          <w:kern w:val="36"/>
          <w:sz w:val="28"/>
          <w:szCs w:val="28"/>
          <w:highlight w:val="yellow"/>
        </w:rPr>
        <w:t xml:space="preserve">. </w:t>
      </w:r>
      <w:r w:rsidRPr="00445A5B">
        <w:rPr>
          <w:rFonts w:ascii="Traditional Arabic" w:eastAsia="Times New Roman" w:hAnsi="Traditional Arabic" w:cs="Traditional Arabic"/>
          <w:kern w:val="36"/>
          <w:sz w:val="28"/>
          <w:szCs w:val="28"/>
          <w:highlight w:val="yellow"/>
          <w:rtl/>
        </w:rPr>
        <w:t>وتشير هذه النتيجة إلى أن تعزيز رضا العملاء في المشاريع الإنشائية يعتمد بدرجة أكبر على تحسين العلاقات مع أصحاب المصلحة، وجودة التواصل، والالتزام المهني، مع أهمية استمرار تطوير الممارسات البيئية وزيادة إبراز قيمتها للعملاء بما يعزز إدراكهم لأثرها في نجاح المشروع</w:t>
      </w:r>
      <w:r w:rsidRPr="00445A5B">
        <w:rPr>
          <w:rFonts w:ascii="Traditional Arabic" w:eastAsia="Times New Roman" w:hAnsi="Traditional Arabic" w:cs="Traditional Arabic"/>
          <w:kern w:val="36"/>
          <w:sz w:val="28"/>
          <w:szCs w:val="28"/>
          <w:highlight w:val="yellow"/>
        </w:rPr>
        <w:t>.</w:t>
      </w:r>
      <w:r w:rsidRPr="00445A5B">
        <w:rPr>
          <w:rFonts w:ascii="Traditional Arabic" w:eastAsia="Times New Roman" w:hAnsi="Traditional Arabic" w:cs="Traditional Arabic"/>
          <w:kern w:val="36"/>
          <w:sz w:val="28"/>
          <w:szCs w:val="28"/>
          <w:rtl/>
        </w:rPr>
        <w:t xml:space="preserve"> </w:t>
      </w:r>
    </w:p>
    <w:p w14:paraId="1573E680" w14:textId="77777777" w:rsidR="000E666F" w:rsidRPr="00445A5B" w:rsidRDefault="000E666F" w:rsidP="000E666F">
      <w:pPr>
        <w:bidi/>
        <w:jc w:val="both"/>
        <w:rPr>
          <w:rFonts w:ascii="Traditional Arabic" w:eastAsia="Times New Roman" w:hAnsi="Traditional Arabic" w:cs="Traditional Arabic"/>
          <w:kern w:val="36"/>
          <w:sz w:val="28"/>
          <w:szCs w:val="28"/>
          <w:rtl/>
        </w:rPr>
      </w:pPr>
      <w:r w:rsidRPr="00445A5B">
        <w:rPr>
          <w:rFonts w:ascii="Traditional Arabic" w:eastAsia="Times New Roman" w:hAnsi="Traditional Arabic" w:cs="Traditional Arabic"/>
          <w:kern w:val="36"/>
          <w:sz w:val="28"/>
          <w:szCs w:val="28"/>
          <w:highlight w:val="yellow"/>
          <w:rtl/>
        </w:rPr>
        <w:t>المناقشة الأولية للنتائج</w:t>
      </w:r>
    </w:p>
    <w:p w14:paraId="1A5E7FA3" w14:textId="77777777" w:rsidR="000E666F" w:rsidRPr="00445A5B" w:rsidRDefault="000E666F" w:rsidP="000E666F">
      <w:pPr>
        <w:bidi/>
        <w:jc w:val="both"/>
        <w:rPr>
          <w:rFonts w:ascii="Traditional Arabic" w:eastAsia="Times New Roman" w:hAnsi="Traditional Arabic" w:cs="Traditional Arabic"/>
          <w:kern w:val="36"/>
          <w:sz w:val="28"/>
          <w:szCs w:val="28"/>
          <w:rtl/>
        </w:rPr>
      </w:pPr>
      <w:r w:rsidRPr="00445A5B">
        <w:rPr>
          <w:rFonts w:ascii="Traditional Arabic" w:eastAsia="Times New Roman" w:hAnsi="Traditional Arabic" w:cs="Traditional Arabic"/>
          <w:kern w:val="36"/>
          <w:sz w:val="28"/>
          <w:szCs w:val="28"/>
          <w:highlight w:val="yellow"/>
          <w:rtl/>
        </w:rPr>
        <w:t xml:space="preserve">تؤكد النتائج أن رضا العملاء يتأثر بصورة أكبر بالجوانب الاجتماعية والاقتصادية مقارنة بالجوانب البيئية، مما يعكس أن العملاء يقيمون نجاح المشروع بدرجة أساسية من خلال جودة التواصل، والالتزام المهني، وسرعة الاستجابة، وتحقيق متطلبات المشروع من حيث التكلفة والجودة والوقت. أما عدم ظهور تأثير معنوي للاستدامة البيئية، فقد يشير إلى أن كثيرًا من الممارسات البيئية لا تكون ظاهرة بصورة مباشرة للعملاء أو لا تدخل ضمن معاييرهم الرئيسة في تقييم المشروع، </w:t>
      </w:r>
      <w:r w:rsidRPr="00445A5B">
        <w:rPr>
          <w:rFonts w:ascii="Traditional Arabic" w:eastAsia="Times New Roman" w:hAnsi="Traditional Arabic" w:cs="Traditional Arabic"/>
          <w:kern w:val="36"/>
          <w:sz w:val="28"/>
          <w:szCs w:val="28"/>
          <w:highlight w:val="yellow"/>
          <w:rtl/>
        </w:rPr>
        <w:lastRenderedPageBreak/>
        <w:t>خاصة في البيئات التي لا يزال فيها الوعي بالاستدامة البيئية محدودًا نسبيًا. وتبرز هذه النتائج أهمية تطوير آليات التواصل مع العملاء وإبراز القيمة المضافة للممارسات المستدامة، بما يسهم في تعزيز إدراكهم لأثرها في نجاح المشروع ورفع مستوى رضاهم.</w:t>
      </w:r>
    </w:p>
    <w:p w14:paraId="36536077"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tl/>
        </w:rPr>
      </w:pPr>
      <w:r w:rsidRPr="00445A5B">
        <w:rPr>
          <w:rFonts w:ascii="Traditional Arabic" w:eastAsia="Times New Roman" w:hAnsi="Traditional Arabic" w:cs="Traditional Arabic"/>
          <w:kern w:val="36"/>
          <w:sz w:val="28"/>
          <w:szCs w:val="28"/>
          <w:highlight w:val="yellow"/>
          <w:rtl/>
        </w:rPr>
        <w:t>جدول (</w:t>
      </w:r>
      <w:r w:rsidRPr="00445A5B">
        <w:rPr>
          <w:rFonts w:ascii="Traditional Arabic" w:eastAsia="Times New Roman" w:hAnsi="Traditional Arabic" w:cs="Traditional Arabic"/>
          <w:kern w:val="36"/>
          <w:sz w:val="28"/>
          <w:szCs w:val="28"/>
          <w:highlight w:val="yellow"/>
        </w:rPr>
        <w:t>4.26</w:t>
      </w:r>
      <w:r w:rsidRPr="00445A5B">
        <w:rPr>
          <w:rFonts w:ascii="Traditional Arabic" w:eastAsia="Times New Roman" w:hAnsi="Traditional Arabic" w:cs="Traditional Arabic"/>
          <w:kern w:val="36"/>
          <w:sz w:val="28"/>
          <w:szCs w:val="28"/>
          <w:highlight w:val="yellow"/>
          <w:rtl/>
        </w:rPr>
        <w:t>) حجم الأثر لنماذج الانحدار</w:t>
      </w:r>
    </w:p>
    <w:tbl>
      <w:tblPr>
        <w:tblStyle w:val="TableGrid"/>
        <w:bidiVisual/>
        <w:tblW w:w="5000" w:type="pct"/>
        <w:jc w:val="center"/>
        <w:tblLook w:val="04A0" w:firstRow="1" w:lastRow="0" w:firstColumn="1" w:lastColumn="0" w:noHBand="0" w:noVBand="1"/>
      </w:tblPr>
      <w:tblGrid>
        <w:gridCol w:w="2179"/>
        <w:gridCol w:w="1717"/>
        <w:gridCol w:w="1438"/>
        <w:gridCol w:w="2962"/>
      </w:tblGrid>
      <w:tr w:rsidR="000E666F" w:rsidRPr="00445A5B" w14:paraId="5AD9F804" w14:textId="77777777" w:rsidTr="004F3CC9">
        <w:trPr>
          <w:jc w:val="center"/>
        </w:trPr>
        <w:tc>
          <w:tcPr>
            <w:tcW w:w="0" w:type="auto"/>
            <w:vAlign w:val="center"/>
            <w:hideMark/>
          </w:tcPr>
          <w:p w14:paraId="37A87D5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المتغير التابع</w:t>
            </w:r>
          </w:p>
        </w:tc>
        <w:tc>
          <w:tcPr>
            <w:tcW w:w="0" w:type="auto"/>
            <w:vAlign w:val="center"/>
            <w:hideMark/>
          </w:tcPr>
          <w:p w14:paraId="55DC35D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R²</w:t>
            </w:r>
          </w:p>
        </w:tc>
        <w:tc>
          <w:tcPr>
            <w:tcW w:w="0" w:type="auto"/>
            <w:vAlign w:val="center"/>
            <w:hideMark/>
          </w:tcPr>
          <w:p w14:paraId="7C0B23E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f²</w:t>
            </w:r>
          </w:p>
        </w:tc>
        <w:tc>
          <w:tcPr>
            <w:tcW w:w="0" w:type="auto"/>
            <w:vAlign w:val="center"/>
            <w:hideMark/>
          </w:tcPr>
          <w:p w14:paraId="526DD6E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تفسير حجم الأثر</w:t>
            </w:r>
          </w:p>
        </w:tc>
      </w:tr>
      <w:tr w:rsidR="000E666F" w:rsidRPr="00445A5B" w14:paraId="69D54096" w14:textId="77777777" w:rsidTr="004F3CC9">
        <w:trPr>
          <w:jc w:val="center"/>
        </w:trPr>
        <w:tc>
          <w:tcPr>
            <w:tcW w:w="0" w:type="auto"/>
            <w:vAlign w:val="center"/>
            <w:hideMark/>
          </w:tcPr>
          <w:p w14:paraId="770C8FB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أداء التكلفة</w:t>
            </w:r>
          </w:p>
        </w:tc>
        <w:tc>
          <w:tcPr>
            <w:tcW w:w="0" w:type="auto"/>
            <w:vAlign w:val="center"/>
            <w:hideMark/>
          </w:tcPr>
          <w:p w14:paraId="37F2264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0.627</w:t>
            </w:r>
          </w:p>
        </w:tc>
        <w:tc>
          <w:tcPr>
            <w:tcW w:w="0" w:type="auto"/>
            <w:vAlign w:val="center"/>
            <w:hideMark/>
          </w:tcPr>
          <w:p w14:paraId="5FB3B16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1.68</w:t>
            </w:r>
          </w:p>
        </w:tc>
        <w:tc>
          <w:tcPr>
            <w:tcW w:w="0" w:type="auto"/>
            <w:vAlign w:val="center"/>
            <w:hideMark/>
          </w:tcPr>
          <w:p w14:paraId="0BA8E7E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كبير جدًا</w:t>
            </w:r>
          </w:p>
        </w:tc>
      </w:tr>
      <w:tr w:rsidR="000E666F" w:rsidRPr="00445A5B" w14:paraId="7823AD44" w14:textId="77777777" w:rsidTr="004F3CC9">
        <w:trPr>
          <w:jc w:val="center"/>
        </w:trPr>
        <w:tc>
          <w:tcPr>
            <w:tcW w:w="0" w:type="auto"/>
            <w:vAlign w:val="center"/>
            <w:hideMark/>
          </w:tcPr>
          <w:p w14:paraId="351BB91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أداء الجودة</w:t>
            </w:r>
          </w:p>
        </w:tc>
        <w:tc>
          <w:tcPr>
            <w:tcW w:w="0" w:type="auto"/>
            <w:vAlign w:val="center"/>
            <w:hideMark/>
          </w:tcPr>
          <w:p w14:paraId="0399B30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0.573</w:t>
            </w:r>
          </w:p>
        </w:tc>
        <w:tc>
          <w:tcPr>
            <w:tcW w:w="0" w:type="auto"/>
            <w:vAlign w:val="center"/>
            <w:hideMark/>
          </w:tcPr>
          <w:p w14:paraId="3A76DCE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1.34</w:t>
            </w:r>
          </w:p>
        </w:tc>
        <w:tc>
          <w:tcPr>
            <w:tcW w:w="0" w:type="auto"/>
            <w:vAlign w:val="center"/>
            <w:hideMark/>
          </w:tcPr>
          <w:p w14:paraId="7D065CD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كبير جدًا</w:t>
            </w:r>
          </w:p>
        </w:tc>
      </w:tr>
      <w:tr w:rsidR="000E666F" w:rsidRPr="00445A5B" w14:paraId="602E668C" w14:textId="77777777" w:rsidTr="004F3CC9">
        <w:trPr>
          <w:jc w:val="center"/>
        </w:trPr>
        <w:tc>
          <w:tcPr>
            <w:tcW w:w="0" w:type="auto"/>
            <w:vAlign w:val="center"/>
            <w:hideMark/>
          </w:tcPr>
          <w:p w14:paraId="0BBB06E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أداء الوقت</w:t>
            </w:r>
          </w:p>
        </w:tc>
        <w:tc>
          <w:tcPr>
            <w:tcW w:w="0" w:type="auto"/>
            <w:vAlign w:val="center"/>
            <w:hideMark/>
          </w:tcPr>
          <w:p w14:paraId="2104E03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0.511</w:t>
            </w:r>
          </w:p>
        </w:tc>
        <w:tc>
          <w:tcPr>
            <w:tcW w:w="0" w:type="auto"/>
            <w:vAlign w:val="center"/>
            <w:hideMark/>
          </w:tcPr>
          <w:p w14:paraId="5319F04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1.05</w:t>
            </w:r>
          </w:p>
        </w:tc>
        <w:tc>
          <w:tcPr>
            <w:tcW w:w="0" w:type="auto"/>
            <w:vAlign w:val="center"/>
            <w:hideMark/>
          </w:tcPr>
          <w:p w14:paraId="25238EE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كبير جدًا</w:t>
            </w:r>
          </w:p>
        </w:tc>
      </w:tr>
      <w:tr w:rsidR="000E666F" w:rsidRPr="00445A5B" w14:paraId="53DDB185" w14:textId="77777777" w:rsidTr="004F3CC9">
        <w:trPr>
          <w:jc w:val="center"/>
        </w:trPr>
        <w:tc>
          <w:tcPr>
            <w:tcW w:w="0" w:type="auto"/>
            <w:vAlign w:val="center"/>
            <w:hideMark/>
          </w:tcPr>
          <w:p w14:paraId="6F20E3E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رضا العملاء</w:t>
            </w:r>
          </w:p>
        </w:tc>
        <w:tc>
          <w:tcPr>
            <w:tcW w:w="0" w:type="auto"/>
            <w:vAlign w:val="center"/>
            <w:hideMark/>
          </w:tcPr>
          <w:p w14:paraId="5BD3BCA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0.381</w:t>
            </w:r>
          </w:p>
        </w:tc>
        <w:tc>
          <w:tcPr>
            <w:tcW w:w="0" w:type="auto"/>
            <w:vAlign w:val="center"/>
            <w:hideMark/>
          </w:tcPr>
          <w:p w14:paraId="64F850D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0.62</w:t>
            </w:r>
          </w:p>
        </w:tc>
        <w:tc>
          <w:tcPr>
            <w:tcW w:w="0" w:type="auto"/>
            <w:vAlign w:val="center"/>
            <w:hideMark/>
          </w:tcPr>
          <w:p w14:paraId="25414415"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كبير</w:t>
            </w:r>
          </w:p>
        </w:tc>
      </w:tr>
    </w:tbl>
    <w:p w14:paraId="7AF017A0"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tl/>
        </w:rPr>
      </w:pPr>
      <w:r w:rsidRPr="00445A5B">
        <w:rPr>
          <w:rFonts w:ascii="Traditional Arabic" w:eastAsia="Times New Roman" w:hAnsi="Traditional Arabic" w:cs="Traditional Arabic"/>
          <w:kern w:val="36"/>
          <w:sz w:val="28"/>
          <w:szCs w:val="28"/>
          <w:highlight w:val="yellow"/>
          <w:rtl/>
        </w:rPr>
        <w:t>تشير قيم حجم الأثر (</w:t>
      </w:r>
      <w:r w:rsidRPr="00445A5B">
        <w:rPr>
          <w:rFonts w:ascii="Traditional Arabic" w:eastAsia="Times New Roman" w:hAnsi="Traditional Arabic" w:cs="Traditional Arabic"/>
          <w:kern w:val="36"/>
          <w:sz w:val="28"/>
          <w:szCs w:val="28"/>
          <w:highlight w:val="yellow"/>
        </w:rPr>
        <w:t>Cohen's f²</w:t>
      </w:r>
      <w:r w:rsidRPr="00445A5B">
        <w:rPr>
          <w:rFonts w:ascii="Traditional Arabic" w:eastAsia="Times New Roman" w:hAnsi="Traditional Arabic" w:cs="Traditional Arabic"/>
          <w:kern w:val="36"/>
          <w:sz w:val="28"/>
          <w:szCs w:val="28"/>
          <w:highlight w:val="yellow"/>
          <w:rtl/>
        </w:rPr>
        <w:t>)</w:t>
      </w:r>
      <w:r w:rsidRPr="00445A5B">
        <w:rPr>
          <w:rFonts w:ascii="Traditional Arabic" w:eastAsia="Times New Roman" w:hAnsi="Traditional Arabic" w:cs="Traditional Arabic"/>
          <w:kern w:val="36"/>
          <w:sz w:val="28"/>
          <w:szCs w:val="28"/>
          <w:highlight w:val="yellow"/>
        </w:rPr>
        <w:t xml:space="preserve"> </w:t>
      </w:r>
      <w:r w:rsidRPr="00445A5B">
        <w:rPr>
          <w:rFonts w:ascii="Traditional Arabic" w:eastAsia="Times New Roman" w:hAnsi="Traditional Arabic" w:cs="Traditional Arabic"/>
          <w:kern w:val="36"/>
          <w:sz w:val="28"/>
          <w:szCs w:val="28"/>
          <w:highlight w:val="yellow"/>
          <w:rtl/>
        </w:rPr>
        <w:t xml:space="preserve">إلى أن جميع نماذج الانحدار تمتلك حجم أثر كبير وفقاً لمعايير </w:t>
      </w:r>
      <w:r w:rsidRPr="00445A5B">
        <w:rPr>
          <w:rFonts w:ascii="Traditional Arabic" w:eastAsia="Times New Roman" w:hAnsi="Traditional Arabic" w:cs="Traditional Arabic"/>
          <w:kern w:val="36"/>
          <w:sz w:val="28"/>
          <w:szCs w:val="28"/>
          <w:highlight w:val="yellow"/>
        </w:rPr>
        <w:t>Cohen (1988)</w:t>
      </w:r>
      <w:r w:rsidRPr="00445A5B">
        <w:rPr>
          <w:rFonts w:ascii="Traditional Arabic" w:eastAsia="Times New Roman" w:hAnsi="Traditional Arabic" w:cs="Traditional Arabic"/>
          <w:kern w:val="36"/>
          <w:sz w:val="28"/>
          <w:szCs w:val="28"/>
          <w:highlight w:val="yellow"/>
          <w:rtl/>
        </w:rPr>
        <w:t>، إذ تجاوزت جميع القيم الحد الذي يشير إلى الحجم الكبير (0.35). ويعني ذلك أن أبعاد الاستدامة لا تحقق دلالة إحصائية فحسب، وإنما تمارس تأثيراً عملياً قوياً في تفسير أداء المشاريع الإنشائية، مما يعزز الأهمية التطبيقية لنتائج الدراسة.</w:t>
      </w:r>
    </w:p>
    <w:p w14:paraId="67C74CEF"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جدول (</w:t>
      </w:r>
      <w:r w:rsidRPr="00445A5B">
        <w:rPr>
          <w:rFonts w:ascii="Traditional Arabic" w:eastAsia="Times New Roman" w:hAnsi="Traditional Arabic" w:cs="Traditional Arabic"/>
          <w:sz w:val="28"/>
          <w:szCs w:val="28"/>
          <w:highlight w:val="yellow"/>
        </w:rPr>
        <w:t>4.27</w:t>
      </w:r>
      <w:r w:rsidRPr="00445A5B">
        <w:rPr>
          <w:rFonts w:ascii="Traditional Arabic" w:eastAsia="Times New Roman" w:hAnsi="Traditional Arabic" w:cs="Traditional Arabic"/>
          <w:sz w:val="28"/>
          <w:szCs w:val="28"/>
          <w:highlight w:val="yellow"/>
          <w:rtl/>
        </w:rPr>
        <w:t>) نتائج التأثيرات المباشرة</w:t>
      </w:r>
      <w:r w:rsidRPr="00445A5B">
        <w:rPr>
          <w:rFonts w:ascii="Traditional Arabic" w:eastAsia="Times New Roman" w:hAnsi="Traditional Arabic" w:cs="Traditional Arabic"/>
          <w:sz w:val="28"/>
          <w:szCs w:val="28"/>
          <w:highlight w:val="yellow"/>
        </w:rPr>
        <w:t xml:space="preserve"> (Direct Effects)</w:t>
      </w:r>
    </w:p>
    <w:tbl>
      <w:tblPr>
        <w:tblStyle w:val="TableGrid"/>
        <w:bidiVisual/>
        <w:tblW w:w="5000" w:type="pct"/>
        <w:jc w:val="center"/>
        <w:tblLook w:val="04A0" w:firstRow="1" w:lastRow="0" w:firstColumn="1" w:lastColumn="0" w:noHBand="0" w:noVBand="1"/>
      </w:tblPr>
      <w:tblGrid>
        <w:gridCol w:w="1987"/>
        <w:gridCol w:w="1172"/>
        <w:gridCol w:w="1255"/>
        <w:gridCol w:w="843"/>
        <w:gridCol w:w="1138"/>
        <w:gridCol w:w="1213"/>
        <w:gridCol w:w="688"/>
      </w:tblGrid>
      <w:tr w:rsidR="000E666F" w:rsidRPr="00445A5B" w14:paraId="5B057D6E" w14:textId="77777777" w:rsidTr="004F3CC9">
        <w:trPr>
          <w:jc w:val="center"/>
        </w:trPr>
        <w:tc>
          <w:tcPr>
            <w:tcW w:w="0" w:type="auto"/>
            <w:vAlign w:val="center"/>
            <w:hideMark/>
          </w:tcPr>
          <w:p w14:paraId="63DF57B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المسار</w:t>
            </w:r>
          </w:p>
        </w:tc>
        <w:tc>
          <w:tcPr>
            <w:tcW w:w="0" w:type="auto"/>
            <w:vAlign w:val="center"/>
            <w:hideMark/>
          </w:tcPr>
          <w:p w14:paraId="0A361BF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معامل المسار</w:t>
            </w:r>
            <w:r w:rsidRPr="00445A5B">
              <w:rPr>
                <w:rFonts w:ascii="Traditional Arabic" w:eastAsia="Times New Roman" w:hAnsi="Traditional Arabic" w:cs="Traditional Arabic"/>
                <w:sz w:val="28"/>
                <w:szCs w:val="28"/>
                <w:highlight w:val="yellow"/>
              </w:rPr>
              <w:t xml:space="preserve"> (B)</w:t>
            </w:r>
          </w:p>
        </w:tc>
        <w:tc>
          <w:tcPr>
            <w:tcW w:w="0" w:type="auto"/>
            <w:vAlign w:val="center"/>
            <w:hideMark/>
          </w:tcPr>
          <w:p w14:paraId="58DAD96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الخطأ المعياري</w:t>
            </w:r>
            <w:r w:rsidRPr="00445A5B">
              <w:rPr>
                <w:rFonts w:ascii="Traditional Arabic" w:eastAsia="Times New Roman" w:hAnsi="Traditional Arabic" w:cs="Traditional Arabic"/>
                <w:sz w:val="28"/>
                <w:szCs w:val="28"/>
                <w:highlight w:val="yellow"/>
              </w:rPr>
              <w:t xml:space="preserve"> (SE)</w:t>
            </w:r>
          </w:p>
        </w:tc>
        <w:tc>
          <w:tcPr>
            <w:tcW w:w="0" w:type="auto"/>
            <w:vAlign w:val="center"/>
            <w:hideMark/>
          </w:tcPr>
          <w:p w14:paraId="5ED3DB26"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Beta</w:t>
            </w:r>
          </w:p>
        </w:tc>
        <w:tc>
          <w:tcPr>
            <w:tcW w:w="0" w:type="auto"/>
            <w:vAlign w:val="center"/>
            <w:hideMark/>
          </w:tcPr>
          <w:p w14:paraId="008B359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قيمة</w:t>
            </w:r>
            <w:r w:rsidRPr="00445A5B">
              <w:rPr>
                <w:rFonts w:ascii="Traditional Arabic" w:eastAsia="Times New Roman" w:hAnsi="Traditional Arabic" w:cs="Traditional Arabic"/>
                <w:sz w:val="28"/>
                <w:szCs w:val="28"/>
                <w:highlight w:val="yellow"/>
              </w:rPr>
              <w:t xml:space="preserve"> CR / t</w:t>
            </w:r>
          </w:p>
        </w:tc>
        <w:tc>
          <w:tcPr>
            <w:tcW w:w="0" w:type="auto"/>
            <w:vAlign w:val="center"/>
            <w:hideMark/>
          </w:tcPr>
          <w:p w14:paraId="7794CF0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مستوى الدلالة</w:t>
            </w:r>
            <w:r w:rsidRPr="00445A5B">
              <w:rPr>
                <w:rFonts w:ascii="Traditional Arabic" w:eastAsia="Times New Roman" w:hAnsi="Traditional Arabic" w:cs="Traditional Arabic"/>
                <w:sz w:val="28"/>
                <w:szCs w:val="28"/>
                <w:highlight w:val="yellow"/>
              </w:rPr>
              <w:t xml:space="preserve"> (p)</w:t>
            </w:r>
          </w:p>
        </w:tc>
        <w:tc>
          <w:tcPr>
            <w:tcW w:w="0" w:type="auto"/>
            <w:vAlign w:val="center"/>
            <w:hideMark/>
          </w:tcPr>
          <w:p w14:paraId="22D8321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النتيجة</w:t>
            </w:r>
          </w:p>
        </w:tc>
      </w:tr>
      <w:tr w:rsidR="000E666F" w:rsidRPr="00445A5B" w14:paraId="19D95BFD" w14:textId="77777777" w:rsidTr="004F3CC9">
        <w:trPr>
          <w:jc w:val="center"/>
        </w:trPr>
        <w:tc>
          <w:tcPr>
            <w:tcW w:w="0" w:type="auto"/>
            <w:vAlign w:val="center"/>
            <w:hideMark/>
          </w:tcPr>
          <w:p w14:paraId="7CA9DB3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الاستدامة </w:t>
            </w:r>
            <w:r w:rsidRPr="00445A5B">
              <w:rPr>
                <w:rFonts w:ascii="Times New Roman" w:eastAsia="Times New Roman" w:hAnsi="Times New Roman" w:cs="Times New Roman" w:hint="cs"/>
                <w:sz w:val="28"/>
                <w:szCs w:val="28"/>
                <w:highlight w:val="yellow"/>
                <w:rtl/>
              </w:rPr>
              <w:t>→</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البيئة</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الداعمة</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للاستدامة</w:t>
            </w:r>
          </w:p>
        </w:tc>
        <w:tc>
          <w:tcPr>
            <w:tcW w:w="0" w:type="auto"/>
            <w:vAlign w:val="center"/>
            <w:hideMark/>
          </w:tcPr>
          <w:p w14:paraId="1B4AFF2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0.631</w:t>
            </w:r>
          </w:p>
        </w:tc>
        <w:tc>
          <w:tcPr>
            <w:tcW w:w="0" w:type="auto"/>
            <w:vAlign w:val="center"/>
            <w:hideMark/>
          </w:tcPr>
          <w:p w14:paraId="272A797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0.051</w:t>
            </w:r>
          </w:p>
        </w:tc>
        <w:tc>
          <w:tcPr>
            <w:tcW w:w="0" w:type="auto"/>
            <w:vAlign w:val="center"/>
            <w:hideMark/>
          </w:tcPr>
          <w:p w14:paraId="2382BA5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0.684</w:t>
            </w:r>
          </w:p>
        </w:tc>
        <w:tc>
          <w:tcPr>
            <w:tcW w:w="0" w:type="auto"/>
            <w:vAlign w:val="center"/>
            <w:hideMark/>
          </w:tcPr>
          <w:p w14:paraId="6932D1CD"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12.373</w:t>
            </w:r>
          </w:p>
        </w:tc>
        <w:tc>
          <w:tcPr>
            <w:tcW w:w="0" w:type="auto"/>
            <w:vAlign w:val="center"/>
            <w:hideMark/>
          </w:tcPr>
          <w:p w14:paraId="5DA7828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0.000</w:t>
            </w:r>
          </w:p>
        </w:tc>
        <w:tc>
          <w:tcPr>
            <w:tcW w:w="0" w:type="auto"/>
            <w:vAlign w:val="center"/>
            <w:hideMark/>
          </w:tcPr>
          <w:p w14:paraId="7E478C2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دال</w:t>
            </w:r>
          </w:p>
        </w:tc>
      </w:tr>
      <w:tr w:rsidR="000E666F" w:rsidRPr="00445A5B" w14:paraId="0F95CFCF" w14:textId="77777777" w:rsidTr="004F3CC9">
        <w:trPr>
          <w:jc w:val="center"/>
        </w:trPr>
        <w:tc>
          <w:tcPr>
            <w:tcW w:w="0" w:type="auto"/>
            <w:vAlign w:val="center"/>
            <w:hideMark/>
          </w:tcPr>
          <w:p w14:paraId="42AAB0E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الاستدامة </w:t>
            </w:r>
            <w:r w:rsidRPr="00445A5B">
              <w:rPr>
                <w:rFonts w:ascii="Times New Roman" w:eastAsia="Times New Roman" w:hAnsi="Times New Roman" w:cs="Times New Roman" w:hint="cs"/>
                <w:sz w:val="28"/>
                <w:szCs w:val="28"/>
                <w:highlight w:val="yellow"/>
                <w:rtl/>
              </w:rPr>
              <w:t>→</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أداء</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المشروع</w:t>
            </w:r>
          </w:p>
        </w:tc>
        <w:tc>
          <w:tcPr>
            <w:tcW w:w="0" w:type="auto"/>
            <w:vAlign w:val="center"/>
            <w:hideMark/>
          </w:tcPr>
          <w:p w14:paraId="29509BE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0.487</w:t>
            </w:r>
          </w:p>
        </w:tc>
        <w:tc>
          <w:tcPr>
            <w:tcW w:w="0" w:type="auto"/>
            <w:vAlign w:val="center"/>
            <w:hideMark/>
          </w:tcPr>
          <w:p w14:paraId="1478CF0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0.058</w:t>
            </w:r>
          </w:p>
        </w:tc>
        <w:tc>
          <w:tcPr>
            <w:tcW w:w="0" w:type="auto"/>
            <w:vAlign w:val="center"/>
            <w:hideMark/>
          </w:tcPr>
          <w:p w14:paraId="79ABBDB2"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0.463</w:t>
            </w:r>
          </w:p>
        </w:tc>
        <w:tc>
          <w:tcPr>
            <w:tcW w:w="0" w:type="auto"/>
            <w:vAlign w:val="center"/>
            <w:hideMark/>
          </w:tcPr>
          <w:p w14:paraId="4C995AA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8.397</w:t>
            </w:r>
          </w:p>
        </w:tc>
        <w:tc>
          <w:tcPr>
            <w:tcW w:w="0" w:type="auto"/>
            <w:vAlign w:val="center"/>
            <w:hideMark/>
          </w:tcPr>
          <w:p w14:paraId="3237EF1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0.000</w:t>
            </w:r>
          </w:p>
        </w:tc>
        <w:tc>
          <w:tcPr>
            <w:tcW w:w="0" w:type="auto"/>
            <w:vAlign w:val="center"/>
            <w:hideMark/>
          </w:tcPr>
          <w:p w14:paraId="26DD370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دال</w:t>
            </w:r>
          </w:p>
        </w:tc>
      </w:tr>
      <w:tr w:rsidR="000E666F" w:rsidRPr="00445A5B" w14:paraId="5ABA3B34" w14:textId="77777777" w:rsidTr="004F3CC9">
        <w:trPr>
          <w:jc w:val="center"/>
        </w:trPr>
        <w:tc>
          <w:tcPr>
            <w:tcW w:w="0" w:type="auto"/>
            <w:vAlign w:val="center"/>
            <w:hideMark/>
          </w:tcPr>
          <w:p w14:paraId="0151E2C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البيئة الداعمة للاستدامة </w:t>
            </w:r>
            <w:r w:rsidRPr="00445A5B">
              <w:rPr>
                <w:rFonts w:ascii="Times New Roman" w:eastAsia="Times New Roman" w:hAnsi="Times New Roman" w:cs="Times New Roman" w:hint="cs"/>
                <w:sz w:val="28"/>
                <w:szCs w:val="28"/>
                <w:highlight w:val="yellow"/>
                <w:rtl/>
              </w:rPr>
              <w:t>→</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أداء</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المشروع</w:t>
            </w:r>
          </w:p>
        </w:tc>
        <w:tc>
          <w:tcPr>
            <w:tcW w:w="0" w:type="auto"/>
            <w:vAlign w:val="center"/>
            <w:hideMark/>
          </w:tcPr>
          <w:p w14:paraId="3D750CE9"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0.354</w:t>
            </w:r>
          </w:p>
        </w:tc>
        <w:tc>
          <w:tcPr>
            <w:tcW w:w="0" w:type="auto"/>
            <w:vAlign w:val="center"/>
            <w:hideMark/>
          </w:tcPr>
          <w:p w14:paraId="4E7D17B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0.047</w:t>
            </w:r>
          </w:p>
        </w:tc>
        <w:tc>
          <w:tcPr>
            <w:tcW w:w="0" w:type="auto"/>
            <w:vAlign w:val="center"/>
            <w:hideMark/>
          </w:tcPr>
          <w:p w14:paraId="3003C15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0.389</w:t>
            </w:r>
          </w:p>
        </w:tc>
        <w:tc>
          <w:tcPr>
            <w:tcW w:w="0" w:type="auto"/>
            <w:vAlign w:val="center"/>
            <w:hideMark/>
          </w:tcPr>
          <w:p w14:paraId="1B1C013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7.532</w:t>
            </w:r>
          </w:p>
        </w:tc>
        <w:tc>
          <w:tcPr>
            <w:tcW w:w="0" w:type="auto"/>
            <w:vAlign w:val="center"/>
            <w:hideMark/>
          </w:tcPr>
          <w:p w14:paraId="1C685F93"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0.000</w:t>
            </w:r>
          </w:p>
        </w:tc>
        <w:tc>
          <w:tcPr>
            <w:tcW w:w="0" w:type="auto"/>
            <w:vAlign w:val="center"/>
            <w:hideMark/>
          </w:tcPr>
          <w:p w14:paraId="6B2738C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دال</w:t>
            </w:r>
          </w:p>
        </w:tc>
      </w:tr>
    </w:tbl>
    <w:p w14:paraId="357E1F1F"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يبين جدول (</w:t>
      </w:r>
      <w:r w:rsidRPr="00445A5B">
        <w:rPr>
          <w:rFonts w:ascii="Traditional Arabic" w:eastAsia="Times New Roman" w:hAnsi="Traditional Arabic" w:cs="Traditional Arabic"/>
          <w:sz w:val="28"/>
          <w:szCs w:val="28"/>
          <w:highlight w:val="yellow"/>
        </w:rPr>
        <w:t>4.27</w:t>
      </w:r>
      <w:r w:rsidRPr="00445A5B">
        <w:rPr>
          <w:rFonts w:ascii="Traditional Arabic" w:eastAsia="Times New Roman" w:hAnsi="Traditional Arabic" w:cs="Traditional Arabic"/>
          <w:sz w:val="28"/>
          <w:szCs w:val="28"/>
          <w:highlight w:val="yellow"/>
          <w:rtl/>
        </w:rPr>
        <w:t>) أن جميع التأثيرات المباشرة جاءت موجبة ودالة إحصائياً عند مستوى</w:t>
      </w:r>
      <w:r w:rsidRPr="00445A5B">
        <w:rPr>
          <w:rFonts w:ascii="Traditional Arabic" w:eastAsia="Times New Roman" w:hAnsi="Traditional Arabic" w:cs="Traditional Arabic"/>
          <w:sz w:val="28"/>
          <w:szCs w:val="28"/>
          <w:highlight w:val="yellow"/>
        </w:rPr>
        <w:t xml:space="preserve"> (</w:t>
      </w:r>
      <w:r w:rsidRPr="00445A5B">
        <w:rPr>
          <w:rFonts w:ascii="Cambria" w:eastAsia="Times New Roman" w:hAnsi="Cambria" w:cs="Cambria"/>
          <w:sz w:val="28"/>
          <w:szCs w:val="28"/>
          <w:highlight w:val="yellow"/>
        </w:rPr>
        <w:t>α</w:t>
      </w:r>
      <w:r w:rsidRPr="00445A5B">
        <w:rPr>
          <w:rFonts w:ascii="Traditional Arabic" w:eastAsia="Times New Roman" w:hAnsi="Traditional Arabic" w:cs="Traditional Arabic"/>
          <w:sz w:val="28"/>
          <w:szCs w:val="28"/>
          <w:highlight w:val="yellow"/>
        </w:rPr>
        <w:t xml:space="preserve"> </w:t>
      </w:r>
      <w:r w:rsidRPr="00445A5B">
        <w:rPr>
          <w:rFonts w:ascii="Cambria Math" w:eastAsia="Times New Roman" w:hAnsi="Cambria Math" w:cs="Cambria Math"/>
          <w:sz w:val="28"/>
          <w:szCs w:val="28"/>
          <w:highlight w:val="yellow"/>
        </w:rPr>
        <w:t>≤</w:t>
      </w:r>
      <w:r w:rsidRPr="00445A5B">
        <w:rPr>
          <w:rFonts w:ascii="Traditional Arabic" w:eastAsia="Times New Roman" w:hAnsi="Traditional Arabic" w:cs="Traditional Arabic"/>
          <w:sz w:val="28"/>
          <w:szCs w:val="28"/>
          <w:highlight w:val="yellow"/>
        </w:rPr>
        <w:t xml:space="preserve"> 0.05)</w:t>
      </w:r>
      <w:r w:rsidRPr="00445A5B">
        <w:rPr>
          <w:rFonts w:ascii="Traditional Arabic" w:eastAsia="Times New Roman" w:hAnsi="Traditional Arabic" w:cs="Traditional Arabic"/>
          <w:sz w:val="28"/>
          <w:szCs w:val="28"/>
          <w:highlight w:val="yellow"/>
          <w:rtl/>
        </w:rPr>
        <w:t>، حيث ظهر تأثير معنوي للاستدامة على البيئة الداعمة للاستدامة، كما ظهر تأثير مباشر للاستدامة على أداء المشروع، بالإضافة إلى وجود تأثير مباشر موجب للبيئة الداعمة للاستدامة على أداء المشروع. وتشير هذه النتائج إلى توافر الشروط الأولية اللازمة لاختبار دور البيئة الداعمة للاستدامة كمتغير وسيط في العلاقة بين الاستدامة وأداء المشروع</w:t>
      </w:r>
      <w:r w:rsidRPr="00445A5B">
        <w:rPr>
          <w:rFonts w:ascii="Traditional Arabic" w:eastAsia="Times New Roman" w:hAnsi="Traditional Arabic" w:cs="Traditional Arabic"/>
          <w:sz w:val="28"/>
          <w:szCs w:val="28"/>
          <w:highlight w:val="yellow"/>
        </w:rPr>
        <w:t>.</w:t>
      </w:r>
    </w:p>
    <w:p w14:paraId="427CAAF3"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lastRenderedPageBreak/>
        <w:t>المناقشة الأولية للنتائج</w:t>
      </w:r>
    </w:p>
    <w:p w14:paraId="43B6F914"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توضح النتائج أن تطبيق ممارسات الاستدامة يسهم بصورة مباشرة في تعزيز البيئة الداعمة للاستدامة وتحسين أداء المشاريع، كما أن البيئة الداعمة تمثل عاملًا مؤثرًا في رفع كفاءة الأداء. ويشير ذلك إلى أن نجاح تطبيق الاستدامة لا يعتمد على المبادرات الفردية فقط، وإنما يتطلب وجود سياسات تنظيمية واضحة، ودعم إداري، وتشريعات مناسبة، وثقافة مؤسسية تشجع على تبني الممارسات المستدامة. ومن الناحية التطبيقية، تؤكد النتائج ضرورة أن تتبنى الشركات نهجًا مؤسسيًا متكاملًا يربط بين الاستدامة والحوكمة والإدارة الاستراتيجية للمشروعات.</w:t>
      </w:r>
    </w:p>
    <w:p w14:paraId="5D7E5512"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جدول (</w:t>
      </w:r>
      <w:r w:rsidRPr="00445A5B">
        <w:rPr>
          <w:rFonts w:ascii="Traditional Arabic" w:eastAsia="Times New Roman" w:hAnsi="Traditional Arabic" w:cs="Traditional Arabic"/>
          <w:sz w:val="28"/>
          <w:szCs w:val="28"/>
          <w:highlight w:val="yellow"/>
        </w:rPr>
        <w:t>4.28</w:t>
      </w:r>
      <w:r w:rsidRPr="00445A5B">
        <w:rPr>
          <w:rFonts w:ascii="Traditional Arabic" w:eastAsia="Times New Roman" w:hAnsi="Traditional Arabic" w:cs="Traditional Arabic"/>
          <w:sz w:val="28"/>
          <w:szCs w:val="28"/>
          <w:highlight w:val="yellow"/>
          <w:rtl/>
        </w:rPr>
        <w:t>) نتائج التأثيرات غير المباشرة باستخدام</w:t>
      </w:r>
      <w:r w:rsidRPr="00445A5B">
        <w:rPr>
          <w:rFonts w:ascii="Traditional Arabic" w:eastAsia="Times New Roman" w:hAnsi="Traditional Arabic" w:cs="Traditional Arabic"/>
          <w:sz w:val="28"/>
          <w:szCs w:val="28"/>
          <w:highlight w:val="yellow"/>
        </w:rPr>
        <w:t xml:space="preserve"> Bootstrap (Indirect Effects)</w:t>
      </w:r>
    </w:p>
    <w:tbl>
      <w:tblPr>
        <w:tblStyle w:val="TableGrid"/>
        <w:bidiVisual/>
        <w:tblW w:w="5000" w:type="pct"/>
        <w:jc w:val="center"/>
        <w:tblLook w:val="04A0" w:firstRow="1" w:lastRow="0" w:firstColumn="1" w:lastColumn="0" w:noHBand="0" w:noVBand="1"/>
      </w:tblPr>
      <w:tblGrid>
        <w:gridCol w:w="1724"/>
        <w:gridCol w:w="883"/>
        <w:gridCol w:w="1399"/>
        <w:gridCol w:w="1278"/>
        <w:gridCol w:w="1350"/>
        <w:gridCol w:w="974"/>
        <w:gridCol w:w="688"/>
      </w:tblGrid>
      <w:tr w:rsidR="000E666F" w:rsidRPr="00445A5B" w14:paraId="1288E659" w14:textId="77777777" w:rsidTr="004F3CC9">
        <w:trPr>
          <w:jc w:val="center"/>
        </w:trPr>
        <w:tc>
          <w:tcPr>
            <w:tcW w:w="0" w:type="auto"/>
            <w:vAlign w:val="center"/>
            <w:hideMark/>
          </w:tcPr>
          <w:p w14:paraId="5292877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المسار غير المباشر</w:t>
            </w:r>
          </w:p>
        </w:tc>
        <w:tc>
          <w:tcPr>
            <w:tcW w:w="0" w:type="auto"/>
            <w:vAlign w:val="center"/>
            <w:hideMark/>
          </w:tcPr>
          <w:p w14:paraId="5A6346E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قيمة التأثير</w:t>
            </w:r>
          </w:p>
        </w:tc>
        <w:tc>
          <w:tcPr>
            <w:tcW w:w="0" w:type="auto"/>
            <w:vAlign w:val="center"/>
            <w:hideMark/>
          </w:tcPr>
          <w:p w14:paraId="2DA3FCF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Bootstrap SE</w:t>
            </w:r>
          </w:p>
        </w:tc>
        <w:tc>
          <w:tcPr>
            <w:tcW w:w="0" w:type="auto"/>
            <w:vAlign w:val="center"/>
            <w:hideMark/>
          </w:tcPr>
          <w:p w14:paraId="072D2D1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الحد الأدنى 95</w:t>
            </w:r>
            <w:r w:rsidRPr="00445A5B">
              <w:rPr>
                <w:rFonts w:ascii="Traditional Arabic" w:eastAsia="Times New Roman" w:hAnsi="Traditional Arabic" w:cs="Traditional Arabic"/>
                <w:sz w:val="28"/>
                <w:szCs w:val="28"/>
                <w:highlight w:val="yellow"/>
              </w:rPr>
              <w:t>% LLCI</w:t>
            </w:r>
          </w:p>
        </w:tc>
        <w:tc>
          <w:tcPr>
            <w:tcW w:w="0" w:type="auto"/>
            <w:vAlign w:val="center"/>
            <w:hideMark/>
          </w:tcPr>
          <w:p w14:paraId="6B26664C"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الحد الأعلى 95</w:t>
            </w:r>
            <w:r w:rsidRPr="00445A5B">
              <w:rPr>
                <w:rFonts w:ascii="Traditional Arabic" w:eastAsia="Times New Roman" w:hAnsi="Traditional Arabic" w:cs="Traditional Arabic"/>
                <w:sz w:val="28"/>
                <w:szCs w:val="28"/>
                <w:highlight w:val="yellow"/>
              </w:rPr>
              <w:t>% ULCI</w:t>
            </w:r>
          </w:p>
        </w:tc>
        <w:tc>
          <w:tcPr>
            <w:tcW w:w="0" w:type="auto"/>
            <w:vAlign w:val="center"/>
            <w:hideMark/>
          </w:tcPr>
          <w:p w14:paraId="3B2F673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مستوى الدلالة</w:t>
            </w:r>
          </w:p>
        </w:tc>
        <w:tc>
          <w:tcPr>
            <w:tcW w:w="0" w:type="auto"/>
            <w:vAlign w:val="center"/>
            <w:hideMark/>
          </w:tcPr>
          <w:p w14:paraId="2498BC9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النتيجة</w:t>
            </w:r>
          </w:p>
        </w:tc>
      </w:tr>
      <w:tr w:rsidR="000E666F" w:rsidRPr="00445A5B" w14:paraId="2010FC3C" w14:textId="77777777" w:rsidTr="004F3CC9">
        <w:trPr>
          <w:jc w:val="center"/>
        </w:trPr>
        <w:tc>
          <w:tcPr>
            <w:tcW w:w="0" w:type="auto"/>
            <w:vAlign w:val="center"/>
            <w:hideMark/>
          </w:tcPr>
          <w:p w14:paraId="28F99BD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 xml:space="preserve">الاستدامة </w:t>
            </w:r>
            <w:r w:rsidRPr="00445A5B">
              <w:rPr>
                <w:rFonts w:ascii="Times New Roman" w:eastAsia="Times New Roman" w:hAnsi="Times New Roman" w:cs="Times New Roman" w:hint="cs"/>
                <w:sz w:val="28"/>
                <w:szCs w:val="28"/>
                <w:highlight w:val="yellow"/>
                <w:rtl/>
              </w:rPr>
              <w:t>→</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البيئة</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الداعمة</w:t>
            </w:r>
            <w:r w:rsidRPr="00445A5B">
              <w:rPr>
                <w:rFonts w:ascii="Traditional Arabic" w:eastAsia="Times New Roman" w:hAnsi="Traditional Arabic" w:cs="Traditional Arabic"/>
                <w:sz w:val="28"/>
                <w:szCs w:val="28"/>
                <w:highlight w:val="yellow"/>
                <w:rtl/>
              </w:rPr>
              <w:t xml:space="preserve"> </w:t>
            </w:r>
            <w:r w:rsidRPr="00445A5B">
              <w:rPr>
                <w:rFonts w:ascii="Times New Roman" w:eastAsia="Times New Roman" w:hAnsi="Times New Roman" w:cs="Times New Roman" w:hint="cs"/>
                <w:sz w:val="28"/>
                <w:szCs w:val="28"/>
                <w:highlight w:val="yellow"/>
                <w:rtl/>
              </w:rPr>
              <w:t>→</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أداء</w:t>
            </w:r>
            <w:r w:rsidRPr="00445A5B">
              <w:rPr>
                <w:rFonts w:ascii="Traditional Arabic" w:eastAsia="Times New Roman" w:hAnsi="Traditional Arabic" w:cs="Traditional Arabic"/>
                <w:sz w:val="28"/>
                <w:szCs w:val="28"/>
                <w:highlight w:val="yellow"/>
                <w:rtl/>
              </w:rPr>
              <w:t xml:space="preserve"> </w:t>
            </w:r>
            <w:r w:rsidRPr="00445A5B">
              <w:rPr>
                <w:rFonts w:ascii="Traditional Arabic" w:eastAsia="Times New Roman" w:hAnsi="Traditional Arabic" w:cs="Traditional Arabic" w:hint="cs"/>
                <w:sz w:val="28"/>
                <w:szCs w:val="28"/>
                <w:highlight w:val="yellow"/>
                <w:rtl/>
              </w:rPr>
              <w:t>المشروع</w:t>
            </w:r>
          </w:p>
        </w:tc>
        <w:tc>
          <w:tcPr>
            <w:tcW w:w="0" w:type="auto"/>
            <w:vAlign w:val="center"/>
            <w:hideMark/>
          </w:tcPr>
          <w:p w14:paraId="0ADCEAE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0.223</w:t>
            </w:r>
          </w:p>
        </w:tc>
        <w:tc>
          <w:tcPr>
            <w:tcW w:w="0" w:type="auto"/>
            <w:vAlign w:val="center"/>
            <w:hideMark/>
          </w:tcPr>
          <w:p w14:paraId="582BE77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0.036</w:t>
            </w:r>
          </w:p>
        </w:tc>
        <w:tc>
          <w:tcPr>
            <w:tcW w:w="0" w:type="auto"/>
            <w:vAlign w:val="center"/>
            <w:hideMark/>
          </w:tcPr>
          <w:p w14:paraId="275CD59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0.156</w:t>
            </w:r>
          </w:p>
        </w:tc>
        <w:tc>
          <w:tcPr>
            <w:tcW w:w="0" w:type="auto"/>
            <w:vAlign w:val="center"/>
            <w:hideMark/>
          </w:tcPr>
          <w:p w14:paraId="2F7AF59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0.296</w:t>
            </w:r>
          </w:p>
        </w:tc>
        <w:tc>
          <w:tcPr>
            <w:tcW w:w="0" w:type="auto"/>
            <w:vAlign w:val="center"/>
            <w:hideMark/>
          </w:tcPr>
          <w:p w14:paraId="1B2DA09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0.000</w:t>
            </w:r>
          </w:p>
        </w:tc>
        <w:tc>
          <w:tcPr>
            <w:tcW w:w="0" w:type="auto"/>
            <w:vAlign w:val="center"/>
            <w:hideMark/>
          </w:tcPr>
          <w:p w14:paraId="407693CD"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دال</w:t>
            </w:r>
          </w:p>
        </w:tc>
      </w:tr>
    </w:tbl>
    <w:p w14:paraId="46A95EB1"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تشير نتائج جدول (</w:t>
      </w:r>
      <w:r w:rsidRPr="00445A5B">
        <w:rPr>
          <w:rFonts w:ascii="Traditional Arabic" w:eastAsia="Times New Roman" w:hAnsi="Traditional Arabic" w:cs="Traditional Arabic"/>
          <w:sz w:val="28"/>
          <w:szCs w:val="28"/>
          <w:highlight w:val="yellow"/>
        </w:rPr>
        <w:t>4.28</w:t>
      </w:r>
      <w:r w:rsidRPr="00445A5B">
        <w:rPr>
          <w:rFonts w:ascii="Traditional Arabic" w:eastAsia="Times New Roman" w:hAnsi="Traditional Arabic" w:cs="Traditional Arabic"/>
          <w:sz w:val="28"/>
          <w:szCs w:val="28"/>
          <w:highlight w:val="yellow"/>
          <w:rtl/>
        </w:rPr>
        <w:t>) إلى أن التأثير غير المباشر للاستدامة على أداء المشروع من خلال البيئة الداعمة للاستدامة جاء موجباً ودالاً إحصائياً، حيث لم تتضمن حدود فاصل الثقة (95%) قيمة الصفر، مما يؤكد وجود تأثير وساطة ذي دلالة إحصائية. ويعني ذلك أن البيئة الداعمة للاستدامة تمثل آلية مهمة تنتقل من خلالها آثار ممارسات الاستدامة إلى تحسين أداء المشاريع الإنشائية</w:t>
      </w:r>
      <w:r w:rsidRPr="00445A5B">
        <w:rPr>
          <w:rFonts w:ascii="Traditional Arabic" w:eastAsia="Times New Roman" w:hAnsi="Traditional Arabic" w:cs="Traditional Arabic"/>
          <w:sz w:val="28"/>
          <w:szCs w:val="28"/>
          <w:highlight w:val="yellow"/>
        </w:rPr>
        <w:t>.</w:t>
      </w:r>
    </w:p>
    <w:p w14:paraId="6AA27E6B"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المناقشة الأولية للنتائج</w:t>
      </w:r>
    </w:p>
    <w:p w14:paraId="76D8D211"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تشير النتائج إلى أن البيئة الداعمة للاستدامة تمثل آلية مهمة تنتقل من خلالها آثار ممارسات الاستدامة إلى تحسين أداء المشاريع، وهو ما يعكس أهمية البيئة المؤسسية في تعظيم الاستفادة من تطبيق الاستدامة. ويعني ذلك أن المؤسسات التي توفر تشريعات داخلية واضحة، وبرامج تدريبية، ودعمًا إداريًا، وثقافة تنظيمية داعمة، تكون أكثر قدرة على تحويل ممارسات الاستدامة إلى نتائج تشغيلية ملموسة. وتبرز هذه النتيجة أهمية عدم الاكتفاء بتطبيق ممارسات الاستدامة بصورة منفردة، بل ضرورة تهيئة بيئة تنظيمية تسهم في استدامة هذه الممارسات وتحقيق أقصى فائدة منها</w:t>
      </w:r>
      <w:r w:rsidRPr="00445A5B">
        <w:rPr>
          <w:rFonts w:ascii="Traditional Arabic" w:eastAsia="Times New Roman" w:hAnsi="Traditional Arabic" w:cs="Traditional Arabic"/>
          <w:sz w:val="28"/>
          <w:szCs w:val="28"/>
          <w:highlight w:val="yellow"/>
        </w:rPr>
        <w:t>.</w:t>
      </w:r>
    </w:p>
    <w:p w14:paraId="76FFD866"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tl/>
        </w:rPr>
      </w:pPr>
      <w:r w:rsidRPr="00445A5B">
        <w:rPr>
          <w:rFonts w:ascii="Traditional Arabic" w:eastAsia="Times New Roman" w:hAnsi="Traditional Arabic" w:cs="Traditional Arabic"/>
          <w:kern w:val="36"/>
          <w:sz w:val="28"/>
          <w:szCs w:val="28"/>
          <w:highlight w:val="yellow"/>
          <w:rtl/>
        </w:rPr>
        <w:t>جدول (</w:t>
      </w:r>
      <w:r w:rsidRPr="00445A5B">
        <w:rPr>
          <w:rFonts w:ascii="Traditional Arabic" w:eastAsia="Times New Roman" w:hAnsi="Traditional Arabic" w:cs="Traditional Arabic"/>
          <w:kern w:val="36"/>
          <w:sz w:val="28"/>
          <w:szCs w:val="28"/>
          <w:highlight w:val="yellow"/>
        </w:rPr>
        <w:t>4.29</w:t>
      </w:r>
      <w:r w:rsidRPr="00445A5B">
        <w:rPr>
          <w:rFonts w:ascii="Traditional Arabic" w:eastAsia="Times New Roman" w:hAnsi="Traditional Arabic" w:cs="Traditional Arabic"/>
          <w:kern w:val="36"/>
          <w:sz w:val="28"/>
          <w:szCs w:val="28"/>
          <w:highlight w:val="yellow"/>
          <w:rtl/>
        </w:rPr>
        <w:t>) ملخص نتائج اختبار فرضيات الدراسة</w:t>
      </w:r>
    </w:p>
    <w:tbl>
      <w:tblPr>
        <w:tblStyle w:val="TableGrid"/>
        <w:bidiVisual/>
        <w:tblW w:w="5000" w:type="pct"/>
        <w:jc w:val="center"/>
        <w:tblLook w:val="04A0" w:firstRow="1" w:lastRow="0" w:firstColumn="1" w:lastColumn="0" w:noHBand="0" w:noVBand="1"/>
      </w:tblPr>
      <w:tblGrid>
        <w:gridCol w:w="733"/>
        <w:gridCol w:w="2393"/>
        <w:gridCol w:w="963"/>
        <w:gridCol w:w="4207"/>
      </w:tblGrid>
      <w:tr w:rsidR="000E666F" w:rsidRPr="00445A5B" w14:paraId="73E9B64B" w14:textId="77777777" w:rsidTr="004F3CC9">
        <w:trPr>
          <w:jc w:val="center"/>
        </w:trPr>
        <w:tc>
          <w:tcPr>
            <w:tcW w:w="0" w:type="auto"/>
            <w:vAlign w:val="center"/>
            <w:hideMark/>
          </w:tcPr>
          <w:p w14:paraId="501DB59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الفرضية</w:t>
            </w:r>
          </w:p>
        </w:tc>
        <w:tc>
          <w:tcPr>
            <w:tcW w:w="0" w:type="auto"/>
            <w:vAlign w:val="center"/>
            <w:hideMark/>
          </w:tcPr>
          <w:p w14:paraId="1ECB66E7"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الاختبار</w:t>
            </w:r>
          </w:p>
        </w:tc>
        <w:tc>
          <w:tcPr>
            <w:tcW w:w="0" w:type="auto"/>
            <w:vAlign w:val="center"/>
            <w:hideMark/>
          </w:tcPr>
          <w:p w14:paraId="7C375C9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القرار</w:t>
            </w:r>
          </w:p>
        </w:tc>
        <w:tc>
          <w:tcPr>
            <w:tcW w:w="0" w:type="auto"/>
            <w:vAlign w:val="center"/>
            <w:hideMark/>
          </w:tcPr>
          <w:p w14:paraId="72E91C2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النتيجة</w:t>
            </w:r>
          </w:p>
        </w:tc>
      </w:tr>
      <w:tr w:rsidR="000E666F" w:rsidRPr="00445A5B" w14:paraId="797A9816" w14:textId="77777777" w:rsidTr="004F3CC9">
        <w:trPr>
          <w:jc w:val="center"/>
        </w:trPr>
        <w:tc>
          <w:tcPr>
            <w:tcW w:w="0" w:type="auto"/>
            <w:vAlign w:val="center"/>
            <w:hideMark/>
          </w:tcPr>
          <w:p w14:paraId="68034904"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lastRenderedPageBreak/>
              <w:t>H1</w:t>
            </w:r>
          </w:p>
        </w:tc>
        <w:tc>
          <w:tcPr>
            <w:tcW w:w="0" w:type="auto"/>
            <w:vAlign w:val="center"/>
            <w:hideMark/>
          </w:tcPr>
          <w:p w14:paraId="6114FC5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Multiple Regression</w:t>
            </w:r>
          </w:p>
        </w:tc>
        <w:tc>
          <w:tcPr>
            <w:tcW w:w="0" w:type="auto"/>
            <w:vAlign w:val="center"/>
            <w:hideMark/>
          </w:tcPr>
          <w:p w14:paraId="7D215FE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قبول جزئي</w:t>
            </w:r>
          </w:p>
        </w:tc>
        <w:tc>
          <w:tcPr>
            <w:tcW w:w="0" w:type="auto"/>
            <w:vAlign w:val="center"/>
            <w:hideMark/>
          </w:tcPr>
          <w:p w14:paraId="046A34D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الاستدامة الاقتصادية والاجتماعية مؤثرتان، البيئية غير معنوية</w:t>
            </w:r>
          </w:p>
        </w:tc>
      </w:tr>
      <w:tr w:rsidR="000E666F" w:rsidRPr="00445A5B" w14:paraId="75AAFA06" w14:textId="77777777" w:rsidTr="004F3CC9">
        <w:trPr>
          <w:jc w:val="center"/>
        </w:trPr>
        <w:tc>
          <w:tcPr>
            <w:tcW w:w="0" w:type="auto"/>
            <w:vAlign w:val="center"/>
            <w:hideMark/>
          </w:tcPr>
          <w:p w14:paraId="6F297EB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H1a</w:t>
            </w:r>
          </w:p>
        </w:tc>
        <w:tc>
          <w:tcPr>
            <w:tcW w:w="0" w:type="auto"/>
            <w:vAlign w:val="center"/>
            <w:hideMark/>
          </w:tcPr>
          <w:p w14:paraId="25EF6D6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Regression</w:t>
            </w:r>
          </w:p>
        </w:tc>
        <w:tc>
          <w:tcPr>
            <w:tcW w:w="0" w:type="auto"/>
            <w:vAlign w:val="center"/>
            <w:hideMark/>
          </w:tcPr>
          <w:p w14:paraId="6D45CFED"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مرفوضة</w:t>
            </w:r>
          </w:p>
        </w:tc>
        <w:tc>
          <w:tcPr>
            <w:tcW w:w="0" w:type="auto"/>
            <w:vAlign w:val="center"/>
            <w:hideMark/>
          </w:tcPr>
          <w:p w14:paraId="2A46B56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لا يوجد أثر للاستدامة البيئية على التكلفة</w:t>
            </w:r>
          </w:p>
        </w:tc>
      </w:tr>
      <w:tr w:rsidR="000E666F" w:rsidRPr="00445A5B" w14:paraId="6B08E11F" w14:textId="77777777" w:rsidTr="004F3CC9">
        <w:trPr>
          <w:jc w:val="center"/>
        </w:trPr>
        <w:tc>
          <w:tcPr>
            <w:tcW w:w="0" w:type="auto"/>
            <w:vAlign w:val="center"/>
            <w:hideMark/>
          </w:tcPr>
          <w:p w14:paraId="3B46B9CE"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H1b</w:t>
            </w:r>
          </w:p>
        </w:tc>
        <w:tc>
          <w:tcPr>
            <w:tcW w:w="0" w:type="auto"/>
            <w:vAlign w:val="center"/>
            <w:hideMark/>
          </w:tcPr>
          <w:p w14:paraId="2352F6F8"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Regression</w:t>
            </w:r>
          </w:p>
        </w:tc>
        <w:tc>
          <w:tcPr>
            <w:tcW w:w="0" w:type="auto"/>
            <w:vAlign w:val="center"/>
            <w:hideMark/>
          </w:tcPr>
          <w:p w14:paraId="40D9477C"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مقبولة</w:t>
            </w:r>
          </w:p>
        </w:tc>
        <w:tc>
          <w:tcPr>
            <w:tcW w:w="0" w:type="auto"/>
            <w:vAlign w:val="center"/>
            <w:hideMark/>
          </w:tcPr>
          <w:p w14:paraId="6A982D2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يوجد أثر للاستدامة الاقتصادية</w:t>
            </w:r>
          </w:p>
        </w:tc>
      </w:tr>
      <w:tr w:rsidR="000E666F" w:rsidRPr="00445A5B" w14:paraId="022CEC5E" w14:textId="77777777" w:rsidTr="004F3CC9">
        <w:trPr>
          <w:jc w:val="center"/>
        </w:trPr>
        <w:tc>
          <w:tcPr>
            <w:tcW w:w="0" w:type="auto"/>
            <w:vAlign w:val="center"/>
            <w:hideMark/>
          </w:tcPr>
          <w:p w14:paraId="4EB145B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H1c</w:t>
            </w:r>
          </w:p>
        </w:tc>
        <w:tc>
          <w:tcPr>
            <w:tcW w:w="0" w:type="auto"/>
            <w:vAlign w:val="center"/>
            <w:hideMark/>
          </w:tcPr>
          <w:p w14:paraId="01CB72A4"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Regression</w:t>
            </w:r>
          </w:p>
        </w:tc>
        <w:tc>
          <w:tcPr>
            <w:tcW w:w="0" w:type="auto"/>
            <w:vAlign w:val="center"/>
            <w:hideMark/>
          </w:tcPr>
          <w:p w14:paraId="74F9C12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مقبولة</w:t>
            </w:r>
          </w:p>
        </w:tc>
        <w:tc>
          <w:tcPr>
            <w:tcW w:w="0" w:type="auto"/>
            <w:vAlign w:val="center"/>
            <w:hideMark/>
          </w:tcPr>
          <w:p w14:paraId="2C743BF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يوجد أثر للاستدامة الاجتماعية</w:t>
            </w:r>
          </w:p>
        </w:tc>
      </w:tr>
      <w:tr w:rsidR="000E666F" w:rsidRPr="00445A5B" w14:paraId="604C78BB" w14:textId="77777777" w:rsidTr="004F3CC9">
        <w:trPr>
          <w:jc w:val="center"/>
        </w:trPr>
        <w:tc>
          <w:tcPr>
            <w:tcW w:w="0" w:type="auto"/>
            <w:vAlign w:val="center"/>
            <w:hideMark/>
          </w:tcPr>
          <w:p w14:paraId="107474C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H2</w:t>
            </w:r>
          </w:p>
        </w:tc>
        <w:tc>
          <w:tcPr>
            <w:tcW w:w="0" w:type="auto"/>
            <w:vAlign w:val="center"/>
            <w:hideMark/>
          </w:tcPr>
          <w:p w14:paraId="5EB059E5"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Regression</w:t>
            </w:r>
          </w:p>
        </w:tc>
        <w:tc>
          <w:tcPr>
            <w:tcW w:w="0" w:type="auto"/>
            <w:vAlign w:val="center"/>
            <w:hideMark/>
          </w:tcPr>
          <w:p w14:paraId="2E759D1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قبول جزئي</w:t>
            </w:r>
          </w:p>
        </w:tc>
        <w:tc>
          <w:tcPr>
            <w:tcW w:w="0" w:type="auto"/>
            <w:vAlign w:val="center"/>
            <w:hideMark/>
          </w:tcPr>
          <w:p w14:paraId="7118D26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الجودة تتأثر بجميع الأبعاد مع تأثير سلبي للبعد البيئي</w:t>
            </w:r>
          </w:p>
        </w:tc>
      </w:tr>
      <w:tr w:rsidR="000E666F" w:rsidRPr="00445A5B" w14:paraId="02791399" w14:textId="77777777" w:rsidTr="004F3CC9">
        <w:trPr>
          <w:jc w:val="center"/>
        </w:trPr>
        <w:tc>
          <w:tcPr>
            <w:tcW w:w="0" w:type="auto"/>
            <w:vAlign w:val="center"/>
            <w:hideMark/>
          </w:tcPr>
          <w:p w14:paraId="70C08A81"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H3</w:t>
            </w:r>
          </w:p>
        </w:tc>
        <w:tc>
          <w:tcPr>
            <w:tcW w:w="0" w:type="auto"/>
            <w:vAlign w:val="center"/>
            <w:hideMark/>
          </w:tcPr>
          <w:p w14:paraId="258E5846"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Regression</w:t>
            </w:r>
          </w:p>
        </w:tc>
        <w:tc>
          <w:tcPr>
            <w:tcW w:w="0" w:type="auto"/>
            <w:vAlign w:val="center"/>
            <w:hideMark/>
          </w:tcPr>
          <w:p w14:paraId="60DD2E00"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مقبولة</w:t>
            </w:r>
          </w:p>
        </w:tc>
        <w:tc>
          <w:tcPr>
            <w:tcW w:w="0" w:type="auto"/>
            <w:vAlign w:val="center"/>
            <w:hideMark/>
          </w:tcPr>
          <w:p w14:paraId="203A9529"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جميع الأبعاد تؤثر في الوقت</w:t>
            </w:r>
          </w:p>
        </w:tc>
      </w:tr>
      <w:tr w:rsidR="000E666F" w:rsidRPr="00445A5B" w14:paraId="564F0BA4" w14:textId="77777777" w:rsidTr="004F3CC9">
        <w:trPr>
          <w:jc w:val="center"/>
        </w:trPr>
        <w:tc>
          <w:tcPr>
            <w:tcW w:w="0" w:type="auto"/>
            <w:vAlign w:val="center"/>
            <w:hideMark/>
          </w:tcPr>
          <w:p w14:paraId="79F195EB"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H4</w:t>
            </w:r>
          </w:p>
        </w:tc>
        <w:tc>
          <w:tcPr>
            <w:tcW w:w="0" w:type="auto"/>
            <w:vAlign w:val="center"/>
            <w:hideMark/>
          </w:tcPr>
          <w:p w14:paraId="44114133"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Pr>
              <w:t>Regression</w:t>
            </w:r>
          </w:p>
        </w:tc>
        <w:tc>
          <w:tcPr>
            <w:tcW w:w="0" w:type="auto"/>
            <w:vAlign w:val="center"/>
            <w:hideMark/>
          </w:tcPr>
          <w:p w14:paraId="64FF106D"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قبول جزئي</w:t>
            </w:r>
          </w:p>
        </w:tc>
        <w:tc>
          <w:tcPr>
            <w:tcW w:w="0" w:type="auto"/>
            <w:vAlign w:val="center"/>
            <w:hideMark/>
          </w:tcPr>
          <w:p w14:paraId="282609B4" w14:textId="77777777" w:rsidR="000E666F" w:rsidRPr="00445A5B" w:rsidRDefault="000E666F" w:rsidP="004F3CC9">
            <w:pPr>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البيئية غير معنوية، والاقتصادية والاجتماعية معنويتان</w:t>
            </w:r>
          </w:p>
        </w:tc>
      </w:tr>
    </w:tbl>
    <w:p w14:paraId="317E76D5" w14:textId="77777777" w:rsidR="000E666F" w:rsidRPr="00445A5B" w:rsidRDefault="000E666F" w:rsidP="000E666F">
      <w:pPr>
        <w:bidi/>
        <w:jc w:val="both"/>
        <w:rPr>
          <w:rFonts w:ascii="Traditional Arabic" w:eastAsia="Times New Roman" w:hAnsi="Traditional Arabic" w:cs="Traditional Arabic"/>
          <w:kern w:val="36"/>
          <w:sz w:val="28"/>
          <w:szCs w:val="28"/>
          <w:rtl/>
        </w:rPr>
      </w:pPr>
      <w:r w:rsidRPr="00445A5B">
        <w:rPr>
          <w:rFonts w:ascii="Traditional Arabic" w:eastAsia="Times New Roman" w:hAnsi="Traditional Arabic" w:cs="Traditional Arabic"/>
          <w:kern w:val="36"/>
          <w:sz w:val="28"/>
          <w:szCs w:val="28"/>
          <w:highlight w:val="yellow"/>
          <w:rtl/>
        </w:rPr>
        <w:t>يبين جدول (</w:t>
      </w:r>
      <w:r w:rsidRPr="00445A5B">
        <w:rPr>
          <w:rFonts w:ascii="Traditional Arabic" w:eastAsia="Times New Roman" w:hAnsi="Traditional Arabic" w:cs="Traditional Arabic"/>
          <w:kern w:val="36"/>
          <w:sz w:val="28"/>
          <w:szCs w:val="28"/>
          <w:highlight w:val="yellow"/>
        </w:rPr>
        <w:t>4.29</w:t>
      </w:r>
      <w:r w:rsidRPr="00445A5B">
        <w:rPr>
          <w:rFonts w:ascii="Traditional Arabic" w:eastAsia="Times New Roman" w:hAnsi="Traditional Arabic" w:cs="Traditional Arabic"/>
          <w:kern w:val="36"/>
          <w:sz w:val="28"/>
          <w:szCs w:val="28"/>
          <w:highlight w:val="yellow"/>
          <w:rtl/>
        </w:rPr>
        <w:t>) القرار النهائي بشأن فرضيات الدراسة، ويوضح أن معظم الفرضيات حظيت بدعم إحصائي، مع وجود اختلاف في قوة واتجاه تأثير أبعاد الاستدامة على مؤشرات أداء المشروع المختلفة.</w:t>
      </w:r>
    </w:p>
    <w:p w14:paraId="5BA1A491" w14:textId="77777777" w:rsidR="000E666F" w:rsidRPr="00445A5B" w:rsidRDefault="000E666F" w:rsidP="000E666F">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جدول (4.30) ملخص اختبار الوساطة</w:t>
      </w:r>
      <w:r w:rsidRPr="00445A5B">
        <w:rPr>
          <w:rFonts w:ascii="Traditional Arabic" w:eastAsia="Times New Roman" w:hAnsi="Traditional Arabic" w:cs="Traditional Arabic"/>
          <w:sz w:val="28"/>
          <w:szCs w:val="28"/>
          <w:highlight w:val="yellow"/>
        </w:rPr>
        <w:t xml:space="preserve"> (Mediation Summary)</w:t>
      </w:r>
    </w:p>
    <w:tbl>
      <w:tblPr>
        <w:tblStyle w:val="TableGrid"/>
        <w:tblW w:w="5000" w:type="pct"/>
        <w:jc w:val="center"/>
        <w:tblLook w:val="04A0" w:firstRow="1" w:lastRow="0" w:firstColumn="1" w:lastColumn="0" w:noHBand="0" w:noVBand="1"/>
      </w:tblPr>
      <w:tblGrid>
        <w:gridCol w:w="2991"/>
        <w:gridCol w:w="900"/>
        <w:gridCol w:w="1060"/>
        <w:gridCol w:w="2408"/>
        <w:gridCol w:w="937"/>
      </w:tblGrid>
      <w:tr w:rsidR="000E666F" w:rsidRPr="00445A5B" w14:paraId="06C6FB80" w14:textId="77777777" w:rsidTr="004F3CC9">
        <w:trPr>
          <w:jc w:val="center"/>
        </w:trPr>
        <w:tc>
          <w:tcPr>
            <w:tcW w:w="0" w:type="auto"/>
            <w:vAlign w:val="center"/>
            <w:hideMark/>
          </w:tcPr>
          <w:p w14:paraId="63332AB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الفرضية</w:t>
            </w:r>
          </w:p>
        </w:tc>
        <w:tc>
          <w:tcPr>
            <w:tcW w:w="0" w:type="auto"/>
            <w:vAlign w:val="center"/>
            <w:hideMark/>
          </w:tcPr>
          <w:p w14:paraId="3CF97DE0"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التأثير المباشر</w:t>
            </w:r>
          </w:p>
        </w:tc>
        <w:tc>
          <w:tcPr>
            <w:tcW w:w="0" w:type="auto"/>
            <w:vAlign w:val="center"/>
            <w:hideMark/>
          </w:tcPr>
          <w:p w14:paraId="4A5ECF58"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التأثير غير المباشر</w:t>
            </w:r>
          </w:p>
        </w:tc>
        <w:tc>
          <w:tcPr>
            <w:tcW w:w="0" w:type="auto"/>
            <w:vAlign w:val="center"/>
            <w:hideMark/>
          </w:tcPr>
          <w:p w14:paraId="32453C0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نوع الوساطة</w:t>
            </w:r>
          </w:p>
        </w:tc>
        <w:tc>
          <w:tcPr>
            <w:tcW w:w="0" w:type="auto"/>
            <w:vAlign w:val="center"/>
            <w:hideMark/>
          </w:tcPr>
          <w:p w14:paraId="251DE42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القرار</w:t>
            </w:r>
          </w:p>
        </w:tc>
      </w:tr>
      <w:tr w:rsidR="000E666F" w:rsidRPr="00445A5B" w14:paraId="383AB0A1" w14:textId="77777777" w:rsidTr="004F3CC9">
        <w:trPr>
          <w:jc w:val="center"/>
        </w:trPr>
        <w:tc>
          <w:tcPr>
            <w:tcW w:w="0" w:type="auto"/>
            <w:vAlign w:val="center"/>
            <w:hideMark/>
          </w:tcPr>
          <w:p w14:paraId="1AAB019E"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تؤثر الاستدامة في أداء المشروع من خلال البيئة الداعمة للاستدامة</w:t>
            </w:r>
          </w:p>
        </w:tc>
        <w:tc>
          <w:tcPr>
            <w:tcW w:w="0" w:type="auto"/>
            <w:vAlign w:val="center"/>
            <w:hideMark/>
          </w:tcPr>
          <w:p w14:paraId="2D69D30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دال</w:t>
            </w:r>
          </w:p>
        </w:tc>
        <w:tc>
          <w:tcPr>
            <w:tcW w:w="0" w:type="auto"/>
            <w:vAlign w:val="center"/>
            <w:hideMark/>
          </w:tcPr>
          <w:p w14:paraId="4FD0A79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دال</w:t>
            </w:r>
          </w:p>
        </w:tc>
        <w:tc>
          <w:tcPr>
            <w:tcW w:w="0" w:type="auto"/>
            <w:vAlign w:val="center"/>
            <w:hideMark/>
          </w:tcPr>
          <w:p w14:paraId="12B9A6EB"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وساطة جزئية</w:t>
            </w:r>
            <w:r w:rsidRPr="00445A5B">
              <w:rPr>
                <w:rFonts w:ascii="Traditional Arabic" w:eastAsia="Times New Roman" w:hAnsi="Traditional Arabic" w:cs="Traditional Arabic"/>
                <w:sz w:val="28"/>
                <w:szCs w:val="28"/>
                <w:highlight w:val="yellow"/>
              </w:rPr>
              <w:t xml:space="preserve"> (Partial Mediation)</w:t>
            </w:r>
          </w:p>
        </w:tc>
        <w:tc>
          <w:tcPr>
            <w:tcW w:w="0" w:type="auto"/>
            <w:vAlign w:val="center"/>
            <w:hideMark/>
          </w:tcPr>
          <w:p w14:paraId="77454A2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قبول الفرضية</w:t>
            </w:r>
          </w:p>
        </w:tc>
      </w:tr>
    </w:tbl>
    <w:p w14:paraId="3E96F112" w14:textId="77777777" w:rsidR="000E666F" w:rsidRPr="00445A5B" w:rsidRDefault="000E666F" w:rsidP="000E666F">
      <w:pPr>
        <w:bidi/>
        <w:jc w:val="both"/>
        <w:rPr>
          <w:rFonts w:ascii="Traditional Arabic" w:eastAsia="Times New Roman" w:hAnsi="Traditional Arabic" w:cs="Traditional Arabic"/>
          <w:sz w:val="28"/>
          <w:szCs w:val="28"/>
          <w:rtl/>
        </w:rPr>
      </w:pPr>
      <w:r w:rsidRPr="00445A5B">
        <w:rPr>
          <w:rFonts w:ascii="Traditional Arabic" w:eastAsia="Times New Roman" w:hAnsi="Traditional Arabic" w:cs="Traditional Arabic"/>
          <w:sz w:val="28"/>
          <w:szCs w:val="28"/>
          <w:highlight w:val="yellow"/>
          <w:rtl/>
        </w:rPr>
        <w:t>يوضح جدول (4.30) أن التأثير المباشر للاستدامة على أداء المشروع ظل دالاً إحصائياً بعد إدخال البيئة الداعمة للاستدامة، كما ظهر تأثير غير مباشر دال إحصائياً، وهو ما يشير إلى تحقق الوساطة الجزئية</w:t>
      </w:r>
      <w:r w:rsidRPr="00445A5B">
        <w:rPr>
          <w:rFonts w:ascii="Traditional Arabic" w:eastAsia="Times New Roman" w:hAnsi="Traditional Arabic" w:cs="Traditional Arabic"/>
          <w:sz w:val="28"/>
          <w:szCs w:val="28"/>
          <w:highlight w:val="yellow"/>
        </w:rPr>
        <w:t xml:space="preserve"> (Partial Mediation). </w:t>
      </w:r>
      <w:r w:rsidRPr="00445A5B">
        <w:rPr>
          <w:rFonts w:ascii="Traditional Arabic" w:eastAsia="Times New Roman" w:hAnsi="Traditional Arabic" w:cs="Traditional Arabic"/>
          <w:sz w:val="28"/>
          <w:szCs w:val="28"/>
          <w:highlight w:val="yellow"/>
          <w:rtl/>
        </w:rPr>
        <w:t>وتدل هذه النتيجة على أن الاستدامة تؤثر في أداء المشاريع الإنشائية بطريقتين متكاملتين؛ الأولى بصورة مباشرة، والثانية بصورة غير مباشرة من خلال تعزيز البيئة المؤسسية والتنظيمية الداعمة لتطبيق ممارسات الاستدامة. وعليه، يتم قبول الفرضية الخاصة بوجود دور وسيط للبيئة الداعمة للاستدامة في العلاقة بين الاستدامة وأداء المشروع</w:t>
      </w:r>
      <w:r w:rsidRPr="00445A5B">
        <w:rPr>
          <w:rFonts w:ascii="Traditional Arabic" w:eastAsia="Times New Roman" w:hAnsi="Traditional Arabic" w:cs="Traditional Arabic"/>
          <w:sz w:val="28"/>
          <w:szCs w:val="28"/>
          <w:highlight w:val="yellow"/>
        </w:rPr>
        <w:t>.</w:t>
      </w:r>
    </w:p>
    <w:p w14:paraId="3FAB1E8C" w14:textId="77777777" w:rsidR="000E666F" w:rsidRPr="00445A5B" w:rsidRDefault="000E666F" w:rsidP="000E666F">
      <w:pPr>
        <w:bidi/>
        <w:jc w:val="both"/>
        <w:rPr>
          <w:rFonts w:ascii="Traditional Arabic" w:eastAsia="Times New Roman" w:hAnsi="Traditional Arabic" w:cs="Traditional Arabic"/>
          <w:sz w:val="28"/>
          <w:szCs w:val="28"/>
          <w:highlight w:val="yellow"/>
          <w:rtl/>
        </w:rPr>
      </w:pPr>
      <w:r w:rsidRPr="00445A5B">
        <w:rPr>
          <w:rFonts w:ascii="Traditional Arabic" w:eastAsia="Times New Roman" w:hAnsi="Traditional Arabic" w:cs="Traditional Arabic"/>
          <w:sz w:val="28"/>
          <w:szCs w:val="28"/>
          <w:highlight w:val="yellow"/>
          <w:rtl/>
        </w:rPr>
        <w:t>المناقشة الأولية للنتائج</w:t>
      </w:r>
    </w:p>
    <w:p w14:paraId="22BFC6FD" w14:textId="77777777" w:rsidR="000E666F" w:rsidRPr="00445A5B" w:rsidRDefault="000E666F" w:rsidP="000E666F">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 xml:space="preserve">يبين تحقق الوساطة الجزئية أن تأثير ممارسات الاستدامة في أداء المشاريع يتم من خلال مسارين متكاملين؛ أولهما تأثير مباشر ناتج عن تطبيق الممارسات المستدامة داخل المشروع، وثانيهما تأثير غير مباشر يتحقق عبر البيئة الداعمة للاستدامة. وتوضح هذه النتيجة أن تطوير الأداء لا يعتمد على تطبيق ممارسات الاستدامة فحسب، بل يتطلب أيضًا توفير بيئة </w:t>
      </w:r>
      <w:r w:rsidRPr="00445A5B">
        <w:rPr>
          <w:rFonts w:ascii="Traditional Arabic" w:eastAsia="Times New Roman" w:hAnsi="Traditional Arabic" w:cs="Traditional Arabic"/>
          <w:sz w:val="28"/>
          <w:szCs w:val="28"/>
          <w:highlight w:val="yellow"/>
          <w:rtl/>
        </w:rPr>
        <w:lastRenderedPageBreak/>
        <w:t>تنظيمية وتشريعية ومؤسسية تدعم تلك الممارسات وتضمن استمراريتها. ومن ثم، فإن بناء ثقافة تنظيمية داعمة للاستدامة يمثل أحد المرتكزات الأساسية لتحسين أداء المشاريع الإنشائية وتعزيز قدرتها على تحقيق أهدافها بكفاءة وفاعلية.</w:t>
      </w:r>
    </w:p>
    <w:p w14:paraId="3241A17E" w14:textId="2C310872" w:rsidR="000E666F" w:rsidRPr="00445A5B" w:rsidRDefault="00D07F91" w:rsidP="000E666F">
      <w:pPr>
        <w:bidi/>
        <w:jc w:val="both"/>
        <w:rPr>
          <w:rFonts w:ascii="Traditional Arabic" w:eastAsia="Times New Roman" w:hAnsi="Traditional Arabic" w:cs="Traditional Arabic"/>
          <w:b/>
          <w:bCs/>
          <w:kern w:val="36"/>
          <w:sz w:val="28"/>
          <w:szCs w:val="28"/>
          <w:rtl/>
        </w:rPr>
      </w:pPr>
      <w:r w:rsidRPr="00445A5B">
        <w:rPr>
          <w:rFonts w:ascii="Traditional Arabic" w:eastAsia="Times New Roman" w:hAnsi="Traditional Arabic" w:cs="Traditional Arabic"/>
          <w:b/>
          <w:bCs/>
          <w:kern w:val="36"/>
          <w:sz w:val="28"/>
          <w:szCs w:val="28"/>
          <w:rtl/>
        </w:rPr>
        <w:t>4-6</w:t>
      </w:r>
      <w:r w:rsidR="000E666F" w:rsidRPr="00445A5B">
        <w:rPr>
          <w:rFonts w:ascii="Traditional Arabic" w:eastAsia="Times New Roman" w:hAnsi="Traditional Arabic" w:cs="Traditional Arabic"/>
          <w:b/>
          <w:bCs/>
          <w:kern w:val="36"/>
          <w:sz w:val="28"/>
          <w:szCs w:val="28"/>
          <w:rtl/>
        </w:rPr>
        <w:t xml:space="preserve"> </w:t>
      </w:r>
      <w:r w:rsidR="000E666F" w:rsidRPr="00445A5B">
        <w:rPr>
          <w:rFonts w:ascii="Traditional Arabic" w:eastAsia="Times New Roman" w:hAnsi="Traditional Arabic" w:cs="Traditional Arabic"/>
          <w:b/>
          <w:bCs/>
          <w:kern w:val="36"/>
          <w:sz w:val="28"/>
          <w:szCs w:val="28"/>
          <w:highlight w:val="green"/>
          <w:rtl/>
        </w:rPr>
        <w:t>ملخص النتائج</w:t>
      </w:r>
    </w:p>
    <w:p w14:paraId="1ADD207D" w14:textId="77777777" w:rsidR="000E666F" w:rsidRPr="00445A5B" w:rsidRDefault="000E666F" w:rsidP="000E666F">
      <w:pPr>
        <w:bidi/>
        <w:jc w:val="both"/>
        <w:rPr>
          <w:rFonts w:ascii="Traditional Arabic" w:eastAsia="Times New Roman" w:hAnsi="Traditional Arabic" w:cs="Traditional Arabic"/>
          <w:kern w:val="36"/>
          <w:sz w:val="28"/>
          <w:szCs w:val="28"/>
          <w:highlight w:val="green"/>
          <w:rtl/>
        </w:rPr>
      </w:pPr>
      <w:r w:rsidRPr="00445A5B">
        <w:rPr>
          <w:rFonts w:ascii="Traditional Arabic" w:eastAsia="Times New Roman" w:hAnsi="Traditional Arabic" w:cs="Traditional Arabic"/>
          <w:kern w:val="36"/>
          <w:sz w:val="28"/>
          <w:szCs w:val="28"/>
          <w:highlight w:val="green"/>
          <w:rtl/>
        </w:rPr>
        <w:t>أظهرت نتائج التحليل أن تطبيق الاستدامة في المشاريع الإنشائية لا يمثل ممارسة أحادية البعد، بل يرتبط بمنظومة متكاملة تجمع بين الاعتبارات البيئية والاقتصادية والاجتماعية، وتعمل داخل بيئة مؤسسية وتنظيمية تؤثر في قدرة الشركات على تحويل مبادئ الاستدامة إلى ممارسات تنفيذية. وتكشف النتائج أن مستوى تطبيق هذه الممارسات يتفاوت باختلاف طبيعة البعد؛ إذ يبدو أن الاستدامة الاقتصادية والاجتماعية أكثر رسوخًا في الممارسة اليومية، في حين تظل الاستدامة البيئية بحاجة إلى انتقال أكبر من مجرد الالتزام التنظيمي إلى تبني ممارسات تقنية وابتكارية أكثر تقدمًا</w:t>
      </w:r>
      <w:r w:rsidRPr="00445A5B">
        <w:rPr>
          <w:rFonts w:ascii="Traditional Arabic" w:eastAsia="Times New Roman" w:hAnsi="Traditional Arabic" w:cs="Traditional Arabic"/>
          <w:kern w:val="36"/>
          <w:sz w:val="28"/>
          <w:szCs w:val="28"/>
          <w:highlight w:val="green"/>
        </w:rPr>
        <w:t>.</w:t>
      </w:r>
    </w:p>
    <w:p w14:paraId="30341A5A" w14:textId="77777777" w:rsidR="000E666F" w:rsidRPr="00445A5B" w:rsidRDefault="000E666F" w:rsidP="000E666F">
      <w:pPr>
        <w:bidi/>
        <w:jc w:val="both"/>
        <w:rPr>
          <w:rFonts w:ascii="Traditional Arabic" w:eastAsia="Times New Roman" w:hAnsi="Traditional Arabic" w:cs="Traditional Arabic"/>
          <w:kern w:val="36"/>
          <w:sz w:val="28"/>
          <w:szCs w:val="28"/>
          <w:highlight w:val="green"/>
          <w:rtl/>
        </w:rPr>
      </w:pPr>
      <w:r w:rsidRPr="00445A5B">
        <w:rPr>
          <w:rFonts w:ascii="Traditional Arabic" w:eastAsia="Times New Roman" w:hAnsi="Traditional Arabic" w:cs="Traditional Arabic"/>
          <w:kern w:val="36"/>
          <w:sz w:val="28"/>
          <w:szCs w:val="28"/>
          <w:highlight w:val="green"/>
          <w:rtl/>
        </w:rPr>
        <w:t>وتؤكد النتائج أن البعد الاقتصادي يمثل أحد المحركات الرئيسة لتبني الاستدامة في قطاع الإنشاءات، إذ يرتبط تطبيق الممارسات المستدامة بتحسين كفاءة استخدام الموارد، والحد من الهدر، وتحقيق قيمة اقتصادية طويلة الأجل. وفي المقابل، تكشف نتائج أداء التكلفة عن أن وجود الرقابة المالية لا يضمن وحده السيطرة الكاملة على التكلفة النهائية، مما يبرز أهمية الإدارة الاستباقية للمخاطر والتغيرات التي قد تؤثر في ميزانية المشروع</w:t>
      </w:r>
      <w:r w:rsidRPr="00445A5B">
        <w:rPr>
          <w:rFonts w:ascii="Traditional Arabic" w:eastAsia="Times New Roman" w:hAnsi="Traditional Arabic" w:cs="Traditional Arabic"/>
          <w:kern w:val="36"/>
          <w:sz w:val="28"/>
          <w:szCs w:val="28"/>
          <w:highlight w:val="green"/>
        </w:rPr>
        <w:t>.</w:t>
      </w:r>
    </w:p>
    <w:p w14:paraId="59E3B859" w14:textId="77777777" w:rsidR="000E666F" w:rsidRPr="00445A5B" w:rsidRDefault="000E666F" w:rsidP="000E666F">
      <w:pPr>
        <w:bidi/>
        <w:jc w:val="both"/>
        <w:rPr>
          <w:rFonts w:ascii="Traditional Arabic" w:eastAsia="Times New Roman" w:hAnsi="Traditional Arabic" w:cs="Traditional Arabic"/>
          <w:kern w:val="36"/>
          <w:sz w:val="28"/>
          <w:szCs w:val="28"/>
          <w:highlight w:val="green"/>
          <w:rtl/>
        </w:rPr>
      </w:pPr>
      <w:r w:rsidRPr="00445A5B">
        <w:rPr>
          <w:rFonts w:ascii="Traditional Arabic" w:eastAsia="Times New Roman" w:hAnsi="Traditional Arabic" w:cs="Traditional Arabic"/>
          <w:kern w:val="36"/>
          <w:sz w:val="28"/>
          <w:szCs w:val="28"/>
          <w:highlight w:val="green"/>
          <w:rtl/>
        </w:rPr>
        <w:t>كما يتضح أن الاستدامة الاجتماعية في المشاريع الإنشائية ترتكز بصورة أساسية على حماية العاملين وإدارة السلامة المهنية، بينما تحتاج الجوانب المتعلقة بالرفاه الوظيفي والعدالة وتعزيز العلاقة مع أصحاب المصلحة إلى مزيد من التطوير. ويشير ذلك إلى أن مفهوم الاستدامة الاجتماعية لا ينبغي أن يقتصر على منع الحوادث، بل يجب أن يمتد إلى تحسين جودة بيئة العمل وتعزيز رفاه العاملين والمجتمع المحيط بالمشروع</w:t>
      </w:r>
      <w:r w:rsidRPr="00445A5B">
        <w:rPr>
          <w:rFonts w:ascii="Traditional Arabic" w:eastAsia="Times New Roman" w:hAnsi="Traditional Arabic" w:cs="Traditional Arabic"/>
          <w:kern w:val="36"/>
          <w:sz w:val="28"/>
          <w:szCs w:val="28"/>
          <w:highlight w:val="green"/>
        </w:rPr>
        <w:t>.</w:t>
      </w:r>
    </w:p>
    <w:p w14:paraId="10241D61" w14:textId="77777777" w:rsidR="000E666F" w:rsidRPr="00445A5B" w:rsidRDefault="000E666F" w:rsidP="000E666F">
      <w:pPr>
        <w:bidi/>
        <w:jc w:val="both"/>
        <w:rPr>
          <w:rFonts w:ascii="Traditional Arabic" w:eastAsia="Times New Roman" w:hAnsi="Traditional Arabic" w:cs="Traditional Arabic"/>
          <w:kern w:val="36"/>
          <w:sz w:val="28"/>
          <w:szCs w:val="28"/>
          <w:highlight w:val="green"/>
          <w:rtl/>
        </w:rPr>
      </w:pPr>
      <w:r w:rsidRPr="00445A5B">
        <w:rPr>
          <w:rFonts w:ascii="Traditional Arabic" w:eastAsia="Times New Roman" w:hAnsi="Traditional Arabic" w:cs="Traditional Arabic"/>
          <w:kern w:val="36"/>
          <w:sz w:val="28"/>
          <w:szCs w:val="28"/>
          <w:highlight w:val="green"/>
          <w:rtl/>
        </w:rPr>
        <w:t>وتشير النتائج المتعلقة بأداء المشروع إلى أن الجودة تمثل المجال الأكثر اتساقًا في الأداء، في حين تظهر تحديات أكبر في تحويل التخطيط والرقابة إلى نتائج نهائية ثابتة في التكلفة والوقت. وبصفة خاصة، تكشف النتائج عن وجود فجوة بين القدرة على مراقبة التكاليف والتخطيط الزمني وبين تحقيق الالتزام الكامل بالميزانية وموعد التسليم، مما يؤكد أن أداء المشروع يتأثر بقدرة الإدارة على التعامل مع التغيرات والمخاطر أثناء التنفيذ، وليس فقط بجودة الخطط الأولية</w:t>
      </w:r>
      <w:r w:rsidRPr="00445A5B">
        <w:rPr>
          <w:rFonts w:ascii="Traditional Arabic" w:eastAsia="Times New Roman" w:hAnsi="Traditional Arabic" w:cs="Traditional Arabic"/>
          <w:kern w:val="36"/>
          <w:sz w:val="28"/>
          <w:szCs w:val="28"/>
          <w:highlight w:val="green"/>
        </w:rPr>
        <w:t>.</w:t>
      </w:r>
    </w:p>
    <w:p w14:paraId="5487CD0E" w14:textId="77777777" w:rsidR="000E666F" w:rsidRPr="00445A5B" w:rsidRDefault="000E666F" w:rsidP="000E666F">
      <w:pPr>
        <w:bidi/>
        <w:jc w:val="both"/>
        <w:rPr>
          <w:rFonts w:ascii="Traditional Arabic" w:eastAsia="Times New Roman" w:hAnsi="Traditional Arabic" w:cs="Traditional Arabic"/>
          <w:kern w:val="36"/>
          <w:sz w:val="28"/>
          <w:szCs w:val="28"/>
          <w:highlight w:val="green"/>
          <w:rtl/>
        </w:rPr>
      </w:pPr>
      <w:r w:rsidRPr="00445A5B">
        <w:rPr>
          <w:rFonts w:ascii="Traditional Arabic" w:eastAsia="Times New Roman" w:hAnsi="Traditional Arabic" w:cs="Traditional Arabic"/>
          <w:kern w:val="36"/>
          <w:sz w:val="28"/>
          <w:szCs w:val="28"/>
          <w:highlight w:val="green"/>
          <w:rtl/>
        </w:rPr>
        <w:t>وتؤكد النتائج كذلك أن رضا العملاء يمثل نتيجة تراكمية لتكامل أبعاد أداء المشروع، ولا يتحدد فقط بجودة المخرجات النهائية. فالتواصل، وسرعة الاستجابة للملاحظات، والقدرة على تحقيق التوازن بين الجودة والتكلفة والمدة الزمنية، جميعها تسهم في تشكيل تقييم العميل لنجاح المشروع</w:t>
      </w:r>
      <w:r w:rsidRPr="00445A5B">
        <w:rPr>
          <w:rFonts w:ascii="Traditional Arabic" w:eastAsia="Times New Roman" w:hAnsi="Traditional Arabic" w:cs="Traditional Arabic"/>
          <w:kern w:val="36"/>
          <w:sz w:val="28"/>
          <w:szCs w:val="28"/>
          <w:highlight w:val="green"/>
        </w:rPr>
        <w:t>.</w:t>
      </w:r>
    </w:p>
    <w:p w14:paraId="78D2827A" w14:textId="77777777" w:rsidR="000E666F" w:rsidRPr="00445A5B" w:rsidRDefault="000E666F" w:rsidP="000E666F">
      <w:pPr>
        <w:bidi/>
        <w:jc w:val="both"/>
        <w:rPr>
          <w:rFonts w:ascii="Traditional Arabic" w:eastAsia="Times New Roman" w:hAnsi="Traditional Arabic" w:cs="Traditional Arabic"/>
          <w:kern w:val="36"/>
          <w:sz w:val="28"/>
          <w:szCs w:val="28"/>
          <w:highlight w:val="green"/>
          <w:rtl/>
        </w:rPr>
      </w:pPr>
      <w:r w:rsidRPr="00445A5B">
        <w:rPr>
          <w:rFonts w:ascii="Traditional Arabic" w:eastAsia="Times New Roman" w:hAnsi="Traditional Arabic" w:cs="Traditional Arabic"/>
          <w:kern w:val="36"/>
          <w:sz w:val="28"/>
          <w:szCs w:val="28"/>
          <w:highlight w:val="green"/>
          <w:rtl/>
        </w:rPr>
        <w:t>ومن ناحية أخرى، تكشف نتائج البيئة الداعمة للاستدامة أن وجود السياسات واللوائح وحده لا يكفي لضمان التطبيق الفعال للاستدامة. فحجم المشروع وتوافر الموارد قد يسهّلان تبني التقنيات المستدامة، كما أن وعي العاملين يمثل عنصرًا مهمًا في ترجمة الاستدامة إلى ممارسات فعلية. إلا أن محدودية التدريب والتوعية تمثل نقطة ضعف مؤسسية تحد من بناء قدرات مستدامة طويلة الأجل</w:t>
      </w:r>
      <w:r w:rsidRPr="00445A5B">
        <w:rPr>
          <w:rFonts w:ascii="Traditional Arabic" w:eastAsia="Times New Roman" w:hAnsi="Traditional Arabic" w:cs="Traditional Arabic"/>
          <w:kern w:val="36"/>
          <w:sz w:val="28"/>
          <w:szCs w:val="28"/>
          <w:highlight w:val="green"/>
        </w:rPr>
        <w:t>.</w:t>
      </w:r>
    </w:p>
    <w:p w14:paraId="3EE46DD8" w14:textId="77777777" w:rsidR="000E666F" w:rsidRPr="00445A5B" w:rsidRDefault="000E666F" w:rsidP="000E666F">
      <w:pPr>
        <w:bidi/>
        <w:jc w:val="both"/>
        <w:rPr>
          <w:rFonts w:ascii="Traditional Arabic" w:eastAsia="Times New Roman" w:hAnsi="Traditional Arabic" w:cs="Traditional Arabic"/>
          <w:kern w:val="36"/>
          <w:sz w:val="28"/>
          <w:szCs w:val="28"/>
          <w:rtl/>
        </w:rPr>
      </w:pPr>
      <w:r w:rsidRPr="00445A5B">
        <w:rPr>
          <w:rFonts w:ascii="Traditional Arabic" w:eastAsia="Times New Roman" w:hAnsi="Traditional Arabic" w:cs="Traditional Arabic"/>
          <w:kern w:val="36"/>
          <w:sz w:val="28"/>
          <w:szCs w:val="28"/>
          <w:highlight w:val="green"/>
          <w:rtl/>
        </w:rPr>
        <w:lastRenderedPageBreak/>
        <w:t>وبصورة إجمالية، تشير نتائج الفصل إلى أن تحقيق أداء مستدام للمشاريع الإنشائية يعتمد على تكامل ممارسات الاستدامة مع البيئة المؤسسية والتنظيمية المحيطة بها. فالممارسات البيئية والاقتصادية والاجتماعية لا تعمل بمعزل عن بعضها، كما أن أثرها في أداء المشروع يتوقف على قدرة المؤسسة على توفير السياسات، والموارد، والوعي، والتدريب، وآليات الإدارة اللازمة لتطبيقها. ومن ثم، فإن الاستدامة الفعالة في قطاع الإنشاءات لا تتمثل في تبني مبادرات منفردة، بل في بناء منظومة متكاملة تربط بين الامتثال البيئي، والكفاءة الاقتصادية، والحماية الاجتماعية، والقدرة التنظيمية، وتحسين نتائج المشروع.</w:t>
      </w:r>
    </w:p>
    <w:p w14:paraId="5C56C41E" w14:textId="7476A243" w:rsidR="000E666F" w:rsidRPr="00445A5B" w:rsidRDefault="00D07F91" w:rsidP="000E666F">
      <w:pPr>
        <w:bidi/>
        <w:jc w:val="both"/>
        <w:rPr>
          <w:rFonts w:ascii="Traditional Arabic" w:eastAsia="Times New Roman" w:hAnsi="Traditional Arabic" w:cs="Traditional Arabic"/>
          <w:b/>
          <w:bCs/>
          <w:kern w:val="36"/>
          <w:sz w:val="28"/>
          <w:szCs w:val="28"/>
          <w:highlight w:val="yellow"/>
          <w:rtl/>
        </w:rPr>
      </w:pPr>
      <w:r w:rsidRPr="00445A5B">
        <w:rPr>
          <w:rFonts w:ascii="Traditional Arabic" w:eastAsia="Times New Roman" w:hAnsi="Traditional Arabic" w:cs="Traditional Arabic"/>
          <w:b/>
          <w:bCs/>
          <w:kern w:val="36"/>
          <w:sz w:val="28"/>
          <w:szCs w:val="28"/>
          <w:highlight w:val="yellow"/>
          <w:rtl/>
        </w:rPr>
        <w:t>4-7</w:t>
      </w:r>
      <w:r w:rsidR="000E666F" w:rsidRPr="00445A5B">
        <w:rPr>
          <w:rFonts w:ascii="Traditional Arabic" w:eastAsia="Times New Roman" w:hAnsi="Traditional Arabic" w:cs="Traditional Arabic"/>
          <w:b/>
          <w:bCs/>
          <w:kern w:val="36"/>
          <w:sz w:val="28"/>
          <w:szCs w:val="28"/>
          <w:highlight w:val="yellow"/>
          <w:rtl/>
        </w:rPr>
        <w:t xml:space="preserve"> الدلالات الإدارية والتطبيقية للنتائج</w:t>
      </w:r>
    </w:p>
    <w:p w14:paraId="07AEAC23"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tl/>
        </w:rPr>
      </w:pPr>
      <w:r w:rsidRPr="00445A5B">
        <w:rPr>
          <w:rFonts w:ascii="Traditional Arabic" w:eastAsia="Times New Roman" w:hAnsi="Traditional Arabic" w:cs="Traditional Arabic"/>
          <w:kern w:val="36"/>
          <w:sz w:val="28"/>
          <w:szCs w:val="28"/>
          <w:highlight w:val="yellow"/>
          <w:rtl/>
        </w:rPr>
        <w:t>تشير النتائج إلى مجموعة من الدلالات التطبيقية المهمة لقطاع الإنشاءات، حيث تؤكد أن تبني ممارسات الاستدامة لا يمثل مجرد التزام بيئي أو تنظيمي، وإنما يعد مدخلاً عملياً لتحسين كفاءة الأداء المؤسسي. كما توضح النتائج أن الاستثمار في الجوانب الاقتصادية والاجتماعية للاستدامة يسهم بصورة مباشرة في تحسين إدارة التكلفة والجودة والوقت ورفع مستوى رضا العملاء</w:t>
      </w:r>
      <w:r w:rsidRPr="00445A5B">
        <w:rPr>
          <w:rFonts w:ascii="Traditional Arabic" w:eastAsia="Times New Roman" w:hAnsi="Traditional Arabic" w:cs="Traditional Arabic"/>
          <w:kern w:val="36"/>
          <w:sz w:val="28"/>
          <w:szCs w:val="28"/>
          <w:highlight w:val="yellow"/>
        </w:rPr>
        <w:t>.</w:t>
      </w:r>
    </w:p>
    <w:p w14:paraId="530E6A25" w14:textId="77777777" w:rsidR="000E666F" w:rsidRPr="00445A5B" w:rsidRDefault="000E666F" w:rsidP="000E666F">
      <w:pPr>
        <w:bidi/>
        <w:jc w:val="both"/>
        <w:rPr>
          <w:rFonts w:ascii="Traditional Arabic" w:eastAsia="Times New Roman" w:hAnsi="Traditional Arabic" w:cs="Traditional Arabic"/>
          <w:kern w:val="36"/>
          <w:sz w:val="28"/>
          <w:szCs w:val="28"/>
        </w:rPr>
      </w:pPr>
      <w:r w:rsidRPr="00445A5B">
        <w:rPr>
          <w:rFonts w:ascii="Traditional Arabic" w:eastAsia="Times New Roman" w:hAnsi="Traditional Arabic" w:cs="Traditional Arabic"/>
          <w:kern w:val="36"/>
          <w:sz w:val="28"/>
          <w:szCs w:val="28"/>
          <w:highlight w:val="yellow"/>
          <w:rtl/>
        </w:rPr>
        <w:t>كذلك تؤكد النتائج أهمية توفير بيئة تنظيمية داعمة تتضمن سياسات واضحة، وبرامج تدريبية، وحوافز مؤسسية، بما يعزز من فاعلية تطبيق ممارسات الاستدامة ويزيد من انعكاسها الإيجابي على أداء المشاريع. وعليه، فإن نتائج الدراسة تقدم مؤشرات عملية يمكن أن يستفيد منها متخذو القرار في شركات الإنشاءات عند تطوير استراتيجيات الاستدامة وتحسين كفاءة تنفيذ المشاريع.</w:t>
      </w:r>
    </w:p>
    <w:p w14:paraId="6B0AE674"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tl/>
        </w:rPr>
      </w:pPr>
      <w:r w:rsidRPr="00445A5B">
        <w:rPr>
          <w:rFonts w:ascii="Traditional Arabic" w:eastAsia="Times New Roman" w:hAnsi="Traditional Arabic" w:cs="Traditional Arabic"/>
          <w:kern w:val="36"/>
          <w:sz w:val="28"/>
          <w:szCs w:val="28"/>
          <w:highlight w:val="yellow"/>
          <w:rtl/>
        </w:rPr>
        <w:t>جدول (4.31) ربط أهداف الدراسة بالنتائج المتوصل إليها</w:t>
      </w:r>
    </w:p>
    <w:tbl>
      <w:tblPr>
        <w:tblStyle w:val="TableGrid"/>
        <w:bidiVisual/>
        <w:tblW w:w="5000" w:type="pct"/>
        <w:jc w:val="center"/>
        <w:tblLook w:val="04A0" w:firstRow="1" w:lastRow="0" w:firstColumn="1" w:lastColumn="0" w:noHBand="0" w:noVBand="1"/>
      </w:tblPr>
      <w:tblGrid>
        <w:gridCol w:w="3160"/>
        <w:gridCol w:w="5136"/>
      </w:tblGrid>
      <w:tr w:rsidR="000E666F" w:rsidRPr="00445A5B" w14:paraId="4E276DA5" w14:textId="77777777" w:rsidTr="004F3CC9">
        <w:trPr>
          <w:jc w:val="center"/>
        </w:trPr>
        <w:tc>
          <w:tcPr>
            <w:tcW w:w="0" w:type="auto"/>
            <w:vAlign w:val="center"/>
            <w:hideMark/>
          </w:tcPr>
          <w:p w14:paraId="1C37E84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هدف الدراسة</w:t>
            </w:r>
          </w:p>
        </w:tc>
        <w:tc>
          <w:tcPr>
            <w:tcW w:w="0" w:type="auto"/>
            <w:vAlign w:val="center"/>
            <w:hideMark/>
          </w:tcPr>
          <w:p w14:paraId="27D5BFA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أهم النتائج المرتبطة به</w:t>
            </w:r>
          </w:p>
        </w:tc>
      </w:tr>
      <w:tr w:rsidR="000E666F" w:rsidRPr="00445A5B" w14:paraId="40F2B3F2" w14:textId="77777777" w:rsidTr="004F3CC9">
        <w:trPr>
          <w:jc w:val="center"/>
        </w:trPr>
        <w:tc>
          <w:tcPr>
            <w:tcW w:w="0" w:type="auto"/>
            <w:vAlign w:val="center"/>
            <w:hideMark/>
          </w:tcPr>
          <w:p w14:paraId="59A6414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التعرف على مستوى تطبيق ممارسات الاستدامة</w:t>
            </w:r>
          </w:p>
        </w:tc>
        <w:tc>
          <w:tcPr>
            <w:tcW w:w="0" w:type="auto"/>
            <w:vAlign w:val="center"/>
            <w:hideMark/>
          </w:tcPr>
          <w:p w14:paraId="5A2462E4"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أظهرت النتائج ارتفاع مستوى تطبيق الاستدامة البيئية والاقتصادية والاجتماعية</w:t>
            </w:r>
            <w:r w:rsidRPr="00445A5B">
              <w:rPr>
                <w:rFonts w:ascii="Traditional Arabic" w:eastAsia="Times New Roman" w:hAnsi="Traditional Arabic" w:cs="Traditional Arabic"/>
                <w:sz w:val="28"/>
                <w:szCs w:val="28"/>
                <w:highlight w:val="yellow"/>
              </w:rPr>
              <w:t>.</w:t>
            </w:r>
          </w:p>
        </w:tc>
      </w:tr>
      <w:tr w:rsidR="000E666F" w:rsidRPr="00445A5B" w14:paraId="1A79E687" w14:textId="77777777" w:rsidTr="004F3CC9">
        <w:trPr>
          <w:jc w:val="center"/>
        </w:trPr>
        <w:tc>
          <w:tcPr>
            <w:tcW w:w="0" w:type="auto"/>
            <w:vAlign w:val="center"/>
            <w:hideMark/>
          </w:tcPr>
          <w:p w14:paraId="39EE3311"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قياس مستوى أداء المشاريع الإنشائية</w:t>
            </w:r>
          </w:p>
        </w:tc>
        <w:tc>
          <w:tcPr>
            <w:tcW w:w="0" w:type="auto"/>
            <w:vAlign w:val="center"/>
            <w:hideMark/>
          </w:tcPr>
          <w:p w14:paraId="0229D91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تبين ارتفاع مستوى أداء التكلفة والجودة والوقت ورضا العملاء</w:t>
            </w:r>
            <w:r w:rsidRPr="00445A5B">
              <w:rPr>
                <w:rFonts w:ascii="Traditional Arabic" w:eastAsia="Times New Roman" w:hAnsi="Traditional Arabic" w:cs="Traditional Arabic"/>
                <w:sz w:val="28"/>
                <w:szCs w:val="28"/>
                <w:highlight w:val="yellow"/>
              </w:rPr>
              <w:t>.</w:t>
            </w:r>
          </w:p>
        </w:tc>
      </w:tr>
      <w:tr w:rsidR="000E666F" w:rsidRPr="00445A5B" w14:paraId="65BE1B1B" w14:textId="77777777" w:rsidTr="004F3CC9">
        <w:trPr>
          <w:jc w:val="center"/>
        </w:trPr>
        <w:tc>
          <w:tcPr>
            <w:tcW w:w="0" w:type="auto"/>
            <w:vAlign w:val="center"/>
            <w:hideMark/>
          </w:tcPr>
          <w:p w14:paraId="518D921A"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اختبار أثر الاستدامة في أداء المشاريع</w:t>
            </w:r>
          </w:p>
        </w:tc>
        <w:tc>
          <w:tcPr>
            <w:tcW w:w="0" w:type="auto"/>
            <w:vAlign w:val="center"/>
            <w:hideMark/>
          </w:tcPr>
          <w:p w14:paraId="3F2ABDBF"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أثبت تحليل الانحدار وجود تأثير معنوي لمعظم أبعاد الاستدامة في أداء المشروع</w:t>
            </w:r>
            <w:r w:rsidRPr="00445A5B">
              <w:rPr>
                <w:rFonts w:ascii="Traditional Arabic" w:eastAsia="Times New Roman" w:hAnsi="Traditional Arabic" w:cs="Traditional Arabic"/>
                <w:sz w:val="28"/>
                <w:szCs w:val="28"/>
                <w:highlight w:val="yellow"/>
              </w:rPr>
              <w:t>.</w:t>
            </w:r>
          </w:p>
        </w:tc>
      </w:tr>
      <w:tr w:rsidR="000E666F" w:rsidRPr="00445A5B" w14:paraId="121D7379" w14:textId="77777777" w:rsidTr="004F3CC9">
        <w:trPr>
          <w:jc w:val="center"/>
        </w:trPr>
        <w:tc>
          <w:tcPr>
            <w:tcW w:w="0" w:type="auto"/>
            <w:vAlign w:val="center"/>
            <w:hideMark/>
          </w:tcPr>
          <w:p w14:paraId="4922C907" w14:textId="77777777" w:rsidR="000E666F" w:rsidRPr="00445A5B" w:rsidRDefault="000E666F" w:rsidP="004F3CC9">
            <w:pPr>
              <w:bidi/>
              <w:jc w:val="both"/>
              <w:rPr>
                <w:rFonts w:ascii="Traditional Arabic" w:eastAsia="Times New Roman" w:hAnsi="Traditional Arabic" w:cs="Traditional Arabic"/>
                <w:sz w:val="28"/>
                <w:szCs w:val="28"/>
                <w:highlight w:val="yellow"/>
              </w:rPr>
            </w:pPr>
            <w:r w:rsidRPr="00445A5B">
              <w:rPr>
                <w:rFonts w:ascii="Traditional Arabic" w:eastAsia="Times New Roman" w:hAnsi="Traditional Arabic" w:cs="Traditional Arabic"/>
                <w:sz w:val="28"/>
                <w:szCs w:val="28"/>
                <w:highlight w:val="yellow"/>
                <w:rtl/>
              </w:rPr>
              <w:t>تحديد دور البيئة الداعمة للاستدامة</w:t>
            </w:r>
          </w:p>
        </w:tc>
        <w:tc>
          <w:tcPr>
            <w:tcW w:w="0" w:type="auto"/>
            <w:vAlign w:val="center"/>
            <w:hideMark/>
          </w:tcPr>
          <w:p w14:paraId="5686F2CD" w14:textId="77777777" w:rsidR="000E666F" w:rsidRPr="00445A5B" w:rsidRDefault="000E666F" w:rsidP="004F3CC9">
            <w:pPr>
              <w:bidi/>
              <w:jc w:val="both"/>
              <w:rPr>
                <w:rFonts w:ascii="Traditional Arabic" w:eastAsia="Times New Roman" w:hAnsi="Traditional Arabic" w:cs="Traditional Arabic"/>
                <w:sz w:val="28"/>
                <w:szCs w:val="28"/>
              </w:rPr>
            </w:pPr>
            <w:r w:rsidRPr="00445A5B">
              <w:rPr>
                <w:rFonts w:ascii="Traditional Arabic" w:eastAsia="Times New Roman" w:hAnsi="Traditional Arabic" w:cs="Traditional Arabic"/>
                <w:sz w:val="28"/>
                <w:szCs w:val="28"/>
                <w:highlight w:val="yellow"/>
                <w:rtl/>
              </w:rPr>
              <w:t>أثبت تحليل الوساطة وجود وساطة جزئية للبيئة الداعمة للاستدامة</w:t>
            </w:r>
            <w:r w:rsidRPr="00445A5B">
              <w:rPr>
                <w:rFonts w:ascii="Traditional Arabic" w:eastAsia="Times New Roman" w:hAnsi="Traditional Arabic" w:cs="Traditional Arabic"/>
                <w:sz w:val="28"/>
                <w:szCs w:val="28"/>
                <w:highlight w:val="yellow"/>
              </w:rPr>
              <w:t>.</w:t>
            </w:r>
          </w:p>
        </w:tc>
      </w:tr>
    </w:tbl>
    <w:p w14:paraId="0EE3AA00" w14:textId="77777777" w:rsidR="000E666F" w:rsidRDefault="000E666F" w:rsidP="000E666F">
      <w:pPr>
        <w:bidi/>
        <w:jc w:val="both"/>
        <w:rPr>
          <w:rFonts w:ascii="Traditional Arabic" w:eastAsia="Times New Roman" w:hAnsi="Traditional Arabic" w:cs="Traditional Arabic"/>
          <w:b/>
          <w:bCs/>
          <w:kern w:val="36"/>
          <w:sz w:val="28"/>
          <w:szCs w:val="28"/>
          <w:highlight w:val="yellow"/>
          <w:rtl/>
        </w:rPr>
      </w:pPr>
      <w:r w:rsidRPr="00445A5B">
        <w:rPr>
          <w:rFonts w:ascii="Traditional Arabic" w:eastAsia="Times New Roman" w:hAnsi="Traditional Arabic" w:cs="Traditional Arabic"/>
          <w:b/>
          <w:bCs/>
          <w:kern w:val="36"/>
          <w:sz w:val="28"/>
          <w:szCs w:val="28"/>
          <w:highlight w:val="yellow"/>
          <w:rtl/>
        </w:rPr>
        <w:t xml:space="preserve"> </w:t>
      </w:r>
    </w:p>
    <w:p w14:paraId="2AFB2CB1" w14:textId="77777777" w:rsidR="00445A5B" w:rsidRDefault="00445A5B" w:rsidP="00445A5B">
      <w:pPr>
        <w:bidi/>
        <w:jc w:val="both"/>
        <w:rPr>
          <w:rFonts w:ascii="Traditional Arabic" w:eastAsia="Times New Roman" w:hAnsi="Traditional Arabic" w:cs="Traditional Arabic"/>
          <w:b/>
          <w:bCs/>
          <w:kern w:val="36"/>
          <w:sz w:val="28"/>
          <w:szCs w:val="28"/>
          <w:highlight w:val="yellow"/>
          <w:rtl/>
        </w:rPr>
      </w:pPr>
    </w:p>
    <w:p w14:paraId="534EC2E1" w14:textId="77777777" w:rsidR="00445A5B" w:rsidRDefault="00445A5B" w:rsidP="00445A5B">
      <w:pPr>
        <w:bidi/>
        <w:jc w:val="both"/>
        <w:rPr>
          <w:rFonts w:ascii="Traditional Arabic" w:eastAsia="Times New Roman" w:hAnsi="Traditional Arabic" w:cs="Traditional Arabic"/>
          <w:b/>
          <w:bCs/>
          <w:kern w:val="36"/>
          <w:sz w:val="28"/>
          <w:szCs w:val="28"/>
          <w:highlight w:val="yellow"/>
          <w:rtl/>
        </w:rPr>
      </w:pPr>
    </w:p>
    <w:p w14:paraId="3130E391" w14:textId="77777777" w:rsidR="00445A5B" w:rsidRPr="00445A5B" w:rsidRDefault="00445A5B" w:rsidP="00445A5B">
      <w:pPr>
        <w:bidi/>
        <w:jc w:val="both"/>
        <w:rPr>
          <w:rFonts w:ascii="Traditional Arabic" w:eastAsia="Times New Roman" w:hAnsi="Traditional Arabic" w:cs="Traditional Arabic" w:hint="cs"/>
          <w:b/>
          <w:bCs/>
          <w:kern w:val="36"/>
          <w:sz w:val="28"/>
          <w:szCs w:val="28"/>
          <w:highlight w:val="yellow"/>
          <w:rtl/>
        </w:rPr>
      </w:pPr>
    </w:p>
    <w:p w14:paraId="4EFD6896" w14:textId="1755549D" w:rsidR="000E666F" w:rsidRPr="00445A5B" w:rsidRDefault="00D07F91" w:rsidP="000E666F">
      <w:pPr>
        <w:bidi/>
        <w:jc w:val="both"/>
        <w:rPr>
          <w:rFonts w:ascii="Traditional Arabic" w:eastAsia="Times New Roman" w:hAnsi="Traditional Arabic" w:cs="Traditional Arabic"/>
          <w:b/>
          <w:bCs/>
          <w:kern w:val="36"/>
          <w:sz w:val="28"/>
          <w:szCs w:val="28"/>
          <w:highlight w:val="yellow"/>
          <w:rtl/>
        </w:rPr>
      </w:pPr>
      <w:r w:rsidRPr="00445A5B">
        <w:rPr>
          <w:rFonts w:ascii="Traditional Arabic" w:eastAsia="Times New Roman" w:hAnsi="Traditional Arabic" w:cs="Traditional Arabic"/>
          <w:b/>
          <w:bCs/>
          <w:kern w:val="36"/>
          <w:sz w:val="28"/>
          <w:szCs w:val="28"/>
          <w:highlight w:val="yellow"/>
          <w:rtl/>
        </w:rPr>
        <w:lastRenderedPageBreak/>
        <w:t>4-8</w:t>
      </w:r>
      <w:r w:rsidR="000E666F" w:rsidRPr="00445A5B">
        <w:rPr>
          <w:rFonts w:ascii="Traditional Arabic" w:eastAsia="Times New Roman" w:hAnsi="Traditional Arabic" w:cs="Traditional Arabic"/>
          <w:b/>
          <w:bCs/>
          <w:kern w:val="36"/>
          <w:sz w:val="28"/>
          <w:szCs w:val="28"/>
          <w:highlight w:val="yellow"/>
          <w:rtl/>
        </w:rPr>
        <w:t xml:space="preserve"> الإجابة عن أسئلة الدراسة</w:t>
      </w:r>
    </w:p>
    <w:p w14:paraId="6AA2313C"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في ضوء النتائج الإحصائية التي تم التوصل إليها، أمكن الإجابة عن أسئلة الدراسة على النحو الآتي</w:t>
      </w:r>
      <w:r w:rsidRPr="00445A5B">
        <w:rPr>
          <w:rFonts w:ascii="Traditional Arabic" w:eastAsia="Times New Roman" w:hAnsi="Traditional Arabic" w:cs="Traditional Arabic"/>
          <w:kern w:val="36"/>
          <w:sz w:val="28"/>
          <w:szCs w:val="28"/>
          <w:highlight w:val="yellow"/>
        </w:rPr>
        <w:t>:</w:t>
      </w:r>
    </w:p>
    <w:p w14:paraId="6B47B677"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أظهرت النتائج أن مستوى تطبيق ممارسات الاستدامة في المشاريع الإنشائية جاء مرتفعًا في أبعاده البيئية والاقتصادية والاجتماعية، مع تصدر البعد الاقتصادي من حيث مستوى التطبيق، مما يعكس اهتمام الشركات بتعظيم الكفاءة الاقتصادية إلى جانب تبني ممارسات الاستدامة</w:t>
      </w:r>
      <w:r w:rsidRPr="00445A5B">
        <w:rPr>
          <w:rFonts w:ascii="Traditional Arabic" w:eastAsia="Times New Roman" w:hAnsi="Traditional Arabic" w:cs="Traditional Arabic"/>
          <w:kern w:val="36"/>
          <w:sz w:val="28"/>
          <w:szCs w:val="28"/>
          <w:highlight w:val="yellow"/>
        </w:rPr>
        <w:t>.</w:t>
      </w:r>
    </w:p>
    <w:p w14:paraId="392FF41C"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كما بينت النتائج أن مستوى أداء المشاريع الإنشائية جاء مرتفعًا في أبعاده المختلفة، والمتمثلة في أداء التكلفة، وأداء الجودة، وأداء الوقت، ورضا العملاء، بما يشير إلى وجود مستوى جيد من كفاءة تنفيذ المشاريع محل الدراسة</w:t>
      </w:r>
      <w:r w:rsidRPr="00445A5B">
        <w:rPr>
          <w:rFonts w:ascii="Traditional Arabic" w:eastAsia="Times New Roman" w:hAnsi="Traditional Arabic" w:cs="Traditional Arabic"/>
          <w:kern w:val="36"/>
          <w:sz w:val="28"/>
          <w:szCs w:val="28"/>
          <w:highlight w:val="yellow"/>
        </w:rPr>
        <w:t>.</w:t>
      </w:r>
    </w:p>
    <w:p w14:paraId="7FB499D4"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وأوضحت نتائج تحليل الانحدار المتعدد وجود تأثير معنوي لممارسات الاستدامة في أداء المشاريع الإنشائية، إلا أن قوة هذا التأثير اختلفت باختلاف أبعاد الأداء؛ حيث كان للبعدين الاقتصادي والاجتماعي التأثير الأكبر، بينما تباين تأثير البعد البيئي بين أبعاد الأداء المختلفة</w:t>
      </w:r>
      <w:r w:rsidRPr="00445A5B">
        <w:rPr>
          <w:rFonts w:ascii="Traditional Arabic" w:eastAsia="Times New Roman" w:hAnsi="Traditional Arabic" w:cs="Traditional Arabic"/>
          <w:kern w:val="36"/>
          <w:sz w:val="28"/>
          <w:szCs w:val="28"/>
          <w:highlight w:val="yellow"/>
        </w:rPr>
        <w:t>.</w:t>
      </w:r>
    </w:p>
    <w:p w14:paraId="4E7E5B0B"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كذلك أثبتت النتائج وجود دور وسيط جزئي للبيئة الداعمة للاستدامة في العلاقة بين ممارسات الاستدامة وأداء المشاريع، مما يدل على أن توفير بيئة تنظيمية ومؤسسية داعمة يسهم في تعزيز أثر ممارسات الاستدامة وتحويلها إلى تحسينات ملموسة في أداء المشاريع</w:t>
      </w:r>
      <w:r w:rsidRPr="00445A5B">
        <w:rPr>
          <w:rFonts w:ascii="Traditional Arabic" w:eastAsia="Times New Roman" w:hAnsi="Traditional Arabic" w:cs="Traditional Arabic"/>
          <w:kern w:val="36"/>
          <w:sz w:val="28"/>
          <w:szCs w:val="28"/>
          <w:highlight w:val="yellow"/>
        </w:rPr>
        <w:t>.</w:t>
      </w:r>
    </w:p>
    <w:p w14:paraId="607786BE" w14:textId="77777777" w:rsidR="000E666F" w:rsidRPr="00445A5B" w:rsidRDefault="000E666F" w:rsidP="000E666F">
      <w:pPr>
        <w:bidi/>
        <w:jc w:val="both"/>
        <w:rPr>
          <w:rFonts w:ascii="Traditional Arabic" w:eastAsia="Times New Roman" w:hAnsi="Traditional Arabic" w:cs="Traditional Arabic"/>
          <w:kern w:val="36"/>
          <w:sz w:val="28"/>
          <w:szCs w:val="28"/>
          <w:highlight w:val="yellow"/>
        </w:rPr>
      </w:pPr>
      <w:r w:rsidRPr="00445A5B">
        <w:rPr>
          <w:rFonts w:ascii="Traditional Arabic" w:eastAsia="Times New Roman" w:hAnsi="Traditional Arabic" w:cs="Traditional Arabic"/>
          <w:kern w:val="36"/>
          <w:sz w:val="28"/>
          <w:szCs w:val="28"/>
          <w:highlight w:val="yellow"/>
          <w:rtl/>
        </w:rPr>
        <w:t>وبناءً على ذلك، يمكن القول إن الدراسة قد أجابت عن جميع أسئلتها الرئيسة، وأكدت أن تطبيق ممارسات الاستدامة، في ظل وجود بيئة داعمة، يسهم بصورة إيجابية في تحسين أداء المشاريع الإنشائية بمختلف أبعاده، وهو ما يحقق أهداف الدراسة ويشكل أساسًا لمناقشة هذه النتائج بصورة أكثر تفصيلًا في الفصل الخامس</w:t>
      </w:r>
      <w:r w:rsidRPr="00445A5B">
        <w:rPr>
          <w:rFonts w:ascii="Traditional Arabic" w:eastAsia="Times New Roman" w:hAnsi="Traditional Arabic" w:cs="Traditional Arabic"/>
          <w:kern w:val="36"/>
          <w:sz w:val="28"/>
          <w:szCs w:val="28"/>
          <w:highlight w:val="yellow"/>
        </w:rPr>
        <w:t>.</w:t>
      </w:r>
    </w:p>
    <w:p w14:paraId="64790761" w14:textId="7214EBCE" w:rsidR="000E666F" w:rsidRPr="00445A5B" w:rsidRDefault="00D07F91" w:rsidP="000E666F">
      <w:pPr>
        <w:bidi/>
        <w:jc w:val="both"/>
        <w:rPr>
          <w:rFonts w:ascii="Traditional Arabic" w:eastAsia="Times New Roman" w:hAnsi="Traditional Arabic" w:cs="Traditional Arabic"/>
          <w:b/>
          <w:bCs/>
          <w:kern w:val="36"/>
          <w:sz w:val="28"/>
          <w:szCs w:val="28"/>
          <w:highlight w:val="green"/>
        </w:rPr>
      </w:pPr>
      <w:r w:rsidRPr="00445A5B">
        <w:rPr>
          <w:rFonts w:ascii="Traditional Arabic" w:eastAsia="Times New Roman" w:hAnsi="Traditional Arabic" w:cs="Traditional Arabic"/>
          <w:b/>
          <w:bCs/>
          <w:kern w:val="36"/>
          <w:sz w:val="28"/>
          <w:szCs w:val="28"/>
          <w:highlight w:val="green"/>
          <w:rtl/>
        </w:rPr>
        <w:t>4-9</w:t>
      </w:r>
      <w:r w:rsidR="000E666F" w:rsidRPr="00445A5B">
        <w:rPr>
          <w:rFonts w:ascii="Traditional Arabic" w:eastAsia="Times New Roman" w:hAnsi="Traditional Arabic" w:cs="Traditional Arabic"/>
          <w:b/>
          <w:bCs/>
          <w:kern w:val="36"/>
          <w:sz w:val="28"/>
          <w:szCs w:val="28"/>
          <w:highlight w:val="green"/>
          <w:rtl/>
        </w:rPr>
        <w:t xml:space="preserve"> خاتمة الفصل الرابع</w:t>
      </w:r>
    </w:p>
    <w:p w14:paraId="121D04B5" w14:textId="77777777" w:rsidR="000E666F" w:rsidRPr="00445A5B" w:rsidRDefault="000E666F" w:rsidP="000E666F">
      <w:pPr>
        <w:bidi/>
        <w:jc w:val="both"/>
        <w:rPr>
          <w:rFonts w:ascii="Traditional Arabic" w:eastAsia="Times New Roman" w:hAnsi="Traditional Arabic" w:cs="Traditional Arabic"/>
          <w:kern w:val="36"/>
          <w:sz w:val="28"/>
          <w:szCs w:val="28"/>
          <w:highlight w:val="green"/>
        </w:rPr>
      </w:pPr>
      <w:r w:rsidRPr="00445A5B">
        <w:rPr>
          <w:rFonts w:ascii="Traditional Arabic" w:eastAsia="Times New Roman" w:hAnsi="Traditional Arabic" w:cs="Traditional Arabic"/>
          <w:kern w:val="36"/>
          <w:sz w:val="28"/>
          <w:szCs w:val="28"/>
          <w:highlight w:val="green"/>
          <w:rtl/>
        </w:rPr>
        <w:t>تناول هذا الفصل عرض النتائج وتحليلها إحصائيًا، بدءًا من وصف خصائص أفراد عينة الدراسة، مرورًا بتحليل مستوى تطبيق ممارسات الاستدامة بأبعادها البيئية والاقتصادية والاجتماعية، وتحليل البيئة الداعمة للاستدامة، وانتهاءً بتقييم أبعاد أداء المشاريع الإنشائية. وقد أظهرت النتائج وجود تفاوت في مستوى تطبيق الممارسات والأداء بين الأبعاد المختلفة، بما يعكس تعدد العوامل المؤثرة في تحقيق الاستدامة وتحسين أداء المشاريع</w:t>
      </w:r>
      <w:r w:rsidRPr="00445A5B">
        <w:rPr>
          <w:rFonts w:ascii="Traditional Arabic" w:eastAsia="Times New Roman" w:hAnsi="Traditional Arabic" w:cs="Traditional Arabic"/>
          <w:kern w:val="36"/>
          <w:sz w:val="28"/>
          <w:szCs w:val="28"/>
          <w:highlight w:val="green"/>
        </w:rPr>
        <w:t>.</w:t>
      </w:r>
    </w:p>
    <w:p w14:paraId="7E4A5FE1" w14:textId="77777777" w:rsidR="000E666F" w:rsidRPr="00445A5B" w:rsidRDefault="000E666F" w:rsidP="000E666F">
      <w:pPr>
        <w:bidi/>
        <w:jc w:val="both"/>
        <w:rPr>
          <w:rFonts w:ascii="Traditional Arabic" w:eastAsia="Times New Roman" w:hAnsi="Traditional Arabic" w:cs="Traditional Arabic"/>
          <w:kern w:val="36"/>
          <w:sz w:val="28"/>
          <w:szCs w:val="28"/>
        </w:rPr>
      </w:pPr>
      <w:r w:rsidRPr="00445A5B">
        <w:rPr>
          <w:rFonts w:ascii="Traditional Arabic" w:eastAsia="Times New Roman" w:hAnsi="Traditional Arabic" w:cs="Traditional Arabic"/>
          <w:kern w:val="36"/>
          <w:sz w:val="28"/>
          <w:szCs w:val="28"/>
          <w:highlight w:val="green"/>
          <w:rtl/>
        </w:rPr>
        <w:t>ويمثل ما تم التوصل إليه في هذا الفصل الأساس التحليلي للمرحلة التالية من الدراسة؛ إذ ينتقل الفصل الخامس إلى مناقشة هذه النتائج وتفسيرها في ضوء تساؤلات الدراسة وفرضياتها، وربطها بنتائج الدراسات السابقة، مع توضيح دلالاتها النظرية والتطبيقية. وبذلك يوفر الفصل الرابع النتائج الإحصائية التي تستند إليها المناقشة اللاحقة، بينما يركز الفصل الخامس على تفسير هذه النتائج واستخلاص ما تعنيه بالنسبة إلى تطبيق الاستدامة وتحسين أداء المشاريع الإنشائية</w:t>
      </w:r>
      <w:r w:rsidRPr="00445A5B">
        <w:rPr>
          <w:rFonts w:ascii="Traditional Arabic" w:eastAsia="Times New Roman" w:hAnsi="Traditional Arabic" w:cs="Traditional Arabic"/>
          <w:kern w:val="36"/>
          <w:sz w:val="28"/>
          <w:szCs w:val="28"/>
          <w:highlight w:val="green"/>
        </w:rPr>
        <w:t>.</w:t>
      </w:r>
    </w:p>
    <w:p w14:paraId="293231EF" w14:textId="77777777" w:rsidR="006B25D0" w:rsidRDefault="006B25D0" w:rsidP="006B25D0">
      <w:pPr>
        <w:bidi/>
        <w:spacing w:line="480" w:lineRule="auto"/>
        <w:rPr>
          <w:rFonts w:ascii="Traditional Arabic" w:hAnsi="Traditional Arabic" w:cs="Traditional Arabic"/>
          <w:b/>
          <w:bCs/>
          <w:sz w:val="28"/>
          <w:szCs w:val="28"/>
          <w:u w:val="single"/>
          <w:rtl/>
          <w:lang w:bidi="ar-EG"/>
        </w:rPr>
      </w:pPr>
    </w:p>
    <w:p w14:paraId="5FFA747A" w14:textId="62A9DA8D" w:rsidR="00BC7853" w:rsidRPr="005F2223" w:rsidRDefault="00BC7853" w:rsidP="006B25D0">
      <w:pPr>
        <w:bidi/>
        <w:spacing w:line="480" w:lineRule="auto"/>
        <w:rPr>
          <w:rFonts w:ascii="Traditional Arabic" w:hAnsi="Traditional Arabic" w:cs="Traditional Arabic"/>
          <w:b/>
          <w:bCs/>
          <w:sz w:val="28"/>
          <w:szCs w:val="28"/>
          <w:u w:val="single"/>
          <w:rtl/>
          <w:lang w:bidi="ar-EG"/>
        </w:rPr>
      </w:pPr>
      <w:r w:rsidRPr="005F2223">
        <w:rPr>
          <w:rFonts w:ascii="Traditional Arabic" w:hAnsi="Traditional Arabic" w:cs="Traditional Arabic"/>
          <w:b/>
          <w:bCs/>
          <w:sz w:val="28"/>
          <w:szCs w:val="28"/>
          <w:u w:val="single"/>
          <w:rtl/>
          <w:lang w:bidi="ar-EG"/>
        </w:rPr>
        <w:lastRenderedPageBreak/>
        <w:t>المراجع</w:t>
      </w:r>
    </w:p>
    <w:p w14:paraId="265348DC" w14:textId="77777777" w:rsidR="00BC7853" w:rsidRPr="005F2223" w:rsidRDefault="00BC7853" w:rsidP="00BC7853">
      <w:pPr>
        <w:bidi/>
        <w:spacing w:line="480" w:lineRule="auto"/>
        <w:rPr>
          <w:rFonts w:ascii="Traditional Arabic" w:hAnsi="Traditional Arabic" w:cs="Traditional Arabic"/>
          <w:b/>
          <w:bCs/>
          <w:sz w:val="28"/>
          <w:szCs w:val="28"/>
          <w:u w:val="single"/>
          <w:rtl/>
          <w:lang w:bidi="ar-EG"/>
        </w:rPr>
      </w:pPr>
      <w:r w:rsidRPr="005F2223">
        <w:rPr>
          <w:rFonts w:ascii="Traditional Arabic" w:hAnsi="Traditional Arabic" w:cs="Traditional Arabic"/>
          <w:b/>
          <w:bCs/>
          <w:sz w:val="28"/>
          <w:szCs w:val="28"/>
          <w:u w:val="single"/>
          <w:rtl/>
          <w:lang w:bidi="ar-EG"/>
        </w:rPr>
        <w:t>المراجع العربية</w:t>
      </w:r>
    </w:p>
    <w:p w14:paraId="5140CF67" w14:textId="7ECD9A64" w:rsidR="00F3146F" w:rsidRPr="005F2223" w:rsidRDefault="00DC4083" w:rsidP="00DC4083">
      <w:pPr>
        <w:bidi/>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tl/>
        </w:rPr>
        <w:t xml:space="preserve">- </w:t>
      </w:r>
      <w:r w:rsidR="00F3146F" w:rsidRPr="005F2223">
        <w:rPr>
          <w:rFonts w:ascii="Traditional Arabic" w:hAnsi="Traditional Arabic" w:cs="Traditional Arabic"/>
          <w:sz w:val="28"/>
          <w:szCs w:val="28"/>
          <w:rtl/>
        </w:rPr>
        <w:t xml:space="preserve">حميد ، بوزيد. (2022). الإدارة البيئية ودورها في تحقيق التنمية المستدامة في المدن الجديدة - الجزائر أنموذجا -. مجلة الباحث للدراسات الأكاديمية, 9(1), 982-999. </w:t>
      </w:r>
      <w:hyperlink r:id="rId17" w:history="1">
        <w:r w:rsidR="00F3146F" w:rsidRPr="005F2223">
          <w:rPr>
            <w:rStyle w:val="Hyperlink"/>
            <w:rFonts w:ascii="Traditional Arabic" w:hAnsi="Traditional Arabic" w:cs="Traditional Arabic"/>
            <w:color w:val="auto"/>
            <w:sz w:val="28"/>
            <w:szCs w:val="28"/>
          </w:rPr>
          <w:t>https://asjp.cerist.dz/en/article/183119</w:t>
        </w:r>
      </w:hyperlink>
    </w:p>
    <w:p w14:paraId="7EA28414" w14:textId="2DB26261"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البقعي، ل. ب. ف.، و الهزايمة، أ. ب. ص. (2023). أثر تطبيق الإدارة الخضراء على تحقيق التنمية البيئية المستدامة</w:t>
      </w:r>
      <w:r w:rsidR="00DB5B4C"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i/>
          <w:iCs/>
          <w:sz w:val="28"/>
          <w:szCs w:val="28"/>
          <w:rtl/>
        </w:rPr>
        <w:t>المجلة الأكاديمية للأبحاث والنشر العلمي، الإصدار الثامن والأربعون</w:t>
      </w:r>
      <w:r w:rsidR="00DB5B4C" w:rsidRPr="005F2223">
        <w:rPr>
          <w:rFonts w:ascii="Traditional Arabic" w:hAnsi="Traditional Arabic" w:cs="Traditional Arabic"/>
          <w:i/>
          <w:iCs/>
          <w:sz w:val="28"/>
          <w:szCs w:val="28"/>
          <w:lang w:bidi="ar-EG"/>
        </w:rPr>
        <w:t>.</w:t>
      </w:r>
      <w:r w:rsidR="00DB5B4C" w:rsidRPr="005F2223">
        <w:rPr>
          <w:rFonts w:ascii="Traditional Arabic" w:hAnsi="Traditional Arabic" w:cs="Traditional Arabic"/>
          <w:sz w:val="28"/>
          <w:szCs w:val="28"/>
          <w:lang w:bidi="ar-EG"/>
        </w:rPr>
        <w:t xml:space="preserve"> https://doi.org/10.52132/Ajrsp/v4.48.3</w:t>
      </w:r>
    </w:p>
    <w:p w14:paraId="3BB1DF03" w14:textId="369394A3"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الحسن، ع. م. ع. (2025). دور إدارة الجودة في تحسين واستدامة المشاريع الإنشائية (دراسة حالة دولة الكويت)</w:t>
      </w:r>
      <w:r w:rsidR="00DB5B4C"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i/>
          <w:iCs/>
          <w:sz w:val="28"/>
          <w:szCs w:val="28"/>
          <w:lang w:bidi="ar-EG"/>
        </w:rPr>
        <w:t>Arab Journal for Scientific Publishing</w:t>
      </w:r>
      <w:r w:rsidR="00DB5B4C" w:rsidRPr="005F2223">
        <w:rPr>
          <w:rFonts w:ascii="Traditional Arabic" w:hAnsi="Traditional Arabic" w:cs="Traditional Arabic"/>
          <w:i/>
          <w:iCs/>
          <w:sz w:val="28"/>
          <w:szCs w:val="28"/>
          <w:rtl/>
        </w:rPr>
        <w:t>، 8</w:t>
      </w:r>
      <w:r w:rsidR="00DB5B4C" w:rsidRPr="005F2223">
        <w:rPr>
          <w:rFonts w:ascii="Traditional Arabic" w:hAnsi="Traditional Arabic" w:cs="Traditional Arabic"/>
          <w:sz w:val="28"/>
          <w:szCs w:val="28"/>
          <w:lang w:bidi="ar-EG"/>
        </w:rPr>
        <w:t>(</w:t>
      </w:r>
      <w:proofErr w:type="gramStart"/>
      <w:r w:rsidR="00DB5B4C" w:rsidRPr="005F2223">
        <w:rPr>
          <w:rFonts w:ascii="Traditional Arabic" w:hAnsi="Traditional Arabic" w:cs="Traditional Arabic"/>
          <w:sz w:val="28"/>
          <w:szCs w:val="28"/>
          <w:lang w:bidi="ar-EG"/>
        </w:rPr>
        <w:t>67)</w:t>
      </w:r>
      <w:r w:rsidR="00DB5B4C" w:rsidRPr="005F2223">
        <w:rPr>
          <w:rFonts w:ascii="Traditional Arabic" w:hAnsi="Traditional Arabic" w:cs="Traditional Arabic"/>
          <w:sz w:val="28"/>
          <w:szCs w:val="28"/>
          <w:rtl/>
        </w:rPr>
        <w:t>،</w:t>
      </w:r>
      <w:proofErr w:type="gramEnd"/>
      <w:r w:rsidR="00DB5B4C" w:rsidRPr="005F2223">
        <w:rPr>
          <w:rFonts w:ascii="Traditional Arabic" w:hAnsi="Traditional Arabic" w:cs="Traditional Arabic"/>
          <w:sz w:val="28"/>
          <w:szCs w:val="28"/>
          <w:rtl/>
        </w:rPr>
        <w:t xml:space="preserve"> 376</w:t>
      </w:r>
      <w:r w:rsidR="00DB5B4C" w:rsidRPr="005F2223">
        <w:rPr>
          <w:rFonts w:ascii="Traditional Arabic" w:hAnsi="Traditional Arabic" w:cs="Traditional Arabic"/>
          <w:sz w:val="28"/>
          <w:szCs w:val="28"/>
          <w:lang w:bidi="ar-EG"/>
        </w:rPr>
        <w:t>–391.</w:t>
      </w:r>
    </w:p>
    <w:p w14:paraId="31C557B9" w14:textId="37E2A54E"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الحسن، ع. م. ع.، و الفارسي، ح. ن. ح. (2025). تأثير تأخير المشاريع الإنشائية على التنمية المستدامة في الكويت: بحث تحليلي متعدد الأبعاد</w:t>
      </w:r>
      <w:r w:rsidR="00DB5B4C"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i/>
          <w:iCs/>
          <w:sz w:val="28"/>
          <w:szCs w:val="28"/>
          <w:rtl/>
        </w:rPr>
        <w:t>المجلة العربية للنشر العلمي، 2</w:t>
      </w:r>
      <w:r w:rsidR="00DB5B4C" w:rsidRPr="005F2223">
        <w:rPr>
          <w:rFonts w:ascii="Traditional Arabic" w:hAnsi="Traditional Arabic" w:cs="Traditional Arabic"/>
          <w:sz w:val="28"/>
          <w:szCs w:val="28"/>
          <w:lang w:bidi="ar-EG"/>
        </w:rPr>
        <w:t>(9)</w:t>
      </w:r>
      <w:r w:rsidR="00DB5B4C" w:rsidRPr="005F2223">
        <w:rPr>
          <w:rFonts w:ascii="Traditional Arabic" w:hAnsi="Traditional Arabic" w:cs="Traditional Arabic"/>
          <w:sz w:val="28"/>
          <w:szCs w:val="28"/>
          <w:rtl/>
        </w:rPr>
        <w:t>، 591</w:t>
      </w:r>
      <w:r w:rsidR="00DB5B4C" w:rsidRPr="005F2223">
        <w:rPr>
          <w:rFonts w:ascii="Traditional Arabic" w:hAnsi="Traditional Arabic" w:cs="Traditional Arabic"/>
          <w:sz w:val="28"/>
          <w:szCs w:val="28"/>
          <w:lang w:bidi="ar-EG"/>
        </w:rPr>
        <w:t>–607.</w:t>
      </w:r>
    </w:p>
    <w:p w14:paraId="7AC321AE" w14:textId="667DA7AF"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 xml:space="preserve">العابد، ع. م.، الزامل، و. س.، و المالكي، ع. م. (2022). تطبيق مبادئ الاستدامة البيئية في الأحياء السكنية القائمة في مكة المكرمة: حي الشرائع كنموذج. في </w:t>
      </w:r>
      <w:r w:rsidR="00DB5B4C" w:rsidRPr="005F2223">
        <w:rPr>
          <w:rFonts w:ascii="Traditional Arabic" w:hAnsi="Traditional Arabic" w:cs="Traditional Arabic"/>
          <w:i/>
          <w:iCs/>
          <w:sz w:val="28"/>
          <w:szCs w:val="28"/>
          <w:rtl/>
        </w:rPr>
        <w:t>أعمال المؤتمر الدولي جبري تونس (الندوة الدولية للمدن الذكية والتخطيط العمراني)</w:t>
      </w:r>
      <w:r w:rsidR="00DB5B4C" w:rsidRPr="005F2223">
        <w:rPr>
          <w:rFonts w:ascii="Traditional Arabic" w:hAnsi="Traditional Arabic" w:cs="Traditional Arabic"/>
          <w:sz w:val="28"/>
          <w:szCs w:val="28"/>
          <w:rtl/>
        </w:rPr>
        <w:t xml:space="preserve"> (ص. 1–17). تونس: الجمعية التونسية للإعلام الجغرافي الرقمي</w:t>
      </w:r>
      <w:r w:rsidR="00DB5B4C" w:rsidRPr="005F2223">
        <w:rPr>
          <w:rFonts w:ascii="Traditional Arabic" w:hAnsi="Traditional Arabic" w:cs="Traditional Arabic"/>
          <w:sz w:val="28"/>
          <w:szCs w:val="28"/>
          <w:lang w:bidi="ar-EG"/>
        </w:rPr>
        <w:t>.</w:t>
      </w:r>
    </w:p>
    <w:p w14:paraId="3C7961D5" w14:textId="1C24CDE5" w:rsidR="001F6DFB"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lastRenderedPageBreak/>
        <w:t xml:space="preserve">- </w:t>
      </w:r>
      <w:r w:rsidR="001F6DFB" w:rsidRPr="005F2223">
        <w:rPr>
          <w:rFonts w:ascii="Traditional Arabic" w:hAnsi="Traditional Arabic" w:cs="Traditional Arabic"/>
          <w:sz w:val="28"/>
          <w:szCs w:val="28"/>
          <w:rtl/>
        </w:rPr>
        <w:t>النويصر، ن. ب. ح.، غوش، أ.، و شمسي، م. أ. (2025). أثر تطبيق إدارة الجودة الشاملة في تحسين الأداء المؤسسي في المملكة العربية السعودية: دراسة ميدانية على مجموعة من الجمعيات الخيرية بمدينة الرياض</w:t>
      </w:r>
      <w:r w:rsidR="001F6DFB" w:rsidRPr="005F2223">
        <w:rPr>
          <w:rFonts w:ascii="Traditional Arabic" w:hAnsi="Traditional Arabic" w:cs="Traditional Arabic"/>
          <w:sz w:val="28"/>
          <w:szCs w:val="28"/>
          <w:lang w:bidi="ar-EG"/>
        </w:rPr>
        <w:t xml:space="preserve">. </w:t>
      </w:r>
      <w:r w:rsidR="001F6DFB" w:rsidRPr="005F2223">
        <w:rPr>
          <w:rFonts w:ascii="Traditional Arabic" w:hAnsi="Traditional Arabic" w:cs="Traditional Arabic"/>
          <w:i/>
          <w:iCs/>
          <w:sz w:val="28"/>
          <w:szCs w:val="28"/>
          <w:rtl/>
        </w:rPr>
        <w:t>المجلة الدولية لنشر البحوث والدراسات</w:t>
      </w:r>
      <w:r w:rsidR="001F6DFB" w:rsidRPr="005F2223">
        <w:rPr>
          <w:rFonts w:ascii="Traditional Arabic" w:hAnsi="Traditional Arabic" w:cs="Traditional Arabic"/>
          <w:i/>
          <w:iCs/>
          <w:sz w:val="28"/>
          <w:szCs w:val="28"/>
          <w:lang w:bidi="ar-EG"/>
        </w:rPr>
        <w:t xml:space="preserve"> (INJRSP)</w:t>
      </w:r>
      <w:r w:rsidR="001F6DFB" w:rsidRPr="005F2223">
        <w:rPr>
          <w:rFonts w:ascii="Traditional Arabic" w:hAnsi="Traditional Arabic" w:cs="Traditional Arabic"/>
          <w:sz w:val="28"/>
          <w:szCs w:val="28"/>
          <w:lang w:bidi="ar-EG"/>
        </w:rPr>
        <w:t>.</w:t>
      </w:r>
    </w:p>
    <w:p w14:paraId="31A0CC59" w14:textId="319466CE" w:rsidR="00655924"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655924" w:rsidRPr="005F2223">
        <w:rPr>
          <w:rFonts w:ascii="Traditional Arabic" w:hAnsi="Traditional Arabic" w:cs="Traditional Arabic"/>
          <w:sz w:val="28"/>
          <w:szCs w:val="28"/>
          <w:rtl/>
        </w:rPr>
        <w:t>القحطاني، ح. ح.، و شعيبي، ف. أ. (2022). أثر إدارة الجودة الشاملة على كفاءة الأداء: دراسة ميدانية على الموظفين الإداريين في إدارة التعليم بمحافظة جدة</w:t>
      </w:r>
      <w:r w:rsidR="00655924" w:rsidRPr="005F2223">
        <w:rPr>
          <w:rFonts w:ascii="Traditional Arabic" w:hAnsi="Traditional Arabic" w:cs="Traditional Arabic"/>
          <w:sz w:val="28"/>
          <w:szCs w:val="28"/>
          <w:lang w:bidi="ar-EG"/>
        </w:rPr>
        <w:t xml:space="preserve">. </w:t>
      </w:r>
      <w:r w:rsidR="00655924" w:rsidRPr="005F2223">
        <w:rPr>
          <w:rFonts w:ascii="Traditional Arabic" w:hAnsi="Traditional Arabic" w:cs="Traditional Arabic"/>
          <w:i/>
          <w:iCs/>
          <w:sz w:val="28"/>
          <w:szCs w:val="28"/>
          <w:rtl/>
        </w:rPr>
        <w:t>المجلة العربية للآداب والدراسات الإنسانية، 6</w:t>
      </w:r>
      <w:r w:rsidR="00655924" w:rsidRPr="005F2223">
        <w:rPr>
          <w:rFonts w:ascii="Traditional Arabic" w:hAnsi="Traditional Arabic" w:cs="Traditional Arabic"/>
          <w:sz w:val="28"/>
          <w:szCs w:val="28"/>
          <w:lang w:bidi="ar-EG"/>
        </w:rPr>
        <w:t>(24)</w:t>
      </w:r>
      <w:r w:rsidR="00655924" w:rsidRPr="005F2223">
        <w:rPr>
          <w:rFonts w:ascii="Traditional Arabic" w:hAnsi="Traditional Arabic" w:cs="Traditional Arabic"/>
          <w:sz w:val="28"/>
          <w:szCs w:val="28"/>
          <w:rtl/>
        </w:rPr>
        <w:t>، 181</w:t>
      </w:r>
      <w:r w:rsidR="00655924" w:rsidRPr="005F2223">
        <w:rPr>
          <w:rFonts w:ascii="Traditional Arabic" w:hAnsi="Traditional Arabic" w:cs="Traditional Arabic"/>
          <w:sz w:val="28"/>
          <w:szCs w:val="28"/>
          <w:lang w:bidi="ar-EG"/>
        </w:rPr>
        <w:t xml:space="preserve">–226. </w:t>
      </w:r>
    </w:p>
    <w:p w14:paraId="00CC3446" w14:textId="0D0B3975" w:rsidR="00655924"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655924" w:rsidRPr="005F2223">
        <w:rPr>
          <w:rFonts w:ascii="Traditional Arabic" w:hAnsi="Traditional Arabic" w:cs="Traditional Arabic"/>
          <w:sz w:val="28"/>
          <w:szCs w:val="28"/>
          <w:rtl/>
        </w:rPr>
        <w:t>العنزي، ط. ت. ف. (2024). إدارة المشاريع المستدامة في مدينة الرياض بتطبيق معايير</w:t>
      </w:r>
      <w:r w:rsidR="00655924" w:rsidRPr="005F2223">
        <w:rPr>
          <w:rFonts w:ascii="Traditional Arabic" w:hAnsi="Traditional Arabic" w:cs="Traditional Arabic"/>
          <w:sz w:val="28"/>
          <w:szCs w:val="28"/>
          <w:lang w:bidi="ar-EG"/>
        </w:rPr>
        <w:t xml:space="preserve"> LEED </w:t>
      </w:r>
      <w:r w:rsidR="00655924" w:rsidRPr="005F2223">
        <w:rPr>
          <w:rFonts w:ascii="Traditional Arabic" w:hAnsi="Traditional Arabic" w:cs="Traditional Arabic"/>
          <w:sz w:val="28"/>
          <w:szCs w:val="28"/>
          <w:rtl/>
        </w:rPr>
        <w:t>ودورها في تحقيق الاستدامة البيئية وفق رؤية المملكة 2030</w:t>
      </w:r>
      <w:r w:rsidR="00655924" w:rsidRPr="005F2223">
        <w:rPr>
          <w:rFonts w:ascii="Traditional Arabic" w:hAnsi="Traditional Arabic" w:cs="Traditional Arabic"/>
          <w:sz w:val="28"/>
          <w:szCs w:val="28"/>
          <w:lang w:bidi="ar-EG"/>
        </w:rPr>
        <w:t xml:space="preserve">. </w:t>
      </w:r>
      <w:r w:rsidR="00655924" w:rsidRPr="005F2223">
        <w:rPr>
          <w:rFonts w:ascii="Traditional Arabic" w:hAnsi="Traditional Arabic" w:cs="Traditional Arabic"/>
          <w:i/>
          <w:iCs/>
          <w:sz w:val="28"/>
          <w:szCs w:val="28"/>
          <w:rtl/>
        </w:rPr>
        <w:t>المجلة الدولية لنشر البحوث والدراسات</w:t>
      </w:r>
      <w:r w:rsidR="00655924" w:rsidRPr="005F2223">
        <w:rPr>
          <w:rFonts w:ascii="Traditional Arabic" w:hAnsi="Traditional Arabic" w:cs="Traditional Arabic"/>
          <w:i/>
          <w:iCs/>
          <w:sz w:val="28"/>
          <w:szCs w:val="28"/>
          <w:lang w:bidi="ar-EG"/>
        </w:rPr>
        <w:t xml:space="preserve"> (INJRSP)</w:t>
      </w:r>
      <w:r w:rsidR="00655924" w:rsidRPr="005F2223">
        <w:rPr>
          <w:rFonts w:ascii="Traditional Arabic" w:hAnsi="Traditional Arabic" w:cs="Traditional Arabic"/>
          <w:sz w:val="28"/>
          <w:szCs w:val="28"/>
          <w:rtl/>
        </w:rPr>
        <w:t xml:space="preserve">، </w:t>
      </w:r>
    </w:p>
    <w:p w14:paraId="678BCAA4" w14:textId="7E47F0B3" w:rsidR="00DB5B4C" w:rsidRPr="005F2223" w:rsidRDefault="00DC4083" w:rsidP="00DC4083">
      <w:pPr>
        <w:bidi/>
        <w:spacing w:line="480" w:lineRule="auto"/>
        <w:rPr>
          <w:rFonts w:ascii="Traditional Arabic" w:hAnsi="Traditional Arabic" w:cs="Traditional Arabic"/>
          <w:sz w:val="28"/>
          <w:szCs w:val="28"/>
          <w:rtl/>
          <w:lang w:bidi="ar-EG"/>
        </w:rPr>
      </w:pPr>
      <w:r w:rsidRPr="005F2223">
        <w:rPr>
          <w:rFonts w:ascii="Traditional Arabic" w:hAnsi="Traditional Arabic" w:cs="Traditional Arabic"/>
          <w:sz w:val="28"/>
          <w:szCs w:val="28"/>
          <w:rtl/>
        </w:rPr>
        <w:t xml:space="preserve">- </w:t>
      </w:r>
      <w:r w:rsidR="00655924" w:rsidRPr="005F2223">
        <w:rPr>
          <w:rFonts w:ascii="Traditional Arabic" w:hAnsi="Traditional Arabic" w:cs="Traditional Arabic"/>
          <w:sz w:val="28"/>
          <w:szCs w:val="28"/>
          <w:rtl/>
        </w:rPr>
        <w:t>ماجد، م. م.، وبدوي، س. م. (2025). أثر التخطيط الاستراتيجي على التنمية المستدامة في قطاع الإنشاءات</w:t>
      </w:r>
      <w:r w:rsidR="00655924" w:rsidRPr="005F2223">
        <w:rPr>
          <w:rFonts w:ascii="Traditional Arabic" w:hAnsi="Traditional Arabic" w:cs="Traditional Arabic"/>
          <w:sz w:val="28"/>
          <w:szCs w:val="28"/>
          <w:lang w:bidi="ar-EG"/>
        </w:rPr>
        <w:t xml:space="preserve">. </w:t>
      </w:r>
      <w:r w:rsidR="00655924" w:rsidRPr="005F2223">
        <w:rPr>
          <w:rFonts w:ascii="Traditional Arabic" w:hAnsi="Traditional Arabic" w:cs="Traditional Arabic"/>
          <w:i/>
          <w:iCs/>
          <w:sz w:val="28"/>
          <w:szCs w:val="28"/>
          <w:rtl/>
        </w:rPr>
        <w:t>المجلة العلمية للدراسات التجارية والبيئية، 16</w:t>
      </w:r>
      <w:r w:rsidR="00655924" w:rsidRPr="005F2223">
        <w:rPr>
          <w:rFonts w:ascii="Traditional Arabic" w:hAnsi="Traditional Arabic" w:cs="Traditional Arabic"/>
          <w:sz w:val="28"/>
          <w:szCs w:val="28"/>
          <w:lang w:bidi="ar-EG"/>
        </w:rPr>
        <w:t>(3)</w:t>
      </w:r>
      <w:r w:rsidR="00655924" w:rsidRPr="005F2223">
        <w:rPr>
          <w:rFonts w:ascii="Traditional Arabic" w:hAnsi="Traditional Arabic" w:cs="Traditional Arabic"/>
          <w:sz w:val="28"/>
          <w:szCs w:val="28"/>
          <w:rtl/>
        </w:rPr>
        <w:t>، 2932</w:t>
      </w:r>
      <w:r w:rsidR="00655924" w:rsidRPr="005F2223">
        <w:rPr>
          <w:rFonts w:ascii="Traditional Arabic" w:hAnsi="Traditional Arabic" w:cs="Traditional Arabic"/>
          <w:sz w:val="28"/>
          <w:szCs w:val="28"/>
          <w:lang w:bidi="ar-EG"/>
        </w:rPr>
        <w:t xml:space="preserve">–3058. </w:t>
      </w:r>
      <w:r w:rsidR="00655924" w:rsidRPr="005F2223">
        <w:rPr>
          <w:rFonts w:ascii="Traditional Arabic" w:hAnsi="Traditional Arabic" w:cs="Traditional Arabic"/>
          <w:sz w:val="28"/>
          <w:szCs w:val="28"/>
          <w:rtl/>
        </w:rPr>
        <w:t>‏</w:t>
      </w:r>
    </w:p>
    <w:p w14:paraId="0F0F84C0" w14:textId="5D7EE108" w:rsidR="00F3146F" w:rsidRPr="005F2223" w:rsidRDefault="00BC7853" w:rsidP="00DB5B4C">
      <w:pPr>
        <w:bidi/>
        <w:spacing w:line="480" w:lineRule="auto"/>
        <w:rPr>
          <w:rFonts w:ascii="Traditional Arabic" w:hAnsi="Traditional Arabic" w:cs="Traditional Arabic"/>
          <w:sz w:val="28"/>
          <w:szCs w:val="28"/>
          <w:u w:val="single"/>
          <w:lang w:bidi="ar-EG"/>
        </w:rPr>
      </w:pPr>
      <w:r w:rsidRPr="005F2223">
        <w:rPr>
          <w:rFonts w:ascii="Traditional Arabic" w:hAnsi="Traditional Arabic" w:cs="Traditional Arabic"/>
          <w:b/>
          <w:bCs/>
          <w:sz w:val="28"/>
          <w:szCs w:val="28"/>
          <w:u w:val="single"/>
          <w:rtl/>
        </w:rPr>
        <w:t>المراجع الانجليزية</w:t>
      </w:r>
      <w:r w:rsidRPr="005F2223">
        <w:rPr>
          <w:rFonts w:ascii="Traditional Arabic" w:hAnsi="Traditional Arabic" w:cs="Traditional Arabic"/>
          <w:b/>
          <w:bCs/>
          <w:sz w:val="28"/>
          <w:szCs w:val="28"/>
          <w:u w:val="single"/>
          <w:lang w:bidi="ar-EG"/>
        </w:rPr>
        <w:t>:</w:t>
      </w:r>
    </w:p>
    <w:p w14:paraId="61646069" w14:textId="3376E386"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Alajmi, A. M., &amp; Ahmed Memon, Z. (2022). A Review on Significant Factors Causing Delays in Saudi Arabia Construction Projects. </w:t>
      </w:r>
      <w:r w:rsidR="00F3146F" w:rsidRPr="005F2223">
        <w:rPr>
          <w:rFonts w:ascii="Traditional Arabic" w:hAnsi="Traditional Arabic" w:cs="Traditional Arabic"/>
          <w:i/>
          <w:iCs/>
          <w:sz w:val="28"/>
          <w:szCs w:val="28"/>
          <w:lang w:bidi="ar-EG"/>
        </w:rPr>
        <w:t>Smart Cities, 5</w:t>
      </w:r>
      <w:r w:rsidR="00F3146F" w:rsidRPr="005F2223">
        <w:rPr>
          <w:rFonts w:ascii="Traditional Arabic" w:hAnsi="Traditional Arabic" w:cs="Traditional Arabic"/>
          <w:sz w:val="28"/>
          <w:szCs w:val="28"/>
          <w:lang w:bidi="ar-EG"/>
        </w:rPr>
        <w:t xml:space="preserve">(4), 1465-1487. </w:t>
      </w:r>
      <w:hyperlink r:id="rId18" w:tgtFrame="_new" w:history="1">
        <w:r w:rsidR="00F3146F" w:rsidRPr="005F2223">
          <w:rPr>
            <w:rStyle w:val="Hyperlink"/>
            <w:rFonts w:ascii="Traditional Arabic" w:hAnsi="Traditional Arabic" w:cs="Traditional Arabic"/>
            <w:color w:val="auto"/>
            <w:sz w:val="28"/>
            <w:szCs w:val="28"/>
            <w:lang w:bidi="ar-EG"/>
          </w:rPr>
          <w:t>https://doi.org/10.3390/smartcities5040075</w:t>
        </w:r>
      </w:hyperlink>
    </w:p>
    <w:p w14:paraId="698F661B" w14:textId="1D9C373E" w:rsidR="00F3146F" w:rsidRPr="005F2223" w:rsidRDefault="00DC4083" w:rsidP="00DC4083">
      <w:pPr>
        <w:spacing w:line="480" w:lineRule="auto"/>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Alfalah, G., Aldajani, S., </w:t>
      </w:r>
      <w:proofErr w:type="spellStart"/>
      <w:r w:rsidR="00F3146F" w:rsidRPr="005F2223">
        <w:rPr>
          <w:rFonts w:ascii="Traditional Arabic" w:hAnsi="Traditional Arabic" w:cs="Traditional Arabic"/>
          <w:sz w:val="28"/>
          <w:szCs w:val="28"/>
          <w:lang w:bidi="ar-EG"/>
        </w:rPr>
        <w:t>Elshaboury</w:t>
      </w:r>
      <w:proofErr w:type="spellEnd"/>
      <w:r w:rsidR="00F3146F" w:rsidRPr="005F2223">
        <w:rPr>
          <w:rFonts w:ascii="Traditional Arabic" w:hAnsi="Traditional Arabic" w:cs="Traditional Arabic"/>
          <w:sz w:val="28"/>
          <w:szCs w:val="28"/>
          <w:lang w:bidi="ar-EG"/>
        </w:rPr>
        <w:t>, N., Al-</w:t>
      </w:r>
      <w:proofErr w:type="spellStart"/>
      <w:r w:rsidR="00F3146F" w:rsidRPr="005F2223">
        <w:rPr>
          <w:rFonts w:ascii="Traditional Arabic" w:hAnsi="Traditional Arabic" w:cs="Traditional Arabic"/>
          <w:sz w:val="28"/>
          <w:szCs w:val="28"/>
          <w:lang w:bidi="ar-EG"/>
        </w:rPr>
        <w:t>Sakkaf</w:t>
      </w:r>
      <w:proofErr w:type="spellEnd"/>
      <w:r w:rsidR="00F3146F" w:rsidRPr="005F2223">
        <w:rPr>
          <w:rFonts w:ascii="Traditional Arabic" w:hAnsi="Traditional Arabic" w:cs="Traditional Arabic"/>
          <w:sz w:val="28"/>
          <w:szCs w:val="28"/>
          <w:lang w:bidi="ar-EG"/>
        </w:rPr>
        <w:t xml:space="preserve">, A., &amp; </w:t>
      </w:r>
      <w:proofErr w:type="spellStart"/>
      <w:r w:rsidR="00F3146F" w:rsidRPr="005F2223">
        <w:rPr>
          <w:rFonts w:ascii="Traditional Arabic" w:hAnsi="Traditional Arabic" w:cs="Traditional Arabic"/>
          <w:sz w:val="28"/>
          <w:szCs w:val="28"/>
          <w:lang w:bidi="ar-EG"/>
        </w:rPr>
        <w:t>Alshamrani</w:t>
      </w:r>
      <w:proofErr w:type="spellEnd"/>
      <w:r w:rsidR="00F3146F" w:rsidRPr="005F2223">
        <w:rPr>
          <w:rFonts w:ascii="Traditional Arabic" w:hAnsi="Traditional Arabic" w:cs="Traditional Arabic"/>
          <w:sz w:val="28"/>
          <w:szCs w:val="28"/>
          <w:lang w:bidi="ar-EG"/>
        </w:rPr>
        <w:t xml:space="preserve">, O. (2024). Development of a Performance Assessment Model for </w:t>
      </w:r>
      <w:r w:rsidR="00F3146F" w:rsidRPr="005F2223">
        <w:rPr>
          <w:rFonts w:ascii="Traditional Arabic" w:hAnsi="Traditional Arabic" w:cs="Traditional Arabic"/>
          <w:sz w:val="28"/>
          <w:szCs w:val="28"/>
          <w:lang w:bidi="ar-EG"/>
        </w:rPr>
        <w:lastRenderedPageBreak/>
        <w:t xml:space="preserve">Contractors in Saudi Arabian Construction Projects. Advances in Civil Engineering, 2024, 1–17. </w:t>
      </w:r>
      <w:hyperlink r:id="rId19" w:history="1">
        <w:r w:rsidR="00F3146F" w:rsidRPr="005F2223">
          <w:rPr>
            <w:rStyle w:val="Hyperlink"/>
            <w:rFonts w:ascii="Traditional Arabic" w:hAnsi="Traditional Arabic" w:cs="Traditional Arabic"/>
            <w:color w:val="auto"/>
            <w:sz w:val="28"/>
            <w:szCs w:val="28"/>
            <w:lang w:bidi="ar-EG"/>
          </w:rPr>
          <w:t>https://doi.org/10.1155/2024/8780539</w:t>
        </w:r>
      </w:hyperlink>
    </w:p>
    <w:p w14:paraId="3D4D1B0F" w14:textId="52D248BD"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Alghuried, A. (2023). Measuring the Benefits and Barriers of the Implementation of BIM in Sustainable Practice in the Construction Industry of Saudi Arabia. </w:t>
      </w:r>
      <w:r w:rsidR="00F3146F" w:rsidRPr="005F2223">
        <w:rPr>
          <w:rFonts w:ascii="Traditional Arabic" w:hAnsi="Traditional Arabic" w:cs="Traditional Arabic"/>
          <w:i/>
          <w:iCs/>
          <w:sz w:val="28"/>
          <w:szCs w:val="28"/>
          <w:lang w:bidi="ar-EG"/>
        </w:rPr>
        <w:t>Sustainability, 15</w:t>
      </w:r>
      <w:r w:rsidR="00F3146F" w:rsidRPr="005F2223">
        <w:rPr>
          <w:rFonts w:ascii="Traditional Arabic" w:hAnsi="Traditional Arabic" w:cs="Traditional Arabic"/>
          <w:sz w:val="28"/>
          <w:szCs w:val="28"/>
          <w:lang w:bidi="ar-EG"/>
        </w:rPr>
        <w:t xml:space="preserve">(19), 14323. </w:t>
      </w:r>
      <w:hyperlink r:id="rId20" w:tgtFrame="_new" w:history="1">
        <w:r w:rsidR="00F3146F" w:rsidRPr="005F2223">
          <w:rPr>
            <w:rStyle w:val="Hyperlink"/>
            <w:rFonts w:ascii="Traditional Arabic" w:hAnsi="Traditional Arabic" w:cs="Traditional Arabic"/>
            <w:color w:val="auto"/>
            <w:sz w:val="28"/>
            <w:szCs w:val="28"/>
            <w:lang w:bidi="ar-EG"/>
          </w:rPr>
          <w:t>https://doi.org/10.3390/su151914323</w:t>
        </w:r>
      </w:hyperlink>
    </w:p>
    <w:p w14:paraId="2378E679" w14:textId="17F0155C"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Al-Otaibi, A., Bowan, P. A., </w:t>
      </w:r>
      <w:proofErr w:type="spellStart"/>
      <w:r w:rsidR="00F3146F" w:rsidRPr="005F2223">
        <w:rPr>
          <w:rFonts w:ascii="Traditional Arabic" w:hAnsi="Traditional Arabic" w:cs="Traditional Arabic"/>
          <w:sz w:val="28"/>
          <w:szCs w:val="28"/>
          <w:lang w:bidi="ar-EG"/>
        </w:rPr>
        <w:t>Alabdullatief</w:t>
      </w:r>
      <w:proofErr w:type="spellEnd"/>
      <w:r w:rsidR="00F3146F" w:rsidRPr="005F2223">
        <w:rPr>
          <w:rFonts w:ascii="Traditional Arabic" w:hAnsi="Traditional Arabic" w:cs="Traditional Arabic"/>
          <w:sz w:val="28"/>
          <w:szCs w:val="28"/>
          <w:lang w:bidi="ar-EG"/>
        </w:rPr>
        <w:t xml:space="preserve">, A., </w:t>
      </w:r>
      <w:proofErr w:type="spellStart"/>
      <w:r w:rsidR="00F3146F" w:rsidRPr="005F2223">
        <w:rPr>
          <w:rFonts w:ascii="Traditional Arabic" w:hAnsi="Traditional Arabic" w:cs="Traditional Arabic"/>
          <w:sz w:val="28"/>
          <w:szCs w:val="28"/>
          <w:lang w:bidi="ar-EG"/>
        </w:rPr>
        <w:t>Albaiz</w:t>
      </w:r>
      <w:proofErr w:type="spellEnd"/>
      <w:r w:rsidR="00F3146F" w:rsidRPr="005F2223">
        <w:rPr>
          <w:rFonts w:ascii="Traditional Arabic" w:hAnsi="Traditional Arabic" w:cs="Traditional Arabic"/>
          <w:sz w:val="28"/>
          <w:szCs w:val="28"/>
          <w:lang w:bidi="ar-EG"/>
        </w:rPr>
        <w:t xml:space="preserve">, M., &amp; Salah, M. (2025). Barriers to Sustainable Building Project Performance in Developing Countries: A Case of Ghana and the Kingdom of Saudi Arabia. </w:t>
      </w:r>
      <w:r w:rsidR="00F3146F" w:rsidRPr="005F2223">
        <w:rPr>
          <w:rFonts w:ascii="Traditional Arabic" w:hAnsi="Traditional Arabic" w:cs="Traditional Arabic"/>
          <w:i/>
          <w:iCs/>
          <w:sz w:val="28"/>
          <w:szCs w:val="28"/>
          <w:lang w:bidi="ar-EG"/>
        </w:rPr>
        <w:t>Sustainability, 17</w:t>
      </w:r>
      <w:r w:rsidR="00F3146F" w:rsidRPr="005F2223">
        <w:rPr>
          <w:rFonts w:ascii="Traditional Arabic" w:hAnsi="Traditional Arabic" w:cs="Traditional Arabic"/>
          <w:sz w:val="28"/>
          <w:szCs w:val="28"/>
          <w:lang w:bidi="ar-EG"/>
        </w:rPr>
        <w:t xml:space="preserve">(8), 3539. </w:t>
      </w:r>
      <w:hyperlink r:id="rId21" w:tgtFrame="_new" w:history="1">
        <w:r w:rsidR="00F3146F" w:rsidRPr="005F2223">
          <w:rPr>
            <w:rStyle w:val="Hyperlink"/>
            <w:rFonts w:ascii="Traditional Arabic" w:hAnsi="Traditional Arabic" w:cs="Traditional Arabic"/>
            <w:color w:val="auto"/>
            <w:sz w:val="28"/>
            <w:szCs w:val="28"/>
            <w:lang w:bidi="ar-EG"/>
          </w:rPr>
          <w:t>https://doi.org/10.3390/su17083539</w:t>
        </w:r>
      </w:hyperlink>
    </w:p>
    <w:p w14:paraId="702E84B3" w14:textId="18CD4B81"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Alshihri</w:t>
      </w:r>
      <w:proofErr w:type="spellEnd"/>
      <w:r w:rsidR="00F3146F" w:rsidRPr="005F2223">
        <w:rPr>
          <w:rFonts w:ascii="Traditional Arabic" w:hAnsi="Traditional Arabic" w:cs="Traditional Arabic"/>
          <w:sz w:val="28"/>
          <w:szCs w:val="28"/>
          <w:lang w:bidi="ar-EG"/>
        </w:rPr>
        <w:t>, S., Al-</w:t>
      </w:r>
      <w:proofErr w:type="spellStart"/>
      <w:r w:rsidR="00F3146F" w:rsidRPr="005F2223">
        <w:rPr>
          <w:rFonts w:ascii="Traditional Arabic" w:hAnsi="Traditional Arabic" w:cs="Traditional Arabic"/>
          <w:sz w:val="28"/>
          <w:szCs w:val="28"/>
          <w:lang w:bidi="ar-EG"/>
        </w:rPr>
        <w:t>Gahtani</w:t>
      </w:r>
      <w:proofErr w:type="spellEnd"/>
      <w:r w:rsidR="00F3146F" w:rsidRPr="005F2223">
        <w:rPr>
          <w:rFonts w:ascii="Traditional Arabic" w:hAnsi="Traditional Arabic" w:cs="Traditional Arabic"/>
          <w:sz w:val="28"/>
          <w:szCs w:val="28"/>
          <w:lang w:bidi="ar-EG"/>
        </w:rPr>
        <w:t xml:space="preserve">, K., &amp; </w:t>
      </w:r>
      <w:proofErr w:type="spellStart"/>
      <w:r w:rsidR="00F3146F" w:rsidRPr="005F2223">
        <w:rPr>
          <w:rFonts w:ascii="Traditional Arabic" w:hAnsi="Traditional Arabic" w:cs="Traditional Arabic"/>
          <w:sz w:val="28"/>
          <w:szCs w:val="28"/>
          <w:lang w:bidi="ar-EG"/>
        </w:rPr>
        <w:t>Almohsen</w:t>
      </w:r>
      <w:proofErr w:type="spellEnd"/>
      <w:r w:rsidR="00F3146F" w:rsidRPr="005F2223">
        <w:rPr>
          <w:rFonts w:ascii="Traditional Arabic" w:hAnsi="Traditional Arabic" w:cs="Traditional Arabic"/>
          <w:sz w:val="28"/>
          <w:szCs w:val="28"/>
          <w:lang w:bidi="ar-EG"/>
        </w:rPr>
        <w:t xml:space="preserve">, A. (2022). Risk Factors That Lead to Time and Cost Overruns of Building Projects in Saudi Arabia. </w:t>
      </w:r>
      <w:r w:rsidR="00F3146F" w:rsidRPr="005F2223">
        <w:rPr>
          <w:rFonts w:ascii="Traditional Arabic" w:hAnsi="Traditional Arabic" w:cs="Traditional Arabic"/>
          <w:i/>
          <w:iCs/>
          <w:sz w:val="28"/>
          <w:szCs w:val="28"/>
          <w:lang w:bidi="ar-EG"/>
        </w:rPr>
        <w:t>Buildings, 12</w:t>
      </w:r>
      <w:r w:rsidR="00F3146F" w:rsidRPr="005F2223">
        <w:rPr>
          <w:rFonts w:ascii="Traditional Arabic" w:hAnsi="Traditional Arabic" w:cs="Traditional Arabic"/>
          <w:sz w:val="28"/>
          <w:szCs w:val="28"/>
          <w:lang w:bidi="ar-EG"/>
        </w:rPr>
        <w:t xml:space="preserve">(7), 902. </w:t>
      </w:r>
      <w:hyperlink r:id="rId22" w:tgtFrame="_new" w:history="1">
        <w:r w:rsidR="00F3146F" w:rsidRPr="005F2223">
          <w:rPr>
            <w:rStyle w:val="Hyperlink"/>
            <w:rFonts w:ascii="Traditional Arabic" w:hAnsi="Traditional Arabic" w:cs="Traditional Arabic"/>
            <w:color w:val="auto"/>
            <w:sz w:val="28"/>
            <w:szCs w:val="28"/>
            <w:lang w:bidi="ar-EG"/>
          </w:rPr>
          <w:t>https://doi.org/10.3390/buildings12070902</w:t>
        </w:r>
      </w:hyperlink>
    </w:p>
    <w:p w14:paraId="469A39A1" w14:textId="37D18B61"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Asiri, A. N. M., &amp; Al Mazhar, M. K. (2025). Optimizing Construction Project Performance </w:t>
      </w:r>
      <w:proofErr w:type="gramStart"/>
      <w:r w:rsidR="00F3146F" w:rsidRPr="005F2223">
        <w:rPr>
          <w:rFonts w:ascii="Traditional Arabic" w:hAnsi="Traditional Arabic" w:cs="Traditional Arabic"/>
          <w:sz w:val="28"/>
          <w:szCs w:val="28"/>
          <w:lang w:bidi="ar-EG"/>
        </w:rPr>
        <w:t>In</w:t>
      </w:r>
      <w:proofErr w:type="gramEnd"/>
      <w:r w:rsidR="00F3146F" w:rsidRPr="005F2223">
        <w:rPr>
          <w:rFonts w:ascii="Traditional Arabic" w:hAnsi="Traditional Arabic" w:cs="Traditional Arabic"/>
          <w:sz w:val="28"/>
          <w:szCs w:val="28"/>
          <w:lang w:bidi="ar-EG"/>
        </w:rPr>
        <w:t xml:space="preserve"> Asir, Saudi Arabia: A KPI Perspective. </w:t>
      </w:r>
      <w:r w:rsidR="00F3146F" w:rsidRPr="005F2223">
        <w:rPr>
          <w:rFonts w:ascii="Traditional Arabic" w:hAnsi="Traditional Arabic" w:cs="Traditional Arabic"/>
          <w:i/>
          <w:iCs/>
          <w:sz w:val="28"/>
          <w:szCs w:val="28"/>
          <w:lang w:bidi="ar-EG"/>
        </w:rPr>
        <w:lastRenderedPageBreak/>
        <w:t>Metallurgical and Materials Engineering</w:t>
      </w:r>
      <w:r w:rsidR="00F3146F" w:rsidRPr="005F2223">
        <w:rPr>
          <w:rFonts w:ascii="Traditional Arabic" w:hAnsi="Traditional Arabic" w:cs="Traditional Arabic"/>
          <w:sz w:val="28"/>
          <w:szCs w:val="28"/>
          <w:lang w:bidi="ar-EG"/>
        </w:rPr>
        <w:t xml:space="preserve">, 430-445. </w:t>
      </w:r>
      <w:hyperlink r:id="rId23" w:tgtFrame="_new" w:history="1">
        <w:r w:rsidR="00F3146F" w:rsidRPr="005F2223">
          <w:rPr>
            <w:rStyle w:val="Hyperlink"/>
            <w:rFonts w:ascii="Traditional Arabic" w:hAnsi="Traditional Arabic" w:cs="Traditional Arabic"/>
            <w:color w:val="auto"/>
            <w:sz w:val="28"/>
            <w:szCs w:val="28"/>
            <w:lang w:bidi="ar-EG"/>
          </w:rPr>
          <w:t>https://doi.org/10.63278/mme.vi.1598</w:t>
        </w:r>
      </w:hyperlink>
    </w:p>
    <w:p w14:paraId="25A1BE8A" w14:textId="3ECEC27A"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Azmi, N. A., Sweis, G., Sweis, R., &amp; Sammour, F. (2022). Exploring Implementation of Blockchain for the Supply Chain Resilience and Sustainability of the Construction Industry in Saudi Arabia. </w:t>
      </w:r>
      <w:r w:rsidR="00F3146F" w:rsidRPr="005F2223">
        <w:rPr>
          <w:rFonts w:ascii="Traditional Arabic" w:hAnsi="Traditional Arabic" w:cs="Traditional Arabic"/>
          <w:i/>
          <w:iCs/>
          <w:sz w:val="28"/>
          <w:szCs w:val="28"/>
          <w:lang w:bidi="ar-EG"/>
        </w:rPr>
        <w:t>Sustainability, 14</w:t>
      </w:r>
      <w:r w:rsidR="00F3146F" w:rsidRPr="005F2223">
        <w:rPr>
          <w:rFonts w:ascii="Traditional Arabic" w:hAnsi="Traditional Arabic" w:cs="Traditional Arabic"/>
          <w:sz w:val="28"/>
          <w:szCs w:val="28"/>
          <w:lang w:bidi="ar-EG"/>
        </w:rPr>
        <w:t xml:space="preserve">(11), 6427. </w:t>
      </w:r>
      <w:hyperlink r:id="rId24" w:tgtFrame="_new" w:history="1">
        <w:r w:rsidR="00F3146F" w:rsidRPr="005F2223">
          <w:rPr>
            <w:rStyle w:val="Hyperlink"/>
            <w:rFonts w:ascii="Traditional Arabic" w:hAnsi="Traditional Arabic" w:cs="Traditional Arabic"/>
            <w:color w:val="auto"/>
            <w:sz w:val="28"/>
            <w:szCs w:val="28"/>
            <w:lang w:bidi="ar-EG"/>
          </w:rPr>
          <w:t>https://doi.org/10.3390/su14116427</w:t>
        </w:r>
      </w:hyperlink>
    </w:p>
    <w:p w14:paraId="491780EF" w14:textId="45584116" w:rsidR="00F3146F" w:rsidRPr="005F2223" w:rsidRDefault="00DC4083" w:rsidP="00DC4083">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Crunchbase. (2025). </w:t>
      </w:r>
      <w:r w:rsidR="00F3146F" w:rsidRPr="005F2223">
        <w:rPr>
          <w:rStyle w:val="Emphasis"/>
          <w:rFonts w:ascii="Traditional Arabic" w:hAnsi="Traditional Arabic" w:cs="Traditional Arabic"/>
          <w:sz w:val="28"/>
          <w:szCs w:val="28"/>
        </w:rPr>
        <w:t>List of top Private Jeddah Companies</w:t>
      </w:r>
      <w:r w:rsidR="00F3146F" w:rsidRPr="005F2223">
        <w:rPr>
          <w:rFonts w:ascii="Traditional Arabic" w:hAnsi="Traditional Arabic" w:cs="Traditional Arabic"/>
          <w:sz w:val="28"/>
          <w:szCs w:val="28"/>
        </w:rPr>
        <w:t xml:space="preserve">. </w:t>
      </w:r>
      <w:hyperlink r:id="rId25" w:tgtFrame="_new" w:history="1">
        <w:r w:rsidR="00F3146F" w:rsidRPr="005F2223">
          <w:rPr>
            <w:rStyle w:val="Hyperlink"/>
            <w:rFonts w:ascii="Traditional Arabic" w:hAnsi="Traditional Arabic" w:cs="Traditional Arabic"/>
            <w:color w:val="auto"/>
            <w:sz w:val="28"/>
            <w:szCs w:val="28"/>
          </w:rPr>
          <w:t>https://www.crunchbase.com/hub/private-jeddah-companies</w:t>
        </w:r>
      </w:hyperlink>
    </w:p>
    <w:p w14:paraId="25BA31A2" w14:textId="70C4608C" w:rsidR="00F3146F" w:rsidRPr="005F2223" w:rsidRDefault="00DC4083" w:rsidP="00DC4083">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F6S. (2025). </w:t>
      </w:r>
      <w:r w:rsidR="00F3146F" w:rsidRPr="005F2223">
        <w:rPr>
          <w:rStyle w:val="Emphasis"/>
          <w:rFonts w:ascii="Traditional Arabic" w:hAnsi="Traditional Arabic" w:cs="Traditional Arabic"/>
          <w:sz w:val="28"/>
          <w:szCs w:val="28"/>
        </w:rPr>
        <w:t>100 Top Companies in Jeddah – July 2025</w:t>
      </w:r>
      <w:r w:rsidR="00F3146F" w:rsidRPr="005F2223">
        <w:rPr>
          <w:rFonts w:ascii="Traditional Arabic" w:hAnsi="Traditional Arabic" w:cs="Traditional Arabic"/>
          <w:sz w:val="28"/>
          <w:szCs w:val="28"/>
        </w:rPr>
        <w:t xml:space="preserve">. </w:t>
      </w:r>
      <w:hyperlink r:id="rId26" w:tgtFrame="_new" w:history="1">
        <w:r w:rsidR="00F3146F" w:rsidRPr="005F2223">
          <w:rPr>
            <w:rStyle w:val="Hyperlink"/>
            <w:rFonts w:ascii="Traditional Arabic" w:hAnsi="Traditional Arabic" w:cs="Traditional Arabic"/>
            <w:color w:val="auto"/>
            <w:sz w:val="28"/>
            <w:szCs w:val="28"/>
          </w:rPr>
          <w:t>https://www.f6s.com/companies/saudi-arabia/jeddah/lo</w:t>
        </w:r>
      </w:hyperlink>
    </w:p>
    <w:p w14:paraId="730EE166" w14:textId="22ADF51E" w:rsidR="00F3146F" w:rsidRPr="005F2223" w:rsidRDefault="00DC4083" w:rsidP="00D02BF6">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Ghosh, S., Mandal, M. C., &amp; Ray, A. (2021). An exploratory assessment of the sustainability performance of the construction industry. </w:t>
      </w:r>
      <w:r w:rsidR="00F3146F" w:rsidRPr="005F2223">
        <w:rPr>
          <w:rFonts w:ascii="Traditional Arabic" w:hAnsi="Traditional Arabic" w:cs="Traditional Arabic"/>
          <w:i/>
          <w:iCs/>
          <w:sz w:val="28"/>
          <w:szCs w:val="28"/>
        </w:rPr>
        <w:t xml:space="preserve">Int J Industrial Engineering: Theory Appl </w:t>
      </w:r>
      <w:proofErr w:type="spellStart"/>
      <w:r w:rsidR="00F3146F" w:rsidRPr="005F2223">
        <w:rPr>
          <w:rFonts w:ascii="Traditional Arabic" w:hAnsi="Traditional Arabic" w:cs="Traditional Arabic"/>
          <w:i/>
          <w:iCs/>
          <w:sz w:val="28"/>
          <w:szCs w:val="28"/>
        </w:rPr>
        <w:t>Pract</w:t>
      </w:r>
      <w:proofErr w:type="spellEnd"/>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28</w:t>
      </w:r>
      <w:r w:rsidR="00F3146F" w:rsidRPr="005F2223">
        <w:rPr>
          <w:rFonts w:ascii="Traditional Arabic" w:hAnsi="Traditional Arabic" w:cs="Traditional Arabic"/>
          <w:sz w:val="28"/>
          <w:szCs w:val="28"/>
        </w:rPr>
        <w:t>(3), 329-353.</w:t>
      </w:r>
    </w:p>
    <w:p w14:paraId="1CEA062F" w14:textId="7613A3CE" w:rsidR="00F3146F" w:rsidRPr="005F2223" w:rsidRDefault="00DC4083" w:rsidP="00D02BF6">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Jamoussi</w:t>
      </w:r>
      <w:proofErr w:type="spellEnd"/>
      <w:r w:rsidR="00F3146F" w:rsidRPr="005F2223">
        <w:rPr>
          <w:rFonts w:ascii="Traditional Arabic" w:hAnsi="Traditional Arabic" w:cs="Traditional Arabic"/>
          <w:sz w:val="28"/>
          <w:szCs w:val="28"/>
          <w:lang w:bidi="ar-EG"/>
        </w:rPr>
        <w:t>, B., Abu-Rizaiza, A., &amp; AL-</w:t>
      </w:r>
      <w:proofErr w:type="spellStart"/>
      <w:r w:rsidR="00F3146F" w:rsidRPr="005F2223">
        <w:rPr>
          <w:rFonts w:ascii="Traditional Arabic" w:hAnsi="Traditional Arabic" w:cs="Traditional Arabic"/>
          <w:sz w:val="28"/>
          <w:szCs w:val="28"/>
          <w:lang w:bidi="ar-EG"/>
        </w:rPr>
        <w:t>Haij</w:t>
      </w:r>
      <w:proofErr w:type="spellEnd"/>
      <w:r w:rsidR="00F3146F" w:rsidRPr="005F2223">
        <w:rPr>
          <w:rFonts w:ascii="Traditional Arabic" w:hAnsi="Traditional Arabic" w:cs="Traditional Arabic"/>
          <w:sz w:val="28"/>
          <w:szCs w:val="28"/>
          <w:lang w:bidi="ar-EG"/>
        </w:rPr>
        <w:t xml:space="preserve">, A. (2022). Sustainable Building Standards, Codes and Certification Systems: The Status Quo and </w:t>
      </w:r>
      <w:r w:rsidR="00F3146F" w:rsidRPr="005F2223">
        <w:rPr>
          <w:rFonts w:ascii="Traditional Arabic" w:hAnsi="Traditional Arabic" w:cs="Traditional Arabic"/>
          <w:sz w:val="28"/>
          <w:szCs w:val="28"/>
          <w:lang w:bidi="ar-EG"/>
        </w:rPr>
        <w:lastRenderedPageBreak/>
        <w:t xml:space="preserve">Future Directions in Saudi Arabia. </w:t>
      </w:r>
      <w:r w:rsidR="00F3146F" w:rsidRPr="005F2223">
        <w:rPr>
          <w:rFonts w:ascii="Traditional Arabic" w:hAnsi="Traditional Arabic" w:cs="Traditional Arabic"/>
          <w:i/>
          <w:iCs/>
          <w:sz w:val="28"/>
          <w:szCs w:val="28"/>
          <w:lang w:bidi="ar-EG"/>
        </w:rPr>
        <w:t>Sustainability, 14</w:t>
      </w:r>
      <w:r w:rsidR="00F3146F" w:rsidRPr="005F2223">
        <w:rPr>
          <w:rFonts w:ascii="Traditional Arabic" w:hAnsi="Traditional Arabic" w:cs="Traditional Arabic"/>
          <w:sz w:val="28"/>
          <w:szCs w:val="28"/>
          <w:lang w:bidi="ar-EG"/>
        </w:rPr>
        <w:t xml:space="preserve">(16), 10314. </w:t>
      </w:r>
      <w:hyperlink r:id="rId27" w:tgtFrame="_new" w:history="1">
        <w:r w:rsidR="00F3146F" w:rsidRPr="005F2223">
          <w:rPr>
            <w:rStyle w:val="Hyperlink"/>
            <w:rFonts w:ascii="Traditional Arabic" w:hAnsi="Traditional Arabic" w:cs="Traditional Arabic"/>
            <w:color w:val="auto"/>
            <w:sz w:val="28"/>
            <w:szCs w:val="28"/>
            <w:lang w:bidi="ar-EG"/>
          </w:rPr>
          <w:t>https://doi.org/10.3390/su141610314</w:t>
        </w:r>
      </w:hyperlink>
    </w:p>
    <w:p w14:paraId="58FC03ED" w14:textId="4D1143DE" w:rsidR="00F3146F" w:rsidRPr="005F2223" w:rsidRDefault="00DC4083" w:rsidP="00D02BF6">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Kiani Mavi, R., </w:t>
      </w:r>
      <w:proofErr w:type="spellStart"/>
      <w:r w:rsidR="00F3146F" w:rsidRPr="005F2223">
        <w:rPr>
          <w:rFonts w:ascii="Traditional Arabic" w:hAnsi="Traditional Arabic" w:cs="Traditional Arabic"/>
          <w:sz w:val="28"/>
          <w:szCs w:val="28"/>
        </w:rPr>
        <w:t>Gengatharen</w:t>
      </w:r>
      <w:proofErr w:type="spellEnd"/>
      <w:r w:rsidR="00F3146F" w:rsidRPr="005F2223">
        <w:rPr>
          <w:rFonts w:ascii="Traditional Arabic" w:hAnsi="Traditional Arabic" w:cs="Traditional Arabic"/>
          <w:sz w:val="28"/>
          <w:szCs w:val="28"/>
        </w:rPr>
        <w:t>, D., Kiani Mavi, N., Hughes, R., Campbell, A., &amp; Yates, R. (2021). Sustainability in construction projects: a systematic literature review. </w:t>
      </w:r>
      <w:r w:rsidR="00F3146F" w:rsidRPr="005F2223">
        <w:rPr>
          <w:rFonts w:ascii="Traditional Arabic" w:hAnsi="Traditional Arabic" w:cs="Traditional Arabic"/>
          <w:i/>
          <w:iCs/>
          <w:sz w:val="28"/>
          <w:szCs w:val="28"/>
        </w:rPr>
        <w:t>Sustainability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13</w:t>
      </w:r>
      <w:r w:rsidR="00F3146F" w:rsidRPr="005F2223">
        <w:rPr>
          <w:rFonts w:ascii="Traditional Arabic" w:hAnsi="Traditional Arabic" w:cs="Traditional Arabic"/>
          <w:sz w:val="28"/>
          <w:szCs w:val="28"/>
        </w:rPr>
        <w:t>(4), 1932.</w:t>
      </w:r>
    </w:p>
    <w:p w14:paraId="572F868B" w14:textId="11BDA98F" w:rsidR="00F3146F" w:rsidRPr="005F2223" w:rsidRDefault="00DC4083" w:rsidP="00D02BF6">
      <w:pPr>
        <w:spacing w:line="480" w:lineRule="auto"/>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Kingdom of Saudi Arabia. (2018). </w:t>
      </w:r>
      <w:r w:rsidR="00F3146F" w:rsidRPr="005F2223">
        <w:rPr>
          <w:rFonts w:ascii="Traditional Arabic" w:hAnsi="Traditional Arabic" w:cs="Traditional Arabic"/>
          <w:i/>
          <w:iCs/>
          <w:sz w:val="28"/>
          <w:szCs w:val="28"/>
          <w:lang w:bidi="ar-EG"/>
        </w:rPr>
        <w:t>Voluntary National Review 2018: Towards a Sustainable Kingdom of Saudi Arabia.</w:t>
      </w:r>
      <w:r w:rsidR="00F3146F" w:rsidRPr="005F2223">
        <w:rPr>
          <w:rFonts w:ascii="Traditional Arabic" w:hAnsi="Traditional Arabic" w:cs="Traditional Arabic"/>
          <w:sz w:val="28"/>
          <w:szCs w:val="28"/>
          <w:lang w:bidi="ar-EG"/>
        </w:rPr>
        <w:t xml:space="preserve"> Ministry of Economy and Planning. </w:t>
      </w:r>
      <w:hyperlink r:id="rId28" w:tgtFrame="_new" w:history="1">
        <w:r w:rsidR="00F3146F" w:rsidRPr="005F2223">
          <w:rPr>
            <w:rStyle w:val="Hyperlink"/>
            <w:rFonts w:ascii="Traditional Arabic" w:hAnsi="Traditional Arabic" w:cs="Traditional Arabic"/>
            <w:color w:val="auto"/>
            <w:sz w:val="28"/>
            <w:szCs w:val="28"/>
            <w:lang w:bidi="ar-EG"/>
          </w:rPr>
          <w:t>https://sustainabledevelopment.un.org/content/documents/20230KSA_English_Report_Final_July_9_2018.pdf</w:t>
        </w:r>
      </w:hyperlink>
    </w:p>
    <w:p w14:paraId="55496E77" w14:textId="13682624" w:rsidR="00F3146F" w:rsidRPr="005F2223" w:rsidRDefault="00DC4083" w:rsidP="00DC4083">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Mwaluko, G. S., &amp; </w:t>
      </w:r>
      <w:proofErr w:type="spellStart"/>
      <w:r w:rsidR="00F3146F" w:rsidRPr="005F2223">
        <w:rPr>
          <w:rFonts w:ascii="Traditional Arabic" w:hAnsi="Traditional Arabic" w:cs="Traditional Arabic"/>
          <w:sz w:val="28"/>
          <w:szCs w:val="28"/>
        </w:rPr>
        <w:t>Matindana</w:t>
      </w:r>
      <w:proofErr w:type="spellEnd"/>
      <w:r w:rsidR="00F3146F" w:rsidRPr="005F2223">
        <w:rPr>
          <w:rFonts w:ascii="Traditional Arabic" w:hAnsi="Traditional Arabic" w:cs="Traditional Arabic"/>
          <w:sz w:val="28"/>
          <w:szCs w:val="28"/>
        </w:rPr>
        <w:t>, J. M. (2023). Current and future trends of construction project performance models: A review. </w:t>
      </w:r>
      <w:r w:rsidR="00F3146F" w:rsidRPr="005F2223">
        <w:rPr>
          <w:rFonts w:ascii="Traditional Arabic" w:hAnsi="Traditional Arabic" w:cs="Traditional Arabic"/>
          <w:i/>
          <w:iCs/>
          <w:sz w:val="28"/>
          <w:szCs w:val="28"/>
        </w:rPr>
        <w:t>Tanzania Journal of Engineering and Technology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42</w:t>
      </w:r>
      <w:r w:rsidR="00F3146F" w:rsidRPr="005F2223">
        <w:rPr>
          <w:rFonts w:ascii="Traditional Arabic" w:hAnsi="Traditional Arabic" w:cs="Traditional Arabic"/>
          <w:sz w:val="28"/>
          <w:szCs w:val="28"/>
        </w:rPr>
        <w:t>(1), 58-71.</w:t>
      </w:r>
    </w:p>
    <w:p w14:paraId="7D1FC19D" w14:textId="1D82AB75" w:rsidR="00F3146F" w:rsidRPr="005F2223" w:rsidRDefault="00DC4083" w:rsidP="00DC4083">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proofErr w:type="spellStart"/>
      <w:r w:rsidR="00F3146F" w:rsidRPr="005F2223">
        <w:rPr>
          <w:rFonts w:ascii="Traditional Arabic" w:hAnsi="Traditional Arabic" w:cs="Traditional Arabic"/>
          <w:sz w:val="28"/>
          <w:szCs w:val="28"/>
        </w:rPr>
        <w:t>Nikmehr</w:t>
      </w:r>
      <w:proofErr w:type="spellEnd"/>
      <w:r w:rsidR="00F3146F" w:rsidRPr="005F2223">
        <w:rPr>
          <w:rFonts w:ascii="Traditional Arabic" w:hAnsi="Traditional Arabic" w:cs="Traditional Arabic"/>
          <w:sz w:val="28"/>
          <w:szCs w:val="28"/>
        </w:rPr>
        <w:t xml:space="preserve">, B., Hosseini, M. R., Martek, I., </w:t>
      </w:r>
      <w:proofErr w:type="spellStart"/>
      <w:r w:rsidR="00F3146F" w:rsidRPr="005F2223">
        <w:rPr>
          <w:rFonts w:ascii="Traditional Arabic" w:hAnsi="Traditional Arabic" w:cs="Traditional Arabic"/>
          <w:sz w:val="28"/>
          <w:szCs w:val="28"/>
        </w:rPr>
        <w:t>Zavadskas</w:t>
      </w:r>
      <w:proofErr w:type="spellEnd"/>
      <w:r w:rsidR="00F3146F" w:rsidRPr="005F2223">
        <w:rPr>
          <w:rFonts w:ascii="Traditional Arabic" w:hAnsi="Traditional Arabic" w:cs="Traditional Arabic"/>
          <w:sz w:val="28"/>
          <w:szCs w:val="28"/>
        </w:rPr>
        <w:t xml:space="preserve">, E. K., &amp; </w:t>
      </w:r>
      <w:proofErr w:type="spellStart"/>
      <w:r w:rsidR="00F3146F" w:rsidRPr="005F2223">
        <w:rPr>
          <w:rFonts w:ascii="Traditional Arabic" w:hAnsi="Traditional Arabic" w:cs="Traditional Arabic"/>
          <w:sz w:val="28"/>
          <w:szCs w:val="28"/>
        </w:rPr>
        <w:t>Antucheviciene</w:t>
      </w:r>
      <w:proofErr w:type="spellEnd"/>
      <w:r w:rsidR="00F3146F" w:rsidRPr="005F2223">
        <w:rPr>
          <w:rFonts w:ascii="Traditional Arabic" w:hAnsi="Traditional Arabic" w:cs="Traditional Arabic"/>
          <w:sz w:val="28"/>
          <w:szCs w:val="28"/>
        </w:rPr>
        <w:t xml:space="preserve">, J. (2021). Digitalization as a strategic means of achieving </w:t>
      </w:r>
      <w:r w:rsidR="00F3146F" w:rsidRPr="005F2223">
        <w:rPr>
          <w:rFonts w:ascii="Traditional Arabic" w:hAnsi="Traditional Arabic" w:cs="Traditional Arabic"/>
          <w:sz w:val="28"/>
          <w:szCs w:val="28"/>
        </w:rPr>
        <w:lastRenderedPageBreak/>
        <w:t>sustainable efficiencies in construction management: A critical review. </w:t>
      </w:r>
      <w:r w:rsidR="00F3146F" w:rsidRPr="005F2223">
        <w:rPr>
          <w:rFonts w:ascii="Traditional Arabic" w:hAnsi="Traditional Arabic" w:cs="Traditional Arabic"/>
          <w:i/>
          <w:iCs/>
          <w:sz w:val="28"/>
          <w:szCs w:val="28"/>
        </w:rPr>
        <w:t>Sustainability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13</w:t>
      </w:r>
      <w:r w:rsidR="00F3146F" w:rsidRPr="005F2223">
        <w:rPr>
          <w:rFonts w:ascii="Traditional Arabic" w:hAnsi="Traditional Arabic" w:cs="Traditional Arabic"/>
          <w:sz w:val="28"/>
          <w:szCs w:val="28"/>
        </w:rPr>
        <w:t>(9), 5040.</w:t>
      </w:r>
    </w:p>
    <w:p w14:paraId="4653A3F0" w14:textId="2A2907F8" w:rsidR="00F3146F" w:rsidRPr="005F2223" w:rsidRDefault="00DC4083" w:rsidP="00D02BF6">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Qazi, A., </w:t>
      </w:r>
      <w:proofErr w:type="spellStart"/>
      <w:r w:rsidR="00F3146F" w:rsidRPr="005F2223">
        <w:rPr>
          <w:rFonts w:ascii="Traditional Arabic" w:hAnsi="Traditional Arabic" w:cs="Traditional Arabic"/>
          <w:sz w:val="28"/>
          <w:szCs w:val="28"/>
          <w:lang w:bidi="ar-EG"/>
        </w:rPr>
        <w:t>Shamayleh</w:t>
      </w:r>
      <w:proofErr w:type="spellEnd"/>
      <w:r w:rsidR="00F3146F" w:rsidRPr="005F2223">
        <w:rPr>
          <w:rFonts w:ascii="Traditional Arabic" w:hAnsi="Traditional Arabic" w:cs="Traditional Arabic"/>
          <w:sz w:val="28"/>
          <w:szCs w:val="28"/>
          <w:lang w:bidi="ar-EG"/>
        </w:rPr>
        <w:t xml:space="preserve">, A., El-Sayegh, S., &amp; </w:t>
      </w:r>
      <w:proofErr w:type="spellStart"/>
      <w:r w:rsidR="00F3146F" w:rsidRPr="005F2223">
        <w:rPr>
          <w:rFonts w:ascii="Traditional Arabic" w:hAnsi="Traditional Arabic" w:cs="Traditional Arabic"/>
          <w:sz w:val="28"/>
          <w:szCs w:val="28"/>
          <w:lang w:bidi="ar-EG"/>
        </w:rPr>
        <w:t>Formaneck</w:t>
      </w:r>
      <w:proofErr w:type="spellEnd"/>
      <w:r w:rsidR="00F3146F" w:rsidRPr="005F2223">
        <w:rPr>
          <w:rFonts w:ascii="Traditional Arabic" w:hAnsi="Traditional Arabic" w:cs="Traditional Arabic"/>
          <w:sz w:val="28"/>
          <w:szCs w:val="28"/>
          <w:lang w:bidi="ar-EG"/>
        </w:rPr>
        <w:t xml:space="preserve">, S. (2021). Prioritizing risks in sustainable construction projects using a risk matrix-based Monte Carlo Simulation approach. </w:t>
      </w:r>
      <w:r w:rsidR="00F3146F" w:rsidRPr="005F2223">
        <w:rPr>
          <w:rFonts w:ascii="Traditional Arabic" w:hAnsi="Traditional Arabic" w:cs="Traditional Arabic"/>
          <w:i/>
          <w:iCs/>
          <w:sz w:val="28"/>
          <w:szCs w:val="28"/>
          <w:lang w:bidi="ar-EG"/>
        </w:rPr>
        <w:t>Sustainable Cities and Society</w:t>
      </w:r>
      <w:r w:rsidR="00F3146F" w:rsidRPr="005F2223">
        <w:rPr>
          <w:rFonts w:ascii="Traditional Arabic" w:hAnsi="Traditional Arabic" w:cs="Traditional Arabic"/>
          <w:sz w:val="28"/>
          <w:szCs w:val="28"/>
          <w:lang w:bidi="ar-EG"/>
        </w:rPr>
        <w:t xml:space="preserve">, 65, 102576. </w:t>
      </w:r>
      <w:hyperlink r:id="rId29" w:tgtFrame="_new" w:history="1">
        <w:r w:rsidR="00F3146F" w:rsidRPr="005F2223">
          <w:rPr>
            <w:rStyle w:val="Hyperlink"/>
            <w:rFonts w:ascii="Traditional Arabic" w:hAnsi="Traditional Arabic" w:cs="Traditional Arabic"/>
            <w:color w:val="auto"/>
            <w:sz w:val="28"/>
            <w:szCs w:val="28"/>
            <w:lang w:bidi="ar-EG"/>
          </w:rPr>
          <w:t>https://doi.org/10.1016/j.scs.2020.102576</w:t>
        </w:r>
      </w:hyperlink>
    </w:p>
    <w:p w14:paraId="11C50A6D" w14:textId="0596DF5B" w:rsidR="00F3146F" w:rsidRPr="005F2223" w:rsidRDefault="00DC4083" w:rsidP="00D02BF6">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Rajabi, S., El-Sayegh, S., &amp; Romdhane, L. (2022). Identification and assessment of sustainability performance indicators for construction projects. </w:t>
      </w:r>
      <w:r w:rsidR="00F3146F" w:rsidRPr="005F2223">
        <w:rPr>
          <w:rFonts w:ascii="Traditional Arabic" w:hAnsi="Traditional Arabic" w:cs="Traditional Arabic"/>
          <w:i/>
          <w:iCs/>
          <w:sz w:val="28"/>
          <w:szCs w:val="28"/>
        </w:rPr>
        <w:t>Environmental and Sustainability Indicators</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15</w:t>
      </w:r>
      <w:r w:rsidR="00F3146F" w:rsidRPr="005F2223">
        <w:rPr>
          <w:rFonts w:ascii="Traditional Arabic" w:hAnsi="Traditional Arabic" w:cs="Traditional Arabic"/>
          <w:sz w:val="28"/>
          <w:szCs w:val="28"/>
        </w:rPr>
        <w:t xml:space="preserve">, 100193. </w:t>
      </w:r>
    </w:p>
    <w:p w14:paraId="4F2DC213" w14:textId="01BA3A85" w:rsidR="00F3146F" w:rsidRPr="005F2223" w:rsidRDefault="00DC4083" w:rsidP="00385FBD">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Salah, M., Elmasry, M., Mashhour, I. M., &amp; Amer, N. (2023). A framework for assessing sustainability of construction projects. </w:t>
      </w:r>
      <w:r w:rsidR="00F3146F" w:rsidRPr="005F2223">
        <w:rPr>
          <w:rFonts w:ascii="Traditional Arabic" w:hAnsi="Traditional Arabic" w:cs="Traditional Arabic"/>
          <w:i/>
          <w:iCs/>
          <w:sz w:val="28"/>
          <w:szCs w:val="28"/>
          <w:lang w:bidi="ar-EG"/>
        </w:rPr>
        <w:t>Cleaner Engineering and Technology</w:t>
      </w:r>
      <w:r w:rsidR="00F3146F" w:rsidRPr="005F2223">
        <w:rPr>
          <w:rFonts w:ascii="Traditional Arabic" w:hAnsi="Traditional Arabic" w:cs="Traditional Arabic"/>
          <w:sz w:val="28"/>
          <w:szCs w:val="28"/>
          <w:lang w:bidi="ar-EG"/>
        </w:rPr>
        <w:t xml:space="preserve">, 13, 100626. </w:t>
      </w:r>
      <w:hyperlink r:id="rId30" w:tgtFrame="_new" w:history="1">
        <w:r w:rsidR="00F3146F" w:rsidRPr="005F2223">
          <w:rPr>
            <w:rStyle w:val="Hyperlink"/>
            <w:rFonts w:ascii="Traditional Arabic" w:hAnsi="Traditional Arabic" w:cs="Traditional Arabic"/>
            <w:color w:val="auto"/>
            <w:sz w:val="28"/>
            <w:szCs w:val="28"/>
            <w:lang w:bidi="ar-EG"/>
          </w:rPr>
          <w:t>https://doi.org/10.1016/j.clet.2023.100626</w:t>
        </w:r>
      </w:hyperlink>
    </w:p>
    <w:p w14:paraId="297B41DF" w14:textId="6B2D216C" w:rsidR="00F3146F" w:rsidRPr="005F2223" w:rsidRDefault="00DC4083" w:rsidP="00385FBD">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Shaawat</w:t>
      </w:r>
      <w:proofErr w:type="spellEnd"/>
      <w:r w:rsidR="00F3146F" w:rsidRPr="005F2223">
        <w:rPr>
          <w:rFonts w:ascii="Traditional Arabic" w:hAnsi="Traditional Arabic" w:cs="Traditional Arabic"/>
          <w:sz w:val="28"/>
          <w:szCs w:val="28"/>
          <w:lang w:bidi="ar-EG"/>
        </w:rPr>
        <w:t xml:space="preserve">, M. E., Alqahtani, S. M. S., Qasem, A., Jamil, R., </w:t>
      </w:r>
      <w:proofErr w:type="spellStart"/>
      <w:r w:rsidR="00F3146F" w:rsidRPr="005F2223">
        <w:rPr>
          <w:rFonts w:ascii="Traditional Arabic" w:hAnsi="Traditional Arabic" w:cs="Traditional Arabic"/>
          <w:sz w:val="28"/>
          <w:szCs w:val="28"/>
          <w:lang w:bidi="ar-EG"/>
        </w:rPr>
        <w:t>Almohassen</w:t>
      </w:r>
      <w:proofErr w:type="spellEnd"/>
      <w:r w:rsidR="00F3146F" w:rsidRPr="005F2223">
        <w:rPr>
          <w:rFonts w:ascii="Traditional Arabic" w:hAnsi="Traditional Arabic" w:cs="Traditional Arabic"/>
          <w:sz w:val="28"/>
          <w:szCs w:val="28"/>
          <w:lang w:bidi="ar-EG"/>
        </w:rPr>
        <w:t xml:space="preserve">, A. S., &amp; </w:t>
      </w:r>
      <w:proofErr w:type="spellStart"/>
      <w:r w:rsidR="00F3146F" w:rsidRPr="005F2223">
        <w:rPr>
          <w:rFonts w:ascii="Traditional Arabic" w:hAnsi="Traditional Arabic" w:cs="Traditional Arabic"/>
          <w:sz w:val="28"/>
          <w:szCs w:val="28"/>
          <w:lang w:bidi="ar-EG"/>
        </w:rPr>
        <w:t>Bongwirnso</w:t>
      </w:r>
      <w:proofErr w:type="spellEnd"/>
      <w:r w:rsidR="00F3146F" w:rsidRPr="005F2223">
        <w:rPr>
          <w:rFonts w:ascii="Traditional Arabic" w:hAnsi="Traditional Arabic" w:cs="Traditional Arabic"/>
          <w:sz w:val="28"/>
          <w:szCs w:val="28"/>
          <w:lang w:bidi="ar-EG"/>
        </w:rPr>
        <w:t xml:space="preserve">, U. M. (2023). A Performance Quality Index to Assess Professional Conduct of Contractors at Sustainable Construction </w:t>
      </w:r>
      <w:r w:rsidR="00F3146F" w:rsidRPr="005F2223">
        <w:rPr>
          <w:rFonts w:ascii="Traditional Arabic" w:hAnsi="Traditional Arabic" w:cs="Traditional Arabic"/>
          <w:sz w:val="28"/>
          <w:szCs w:val="28"/>
          <w:lang w:bidi="ar-EG"/>
        </w:rPr>
        <w:lastRenderedPageBreak/>
        <w:t xml:space="preserve">Projects in Saudi Arabia. </w:t>
      </w:r>
      <w:r w:rsidR="00F3146F" w:rsidRPr="005F2223">
        <w:rPr>
          <w:rFonts w:ascii="Traditional Arabic" w:hAnsi="Traditional Arabic" w:cs="Traditional Arabic"/>
          <w:i/>
          <w:iCs/>
          <w:sz w:val="28"/>
          <w:szCs w:val="28"/>
          <w:lang w:bidi="ar-EG"/>
        </w:rPr>
        <w:t>Sustainability, 15</w:t>
      </w:r>
      <w:r w:rsidR="00F3146F" w:rsidRPr="005F2223">
        <w:rPr>
          <w:rFonts w:ascii="Traditional Arabic" w:hAnsi="Traditional Arabic" w:cs="Traditional Arabic"/>
          <w:sz w:val="28"/>
          <w:szCs w:val="28"/>
          <w:lang w:bidi="ar-EG"/>
        </w:rPr>
        <w:t xml:space="preserve">(9), 7500. </w:t>
      </w:r>
      <w:hyperlink r:id="rId31" w:tgtFrame="_new" w:history="1">
        <w:r w:rsidR="00F3146F" w:rsidRPr="005F2223">
          <w:rPr>
            <w:rStyle w:val="Hyperlink"/>
            <w:rFonts w:ascii="Traditional Arabic" w:hAnsi="Traditional Arabic" w:cs="Traditional Arabic"/>
            <w:color w:val="auto"/>
            <w:sz w:val="28"/>
            <w:szCs w:val="28"/>
            <w:lang w:bidi="ar-EG"/>
          </w:rPr>
          <w:t>https://doi.org/10.3390/su15097500</w:t>
        </w:r>
      </w:hyperlink>
    </w:p>
    <w:p w14:paraId="789AE239" w14:textId="5EB76ADE" w:rsidR="00F3146F" w:rsidRPr="005F2223" w:rsidRDefault="00DC4083" w:rsidP="00385FBD">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Startup CFO. (2025). </w:t>
      </w:r>
      <w:r w:rsidR="00F3146F" w:rsidRPr="005F2223">
        <w:rPr>
          <w:rStyle w:val="Emphasis"/>
          <w:rFonts w:ascii="Traditional Arabic" w:hAnsi="Traditional Arabic" w:cs="Traditional Arabic"/>
          <w:sz w:val="28"/>
          <w:szCs w:val="28"/>
        </w:rPr>
        <w:t>How many startups are there in Saudi Arabia?</w:t>
      </w:r>
      <w:r w:rsidR="00F3146F" w:rsidRPr="005F2223">
        <w:rPr>
          <w:rFonts w:ascii="Traditional Arabic" w:hAnsi="Traditional Arabic" w:cs="Traditional Arabic"/>
          <w:sz w:val="28"/>
          <w:szCs w:val="28"/>
        </w:rPr>
        <w:t xml:space="preserve"> </w:t>
      </w:r>
      <w:hyperlink r:id="rId32" w:tgtFrame="_new" w:history="1">
        <w:r w:rsidR="00F3146F" w:rsidRPr="005F2223">
          <w:rPr>
            <w:rStyle w:val="Hyperlink"/>
            <w:rFonts w:ascii="Traditional Arabic" w:hAnsi="Traditional Arabic" w:cs="Traditional Arabic"/>
            <w:color w:val="auto"/>
            <w:sz w:val="28"/>
            <w:szCs w:val="28"/>
          </w:rPr>
          <w:t>https://startupcfo.ca/startup/how-many-startups-are-there-in-saudi-arabia</w:t>
        </w:r>
      </w:hyperlink>
    </w:p>
    <w:p w14:paraId="68540A54" w14:textId="316A83A4" w:rsidR="008A450E" w:rsidRPr="005F2223" w:rsidRDefault="00DC4083" w:rsidP="00385FBD">
      <w:pPr>
        <w:pStyle w:val="NormalWeb"/>
        <w:spacing w:line="480" w:lineRule="auto"/>
        <w:rPr>
          <w:rFonts w:ascii="Traditional Arabic" w:hAnsi="Traditional Arabic" w:cs="Traditional Arabic"/>
          <w:sz w:val="28"/>
          <w:szCs w:val="28"/>
        </w:rPr>
      </w:pPr>
      <w:bookmarkStart w:id="15" w:name="_Hlk205043425"/>
      <w:r w:rsidRPr="005F2223">
        <w:rPr>
          <w:rStyle w:val="Strong"/>
          <w:rFonts w:ascii="Traditional Arabic" w:hAnsi="Traditional Arabic" w:cs="Traditional Arabic"/>
          <w:b w:val="0"/>
          <w:bCs w:val="0"/>
          <w:sz w:val="28"/>
          <w:szCs w:val="28"/>
        </w:rPr>
        <w:t xml:space="preserve">- </w:t>
      </w:r>
      <w:r w:rsidR="008A450E" w:rsidRPr="005F2223">
        <w:rPr>
          <w:rStyle w:val="Strong"/>
          <w:rFonts w:ascii="Traditional Arabic" w:hAnsi="Traditional Arabic" w:cs="Traditional Arabic"/>
          <w:b w:val="0"/>
          <w:bCs w:val="0"/>
          <w:sz w:val="28"/>
          <w:szCs w:val="28"/>
        </w:rPr>
        <w:t>Hapy</w:t>
      </w:r>
      <w:r w:rsidR="008A450E" w:rsidRPr="005F2223">
        <w:rPr>
          <w:rStyle w:val="Strong"/>
          <w:rFonts w:ascii="Traditional Arabic" w:hAnsi="Traditional Arabic" w:cs="Traditional Arabic"/>
          <w:sz w:val="28"/>
          <w:szCs w:val="28"/>
        </w:rPr>
        <w:t>. (</w:t>
      </w:r>
      <w:r w:rsidR="008A450E" w:rsidRPr="005F2223">
        <w:rPr>
          <w:rStyle w:val="Strong"/>
          <w:rFonts w:ascii="Traditional Arabic" w:hAnsi="Traditional Arabic" w:cs="Traditional Arabic"/>
          <w:b w:val="0"/>
          <w:bCs w:val="0"/>
          <w:sz w:val="28"/>
          <w:szCs w:val="28"/>
        </w:rPr>
        <w:t>2025</w:t>
      </w:r>
      <w:r w:rsidR="008A450E" w:rsidRPr="005F2223">
        <w:rPr>
          <w:rStyle w:val="Strong"/>
          <w:rFonts w:ascii="Traditional Arabic" w:hAnsi="Traditional Arabic" w:cs="Traditional Arabic"/>
          <w:sz w:val="28"/>
          <w:szCs w:val="28"/>
        </w:rPr>
        <w:t>).</w:t>
      </w:r>
      <w:r w:rsidR="008A450E" w:rsidRPr="005F2223">
        <w:rPr>
          <w:rFonts w:ascii="Traditional Arabic" w:hAnsi="Traditional Arabic" w:cs="Traditional Arabic"/>
          <w:sz w:val="28"/>
          <w:szCs w:val="28"/>
        </w:rPr>
        <w:t xml:space="preserve"> </w:t>
      </w:r>
      <w:bookmarkEnd w:id="15"/>
      <w:r w:rsidR="008A450E" w:rsidRPr="005F2223">
        <w:rPr>
          <w:rStyle w:val="Emphasis"/>
          <w:rFonts w:ascii="Traditional Arabic" w:hAnsi="Traditional Arabic" w:cs="Traditional Arabic"/>
          <w:sz w:val="28"/>
          <w:szCs w:val="28"/>
        </w:rPr>
        <w:t>Startup ecosystem in Saudi Arabia 2025</w:t>
      </w:r>
      <w:r w:rsidR="008A450E" w:rsidRPr="005F2223">
        <w:rPr>
          <w:rFonts w:ascii="Traditional Arabic" w:hAnsi="Traditional Arabic" w:cs="Traditional Arabic"/>
          <w:sz w:val="28"/>
          <w:szCs w:val="28"/>
        </w:rPr>
        <w:t xml:space="preserve">. Retrieved August 2, 2025, from </w:t>
      </w:r>
      <w:hyperlink r:id="rId33" w:tgtFrame="_new" w:history="1">
        <w:r w:rsidR="008A450E" w:rsidRPr="005F2223">
          <w:rPr>
            <w:rStyle w:val="Hyperlink"/>
            <w:rFonts w:ascii="Traditional Arabic" w:hAnsi="Traditional Arabic" w:cs="Traditional Arabic"/>
            <w:color w:val="auto"/>
            <w:sz w:val="28"/>
            <w:szCs w:val="28"/>
          </w:rPr>
          <w:t>https://hapy.co/journal/startup-ecosystem-in-saudi-arabia-2025/</w:t>
        </w:r>
      </w:hyperlink>
    </w:p>
    <w:p w14:paraId="68E59938" w14:textId="3312E4D8" w:rsidR="00F3146F" w:rsidRPr="005F2223" w:rsidRDefault="00DC4083" w:rsidP="00385FBD">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proofErr w:type="spellStart"/>
      <w:r w:rsidR="00F3146F" w:rsidRPr="005F2223">
        <w:rPr>
          <w:rFonts w:ascii="Traditional Arabic" w:hAnsi="Traditional Arabic" w:cs="Traditional Arabic"/>
          <w:sz w:val="28"/>
          <w:szCs w:val="28"/>
        </w:rPr>
        <w:t>StartupBlink</w:t>
      </w:r>
      <w:proofErr w:type="spellEnd"/>
      <w:r w:rsidR="00F3146F" w:rsidRPr="005F2223">
        <w:rPr>
          <w:rFonts w:ascii="Traditional Arabic" w:hAnsi="Traditional Arabic" w:cs="Traditional Arabic"/>
          <w:sz w:val="28"/>
          <w:szCs w:val="28"/>
        </w:rPr>
        <w:t xml:space="preserve">. (2025). </w:t>
      </w:r>
      <w:r w:rsidR="00F3146F" w:rsidRPr="005F2223">
        <w:rPr>
          <w:rStyle w:val="Emphasis"/>
          <w:rFonts w:ascii="Traditional Arabic" w:hAnsi="Traditional Arabic" w:cs="Traditional Arabic"/>
          <w:sz w:val="28"/>
          <w:szCs w:val="28"/>
        </w:rPr>
        <w:t>Startup Ecosystem Overview of Jeddah</w:t>
      </w:r>
      <w:r w:rsidR="00F3146F" w:rsidRPr="005F2223">
        <w:rPr>
          <w:rFonts w:ascii="Traditional Arabic" w:hAnsi="Traditional Arabic" w:cs="Traditional Arabic"/>
          <w:sz w:val="28"/>
          <w:szCs w:val="28"/>
        </w:rPr>
        <w:t xml:space="preserve">. </w:t>
      </w:r>
      <w:hyperlink r:id="rId34" w:tgtFrame="_new" w:history="1">
        <w:r w:rsidR="00F3146F" w:rsidRPr="005F2223">
          <w:rPr>
            <w:rStyle w:val="Hyperlink"/>
            <w:rFonts w:ascii="Traditional Arabic" w:hAnsi="Traditional Arabic" w:cs="Traditional Arabic"/>
            <w:color w:val="auto"/>
            <w:sz w:val="28"/>
            <w:szCs w:val="28"/>
          </w:rPr>
          <w:t>https://taiwan.startupblink.com/startupecosystem/jeddah%2Bsaudi-arabia</w:t>
        </w:r>
      </w:hyperlink>
    </w:p>
    <w:p w14:paraId="4B33E491" w14:textId="589A68E5" w:rsidR="00F3146F" w:rsidRPr="005F2223" w:rsidRDefault="00DC4083" w:rsidP="00385FBD">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proofErr w:type="spellStart"/>
      <w:r w:rsidR="00F3146F" w:rsidRPr="005F2223">
        <w:rPr>
          <w:rFonts w:ascii="Traditional Arabic" w:hAnsi="Traditional Arabic" w:cs="Traditional Arabic"/>
          <w:sz w:val="28"/>
          <w:szCs w:val="28"/>
        </w:rPr>
        <w:t>Torkayesh</w:t>
      </w:r>
      <w:proofErr w:type="spellEnd"/>
      <w:r w:rsidR="00F3146F" w:rsidRPr="005F2223">
        <w:rPr>
          <w:rFonts w:ascii="Traditional Arabic" w:hAnsi="Traditional Arabic" w:cs="Traditional Arabic"/>
          <w:sz w:val="28"/>
          <w:szCs w:val="28"/>
        </w:rPr>
        <w:t xml:space="preserve">, A. E., </w:t>
      </w:r>
      <w:proofErr w:type="spellStart"/>
      <w:r w:rsidR="00F3146F" w:rsidRPr="005F2223">
        <w:rPr>
          <w:rFonts w:ascii="Traditional Arabic" w:hAnsi="Traditional Arabic" w:cs="Traditional Arabic"/>
          <w:sz w:val="28"/>
          <w:szCs w:val="28"/>
        </w:rPr>
        <w:t>Ecer</w:t>
      </w:r>
      <w:proofErr w:type="spellEnd"/>
      <w:r w:rsidR="00F3146F" w:rsidRPr="005F2223">
        <w:rPr>
          <w:rFonts w:ascii="Traditional Arabic" w:hAnsi="Traditional Arabic" w:cs="Traditional Arabic"/>
          <w:sz w:val="28"/>
          <w:szCs w:val="28"/>
        </w:rPr>
        <w:t xml:space="preserve">, F., </w:t>
      </w:r>
      <w:proofErr w:type="spellStart"/>
      <w:r w:rsidR="00F3146F" w:rsidRPr="005F2223">
        <w:rPr>
          <w:rFonts w:ascii="Traditional Arabic" w:hAnsi="Traditional Arabic" w:cs="Traditional Arabic"/>
          <w:sz w:val="28"/>
          <w:szCs w:val="28"/>
        </w:rPr>
        <w:t>Pamucar</w:t>
      </w:r>
      <w:proofErr w:type="spellEnd"/>
      <w:r w:rsidR="00F3146F" w:rsidRPr="005F2223">
        <w:rPr>
          <w:rFonts w:ascii="Traditional Arabic" w:hAnsi="Traditional Arabic" w:cs="Traditional Arabic"/>
          <w:sz w:val="28"/>
          <w:szCs w:val="28"/>
        </w:rPr>
        <w:t xml:space="preserve">, D., &amp; </w:t>
      </w:r>
      <w:proofErr w:type="spellStart"/>
      <w:r w:rsidR="00F3146F" w:rsidRPr="005F2223">
        <w:rPr>
          <w:rFonts w:ascii="Traditional Arabic" w:hAnsi="Traditional Arabic" w:cs="Traditional Arabic"/>
          <w:sz w:val="28"/>
          <w:szCs w:val="28"/>
        </w:rPr>
        <w:t>Karama</w:t>
      </w:r>
      <w:r w:rsidR="00F3146F" w:rsidRPr="005F2223">
        <w:rPr>
          <w:rFonts w:ascii="Cambria" w:hAnsi="Cambria" w:cs="Cambria"/>
          <w:sz w:val="28"/>
          <w:szCs w:val="28"/>
        </w:rPr>
        <w:t>ş</w:t>
      </w:r>
      <w:r w:rsidR="00F3146F" w:rsidRPr="005F2223">
        <w:rPr>
          <w:rFonts w:ascii="Traditional Arabic" w:hAnsi="Traditional Arabic" w:cs="Traditional Arabic"/>
          <w:sz w:val="28"/>
          <w:szCs w:val="28"/>
        </w:rPr>
        <w:t>a</w:t>
      </w:r>
      <w:proofErr w:type="spellEnd"/>
      <w:r w:rsidR="00F3146F" w:rsidRPr="005F2223">
        <w:rPr>
          <w:rFonts w:ascii="Traditional Arabic" w:hAnsi="Traditional Arabic" w:cs="Traditional Arabic"/>
          <w:sz w:val="28"/>
          <w:szCs w:val="28"/>
        </w:rPr>
        <w:t xml:space="preserve">, Ç. (2021). Comparative assessment of social sustainability performance: Integrated data-driven weighting system and </w:t>
      </w:r>
      <w:proofErr w:type="spellStart"/>
      <w:r w:rsidR="00F3146F" w:rsidRPr="005F2223">
        <w:rPr>
          <w:rFonts w:ascii="Traditional Arabic" w:hAnsi="Traditional Arabic" w:cs="Traditional Arabic"/>
          <w:sz w:val="28"/>
          <w:szCs w:val="28"/>
        </w:rPr>
        <w:t>CoCoSo</w:t>
      </w:r>
      <w:proofErr w:type="spellEnd"/>
      <w:r w:rsidR="00F3146F" w:rsidRPr="005F2223">
        <w:rPr>
          <w:rFonts w:ascii="Traditional Arabic" w:hAnsi="Traditional Arabic" w:cs="Traditional Arabic"/>
          <w:sz w:val="28"/>
          <w:szCs w:val="28"/>
        </w:rPr>
        <w:t xml:space="preserve"> model. </w:t>
      </w:r>
      <w:r w:rsidR="00F3146F" w:rsidRPr="005F2223">
        <w:rPr>
          <w:rFonts w:ascii="Traditional Arabic" w:hAnsi="Traditional Arabic" w:cs="Traditional Arabic"/>
          <w:i/>
          <w:iCs/>
          <w:sz w:val="28"/>
          <w:szCs w:val="28"/>
        </w:rPr>
        <w:t>Sustainable Cities and Society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71</w:t>
      </w:r>
      <w:r w:rsidR="00F3146F" w:rsidRPr="005F2223">
        <w:rPr>
          <w:rFonts w:ascii="Traditional Arabic" w:hAnsi="Traditional Arabic" w:cs="Traditional Arabic"/>
          <w:sz w:val="28"/>
          <w:szCs w:val="28"/>
        </w:rPr>
        <w:t>, 102975.</w:t>
      </w:r>
    </w:p>
    <w:p w14:paraId="20D465BF" w14:textId="27E619EB" w:rsidR="00F3146F" w:rsidRPr="005F2223" w:rsidRDefault="00DC4083" w:rsidP="00385FBD">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Unegbu</w:t>
      </w:r>
      <w:proofErr w:type="spellEnd"/>
      <w:r w:rsidR="00F3146F" w:rsidRPr="005F2223">
        <w:rPr>
          <w:rFonts w:ascii="Traditional Arabic" w:hAnsi="Traditional Arabic" w:cs="Traditional Arabic"/>
          <w:sz w:val="28"/>
          <w:szCs w:val="28"/>
          <w:lang w:bidi="ar-EG"/>
        </w:rPr>
        <w:t xml:space="preserve">, H. C. O., </w:t>
      </w:r>
      <w:proofErr w:type="spellStart"/>
      <w:r w:rsidR="00F3146F" w:rsidRPr="005F2223">
        <w:rPr>
          <w:rFonts w:ascii="Traditional Arabic" w:hAnsi="Traditional Arabic" w:cs="Traditional Arabic"/>
          <w:sz w:val="28"/>
          <w:szCs w:val="28"/>
          <w:lang w:bidi="ar-EG"/>
        </w:rPr>
        <w:t>Yawas</w:t>
      </w:r>
      <w:proofErr w:type="spellEnd"/>
      <w:r w:rsidR="00F3146F" w:rsidRPr="005F2223">
        <w:rPr>
          <w:rFonts w:ascii="Traditional Arabic" w:hAnsi="Traditional Arabic" w:cs="Traditional Arabic"/>
          <w:sz w:val="28"/>
          <w:szCs w:val="28"/>
          <w:lang w:bidi="ar-EG"/>
        </w:rPr>
        <w:t>, D. S., &amp; Dan-</w:t>
      </w:r>
      <w:proofErr w:type="spellStart"/>
      <w:r w:rsidR="00F3146F" w:rsidRPr="005F2223">
        <w:rPr>
          <w:rFonts w:ascii="Traditional Arabic" w:hAnsi="Traditional Arabic" w:cs="Traditional Arabic"/>
          <w:sz w:val="28"/>
          <w:szCs w:val="28"/>
          <w:lang w:bidi="ar-EG"/>
        </w:rPr>
        <w:t>asabe</w:t>
      </w:r>
      <w:proofErr w:type="spellEnd"/>
      <w:r w:rsidR="00F3146F" w:rsidRPr="005F2223">
        <w:rPr>
          <w:rFonts w:ascii="Traditional Arabic" w:hAnsi="Traditional Arabic" w:cs="Traditional Arabic"/>
          <w:sz w:val="28"/>
          <w:szCs w:val="28"/>
          <w:lang w:bidi="ar-EG"/>
        </w:rPr>
        <w:t xml:space="preserve">, B. (2022). An investigation of the relationship between project performance measures and </w:t>
      </w:r>
      <w:r w:rsidR="00F3146F" w:rsidRPr="005F2223">
        <w:rPr>
          <w:rFonts w:ascii="Traditional Arabic" w:hAnsi="Traditional Arabic" w:cs="Traditional Arabic"/>
          <w:sz w:val="28"/>
          <w:szCs w:val="28"/>
          <w:lang w:bidi="ar-EG"/>
        </w:rPr>
        <w:lastRenderedPageBreak/>
        <w:t xml:space="preserve">project management practices of construction projects for the construction industry in Nigeria. </w:t>
      </w:r>
      <w:r w:rsidR="00F3146F" w:rsidRPr="005F2223">
        <w:rPr>
          <w:rFonts w:ascii="Traditional Arabic" w:hAnsi="Traditional Arabic" w:cs="Traditional Arabic"/>
          <w:i/>
          <w:iCs/>
          <w:sz w:val="28"/>
          <w:szCs w:val="28"/>
          <w:lang w:bidi="ar-EG"/>
        </w:rPr>
        <w:t>Journal of King Saud University - Engineering Sciences, 34</w:t>
      </w:r>
      <w:r w:rsidR="00F3146F" w:rsidRPr="005F2223">
        <w:rPr>
          <w:rFonts w:ascii="Traditional Arabic" w:hAnsi="Traditional Arabic" w:cs="Traditional Arabic"/>
          <w:sz w:val="28"/>
          <w:szCs w:val="28"/>
          <w:lang w:bidi="ar-EG"/>
        </w:rPr>
        <w:t xml:space="preserve">(4), 240-249. </w:t>
      </w:r>
      <w:hyperlink r:id="rId35" w:tgtFrame="_new" w:history="1">
        <w:r w:rsidR="00F3146F" w:rsidRPr="005F2223">
          <w:rPr>
            <w:rStyle w:val="Hyperlink"/>
            <w:rFonts w:ascii="Traditional Arabic" w:hAnsi="Traditional Arabic" w:cs="Traditional Arabic"/>
            <w:color w:val="auto"/>
            <w:sz w:val="28"/>
            <w:szCs w:val="28"/>
            <w:lang w:bidi="ar-EG"/>
          </w:rPr>
          <w:t>https://doi.org/10.1016/j.jksues.2020.10.001</w:t>
        </w:r>
      </w:hyperlink>
    </w:p>
    <w:p w14:paraId="0F50066A" w14:textId="77AE889E" w:rsidR="00F3146F" w:rsidRPr="005F2223" w:rsidRDefault="00DC4083" w:rsidP="00385FBD">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United Nations Environment </w:t>
      </w:r>
      <w:proofErr w:type="spellStart"/>
      <w:r w:rsidR="00F3146F" w:rsidRPr="005F2223">
        <w:rPr>
          <w:rFonts w:ascii="Traditional Arabic" w:hAnsi="Traditional Arabic" w:cs="Traditional Arabic"/>
          <w:sz w:val="28"/>
          <w:szCs w:val="28"/>
        </w:rPr>
        <w:t>Programme</w:t>
      </w:r>
      <w:proofErr w:type="spellEnd"/>
      <w:r w:rsidR="00F3146F" w:rsidRPr="005F2223">
        <w:rPr>
          <w:rFonts w:ascii="Traditional Arabic" w:hAnsi="Traditional Arabic" w:cs="Traditional Arabic"/>
          <w:sz w:val="28"/>
          <w:szCs w:val="28"/>
        </w:rPr>
        <w:t xml:space="preserve"> (UNEP). (2022). Global status report for buildings and construction. UNEP. </w:t>
      </w:r>
      <w:hyperlink r:id="rId36" w:history="1">
        <w:r w:rsidR="00DB5B4C" w:rsidRPr="005F2223">
          <w:rPr>
            <w:rStyle w:val="Hyperlink"/>
            <w:rFonts w:ascii="Traditional Arabic" w:hAnsi="Traditional Arabic" w:cs="Traditional Arabic"/>
            <w:color w:val="auto"/>
            <w:sz w:val="28"/>
            <w:szCs w:val="28"/>
          </w:rPr>
          <w:t>https://www.unep.org</w:t>
        </w:r>
      </w:hyperlink>
    </w:p>
    <w:p w14:paraId="18958FF2" w14:textId="30092F8F" w:rsidR="00DB5B4C" w:rsidRPr="005F2223" w:rsidRDefault="00DC4083" w:rsidP="00385FBD">
      <w:pPr>
        <w:spacing w:line="480" w:lineRule="auto"/>
        <w:jc w:val="both"/>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Alazmi</w:t>
      </w:r>
      <w:proofErr w:type="spellEnd"/>
      <w:r w:rsidR="00DB5B4C" w:rsidRPr="005F2223">
        <w:rPr>
          <w:rFonts w:ascii="Traditional Arabic" w:hAnsi="Traditional Arabic" w:cs="Traditional Arabic"/>
          <w:sz w:val="28"/>
          <w:szCs w:val="28"/>
          <w:lang w:bidi="ar-EG"/>
        </w:rPr>
        <w:t>, S., Abdelmegid, M</w:t>
      </w:r>
      <w:proofErr w:type="gramStart"/>
      <w:r w:rsidR="00DB5B4C" w:rsidRPr="005F2223">
        <w:rPr>
          <w:rFonts w:ascii="Traditional Arabic" w:hAnsi="Traditional Arabic" w:cs="Traditional Arabic"/>
          <w:sz w:val="28"/>
          <w:szCs w:val="28"/>
          <w:lang w:bidi="ar-EG"/>
        </w:rPr>
        <w:t>., Sarhan</w:t>
      </w:r>
      <w:proofErr w:type="gramEnd"/>
      <w:r w:rsidR="00DB5B4C" w:rsidRPr="005F2223">
        <w:rPr>
          <w:rFonts w:ascii="Traditional Arabic" w:hAnsi="Traditional Arabic" w:cs="Traditional Arabic"/>
          <w:sz w:val="28"/>
          <w:szCs w:val="28"/>
          <w:lang w:bidi="ar-EG"/>
        </w:rPr>
        <w:t xml:space="preserve">, S., </w:t>
      </w:r>
      <w:proofErr w:type="spellStart"/>
      <w:r w:rsidR="00DB5B4C" w:rsidRPr="005F2223">
        <w:rPr>
          <w:rFonts w:ascii="Traditional Arabic" w:hAnsi="Traditional Arabic" w:cs="Traditional Arabic"/>
          <w:sz w:val="28"/>
          <w:szCs w:val="28"/>
          <w:lang w:bidi="ar-EG"/>
        </w:rPr>
        <w:t>Poshdar</w:t>
      </w:r>
      <w:proofErr w:type="spellEnd"/>
      <w:r w:rsidR="00DB5B4C" w:rsidRPr="005F2223">
        <w:rPr>
          <w:rFonts w:ascii="Traditional Arabic" w:hAnsi="Traditional Arabic" w:cs="Traditional Arabic"/>
          <w:sz w:val="28"/>
          <w:szCs w:val="28"/>
          <w:lang w:bidi="ar-EG"/>
        </w:rPr>
        <w:t xml:space="preserve">, M., Gonzalez, V., &amp; Bidhendi, A. (2025). An integrated framework to improve waste management practices and environmental awareness in the Saudi construction industry. Cleaner Waste Systems, 10, 100195. </w:t>
      </w:r>
      <w:hyperlink r:id="rId37" w:history="1">
        <w:r w:rsidR="00DB5B4C" w:rsidRPr="005F2223">
          <w:rPr>
            <w:rStyle w:val="Hyperlink"/>
            <w:rFonts w:ascii="Traditional Arabic" w:hAnsi="Traditional Arabic" w:cs="Traditional Arabic"/>
            <w:color w:val="auto"/>
            <w:sz w:val="28"/>
            <w:szCs w:val="28"/>
            <w:lang w:bidi="ar-EG"/>
          </w:rPr>
          <w:t>https://doi.org/10.1016/j.chwas.2024.100195</w:t>
        </w:r>
      </w:hyperlink>
    </w:p>
    <w:p w14:paraId="6DA52267" w14:textId="5BCF032D" w:rsidR="00DB5B4C" w:rsidRPr="005F2223" w:rsidRDefault="00DC4083"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sz w:val="28"/>
          <w:szCs w:val="28"/>
          <w:lang w:bidi="ar-EG"/>
        </w:rPr>
        <w:t xml:space="preserve">Alghuried, A. (2025). Assessing the critical success factors for the sustainable construction project management of Saudi Arabia. </w:t>
      </w:r>
      <w:r w:rsidR="00DB5B4C" w:rsidRPr="005F2223">
        <w:rPr>
          <w:rFonts w:ascii="Traditional Arabic" w:hAnsi="Traditional Arabic" w:cs="Traditional Arabic"/>
          <w:i/>
          <w:iCs/>
          <w:sz w:val="28"/>
          <w:szCs w:val="28"/>
          <w:lang w:bidi="ar-EG"/>
        </w:rPr>
        <w:t>Journal of Asian Architecture and Building Engineering</w:t>
      </w:r>
      <w:r w:rsidR="00DB5B4C" w:rsidRPr="005F2223">
        <w:rPr>
          <w:rFonts w:ascii="Traditional Arabic" w:hAnsi="Traditional Arabic" w:cs="Traditional Arabic"/>
          <w:sz w:val="28"/>
          <w:szCs w:val="28"/>
          <w:lang w:bidi="ar-EG"/>
        </w:rPr>
        <w:t xml:space="preserve">. </w:t>
      </w:r>
      <w:hyperlink r:id="rId38" w:history="1">
        <w:r w:rsidR="00DB5B4C" w:rsidRPr="005F2223">
          <w:rPr>
            <w:rStyle w:val="Hyperlink"/>
            <w:rFonts w:ascii="Traditional Arabic" w:hAnsi="Traditional Arabic" w:cs="Traditional Arabic"/>
            <w:color w:val="auto"/>
            <w:sz w:val="28"/>
            <w:szCs w:val="28"/>
            <w:lang w:bidi="ar-EG"/>
          </w:rPr>
          <w:t>https://doi.org/10.1080/13467581.2025.2454616</w:t>
        </w:r>
      </w:hyperlink>
    </w:p>
    <w:p w14:paraId="7325C160" w14:textId="4EC2A8CE" w:rsidR="00DB5B4C" w:rsidRPr="005F2223" w:rsidRDefault="00DC4083" w:rsidP="00385FBD">
      <w:pPr>
        <w:spacing w:line="480" w:lineRule="auto"/>
        <w:jc w:val="both"/>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Almahmoud</w:t>
      </w:r>
      <w:proofErr w:type="spellEnd"/>
      <w:r w:rsidR="00DB5B4C" w:rsidRPr="005F2223">
        <w:rPr>
          <w:rFonts w:ascii="Traditional Arabic" w:hAnsi="Traditional Arabic" w:cs="Traditional Arabic"/>
          <w:sz w:val="28"/>
          <w:szCs w:val="28"/>
          <w:lang w:bidi="ar-EG"/>
        </w:rPr>
        <w:t xml:space="preserve">, E. S., </w:t>
      </w:r>
      <w:proofErr w:type="spellStart"/>
      <w:r w:rsidR="00DB5B4C" w:rsidRPr="005F2223">
        <w:rPr>
          <w:rFonts w:ascii="Traditional Arabic" w:hAnsi="Traditional Arabic" w:cs="Traditional Arabic"/>
          <w:sz w:val="28"/>
          <w:szCs w:val="28"/>
          <w:lang w:bidi="ar-EG"/>
        </w:rPr>
        <w:t>Doloi</w:t>
      </w:r>
      <w:proofErr w:type="spellEnd"/>
      <w:r w:rsidR="00DB5B4C" w:rsidRPr="005F2223">
        <w:rPr>
          <w:rFonts w:ascii="Traditional Arabic" w:hAnsi="Traditional Arabic" w:cs="Traditional Arabic"/>
          <w:sz w:val="28"/>
          <w:szCs w:val="28"/>
          <w:lang w:bidi="ar-EG"/>
        </w:rPr>
        <w:t xml:space="preserve">, H. K., &amp; </w:t>
      </w:r>
      <w:proofErr w:type="spellStart"/>
      <w:r w:rsidR="00DB5B4C" w:rsidRPr="005F2223">
        <w:rPr>
          <w:rFonts w:ascii="Traditional Arabic" w:hAnsi="Traditional Arabic" w:cs="Traditional Arabic"/>
          <w:sz w:val="28"/>
          <w:szCs w:val="28"/>
          <w:lang w:bidi="ar-EG"/>
        </w:rPr>
        <w:t>Panuwatwanich</w:t>
      </w:r>
      <w:proofErr w:type="spellEnd"/>
      <w:r w:rsidR="00DB5B4C" w:rsidRPr="005F2223">
        <w:rPr>
          <w:rFonts w:ascii="Traditional Arabic" w:hAnsi="Traditional Arabic" w:cs="Traditional Arabic"/>
          <w:sz w:val="28"/>
          <w:szCs w:val="28"/>
          <w:lang w:bidi="ar-EG"/>
        </w:rPr>
        <w:t xml:space="preserve">, K. (2012). Linking project health to project performance indicators: Multiple case studies of </w:t>
      </w:r>
      <w:r w:rsidR="00DB5B4C" w:rsidRPr="005F2223">
        <w:rPr>
          <w:rFonts w:ascii="Traditional Arabic" w:hAnsi="Traditional Arabic" w:cs="Traditional Arabic"/>
          <w:sz w:val="28"/>
          <w:szCs w:val="28"/>
          <w:lang w:bidi="ar-EG"/>
        </w:rPr>
        <w:lastRenderedPageBreak/>
        <w:t xml:space="preserve">construction projects in Saudi Arabia. International Journal of Project Management, 30(3), 296-307. </w:t>
      </w:r>
      <w:hyperlink r:id="rId39" w:history="1">
        <w:r w:rsidR="00DB5B4C" w:rsidRPr="005F2223">
          <w:rPr>
            <w:rStyle w:val="Hyperlink"/>
            <w:rFonts w:ascii="Traditional Arabic" w:hAnsi="Traditional Arabic" w:cs="Traditional Arabic"/>
            <w:color w:val="auto"/>
            <w:sz w:val="28"/>
            <w:szCs w:val="28"/>
            <w:lang w:bidi="ar-EG"/>
          </w:rPr>
          <w:t>https://doi.org/10.1016/j.ijproman.2011.07.001</w:t>
        </w:r>
      </w:hyperlink>
    </w:p>
    <w:p w14:paraId="40FA372A" w14:textId="00ADDFAF" w:rsidR="00DB5B4C" w:rsidRPr="005F2223" w:rsidRDefault="00DC4083"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sz w:val="28"/>
          <w:szCs w:val="28"/>
          <w:lang w:bidi="ar-EG"/>
        </w:rPr>
        <w:t xml:space="preserve">Al-Yami, A. M. H. (2008). </w:t>
      </w:r>
      <w:r w:rsidR="00DB5B4C" w:rsidRPr="005F2223">
        <w:rPr>
          <w:rFonts w:ascii="Traditional Arabic" w:hAnsi="Traditional Arabic" w:cs="Traditional Arabic"/>
          <w:i/>
          <w:iCs/>
          <w:sz w:val="28"/>
          <w:szCs w:val="28"/>
          <w:lang w:bidi="ar-EG"/>
        </w:rPr>
        <w:t>An Integrated Approach to Value Management and Sustainable Construction during Strategic Briefing in Saudi Construction Projects</w:t>
      </w:r>
      <w:r w:rsidR="00DB5B4C" w:rsidRPr="005F2223">
        <w:rPr>
          <w:rFonts w:ascii="Traditional Arabic" w:hAnsi="Traditional Arabic" w:cs="Traditional Arabic"/>
          <w:sz w:val="28"/>
          <w:szCs w:val="28"/>
          <w:lang w:bidi="ar-EG"/>
        </w:rPr>
        <w:t xml:space="preserve"> (Doctoral thesis, Loughborough University).</w:t>
      </w:r>
    </w:p>
    <w:p w14:paraId="5A231202" w14:textId="7ADBFA36"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sz w:val="28"/>
          <w:szCs w:val="28"/>
          <w:lang w:bidi="ar-EG"/>
        </w:rPr>
        <w:t xml:space="preserve">Asiri, A. N. M., &amp; Al Mazhar, M. K. (2025). Optimizing Construction Project Performance </w:t>
      </w:r>
      <w:proofErr w:type="gramStart"/>
      <w:r w:rsidR="00DB5B4C" w:rsidRPr="005F2223">
        <w:rPr>
          <w:rFonts w:ascii="Traditional Arabic" w:hAnsi="Traditional Arabic" w:cs="Traditional Arabic"/>
          <w:sz w:val="28"/>
          <w:szCs w:val="28"/>
          <w:lang w:bidi="ar-EG"/>
        </w:rPr>
        <w:t>In</w:t>
      </w:r>
      <w:proofErr w:type="gramEnd"/>
      <w:r w:rsidR="00DB5B4C" w:rsidRPr="005F2223">
        <w:rPr>
          <w:rFonts w:ascii="Traditional Arabic" w:hAnsi="Traditional Arabic" w:cs="Traditional Arabic"/>
          <w:sz w:val="28"/>
          <w:szCs w:val="28"/>
          <w:lang w:bidi="ar-EG"/>
        </w:rPr>
        <w:t xml:space="preserve"> Asir, Saudi Arabia: A KPI Perspective. </w:t>
      </w:r>
      <w:r w:rsidR="00DB5B4C" w:rsidRPr="005F2223">
        <w:rPr>
          <w:rFonts w:ascii="Traditional Arabic" w:hAnsi="Traditional Arabic" w:cs="Traditional Arabic"/>
          <w:i/>
          <w:iCs/>
          <w:sz w:val="28"/>
          <w:szCs w:val="28"/>
          <w:lang w:bidi="ar-EG"/>
        </w:rPr>
        <w:t>Metallurgical and Materials Engineering</w:t>
      </w:r>
      <w:r w:rsidR="00DB5B4C" w:rsidRPr="005F2223">
        <w:rPr>
          <w:rFonts w:ascii="Traditional Arabic" w:hAnsi="Traditional Arabic" w:cs="Traditional Arabic"/>
          <w:sz w:val="28"/>
          <w:szCs w:val="28"/>
          <w:lang w:bidi="ar-EG"/>
        </w:rPr>
        <w:t xml:space="preserve">, 430-445. </w:t>
      </w:r>
      <w:hyperlink r:id="rId40" w:tgtFrame="_new" w:history="1">
        <w:r w:rsidR="00DB5B4C" w:rsidRPr="005F2223">
          <w:rPr>
            <w:rStyle w:val="Hyperlink"/>
            <w:rFonts w:ascii="Traditional Arabic" w:hAnsi="Traditional Arabic" w:cs="Traditional Arabic"/>
            <w:color w:val="auto"/>
            <w:sz w:val="28"/>
            <w:szCs w:val="28"/>
            <w:lang w:bidi="ar-EG"/>
          </w:rPr>
          <w:t>https://doi.org/10.63278/mme.vi.1598</w:t>
        </w:r>
      </w:hyperlink>
    </w:p>
    <w:p w14:paraId="7E0C720E" w14:textId="79661991"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Jamoussi</w:t>
      </w:r>
      <w:proofErr w:type="spellEnd"/>
      <w:r w:rsidR="00DB5B4C" w:rsidRPr="005F2223">
        <w:rPr>
          <w:rFonts w:ascii="Traditional Arabic" w:hAnsi="Traditional Arabic" w:cs="Traditional Arabic"/>
          <w:sz w:val="28"/>
          <w:szCs w:val="28"/>
          <w:lang w:bidi="ar-EG"/>
        </w:rPr>
        <w:t>, B., Abu-Rizaiza, A., &amp; AL-</w:t>
      </w:r>
      <w:proofErr w:type="spellStart"/>
      <w:r w:rsidR="00DB5B4C" w:rsidRPr="005F2223">
        <w:rPr>
          <w:rFonts w:ascii="Traditional Arabic" w:hAnsi="Traditional Arabic" w:cs="Traditional Arabic"/>
          <w:sz w:val="28"/>
          <w:szCs w:val="28"/>
          <w:lang w:bidi="ar-EG"/>
        </w:rPr>
        <w:t>Haij</w:t>
      </w:r>
      <w:proofErr w:type="spellEnd"/>
      <w:r w:rsidR="00DB5B4C" w:rsidRPr="005F2223">
        <w:rPr>
          <w:rFonts w:ascii="Traditional Arabic" w:hAnsi="Traditional Arabic" w:cs="Traditional Arabic"/>
          <w:sz w:val="28"/>
          <w:szCs w:val="28"/>
          <w:lang w:bidi="ar-EG"/>
        </w:rPr>
        <w:t xml:space="preserve">, A. (2022). Sustainable Building Standards, Codes and Certification Systems: The Status Quo and Future Directions in Saudi Arabia. </w:t>
      </w:r>
      <w:r w:rsidR="00DB5B4C" w:rsidRPr="005F2223">
        <w:rPr>
          <w:rFonts w:ascii="Traditional Arabic" w:hAnsi="Traditional Arabic" w:cs="Traditional Arabic"/>
          <w:i/>
          <w:iCs/>
          <w:sz w:val="28"/>
          <w:szCs w:val="28"/>
          <w:lang w:bidi="ar-EG"/>
        </w:rPr>
        <w:t>Sustainability, 14</w:t>
      </w:r>
      <w:r w:rsidR="00DB5B4C" w:rsidRPr="005F2223">
        <w:rPr>
          <w:rFonts w:ascii="Traditional Arabic" w:hAnsi="Traditional Arabic" w:cs="Traditional Arabic"/>
          <w:sz w:val="28"/>
          <w:szCs w:val="28"/>
          <w:lang w:bidi="ar-EG"/>
        </w:rPr>
        <w:t xml:space="preserve">(16), 10314. </w:t>
      </w:r>
      <w:hyperlink r:id="rId41" w:tgtFrame="_new" w:history="1">
        <w:r w:rsidR="00DB5B4C" w:rsidRPr="005F2223">
          <w:rPr>
            <w:rStyle w:val="Hyperlink"/>
            <w:rFonts w:ascii="Traditional Arabic" w:hAnsi="Traditional Arabic" w:cs="Traditional Arabic"/>
            <w:color w:val="auto"/>
            <w:sz w:val="28"/>
            <w:szCs w:val="28"/>
            <w:lang w:bidi="ar-EG"/>
          </w:rPr>
          <w:t>https://doi.org/10.3390/su141610314</w:t>
        </w:r>
      </w:hyperlink>
    </w:p>
    <w:p w14:paraId="4B744011" w14:textId="77777777" w:rsidR="000529F8" w:rsidRPr="005F2223" w:rsidRDefault="000529F8" w:rsidP="00385FBD">
      <w:pPr>
        <w:spacing w:line="480" w:lineRule="auto"/>
        <w:jc w:val="both"/>
        <w:rPr>
          <w:rFonts w:ascii="Traditional Arabic" w:hAnsi="Traditional Arabic" w:cs="Traditional Arabic"/>
          <w:sz w:val="28"/>
          <w:szCs w:val="28"/>
          <w:lang w:bidi="ar-EG"/>
        </w:rPr>
      </w:pPr>
    </w:p>
    <w:p w14:paraId="39155DA6" w14:textId="5AB44D8D"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lastRenderedPageBreak/>
        <w:t xml:space="preserve">- </w:t>
      </w:r>
      <w:r w:rsidR="00DB5B4C" w:rsidRPr="005F2223">
        <w:rPr>
          <w:rFonts w:ascii="Traditional Arabic" w:hAnsi="Traditional Arabic" w:cs="Traditional Arabic"/>
          <w:sz w:val="28"/>
          <w:szCs w:val="28"/>
          <w:lang w:bidi="ar-EG"/>
        </w:rPr>
        <w:t xml:space="preserve">Salah, M., Elmasry, M., Mashhour, I. M., &amp; Amer, N. (2023). A framework for assessing sustainability of construction projects. </w:t>
      </w:r>
      <w:r w:rsidR="00DB5B4C" w:rsidRPr="005F2223">
        <w:rPr>
          <w:rFonts w:ascii="Traditional Arabic" w:hAnsi="Traditional Arabic" w:cs="Traditional Arabic"/>
          <w:i/>
          <w:iCs/>
          <w:sz w:val="28"/>
          <w:szCs w:val="28"/>
          <w:lang w:bidi="ar-EG"/>
        </w:rPr>
        <w:t>Cleaner Engineering and Technology</w:t>
      </w:r>
      <w:r w:rsidR="00DB5B4C" w:rsidRPr="005F2223">
        <w:rPr>
          <w:rFonts w:ascii="Traditional Arabic" w:hAnsi="Traditional Arabic" w:cs="Traditional Arabic"/>
          <w:sz w:val="28"/>
          <w:szCs w:val="28"/>
          <w:lang w:bidi="ar-EG"/>
        </w:rPr>
        <w:t xml:space="preserve">, 13, 100626. </w:t>
      </w:r>
      <w:hyperlink r:id="rId42" w:tgtFrame="_new" w:history="1">
        <w:r w:rsidR="00DB5B4C" w:rsidRPr="005F2223">
          <w:rPr>
            <w:rStyle w:val="Hyperlink"/>
            <w:rFonts w:ascii="Traditional Arabic" w:hAnsi="Traditional Arabic" w:cs="Traditional Arabic"/>
            <w:color w:val="auto"/>
            <w:sz w:val="28"/>
            <w:szCs w:val="28"/>
            <w:lang w:bidi="ar-EG"/>
          </w:rPr>
          <w:t>https://doi.org/10.1016/j.clet.2023.100626</w:t>
        </w:r>
      </w:hyperlink>
    </w:p>
    <w:p w14:paraId="03B688EB" w14:textId="0B8BEAE7"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Shaawat</w:t>
      </w:r>
      <w:proofErr w:type="spellEnd"/>
      <w:r w:rsidR="00DB5B4C" w:rsidRPr="005F2223">
        <w:rPr>
          <w:rFonts w:ascii="Traditional Arabic" w:hAnsi="Traditional Arabic" w:cs="Traditional Arabic"/>
          <w:sz w:val="28"/>
          <w:szCs w:val="28"/>
          <w:lang w:bidi="ar-EG"/>
        </w:rPr>
        <w:t xml:space="preserve">, M. E., Alqahtani, S. M. S., Qasem, A., Jamil, R., </w:t>
      </w:r>
      <w:proofErr w:type="spellStart"/>
      <w:r w:rsidR="00DB5B4C" w:rsidRPr="005F2223">
        <w:rPr>
          <w:rFonts w:ascii="Traditional Arabic" w:hAnsi="Traditional Arabic" w:cs="Traditional Arabic"/>
          <w:sz w:val="28"/>
          <w:szCs w:val="28"/>
          <w:lang w:bidi="ar-EG"/>
        </w:rPr>
        <w:t>Almohassen</w:t>
      </w:r>
      <w:proofErr w:type="spellEnd"/>
      <w:r w:rsidR="00DB5B4C" w:rsidRPr="005F2223">
        <w:rPr>
          <w:rFonts w:ascii="Traditional Arabic" w:hAnsi="Traditional Arabic" w:cs="Traditional Arabic"/>
          <w:sz w:val="28"/>
          <w:szCs w:val="28"/>
          <w:lang w:bidi="ar-EG"/>
        </w:rPr>
        <w:t xml:space="preserve">, A. S., &amp; </w:t>
      </w:r>
      <w:proofErr w:type="spellStart"/>
      <w:r w:rsidR="00DB5B4C" w:rsidRPr="005F2223">
        <w:rPr>
          <w:rFonts w:ascii="Traditional Arabic" w:hAnsi="Traditional Arabic" w:cs="Traditional Arabic"/>
          <w:sz w:val="28"/>
          <w:szCs w:val="28"/>
          <w:lang w:bidi="ar-EG"/>
        </w:rPr>
        <w:t>Bongwirnso</w:t>
      </w:r>
      <w:proofErr w:type="spellEnd"/>
      <w:r w:rsidR="00DB5B4C" w:rsidRPr="005F2223">
        <w:rPr>
          <w:rFonts w:ascii="Traditional Arabic" w:hAnsi="Traditional Arabic" w:cs="Traditional Arabic"/>
          <w:sz w:val="28"/>
          <w:szCs w:val="28"/>
          <w:lang w:bidi="ar-EG"/>
        </w:rPr>
        <w:t xml:space="preserve">, U. M. (2023). A Performance Quality Index to Assess Professional Conduct of Contractors at Sustainable Construction Projects in Saudi Arabia. </w:t>
      </w:r>
      <w:r w:rsidR="00DB5B4C" w:rsidRPr="005F2223">
        <w:rPr>
          <w:rFonts w:ascii="Traditional Arabic" w:hAnsi="Traditional Arabic" w:cs="Traditional Arabic"/>
          <w:i/>
          <w:iCs/>
          <w:sz w:val="28"/>
          <w:szCs w:val="28"/>
          <w:lang w:bidi="ar-EG"/>
        </w:rPr>
        <w:t>Sustainability, 15</w:t>
      </w:r>
      <w:r w:rsidR="00DB5B4C" w:rsidRPr="005F2223">
        <w:rPr>
          <w:rFonts w:ascii="Traditional Arabic" w:hAnsi="Traditional Arabic" w:cs="Traditional Arabic"/>
          <w:sz w:val="28"/>
          <w:szCs w:val="28"/>
          <w:lang w:bidi="ar-EG"/>
        </w:rPr>
        <w:t xml:space="preserve">(9), 7500. </w:t>
      </w:r>
      <w:hyperlink r:id="rId43" w:tgtFrame="_new" w:history="1">
        <w:r w:rsidR="00DB5B4C" w:rsidRPr="005F2223">
          <w:rPr>
            <w:rStyle w:val="Hyperlink"/>
            <w:rFonts w:ascii="Traditional Arabic" w:hAnsi="Traditional Arabic" w:cs="Traditional Arabic"/>
            <w:color w:val="auto"/>
            <w:sz w:val="28"/>
            <w:szCs w:val="28"/>
            <w:lang w:bidi="ar-EG"/>
          </w:rPr>
          <w:t>https://doi.org/10.3390/su15097500</w:t>
        </w:r>
      </w:hyperlink>
    </w:p>
    <w:p w14:paraId="0CAF4A29" w14:textId="74EC0FFB"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Unegbu</w:t>
      </w:r>
      <w:proofErr w:type="spellEnd"/>
      <w:r w:rsidR="00DB5B4C" w:rsidRPr="005F2223">
        <w:rPr>
          <w:rFonts w:ascii="Traditional Arabic" w:hAnsi="Traditional Arabic" w:cs="Traditional Arabic"/>
          <w:sz w:val="28"/>
          <w:szCs w:val="28"/>
          <w:lang w:bidi="ar-EG"/>
        </w:rPr>
        <w:t xml:space="preserve">, H. C. O., </w:t>
      </w:r>
      <w:proofErr w:type="spellStart"/>
      <w:r w:rsidR="00DB5B4C" w:rsidRPr="005F2223">
        <w:rPr>
          <w:rFonts w:ascii="Traditional Arabic" w:hAnsi="Traditional Arabic" w:cs="Traditional Arabic"/>
          <w:sz w:val="28"/>
          <w:szCs w:val="28"/>
          <w:lang w:bidi="ar-EG"/>
        </w:rPr>
        <w:t>Yawas</w:t>
      </w:r>
      <w:proofErr w:type="spellEnd"/>
      <w:r w:rsidR="00DB5B4C" w:rsidRPr="005F2223">
        <w:rPr>
          <w:rFonts w:ascii="Traditional Arabic" w:hAnsi="Traditional Arabic" w:cs="Traditional Arabic"/>
          <w:sz w:val="28"/>
          <w:szCs w:val="28"/>
          <w:lang w:bidi="ar-EG"/>
        </w:rPr>
        <w:t>, D. S., &amp; Dan-</w:t>
      </w:r>
      <w:proofErr w:type="spellStart"/>
      <w:r w:rsidR="00DB5B4C" w:rsidRPr="005F2223">
        <w:rPr>
          <w:rFonts w:ascii="Traditional Arabic" w:hAnsi="Traditional Arabic" w:cs="Traditional Arabic"/>
          <w:sz w:val="28"/>
          <w:szCs w:val="28"/>
          <w:lang w:bidi="ar-EG"/>
        </w:rPr>
        <w:t>asabe</w:t>
      </w:r>
      <w:proofErr w:type="spellEnd"/>
      <w:r w:rsidR="00DB5B4C" w:rsidRPr="005F2223">
        <w:rPr>
          <w:rFonts w:ascii="Traditional Arabic" w:hAnsi="Traditional Arabic" w:cs="Traditional Arabic"/>
          <w:sz w:val="28"/>
          <w:szCs w:val="28"/>
          <w:lang w:bidi="ar-EG"/>
        </w:rPr>
        <w:t xml:space="preserve">, B. (2022). An investigation of the relationship between project performance measures and project management practices of construction projects for the construction industry in Nigeria. </w:t>
      </w:r>
      <w:r w:rsidR="00DB5B4C" w:rsidRPr="005F2223">
        <w:rPr>
          <w:rFonts w:ascii="Traditional Arabic" w:hAnsi="Traditional Arabic" w:cs="Traditional Arabic"/>
          <w:i/>
          <w:iCs/>
          <w:sz w:val="28"/>
          <w:szCs w:val="28"/>
          <w:lang w:bidi="ar-EG"/>
        </w:rPr>
        <w:t>Journal of King Saud University - Engineering Sciences, 34</w:t>
      </w:r>
      <w:r w:rsidR="00DB5B4C" w:rsidRPr="005F2223">
        <w:rPr>
          <w:rFonts w:ascii="Traditional Arabic" w:hAnsi="Traditional Arabic" w:cs="Traditional Arabic"/>
          <w:sz w:val="28"/>
          <w:szCs w:val="28"/>
          <w:lang w:bidi="ar-EG"/>
        </w:rPr>
        <w:t xml:space="preserve">(4), 240-249. </w:t>
      </w:r>
      <w:hyperlink r:id="rId44" w:tgtFrame="_new" w:history="1">
        <w:r w:rsidR="00DB5B4C" w:rsidRPr="005F2223">
          <w:rPr>
            <w:rStyle w:val="Hyperlink"/>
            <w:rFonts w:ascii="Traditional Arabic" w:hAnsi="Traditional Arabic" w:cs="Traditional Arabic"/>
            <w:color w:val="auto"/>
            <w:sz w:val="28"/>
            <w:szCs w:val="28"/>
            <w:lang w:bidi="ar-EG"/>
          </w:rPr>
          <w:t>https://doi.org/10.1016/j.jksues.2020.10.001</w:t>
        </w:r>
      </w:hyperlink>
    </w:p>
    <w:p w14:paraId="3582946D" w14:textId="428B567E" w:rsidR="00385FBD" w:rsidRPr="005F2223" w:rsidRDefault="00385FBD"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r w:rsidR="000529F8" w:rsidRPr="005F2223">
        <w:rPr>
          <w:rFonts w:ascii="Traditional Arabic" w:hAnsi="Traditional Arabic" w:cs="Traditional Arabic"/>
          <w:sz w:val="28"/>
          <w:szCs w:val="28"/>
        </w:rPr>
        <w:t xml:space="preserve">- </w:t>
      </w:r>
      <w:r w:rsidRPr="005F2223">
        <w:rPr>
          <w:rFonts w:ascii="Traditional Arabic" w:hAnsi="Traditional Arabic" w:cs="Traditional Arabic"/>
          <w:sz w:val="28"/>
          <w:szCs w:val="28"/>
        </w:rPr>
        <w:t xml:space="preserve">Creswell, J. (2003). Research design: Qualitative, quantitative and mixed methods. Sage </w:t>
      </w:r>
      <w:proofErr w:type="gramStart"/>
      <w:r w:rsidRPr="005F2223">
        <w:rPr>
          <w:rFonts w:ascii="Traditional Arabic" w:hAnsi="Traditional Arabic" w:cs="Traditional Arabic"/>
          <w:sz w:val="28"/>
          <w:szCs w:val="28"/>
        </w:rPr>
        <w:t>Publications..</w:t>
      </w:r>
      <w:proofErr w:type="gramEnd"/>
    </w:p>
    <w:p w14:paraId="6D84F8C1" w14:textId="71CDBF2A"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lastRenderedPageBreak/>
        <w:t xml:space="preserve">- </w:t>
      </w:r>
      <w:r w:rsidR="00385FBD" w:rsidRPr="005F2223">
        <w:rPr>
          <w:rFonts w:ascii="Traditional Arabic" w:hAnsi="Traditional Arabic" w:cs="Traditional Arabic"/>
          <w:sz w:val="28"/>
          <w:szCs w:val="28"/>
        </w:rPr>
        <w:t>Elkington, J. (1997). Cannibals with forks: The triple bottom line of 21st century business. Capstone Publishing.</w:t>
      </w:r>
    </w:p>
    <w:p w14:paraId="2147F82E" w14:textId="0CE5583E"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Zuo, J., &amp; Zhao, Z. Y. (2014). Green building research–</w:t>
      </w:r>
      <w:proofErr w:type="gramStart"/>
      <w:r w:rsidR="00385FBD" w:rsidRPr="005F2223">
        <w:rPr>
          <w:rFonts w:ascii="Traditional Arabic" w:hAnsi="Traditional Arabic" w:cs="Traditional Arabic"/>
          <w:sz w:val="28"/>
          <w:szCs w:val="28"/>
        </w:rPr>
        <w:t>current status</w:t>
      </w:r>
      <w:proofErr w:type="gramEnd"/>
      <w:r w:rsidR="00385FBD" w:rsidRPr="005F2223">
        <w:rPr>
          <w:rFonts w:ascii="Traditional Arabic" w:hAnsi="Traditional Arabic" w:cs="Traditional Arabic"/>
          <w:sz w:val="28"/>
          <w:szCs w:val="28"/>
        </w:rPr>
        <w:t xml:space="preserve"> and future agenda: A review. Renewable and Sustainable Energy Reviews, 30, 271–281. https://doi.org/10.1016/j.rser.2013.10.021</w:t>
      </w:r>
    </w:p>
    <w:p w14:paraId="6108BE1F" w14:textId="505DA8F2"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Darko, A., &amp; Chan, A. P. C. (2017). Review of barriers to green building adoption. Sustainable Development, 25(3), 167–179. https://doi.org/10.1002/sd.1651</w:t>
      </w:r>
    </w:p>
    <w:p w14:paraId="27729B0E" w14:textId="5F305424"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 xml:space="preserve">Atkinson, R. (1999). Project management: Cost, time and quality, two best guesses and a phenomenon, </w:t>
      </w:r>
      <w:proofErr w:type="spellStart"/>
      <w:r w:rsidR="00385FBD" w:rsidRPr="005F2223">
        <w:rPr>
          <w:rFonts w:ascii="Traditional Arabic" w:hAnsi="Traditional Arabic" w:cs="Traditional Arabic"/>
          <w:sz w:val="28"/>
          <w:szCs w:val="28"/>
        </w:rPr>
        <w:t>its</w:t>
      </w:r>
      <w:proofErr w:type="spellEnd"/>
      <w:r w:rsidR="00385FBD" w:rsidRPr="005F2223">
        <w:rPr>
          <w:rFonts w:ascii="Traditional Arabic" w:hAnsi="Traditional Arabic" w:cs="Traditional Arabic"/>
          <w:sz w:val="28"/>
          <w:szCs w:val="28"/>
        </w:rPr>
        <w:t xml:space="preserve"> time to accept other success criteria. International Journal of Project Management, 17(6), 337–342. https://doi.org/10.1016/S0263-7863(98)00069-6</w:t>
      </w:r>
    </w:p>
    <w:p w14:paraId="72B34239" w14:textId="41EB4A24"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Chan, A. P. C., Scott, D., &amp; Chan, A. P. L. (2004). Factors affecting the success of a construction project. Journal of Construction Engineering and Management, 130(1), 153–155. https://doi.org/10.1061/(ASCE)0733-9364(2004)130:1(153)</w:t>
      </w:r>
    </w:p>
    <w:p w14:paraId="62007240" w14:textId="51CB7B68"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Ika, L. A. (2009). Project success as a topic in project management journals. Project Management Journal, 40(4), 6–19. https://doi.org/10.1002/pmj.20137</w:t>
      </w:r>
    </w:p>
    <w:p w14:paraId="462BF0AB" w14:textId="65E9FB65"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Kerzner, H. (2025). Project management: a systems approach to planning, scheduling, and controlling. John Wiley &amp; Sons.</w:t>
      </w:r>
    </w:p>
    <w:p w14:paraId="1EBCADC9" w14:textId="278FE5DA"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lastRenderedPageBreak/>
        <w:t xml:space="preserve">- </w:t>
      </w:r>
      <w:r w:rsidR="00385FBD" w:rsidRPr="005F2223">
        <w:rPr>
          <w:rFonts w:ascii="Traditional Arabic" w:hAnsi="Traditional Arabic" w:cs="Traditional Arabic"/>
          <w:sz w:val="28"/>
          <w:szCs w:val="28"/>
        </w:rPr>
        <w:t>Guide, P. M. B. O. K. A guide to the project management body of knowledge. 2008.</w:t>
      </w:r>
    </w:p>
    <w:p w14:paraId="4763AD71" w14:textId="5F117A9A"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proofErr w:type="spellStart"/>
      <w:r w:rsidR="00385FBD" w:rsidRPr="005F2223">
        <w:rPr>
          <w:rFonts w:ascii="Traditional Arabic" w:hAnsi="Traditional Arabic" w:cs="Traditional Arabic"/>
          <w:sz w:val="28"/>
          <w:szCs w:val="28"/>
        </w:rPr>
        <w:t>Kibert</w:t>
      </w:r>
      <w:proofErr w:type="spellEnd"/>
      <w:r w:rsidR="00385FBD" w:rsidRPr="005F2223">
        <w:rPr>
          <w:rFonts w:ascii="Traditional Arabic" w:hAnsi="Traditional Arabic" w:cs="Traditional Arabic"/>
          <w:sz w:val="28"/>
          <w:szCs w:val="28"/>
        </w:rPr>
        <w:t>, C. J. (2016). Sustainable construction: Green building design and delivery (4th ed.). Wiley.</w:t>
      </w:r>
    </w:p>
    <w:p w14:paraId="5A61F279" w14:textId="5F8F83E9" w:rsidR="00CF6B85" w:rsidRPr="005F2223" w:rsidRDefault="000529F8" w:rsidP="00D02BF6">
      <w:pPr>
        <w:bidi/>
        <w:spacing w:line="360" w:lineRule="auto"/>
        <w:jc w:val="right"/>
        <w:rPr>
          <w:rFonts w:ascii="Traditional Arabic" w:hAnsi="Traditional Arabic" w:cs="Traditional Arabic"/>
          <w:sz w:val="28"/>
          <w:szCs w:val="28"/>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Hwang, B. G., &amp; Tan, J. S. (2012). Green building project management: Obstacles and solutions for sustainable development. Sustainable Development, 20(5), 335–349. https://doi.org/10.1002/sd.492</w:t>
      </w:r>
    </w:p>
    <w:p w14:paraId="31459544" w14:textId="77777777" w:rsidR="00DB5B4C" w:rsidRPr="005F2223" w:rsidRDefault="00DB5B4C" w:rsidP="000B2AC9">
      <w:pPr>
        <w:spacing w:after="200" w:line="480" w:lineRule="auto"/>
        <w:ind w:left="360"/>
        <w:rPr>
          <w:rFonts w:ascii="Traditional Arabic" w:hAnsi="Traditional Arabic" w:cs="Traditional Arabic"/>
          <w:sz w:val="28"/>
          <w:szCs w:val="28"/>
        </w:rPr>
      </w:pPr>
    </w:p>
    <w:p w14:paraId="1F07AF06" w14:textId="77777777" w:rsidR="00382217" w:rsidRPr="005F2223" w:rsidRDefault="00382217" w:rsidP="00382217">
      <w:pPr>
        <w:spacing w:line="480" w:lineRule="auto"/>
        <w:ind w:left="720"/>
        <w:rPr>
          <w:rFonts w:ascii="Traditional Arabic" w:hAnsi="Traditional Arabic" w:cs="Traditional Arabic"/>
          <w:sz w:val="28"/>
          <w:szCs w:val="28"/>
          <w:lang w:bidi="ar-EG"/>
        </w:rPr>
      </w:pPr>
    </w:p>
    <w:p w14:paraId="566337D0" w14:textId="77777777" w:rsidR="0021489E" w:rsidRPr="005F2223" w:rsidRDefault="0021489E" w:rsidP="0021489E">
      <w:pPr>
        <w:bidi/>
        <w:spacing w:after="200" w:line="480" w:lineRule="auto"/>
        <w:rPr>
          <w:rFonts w:ascii="Traditional Arabic" w:hAnsi="Traditional Arabic" w:cs="Traditional Arabic"/>
          <w:b/>
          <w:bCs/>
          <w:sz w:val="28"/>
          <w:szCs w:val="28"/>
          <w:u w:val="single"/>
          <w:rtl/>
        </w:rPr>
      </w:pPr>
    </w:p>
    <w:sectPr w:rsidR="0021489E" w:rsidRPr="005F2223" w:rsidSect="00395E1F">
      <w:headerReference w:type="even" r:id="rId45"/>
      <w:headerReference w:type="default" r:id="rId46"/>
      <w:footerReference w:type="default" r:id="rId47"/>
      <w:headerReference w:type="first" r:id="rId48"/>
      <w:footerReference w:type="first" r:id="rId4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70530" w14:textId="77777777" w:rsidR="005628F0" w:rsidRDefault="005628F0" w:rsidP="00F628F0">
      <w:pPr>
        <w:spacing w:after="0" w:line="240" w:lineRule="auto"/>
      </w:pPr>
      <w:r>
        <w:separator/>
      </w:r>
    </w:p>
  </w:endnote>
  <w:endnote w:type="continuationSeparator" w:id="0">
    <w:p w14:paraId="2A2F71F7" w14:textId="77777777" w:rsidR="005628F0" w:rsidRDefault="005628F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93FCC" w14:textId="77777777" w:rsidR="005628F0" w:rsidRDefault="005628F0" w:rsidP="00F628F0">
      <w:pPr>
        <w:spacing w:after="0" w:line="240" w:lineRule="auto"/>
      </w:pPr>
      <w:r>
        <w:separator/>
      </w:r>
    </w:p>
  </w:footnote>
  <w:footnote w:type="continuationSeparator" w:id="0">
    <w:p w14:paraId="38870C34" w14:textId="77777777" w:rsidR="005628F0" w:rsidRDefault="005628F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644" w:hanging="360"/>
      </w:pPr>
      <w:rPr>
        <w:rFonts w:ascii="Symbol" w:eastAsiaTheme="minorHAnsi" w:hAnsi="Symbol"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6E5279A"/>
    <w:multiLevelType w:val="multilevel"/>
    <w:tmpl w:val="17E89F1E"/>
    <w:lvl w:ilvl="0">
      <w:start w:val="1"/>
      <w:numFmt w:val="decimal"/>
      <w:lvlText w:val="%1"/>
      <w:lvlJc w:val="left"/>
      <w:pPr>
        <w:ind w:left="900" w:hanging="900"/>
      </w:pPr>
      <w:rPr>
        <w:rFonts w:hint="default"/>
      </w:rPr>
    </w:lvl>
    <w:lvl w:ilvl="1">
      <w:start w:val="1"/>
      <w:numFmt w:val="decimal"/>
      <w:lvlText w:val="%1-%2"/>
      <w:lvlJc w:val="left"/>
      <w:pPr>
        <w:ind w:left="1325" w:hanging="900"/>
      </w:pPr>
      <w:rPr>
        <w:rFonts w:hint="default"/>
      </w:rPr>
    </w:lvl>
    <w:lvl w:ilvl="2">
      <w:start w:val="10"/>
      <w:numFmt w:val="decimal"/>
      <w:lvlText w:val="%1-%2-%3"/>
      <w:lvlJc w:val="left"/>
      <w:pPr>
        <w:ind w:left="1222" w:hanging="1080"/>
      </w:pPr>
      <w:rPr>
        <w:rFonts w:hint="default"/>
      </w:rPr>
    </w:lvl>
    <w:lvl w:ilvl="3">
      <w:start w:val="1"/>
      <w:numFmt w:val="decimal"/>
      <w:lvlText w:val="%1-%2-%3.%4"/>
      <w:lvlJc w:val="left"/>
      <w:pPr>
        <w:ind w:left="2715" w:hanging="1440"/>
      </w:pPr>
      <w:rPr>
        <w:rFonts w:hint="default"/>
      </w:rPr>
    </w:lvl>
    <w:lvl w:ilvl="4">
      <w:start w:val="1"/>
      <w:numFmt w:val="decimal"/>
      <w:lvlText w:val="%1-%2-%3.%4.%5"/>
      <w:lvlJc w:val="left"/>
      <w:pPr>
        <w:ind w:left="3140" w:hanging="1440"/>
      </w:pPr>
      <w:rPr>
        <w:rFonts w:hint="default"/>
      </w:rPr>
    </w:lvl>
    <w:lvl w:ilvl="5">
      <w:start w:val="1"/>
      <w:numFmt w:val="decimal"/>
      <w:lvlText w:val="%1-%2-%3.%4.%5.%6"/>
      <w:lvlJc w:val="left"/>
      <w:pPr>
        <w:ind w:left="3925" w:hanging="1800"/>
      </w:pPr>
      <w:rPr>
        <w:rFonts w:hint="default"/>
      </w:rPr>
    </w:lvl>
    <w:lvl w:ilvl="6">
      <w:start w:val="1"/>
      <w:numFmt w:val="decimal"/>
      <w:lvlText w:val="%1-%2-%3.%4.%5.%6.%7"/>
      <w:lvlJc w:val="left"/>
      <w:pPr>
        <w:ind w:left="4710" w:hanging="2160"/>
      </w:pPr>
      <w:rPr>
        <w:rFonts w:hint="default"/>
      </w:rPr>
    </w:lvl>
    <w:lvl w:ilvl="7">
      <w:start w:val="1"/>
      <w:numFmt w:val="decimal"/>
      <w:lvlText w:val="%1-%2-%3.%4.%5.%6.%7.%8"/>
      <w:lvlJc w:val="left"/>
      <w:pPr>
        <w:ind w:left="5495" w:hanging="2520"/>
      </w:pPr>
      <w:rPr>
        <w:rFonts w:hint="default"/>
      </w:rPr>
    </w:lvl>
    <w:lvl w:ilvl="8">
      <w:start w:val="1"/>
      <w:numFmt w:val="decimal"/>
      <w:lvlText w:val="%1-%2-%3.%4.%5.%6.%7.%8.%9"/>
      <w:lvlJc w:val="left"/>
      <w:pPr>
        <w:ind w:left="5920" w:hanging="2520"/>
      </w:pPr>
      <w:rPr>
        <w:rFonts w:hint="default"/>
      </w:rPr>
    </w:lvl>
  </w:abstractNum>
  <w:abstractNum w:abstractNumId="2" w15:restartNumberingAfterBreak="0">
    <w:nsid w:val="09B76269"/>
    <w:multiLevelType w:val="hybridMultilevel"/>
    <w:tmpl w:val="2EAC01B4"/>
    <w:lvl w:ilvl="0" w:tplc="6B3C3964">
      <w:start w:val="1"/>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F49C1"/>
    <w:multiLevelType w:val="multilevel"/>
    <w:tmpl w:val="64C2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962FF"/>
    <w:multiLevelType w:val="multilevel"/>
    <w:tmpl w:val="3162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F067BB"/>
    <w:multiLevelType w:val="multilevel"/>
    <w:tmpl w:val="1DB28BDA"/>
    <w:lvl w:ilvl="0">
      <w:start w:val="2"/>
      <w:numFmt w:val="decimal"/>
      <w:lvlText w:val="%1"/>
      <w:lvlJc w:val="left"/>
      <w:pPr>
        <w:ind w:left="750" w:hanging="750"/>
      </w:pPr>
      <w:rPr>
        <w:rFonts w:hint="default"/>
        <w:b/>
      </w:rPr>
    </w:lvl>
    <w:lvl w:ilvl="1">
      <w:start w:val="7"/>
      <w:numFmt w:val="decimal"/>
      <w:lvlText w:val="%1-%2"/>
      <w:lvlJc w:val="left"/>
      <w:pPr>
        <w:ind w:left="750" w:hanging="750"/>
      </w:pPr>
      <w:rPr>
        <w:rFonts w:hint="default"/>
        <w:b/>
      </w:rPr>
    </w:lvl>
    <w:lvl w:ilvl="2">
      <w:start w:val="2"/>
      <w:numFmt w:val="decimal"/>
      <w:lvlText w:val="%1-%2-%3"/>
      <w:lvlJc w:val="left"/>
      <w:pPr>
        <w:ind w:left="1080" w:hanging="1080"/>
      </w:pPr>
      <w:rPr>
        <w:rFonts w:hint="default"/>
        <w:b w:val="0"/>
        <w:bCs/>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 w15:restartNumberingAfterBreak="0">
    <w:nsid w:val="1390322A"/>
    <w:multiLevelType w:val="hybridMultilevel"/>
    <w:tmpl w:val="2EAC01B4"/>
    <w:lvl w:ilvl="0" w:tplc="FFFFFFFF">
      <w:start w:val="1"/>
      <w:numFmt w:val="decimal"/>
      <w:lvlText w:val="%1."/>
      <w:lvlJc w:val="left"/>
      <w:pPr>
        <w:ind w:left="1800" w:hanging="1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C2440F"/>
    <w:multiLevelType w:val="multilevel"/>
    <w:tmpl w:val="842CFECA"/>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CC2566"/>
    <w:multiLevelType w:val="multilevel"/>
    <w:tmpl w:val="0BC278CA"/>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0" w15:restartNumberingAfterBreak="0">
    <w:nsid w:val="2D927359"/>
    <w:multiLevelType w:val="multilevel"/>
    <w:tmpl w:val="EE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7E2930"/>
    <w:multiLevelType w:val="hybridMultilevel"/>
    <w:tmpl w:val="6BBEE1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BA390C"/>
    <w:multiLevelType w:val="multilevel"/>
    <w:tmpl w:val="A5D8DF90"/>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8D34257"/>
    <w:multiLevelType w:val="multilevel"/>
    <w:tmpl w:val="99EA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91FE3"/>
    <w:multiLevelType w:val="hybridMultilevel"/>
    <w:tmpl w:val="B936FA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9E39A8"/>
    <w:multiLevelType w:val="hybridMultilevel"/>
    <w:tmpl w:val="DD964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F6470A"/>
    <w:multiLevelType w:val="hybridMultilevel"/>
    <w:tmpl w:val="2EAC01B4"/>
    <w:lvl w:ilvl="0" w:tplc="FFFFFFFF">
      <w:start w:val="1"/>
      <w:numFmt w:val="decimal"/>
      <w:lvlText w:val="%1."/>
      <w:lvlJc w:val="left"/>
      <w:pPr>
        <w:ind w:left="1800" w:hanging="1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240FBB"/>
    <w:multiLevelType w:val="multilevel"/>
    <w:tmpl w:val="90BAD714"/>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504B39"/>
    <w:multiLevelType w:val="multilevel"/>
    <w:tmpl w:val="010C78F4"/>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1"/>
      <w:numFmt w:val="decimal"/>
      <w:lvlText w:val="%1-%2-%3"/>
      <w:lvlJc w:val="left"/>
      <w:pPr>
        <w:ind w:left="1931"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4EC47F8B"/>
    <w:multiLevelType w:val="hybridMultilevel"/>
    <w:tmpl w:val="AB32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426E11"/>
    <w:multiLevelType w:val="multilevel"/>
    <w:tmpl w:val="AD2A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1455A"/>
    <w:multiLevelType w:val="multilevel"/>
    <w:tmpl w:val="3662BAD8"/>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57104E"/>
    <w:multiLevelType w:val="multilevel"/>
    <w:tmpl w:val="887E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DF1259"/>
    <w:multiLevelType w:val="hybridMultilevel"/>
    <w:tmpl w:val="1A9C1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C55DD2"/>
    <w:multiLevelType w:val="multilevel"/>
    <w:tmpl w:val="5E929BBA"/>
    <w:lvl w:ilvl="0">
      <w:start w:val="2"/>
      <w:numFmt w:val="decimal"/>
      <w:lvlText w:val="%1"/>
      <w:lvlJc w:val="left"/>
      <w:pPr>
        <w:ind w:left="750" w:hanging="750"/>
      </w:pPr>
      <w:rPr>
        <w:rFonts w:hint="default"/>
      </w:rPr>
    </w:lvl>
    <w:lvl w:ilvl="1">
      <w:start w:val="4"/>
      <w:numFmt w:val="decimal"/>
      <w:lvlText w:val="%1-%2"/>
      <w:lvlJc w:val="left"/>
      <w:pPr>
        <w:ind w:left="750" w:hanging="75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F2723BA"/>
    <w:multiLevelType w:val="multilevel"/>
    <w:tmpl w:val="808E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A2485"/>
    <w:multiLevelType w:val="hybridMultilevel"/>
    <w:tmpl w:val="62CA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A74298"/>
    <w:multiLevelType w:val="hybridMultilevel"/>
    <w:tmpl w:val="E272E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FDB750D"/>
    <w:multiLevelType w:val="multilevel"/>
    <w:tmpl w:val="7A0C9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8C6194"/>
    <w:multiLevelType w:val="hybridMultilevel"/>
    <w:tmpl w:val="4BBA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7273F4"/>
    <w:multiLevelType w:val="multilevel"/>
    <w:tmpl w:val="54EC6962"/>
    <w:lvl w:ilvl="0">
      <w:start w:val="2"/>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7625497C"/>
    <w:multiLevelType w:val="hybridMultilevel"/>
    <w:tmpl w:val="A3C67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87020B5"/>
    <w:multiLevelType w:val="hybridMultilevel"/>
    <w:tmpl w:val="3A449738"/>
    <w:lvl w:ilvl="0" w:tplc="2DEC3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C55D79"/>
    <w:multiLevelType w:val="multilevel"/>
    <w:tmpl w:val="0EB0E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15:restartNumberingAfterBreak="0">
    <w:nsid w:val="7CFB00B6"/>
    <w:multiLevelType w:val="multilevel"/>
    <w:tmpl w:val="FFC4C7E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045473508">
    <w:abstractNumId w:val="0"/>
  </w:num>
  <w:num w:numId="2" w16cid:durableId="1377897825">
    <w:abstractNumId w:val="33"/>
  </w:num>
  <w:num w:numId="3" w16cid:durableId="1126704369">
    <w:abstractNumId w:val="29"/>
  </w:num>
  <w:num w:numId="4" w16cid:durableId="377977488">
    <w:abstractNumId w:val="16"/>
  </w:num>
  <w:num w:numId="5" w16cid:durableId="1369528312">
    <w:abstractNumId w:val="24"/>
  </w:num>
  <w:num w:numId="6" w16cid:durableId="249432798">
    <w:abstractNumId w:val="4"/>
  </w:num>
  <w:num w:numId="7" w16cid:durableId="1738014972">
    <w:abstractNumId w:val="28"/>
  </w:num>
  <w:num w:numId="8" w16cid:durableId="923369447">
    <w:abstractNumId w:val="11"/>
  </w:num>
  <w:num w:numId="9" w16cid:durableId="15664211">
    <w:abstractNumId w:val="18"/>
  </w:num>
  <w:num w:numId="10" w16cid:durableId="1985893321">
    <w:abstractNumId w:val="8"/>
  </w:num>
  <w:num w:numId="11" w16cid:durableId="1116024539">
    <w:abstractNumId w:val="2"/>
  </w:num>
  <w:num w:numId="12" w16cid:durableId="30688269">
    <w:abstractNumId w:val="31"/>
  </w:num>
  <w:num w:numId="13" w16cid:durableId="472330461">
    <w:abstractNumId w:val="21"/>
  </w:num>
  <w:num w:numId="14" w16cid:durableId="1222446629">
    <w:abstractNumId w:val="20"/>
  </w:num>
  <w:num w:numId="15" w16cid:durableId="417596788">
    <w:abstractNumId w:val="23"/>
  </w:num>
  <w:num w:numId="16" w16cid:durableId="209807393">
    <w:abstractNumId w:val="30"/>
  </w:num>
  <w:num w:numId="17" w16cid:durableId="1335110461">
    <w:abstractNumId w:val="27"/>
  </w:num>
  <w:num w:numId="18" w16cid:durableId="1986156335">
    <w:abstractNumId w:val="22"/>
  </w:num>
  <w:num w:numId="19" w16cid:durableId="1809204405">
    <w:abstractNumId w:val="19"/>
  </w:num>
  <w:num w:numId="20" w16cid:durableId="1366709679">
    <w:abstractNumId w:val="35"/>
  </w:num>
  <w:num w:numId="21" w16cid:durableId="568272185">
    <w:abstractNumId w:val="32"/>
  </w:num>
  <w:num w:numId="22" w16cid:durableId="125009054">
    <w:abstractNumId w:val="26"/>
  </w:num>
  <w:num w:numId="23" w16cid:durableId="62728278">
    <w:abstractNumId w:val="5"/>
  </w:num>
  <w:num w:numId="24" w16cid:durableId="414203271">
    <w:abstractNumId w:val="34"/>
  </w:num>
  <w:num w:numId="25" w16cid:durableId="1859274741">
    <w:abstractNumId w:val="1"/>
  </w:num>
  <w:num w:numId="26" w16cid:durableId="224072543">
    <w:abstractNumId w:val="15"/>
  </w:num>
  <w:num w:numId="27" w16cid:durableId="873425706">
    <w:abstractNumId w:val="9"/>
  </w:num>
  <w:num w:numId="28" w16cid:durableId="454494332">
    <w:abstractNumId w:val="17"/>
  </w:num>
  <w:num w:numId="29" w16cid:durableId="646782484">
    <w:abstractNumId w:val="10"/>
  </w:num>
  <w:num w:numId="30" w16cid:durableId="738554661">
    <w:abstractNumId w:val="3"/>
  </w:num>
  <w:num w:numId="31" w16cid:durableId="1531063122">
    <w:abstractNumId w:val="14"/>
  </w:num>
  <w:num w:numId="32" w16cid:durableId="1015228640">
    <w:abstractNumId w:val="6"/>
  </w:num>
  <w:num w:numId="33" w16cid:durableId="917595709">
    <w:abstractNumId w:val="25"/>
  </w:num>
  <w:num w:numId="34" w16cid:durableId="191119298">
    <w:abstractNumId w:val="12"/>
  </w:num>
  <w:num w:numId="35" w16cid:durableId="507985081">
    <w:abstractNumId w:val="13"/>
  </w:num>
  <w:num w:numId="36" w16cid:durableId="2009557327">
    <w:abstractNumId w:val="36"/>
  </w:num>
  <w:num w:numId="37" w16cid:durableId="20159475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CE9"/>
    <w:rsid w:val="00003BE8"/>
    <w:rsid w:val="00005611"/>
    <w:rsid w:val="0001273C"/>
    <w:rsid w:val="000129F8"/>
    <w:rsid w:val="00015F0D"/>
    <w:rsid w:val="00017A3A"/>
    <w:rsid w:val="00025954"/>
    <w:rsid w:val="000259F1"/>
    <w:rsid w:val="00027A34"/>
    <w:rsid w:val="000322E7"/>
    <w:rsid w:val="000400AA"/>
    <w:rsid w:val="00043556"/>
    <w:rsid w:val="00044CFD"/>
    <w:rsid w:val="00047AD9"/>
    <w:rsid w:val="000529F8"/>
    <w:rsid w:val="0005566B"/>
    <w:rsid w:val="00061A09"/>
    <w:rsid w:val="00063CE9"/>
    <w:rsid w:val="000754F9"/>
    <w:rsid w:val="000771F9"/>
    <w:rsid w:val="00087E4F"/>
    <w:rsid w:val="00090A9C"/>
    <w:rsid w:val="00091309"/>
    <w:rsid w:val="00092C24"/>
    <w:rsid w:val="000940A0"/>
    <w:rsid w:val="000A1D3E"/>
    <w:rsid w:val="000A1E46"/>
    <w:rsid w:val="000A310D"/>
    <w:rsid w:val="000A49ED"/>
    <w:rsid w:val="000A749C"/>
    <w:rsid w:val="000B0B32"/>
    <w:rsid w:val="000B2AC9"/>
    <w:rsid w:val="000B706D"/>
    <w:rsid w:val="000C26F2"/>
    <w:rsid w:val="000C431C"/>
    <w:rsid w:val="000D0869"/>
    <w:rsid w:val="000D3EAE"/>
    <w:rsid w:val="000D5131"/>
    <w:rsid w:val="000E23AB"/>
    <w:rsid w:val="000E5A25"/>
    <w:rsid w:val="000E666F"/>
    <w:rsid w:val="000E6887"/>
    <w:rsid w:val="000F0A0D"/>
    <w:rsid w:val="000F0E60"/>
    <w:rsid w:val="000F7F04"/>
    <w:rsid w:val="00110665"/>
    <w:rsid w:val="0011126E"/>
    <w:rsid w:val="00114669"/>
    <w:rsid w:val="00114FC7"/>
    <w:rsid w:val="00116AE4"/>
    <w:rsid w:val="00117CA1"/>
    <w:rsid w:val="00131FA7"/>
    <w:rsid w:val="00136D51"/>
    <w:rsid w:val="0014707C"/>
    <w:rsid w:val="00147E89"/>
    <w:rsid w:val="00152104"/>
    <w:rsid w:val="00155C51"/>
    <w:rsid w:val="001603EF"/>
    <w:rsid w:val="001618EF"/>
    <w:rsid w:val="001624C4"/>
    <w:rsid w:val="001654CD"/>
    <w:rsid w:val="001705E0"/>
    <w:rsid w:val="00170A9A"/>
    <w:rsid w:val="00173A4D"/>
    <w:rsid w:val="001762F4"/>
    <w:rsid w:val="00180799"/>
    <w:rsid w:val="00180A9B"/>
    <w:rsid w:val="00185F71"/>
    <w:rsid w:val="00193ED3"/>
    <w:rsid w:val="0019426B"/>
    <w:rsid w:val="00195226"/>
    <w:rsid w:val="001A0011"/>
    <w:rsid w:val="001A015E"/>
    <w:rsid w:val="001A5804"/>
    <w:rsid w:val="001A680C"/>
    <w:rsid w:val="001B148A"/>
    <w:rsid w:val="001B3744"/>
    <w:rsid w:val="001C01BE"/>
    <w:rsid w:val="001C3DA0"/>
    <w:rsid w:val="001C426A"/>
    <w:rsid w:val="001C704B"/>
    <w:rsid w:val="001C7DB2"/>
    <w:rsid w:val="001D31F9"/>
    <w:rsid w:val="001D47AD"/>
    <w:rsid w:val="001D6E14"/>
    <w:rsid w:val="001D7934"/>
    <w:rsid w:val="001E252D"/>
    <w:rsid w:val="001E32DF"/>
    <w:rsid w:val="001E3406"/>
    <w:rsid w:val="001F6DFB"/>
    <w:rsid w:val="0020239B"/>
    <w:rsid w:val="00202C43"/>
    <w:rsid w:val="00211567"/>
    <w:rsid w:val="0021489E"/>
    <w:rsid w:val="0022051E"/>
    <w:rsid w:val="00222468"/>
    <w:rsid w:val="00222D10"/>
    <w:rsid w:val="00223FEB"/>
    <w:rsid w:val="002267E3"/>
    <w:rsid w:val="00231AB1"/>
    <w:rsid w:val="00232A16"/>
    <w:rsid w:val="00236C80"/>
    <w:rsid w:val="00240296"/>
    <w:rsid w:val="0024045F"/>
    <w:rsid w:val="00250CC6"/>
    <w:rsid w:val="00251580"/>
    <w:rsid w:val="002568F0"/>
    <w:rsid w:val="00257F01"/>
    <w:rsid w:val="002616CF"/>
    <w:rsid w:val="00263733"/>
    <w:rsid w:val="00264677"/>
    <w:rsid w:val="00265C31"/>
    <w:rsid w:val="0027316B"/>
    <w:rsid w:val="00274C5B"/>
    <w:rsid w:val="00284EF0"/>
    <w:rsid w:val="00293633"/>
    <w:rsid w:val="002A113E"/>
    <w:rsid w:val="002B137D"/>
    <w:rsid w:val="002B6766"/>
    <w:rsid w:val="002C0601"/>
    <w:rsid w:val="002C2285"/>
    <w:rsid w:val="002D019D"/>
    <w:rsid w:val="002D3349"/>
    <w:rsid w:val="002D3FDD"/>
    <w:rsid w:val="002D638C"/>
    <w:rsid w:val="002D68BB"/>
    <w:rsid w:val="002D7A8C"/>
    <w:rsid w:val="002E03CF"/>
    <w:rsid w:val="002E4E50"/>
    <w:rsid w:val="002F0EEA"/>
    <w:rsid w:val="002F20A7"/>
    <w:rsid w:val="002F20B5"/>
    <w:rsid w:val="00304292"/>
    <w:rsid w:val="00311E91"/>
    <w:rsid w:val="00315129"/>
    <w:rsid w:val="00316776"/>
    <w:rsid w:val="0032096B"/>
    <w:rsid w:val="003223F2"/>
    <w:rsid w:val="00322A0D"/>
    <w:rsid w:val="00322CDE"/>
    <w:rsid w:val="003235C8"/>
    <w:rsid w:val="003263D0"/>
    <w:rsid w:val="00327099"/>
    <w:rsid w:val="003305DE"/>
    <w:rsid w:val="00330A27"/>
    <w:rsid w:val="00333FF1"/>
    <w:rsid w:val="00334002"/>
    <w:rsid w:val="00343332"/>
    <w:rsid w:val="00343773"/>
    <w:rsid w:val="00344B55"/>
    <w:rsid w:val="003467F5"/>
    <w:rsid w:val="00356156"/>
    <w:rsid w:val="00356364"/>
    <w:rsid w:val="00360A3F"/>
    <w:rsid w:val="00364C07"/>
    <w:rsid w:val="00365DC1"/>
    <w:rsid w:val="00376BA4"/>
    <w:rsid w:val="00377CB0"/>
    <w:rsid w:val="00381E67"/>
    <w:rsid w:val="00382217"/>
    <w:rsid w:val="00385FBD"/>
    <w:rsid w:val="00395269"/>
    <w:rsid w:val="00395E1F"/>
    <w:rsid w:val="003961A2"/>
    <w:rsid w:val="00397058"/>
    <w:rsid w:val="003A4334"/>
    <w:rsid w:val="003B0C7F"/>
    <w:rsid w:val="003B0F00"/>
    <w:rsid w:val="003B1418"/>
    <w:rsid w:val="003B1683"/>
    <w:rsid w:val="003B4CA1"/>
    <w:rsid w:val="003B6969"/>
    <w:rsid w:val="003C05E1"/>
    <w:rsid w:val="003C5246"/>
    <w:rsid w:val="003C68AA"/>
    <w:rsid w:val="003D3563"/>
    <w:rsid w:val="003D5F89"/>
    <w:rsid w:val="003D7E7F"/>
    <w:rsid w:val="003E1E60"/>
    <w:rsid w:val="003F6189"/>
    <w:rsid w:val="003F69BC"/>
    <w:rsid w:val="0040510D"/>
    <w:rsid w:val="00421D00"/>
    <w:rsid w:val="00422427"/>
    <w:rsid w:val="0043449E"/>
    <w:rsid w:val="00436B59"/>
    <w:rsid w:val="004413CD"/>
    <w:rsid w:val="0044258D"/>
    <w:rsid w:val="00442708"/>
    <w:rsid w:val="00443A60"/>
    <w:rsid w:val="00444B1D"/>
    <w:rsid w:val="00444B3C"/>
    <w:rsid w:val="00445A5B"/>
    <w:rsid w:val="004460DC"/>
    <w:rsid w:val="00457375"/>
    <w:rsid w:val="004641DC"/>
    <w:rsid w:val="00466097"/>
    <w:rsid w:val="00473F99"/>
    <w:rsid w:val="00485BD0"/>
    <w:rsid w:val="00486B51"/>
    <w:rsid w:val="00487152"/>
    <w:rsid w:val="00491A5B"/>
    <w:rsid w:val="00492E40"/>
    <w:rsid w:val="00494A2F"/>
    <w:rsid w:val="00495654"/>
    <w:rsid w:val="004A10BC"/>
    <w:rsid w:val="004A45AD"/>
    <w:rsid w:val="004B484B"/>
    <w:rsid w:val="004B78C6"/>
    <w:rsid w:val="004C1CC5"/>
    <w:rsid w:val="004C7B52"/>
    <w:rsid w:val="004D075E"/>
    <w:rsid w:val="004D2A39"/>
    <w:rsid w:val="004D3AE2"/>
    <w:rsid w:val="004D6DB2"/>
    <w:rsid w:val="004D7783"/>
    <w:rsid w:val="004D7F28"/>
    <w:rsid w:val="004E01F6"/>
    <w:rsid w:val="004E0BFA"/>
    <w:rsid w:val="004F1607"/>
    <w:rsid w:val="004F1964"/>
    <w:rsid w:val="004F1CF1"/>
    <w:rsid w:val="0050023D"/>
    <w:rsid w:val="00501D91"/>
    <w:rsid w:val="0050451B"/>
    <w:rsid w:val="005144E3"/>
    <w:rsid w:val="00515088"/>
    <w:rsid w:val="00515BCF"/>
    <w:rsid w:val="00515FA4"/>
    <w:rsid w:val="0052019E"/>
    <w:rsid w:val="005312DF"/>
    <w:rsid w:val="0053336F"/>
    <w:rsid w:val="00533AA9"/>
    <w:rsid w:val="00535ED5"/>
    <w:rsid w:val="0053681E"/>
    <w:rsid w:val="00537D65"/>
    <w:rsid w:val="005429A1"/>
    <w:rsid w:val="005433BE"/>
    <w:rsid w:val="00545742"/>
    <w:rsid w:val="00546BB3"/>
    <w:rsid w:val="00547959"/>
    <w:rsid w:val="005532E5"/>
    <w:rsid w:val="005535FC"/>
    <w:rsid w:val="00560CC1"/>
    <w:rsid w:val="00561EAA"/>
    <w:rsid w:val="005628F0"/>
    <w:rsid w:val="005770C6"/>
    <w:rsid w:val="0058022A"/>
    <w:rsid w:val="00585CB0"/>
    <w:rsid w:val="005860A8"/>
    <w:rsid w:val="0059022F"/>
    <w:rsid w:val="00595574"/>
    <w:rsid w:val="00597208"/>
    <w:rsid w:val="005A3266"/>
    <w:rsid w:val="005A3959"/>
    <w:rsid w:val="005A4F66"/>
    <w:rsid w:val="005A76D0"/>
    <w:rsid w:val="005A7EB2"/>
    <w:rsid w:val="005B06E6"/>
    <w:rsid w:val="005B25B6"/>
    <w:rsid w:val="005B2E32"/>
    <w:rsid w:val="005B65AE"/>
    <w:rsid w:val="005C3DA2"/>
    <w:rsid w:val="005D1768"/>
    <w:rsid w:val="005D2492"/>
    <w:rsid w:val="005D7CE7"/>
    <w:rsid w:val="005E1B7D"/>
    <w:rsid w:val="005E24FB"/>
    <w:rsid w:val="005F2223"/>
    <w:rsid w:val="005F2661"/>
    <w:rsid w:val="005F5AF5"/>
    <w:rsid w:val="005F620B"/>
    <w:rsid w:val="0060105E"/>
    <w:rsid w:val="0061026F"/>
    <w:rsid w:val="00612F56"/>
    <w:rsid w:val="0062589E"/>
    <w:rsid w:val="00625A3C"/>
    <w:rsid w:val="00626EDA"/>
    <w:rsid w:val="00633F98"/>
    <w:rsid w:val="00634932"/>
    <w:rsid w:val="00640912"/>
    <w:rsid w:val="006447D8"/>
    <w:rsid w:val="00644F28"/>
    <w:rsid w:val="0065187E"/>
    <w:rsid w:val="00655684"/>
    <w:rsid w:val="00655924"/>
    <w:rsid w:val="00661A1D"/>
    <w:rsid w:val="00667BBF"/>
    <w:rsid w:val="006731F3"/>
    <w:rsid w:val="00676B85"/>
    <w:rsid w:val="00683B07"/>
    <w:rsid w:val="00687F77"/>
    <w:rsid w:val="00694DAF"/>
    <w:rsid w:val="00696267"/>
    <w:rsid w:val="006A0027"/>
    <w:rsid w:val="006A10B1"/>
    <w:rsid w:val="006A3529"/>
    <w:rsid w:val="006A3BA9"/>
    <w:rsid w:val="006A5BBE"/>
    <w:rsid w:val="006A62A2"/>
    <w:rsid w:val="006A7DC3"/>
    <w:rsid w:val="006B1075"/>
    <w:rsid w:val="006B25D0"/>
    <w:rsid w:val="006B366F"/>
    <w:rsid w:val="006B51C2"/>
    <w:rsid w:val="006B57AA"/>
    <w:rsid w:val="006B5F1D"/>
    <w:rsid w:val="006C10F3"/>
    <w:rsid w:val="006C2E76"/>
    <w:rsid w:val="006C54C9"/>
    <w:rsid w:val="006C5F58"/>
    <w:rsid w:val="006D0211"/>
    <w:rsid w:val="006D7767"/>
    <w:rsid w:val="006E35C0"/>
    <w:rsid w:val="006E413B"/>
    <w:rsid w:val="006E5696"/>
    <w:rsid w:val="006E7180"/>
    <w:rsid w:val="006F016D"/>
    <w:rsid w:val="006F1837"/>
    <w:rsid w:val="006F32B4"/>
    <w:rsid w:val="006F3CD1"/>
    <w:rsid w:val="0070272D"/>
    <w:rsid w:val="00703A9A"/>
    <w:rsid w:val="00704C25"/>
    <w:rsid w:val="00705F1D"/>
    <w:rsid w:val="00705F51"/>
    <w:rsid w:val="00706AC7"/>
    <w:rsid w:val="00711248"/>
    <w:rsid w:val="007239AC"/>
    <w:rsid w:val="00723E95"/>
    <w:rsid w:val="00733953"/>
    <w:rsid w:val="00736364"/>
    <w:rsid w:val="0073642B"/>
    <w:rsid w:val="0074007B"/>
    <w:rsid w:val="00740AB1"/>
    <w:rsid w:val="007507AF"/>
    <w:rsid w:val="00750F2F"/>
    <w:rsid w:val="00754494"/>
    <w:rsid w:val="00754496"/>
    <w:rsid w:val="00761892"/>
    <w:rsid w:val="0076197C"/>
    <w:rsid w:val="00762397"/>
    <w:rsid w:val="0076684E"/>
    <w:rsid w:val="00766A58"/>
    <w:rsid w:val="007749C6"/>
    <w:rsid w:val="007764F4"/>
    <w:rsid w:val="00776AB8"/>
    <w:rsid w:val="0077703E"/>
    <w:rsid w:val="00781550"/>
    <w:rsid w:val="007822A3"/>
    <w:rsid w:val="00790119"/>
    <w:rsid w:val="00790C10"/>
    <w:rsid w:val="00793616"/>
    <w:rsid w:val="00794F3A"/>
    <w:rsid w:val="007969DC"/>
    <w:rsid w:val="00797AF9"/>
    <w:rsid w:val="007A31DC"/>
    <w:rsid w:val="007A692A"/>
    <w:rsid w:val="007B29E4"/>
    <w:rsid w:val="007B3A5C"/>
    <w:rsid w:val="007B66CB"/>
    <w:rsid w:val="007C1F01"/>
    <w:rsid w:val="007C428F"/>
    <w:rsid w:val="007C56BC"/>
    <w:rsid w:val="007D1670"/>
    <w:rsid w:val="007D39B9"/>
    <w:rsid w:val="007D7D94"/>
    <w:rsid w:val="007E3985"/>
    <w:rsid w:val="007F4183"/>
    <w:rsid w:val="007F4A59"/>
    <w:rsid w:val="007F6EAF"/>
    <w:rsid w:val="007F79EE"/>
    <w:rsid w:val="008005AC"/>
    <w:rsid w:val="008022F1"/>
    <w:rsid w:val="00802EEF"/>
    <w:rsid w:val="00810AE7"/>
    <w:rsid w:val="008173B3"/>
    <w:rsid w:val="00817E2A"/>
    <w:rsid w:val="00823110"/>
    <w:rsid w:val="00831B04"/>
    <w:rsid w:val="00832917"/>
    <w:rsid w:val="00834489"/>
    <w:rsid w:val="00840269"/>
    <w:rsid w:val="0084067A"/>
    <w:rsid w:val="00841522"/>
    <w:rsid w:val="00854E14"/>
    <w:rsid w:val="0086333D"/>
    <w:rsid w:val="00864B2B"/>
    <w:rsid w:val="008754A3"/>
    <w:rsid w:val="008806D9"/>
    <w:rsid w:val="0088301D"/>
    <w:rsid w:val="00883E09"/>
    <w:rsid w:val="00886510"/>
    <w:rsid w:val="00891345"/>
    <w:rsid w:val="00892791"/>
    <w:rsid w:val="00894F92"/>
    <w:rsid w:val="008A09DC"/>
    <w:rsid w:val="008A2025"/>
    <w:rsid w:val="008A28AF"/>
    <w:rsid w:val="008A450E"/>
    <w:rsid w:val="008A69EA"/>
    <w:rsid w:val="008A7560"/>
    <w:rsid w:val="008A78BC"/>
    <w:rsid w:val="008A7D25"/>
    <w:rsid w:val="008B0F36"/>
    <w:rsid w:val="008B4F7E"/>
    <w:rsid w:val="008B55FF"/>
    <w:rsid w:val="008B5953"/>
    <w:rsid w:val="008C0BC0"/>
    <w:rsid w:val="008C140C"/>
    <w:rsid w:val="008C2AA8"/>
    <w:rsid w:val="008D1B67"/>
    <w:rsid w:val="008D45EF"/>
    <w:rsid w:val="008D5F2C"/>
    <w:rsid w:val="008E18C4"/>
    <w:rsid w:val="008E1DF8"/>
    <w:rsid w:val="008E6E39"/>
    <w:rsid w:val="008E723F"/>
    <w:rsid w:val="008E7947"/>
    <w:rsid w:val="008F35C9"/>
    <w:rsid w:val="0090102E"/>
    <w:rsid w:val="009139AE"/>
    <w:rsid w:val="00916122"/>
    <w:rsid w:val="009169B9"/>
    <w:rsid w:val="00917C97"/>
    <w:rsid w:val="00922314"/>
    <w:rsid w:val="00934696"/>
    <w:rsid w:val="00936D62"/>
    <w:rsid w:val="0093756B"/>
    <w:rsid w:val="009400C2"/>
    <w:rsid w:val="00944DBD"/>
    <w:rsid w:val="009462FA"/>
    <w:rsid w:val="009505DD"/>
    <w:rsid w:val="0095342E"/>
    <w:rsid w:val="00955905"/>
    <w:rsid w:val="00957FCA"/>
    <w:rsid w:val="00962E14"/>
    <w:rsid w:val="00965951"/>
    <w:rsid w:val="0096761A"/>
    <w:rsid w:val="009701C8"/>
    <w:rsid w:val="009705B3"/>
    <w:rsid w:val="00971016"/>
    <w:rsid w:val="009813A6"/>
    <w:rsid w:val="00990958"/>
    <w:rsid w:val="00995DEE"/>
    <w:rsid w:val="009A15B4"/>
    <w:rsid w:val="009A3BE8"/>
    <w:rsid w:val="009A5ABE"/>
    <w:rsid w:val="009B7B1F"/>
    <w:rsid w:val="009C2244"/>
    <w:rsid w:val="009C3C7B"/>
    <w:rsid w:val="009C421A"/>
    <w:rsid w:val="009D1D31"/>
    <w:rsid w:val="009D3CC6"/>
    <w:rsid w:val="009E4604"/>
    <w:rsid w:val="009E4769"/>
    <w:rsid w:val="009F1183"/>
    <w:rsid w:val="009F1514"/>
    <w:rsid w:val="009F2F7B"/>
    <w:rsid w:val="009F3421"/>
    <w:rsid w:val="009F44B4"/>
    <w:rsid w:val="009F589F"/>
    <w:rsid w:val="009F648A"/>
    <w:rsid w:val="009F7119"/>
    <w:rsid w:val="00A00401"/>
    <w:rsid w:val="00A043DE"/>
    <w:rsid w:val="00A05BAE"/>
    <w:rsid w:val="00A11618"/>
    <w:rsid w:val="00A14CF4"/>
    <w:rsid w:val="00A1570C"/>
    <w:rsid w:val="00A15C4F"/>
    <w:rsid w:val="00A16E60"/>
    <w:rsid w:val="00A20DAC"/>
    <w:rsid w:val="00A21944"/>
    <w:rsid w:val="00A23560"/>
    <w:rsid w:val="00A24337"/>
    <w:rsid w:val="00A2724A"/>
    <w:rsid w:val="00A31BBA"/>
    <w:rsid w:val="00A37539"/>
    <w:rsid w:val="00A40B4C"/>
    <w:rsid w:val="00A40E24"/>
    <w:rsid w:val="00A51842"/>
    <w:rsid w:val="00A523AA"/>
    <w:rsid w:val="00A54BAC"/>
    <w:rsid w:val="00A57031"/>
    <w:rsid w:val="00A60347"/>
    <w:rsid w:val="00A62487"/>
    <w:rsid w:val="00A63AF0"/>
    <w:rsid w:val="00A64588"/>
    <w:rsid w:val="00A66952"/>
    <w:rsid w:val="00A67E70"/>
    <w:rsid w:val="00A70534"/>
    <w:rsid w:val="00A7297B"/>
    <w:rsid w:val="00A73A46"/>
    <w:rsid w:val="00A74A2B"/>
    <w:rsid w:val="00A7525C"/>
    <w:rsid w:val="00A77B25"/>
    <w:rsid w:val="00A83153"/>
    <w:rsid w:val="00A84E99"/>
    <w:rsid w:val="00A8765D"/>
    <w:rsid w:val="00A8785A"/>
    <w:rsid w:val="00A90432"/>
    <w:rsid w:val="00A9794F"/>
    <w:rsid w:val="00AB0DB7"/>
    <w:rsid w:val="00AB0E27"/>
    <w:rsid w:val="00AB37D8"/>
    <w:rsid w:val="00AB7DAF"/>
    <w:rsid w:val="00AC24D4"/>
    <w:rsid w:val="00AC329E"/>
    <w:rsid w:val="00AC3442"/>
    <w:rsid w:val="00AC46F5"/>
    <w:rsid w:val="00AC4F32"/>
    <w:rsid w:val="00AC77AD"/>
    <w:rsid w:val="00AD0092"/>
    <w:rsid w:val="00AD191A"/>
    <w:rsid w:val="00AD5DDB"/>
    <w:rsid w:val="00AD783C"/>
    <w:rsid w:val="00AE146C"/>
    <w:rsid w:val="00AE6B9C"/>
    <w:rsid w:val="00AF1D91"/>
    <w:rsid w:val="00AF62C2"/>
    <w:rsid w:val="00B00D76"/>
    <w:rsid w:val="00B010AD"/>
    <w:rsid w:val="00B03D10"/>
    <w:rsid w:val="00B05FDA"/>
    <w:rsid w:val="00B06FC1"/>
    <w:rsid w:val="00B146C0"/>
    <w:rsid w:val="00B24155"/>
    <w:rsid w:val="00B26866"/>
    <w:rsid w:val="00B315BF"/>
    <w:rsid w:val="00B32E4E"/>
    <w:rsid w:val="00B43F32"/>
    <w:rsid w:val="00B4456F"/>
    <w:rsid w:val="00B61F61"/>
    <w:rsid w:val="00B63BBC"/>
    <w:rsid w:val="00B701C6"/>
    <w:rsid w:val="00B802A8"/>
    <w:rsid w:val="00B83B04"/>
    <w:rsid w:val="00B90CF8"/>
    <w:rsid w:val="00B91986"/>
    <w:rsid w:val="00B964B2"/>
    <w:rsid w:val="00B96E4F"/>
    <w:rsid w:val="00BA688E"/>
    <w:rsid w:val="00BB293F"/>
    <w:rsid w:val="00BB2D23"/>
    <w:rsid w:val="00BB3408"/>
    <w:rsid w:val="00BB4052"/>
    <w:rsid w:val="00BB46BB"/>
    <w:rsid w:val="00BB5DCC"/>
    <w:rsid w:val="00BB7DB8"/>
    <w:rsid w:val="00BC35E3"/>
    <w:rsid w:val="00BC7341"/>
    <w:rsid w:val="00BC7853"/>
    <w:rsid w:val="00BC78DA"/>
    <w:rsid w:val="00BD17E4"/>
    <w:rsid w:val="00BD406C"/>
    <w:rsid w:val="00BD4333"/>
    <w:rsid w:val="00BD6658"/>
    <w:rsid w:val="00BE07E2"/>
    <w:rsid w:val="00BE1BBA"/>
    <w:rsid w:val="00BE2447"/>
    <w:rsid w:val="00BE2AD6"/>
    <w:rsid w:val="00BE5D1E"/>
    <w:rsid w:val="00BE609B"/>
    <w:rsid w:val="00BE7379"/>
    <w:rsid w:val="00BF00BC"/>
    <w:rsid w:val="00BF10E4"/>
    <w:rsid w:val="00BF20DB"/>
    <w:rsid w:val="00BF2A76"/>
    <w:rsid w:val="00BF31D3"/>
    <w:rsid w:val="00BF4225"/>
    <w:rsid w:val="00BF4A85"/>
    <w:rsid w:val="00C0393E"/>
    <w:rsid w:val="00C0418D"/>
    <w:rsid w:val="00C11026"/>
    <w:rsid w:val="00C1168C"/>
    <w:rsid w:val="00C1324B"/>
    <w:rsid w:val="00C13483"/>
    <w:rsid w:val="00C144E4"/>
    <w:rsid w:val="00C16B61"/>
    <w:rsid w:val="00C2122A"/>
    <w:rsid w:val="00C213BB"/>
    <w:rsid w:val="00C23408"/>
    <w:rsid w:val="00C2376A"/>
    <w:rsid w:val="00C32BE1"/>
    <w:rsid w:val="00C3348B"/>
    <w:rsid w:val="00C34D41"/>
    <w:rsid w:val="00C35EB8"/>
    <w:rsid w:val="00C44E75"/>
    <w:rsid w:val="00C45804"/>
    <w:rsid w:val="00C472D8"/>
    <w:rsid w:val="00C476E1"/>
    <w:rsid w:val="00C47D19"/>
    <w:rsid w:val="00C56B6D"/>
    <w:rsid w:val="00C61182"/>
    <w:rsid w:val="00C62DC1"/>
    <w:rsid w:val="00C64784"/>
    <w:rsid w:val="00C711AC"/>
    <w:rsid w:val="00C74AAF"/>
    <w:rsid w:val="00C76706"/>
    <w:rsid w:val="00C87AB5"/>
    <w:rsid w:val="00C93ED6"/>
    <w:rsid w:val="00C93FA9"/>
    <w:rsid w:val="00C9637C"/>
    <w:rsid w:val="00CA1B14"/>
    <w:rsid w:val="00CA1EC1"/>
    <w:rsid w:val="00CB0A76"/>
    <w:rsid w:val="00CB0E67"/>
    <w:rsid w:val="00CB35FA"/>
    <w:rsid w:val="00CC2042"/>
    <w:rsid w:val="00CC365B"/>
    <w:rsid w:val="00CC3C32"/>
    <w:rsid w:val="00CC5CF6"/>
    <w:rsid w:val="00CD3F71"/>
    <w:rsid w:val="00CD67C0"/>
    <w:rsid w:val="00CD70C6"/>
    <w:rsid w:val="00CE13A5"/>
    <w:rsid w:val="00CE39F0"/>
    <w:rsid w:val="00CE45FE"/>
    <w:rsid w:val="00CE68BA"/>
    <w:rsid w:val="00CF23D4"/>
    <w:rsid w:val="00CF38E8"/>
    <w:rsid w:val="00CF41C8"/>
    <w:rsid w:val="00CF6B85"/>
    <w:rsid w:val="00D0035F"/>
    <w:rsid w:val="00D012B5"/>
    <w:rsid w:val="00D02BF6"/>
    <w:rsid w:val="00D046CC"/>
    <w:rsid w:val="00D05EDF"/>
    <w:rsid w:val="00D07F91"/>
    <w:rsid w:val="00D1286C"/>
    <w:rsid w:val="00D12BF6"/>
    <w:rsid w:val="00D20E96"/>
    <w:rsid w:val="00D22CE6"/>
    <w:rsid w:val="00D235C5"/>
    <w:rsid w:val="00D23CA7"/>
    <w:rsid w:val="00D27499"/>
    <w:rsid w:val="00D31D7E"/>
    <w:rsid w:val="00D327DE"/>
    <w:rsid w:val="00D33465"/>
    <w:rsid w:val="00D33CA6"/>
    <w:rsid w:val="00D352A7"/>
    <w:rsid w:val="00D41763"/>
    <w:rsid w:val="00D43F87"/>
    <w:rsid w:val="00D4553D"/>
    <w:rsid w:val="00D47EF4"/>
    <w:rsid w:val="00D47F4C"/>
    <w:rsid w:val="00D52585"/>
    <w:rsid w:val="00D566B3"/>
    <w:rsid w:val="00D60571"/>
    <w:rsid w:val="00D64EE6"/>
    <w:rsid w:val="00D66F8C"/>
    <w:rsid w:val="00D70797"/>
    <w:rsid w:val="00D73F64"/>
    <w:rsid w:val="00D9144F"/>
    <w:rsid w:val="00D91882"/>
    <w:rsid w:val="00D9236F"/>
    <w:rsid w:val="00D972D5"/>
    <w:rsid w:val="00D97401"/>
    <w:rsid w:val="00DA5C85"/>
    <w:rsid w:val="00DA5FAE"/>
    <w:rsid w:val="00DA6668"/>
    <w:rsid w:val="00DB4BCA"/>
    <w:rsid w:val="00DB5B4C"/>
    <w:rsid w:val="00DB67ED"/>
    <w:rsid w:val="00DC034B"/>
    <w:rsid w:val="00DC04EC"/>
    <w:rsid w:val="00DC1897"/>
    <w:rsid w:val="00DC4083"/>
    <w:rsid w:val="00DC7903"/>
    <w:rsid w:val="00DD447C"/>
    <w:rsid w:val="00DD4E9D"/>
    <w:rsid w:val="00DE3B9F"/>
    <w:rsid w:val="00DE4849"/>
    <w:rsid w:val="00DF11E4"/>
    <w:rsid w:val="00DF30DF"/>
    <w:rsid w:val="00DF47DC"/>
    <w:rsid w:val="00DF65A1"/>
    <w:rsid w:val="00DF6DD4"/>
    <w:rsid w:val="00E01563"/>
    <w:rsid w:val="00E031FB"/>
    <w:rsid w:val="00E118C2"/>
    <w:rsid w:val="00E11EF3"/>
    <w:rsid w:val="00E14BBF"/>
    <w:rsid w:val="00E24500"/>
    <w:rsid w:val="00E301E9"/>
    <w:rsid w:val="00E319EE"/>
    <w:rsid w:val="00E3299D"/>
    <w:rsid w:val="00E33427"/>
    <w:rsid w:val="00E34F6D"/>
    <w:rsid w:val="00E3576C"/>
    <w:rsid w:val="00E36535"/>
    <w:rsid w:val="00E415CF"/>
    <w:rsid w:val="00E43B6D"/>
    <w:rsid w:val="00E45FD8"/>
    <w:rsid w:val="00E501DC"/>
    <w:rsid w:val="00E57E7F"/>
    <w:rsid w:val="00E6075C"/>
    <w:rsid w:val="00E63139"/>
    <w:rsid w:val="00E638A6"/>
    <w:rsid w:val="00E667FB"/>
    <w:rsid w:val="00E70A28"/>
    <w:rsid w:val="00E70E4C"/>
    <w:rsid w:val="00E72D3A"/>
    <w:rsid w:val="00E82D6C"/>
    <w:rsid w:val="00E85EB0"/>
    <w:rsid w:val="00E9087B"/>
    <w:rsid w:val="00E969EC"/>
    <w:rsid w:val="00EA0044"/>
    <w:rsid w:val="00EA2C08"/>
    <w:rsid w:val="00EA69AC"/>
    <w:rsid w:val="00EB0354"/>
    <w:rsid w:val="00EB3D96"/>
    <w:rsid w:val="00EB684E"/>
    <w:rsid w:val="00EC0F50"/>
    <w:rsid w:val="00EC1CD0"/>
    <w:rsid w:val="00EC25CF"/>
    <w:rsid w:val="00EC4694"/>
    <w:rsid w:val="00ED3902"/>
    <w:rsid w:val="00ED4365"/>
    <w:rsid w:val="00ED5AD9"/>
    <w:rsid w:val="00EE0E24"/>
    <w:rsid w:val="00EE2F75"/>
    <w:rsid w:val="00EE363F"/>
    <w:rsid w:val="00EE7758"/>
    <w:rsid w:val="00EE7D55"/>
    <w:rsid w:val="00EF040F"/>
    <w:rsid w:val="00EF1678"/>
    <w:rsid w:val="00F05002"/>
    <w:rsid w:val="00F1554E"/>
    <w:rsid w:val="00F17A30"/>
    <w:rsid w:val="00F20D35"/>
    <w:rsid w:val="00F30131"/>
    <w:rsid w:val="00F3146F"/>
    <w:rsid w:val="00F32334"/>
    <w:rsid w:val="00F34786"/>
    <w:rsid w:val="00F4059A"/>
    <w:rsid w:val="00F43BA7"/>
    <w:rsid w:val="00F4536C"/>
    <w:rsid w:val="00F55531"/>
    <w:rsid w:val="00F561FB"/>
    <w:rsid w:val="00F5781A"/>
    <w:rsid w:val="00F6006E"/>
    <w:rsid w:val="00F628F0"/>
    <w:rsid w:val="00F71C4B"/>
    <w:rsid w:val="00F73EE4"/>
    <w:rsid w:val="00F74068"/>
    <w:rsid w:val="00F75D91"/>
    <w:rsid w:val="00F77CC4"/>
    <w:rsid w:val="00F909EF"/>
    <w:rsid w:val="00F92126"/>
    <w:rsid w:val="00F92EA4"/>
    <w:rsid w:val="00F9412D"/>
    <w:rsid w:val="00FA28F4"/>
    <w:rsid w:val="00FA4160"/>
    <w:rsid w:val="00FB40CE"/>
    <w:rsid w:val="00FB4EC1"/>
    <w:rsid w:val="00FB5943"/>
    <w:rsid w:val="00FB599B"/>
    <w:rsid w:val="00FB67D3"/>
    <w:rsid w:val="00FB67F2"/>
    <w:rsid w:val="00FB7B59"/>
    <w:rsid w:val="00FC115B"/>
    <w:rsid w:val="00FC21AB"/>
    <w:rsid w:val="00FC3BCE"/>
    <w:rsid w:val="00FC4679"/>
    <w:rsid w:val="00FD131E"/>
    <w:rsid w:val="00FD3A90"/>
    <w:rsid w:val="00FD65D4"/>
    <w:rsid w:val="00FE5708"/>
    <w:rsid w:val="00FE6577"/>
    <w:rsid w:val="00FF2D1F"/>
    <w:rsid w:val="00FF2EE0"/>
    <w:rsid w:val="00FF63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A45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B137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table" w:styleId="PlainTable1">
    <w:name w:val="Plain Table 1"/>
    <w:basedOn w:val="TableNormal"/>
    <w:uiPriority w:val="41"/>
    <w:rsid w:val="00705F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21489E"/>
    <w:rPr>
      <w:color w:val="0000FF" w:themeColor="hyperlink"/>
      <w:u w:val="single"/>
    </w:rPr>
  </w:style>
  <w:style w:type="character" w:customStyle="1" w:styleId="Heading3Char">
    <w:name w:val="Heading 3 Char"/>
    <w:basedOn w:val="DefaultParagraphFont"/>
    <w:link w:val="Heading3"/>
    <w:uiPriority w:val="9"/>
    <w:semiHidden/>
    <w:rsid w:val="004A45AD"/>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834489"/>
    <w:rPr>
      <w:color w:val="800080" w:themeColor="followedHyperlink"/>
      <w:u w:val="single"/>
    </w:rPr>
  </w:style>
  <w:style w:type="character" w:customStyle="1" w:styleId="Heading4Char">
    <w:name w:val="Heading 4 Char"/>
    <w:basedOn w:val="DefaultParagraphFont"/>
    <w:link w:val="Heading4"/>
    <w:uiPriority w:val="9"/>
    <w:semiHidden/>
    <w:rsid w:val="002B137D"/>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382217"/>
    <w:rPr>
      <w:i/>
      <w:iCs/>
    </w:rPr>
  </w:style>
  <w:style w:type="paragraph" w:styleId="TOCHeading">
    <w:name w:val="TOC Heading"/>
    <w:basedOn w:val="Heading1"/>
    <w:next w:val="Normal"/>
    <w:uiPriority w:val="39"/>
    <w:unhideWhenUsed/>
    <w:qFormat/>
    <w:rsid w:val="008A450E"/>
    <w:pPr>
      <w:outlineLvl w:val="9"/>
    </w:pPr>
  </w:style>
  <w:style w:type="paragraph" w:styleId="TOC1">
    <w:name w:val="toc 1"/>
    <w:basedOn w:val="Normal"/>
    <w:next w:val="Normal"/>
    <w:autoRedefine/>
    <w:uiPriority w:val="39"/>
    <w:unhideWhenUsed/>
    <w:rsid w:val="00A84E99"/>
    <w:pPr>
      <w:tabs>
        <w:tab w:val="right" w:leader="dot" w:pos="8296"/>
      </w:tabs>
      <w:bidi/>
      <w:spacing w:after="100"/>
    </w:pPr>
    <w:rPr>
      <w:rFonts w:ascii="Traditional Arabic" w:hAnsi="Traditional Arabic" w:cs="Traditional Arabic"/>
      <w:b/>
      <w:bCs/>
    </w:rPr>
  </w:style>
  <w:style w:type="paragraph" w:styleId="TOC3">
    <w:name w:val="toc 3"/>
    <w:basedOn w:val="Normal"/>
    <w:next w:val="Normal"/>
    <w:autoRedefine/>
    <w:uiPriority w:val="39"/>
    <w:unhideWhenUsed/>
    <w:rsid w:val="008A450E"/>
    <w:pPr>
      <w:spacing w:after="100"/>
      <w:ind w:left="440"/>
    </w:pPr>
  </w:style>
  <w:style w:type="character" w:styleId="UnresolvedMention">
    <w:name w:val="Unresolved Mention"/>
    <w:basedOn w:val="DefaultParagraphFont"/>
    <w:uiPriority w:val="99"/>
    <w:semiHidden/>
    <w:unhideWhenUsed/>
    <w:rsid w:val="00DB5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933">
      <w:bodyDiv w:val="1"/>
      <w:marLeft w:val="0"/>
      <w:marRight w:val="0"/>
      <w:marTop w:val="0"/>
      <w:marBottom w:val="0"/>
      <w:divBdr>
        <w:top w:val="none" w:sz="0" w:space="0" w:color="auto"/>
        <w:left w:val="none" w:sz="0" w:space="0" w:color="auto"/>
        <w:bottom w:val="none" w:sz="0" w:space="0" w:color="auto"/>
        <w:right w:val="none" w:sz="0" w:space="0" w:color="auto"/>
      </w:divBdr>
    </w:div>
    <w:div w:id="30427413">
      <w:bodyDiv w:val="1"/>
      <w:marLeft w:val="0"/>
      <w:marRight w:val="0"/>
      <w:marTop w:val="0"/>
      <w:marBottom w:val="0"/>
      <w:divBdr>
        <w:top w:val="none" w:sz="0" w:space="0" w:color="auto"/>
        <w:left w:val="none" w:sz="0" w:space="0" w:color="auto"/>
        <w:bottom w:val="none" w:sz="0" w:space="0" w:color="auto"/>
        <w:right w:val="none" w:sz="0" w:space="0" w:color="auto"/>
      </w:divBdr>
    </w:div>
    <w:div w:id="105928825">
      <w:bodyDiv w:val="1"/>
      <w:marLeft w:val="0"/>
      <w:marRight w:val="0"/>
      <w:marTop w:val="0"/>
      <w:marBottom w:val="0"/>
      <w:divBdr>
        <w:top w:val="none" w:sz="0" w:space="0" w:color="auto"/>
        <w:left w:val="none" w:sz="0" w:space="0" w:color="auto"/>
        <w:bottom w:val="none" w:sz="0" w:space="0" w:color="auto"/>
        <w:right w:val="none" w:sz="0" w:space="0" w:color="auto"/>
      </w:divBdr>
    </w:div>
    <w:div w:id="124812682">
      <w:bodyDiv w:val="1"/>
      <w:marLeft w:val="0"/>
      <w:marRight w:val="0"/>
      <w:marTop w:val="0"/>
      <w:marBottom w:val="0"/>
      <w:divBdr>
        <w:top w:val="none" w:sz="0" w:space="0" w:color="auto"/>
        <w:left w:val="none" w:sz="0" w:space="0" w:color="auto"/>
        <w:bottom w:val="none" w:sz="0" w:space="0" w:color="auto"/>
        <w:right w:val="none" w:sz="0" w:space="0" w:color="auto"/>
      </w:divBdr>
    </w:div>
    <w:div w:id="191117081">
      <w:bodyDiv w:val="1"/>
      <w:marLeft w:val="0"/>
      <w:marRight w:val="0"/>
      <w:marTop w:val="0"/>
      <w:marBottom w:val="0"/>
      <w:divBdr>
        <w:top w:val="none" w:sz="0" w:space="0" w:color="auto"/>
        <w:left w:val="none" w:sz="0" w:space="0" w:color="auto"/>
        <w:bottom w:val="none" w:sz="0" w:space="0" w:color="auto"/>
        <w:right w:val="none" w:sz="0" w:space="0" w:color="auto"/>
      </w:divBdr>
    </w:div>
    <w:div w:id="204610048">
      <w:bodyDiv w:val="1"/>
      <w:marLeft w:val="0"/>
      <w:marRight w:val="0"/>
      <w:marTop w:val="0"/>
      <w:marBottom w:val="0"/>
      <w:divBdr>
        <w:top w:val="none" w:sz="0" w:space="0" w:color="auto"/>
        <w:left w:val="none" w:sz="0" w:space="0" w:color="auto"/>
        <w:bottom w:val="none" w:sz="0" w:space="0" w:color="auto"/>
        <w:right w:val="none" w:sz="0" w:space="0" w:color="auto"/>
      </w:divBdr>
    </w:div>
    <w:div w:id="220992417">
      <w:bodyDiv w:val="1"/>
      <w:marLeft w:val="0"/>
      <w:marRight w:val="0"/>
      <w:marTop w:val="0"/>
      <w:marBottom w:val="0"/>
      <w:divBdr>
        <w:top w:val="none" w:sz="0" w:space="0" w:color="auto"/>
        <w:left w:val="none" w:sz="0" w:space="0" w:color="auto"/>
        <w:bottom w:val="none" w:sz="0" w:space="0" w:color="auto"/>
        <w:right w:val="none" w:sz="0" w:space="0" w:color="auto"/>
      </w:divBdr>
    </w:div>
    <w:div w:id="243222412">
      <w:bodyDiv w:val="1"/>
      <w:marLeft w:val="0"/>
      <w:marRight w:val="0"/>
      <w:marTop w:val="0"/>
      <w:marBottom w:val="0"/>
      <w:divBdr>
        <w:top w:val="none" w:sz="0" w:space="0" w:color="auto"/>
        <w:left w:val="none" w:sz="0" w:space="0" w:color="auto"/>
        <w:bottom w:val="none" w:sz="0" w:space="0" w:color="auto"/>
        <w:right w:val="none" w:sz="0" w:space="0" w:color="auto"/>
      </w:divBdr>
    </w:div>
    <w:div w:id="257911377">
      <w:bodyDiv w:val="1"/>
      <w:marLeft w:val="0"/>
      <w:marRight w:val="0"/>
      <w:marTop w:val="0"/>
      <w:marBottom w:val="0"/>
      <w:divBdr>
        <w:top w:val="none" w:sz="0" w:space="0" w:color="auto"/>
        <w:left w:val="none" w:sz="0" w:space="0" w:color="auto"/>
        <w:bottom w:val="none" w:sz="0" w:space="0" w:color="auto"/>
        <w:right w:val="none" w:sz="0" w:space="0" w:color="auto"/>
      </w:divBdr>
    </w:div>
    <w:div w:id="265846709">
      <w:bodyDiv w:val="1"/>
      <w:marLeft w:val="0"/>
      <w:marRight w:val="0"/>
      <w:marTop w:val="0"/>
      <w:marBottom w:val="0"/>
      <w:divBdr>
        <w:top w:val="none" w:sz="0" w:space="0" w:color="auto"/>
        <w:left w:val="none" w:sz="0" w:space="0" w:color="auto"/>
        <w:bottom w:val="none" w:sz="0" w:space="0" w:color="auto"/>
        <w:right w:val="none" w:sz="0" w:space="0" w:color="auto"/>
      </w:divBdr>
    </w:div>
    <w:div w:id="340591039">
      <w:bodyDiv w:val="1"/>
      <w:marLeft w:val="0"/>
      <w:marRight w:val="0"/>
      <w:marTop w:val="0"/>
      <w:marBottom w:val="0"/>
      <w:divBdr>
        <w:top w:val="none" w:sz="0" w:space="0" w:color="auto"/>
        <w:left w:val="none" w:sz="0" w:space="0" w:color="auto"/>
        <w:bottom w:val="none" w:sz="0" w:space="0" w:color="auto"/>
        <w:right w:val="none" w:sz="0" w:space="0" w:color="auto"/>
      </w:divBdr>
    </w:div>
    <w:div w:id="350842213">
      <w:bodyDiv w:val="1"/>
      <w:marLeft w:val="0"/>
      <w:marRight w:val="0"/>
      <w:marTop w:val="0"/>
      <w:marBottom w:val="0"/>
      <w:divBdr>
        <w:top w:val="none" w:sz="0" w:space="0" w:color="auto"/>
        <w:left w:val="none" w:sz="0" w:space="0" w:color="auto"/>
        <w:bottom w:val="none" w:sz="0" w:space="0" w:color="auto"/>
        <w:right w:val="none" w:sz="0" w:space="0" w:color="auto"/>
      </w:divBdr>
    </w:div>
    <w:div w:id="365760073">
      <w:bodyDiv w:val="1"/>
      <w:marLeft w:val="0"/>
      <w:marRight w:val="0"/>
      <w:marTop w:val="0"/>
      <w:marBottom w:val="0"/>
      <w:divBdr>
        <w:top w:val="none" w:sz="0" w:space="0" w:color="auto"/>
        <w:left w:val="none" w:sz="0" w:space="0" w:color="auto"/>
        <w:bottom w:val="none" w:sz="0" w:space="0" w:color="auto"/>
        <w:right w:val="none" w:sz="0" w:space="0" w:color="auto"/>
      </w:divBdr>
    </w:div>
    <w:div w:id="379861241">
      <w:bodyDiv w:val="1"/>
      <w:marLeft w:val="0"/>
      <w:marRight w:val="0"/>
      <w:marTop w:val="0"/>
      <w:marBottom w:val="0"/>
      <w:divBdr>
        <w:top w:val="none" w:sz="0" w:space="0" w:color="auto"/>
        <w:left w:val="none" w:sz="0" w:space="0" w:color="auto"/>
        <w:bottom w:val="none" w:sz="0" w:space="0" w:color="auto"/>
        <w:right w:val="none" w:sz="0" w:space="0" w:color="auto"/>
      </w:divBdr>
    </w:div>
    <w:div w:id="410545867">
      <w:bodyDiv w:val="1"/>
      <w:marLeft w:val="0"/>
      <w:marRight w:val="0"/>
      <w:marTop w:val="0"/>
      <w:marBottom w:val="0"/>
      <w:divBdr>
        <w:top w:val="none" w:sz="0" w:space="0" w:color="auto"/>
        <w:left w:val="none" w:sz="0" w:space="0" w:color="auto"/>
        <w:bottom w:val="none" w:sz="0" w:space="0" w:color="auto"/>
        <w:right w:val="none" w:sz="0" w:space="0" w:color="auto"/>
      </w:divBdr>
    </w:div>
    <w:div w:id="462232111">
      <w:bodyDiv w:val="1"/>
      <w:marLeft w:val="0"/>
      <w:marRight w:val="0"/>
      <w:marTop w:val="0"/>
      <w:marBottom w:val="0"/>
      <w:divBdr>
        <w:top w:val="none" w:sz="0" w:space="0" w:color="auto"/>
        <w:left w:val="none" w:sz="0" w:space="0" w:color="auto"/>
        <w:bottom w:val="none" w:sz="0" w:space="0" w:color="auto"/>
        <w:right w:val="none" w:sz="0" w:space="0" w:color="auto"/>
      </w:divBdr>
    </w:div>
    <w:div w:id="469249663">
      <w:bodyDiv w:val="1"/>
      <w:marLeft w:val="0"/>
      <w:marRight w:val="0"/>
      <w:marTop w:val="0"/>
      <w:marBottom w:val="0"/>
      <w:divBdr>
        <w:top w:val="none" w:sz="0" w:space="0" w:color="auto"/>
        <w:left w:val="none" w:sz="0" w:space="0" w:color="auto"/>
        <w:bottom w:val="none" w:sz="0" w:space="0" w:color="auto"/>
        <w:right w:val="none" w:sz="0" w:space="0" w:color="auto"/>
      </w:divBdr>
    </w:div>
    <w:div w:id="494147941">
      <w:bodyDiv w:val="1"/>
      <w:marLeft w:val="0"/>
      <w:marRight w:val="0"/>
      <w:marTop w:val="0"/>
      <w:marBottom w:val="0"/>
      <w:divBdr>
        <w:top w:val="none" w:sz="0" w:space="0" w:color="auto"/>
        <w:left w:val="none" w:sz="0" w:space="0" w:color="auto"/>
        <w:bottom w:val="none" w:sz="0" w:space="0" w:color="auto"/>
        <w:right w:val="none" w:sz="0" w:space="0" w:color="auto"/>
      </w:divBdr>
    </w:div>
    <w:div w:id="656960146">
      <w:bodyDiv w:val="1"/>
      <w:marLeft w:val="0"/>
      <w:marRight w:val="0"/>
      <w:marTop w:val="0"/>
      <w:marBottom w:val="0"/>
      <w:divBdr>
        <w:top w:val="none" w:sz="0" w:space="0" w:color="auto"/>
        <w:left w:val="none" w:sz="0" w:space="0" w:color="auto"/>
        <w:bottom w:val="none" w:sz="0" w:space="0" w:color="auto"/>
        <w:right w:val="none" w:sz="0" w:space="0" w:color="auto"/>
      </w:divBdr>
    </w:div>
    <w:div w:id="764501914">
      <w:bodyDiv w:val="1"/>
      <w:marLeft w:val="0"/>
      <w:marRight w:val="0"/>
      <w:marTop w:val="0"/>
      <w:marBottom w:val="0"/>
      <w:divBdr>
        <w:top w:val="none" w:sz="0" w:space="0" w:color="auto"/>
        <w:left w:val="none" w:sz="0" w:space="0" w:color="auto"/>
        <w:bottom w:val="none" w:sz="0" w:space="0" w:color="auto"/>
        <w:right w:val="none" w:sz="0" w:space="0" w:color="auto"/>
      </w:divBdr>
    </w:div>
    <w:div w:id="86089996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5111579">
      <w:bodyDiv w:val="1"/>
      <w:marLeft w:val="0"/>
      <w:marRight w:val="0"/>
      <w:marTop w:val="0"/>
      <w:marBottom w:val="0"/>
      <w:divBdr>
        <w:top w:val="none" w:sz="0" w:space="0" w:color="auto"/>
        <w:left w:val="none" w:sz="0" w:space="0" w:color="auto"/>
        <w:bottom w:val="none" w:sz="0" w:space="0" w:color="auto"/>
        <w:right w:val="none" w:sz="0" w:space="0" w:color="auto"/>
      </w:divBdr>
    </w:div>
    <w:div w:id="1061445913">
      <w:bodyDiv w:val="1"/>
      <w:marLeft w:val="0"/>
      <w:marRight w:val="0"/>
      <w:marTop w:val="0"/>
      <w:marBottom w:val="0"/>
      <w:divBdr>
        <w:top w:val="none" w:sz="0" w:space="0" w:color="auto"/>
        <w:left w:val="none" w:sz="0" w:space="0" w:color="auto"/>
        <w:bottom w:val="none" w:sz="0" w:space="0" w:color="auto"/>
        <w:right w:val="none" w:sz="0" w:space="0" w:color="auto"/>
      </w:divBdr>
    </w:div>
    <w:div w:id="1255628083">
      <w:bodyDiv w:val="1"/>
      <w:marLeft w:val="0"/>
      <w:marRight w:val="0"/>
      <w:marTop w:val="0"/>
      <w:marBottom w:val="0"/>
      <w:divBdr>
        <w:top w:val="none" w:sz="0" w:space="0" w:color="auto"/>
        <w:left w:val="none" w:sz="0" w:space="0" w:color="auto"/>
        <w:bottom w:val="none" w:sz="0" w:space="0" w:color="auto"/>
        <w:right w:val="none" w:sz="0" w:space="0" w:color="auto"/>
      </w:divBdr>
    </w:div>
    <w:div w:id="1269966646">
      <w:bodyDiv w:val="1"/>
      <w:marLeft w:val="0"/>
      <w:marRight w:val="0"/>
      <w:marTop w:val="0"/>
      <w:marBottom w:val="0"/>
      <w:divBdr>
        <w:top w:val="none" w:sz="0" w:space="0" w:color="auto"/>
        <w:left w:val="none" w:sz="0" w:space="0" w:color="auto"/>
        <w:bottom w:val="none" w:sz="0" w:space="0" w:color="auto"/>
        <w:right w:val="none" w:sz="0" w:space="0" w:color="auto"/>
      </w:divBdr>
      <w:divsChild>
        <w:div w:id="324676046">
          <w:marLeft w:val="0"/>
          <w:marRight w:val="547"/>
          <w:marTop w:val="0"/>
          <w:marBottom w:val="200"/>
          <w:divBdr>
            <w:top w:val="none" w:sz="0" w:space="0" w:color="auto"/>
            <w:left w:val="none" w:sz="0" w:space="0" w:color="auto"/>
            <w:bottom w:val="none" w:sz="0" w:space="0" w:color="auto"/>
            <w:right w:val="none" w:sz="0" w:space="0" w:color="auto"/>
          </w:divBdr>
        </w:div>
        <w:div w:id="60450286">
          <w:marLeft w:val="0"/>
          <w:marRight w:val="547"/>
          <w:marTop w:val="0"/>
          <w:marBottom w:val="200"/>
          <w:divBdr>
            <w:top w:val="none" w:sz="0" w:space="0" w:color="auto"/>
            <w:left w:val="none" w:sz="0" w:space="0" w:color="auto"/>
            <w:bottom w:val="none" w:sz="0" w:space="0" w:color="auto"/>
            <w:right w:val="none" w:sz="0" w:space="0" w:color="auto"/>
          </w:divBdr>
        </w:div>
        <w:div w:id="545487752">
          <w:marLeft w:val="0"/>
          <w:marRight w:val="547"/>
          <w:marTop w:val="0"/>
          <w:marBottom w:val="200"/>
          <w:divBdr>
            <w:top w:val="none" w:sz="0" w:space="0" w:color="auto"/>
            <w:left w:val="none" w:sz="0" w:space="0" w:color="auto"/>
            <w:bottom w:val="none" w:sz="0" w:space="0" w:color="auto"/>
            <w:right w:val="none" w:sz="0" w:space="0" w:color="auto"/>
          </w:divBdr>
        </w:div>
        <w:div w:id="1086071309">
          <w:marLeft w:val="0"/>
          <w:marRight w:val="547"/>
          <w:marTop w:val="0"/>
          <w:marBottom w:val="200"/>
          <w:divBdr>
            <w:top w:val="none" w:sz="0" w:space="0" w:color="auto"/>
            <w:left w:val="none" w:sz="0" w:space="0" w:color="auto"/>
            <w:bottom w:val="none" w:sz="0" w:space="0" w:color="auto"/>
            <w:right w:val="none" w:sz="0" w:space="0" w:color="auto"/>
          </w:divBdr>
        </w:div>
      </w:divsChild>
    </w:div>
    <w:div w:id="1367020034">
      <w:bodyDiv w:val="1"/>
      <w:marLeft w:val="0"/>
      <w:marRight w:val="0"/>
      <w:marTop w:val="0"/>
      <w:marBottom w:val="0"/>
      <w:divBdr>
        <w:top w:val="none" w:sz="0" w:space="0" w:color="auto"/>
        <w:left w:val="none" w:sz="0" w:space="0" w:color="auto"/>
        <w:bottom w:val="none" w:sz="0" w:space="0" w:color="auto"/>
        <w:right w:val="none" w:sz="0" w:space="0" w:color="auto"/>
      </w:divBdr>
    </w:div>
    <w:div w:id="1493179741">
      <w:bodyDiv w:val="1"/>
      <w:marLeft w:val="0"/>
      <w:marRight w:val="0"/>
      <w:marTop w:val="0"/>
      <w:marBottom w:val="0"/>
      <w:divBdr>
        <w:top w:val="none" w:sz="0" w:space="0" w:color="auto"/>
        <w:left w:val="none" w:sz="0" w:space="0" w:color="auto"/>
        <w:bottom w:val="none" w:sz="0" w:space="0" w:color="auto"/>
        <w:right w:val="none" w:sz="0" w:space="0" w:color="auto"/>
      </w:divBdr>
    </w:div>
    <w:div w:id="1501311316">
      <w:bodyDiv w:val="1"/>
      <w:marLeft w:val="0"/>
      <w:marRight w:val="0"/>
      <w:marTop w:val="0"/>
      <w:marBottom w:val="0"/>
      <w:divBdr>
        <w:top w:val="none" w:sz="0" w:space="0" w:color="auto"/>
        <w:left w:val="none" w:sz="0" w:space="0" w:color="auto"/>
        <w:bottom w:val="none" w:sz="0" w:space="0" w:color="auto"/>
        <w:right w:val="none" w:sz="0" w:space="0" w:color="auto"/>
      </w:divBdr>
    </w:div>
    <w:div w:id="1595213222">
      <w:bodyDiv w:val="1"/>
      <w:marLeft w:val="0"/>
      <w:marRight w:val="0"/>
      <w:marTop w:val="0"/>
      <w:marBottom w:val="0"/>
      <w:divBdr>
        <w:top w:val="none" w:sz="0" w:space="0" w:color="auto"/>
        <w:left w:val="none" w:sz="0" w:space="0" w:color="auto"/>
        <w:bottom w:val="none" w:sz="0" w:space="0" w:color="auto"/>
        <w:right w:val="none" w:sz="0" w:space="0" w:color="auto"/>
      </w:divBdr>
    </w:div>
    <w:div w:id="1619532265">
      <w:bodyDiv w:val="1"/>
      <w:marLeft w:val="0"/>
      <w:marRight w:val="0"/>
      <w:marTop w:val="0"/>
      <w:marBottom w:val="0"/>
      <w:divBdr>
        <w:top w:val="none" w:sz="0" w:space="0" w:color="auto"/>
        <w:left w:val="none" w:sz="0" w:space="0" w:color="auto"/>
        <w:bottom w:val="none" w:sz="0" w:space="0" w:color="auto"/>
        <w:right w:val="none" w:sz="0" w:space="0" w:color="auto"/>
      </w:divBdr>
      <w:divsChild>
        <w:div w:id="923103399">
          <w:marLeft w:val="0"/>
          <w:marRight w:val="547"/>
          <w:marTop w:val="0"/>
          <w:marBottom w:val="200"/>
          <w:divBdr>
            <w:top w:val="none" w:sz="0" w:space="0" w:color="auto"/>
            <w:left w:val="none" w:sz="0" w:space="0" w:color="auto"/>
            <w:bottom w:val="none" w:sz="0" w:space="0" w:color="auto"/>
            <w:right w:val="none" w:sz="0" w:space="0" w:color="auto"/>
          </w:divBdr>
        </w:div>
        <w:div w:id="924415160">
          <w:marLeft w:val="0"/>
          <w:marRight w:val="547"/>
          <w:marTop w:val="0"/>
          <w:marBottom w:val="200"/>
          <w:divBdr>
            <w:top w:val="none" w:sz="0" w:space="0" w:color="auto"/>
            <w:left w:val="none" w:sz="0" w:space="0" w:color="auto"/>
            <w:bottom w:val="none" w:sz="0" w:space="0" w:color="auto"/>
            <w:right w:val="none" w:sz="0" w:space="0" w:color="auto"/>
          </w:divBdr>
        </w:div>
        <w:div w:id="2114473118">
          <w:marLeft w:val="0"/>
          <w:marRight w:val="547"/>
          <w:marTop w:val="0"/>
          <w:marBottom w:val="200"/>
          <w:divBdr>
            <w:top w:val="none" w:sz="0" w:space="0" w:color="auto"/>
            <w:left w:val="none" w:sz="0" w:space="0" w:color="auto"/>
            <w:bottom w:val="none" w:sz="0" w:space="0" w:color="auto"/>
            <w:right w:val="none" w:sz="0" w:space="0" w:color="auto"/>
          </w:divBdr>
        </w:div>
      </w:divsChild>
    </w:div>
    <w:div w:id="1669989235">
      <w:bodyDiv w:val="1"/>
      <w:marLeft w:val="0"/>
      <w:marRight w:val="0"/>
      <w:marTop w:val="0"/>
      <w:marBottom w:val="0"/>
      <w:divBdr>
        <w:top w:val="none" w:sz="0" w:space="0" w:color="auto"/>
        <w:left w:val="none" w:sz="0" w:space="0" w:color="auto"/>
        <w:bottom w:val="none" w:sz="0" w:space="0" w:color="auto"/>
        <w:right w:val="none" w:sz="0" w:space="0" w:color="auto"/>
      </w:divBdr>
    </w:div>
    <w:div w:id="1740666209">
      <w:bodyDiv w:val="1"/>
      <w:marLeft w:val="0"/>
      <w:marRight w:val="0"/>
      <w:marTop w:val="0"/>
      <w:marBottom w:val="0"/>
      <w:divBdr>
        <w:top w:val="none" w:sz="0" w:space="0" w:color="auto"/>
        <w:left w:val="none" w:sz="0" w:space="0" w:color="auto"/>
        <w:bottom w:val="none" w:sz="0" w:space="0" w:color="auto"/>
        <w:right w:val="none" w:sz="0" w:space="0" w:color="auto"/>
      </w:divBdr>
    </w:div>
    <w:div w:id="1763647879">
      <w:bodyDiv w:val="1"/>
      <w:marLeft w:val="0"/>
      <w:marRight w:val="0"/>
      <w:marTop w:val="0"/>
      <w:marBottom w:val="0"/>
      <w:divBdr>
        <w:top w:val="none" w:sz="0" w:space="0" w:color="auto"/>
        <w:left w:val="none" w:sz="0" w:space="0" w:color="auto"/>
        <w:bottom w:val="none" w:sz="0" w:space="0" w:color="auto"/>
        <w:right w:val="none" w:sz="0" w:space="0" w:color="auto"/>
      </w:divBdr>
    </w:div>
    <w:div w:id="1767919734">
      <w:bodyDiv w:val="1"/>
      <w:marLeft w:val="0"/>
      <w:marRight w:val="0"/>
      <w:marTop w:val="0"/>
      <w:marBottom w:val="0"/>
      <w:divBdr>
        <w:top w:val="none" w:sz="0" w:space="0" w:color="auto"/>
        <w:left w:val="none" w:sz="0" w:space="0" w:color="auto"/>
        <w:bottom w:val="none" w:sz="0" w:space="0" w:color="auto"/>
        <w:right w:val="none" w:sz="0" w:space="0" w:color="auto"/>
      </w:divBdr>
    </w:div>
    <w:div w:id="1774399917">
      <w:bodyDiv w:val="1"/>
      <w:marLeft w:val="0"/>
      <w:marRight w:val="0"/>
      <w:marTop w:val="0"/>
      <w:marBottom w:val="0"/>
      <w:divBdr>
        <w:top w:val="none" w:sz="0" w:space="0" w:color="auto"/>
        <w:left w:val="none" w:sz="0" w:space="0" w:color="auto"/>
        <w:bottom w:val="none" w:sz="0" w:space="0" w:color="auto"/>
        <w:right w:val="none" w:sz="0" w:space="0" w:color="auto"/>
      </w:divBdr>
    </w:div>
    <w:div w:id="1780028786">
      <w:bodyDiv w:val="1"/>
      <w:marLeft w:val="0"/>
      <w:marRight w:val="0"/>
      <w:marTop w:val="0"/>
      <w:marBottom w:val="0"/>
      <w:divBdr>
        <w:top w:val="none" w:sz="0" w:space="0" w:color="auto"/>
        <w:left w:val="none" w:sz="0" w:space="0" w:color="auto"/>
        <w:bottom w:val="none" w:sz="0" w:space="0" w:color="auto"/>
        <w:right w:val="none" w:sz="0" w:space="0" w:color="auto"/>
      </w:divBdr>
    </w:div>
    <w:div w:id="1806657963">
      <w:bodyDiv w:val="1"/>
      <w:marLeft w:val="0"/>
      <w:marRight w:val="0"/>
      <w:marTop w:val="0"/>
      <w:marBottom w:val="0"/>
      <w:divBdr>
        <w:top w:val="none" w:sz="0" w:space="0" w:color="auto"/>
        <w:left w:val="none" w:sz="0" w:space="0" w:color="auto"/>
        <w:bottom w:val="none" w:sz="0" w:space="0" w:color="auto"/>
        <w:right w:val="none" w:sz="0" w:space="0" w:color="auto"/>
      </w:divBdr>
    </w:div>
    <w:div w:id="1806896023">
      <w:bodyDiv w:val="1"/>
      <w:marLeft w:val="0"/>
      <w:marRight w:val="0"/>
      <w:marTop w:val="0"/>
      <w:marBottom w:val="0"/>
      <w:divBdr>
        <w:top w:val="none" w:sz="0" w:space="0" w:color="auto"/>
        <w:left w:val="none" w:sz="0" w:space="0" w:color="auto"/>
        <w:bottom w:val="none" w:sz="0" w:space="0" w:color="auto"/>
        <w:right w:val="none" w:sz="0" w:space="0" w:color="auto"/>
      </w:divBdr>
    </w:div>
    <w:div w:id="1874270352">
      <w:bodyDiv w:val="1"/>
      <w:marLeft w:val="0"/>
      <w:marRight w:val="0"/>
      <w:marTop w:val="0"/>
      <w:marBottom w:val="0"/>
      <w:divBdr>
        <w:top w:val="none" w:sz="0" w:space="0" w:color="auto"/>
        <w:left w:val="none" w:sz="0" w:space="0" w:color="auto"/>
        <w:bottom w:val="none" w:sz="0" w:space="0" w:color="auto"/>
        <w:right w:val="none" w:sz="0" w:space="0" w:color="auto"/>
      </w:divBdr>
    </w:div>
    <w:div w:id="1898469046">
      <w:bodyDiv w:val="1"/>
      <w:marLeft w:val="0"/>
      <w:marRight w:val="0"/>
      <w:marTop w:val="0"/>
      <w:marBottom w:val="0"/>
      <w:divBdr>
        <w:top w:val="none" w:sz="0" w:space="0" w:color="auto"/>
        <w:left w:val="none" w:sz="0" w:space="0" w:color="auto"/>
        <w:bottom w:val="none" w:sz="0" w:space="0" w:color="auto"/>
        <w:right w:val="none" w:sz="0" w:space="0" w:color="auto"/>
      </w:divBdr>
    </w:div>
    <w:div w:id="1998997914">
      <w:bodyDiv w:val="1"/>
      <w:marLeft w:val="0"/>
      <w:marRight w:val="0"/>
      <w:marTop w:val="0"/>
      <w:marBottom w:val="0"/>
      <w:divBdr>
        <w:top w:val="none" w:sz="0" w:space="0" w:color="auto"/>
        <w:left w:val="none" w:sz="0" w:space="0" w:color="auto"/>
        <w:bottom w:val="none" w:sz="0" w:space="0" w:color="auto"/>
        <w:right w:val="none" w:sz="0" w:space="0" w:color="auto"/>
      </w:divBdr>
    </w:div>
    <w:div w:id="2003508318">
      <w:bodyDiv w:val="1"/>
      <w:marLeft w:val="0"/>
      <w:marRight w:val="0"/>
      <w:marTop w:val="0"/>
      <w:marBottom w:val="0"/>
      <w:divBdr>
        <w:top w:val="none" w:sz="0" w:space="0" w:color="auto"/>
        <w:left w:val="none" w:sz="0" w:space="0" w:color="auto"/>
        <w:bottom w:val="none" w:sz="0" w:space="0" w:color="auto"/>
        <w:right w:val="none" w:sz="0" w:space="0" w:color="auto"/>
      </w:divBdr>
    </w:div>
    <w:div w:id="2008247307">
      <w:bodyDiv w:val="1"/>
      <w:marLeft w:val="0"/>
      <w:marRight w:val="0"/>
      <w:marTop w:val="0"/>
      <w:marBottom w:val="0"/>
      <w:divBdr>
        <w:top w:val="none" w:sz="0" w:space="0" w:color="auto"/>
        <w:left w:val="none" w:sz="0" w:space="0" w:color="auto"/>
        <w:bottom w:val="none" w:sz="0" w:space="0" w:color="auto"/>
        <w:right w:val="none" w:sz="0" w:space="0" w:color="auto"/>
      </w:divBdr>
    </w:div>
    <w:div w:id="202278131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28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doi.org/10.3390/smartcities5040075" TargetMode="External"/><Relationship Id="rId26" Type="http://schemas.openxmlformats.org/officeDocument/2006/relationships/hyperlink" Target="https://www.f6s.com/companies/saudi-arabia/jeddah/lo" TargetMode="External"/><Relationship Id="rId39" Type="http://schemas.openxmlformats.org/officeDocument/2006/relationships/hyperlink" Target="https://doi.org/10.1016/j.ijproman.2011.07.001" TargetMode="External"/><Relationship Id="rId21" Type="http://schemas.openxmlformats.org/officeDocument/2006/relationships/hyperlink" Target="https://doi.org/10.3390/su17083539" TargetMode="External"/><Relationship Id="rId34" Type="http://schemas.openxmlformats.org/officeDocument/2006/relationships/hyperlink" Target="https://taiwan.startupblink.com/startupecosystem/jeddah%2Bsaudi-arabia" TargetMode="External"/><Relationship Id="rId42" Type="http://schemas.openxmlformats.org/officeDocument/2006/relationships/hyperlink" Target="https://doi.org/10.1016/j.clet.2023.100626"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hyperlink" Target="https://doi.org/10.1016/j.scs.2020.102576" TargetMode="External"/><Relationship Id="rId11" Type="http://schemas.openxmlformats.org/officeDocument/2006/relationships/chart" Target="charts/chart2.xml"/><Relationship Id="rId24" Type="http://schemas.openxmlformats.org/officeDocument/2006/relationships/hyperlink" Target="https://doi.org/10.3390/su14116427" TargetMode="External"/><Relationship Id="rId32" Type="http://schemas.openxmlformats.org/officeDocument/2006/relationships/hyperlink" Target="https://startupcfo.ca/startup/how-many-startups-are-there-in-saudi-arabia" TargetMode="External"/><Relationship Id="rId37" Type="http://schemas.openxmlformats.org/officeDocument/2006/relationships/hyperlink" Target="https://doi.org/10.1016/j.chwas.2024.100195" TargetMode="External"/><Relationship Id="rId40" Type="http://schemas.openxmlformats.org/officeDocument/2006/relationships/hyperlink" Target="https://doi.org/10.63278/mme.vi.1598"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doi.org/10.63278/mme.vi.1598" TargetMode="External"/><Relationship Id="rId28" Type="http://schemas.openxmlformats.org/officeDocument/2006/relationships/hyperlink" Target="https://sustainabledevelopment.un.org/content/documents/20230KSA_English_Report_Final_July_9_2018.pdf" TargetMode="External"/><Relationship Id="rId36" Type="http://schemas.openxmlformats.org/officeDocument/2006/relationships/hyperlink" Target="https://www.unep.org" TargetMode="External"/><Relationship Id="rId49"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hyperlink" Target="https://doi.org/10.1155/2024/8780539" TargetMode="External"/><Relationship Id="rId31" Type="http://schemas.openxmlformats.org/officeDocument/2006/relationships/hyperlink" Target="https://doi.org/10.3390/su15097500" TargetMode="External"/><Relationship Id="rId44" Type="http://schemas.openxmlformats.org/officeDocument/2006/relationships/hyperlink" Target="https://doi.org/10.1016/j.jksues.2020.10.0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doi.org/10.3390/buildings12070902" TargetMode="External"/><Relationship Id="rId27" Type="http://schemas.openxmlformats.org/officeDocument/2006/relationships/hyperlink" Target="https://doi.org/10.3390/su141610314" TargetMode="External"/><Relationship Id="rId30" Type="http://schemas.openxmlformats.org/officeDocument/2006/relationships/hyperlink" Target="https://doi.org/10.1016/j.clet.2023.100626" TargetMode="External"/><Relationship Id="rId35" Type="http://schemas.openxmlformats.org/officeDocument/2006/relationships/hyperlink" Target="https://doi.org/10.1016/j.jksues.2020.10.001" TargetMode="External"/><Relationship Id="rId43" Type="http://schemas.openxmlformats.org/officeDocument/2006/relationships/hyperlink" Target="https://doi.org/10.3390/su15097500" TargetMode="External"/><Relationship Id="rId48"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hyperlink" Target="https://asjp.cerist.dz/en/article/183119" TargetMode="External"/><Relationship Id="rId25" Type="http://schemas.openxmlformats.org/officeDocument/2006/relationships/hyperlink" Target="https://www.crunchbase.com/hub/private-jeddah-companies" TargetMode="External"/><Relationship Id="rId33" Type="http://schemas.openxmlformats.org/officeDocument/2006/relationships/hyperlink" Target="https://hapy.co/journal/startup-ecosystem-in-saudi-arabia-2025/" TargetMode="External"/><Relationship Id="rId38" Type="http://schemas.openxmlformats.org/officeDocument/2006/relationships/hyperlink" Target="https://doi.org/10.1080/13467581.2025.2454616" TargetMode="External"/><Relationship Id="rId46" Type="http://schemas.openxmlformats.org/officeDocument/2006/relationships/header" Target="header2.xml"/><Relationship Id="rId20" Type="http://schemas.openxmlformats.org/officeDocument/2006/relationships/hyperlink" Target="https://doi.org/10.3390/su151914323" TargetMode="External"/><Relationship Id="rId41" Type="http://schemas.openxmlformats.org/officeDocument/2006/relationships/hyperlink" Target="https://doi.org/10.3390/su141610314"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عنوان.xlsx]Sheet2'!$B$2</c:f>
              <c:strCache>
                <c:ptCount val="1"/>
                <c:pt idx="0">
                  <c:v>المسمى الوظيفي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عنوان.xlsx]Sheet2'!$A$3:$A$7</c:f>
              <c:strCache>
                <c:ptCount val="5"/>
                <c:pt idx="0">
                  <c:v>مختص جودة / استدامة</c:v>
                </c:pt>
                <c:pt idx="1">
                  <c:v>استشاري فني</c:v>
                </c:pt>
                <c:pt idx="2">
                  <c:v>مهندس (مدني / معماري)</c:v>
                </c:pt>
                <c:pt idx="3">
                  <c:v>مدير مشروع</c:v>
                </c:pt>
                <c:pt idx="4">
                  <c:v>أخرى</c:v>
                </c:pt>
              </c:strCache>
            </c:strRef>
          </c:cat>
          <c:val>
            <c:numRef>
              <c:f>'[نموذج بدون عنوان.xlsx]Sheet2'!$B$3:$B$7</c:f>
              <c:numCache>
                <c:formatCode>General</c:formatCode>
                <c:ptCount val="5"/>
                <c:pt idx="0">
                  <c:v>10.5</c:v>
                </c:pt>
                <c:pt idx="1">
                  <c:v>14.7</c:v>
                </c:pt>
                <c:pt idx="2">
                  <c:v>27</c:v>
                </c:pt>
                <c:pt idx="3">
                  <c:v>38.6</c:v>
                </c:pt>
                <c:pt idx="4">
                  <c:v>9.1</c:v>
                </c:pt>
              </c:numCache>
            </c:numRef>
          </c:val>
          <c:extLst>
            <c:ext xmlns:c16="http://schemas.microsoft.com/office/drawing/2014/chart" uri="{C3380CC4-5D6E-409C-BE32-E72D297353CC}">
              <c16:uniqueId val="{00000000-250D-4EDE-930C-08FCEEF11484}"/>
            </c:ext>
          </c:extLst>
        </c:ser>
        <c:dLbls>
          <c:showLegendKey val="0"/>
          <c:showVal val="1"/>
          <c:showCatName val="0"/>
          <c:showSerName val="0"/>
          <c:showPercent val="0"/>
          <c:showBubbleSize val="0"/>
        </c:dLbls>
        <c:gapWidth val="150"/>
        <c:shape val="box"/>
        <c:axId val="443000232"/>
        <c:axId val="442997280"/>
        <c:axId val="0"/>
      </c:bar3DChart>
      <c:catAx>
        <c:axId val="443000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7280"/>
        <c:crosses val="autoZero"/>
        <c:auto val="1"/>
        <c:lblAlgn val="ctr"/>
        <c:lblOffset val="100"/>
        <c:noMultiLvlLbl val="0"/>
      </c:catAx>
      <c:valAx>
        <c:axId val="442997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000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عنوان.xlsx]Sheet2'!$B$13</c:f>
              <c:strCache>
                <c:ptCount val="1"/>
                <c:pt idx="0">
                  <c:v>سنوات الخبرة</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عنوان.xlsx]Sheet2'!$A$14:$A$17</c:f>
              <c:strCache>
                <c:ptCount val="4"/>
                <c:pt idx="0">
                  <c:v>أقل من 5 سنوات</c:v>
                </c:pt>
                <c:pt idx="1">
                  <c:v>من 5 إلى أقل من 10 سنوات</c:v>
                </c:pt>
                <c:pt idx="2">
                  <c:v>من 10 إلى أقل من 15 سنة</c:v>
                </c:pt>
                <c:pt idx="3">
                  <c:v>15 سنة فأكثر</c:v>
                </c:pt>
              </c:strCache>
            </c:strRef>
          </c:cat>
          <c:val>
            <c:numRef>
              <c:f>'[نموذج بدون عنوان.xlsx]Sheet2'!$B$14:$B$17</c:f>
              <c:numCache>
                <c:formatCode>General</c:formatCode>
                <c:ptCount val="4"/>
                <c:pt idx="0">
                  <c:v>21.8</c:v>
                </c:pt>
                <c:pt idx="1">
                  <c:v>24.2</c:v>
                </c:pt>
                <c:pt idx="2">
                  <c:v>26.3</c:v>
                </c:pt>
                <c:pt idx="3">
                  <c:v>27.7</c:v>
                </c:pt>
              </c:numCache>
            </c:numRef>
          </c:val>
          <c:extLst>
            <c:ext xmlns:c16="http://schemas.microsoft.com/office/drawing/2014/chart" uri="{C3380CC4-5D6E-409C-BE32-E72D297353CC}">
              <c16:uniqueId val="{00000000-9E0C-433C-B356-D7BABC22832E}"/>
            </c:ext>
          </c:extLst>
        </c:ser>
        <c:dLbls>
          <c:showLegendKey val="0"/>
          <c:showVal val="1"/>
          <c:showCatName val="0"/>
          <c:showSerName val="0"/>
          <c:showPercent val="0"/>
          <c:showBubbleSize val="0"/>
        </c:dLbls>
        <c:gapWidth val="150"/>
        <c:shape val="box"/>
        <c:axId val="556289368"/>
        <c:axId val="556289696"/>
        <c:axId val="0"/>
      </c:bar3DChart>
      <c:catAx>
        <c:axId val="556289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89696"/>
        <c:crosses val="autoZero"/>
        <c:auto val="1"/>
        <c:lblAlgn val="ctr"/>
        <c:lblOffset val="100"/>
        <c:noMultiLvlLbl val="0"/>
      </c:catAx>
      <c:valAx>
        <c:axId val="556289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89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عنوان.xlsx]Sheet2'!$B$22</c:f>
              <c:strCache>
                <c:ptCount val="1"/>
                <c:pt idx="0">
                  <c:v>نوع الشركة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6B2-4A24-8A9A-767BC7EB3DD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6B2-4A24-8A9A-767BC7EB3DD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6B2-4A24-8A9A-767BC7EB3DD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عنوان.xlsx]Sheet2'!$A$23:$A$25</c:f>
              <c:strCache>
                <c:ptCount val="3"/>
                <c:pt idx="0">
                  <c:v>حكومية</c:v>
                </c:pt>
                <c:pt idx="1">
                  <c:v>خاصة</c:v>
                </c:pt>
                <c:pt idx="2">
                  <c:v>مختلطة (حكومي – خاص)</c:v>
                </c:pt>
              </c:strCache>
            </c:strRef>
          </c:cat>
          <c:val>
            <c:numRef>
              <c:f>'[نموذج بدون عنوان.xlsx]Sheet2'!$B$23:$B$25</c:f>
              <c:numCache>
                <c:formatCode>General</c:formatCode>
                <c:ptCount val="3"/>
                <c:pt idx="0">
                  <c:v>20</c:v>
                </c:pt>
                <c:pt idx="1">
                  <c:v>37.9</c:v>
                </c:pt>
                <c:pt idx="2">
                  <c:v>42.1</c:v>
                </c:pt>
              </c:numCache>
            </c:numRef>
          </c:val>
          <c:extLst>
            <c:ext xmlns:c16="http://schemas.microsoft.com/office/drawing/2014/chart" uri="{C3380CC4-5D6E-409C-BE32-E72D297353CC}">
              <c16:uniqueId val="{00000006-C6B2-4A24-8A9A-767BC7EB3DD7}"/>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عنوان.xlsx]Sheet2'!$B$30</c:f>
              <c:strCache>
                <c:ptCount val="1"/>
                <c:pt idx="0">
                  <c:v>حجم المشروع</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991-4B5D-9F70-DC55DAF695E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991-4B5D-9F70-DC55DAF695E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991-4B5D-9F70-DC55DAF695E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عنوان.xlsx]Sheet2'!$A$31:$A$33</c:f>
              <c:strCache>
                <c:ptCount val="3"/>
                <c:pt idx="0">
                  <c:v>صغيرة</c:v>
                </c:pt>
                <c:pt idx="1">
                  <c:v>متوسطة</c:v>
                </c:pt>
                <c:pt idx="2">
                  <c:v>كبيرة</c:v>
                </c:pt>
              </c:strCache>
            </c:strRef>
          </c:cat>
          <c:val>
            <c:numRef>
              <c:f>'[نموذج بدون عنوان.xlsx]Sheet2'!$B$31:$B$33</c:f>
              <c:numCache>
                <c:formatCode>General</c:formatCode>
                <c:ptCount val="3"/>
                <c:pt idx="0">
                  <c:v>15.4</c:v>
                </c:pt>
                <c:pt idx="1">
                  <c:v>41.8</c:v>
                </c:pt>
                <c:pt idx="2">
                  <c:v>42.8</c:v>
                </c:pt>
              </c:numCache>
            </c:numRef>
          </c:val>
          <c:extLst>
            <c:ext xmlns:c16="http://schemas.microsoft.com/office/drawing/2014/chart" uri="{C3380CC4-5D6E-409C-BE32-E72D297353CC}">
              <c16:uniqueId val="{00000006-2991-4B5D-9F70-DC55DAF695E0}"/>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عنوان.xlsx]Sheet2'!$B$38</c:f>
              <c:strCache>
                <c:ptCount val="1"/>
                <c:pt idx="0">
                  <c:v>نوع المشروع</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عنوان.xlsx]Sheet2'!$A$39:$A$42</c:f>
              <c:strCache>
                <c:ptCount val="4"/>
                <c:pt idx="0">
                  <c:v>مشاريع تجارية</c:v>
                </c:pt>
                <c:pt idx="1">
                  <c:v>مشاريع صناعية</c:v>
                </c:pt>
                <c:pt idx="2">
                  <c:v>مشاريع سكنية</c:v>
                </c:pt>
                <c:pt idx="3">
                  <c:v>مشاريع بنية تحتية</c:v>
                </c:pt>
              </c:strCache>
            </c:strRef>
          </c:cat>
          <c:val>
            <c:numRef>
              <c:f>'[نموذج بدون عنوان.xlsx]Sheet2'!$B$39:$B$42</c:f>
              <c:numCache>
                <c:formatCode>General</c:formatCode>
                <c:ptCount val="4"/>
                <c:pt idx="0">
                  <c:v>21.8</c:v>
                </c:pt>
                <c:pt idx="1">
                  <c:v>10.5</c:v>
                </c:pt>
                <c:pt idx="2">
                  <c:v>21.1</c:v>
                </c:pt>
                <c:pt idx="3">
                  <c:v>34.4</c:v>
                </c:pt>
              </c:numCache>
            </c:numRef>
          </c:val>
          <c:extLst>
            <c:ext xmlns:c16="http://schemas.microsoft.com/office/drawing/2014/chart" uri="{C3380CC4-5D6E-409C-BE32-E72D297353CC}">
              <c16:uniqueId val="{00000000-D61C-434D-875D-1569447CE0D6}"/>
            </c:ext>
          </c:extLst>
        </c:ser>
        <c:dLbls>
          <c:showLegendKey val="0"/>
          <c:showVal val="1"/>
          <c:showCatName val="0"/>
          <c:showSerName val="0"/>
          <c:showPercent val="0"/>
          <c:showBubbleSize val="0"/>
        </c:dLbls>
        <c:gapWidth val="150"/>
        <c:shape val="box"/>
        <c:axId val="442994984"/>
        <c:axId val="442994656"/>
        <c:axId val="0"/>
      </c:bar3DChart>
      <c:catAx>
        <c:axId val="442994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4656"/>
        <c:crosses val="autoZero"/>
        <c:auto val="1"/>
        <c:lblAlgn val="ctr"/>
        <c:lblOffset val="100"/>
        <c:noMultiLvlLbl val="0"/>
      </c:catAx>
      <c:valAx>
        <c:axId val="44299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4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عنوان.xlsx]Sheet2'!$B$48</c:f>
              <c:strCache>
                <c:ptCount val="1"/>
                <c:pt idx="0">
                  <c:v>المشاركة السابقة في المشاريع المستدامة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47-46C4-857A-657DEBF5C12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47-46C4-857A-657DEBF5C1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عنوان.xlsx]Sheet2'!$A$49:$A$50</c:f>
              <c:strCache>
                <c:ptCount val="2"/>
                <c:pt idx="0">
                  <c:v>لا</c:v>
                </c:pt>
                <c:pt idx="1">
                  <c:v>نعم</c:v>
                </c:pt>
              </c:strCache>
            </c:strRef>
          </c:cat>
          <c:val>
            <c:numRef>
              <c:f>'[نموذج بدون عنوان.xlsx]Sheet2'!$B$49:$B$50</c:f>
              <c:numCache>
                <c:formatCode>General</c:formatCode>
                <c:ptCount val="2"/>
                <c:pt idx="0">
                  <c:v>32.299999999999997</c:v>
                </c:pt>
                <c:pt idx="1">
                  <c:v>67.7</c:v>
                </c:pt>
              </c:numCache>
            </c:numRef>
          </c:val>
          <c:extLst>
            <c:ext xmlns:c16="http://schemas.microsoft.com/office/drawing/2014/chart" uri="{C3380CC4-5D6E-409C-BE32-E72D297353CC}">
              <c16:uniqueId val="{00000004-5847-46C4-857A-657DEBF5C12B}"/>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متوسطات الابعاد</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Лист1!$B$1</c:f>
              <c:strCache>
                <c:ptCount val="1"/>
                <c:pt idx="0">
                  <c:v>المتوسط الحسابي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الاستدامة البيئية</c:v>
                </c:pt>
                <c:pt idx="1">
                  <c:v>الاستدامة الاقتصادية</c:v>
                </c:pt>
                <c:pt idx="2">
                  <c:v>الاستدامة الاجتماعية</c:v>
                </c:pt>
                <c:pt idx="3">
                  <c:v>أداء التكلفة</c:v>
                </c:pt>
                <c:pt idx="4">
                  <c:v>أداء الجودة</c:v>
                </c:pt>
                <c:pt idx="5">
                  <c:v>أداء الوقت</c:v>
                </c:pt>
                <c:pt idx="6">
                  <c:v>رضا العملاء</c:v>
                </c:pt>
                <c:pt idx="7">
                  <c:v>البيئة الداعمة للاستدامة</c:v>
                </c:pt>
              </c:strCache>
            </c:strRef>
          </c:cat>
          <c:val>
            <c:numRef>
              <c:f>Лист1!$B$2:$B$9</c:f>
              <c:numCache>
                <c:formatCode>General</c:formatCode>
                <c:ptCount val="8"/>
                <c:pt idx="0">
                  <c:v>3.63</c:v>
                </c:pt>
                <c:pt idx="1">
                  <c:v>3.82</c:v>
                </c:pt>
                <c:pt idx="2">
                  <c:v>3.75</c:v>
                </c:pt>
                <c:pt idx="3">
                  <c:v>3.68</c:v>
                </c:pt>
                <c:pt idx="4">
                  <c:v>3.79</c:v>
                </c:pt>
                <c:pt idx="5">
                  <c:v>3.69</c:v>
                </c:pt>
                <c:pt idx="6">
                  <c:v>3.72</c:v>
                </c:pt>
                <c:pt idx="7">
                  <c:v>3.69</c:v>
                </c:pt>
              </c:numCache>
            </c:numRef>
          </c:val>
          <c:extLst>
            <c:ext xmlns:c16="http://schemas.microsoft.com/office/drawing/2014/chart" uri="{C3380CC4-5D6E-409C-BE32-E72D297353CC}">
              <c16:uniqueId val="{00000000-B062-4502-9DAD-49BA44711689}"/>
            </c:ext>
          </c:extLst>
        </c:ser>
        <c:dLbls>
          <c:dLblPos val="outEnd"/>
          <c:showLegendKey val="0"/>
          <c:showVal val="1"/>
          <c:showCatName val="0"/>
          <c:showSerName val="0"/>
          <c:showPercent val="0"/>
          <c:showBubbleSize val="0"/>
        </c:dLbls>
        <c:gapWidth val="219"/>
        <c:overlap val="-27"/>
        <c:axId val="441464832"/>
        <c:axId val="441473032"/>
      </c:barChart>
      <c:catAx>
        <c:axId val="44146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473032"/>
        <c:crosses val="autoZero"/>
        <c:auto val="1"/>
        <c:lblAlgn val="ctr"/>
        <c:lblOffset val="100"/>
        <c:noMultiLvlLbl val="0"/>
      </c:catAx>
      <c:valAx>
        <c:axId val="441473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464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2.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3.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4.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5.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6.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124</Pages>
  <Words>25031</Words>
  <Characters>142680</Characters>
  <Application>Microsoft Office Word</Application>
  <DocSecurity>0</DocSecurity>
  <Lines>1189</Lines>
  <Paragraphs>334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Abdullah Alharbi</cp:lastModifiedBy>
  <cp:revision>61</cp:revision>
  <cp:lastPrinted>2025-08-10T22:48:00Z</cp:lastPrinted>
  <dcterms:created xsi:type="dcterms:W3CDTF">2026-06-29T21:01:00Z</dcterms:created>
  <dcterms:modified xsi:type="dcterms:W3CDTF">2026-07-25T02:35:00Z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22eb1272c823c000ef4ace27f6ef28fe35f2bdc4d01b0ead6f6943ef47c40602</vt:lpwstr>
  </property>
</Properties>
</file>