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21A64" w14:textId="77777777" w:rsidR="007A604C" w:rsidRDefault="00000000">
      <w:pPr>
        <w:spacing w:after="0" w:line="257" w:lineRule="auto"/>
        <w:ind w:firstLine="284"/>
        <w:jc w:val="both"/>
        <w:rPr>
          <w:rFonts w:ascii="Simplified Arabic" w:hAnsi="Simplified Arabic" w:cs="Simplified Arabic"/>
          <w:b/>
          <w:bCs/>
          <w:noProof/>
          <w:sz w:val="32"/>
          <w:szCs w:val="32"/>
          <w:rtl/>
          <w:lang w:bidi="ar-SY"/>
        </w:rPr>
      </w:pPr>
      <w:bookmarkStart w:id="0" w:name="_Hlk191583774"/>
      <w:bookmarkStart w:id="1" w:name="_Hlk192369518"/>
      <w:r>
        <w:rPr>
          <w:rFonts w:ascii="Simplified Arabic" w:hAnsi="Simplified Arabic" w:cs="Simplified Arabic"/>
          <w:b/>
          <w:bCs/>
          <w:noProof/>
          <w:color w:val="8496B0"/>
          <w:sz w:val="32"/>
          <w:szCs w:val="32"/>
          <w:rtl/>
        </w:rPr>
        <w:drawing>
          <wp:anchor distT="0" distB="0" distL="114300" distR="114300" simplePos="0" relativeHeight="2" behindDoc="1" locked="0" layoutInCell="1" allowOverlap="1" wp14:anchorId="5EAAFF2B" wp14:editId="610C077C">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026" name="Picture 1"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l="10245" t="32323" r="9812" b="32179"/>
                    <a:stretch/>
                  </pic:blipFill>
                  <pic:spPr>
                    <a:xfrm>
                      <a:off x="0" y="0"/>
                      <a:ext cx="1732915" cy="769620"/>
                    </a:xfrm>
                    <a:prstGeom prst="rect">
                      <a:avLst/>
                    </a:prstGeom>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b/>
          <w:bCs/>
          <w:noProof/>
          <w:sz w:val="32"/>
          <w:szCs w:val="32"/>
          <w:rtl/>
        </w:rPr>
        <w:t xml:space="preserve"> </w:t>
      </w:r>
      <w:r>
        <w:rPr>
          <w:rFonts w:ascii="Simplified Arabic" w:hAnsi="Simplified Arabic" w:cs="Simplified Arabic" w:hint="cs"/>
          <w:b/>
          <w:bCs/>
          <w:noProof/>
          <w:sz w:val="32"/>
          <w:szCs w:val="32"/>
          <w:rtl/>
          <w:lang w:bidi="ar-SY"/>
        </w:rPr>
        <w:t xml:space="preserve">   </w:t>
      </w:r>
      <w:r>
        <w:rPr>
          <w:rFonts w:ascii="Simplified Arabic" w:hAnsi="Simplified Arabic" w:cs="Simplified Arabic"/>
          <w:b/>
          <w:bCs/>
          <w:noProof/>
          <w:sz w:val="32"/>
          <w:szCs w:val="32"/>
          <w:rtl/>
          <w:lang w:bidi="ar-SY"/>
        </w:rPr>
        <w:t xml:space="preserve">جامعة ميدأوشن                                 </w:t>
      </w:r>
    </w:p>
    <w:p w14:paraId="77BB57E6" w14:textId="77777777" w:rsidR="007A604C" w:rsidRDefault="00000000">
      <w:pPr>
        <w:spacing w:after="0" w:line="257" w:lineRule="auto"/>
        <w:ind w:firstLine="284"/>
        <w:jc w:val="both"/>
        <w:rPr>
          <w:rFonts w:ascii="Simplified Arabic" w:hAnsi="Simplified Arabic" w:cs="Simplified Arabic"/>
          <w:b/>
          <w:bCs/>
          <w:noProof/>
          <w:sz w:val="32"/>
          <w:szCs w:val="32"/>
          <w:rtl/>
          <w:lang w:bidi="ar-SY"/>
        </w:rPr>
      </w:pPr>
      <w:r>
        <w:rPr>
          <w:rFonts w:ascii="Simplified Arabic" w:hAnsi="Simplified Arabic" w:cs="Simplified Arabic" w:hint="cs"/>
          <w:b/>
          <w:bCs/>
          <w:color w:val="000000"/>
          <w:sz w:val="32"/>
          <w:szCs w:val="32"/>
          <w:rtl/>
        </w:rPr>
        <w:t xml:space="preserve">       </w:t>
      </w:r>
      <w:r>
        <w:rPr>
          <w:rFonts w:ascii="Simplified Arabic" w:hAnsi="Simplified Arabic" w:cs="Simplified Arabic"/>
          <w:b/>
          <w:bCs/>
          <w:color w:val="000000"/>
          <w:sz w:val="32"/>
          <w:szCs w:val="32"/>
          <w:rtl/>
        </w:rPr>
        <w:t>كلية</w:t>
      </w:r>
      <w:r>
        <w:rPr>
          <w:rFonts w:ascii="Simplified Arabic" w:hAnsi="Simplified Arabic" w:cs="Simplified Arabic"/>
          <w:b/>
          <w:bCs/>
          <w:noProof/>
          <w:sz w:val="32"/>
          <w:szCs w:val="32"/>
          <w:rtl/>
          <w:lang w:bidi="ar-SY"/>
        </w:rPr>
        <w:t xml:space="preserve"> </w:t>
      </w:r>
      <w:r>
        <w:rPr>
          <w:rFonts w:ascii="Simplified Arabic" w:hAnsi="Simplified Arabic" w:cs="Simplified Arabic" w:hint="cs"/>
          <w:b/>
          <w:bCs/>
          <w:noProof/>
          <w:sz w:val="32"/>
          <w:szCs w:val="32"/>
          <w:rtl/>
          <w:lang w:bidi="ar-SY"/>
        </w:rPr>
        <w:t>الإدارة</w:t>
      </w:r>
    </w:p>
    <w:p w14:paraId="69281035" w14:textId="77777777" w:rsidR="007A604C" w:rsidRDefault="00000000">
      <w:pPr>
        <w:spacing w:after="0" w:line="257" w:lineRule="auto"/>
        <w:ind w:firstLine="284"/>
        <w:jc w:val="both"/>
        <w:rPr>
          <w:rFonts w:ascii="Simplified Arabic" w:hAnsi="Simplified Arabic" w:cs="Simplified Arabic"/>
          <w:b/>
          <w:bCs/>
          <w:noProof/>
          <w:sz w:val="32"/>
          <w:szCs w:val="32"/>
          <w:rtl/>
        </w:rPr>
      </w:pPr>
      <w:r>
        <w:rPr>
          <w:rFonts w:ascii="Simplified Arabic" w:hAnsi="Simplified Arabic" w:cs="Simplified Arabic" w:hint="cs"/>
          <w:b/>
          <w:bCs/>
          <w:noProof/>
          <w:sz w:val="32"/>
          <w:szCs w:val="32"/>
          <w:rtl/>
          <w:lang w:bidi="ar-SY"/>
        </w:rPr>
        <w:t>ماجستير تخصص إدارة الأعمال</w:t>
      </w:r>
    </w:p>
    <w:p w14:paraId="4102B29F" w14:textId="77777777" w:rsidR="007A604C" w:rsidRDefault="007A604C">
      <w:pPr>
        <w:spacing w:after="0" w:line="257" w:lineRule="auto"/>
        <w:ind w:firstLine="284"/>
        <w:jc w:val="both"/>
        <w:rPr>
          <w:rFonts w:ascii="Simplified Arabic" w:hAnsi="Simplified Arabic" w:cs="Simplified Arabic"/>
          <w:b/>
          <w:bCs/>
          <w:noProof/>
          <w:sz w:val="32"/>
          <w:szCs w:val="32"/>
          <w:rtl/>
          <w:lang w:bidi="ar-SY"/>
        </w:rPr>
      </w:pPr>
    </w:p>
    <w:p w14:paraId="1F8B50C9" w14:textId="77777777" w:rsidR="007A604C" w:rsidRDefault="007A604C">
      <w:pPr>
        <w:spacing w:line="257" w:lineRule="auto"/>
        <w:ind w:firstLine="284"/>
        <w:jc w:val="both"/>
        <w:rPr>
          <w:rFonts w:ascii="Simplified Arabic" w:hAnsi="Simplified Arabic" w:cs="Simplified Arabic"/>
          <w:b/>
          <w:bCs/>
          <w:noProof/>
          <w:sz w:val="40"/>
          <w:szCs w:val="40"/>
          <w:rtl/>
          <w:lang w:bidi="ar-SY"/>
        </w:rPr>
      </w:pPr>
    </w:p>
    <w:p w14:paraId="3EA6EC63" w14:textId="77777777" w:rsidR="007A604C" w:rsidRDefault="007A604C">
      <w:pPr>
        <w:spacing w:line="257" w:lineRule="auto"/>
        <w:jc w:val="both"/>
        <w:rPr>
          <w:rFonts w:ascii="Simplified Arabic" w:hAnsi="Simplified Arabic" w:cs="Simplified Arabic"/>
          <w:sz w:val="14"/>
          <w:szCs w:val="14"/>
          <w:rtl/>
          <w:lang w:bidi="ar-SY"/>
        </w:rPr>
      </w:pPr>
    </w:p>
    <w:bookmarkEnd w:id="0"/>
    <w:p w14:paraId="24C762BD" w14:textId="77777777" w:rsidR="007A604C" w:rsidRDefault="00000000">
      <w:pPr>
        <w:spacing w:after="240" w:line="276" w:lineRule="auto"/>
        <w:ind w:firstLine="397"/>
        <w:jc w:val="center"/>
        <w:rPr>
          <w:rFonts w:ascii="Times New Roman" w:hAnsi="Times New Roman" w:cs="Simplified Arabic"/>
          <w:b/>
          <w:bCs/>
          <w:sz w:val="40"/>
          <w:szCs w:val="40"/>
          <w:rtl/>
        </w:rPr>
      </w:pPr>
      <w:r>
        <w:rPr>
          <w:rFonts w:ascii="Times New Roman" w:hAnsi="Times New Roman" w:cs="Simplified Arabic" w:hint="cs"/>
          <w:b/>
          <w:bCs/>
          <w:sz w:val="40"/>
          <w:szCs w:val="40"/>
          <w:rtl/>
        </w:rPr>
        <w:t>تأثير تقنيات الذكاء الاصطناعي على الميزة التنافسية لدى الشركات المتوسطة والصغيرة في مجال التأمين بالمملكة العربية السعودية</w:t>
      </w:r>
    </w:p>
    <w:p w14:paraId="1023BF29" w14:textId="77777777" w:rsidR="007A604C" w:rsidRDefault="007A604C">
      <w:pPr>
        <w:spacing w:line="257" w:lineRule="auto"/>
        <w:ind w:firstLine="284"/>
        <w:jc w:val="center"/>
        <w:rPr>
          <w:rFonts w:ascii="Simplified Arabic" w:hAnsi="Simplified Arabic" w:cs="Simplified Arabic"/>
          <w:b/>
          <w:bCs/>
          <w:sz w:val="14"/>
          <w:szCs w:val="14"/>
          <w:rtl/>
        </w:rPr>
      </w:pPr>
    </w:p>
    <w:p w14:paraId="46693AD9" w14:textId="77777777" w:rsidR="007A604C" w:rsidRDefault="00000000">
      <w:pPr>
        <w:spacing w:line="257" w:lineRule="auto"/>
        <w:ind w:firstLine="284"/>
        <w:jc w:val="center"/>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إعداد:</w:t>
      </w:r>
    </w:p>
    <w:p w14:paraId="4E035E17" w14:textId="77777777" w:rsidR="007A604C" w:rsidRDefault="00000000">
      <w:pPr>
        <w:spacing w:line="257" w:lineRule="auto"/>
        <w:ind w:firstLine="284"/>
        <w:jc w:val="center"/>
        <w:rPr>
          <w:rFonts w:ascii="Simplified Arabic" w:hAnsi="Simplified Arabic" w:cs="Simplified Arabic"/>
          <w:b/>
          <w:bCs/>
          <w:sz w:val="32"/>
          <w:szCs w:val="32"/>
          <w:rtl/>
          <w:lang w:bidi="ar-EG"/>
        </w:rPr>
      </w:pPr>
      <w:r>
        <w:rPr>
          <w:rFonts w:ascii="Simplified Arabic" w:hAnsi="Simplified Arabic" w:hint="cs"/>
          <w:b/>
          <w:bCs/>
          <w:sz w:val="32"/>
          <w:szCs w:val="32"/>
          <w:rtl/>
          <w:lang w:bidi="ar-DZ"/>
        </w:rPr>
        <w:t xml:space="preserve">الجوهرة عويض العتيبي </w:t>
      </w:r>
    </w:p>
    <w:p w14:paraId="723D683A" w14:textId="77777777" w:rsidR="007A604C" w:rsidRDefault="00000000">
      <w:pPr>
        <w:spacing w:line="257" w:lineRule="auto"/>
        <w:ind w:firstLine="284"/>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الرقم الأكاديمي: </w:t>
      </w:r>
      <w:r>
        <w:rPr>
          <w:rFonts w:hAnsi="Simplified Arabic" w:cs="Simplified Arabic"/>
          <w:b/>
          <w:bCs/>
          <w:sz w:val="32"/>
          <w:szCs w:val="32"/>
          <w:lang w:bidi="ar-EG"/>
        </w:rPr>
        <w:t>25200082</w:t>
      </w:r>
      <w:r>
        <w:rPr>
          <w:rFonts w:ascii="Simplified Arabic" w:hAnsi="Simplified Arabic" w:cs="Simplified Arabic" w:hint="cs"/>
          <w:b/>
          <w:bCs/>
          <w:sz w:val="32"/>
          <w:szCs w:val="32"/>
          <w:rtl/>
          <w:lang w:bidi="ar-EG"/>
        </w:rPr>
        <w:t>.</w:t>
      </w:r>
    </w:p>
    <w:p w14:paraId="38D46B09" w14:textId="77777777" w:rsidR="007A604C" w:rsidRDefault="007A604C">
      <w:pPr>
        <w:spacing w:line="257" w:lineRule="auto"/>
        <w:ind w:firstLine="284"/>
        <w:jc w:val="center"/>
        <w:rPr>
          <w:rFonts w:ascii="Simplified Arabic" w:hAnsi="Simplified Arabic" w:cs="Simplified Arabic"/>
          <w:b/>
          <w:bCs/>
          <w:sz w:val="32"/>
          <w:szCs w:val="32"/>
          <w:rtl/>
          <w:lang w:bidi="ar-EG"/>
        </w:rPr>
      </w:pPr>
    </w:p>
    <w:p w14:paraId="481B1CC0" w14:textId="77777777" w:rsidR="007A604C" w:rsidRDefault="00000000">
      <w:pPr>
        <w:spacing w:line="257" w:lineRule="auto"/>
        <w:ind w:firstLine="284"/>
        <w:jc w:val="center"/>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 xml:space="preserve">الإشراف/ </w:t>
      </w:r>
    </w:p>
    <w:p w14:paraId="532ABB7B" w14:textId="77777777" w:rsidR="007A604C" w:rsidRDefault="00000000">
      <w:pPr>
        <w:spacing w:line="257" w:lineRule="auto"/>
        <w:ind w:firstLine="284"/>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أ.د. الفيصل عبدالحميد</w:t>
      </w:r>
    </w:p>
    <w:p w14:paraId="29672D56" w14:textId="77777777" w:rsidR="007A604C" w:rsidRDefault="00000000">
      <w:pPr>
        <w:spacing w:line="257" w:lineRule="auto"/>
        <w:ind w:firstLine="284"/>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أ.د. </w:t>
      </w:r>
      <w:r>
        <w:rPr>
          <w:rFonts w:ascii="Simplified Arabic" w:hAnsi="Simplified Arabic" w:cs="Simplified Arabic" w:hint="cs"/>
          <w:b/>
          <w:bCs/>
          <w:sz w:val="29"/>
          <w:szCs w:val="29"/>
          <w:rtl/>
        </w:rPr>
        <w:t>فايز علي جراد</w:t>
      </w:r>
    </w:p>
    <w:p w14:paraId="7642F2F0" w14:textId="77777777" w:rsidR="007A604C" w:rsidRDefault="007A604C">
      <w:pPr>
        <w:spacing w:line="257" w:lineRule="auto"/>
        <w:ind w:firstLine="284"/>
        <w:jc w:val="center"/>
        <w:rPr>
          <w:rFonts w:ascii="Simplified Arabic" w:hAnsi="Simplified Arabic" w:cs="Simplified Arabic"/>
          <w:sz w:val="32"/>
          <w:szCs w:val="32"/>
          <w:rtl/>
          <w:lang w:bidi="ar-SY"/>
        </w:rPr>
      </w:pPr>
    </w:p>
    <w:p w14:paraId="016ED1F5" w14:textId="77777777" w:rsidR="007A604C" w:rsidRDefault="00000000">
      <w:pPr>
        <w:spacing w:line="257" w:lineRule="auto"/>
        <w:ind w:firstLine="284"/>
        <w:jc w:val="center"/>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العام الجامعي</w:t>
      </w:r>
    </w:p>
    <w:p w14:paraId="137965B8" w14:textId="77777777" w:rsidR="007A604C" w:rsidRDefault="00000000">
      <w:pPr>
        <w:spacing w:line="257" w:lineRule="auto"/>
        <w:ind w:firstLine="284"/>
        <w:jc w:val="center"/>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2026م</w:t>
      </w:r>
    </w:p>
    <w:bookmarkEnd w:id="1"/>
    <w:p w14:paraId="334002C9" w14:textId="77777777" w:rsidR="007A604C" w:rsidRDefault="00000000">
      <w:pPr>
        <w:spacing w:line="257" w:lineRule="auto"/>
        <w:ind w:firstLine="284"/>
        <w:jc w:val="both"/>
        <w:rPr>
          <w:rFonts w:ascii="Simplified Arabic" w:hAnsi="Simplified Arabic" w:cs="Simplified Arabic"/>
          <w:sz w:val="28"/>
          <w:szCs w:val="28"/>
        </w:rPr>
      </w:pPr>
      <w:r>
        <w:rPr>
          <w:rFonts w:ascii="Times New Roman" w:hAnsi="Times New Roman" w:cs="Simplified Arabic"/>
          <w:b/>
          <w:bCs/>
          <w:noProof/>
          <w:sz w:val="24"/>
          <w:szCs w:val="28"/>
          <w:rtl/>
          <w:lang w:val="ar-SA"/>
        </w:rPr>
        <mc:AlternateContent>
          <mc:Choice Requires="wps">
            <w:drawing>
              <wp:anchor distT="0" distB="0" distL="0" distR="0" simplePos="0" relativeHeight="3" behindDoc="0" locked="0" layoutInCell="1" allowOverlap="1" wp14:anchorId="25880B59" wp14:editId="6F280D00">
                <wp:simplePos x="0" y="0"/>
                <wp:positionH relativeFrom="column">
                  <wp:posOffset>2169111</wp:posOffset>
                </wp:positionH>
                <wp:positionV relativeFrom="paragraph">
                  <wp:posOffset>378460</wp:posOffset>
                </wp:positionV>
                <wp:extent cx="818515" cy="540081"/>
                <wp:effectExtent l="0" t="0" r="635" b="0"/>
                <wp:wrapNone/>
                <wp:docPr id="102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8515" cy="540081"/>
                        </a:xfrm>
                        <a:prstGeom prst="rect">
                          <a:avLst/>
                        </a:prstGeom>
                        <a:solidFill>
                          <a:srgbClr val="FFFFFF"/>
                        </a:solidFill>
                        <a:ln>
                          <a:noFill/>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27" fillcolor="white" stroked="f" style="position:absolute;margin-left:170.8pt;margin-top:29.8pt;width:64.45pt;height:42.53pt;z-index:3;mso-position-horizontal-relative:text;mso-position-vertical-relative:text;mso-width-percent:0;mso-height-percent:0;mso-width-relative:margin;mso-height-relative:margin;mso-wrap-distance-left:0.0pt;mso-wrap-distance-right:0.0pt;visibility:visible;">
                <v:stroke on="f" weight="2.0pt"/>
                <v:fill/>
              </v:rect>
            </w:pict>
          </mc:Fallback>
        </mc:AlternateContent>
      </w:r>
    </w:p>
    <w:p w14:paraId="39B7AE2D" w14:textId="77777777" w:rsidR="007A604C" w:rsidRDefault="007A604C">
      <w:pPr>
        <w:spacing w:after="0" w:line="360" w:lineRule="auto"/>
        <w:jc w:val="both"/>
        <w:rPr>
          <w:rFonts w:ascii="Simplified Arabic" w:hAnsi="Simplified Arabic" w:cs="Simplified Arabic"/>
          <w:sz w:val="28"/>
          <w:szCs w:val="28"/>
          <w:rtl/>
        </w:rPr>
      </w:pPr>
    </w:p>
    <w:p w14:paraId="56A1CBAD" w14:textId="77777777" w:rsidR="007A604C" w:rsidRDefault="007A604C">
      <w:pPr>
        <w:spacing w:after="0" w:line="360" w:lineRule="auto"/>
      </w:pPr>
    </w:p>
    <w:p w14:paraId="180F8D68" w14:textId="77777777" w:rsidR="007A604C" w:rsidRDefault="007A604C">
      <w:pPr>
        <w:spacing w:after="0" w:line="360" w:lineRule="auto"/>
        <w:jc w:val="center"/>
        <w:rPr>
          <w:rFonts w:ascii="Simplified Arabic" w:hAnsi="Simplified Arabic" w:cs="Simplified Arabic"/>
          <w:sz w:val="28"/>
          <w:szCs w:val="28"/>
          <w:rtl/>
        </w:rPr>
      </w:pPr>
    </w:p>
    <w:p w14:paraId="27B0954A" w14:textId="77777777" w:rsidR="007A604C" w:rsidRDefault="007A604C">
      <w:pPr>
        <w:spacing w:after="0" w:line="360" w:lineRule="auto"/>
        <w:jc w:val="center"/>
        <w:rPr>
          <w:rFonts w:ascii="Simplified Arabic" w:hAnsi="Simplified Arabic" w:cs="PT Bold Heading"/>
          <w:rtl/>
        </w:rPr>
      </w:pPr>
    </w:p>
    <w:p w14:paraId="3C5C0ECD" w14:textId="77777777" w:rsidR="007A604C" w:rsidRDefault="00000000">
      <w:pPr>
        <w:spacing w:after="0" w:line="360" w:lineRule="auto"/>
        <w:jc w:val="center"/>
        <w:rPr>
          <w:rFonts w:ascii="Simplified Arabic" w:hAnsi="Simplified Arabic" w:cs="PT Bold Heading"/>
          <w:sz w:val="48"/>
          <w:szCs w:val="48"/>
          <w:rtl/>
        </w:rPr>
      </w:pPr>
      <w:r>
        <w:rPr>
          <w:rFonts w:ascii="Simplified Arabic" w:hAnsi="Simplified Arabic" w:cs="PT Bold Heading"/>
          <w:sz w:val="48"/>
          <w:szCs w:val="48"/>
          <w:rtl/>
        </w:rPr>
        <w:t>الفصل الأول</w:t>
      </w:r>
    </w:p>
    <w:p w14:paraId="32B09CEC" w14:textId="77777777" w:rsidR="007A604C" w:rsidRDefault="00000000">
      <w:pPr>
        <w:spacing w:after="0" w:line="360" w:lineRule="auto"/>
        <w:ind w:firstLine="284"/>
        <w:jc w:val="center"/>
        <w:rPr>
          <w:rFonts w:ascii="Simplified Arabic" w:hAnsi="Simplified Arabic" w:cs="PT Bold Heading"/>
          <w:sz w:val="48"/>
          <w:szCs w:val="48"/>
          <w:rtl/>
        </w:rPr>
      </w:pPr>
      <w:r>
        <w:rPr>
          <w:rFonts w:ascii="Simplified Arabic" w:hAnsi="Simplified Arabic" w:cs="PT Bold Heading"/>
          <w:sz w:val="48"/>
          <w:szCs w:val="48"/>
          <w:rtl/>
        </w:rPr>
        <w:t>الإطار العام للدراسة</w:t>
      </w:r>
    </w:p>
    <w:p w14:paraId="3C80EA64" w14:textId="77777777" w:rsidR="007A604C" w:rsidRDefault="007A604C">
      <w:pPr>
        <w:spacing w:after="0" w:line="276" w:lineRule="auto"/>
        <w:ind w:left="720" w:firstLine="284"/>
        <w:contextualSpacing/>
        <w:jc w:val="both"/>
        <w:rPr>
          <w:rFonts w:ascii="Simplified Arabic" w:hAnsi="Simplified Arabic" w:cs="Simplified Arabic"/>
          <w:b/>
          <w:bCs/>
          <w:sz w:val="24"/>
          <w:szCs w:val="24"/>
          <w:rtl/>
        </w:rPr>
      </w:pPr>
    </w:p>
    <w:p w14:paraId="38ACE44E" w14:textId="77777777" w:rsidR="007A604C" w:rsidRDefault="00000000">
      <w:pPr>
        <w:numPr>
          <w:ilvl w:val="0"/>
          <w:numId w:val="1"/>
        </w:numPr>
        <w:spacing w:after="0" w:line="276" w:lineRule="auto"/>
        <w:contextualSpacing/>
        <w:jc w:val="both"/>
        <w:rPr>
          <w:rFonts w:ascii="Simplified Arabic" w:hAnsi="Simplified Arabic" w:cs="Monotype Koufi"/>
          <w:sz w:val="42"/>
          <w:szCs w:val="42"/>
          <w:rtl/>
        </w:rPr>
      </w:pPr>
      <w:r>
        <w:rPr>
          <w:rFonts w:ascii="Simplified Arabic" w:hAnsi="Simplified Arabic" w:cs="Monotype Koufi"/>
          <w:sz w:val="42"/>
          <w:szCs w:val="42"/>
          <w:rtl/>
        </w:rPr>
        <w:t>المقدمة.</w:t>
      </w:r>
    </w:p>
    <w:p w14:paraId="5BBF6657"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sz w:val="42"/>
          <w:szCs w:val="42"/>
          <w:rtl/>
        </w:rPr>
        <w:t>مشكلة الدراسة.</w:t>
      </w:r>
    </w:p>
    <w:p w14:paraId="58C607EC"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sz w:val="42"/>
          <w:szCs w:val="42"/>
          <w:rtl/>
        </w:rPr>
        <w:t>تساؤلات الدراسة.</w:t>
      </w:r>
    </w:p>
    <w:p w14:paraId="402ACD4A"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sz w:val="42"/>
          <w:szCs w:val="42"/>
          <w:rtl/>
        </w:rPr>
        <w:t>أهمية الدراسة.</w:t>
      </w:r>
    </w:p>
    <w:p w14:paraId="45126095"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sz w:val="42"/>
          <w:szCs w:val="42"/>
          <w:rtl/>
        </w:rPr>
        <w:t>أهداف الدراسة.</w:t>
      </w:r>
    </w:p>
    <w:p w14:paraId="6D0FFFA7"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sz w:val="42"/>
          <w:szCs w:val="42"/>
          <w:rtl/>
        </w:rPr>
        <w:t>متغيرات وأبعاد الدراسة.</w:t>
      </w:r>
    </w:p>
    <w:p w14:paraId="19CFAD78"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sz w:val="42"/>
          <w:szCs w:val="42"/>
          <w:rtl/>
        </w:rPr>
        <w:t>فرضيات الدراسة.</w:t>
      </w:r>
    </w:p>
    <w:p w14:paraId="4F3E9B8D"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sz w:val="42"/>
          <w:szCs w:val="42"/>
          <w:rtl/>
        </w:rPr>
        <w:t>حدود الدراسة.</w:t>
      </w:r>
    </w:p>
    <w:p w14:paraId="2FE24A96" w14:textId="77777777" w:rsidR="007A604C" w:rsidRDefault="00000000">
      <w:pPr>
        <w:numPr>
          <w:ilvl w:val="0"/>
          <w:numId w:val="1"/>
        </w:numPr>
        <w:spacing w:after="0" w:line="276" w:lineRule="auto"/>
        <w:contextualSpacing/>
        <w:jc w:val="both"/>
        <w:rPr>
          <w:rFonts w:ascii="Simplified Arabic" w:hAnsi="Simplified Arabic" w:cs="Monotype Koufi"/>
          <w:sz w:val="42"/>
          <w:szCs w:val="42"/>
        </w:rPr>
      </w:pPr>
      <w:r>
        <w:rPr>
          <w:rFonts w:ascii="Simplified Arabic" w:hAnsi="Simplified Arabic" w:cs="Monotype Koufi" w:hint="cs"/>
          <w:sz w:val="42"/>
          <w:szCs w:val="42"/>
          <w:rtl/>
        </w:rPr>
        <w:t>مصطلحات الدراسة.</w:t>
      </w:r>
    </w:p>
    <w:p w14:paraId="17543895" w14:textId="77777777" w:rsidR="007A604C" w:rsidRDefault="00000000">
      <w:pPr>
        <w:spacing w:after="0" w:line="360" w:lineRule="auto"/>
        <w:ind w:firstLine="284"/>
        <w:jc w:val="both"/>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150B68AD" w14:textId="77777777" w:rsidR="007A604C" w:rsidRDefault="00000000">
      <w:pPr>
        <w:spacing w:after="0" w:line="360" w:lineRule="auto"/>
        <w:jc w:val="center"/>
        <w:rPr>
          <w:rFonts w:ascii="Simplified Arabic" w:hAnsi="Simplified Arabic" w:cs="PT Bold Heading"/>
          <w:sz w:val="32"/>
          <w:szCs w:val="32"/>
          <w:rtl/>
        </w:rPr>
      </w:pPr>
      <w:bookmarkStart w:id="2" w:name="_Hlk192448459"/>
      <w:r>
        <w:rPr>
          <w:rFonts w:ascii="Simplified Arabic" w:hAnsi="Simplified Arabic" w:cs="PT Bold Heading"/>
          <w:sz w:val="32"/>
          <w:szCs w:val="32"/>
          <w:rtl/>
        </w:rPr>
        <w:lastRenderedPageBreak/>
        <w:t>الفصل الأول</w:t>
      </w:r>
    </w:p>
    <w:p w14:paraId="71BB5F54" w14:textId="77777777" w:rsidR="007A604C" w:rsidRDefault="00000000">
      <w:pPr>
        <w:spacing w:after="0" w:line="360" w:lineRule="auto"/>
        <w:jc w:val="center"/>
        <w:rPr>
          <w:rFonts w:ascii="Simplified Arabic" w:hAnsi="Simplified Arabic" w:cs="PT Bold Heading"/>
          <w:sz w:val="32"/>
          <w:szCs w:val="32"/>
          <w:rtl/>
        </w:rPr>
      </w:pPr>
      <w:r>
        <w:rPr>
          <w:rFonts w:ascii="Simplified Arabic" w:hAnsi="Simplified Arabic" w:cs="PT Bold Heading"/>
          <w:sz w:val="32"/>
          <w:szCs w:val="32"/>
          <w:rtl/>
        </w:rPr>
        <w:t>الإطار العام للدراسة</w:t>
      </w:r>
    </w:p>
    <w:p w14:paraId="3C451958" w14:textId="77777777" w:rsidR="007A604C" w:rsidRDefault="007A604C">
      <w:pPr>
        <w:spacing w:after="0" w:line="360" w:lineRule="auto"/>
        <w:ind w:firstLine="510"/>
        <w:jc w:val="both"/>
        <w:rPr>
          <w:rFonts w:ascii="Times New Roman" w:hAnsi="Times New Roman" w:cs="Simplified Arabic"/>
          <w:b/>
          <w:bCs/>
          <w:sz w:val="24"/>
          <w:szCs w:val="28"/>
          <w:rtl/>
        </w:rPr>
      </w:pPr>
    </w:p>
    <w:p w14:paraId="41EA1A50"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تمهيد</w:t>
      </w:r>
    </w:p>
    <w:p w14:paraId="4D0044A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يتناول هذا الفصل المنطلقات الفلسفية والمنهجية التي تؤطر فضاء الدراسة، حيث يستعرض السياق العام للمشكلة البحثية، وصياغة التساؤلات الجوهرية، فضلاً عن تحديد الأهداف والفرضيات التي تسعى الدراسة لاختبارها ميدانياً في ظل تسارع التحولات الرقمية في قطاع التأمين. </w:t>
      </w:r>
    </w:p>
    <w:p w14:paraId="1E55BEF7"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1. مقدمة الدراسة (</w:t>
      </w:r>
      <w:r>
        <w:rPr>
          <w:rFonts w:ascii="Times New Roman" w:hAnsi="Times New Roman" w:cs="Simplified Arabic"/>
          <w:b/>
          <w:bCs/>
          <w:sz w:val="24"/>
          <w:szCs w:val="28"/>
        </w:rPr>
        <w:t>Study Introduction</w:t>
      </w:r>
      <w:r>
        <w:rPr>
          <w:rFonts w:ascii="Times New Roman" w:hAnsi="Times New Roman" w:cs="Simplified Arabic"/>
          <w:b/>
          <w:bCs/>
          <w:sz w:val="24"/>
          <w:szCs w:val="28"/>
          <w:rtl/>
        </w:rPr>
        <w:t>):</w:t>
      </w:r>
    </w:p>
    <w:p w14:paraId="5A8BC17A"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تُعد الثورة الصناعية الرابعة نقطة تحول استراتيجية أعادت صياغة الأولويات في قطاعات الخدمات المالية، إذ لم يعد الذكاء الاصطناعي مجرد أداة تقنية مساندة، بل غدا عصب الاستدامة في ظل اقتصاد المعرفة. وتبرز أهمية هذا التحول في قدرته على خلق قيمة مضافة تتجاوز الأنماط التقليدية للعمل المؤسسي.</w:t>
      </w:r>
    </w:p>
    <w:p w14:paraId="3E8A448E"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وفيما يتعلق بالموقع التنافسي للمؤسسات، تُشير الأدبيات المعاصرة إلى أن الميزة التنافسية لم تعد تُبنى على الموارد المادية فحسب، بل على القدرة الفريدة التي تمتلكها الشركة للتفوق على منافسيها من خلال تقديم خدمات مبتكرة تتسم بالمرونة (فتحي، 2021، ص. 325). وتؤدي الميزة التنافسية دوراً جوهرياً في ضمان البقاء الاستراتيجي، إذ ترتبط بمدى قدرة المنظمة على الاستجابة السريعة للمتغيرات (المخلافي، 2025، ص. 360). وتتجلى أبعاد هذه الميزة في "التميز" و"التكلفة" و"الابتكار"، حيث أكدت دراسة (</w:t>
      </w:r>
      <w:r>
        <w:rPr>
          <w:rFonts w:ascii="Times New Roman" w:hAnsi="Times New Roman" w:cs="Simplified Arabic"/>
          <w:sz w:val="24"/>
          <w:szCs w:val="28"/>
        </w:rPr>
        <w:t>Razia et al., 2024, P. 88</w:t>
      </w:r>
      <w:r>
        <w:rPr>
          <w:rFonts w:ascii="Times New Roman" w:hAnsi="Times New Roman" w:cs="Simplified Arabic"/>
          <w:sz w:val="24"/>
          <w:szCs w:val="28"/>
          <w:rtl/>
        </w:rPr>
        <w:t>) أن المؤسسات التي تتبنى استراتيجيات تنافسية ذكية تحقق نمواً مطرداً في حصتها السوقية. فالتميز التنافسي هو المحصلة النهائية لكفاءة توظيف الموارد التنظيمية لتحقيق قيمة فريدة للعميل (محمود وآخرون، 2024، ص. 15).</w:t>
      </w:r>
    </w:p>
    <w:p w14:paraId="5974D04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lastRenderedPageBreak/>
        <w:t>ومن جهة أخرى، يمثل الذكاء الاصطناعي بمختلف تطبيقاته، مثل "تعلم الآلة" و"معالجة اللغات الطبيعية"، المحرك الرئيسي لإعادة هندسة هذه الموارد. إذ يُعد الذكاء الاصطناعي نظاماً برمجياً يحاكي القدرات الذهنية البشرية في تحليل البيانات المعقدة واتخاذ القرارات (</w:t>
      </w:r>
      <w:r>
        <w:rPr>
          <w:rFonts w:ascii="Times New Roman" w:hAnsi="Times New Roman" w:cs="Simplified Arabic"/>
          <w:sz w:val="24"/>
          <w:szCs w:val="28"/>
        </w:rPr>
        <w:t>Krakowski et al., 2023, P. 1432</w:t>
      </w:r>
      <w:r>
        <w:rPr>
          <w:rFonts w:ascii="Times New Roman" w:hAnsi="Times New Roman" w:cs="Simplified Arabic"/>
          <w:sz w:val="24"/>
          <w:szCs w:val="28"/>
          <w:rtl/>
        </w:rPr>
        <w:t>). وتُسهم هذه التقنيات في تطوير العمليات التأمينية وتحويلها من النمط اليدوي التقليدي إلى الأتمتة الذكية (خفوس، 2024، ص. 68). وتؤكد دراسة (</w:t>
      </w:r>
      <w:r>
        <w:rPr>
          <w:rFonts w:ascii="Times New Roman" w:hAnsi="Times New Roman" w:cs="Simplified Arabic"/>
          <w:sz w:val="24"/>
          <w:szCs w:val="28"/>
        </w:rPr>
        <w:t>Eling et al., 2022, P. 210</w:t>
      </w:r>
      <w:r>
        <w:rPr>
          <w:rFonts w:ascii="Times New Roman" w:hAnsi="Times New Roman" w:cs="Simplified Arabic"/>
          <w:sz w:val="24"/>
          <w:szCs w:val="28"/>
          <w:rtl/>
        </w:rPr>
        <w:t>) أن تبني الذكاء الاصطناعي يسمح للشركات بالانتقال إلى نموذج "التنبؤ والوقاية"، مما يعزز من قدرتها الاستيعابية للبيانات الضخمة وتحويلها إلى أصول معرفية تدعم التوجه الاستراتيجي (سليمان سبع، 2024، ص. 930).</w:t>
      </w:r>
    </w:p>
    <w:p w14:paraId="7166313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وعند تقاطع هذه المفاهيم، يظهر أن التكامل بين تقنيات الذكاء الاصطناعي وأبعاد الميزة التنافسية يخلق نوعاً من "الذكاء الاستراتيجي" الذي يمكن المؤسسات من اقتناص الفرص السوقية (إبراهيم وآخرون، 2024، ص. 3940). إذ تؤدي الرقمنة المدعومة بالذكاء الاصطناعي إلى تحسين الأداء الابتكاري، مما ينعكس مباشرة على التفوق التنافسي (مزوز، 2023، ص. 125). وأشارت دراسة (</w:t>
      </w:r>
      <w:r>
        <w:rPr>
          <w:rFonts w:ascii="Times New Roman" w:hAnsi="Times New Roman" w:cs="Simplified Arabic"/>
          <w:sz w:val="24"/>
          <w:szCs w:val="28"/>
        </w:rPr>
        <w:t>Bhattacharya et al., 2025, Article 1374987</w:t>
      </w:r>
      <w:r>
        <w:rPr>
          <w:rFonts w:ascii="Times New Roman" w:hAnsi="Times New Roman" w:cs="Simplified Arabic"/>
          <w:sz w:val="24"/>
          <w:szCs w:val="28"/>
          <w:rtl/>
        </w:rPr>
        <w:t>) إلى أن الذكاء الاصطناعي يردم الفجوة بين الواقع العملي والبحثي من خلال تقديم حلول تسعير مخصصة تعتمد على السلوك اللحظي للعميل، وهو ما يُعد جوهر التميز التنافسي الحديث.</w:t>
      </w:r>
    </w:p>
    <w:p w14:paraId="787A0DFF"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وبالنظر إلى بيئة الدراسة الحالية، يواجه قطاع التأمين تحديات تنظيمية وتقنية تتطلب تبني استراتيجيات رقمية واضحة المعالم (بن عبد الله، 2022، ص. 208). إذ يُعد قطاع التأمين من أكثر القطاعات اعتماداً على تحليل المخاطر، مما يجعل تطبيقات الذكاء الاصطناعي في التسويق الرقمي وإدارة المطالبات ضرورة حتمية لتحقيق قفزة نوعية في الأداء التنافسي (الأسدودي، 2023، </w:t>
      </w:r>
      <w:r>
        <w:rPr>
          <w:rFonts w:ascii="Times New Roman" w:hAnsi="Times New Roman" w:cs="Simplified Arabic"/>
          <w:sz w:val="24"/>
          <w:szCs w:val="28"/>
          <w:rtl/>
        </w:rPr>
        <w:lastRenderedPageBreak/>
        <w:t>ص. 855). وتؤكد التقارير أن التحول نحو التأمين الذكي (</w:t>
      </w:r>
      <w:r>
        <w:rPr>
          <w:rFonts w:ascii="Times New Roman" w:hAnsi="Times New Roman" w:cs="Simplified Arabic"/>
          <w:sz w:val="24"/>
          <w:szCs w:val="28"/>
        </w:rPr>
        <w:t>InsurTech</w:t>
      </w:r>
      <w:r>
        <w:rPr>
          <w:rFonts w:ascii="Times New Roman" w:hAnsi="Times New Roman" w:cs="Simplified Arabic"/>
          <w:sz w:val="24"/>
          <w:szCs w:val="28"/>
          <w:rtl/>
        </w:rPr>
        <w:t>) هو السبيل الوحيد لمواجهة المنافسة الوافدة من شركات التكنولوجيا الكبرى (</w:t>
      </w:r>
      <w:r>
        <w:rPr>
          <w:rFonts w:ascii="Times New Roman" w:hAnsi="Times New Roman" w:cs="Simplified Arabic"/>
          <w:sz w:val="24"/>
          <w:szCs w:val="28"/>
        </w:rPr>
        <w:t>Holland &amp; Kavuri, 2024, P. 82</w:t>
      </w:r>
      <w:r>
        <w:rPr>
          <w:rFonts w:ascii="Times New Roman" w:hAnsi="Times New Roman" w:cs="Simplified Arabic"/>
          <w:sz w:val="24"/>
          <w:szCs w:val="28"/>
          <w:rtl/>
        </w:rPr>
        <w:t>).</w:t>
      </w:r>
    </w:p>
    <w:p w14:paraId="7D77F0BC"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وتتطلع الدراسة الحالية من خلال هذا الطرح إلى تقديم إطار تجريبي يوضح كيفية تحويل الخوارزميات الذكية إلى مزايا تنافسية ملموسة تعزز من ريادة شركات التأمين في العصر الرقمي. </w:t>
      </w:r>
    </w:p>
    <w:p w14:paraId="7D5B5B4C"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2. مشكلة الدراسة (</w:t>
      </w:r>
      <w:r>
        <w:rPr>
          <w:rFonts w:ascii="Times New Roman" w:hAnsi="Times New Roman" w:cs="Simplified Arabic"/>
          <w:b/>
          <w:bCs/>
          <w:sz w:val="24"/>
          <w:szCs w:val="28"/>
        </w:rPr>
        <w:t>Study Problem</w:t>
      </w:r>
      <w:r>
        <w:rPr>
          <w:rFonts w:ascii="Times New Roman" w:hAnsi="Times New Roman" w:cs="Simplified Arabic"/>
          <w:b/>
          <w:bCs/>
          <w:sz w:val="24"/>
          <w:szCs w:val="28"/>
          <w:rtl/>
        </w:rPr>
        <w:t>):</w:t>
      </w:r>
    </w:p>
    <w:p w14:paraId="34CA6E5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تواجه شركات التأمين في الوقت الراهن ضغوطاً متزايدة ناتجة عن التحول نحو الاقتصاد الرقمي الشامل، حيث لم تعد نماذج الأعمال التقليدية قادرة على الصمود أمام متطلبات الكفاءة العالية والتخصيص الدقيق للخدمات. وتكمن الفجوة في أن العديد من هذه الشركات تتبنى التقنية كـ "قشرة خارجية" دون دمجها العميق في جوهر الميزة التنافسية.</w:t>
      </w:r>
    </w:p>
    <w:p w14:paraId="54F6EF1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وعلى الصعيد العالمي، يشير تقرير (</w:t>
      </w:r>
      <w:r>
        <w:rPr>
          <w:rFonts w:ascii="Times New Roman" w:hAnsi="Times New Roman" w:cs="Simplified Arabic"/>
          <w:sz w:val="24"/>
          <w:szCs w:val="28"/>
        </w:rPr>
        <w:t>Geneva Association, 2024</w:t>
      </w:r>
      <w:r>
        <w:rPr>
          <w:rFonts w:ascii="Times New Roman" w:hAnsi="Times New Roman" w:cs="Simplified Arabic"/>
          <w:sz w:val="24"/>
          <w:szCs w:val="28"/>
          <w:rtl/>
        </w:rPr>
        <w:t>) إلى أن الفشل في تبني الذكاء الاصطناعي قد يؤدي إلى فقدان ما نسبته 30% من الحصة السوقية لصالح شركات الـ (</w:t>
      </w:r>
      <w:r>
        <w:rPr>
          <w:rFonts w:ascii="Times New Roman" w:hAnsi="Times New Roman" w:cs="Simplified Arabic"/>
          <w:sz w:val="24"/>
          <w:szCs w:val="28"/>
        </w:rPr>
        <w:t>InsurTech</w:t>
      </w:r>
      <w:r>
        <w:rPr>
          <w:rFonts w:ascii="Times New Roman" w:hAnsi="Times New Roman" w:cs="Simplified Arabic"/>
          <w:sz w:val="24"/>
          <w:szCs w:val="28"/>
          <w:rtl/>
        </w:rPr>
        <w:t>) الناشئة. وفي سياق البيئة المحلية، أكدت دراسة (بن عبد الله، 2022، ص. 215) أن شركات التأمين لا تزال تعاني من بطء في الاستجابة الرقمية مما يضعف قدرتها التنافسية. كما أشار (مؤتمر التأمين السعودي، 2023) في توصياته الختامية إلى وجود حاجة ماسة لربط أنظمة الذكاء الاصطناعي بآليات تسعير المخاطر لتحسين الهوامش الربحية، وهو ما ينسجم مع ما ذهبت إليه دراسة (فتحي، 2021، ص. 328) بأن غياب الأتمتة الذكية يقلل من جودة الخدمات التأمينية المقدمة.</w:t>
      </w:r>
    </w:p>
    <w:p w14:paraId="203E509F"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ويبرز إحساس الباحث بالمشكلة من خلال ملاحظة التباين الكبير في دقة تقدير المطالبات وزيادة التكاليف التشغيلية في الشركات التي تفتقر للتحليل التنبؤي، وهو ما أكدته نتائج دراسة استكشافية مصغرة أجراها الباحث، أظهرت أن 65% من الكوادر القيادية يقرون بضعف توظيف </w:t>
      </w:r>
      <w:r>
        <w:rPr>
          <w:rFonts w:ascii="Times New Roman" w:hAnsi="Times New Roman" w:cs="Simplified Arabic"/>
          <w:sz w:val="24"/>
          <w:szCs w:val="28"/>
          <w:rtl/>
        </w:rPr>
        <w:lastRenderedPageBreak/>
        <w:t>الذكاء الاصطناعي في تحقيق "التميز" مقارنة بالمنافسين الدوليين. وتؤيد دراسة (الأسدودي، 2023، ص. 860) هذا الطرح، حيث كشفت أن آليات الذكاء الاصطناعي في التسويق لا تزال في مراحلها الأولية، مما يعيق الوصول الفعال للعميل.</w:t>
      </w:r>
    </w:p>
    <w:p w14:paraId="11A79764"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وتدعم الإحصاءات الرسمية هذا التوجه، إذ تشير بيانات (هيئة التأمين) إلى أن التحول الرقمي الشامل يمكن أن يقلل التكاليف الإدارية بنسبة 20%، إلاّ أن الواقع يشير إلى وجود تحديات في "القدرة الاستيعابية" لهذه التقنيات (سليمان سبع، 2024، ص. 945). ومن ثم، تتبلور المشكلة في التساؤل الجوهري حول مدى فاعلية هذه التقنيات في بناء ميزة تنافسية حقيقية تتجاوز مجرد الرقمنة الصورية، مما يجعل هذا الموضوع جديراً بالبحث والتقصي. </w:t>
      </w:r>
    </w:p>
    <w:p w14:paraId="65679092"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3. أسئلة الدراسة (</w:t>
      </w:r>
      <w:r>
        <w:rPr>
          <w:rFonts w:ascii="Times New Roman" w:hAnsi="Times New Roman" w:cs="Simplified Arabic"/>
          <w:b/>
          <w:bCs/>
          <w:sz w:val="24"/>
          <w:szCs w:val="28"/>
        </w:rPr>
        <w:t>Study Questions</w:t>
      </w:r>
      <w:r>
        <w:rPr>
          <w:rFonts w:ascii="Times New Roman" w:hAnsi="Times New Roman" w:cs="Simplified Arabic"/>
          <w:b/>
          <w:bCs/>
          <w:sz w:val="24"/>
          <w:szCs w:val="28"/>
          <w:rtl/>
        </w:rPr>
        <w:t>):</w:t>
      </w:r>
    </w:p>
    <w:p w14:paraId="5122288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 xml:space="preserve">التساؤل الرئيس: </w:t>
      </w:r>
      <w:r>
        <w:rPr>
          <w:rFonts w:ascii="Times New Roman" w:hAnsi="Times New Roman" w:cs="Simplified Arabic"/>
          <w:sz w:val="24"/>
          <w:szCs w:val="28"/>
          <w:rtl/>
        </w:rPr>
        <w:t>"ما أثر تقنيات الذكاء الاصطناعي على الميزة التنافسية لدى شركات التأمين؟"</w:t>
      </w:r>
    </w:p>
    <w:p w14:paraId="267A7833"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وينبثق عن هذا التساؤل الأسئلة الفرعية الآتية:</w:t>
      </w:r>
    </w:p>
    <w:p w14:paraId="4362013D" w14:textId="77777777" w:rsidR="007A604C" w:rsidRDefault="00000000">
      <w:pPr>
        <w:numPr>
          <w:ilvl w:val="0"/>
          <w:numId w:val="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ما مستوى توافر تقنيات الذكاء الاصطناعي (تعلم الآلة، معالجة اللغات الطبيعية، الرؤية الحاسوبية) في شركات التأمين محل الدراسة؟</w:t>
      </w:r>
    </w:p>
    <w:p w14:paraId="21D64A4B" w14:textId="77777777" w:rsidR="007A604C" w:rsidRDefault="00000000">
      <w:pPr>
        <w:numPr>
          <w:ilvl w:val="0"/>
          <w:numId w:val="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ما مستوى تحقيق الميزة التنافسية (التكلفة، التميز، الابتكار) في شركات التأمين محل الدراسة؟</w:t>
      </w:r>
    </w:p>
    <w:p w14:paraId="34ECDD83" w14:textId="77777777" w:rsidR="007A604C" w:rsidRDefault="00000000">
      <w:pPr>
        <w:numPr>
          <w:ilvl w:val="0"/>
          <w:numId w:val="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هل توجد علاقة ارتباطية ذات دلالة إحصائية بين تبني تقنيات الذكاء الاصطناعي وتحقيق الميزة التنافسية في شركات التأمين؟</w:t>
      </w:r>
    </w:p>
    <w:p w14:paraId="7DFAC241" w14:textId="77777777" w:rsidR="007A604C" w:rsidRDefault="00000000">
      <w:pPr>
        <w:numPr>
          <w:ilvl w:val="0"/>
          <w:numId w:val="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ما أثر تقنيات الذكاء الاصطناعي بأبعادها المختلفة في الميزة التنافسية لشركات التأمين؟ ويندرج تحت هذا التساؤل الأسئلة الآتية:</w:t>
      </w:r>
    </w:p>
    <w:p w14:paraId="17FB2563" w14:textId="77777777" w:rsidR="007A604C" w:rsidRDefault="00000000">
      <w:pPr>
        <w:numPr>
          <w:ilvl w:val="1"/>
          <w:numId w:val="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lastRenderedPageBreak/>
        <w:t xml:space="preserve">ما أثر بُعد </w:t>
      </w:r>
      <w:r>
        <w:rPr>
          <w:rFonts w:ascii="Times New Roman" w:hAnsi="Times New Roman" w:cs="Simplified Arabic"/>
          <w:b/>
          <w:bCs/>
          <w:sz w:val="24"/>
          <w:szCs w:val="28"/>
          <w:rtl/>
        </w:rPr>
        <w:t>تعلم الآلة</w:t>
      </w:r>
      <w:r>
        <w:rPr>
          <w:rFonts w:ascii="Times New Roman" w:hAnsi="Times New Roman" w:cs="Simplified Arabic"/>
          <w:sz w:val="24"/>
          <w:szCs w:val="28"/>
          <w:rtl/>
        </w:rPr>
        <w:t xml:space="preserve"> في تعزيز الميزة التنافسية لشركات التأمين؟</w:t>
      </w:r>
    </w:p>
    <w:p w14:paraId="18D5FE7D" w14:textId="77777777" w:rsidR="007A604C" w:rsidRDefault="00000000">
      <w:pPr>
        <w:numPr>
          <w:ilvl w:val="1"/>
          <w:numId w:val="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ما أثر بُعد </w:t>
      </w:r>
      <w:r>
        <w:rPr>
          <w:rFonts w:ascii="Times New Roman" w:hAnsi="Times New Roman" w:cs="Simplified Arabic"/>
          <w:b/>
          <w:bCs/>
          <w:sz w:val="24"/>
          <w:szCs w:val="28"/>
          <w:rtl/>
        </w:rPr>
        <w:t>معالجة اللغات الطبيعية</w:t>
      </w:r>
      <w:r>
        <w:rPr>
          <w:rFonts w:ascii="Times New Roman" w:hAnsi="Times New Roman" w:cs="Simplified Arabic"/>
          <w:sz w:val="24"/>
          <w:szCs w:val="28"/>
          <w:rtl/>
        </w:rPr>
        <w:t xml:space="preserve"> في تعزيز الميزة التنافسية لشركات التأمين؟</w:t>
      </w:r>
    </w:p>
    <w:p w14:paraId="6490CBBD" w14:textId="77777777" w:rsidR="007A604C" w:rsidRDefault="00000000">
      <w:pPr>
        <w:numPr>
          <w:ilvl w:val="1"/>
          <w:numId w:val="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ما أثر بُعد </w:t>
      </w:r>
      <w:r>
        <w:rPr>
          <w:rFonts w:ascii="Times New Roman" w:hAnsi="Times New Roman" w:cs="Simplified Arabic"/>
          <w:b/>
          <w:bCs/>
          <w:sz w:val="24"/>
          <w:szCs w:val="28"/>
          <w:rtl/>
        </w:rPr>
        <w:t>الرؤية الحاسوبية</w:t>
      </w:r>
      <w:r>
        <w:rPr>
          <w:rFonts w:ascii="Times New Roman" w:hAnsi="Times New Roman" w:cs="Simplified Arabic"/>
          <w:sz w:val="24"/>
          <w:szCs w:val="28"/>
          <w:rtl/>
        </w:rPr>
        <w:t xml:space="preserve"> في تعزيز الميزة التنافسية لشركات التأمين؟</w:t>
      </w:r>
    </w:p>
    <w:p w14:paraId="21E4F2B2"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4. أهداف الدراسة (</w:t>
      </w:r>
      <w:r>
        <w:rPr>
          <w:rFonts w:ascii="Times New Roman" w:hAnsi="Times New Roman" w:cs="Simplified Arabic"/>
          <w:b/>
          <w:bCs/>
          <w:sz w:val="24"/>
          <w:szCs w:val="28"/>
        </w:rPr>
        <w:t>Study Objectives</w:t>
      </w:r>
      <w:r>
        <w:rPr>
          <w:rFonts w:ascii="Times New Roman" w:hAnsi="Times New Roman" w:cs="Simplified Arabic"/>
          <w:b/>
          <w:bCs/>
          <w:sz w:val="24"/>
          <w:szCs w:val="28"/>
          <w:rtl/>
        </w:rPr>
        <w:t>):</w:t>
      </w:r>
    </w:p>
    <w:p w14:paraId="673F52C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تتمحور الغاية الجوهرية لهذه الدراسة حول </w:t>
      </w:r>
      <w:r>
        <w:rPr>
          <w:rFonts w:ascii="Times New Roman" w:hAnsi="Times New Roman" w:cs="Simplified Arabic"/>
          <w:b/>
          <w:bCs/>
          <w:sz w:val="24"/>
          <w:szCs w:val="28"/>
          <w:rtl/>
        </w:rPr>
        <w:t>"قياس أثر تقنيات الذكاء الاصطناعي في تحقيق الميزة التنافسية لدى شركات التأمين"</w:t>
      </w:r>
      <w:r>
        <w:rPr>
          <w:rFonts w:ascii="Times New Roman" w:hAnsi="Times New Roman" w:cs="Simplified Arabic"/>
          <w:sz w:val="24"/>
          <w:szCs w:val="28"/>
          <w:rtl/>
        </w:rPr>
        <w:t>، ولتحقيق هذا الهدف العام، تسعى الدراسة إلى إنجاز الأهداف الفرعية الآتية:</w:t>
      </w:r>
    </w:p>
    <w:p w14:paraId="0356A9E2" w14:textId="77777777" w:rsidR="007A604C" w:rsidRDefault="00000000">
      <w:pPr>
        <w:numPr>
          <w:ilvl w:val="0"/>
          <w:numId w:val="8"/>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تحديد مستوى تبني وتوافر تقنيات الذكاء الاصطناعي (تعلم الآلة، معالجة اللغات الطبيعية، الرؤية الحاسوبية) في شركات التأمين محل الدراسة.</w:t>
      </w:r>
    </w:p>
    <w:p w14:paraId="2EBFE891" w14:textId="77777777" w:rsidR="007A604C" w:rsidRDefault="00000000">
      <w:pPr>
        <w:numPr>
          <w:ilvl w:val="0"/>
          <w:numId w:val="8"/>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رصد مستوى الميزة التنافسية المحققة (التكلفة، التميز، الابتكار) من وجهة نظر الكوادر القيادية والفنية في شركات التأمين.</w:t>
      </w:r>
    </w:p>
    <w:p w14:paraId="1349D5A0" w14:textId="77777777" w:rsidR="007A604C" w:rsidRDefault="00000000">
      <w:pPr>
        <w:numPr>
          <w:ilvl w:val="0"/>
          <w:numId w:val="8"/>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الكشف عن طبيعة وقوة العلاقة الارتباطية بين دمج تقنيات الذكاء الاصطناعي وبين تعزيز الميزة التنافسية.</w:t>
      </w:r>
    </w:p>
    <w:p w14:paraId="12951187" w14:textId="77777777" w:rsidR="007A604C" w:rsidRDefault="00000000">
      <w:pPr>
        <w:numPr>
          <w:ilvl w:val="0"/>
          <w:numId w:val="8"/>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تحليل الأثر النسبي لكل بُعد من أبعاد تقنيات الذكاء الاصطناعي في تطوير الأداء التنافسي لشركات التأمين، والخروج بتصور مقترح يدعم استراتيجيات التحول الذكي.</w:t>
      </w:r>
    </w:p>
    <w:p w14:paraId="7BCE1692"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5. أهمية الدراسة (</w:t>
      </w:r>
      <w:r>
        <w:rPr>
          <w:rFonts w:ascii="Times New Roman" w:hAnsi="Times New Roman" w:cs="Simplified Arabic"/>
          <w:b/>
          <w:bCs/>
          <w:sz w:val="24"/>
          <w:szCs w:val="28"/>
        </w:rPr>
        <w:t>Study Significance</w:t>
      </w:r>
      <w:r>
        <w:rPr>
          <w:rFonts w:ascii="Times New Roman" w:hAnsi="Times New Roman" w:cs="Simplified Arabic"/>
          <w:b/>
          <w:bCs/>
          <w:sz w:val="24"/>
          <w:szCs w:val="28"/>
          <w:rtl/>
        </w:rPr>
        <w:t>):</w:t>
      </w:r>
    </w:p>
    <w:p w14:paraId="2C44D786"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أولاً: الأهمية العلمية (النظرية):</w:t>
      </w:r>
    </w:p>
    <w:p w14:paraId="680D0C84" w14:textId="77777777" w:rsidR="007A604C" w:rsidRDefault="00000000">
      <w:pPr>
        <w:numPr>
          <w:ilvl w:val="0"/>
          <w:numId w:val="9"/>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إثراء الأدبيات الإدارية بمساهمة بحثية تجمع بين علوم البيانات الاستراتيجية ونظريات الميزة التنافسية في قطاع حيوي كقطاع التأمين.</w:t>
      </w:r>
    </w:p>
    <w:p w14:paraId="57A5FFD0" w14:textId="77777777" w:rsidR="007A604C" w:rsidRDefault="00000000">
      <w:pPr>
        <w:numPr>
          <w:ilvl w:val="0"/>
          <w:numId w:val="9"/>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lastRenderedPageBreak/>
        <w:t>بناء إطار معرفي يوضح آليات عمل الذكاء الاصطناعي كمتغير مفسر للنمو التنافسي، مما يفتح آفاقاً جديدة للباحثين في مجالات الاقتصاد الرقمي.</w:t>
      </w:r>
    </w:p>
    <w:p w14:paraId="1653C2EE" w14:textId="77777777" w:rsidR="007A604C" w:rsidRDefault="00000000">
      <w:pPr>
        <w:numPr>
          <w:ilvl w:val="0"/>
          <w:numId w:val="9"/>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تقديم نموذج منهجي يربط بين التقنيات النوعية (الرؤية الحاسوبية ومعالجة اللغات) وبين مؤشرات الأداء التنافسي، مما يسد فجوة في المكتبة العربية بهذا الشأن.</w:t>
      </w:r>
    </w:p>
    <w:p w14:paraId="2669DB4F"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ثانياً: الأهمية العملية (التطبيقية):</w:t>
      </w:r>
    </w:p>
    <w:p w14:paraId="460F3E0A" w14:textId="77777777" w:rsidR="007A604C" w:rsidRDefault="00000000">
      <w:pPr>
        <w:numPr>
          <w:ilvl w:val="0"/>
          <w:numId w:val="10"/>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تزويد شركات التأمين بنتائج واقعية توضح أي من تقنيات الذكاء الاصطناعي أكثر تأثيراً في خفض التكاليف وتحسين الجودة، مما يساعد في ترشيد الإنفاق التقني.</w:t>
      </w:r>
    </w:p>
    <w:p w14:paraId="51CBE564" w14:textId="77777777" w:rsidR="007A604C" w:rsidRDefault="00000000">
      <w:pPr>
        <w:numPr>
          <w:ilvl w:val="0"/>
          <w:numId w:val="10"/>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دعم صناع القرار في صياغة خرائط طريق للتحول الرقمي تعتمد على الذكاء الاصطناعي لرفع كفاءة إدارة المطالبات وتسعير المخاطر بدقة أعلى.</w:t>
      </w:r>
    </w:p>
    <w:p w14:paraId="162C0C6A" w14:textId="77777777" w:rsidR="007A604C" w:rsidRDefault="00000000">
      <w:pPr>
        <w:numPr>
          <w:ilvl w:val="0"/>
          <w:numId w:val="10"/>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تقديم مؤشرات أداء عملية تُمكّن الشركات من قياس مدى تقدمها التنافسي مقارنة بالمنافسين التقليديين والوافدين الجدد من شركات التقنية المالية.</w:t>
      </w:r>
    </w:p>
    <w:p w14:paraId="32E5053E"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6. متغيرات وأبعاد الدراسة (</w:t>
      </w:r>
      <w:r>
        <w:rPr>
          <w:rFonts w:ascii="Times New Roman" w:hAnsi="Times New Roman" w:cs="Simplified Arabic"/>
          <w:b/>
          <w:bCs/>
          <w:sz w:val="24"/>
          <w:szCs w:val="28"/>
        </w:rPr>
        <w:t>Study Variables</w:t>
      </w:r>
      <w:r>
        <w:rPr>
          <w:rFonts w:ascii="Times New Roman" w:hAnsi="Times New Roman" w:cs="Simplified Arabic"/>
          <w:b/>
          <w:bCs/>
          <w:sz w:val="24"/>
          <w:szCs w:val="28"/>
          <w:rtl/>
        </w:rPr>
        <w:t>):</w:t>
      </w:r>
    </w:p>
    <w:p w14:paraId="1706E0FC"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تتحدد متغيرات الدراسة وأبعادها وفق النموذج الآتي:</w:t>
      </w:r>
    </w:p>
    <w:p w14:paraId="7DF1E5A1" w14:textId="77777777" w:rsidR="007A604C" w:rsidRDefault="00000000">
      <w:pPr>
        <w:numPr>
          <w:ilvl w:val="0"/>
          <w:numId w:val="11"/>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المتغير المستقل: تقنيات الذكاء الاصطناعي،</w:t>
      </w:r>
      <w:r>
        <w:rPr>
          <w:rFonts w:ascii="Times New Roman" w:hAnsi="Times New Roman" w:cs="Simplified Arabic"/>
          <w:sz w:val="24"/>
          <w:szCs w:val="28"/>
          <w:rtl/>
        </w:rPr>
        <w:t xml:space="preserve"> وتتمثل أبعاده في: (تعلم الآلة، معالجة اللغات الطبيعية، الرؤية الحاسوبية).</w:t>
      </w:r>
    </w:p>
    <w:p w14:paraId="440359A2" w14:textId="77777777" w:rsidR="007A604C" w:rsidRDefault="00000000">
      <w:pPr>
        <w:numPr>
          <w:ilvl w:val="0"/>
          <w:numId w:val="11"/>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المتغير التابع: الميزة التنافسية،</w:t>
      </w:r>
      <w:r>
        <w:rPr>
          <w:rFonts w:ascii="Times New Roman" w:hAnsi="Times New Roman" w:cs="Simplified Arabic"/>
          <w:sz w:val="24"/>
          <w:szCs w:val="28"/>
          <w:rtl/>
        </w:rPr>
        <w:t xml:space="preserve"> وتتمثل أبعادها في: (التكلفة الأقل، التميز/ الجودة، الابتكار).</w:t>
      </w:r>
    </w:p>
    <w:p w14:paraId="4F927757"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7. فرضيات الدراسة (</w:t>
      </w:r>
      <w:r>
        <w:rPr>
          <w:rFonts w:ascii="Times New Roman" w:hAnsi="Times New Roman" w:cs="Simplified Arabic"/>
          <w:b/>
          <w:bCs/>
          <w:sz w:val="24"/>
          <w:szCs w:val="28"/>
        </w:rPr>
        <w:t>Study Hypotheses</w:t>
      </w:r>
      <w:r>
        <w:rPr>
          <w:rFonts w:ascii="Times New Roman" w:hAnsi="Times New Roman" w:cs="Simplified Arabic"/>
          <w:b/>
          <w:bCs/>
          <w:sz w:val="24"/>
          <w:szCs w:val="28"/>
          <w:rtl/>
        </w:rPr>
        <w:t>):</w:t>
      </w:r>
    </w:p>
    <w:p w14:paraId="40F9162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 xml:space="preserve">الفرضية الرئيسة: </w:t>
      </w:r>
      <w:r>
        <w:rPr>
          <w:rFonts w:ascii="Times New Roman" w:hAnsi="Times New Roman" w:cs="Simplified Arabic"/>
          <w:sz w:val="24"/>
          <w:szCs w:val="28"/>
          <w:rtl/>
        </w:rPr>
        <w:t>"يوجد أثر ذو دلالة إحصائية عند مستوى دلالة ( \</w:t>
      </w:r>
      <w:r>
        <w:rPr>
          <w:rFonts w:ascii="Times New Roman" w:hAnsi="Times New Roman" w:cs="Simplified Arabic"/>
          <w:sz w:val="24"/>
          <w:szCs w:val="28"/>
        </w:rPr>
        <w:t>alpha \leq 0.05</w:t>
      </w:r>
      <w:r>
        <w:rPr>
          <w:rFonts w:ascii="Times New Roman" w:hAnsi="Times New Roman" w:cs="Simplified Arabic"/>
          <w:sz w:val="24"/>
          <w:szCs w:val="28"/>
          <w:rtl/>
        </w:rPr>
        <w:t xml:space="preserve"> ) لتقنيات الذكاء الاصطناعي في الميزة التنافسية لشركات التأمين".</w:t>
      </w:r>
    </w:p>
    <w:p w14:paraId="2ED2BB7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lastRenderedPageBreak/>
        <w:t>وينبثق عن هذه الفرضية الفروض الفرعية الآتية:</w:t>
      </w:r>
    </w:p>
    <w:p w14:paraId="656DB484" w14:textId="77777777" w:rsidR="007A604C" w:rsidRDefault="00000000">
      <w:pPr>
        <w:numPr>
          <w:ilvl w:val="0"/>
          <w:numId w:val="12"/>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يوجد أثر ذو دلالة إحصائية لبُعد </w:t>
      </w:r>
      <w:r>
        <w:rPr>
          <w:rFonts w:ascii="Times New Roman" w:hAnsi="Times New Roman" w:cs="Simplified Arabic"/>
          <w:b/>
          <w:bCs/>
          <w:sz w:val="24"/>
          <w:szCs w:val="28"/>
          <w:rtl/>
        </w:rPr>
        <w:t>تعلم الآلة</w:t>
      </w:r>
      <w:r>
        <w:rPr>
          <w:rFonts w:ascii="Times New Roman" w:hAnsi="Times New Roman" w:cs="Simplified Arabic"/>
          <w:sz w:val="24"/>
          <w:szCs w:val="28"/>
          <w:rtl/>
        </w:rPr>
        <w:t xml:space="preserve"> في الميزة التنافسية لشركات التأمين.</w:t>
      </w:r>
    </w:p>
    <w:p w14:paraId="3CB31D52" w14:textId="77777777" w:rsidR="007A604C" w:rsidRDefault="00000000">
      <w:pPr>
        <w:numPr>
          <w:ilvl w:val="0"/>
          <w:numId w:val="12"/>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يوجد أثر ذو دلالة إحصائية لبُعد </w:t>
      </w:r>
      <w:r>
        <w:rPr>
          <w:rFonts w:ascii="Times New Roman" w:hAnsi="Times New Roman" w:cs="Simplified Arabic"/>
          <w:b/>
          <w:bCs/>
          <w:sz w:val="24"/>
          <w:szCs w:val="28"/>
          <w:rtl/>
        </w:rPr>
        <w:t>معالجة اللغات الطبيعية</w:t>
      </w:r>
      <w:r>
        <w:rPr>
          <w:rFonts w:ascii="Times New Roman" w:hAnsi="Times New Roman" w:cs="Simplified Arabic"/>
          <w:sz w:val="24"/>
          <w:szCs w:val="28"/>
          <w:rtl/>
        </w:rPr>
        <w:t xml:space="preserve"> في الميزة التنافسية لشركات التأمين.</w:t>
      </w:r>
    </w:p>
    <w:p w14:paraId="3E78A5CF" w14:textId="77777777" w:rsidR="007A604C" w:rsidRDefault="00000000">
      <w:pPr>
        <w:numPr>
          <w:ilvl w:val="0"/>
          <w:numId w:val="12"/>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يوجد أثر ذو دلالة إحصائية لبُعد </w:t>
      </w:r>
      <w:r>
        <w:rPr>
          <w:rFonts w:ascii="Times New Roman" w:hAnsi="Times New Roman" w:cs="Simplified Arabic"/>
          <w:b/>
          <w:bCs/>
          <w:sz w:val="24"/>
          <w:szCs w:val="28"/>
          <w:rtl/>
        </w:rPr>
        <w:t>الرؤية الحاسوبية</w:t>
      </w:r>
      <w:r>
        <w:rPr>
          <w:rFonts w:ascii="Times New Roman" w:hAnsi="Times New Roman" w:cs="Simplified Arabic"/>
          <w:sz w:val="24"/>
          <w:szCs w:val="28"/>
          <w:rtl/>
        </w:rPr>
        <w:t xml:space="preserve"> في الميزة التنافسية لشركات التأمين.</w:t>
      </w:r>
    </w:p>
    <w:p w14:paraId="357DD9EE"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hint="cs"/>
          <w:b/>
          <w:bCs/>
          <w:sz w:val="24"/>
          <w:szCs w:val="28"/>
          <w:rtl/>
        </w:rPr>
        <w:t xml:space="preserve">8. </w:t>
      </w:r>
      <w:r>
        <w:rPr>
          <w:rFonts w:ascii="Times New Roman" w:hAnsi="Times New Roman" w:cs="Simplified Arabic"/>
          <w:b/>
          <w:bCs/>
          <w:sz w:val="24"/>
          <w:szCs w:val="28"/>
          <w:rtl/>
        </w:rPr>
        <w:t>حدود الدراسة (</w:t>
      </w:r>
      <w:r>
        <w:rPr>
          <w:rFonts w:ascii="Times New Roman" w:hAnsi="Times New Roman" w:cs="Simplified Arabic"/>
          <w:b/>
          <w:bCs/>
          <w:sz w:val="24"/>
          <w:szCs w:val="28"/>
        </w:rPr>
        <w:t>Research Limitations</w:t>
      </w:r>
      <w:r>
        <w:rPr>
          <w:rFonts w:ascii="Times New Roman" w:hAnsi="Times New Roman" w:cs="Simplified Arabic"/>
          <w:b/>
          <w:bCs/>
          <w:sz w:val="24"/>
          <w:szCs w:val="28"/>
          <w:rtl/>
        </w:rPr>
        <w:t>)</w:t>
      </w:r>
    </w:p>
    <w:p w14:paraId="381E503C"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التزاماً بالدقة المنهجية، تم حصر هذه الدراسة ضمن الأطر والحدود التالية:</w:t>
      </w:r>
    </w:p>
    <w:p w14:paraId="7DF8E04A" w14:textId="77777777" w:rsidR="007A604C" w:rsidRDefault="00000000">
      <w:pPr>
        <w:numPr>
          <w:ilvl w:val="0"/>
          <w:numId w:val="37"/>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 xml:space="preserve">الحدود العلمية (الموضوعية): </w:t>
      </w:r>
      <w:r>
        <w:rPr>
          <w:rFonts w:ascii="Times New Roman" w:hAnsi="Times New Roman" w:cs="Simplified Arabic"/>
          <w:sz w:val="24"/>
          <w:szCs w:val="28"/>
          <w:rtl/>
        </w:rPr>
        <w:t>اقتصرت الدراسة على استقصاء أثر ثلاث تقنيات رئيسية للذكاء الاصطناعي كمتغير مستقل وهي: (تعلم الآلة، معالجة اللغات الطبيعية، الرؤية الحاسوبية)، وأثرها في تحقيق ثلاث أبعاد للميزة التنافسية كمتغير تابع وهي: (التكلفة الأقل، التميز والجودة، الابتكار التأميني).</w:t>
      </w:r>
    </w:p>
    <w:p w14:paraId="4FC1768F" w14:textId="77777777" w:rsidR="007A604C" w:rsidRDefault="00000000">
      <w:pPr>
        <w:numPr>
          <w:ilvl w:val="0"/>
          <w:numId w:val="37"/>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 xml:space="preserve">الحدود المكانية: </w:t>
      </w:r>
      <w:r>
        <w:rPr>
          <w:rFonts w:ascii="Times New Roman" w:hAnsi="Times New Roman" w:cs="Simplified Arabic"/>
          <w:sz w:val="24"/>
          <w:szCs w:val="28"/>
          <w:rtl/>
        </w:rPr>
        <w:t>طُبقت الدراسة ميدانياً على شركات التأمين العاملة في المملكة العربية السعودية، المرخصة والخاضعة لإشراف هيئة التأمين.</w:t>
      </w:r>
    </w:p>
    <w:p w14:paraId="4BEE3992" w14:textId="77777777" w:rsidR="007A604C" w:rsidRDefault="00000000">
      <w:pPr>
        <w:numPr>
          <w:ilvl w:val="0"/>
          <w:numId w:val="37"/>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 xml:space="preserve">الحدود البشرية: </w:t>
      </w:r>
      <w:r>
        <w:rPr>
          <w:rFonts w:ascii="Times New Roman" w:hAnsi="Times New Roman" w:cs="Simplified Arabic"/>
          <w:sz w:val="24"/>
          <w:szCs w:val="28"/>
          <w:rtl/>
        </w:rPr>
        <w:t>استهدفت الدراسة الكوادر الإدارية والتقنية (مديرين، رؤساء أقسام، خبراء تقنيين، وموظفين فنيين) في شركات التأمين المستهدفة، نظراً لصلتهم المباشرة بموضوع التحول الرقمي والاستراتيجيات التنافسية.</w:t>
      </w:r>
    </w:p>
    <w:p w14:paraId="0D2365EB" w14:textId="77777777" w:rsidR="007A604C" w:rsidRDefault="00000000">
      <w:pPr>
        <w:numPr>
          <w:ilvl w:val="0"/>
          <w:numId w:val="37"/>
        </w:numPr>
        <w:spacing w:after="0" w:line="360" w:lineRule="auto"/>
        <w:jc w:val="both"/>
        <w:rPr>
          <w:rFonts w:ascii="Times New Roman" w:hAnsi="Times New Roman" w:cs="Simplified Arabic"/>
          <w:sz w:val="24"/>
          <w:szCs w:val="28"/>
        </w:rPr>
      </w:pPr>
      <w:r>
        <w:rPr>
          <w:rFonts w:ascii="Times New Roman" w:hAnsi="Times New Roman" w:cs="Simplified Arabic"/>
          <w:b/>
          <w:bCs/>
          <w:sz w:val="24"/>
          <w:szCs w:val="28"/>
          <w:rtl/>
        </w:rPr>
        <w:t xml:space="preserve">الحدود الزمنية: </w:t>
      </w:r>
      <w:r>
        <w:rPr>
          <w:rFonts w:ascii="Times New Roman" w:hAnsi="Times New Roman" w:cs="Simplified Arabic"/>
          <w:sz w:val="24"/>
          <w:szCs w:val="28"/>
          <w:rtl/>
        </w:rPr>
        <w:t>تم إجراء الجانب النظري وجمع البيانات الأولية وتطبيق الدراسة ميدانياً خلال شهر يناير من عام 2026م.</w:t>
      </w:r>
    </w:p>
    <w:p w14:paraId="22098D9D" w14:textId="77777777" w:rsidR="007A604C" w:rsidRDefault="007A604C">
      <w:pPr>
        <w:spacing w:after="0" w:line="360" w:lineRule="auto"/>
        <w:jc w:val="both"/>
        <w:rPr>
          <w:rFonts w:ascii="Times New Roman" w:hAnsi="Times New Roman" w:cs="Simplified Arabic"/>
          <w:sz w:val="24"/>
          <w:szCs w:val="28"/>
          <w:rtl/>
        </w:rPr>
      </w:pPr>
    </w:p>
    <w:p w14:paraId="638A7E13" w14:textId="77777777" w:rsidR="007A604C" w:rsidRDefault="007A604C">
      <w:pPr>
        <w:spacing w:after="0" w:line="360" w:lineRule="auto"/>
        <w:jc w:val="both"/>
        <w:rPr>
          <w:rFonts w:ascii="Times New Roman" w:hAnsi="Times New Roman" w:cs="Simplified Arabic"/>
          <w:sz w:val="24"/>
          <w:szCs w:val="28"/>
          <w:rtl/>
        </w:rPr>
      </w:pPr>
    </w:p>
    <w:p w14:paraId="53138807"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lastRenderedPageBreak/>
        <w:t>9. مصطلحات الدراسة (</w:t>
      </w:r>
      <w:r>
        <w:rPr>
          <w:rFonts w:ascii="Times New Roman" w:hAnsi="Times New Roman" w:cs="Simplified Arabic"/>
          <w:b/>
          <w:bCs/>
          <w:sz w:val="24"/>
          <w:szCs w:val="28"/>
        </w:rPr>
        <w:t>Study Terminology</w:t>
      </w:r>
      <w:r>
        <w:rPr>
          <w:rFonts w:ascii="Times New Roman" w:hAnsi="Times New Roman" w:cs="Simplified Arabic"/>
          <w:b/>
          <w:bCs/>
          <w:sz w:val="24"/>
          <w:szCs w:val="28"/>
          <w:rtl/>
        </w:rPr>
        <w:t>):</w:t>
      </w:r>
    </w:p>
    <w:p w14:paraId="2F564850"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الذكاء الاصطناعي (</w:t>
      </w:r>
      <w:r>
        <w:rPr>
          <w:rFonts w:ascii="Times New Roman" w:hAnsi="Times New Roman" w:cs="Simplified Arabic"/>
          <w:b/>
          <w:bCs/>
          <w:sz w:val="24"/>
          <w:szCs w:val="28"/>
        </w:rPr>
        <w:t>Artificial Intelligence</w:t>
      </w:r>
      <w:r>
        <w:rPr>
          <w:rFonts w:ascii="Times New Roman" w:hAnsi="Times New Roman" w:cs="Simplified Arabic"/>
          <w:b/>
          <w:bCs/>
          <w:sz w:val="24"/>
          <w:szCs w:val="28"/>
          <w:rtl/>
        </w:rPr>
        <w:t>):</w:t>
      </w:r>
    </w:p>
    <w:p w14:paraId="1C2101C0"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يُعرف بأنه المحاكاة الحاسوبية للقدرات الذهنية البشرية التي تمكن الأنظمة من أداء وظائف معقدة مثل التعلم وحل المشكلات واتخاذ القرار استناداً إلى البيانات (</w:t>
      </w:r>
      <w:r>
        <w:rPr>
          <w:rFonts w:ascii="Times New Roman" w:hAnsi="Times New Roman" w:cs="Simplified Arabic"/>
          <w:sz w:val="24"/>
          <w:szCs w:val="28"/>
        </w:rPr>
        <w:t>Bhattacharya et al., 2025, Article 1374987</w:t>
      </w:r>
      <w:r>
        <w:rPr>
          <w:rFonts w:ascii="Times New Roman" w:hAnsi="Times New Roman" w:cs="Simplified Arabic"/>
          <w:sz w:val="24"/>
          <w:szCs w:val="28"/>
          <w:rtl/>
        </w:rPr>
        <w:t>). كما يُعرف بأنه قدرة الآلة على أداء المهام المعرفية المرتبطة بالعقل البشري، من خلال توظيف الخوارزميات المتقدمة في تحليل الأنماط الضخمة (</w:t>
      </w:r>
      <w:r>
        <w:rPr>
          <w:rFonts w:ascii="Times New Roman" w:hAnsi="Times New Roman" w:cs="Simplified Arabic"/>
          <w:sz w:val="24"/>
          <w:szCs w:val="28"/>
        </w:rPr>
        <w:t>Owens et al., 2022, P. 235</w:t>
      </w:r>
      <w:r>
        <w:rPr>
          <w:rFonts w:ascii="Times New Roman" w:hAnsi="Times New Roman" w:cs="Simplified Arabic"/>
          <w:sz w:val="24"/>
          <w:szCs w:val="28"/>
          <w:rtl/>
        </w:rPr>
        <w:t>). وفي تعريف سابق، أُشير إليه بأنه الأنظمة والوسائل التي تحاكي الذكاء البشري للقيام بمهام يمكنها تحسين نفسها تكرارياً بناءً على المعلومات التي تجمعها (فتحي، 2021، ص. 320).</w:t>
      </w:r>
    </w:p>
    <w:p w14:paraId="394CF0A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 xml:space="preserve">وفي سياق هذه الدراسة، يعرف مصطلح الذكاء الاصطناعي إجرائياً، بأنه: </w:t>
      </w:r>
      <w:r>
        <w:rPr>
          <w:rFonts w:ascii="Times New Roman" w:hAnsi="Times New Roman" w:cs="Simplified Arabic"/>
          <w:sz w:val="24"/>
          <w:szCs w:val="28"/>
          <w:rtl/>
        </w:rPr>
        <w:t>مجموعة الحلول التقنية المتقدمة (تعلم الآلة، معالجة اللغات، الرؤية الحاسوبية) التي تتبناها شركات التأمين لأتمتة عمليات الاكتتاب، وتحسين دقة التنبؤ بالمخاطر، ورفع كفاءة التفاعل مع العملاء بشكل آلي.</w:t>
      </w:r>
    </w:p>
    <w:p w14:paraId="57B9F317"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الميزة التنافسية (</w:t>
      </w:r>
      <w:r>
        <w:rPr>
          <w:rFonts w:ascii="Times New Roman" w:hAnsi="Times New Roman" w:cs="Simplified Arabic"/>
          <w:b/>
          <w:bCs/>
          <w:sz w:val="24"/>
          <w:szCs w:val="28"/>
        </w:rPr>
        <w:t>Competitive Advantage</w:t>
      </w:r>
      <w:r>
        <w:rPr>
          <w:rFonts w:ascii="Times New Roman" w:hAnsi="Times New Roman" w:cs="Simplified Arabic"/>
          <w:b/>
          <w:bCs/>
          <w:sz w:val="24"/>
          <w:szCs w:val="28"/>
          <w:rtl/>
        </w:rPr>
        <w:t>):</w:t>
      </w:r>
    </w:p>
    <w:p w14:paraId="13AF95D2"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تُعرف بأنها القيمة الفريدة التي تخلقها المنظمة لعملائها بطرق تتفوق على ما يقدمه المنافسون، مما يضمن لها موقعاً سوقياً مستداماً (المخلافي، 2025، ص. 362). كما تُعرف بأنها قدرة المؤسسة على إدارة مواردها وكفاءاتها الجوهرية بأسلوب يمنحها تميزاً في التكلفة أو الجودة مقارنة ببقية الفاعلين في الصناعة (محمود وآخرون، 2024، ص. 18). وقد عُرفت أيضاً بأنها الموقف الذي تحققه الشركة عندما تكون قادرة على تنفيذ استراتيجية لخلق القيمة لا يطبقها أي منافس في الوقت نفسه (فتحي، 2021، ص. 324).</w:t>
      </w:r>
    </w:p>
    <w:p w14:paraId="5213524F"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lastRenderedPageBreak/>
        <w:t xml:space="preserve">وفي سياق هذه الدراسة، يعرف مصطلح الميزة التنافسية إجرائياً، بأنه: </w:t>
      </w:r>
      <w:r>
        <w:rPr>
          <w:rFonts w:ascii="Times New Roman" w:hAnsi="Times New Roman" w:cs="Simplified Arabic"/>
          <w:sz w:val="24"/>
          <w:szCs w:val="28"/>
          <w:rtl/>
        </w:rPr>
        <w:t>القدرة الفائقة لشركات التأمين على تحقيق التفوق في السوق من خلال تقديم منتجات تأمينية مبتكرة، وتقليل التكاليف التشغيلية، وسرعة الاستجابة للمطالبات بفعالية تزيد من رضا العميل وحصتها السوقية.</w:t>
      </w:r>
    </w:p>
    <w:p w14:paraId="4A49834E"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br w:type="page"/>
      </w:r>
    </w:p>
    <w:p w14:paraId="013F22AD" w14:textId="77777777" w:rsidR="007A604C" w:rsidRDefault="007A604C">
      <w:pPr>
        <w:spacing w:after="0" w:line="360" w:lineRule="auto"/>
        <w:ind w:firstLine="284"/>
        <w:jc w:val="both"/>
        <w:rPr>
          <w:rFonts w:ascii="Times New Roman" w:hAnsi="Times New Roman" w:cs="Simplified Arabic"/>
          <w:sz w:val="24"/>
          <w:szCs w:val="28"/>
          <w:rtl/>
        </w:rPr>
      </w:pPr>
    </w:p>
    <w:p w14:paraId="6E220A6E" w14:textId="77777777" w:rsidR="007A604C" w:rsidRDefault="007A604C">
      <w:pPr>
        <w:spacing w:after="0" w:line="360" w:lineRule="auto"/>
        <w:ind w:firstLine="284"/>
        <w:jc w:val="both"/>
        <w:rPr>
          <w:rFonts w:ascii="Times New Roman" w:hAnsi="Times New Roman" w:cs="Simplified Arabic"/>
          <w:sz w:val="24"/>
          <w:szCs w:val="28"/>
          <w:rtl/>
        </w:rPr>
      </w:pPr>
    </w:p>
    <w:p w14:paraId="2AF71806" w14:textId="77777777" w:rsidR="007A604C" w:rsidRDefault="007A604C">
      <w:pPr>
        <w:spacing w:after="0" w:line="360" w:lineRule="auto"/>
        <w:rPr>
          <w:rFonts w:ascii="Simplified Arabic" w:hAnsi="Simplified Arabic" w:cs="PT Bold Heading"/>
          <w:sz w:val="48"/>
          <w:szCs w:val="48"/>
          <w:rtl/>
        </w:rPr>
      </w:pPr>
      <w:bookmarkStart w:id="3" w:name="_Hlk200813560"/>
      <w:bookmarkEnd w:id="2"/>
    </w:p>
    <w:p w14:paraId="64615925" w14:textId="77777777" w:rsidR="007A604C" w:rsidRDefault="00000000">
      <w:pPr>
        <w:spacing w:after="0" w:line="360" w:lineRule="auto"/>
        <w:jc w:val="center"/>
        <w:rPr>
          <w:rFonts w:ascii="Simplified Arabic" w:hAnsi="Simplified Arabic" w:cs="PT Bold Heading"/>
          <w:sz w:val="48"/>
          <w:szCs w:val="48"/>
          <w:rtl/>
        </w:rPr>
      </w:pPr>
      <w:r>
        <w:rPr>
          <w:rFonts w:ascii="Simplified Arabic" w:hAnsi="Simplified Arabic" w:cs="PT Bold Heading"/>
          <w:sz w:val="48"/>
          <w:szCs w:val="48"/>
          <w:rtl/>
        </w:rPr>
        <w:t>الفصل الثاني</w:t>
      </w:r>
    </w:p>
    <w:p w14:paraId="05A5DEC6" w14:textId="77777777" w:rsidR="007A604C" w:rsidRDefault="00000000">
      <w:pPr>
        <w:spacing w:after="0" w:line="360" w:lineRule="auto"/>
        <w:jc w:val="center"/>
        <w:rPr>
          <w:rFonts w:ascii="Simplified Arabic" w:hAnsi="Simplified Arabic" w:cs="PT Bold Heading"/>
          <w:sz w:val="48"/>
          <w:szCs w:val="48"/>
          <w:rtl/>
        </w:rPr>
      </w:pPr>
      <w:r>
        <w:rPr>
          <w:rFonts w:ascii="Simplified Arabic" w:hAnsi="Simplified Arabic" w:cs="PT Bold Heading"/>
          <w:sz w:val="48"/>
          <w:szCs w:val="48"/>
          <w:rtl/>
        </w:rPr>
        <w:t>الإطار النظري والدراسات السابقة</w:t>
      </w:r>
    </w:p>
    <w:p w14:paraId="47600ED9" w14:textId="77777777" w:rsidR="007A604C" w:rsidRDefault="007A604C">
      <w:pPr>
        <w:spacing w:after="0" w:line="360" w:lineRule="auto"/>
        <w:jc w:val="center"/>
        <w:rPr>
          <w:rFonts w:ascii="Simplified Arabic" w:hAnsi="Simplified Arabic" w:cs="PT Bold Heading"/>
          <w:sz w:val="48"/>
          <w:szCs w:val="48"/>
          <w:rtl/>
        </w:rPr>
      </w:pPr>
    </w:p>
    <w:p w14:paraId="4B266828" w14:textId="77777777" w:rsidR="007A604C" w:rsidRDefault="00000000">
      <w:pPr>
        <w:numPr>
          <w:ilvl w:val="0"/>
          <w:numId w:val="2"/>
        </w:numPr>
        <w:spacing w:after="0" w:line="360" w:lineRule="auto"/>
        <w:contextualSpacing/>
        <w:rPr>
          <w:rFonts w:ascii="Simplified Arabic" w:hAnsi="Simplified Arabic" w:cs="PT Bold Heading"/>
          <w:sz w:val="36"/>
          <w:szCs w:val="36"/>
          <w:rtl/>
        </w:rPr>
      </w:pPr>
      <w:r>
        <w:rPr>
          <w:rFonts w:ascii="Simplified Arabic" w:hAnsi="Simplified Arabic" w:cs="PT Bold Heading"/>
          <w:sz w:val="36"/>
          <w:szCs w:val="36"/>
          <w:rtl/>
        </w:rPr>
        <w:t>مقدمة</w:t>
      </w:r>
    </w:p>
    <w:p w14:paraId="1B76B1C2" w14:textId="77777777" w:rsidR="007A604C" w:rsidRDefault="007A604C">
      <w:pPr>
        <w:spacing w:after="0" w:line="360" w:lineRule="auto"/>
        <w:ind w:left="1077"/>
        <w:rPr>
          <w:rFonts w:ascii="Simplified Arabic" w:hAnsi="Simplified Arabic" w:cs="PT Bold Heading"/>
          <w:sz w:val="2"/>
          <w:szCs w:val="2"/>
          <w:rtl/>
        </w:rPr>
      </w:pPr>
    </w:p>
    <w:p w14:paraId="338E102E" w14:textId="77777777" w:rsidR="007A604C" w:rsidRDefault="00000000">
      <w:pPr>
        <w:numPr>
          <w:ilvl w:val="0"/>
          <w:numId w:val="2"/>
        </w:numPr>
        <w:spacing w:after="0" w:line="360" w:lineRule="auto"/>
        <w:contextualSpacing/>
        <w:rPr>
          <w:rFonts w:ascii="Simplified Arabic" w:hAnsi="Simplified Arabic" w:cs="PT Bold Heading"/>
          <w:sz w:val="36"/>
          <w:szCs w:val="36"/>
          <w:rtl/>
        </w:rPr>
      </w:pPr>
      <w:r>
        <w:rPr>
          <w:rFonts w:ascii="Simplified Arabic" w:hAnsi="Simplified Arabic" w:cs="PT Bold Heading"/>
          <w:sz w:val="36"/>
          <w:szCs w:val="36"/>
          <w:rtl/>
        </w:rPr>
        <w:t xml:space="preserve">المحور الأول: الدراسات السابقة </w:t>
      </w:r>
    </w:p>
    <w:p w14:paraId="6C0F9118" w14:textId="77777777" w:rsidR="007A604C" w:rsidRDefault="007A604C">
      <w:pPr>
        <w:spacing w:after="0" w:line="360" w:lineRule="auto"/>
        <w:ind w:left="1077"/>
        <w:rPr>
          <w:rFonts w:ascii="Simplified Arabic" w:hAnsi="Simplified Arabic" w:cs="PT Bold Heading"/>
          <w:sz w:val="2"/>
          <w:szCs w:val="2"/>
          <w:rtl/>
        </w:rPr>
      </w:pPr>
    </w:p>
    <w:p w14:paraId="2C3E4480" w14:textId="77777777" w:rsidR="007A604C" w:rsidRDefault="00000000">
      <w:pPr>
        <w:numPr>
          <w:ilvl w:val="0"/>
          <w:numId w:val="2"/>
        </w:numPr>
        <w:spacing w:after="0" w:line="360" w:lineRule="auto"/>
        <w:contextualSpacing/>
        <w:rPr>
          <w:rFonts w:ascii="Simplified Arabic" w:hAnsi="Simplified Arabic" w:cs="PT Bold Heading"/>
          <w:sz w:val="36"/>
          <w:szCs w:val="36"/>
          <w:rtl/>
        </w:rPr>
      </w:pPr>
      <w:r>
        <w:rPr>
          <w:rFonts w:ascii="Simplified Arabic" w:hAnsi="Simplified Arabic" w:cs="PT Bold Heading"/>
          <w:sz w:val="36"/>
          <w:szCs w:val="36"/>
          <w:rtl/>
        </w:rPr>
        <w:t>المحور الثاني: الإطار النظري للدراسة</w:t>
      </w:r>
    </w:p>
    <w:bookmarkEnd w:id="3"/>
    <w:p w14:paraId="6BD6A2DC" w14:textId="77777777" w:rsidR="007A604C" w:rsidRDefault="007A604C">
      <w:pPr>
        <w:spacing w:after="0" w:line="360" w:lineRule="auto"/>
        <w:jc w:val="center"/>
        <w:rPr>
          <w:rFonts w:ascii="Simplified Arabic" w:hAnsi="Simplified Arabic" w:cs="PT Bold Heading"/>
          <w:sz w:val="42"/>
          <w:szCs w:val="42"/>
          <w:rtl/>
        </w:rPr>
      </w:pPr>
    </w:p>
    <w:p w14:paraId="2432D340" w14:textId="77777777" w:rsidR="007A604C" w:rsidRDefault="00000000">
      <w:pPr>
        <w:spacing w:after="0" w:line="360" w:lineRule="auto"/>
        <w:ind w:firstLine="284"/>
        <w:jc w:val="center"/>
        <w:rPr>
          <w:rFonts w:ascii="Simplified Arabic" w:hAnsi="Simplified Arabic" w:cs="Simplified Arabic"/>
          <w:sz w:val="28"/>
          <w:szCs w:val="28"/>
          <w:lang w:bidi="ar-EG"/>
        </w:rPr>
      </w:pPr>
      <w:r>
        <w:rPr>
          <w:rFonts w:ascii="Simplified Arabic" w:hAnsi="Simplified Arabic" w:cs="PT Bold Heading"/>
          <w:sz w:val="48"/>
          <w:szCs w:val="48"/>
          <w:rtl/>
        </w:rPr>
        <w:br w:type="page"/>
      </w:r>
    </w:p>
    <w:p w14:paraId="4CDF0582" w14:textId="77777777" w:rsidR="007A604C" w:rsidRDefault="00000000">
      <w:pPr>
        <w:spacing w:after="0" w:line="360" w:lineRule="auto"/>
        <w:jc w:val="center"/>
        <w:rPr>
          <w:rFonts w:ascii="Simplified Arabic" w:hAnsi="Simplified Arabic" w:cs="PT Bold Heading"/>
          <w:sz w:val="32"/>
          <w:szCs w:val="32"/>
          <w:rtl/>
        </w:rPr>
      </w:pPr>
      <w:r>
        <w:rPr>
          <w:rFonts w:ascii="Simplified Arabic" w:hAnsi="Simplified Arabic" w:cs="PT Bold Heading"/>
          <w:sz w:val="32"/>
          <w:szCs w:val="32"/>
          <w:rtl/>
        </w:rPr>
        <w:lastRenderedPageBreak/>
        <w:t>الفصل الثاني</w:t>
      </w:r>
    </w:p>
    <w:p w14:paraId="22E31C1A" w14:textId="77777777" w:rsidR="007A604C" w:rsidRDefault="00000000">
      <w:pPr>
        <w:spacing w:after="0" w:line="360" w:lineRule="auto"/>
        <w:jc w:val="center"/>
        <w:rPr>
          <w:rFonts w:ascii="Simplified Arabic" w:hAnsi="Simplified Arabic" w:cs="PT Bold Heading"/>
          <w:sz w:val="32"/>
          <w:szCs w:val="32"/>
          <w:rtl/>
        </w:rPr>
      </w:pPr>
      <w:r>
        <w:rPr>
          <w:rFonts w:ascii="Simplified Arabic" w:hAnsi="Simplified Arabic" w:cs="PT Bold Heading"/>
          <w:sz w:val="32"/>
          <w:szCs w:val="32"/>
          <w:rtl/>
        </w:rPr>
        <w:t>الإطار النظري والدراسات السابقة</w:t>
      </w:r>
    </w:p>
    <w:p w14:paraId="7DB9DD0B" w14:textId="77777777" w:rsidR="007A604C" w:rsidRDefault="007A604C">
      <w:pPr>
        <w:spacing w:after="0" w:line="360" w:lineRule="auto"/>
        <w:ind w:firstLine="284"/>
        <w:jc w:val="both"/>
        <w:rPr>
          <w:rFonts w:ascii="Times New Roman" w:hAnsi="Times New Roman" w:cs="Simplified Arabic"/>
          <w:b/>
          <w:bCs/>
          <w:sz w:val="24"/>
          <w:szCs w:val="28"/>
          <w:rtl/>
        </w:rPr>
      </w:pPr>
    </w:p>
    <w:p w14:paraId="5E61F9C3" w14:textId="77777777" w:rsidR="007A604C" w:rsidRDefault="00000000">
      <w:pPr>
        <w:spacing w:after="0" w:line="360" w:lineRule="auto"/>
        <w:ind w:firstLine="284"/>
        <w:jc w:val="both"/>
        <w:rPr>
          <w:rFonts w:ascii="Times New Roman" w:hAnsi="Times New Roman" w:cs="Simplified Arabic"/>
          <w:b/>
          <w:bCs/>
          <w:sz w:val="24"/>
          <w:szCs w:val="28"/>
        </w:rPr>
      </w:pPr>
      <w:r>
        <w:rPr>
          <w:rFonts w:ascii="Times New Roman" w:hAnsi="Times New Roman" w:cs="Simplified Arabic"/>
          <w:b/>
          <w:bCs/>
          <w:sz w:val="24"/>
          <w:szCs w:val="28"/>
          <w:rtl/>
        </w:rPr>
        <w:t>مقدمة</w:t>
      </w:r>
    </w:p>
    <w:p w14:paraId="6FB796F6"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يستعرض هذا الفصل الرصيد المعرفي والبحثي الذي تناول متغيرات الدراسة، حيث يسلط الضوء على الجهود العلمية السابقة التي قاربت العلاقة بين تقنيات الذكاء الاصطناعي والميزة التنافسية، وذلك من خلال رصد النتائج والمنهجيات المتبعة في بيئات جغرافية متنوعة، مما يساهم في تحديد الفجوة البحثية وتموضع الدراسة الحالية. </w:t>
      </w:r>
    </w:p>
    <w:p w14:paraId="7127557F" w14:textId="77777777" w:rsidR="007A604C" w:rsidRDefault="007A604C">
      <w:pPr>
        <w:spacing w:after="0" w:line="360" w:lineRule="auto"/>
        <w:ind w:firstLine="510"/>
        <w:jc w:val="both"/>
        <w:rPr>
          <w:rFonts w:ascii="Times New Roman" w:hAnsi="Times New Roman" w:cs="Simplified Arabic"/>
          <w:sz w:val="24"/>
          <w:szCs w:val="28"/>
          <w:rtl/>
        </w:rPr>
      </w:pPr>
    </w:p>
    <w:p w14:paraId="0D07EC57" w14:textId="77777777" w:rsidR="007A604C" w:rsidRDefault="00000000">
      <w:pPr>
        <w:spacing w:after="0" w:line="360" w:lineRule="auto"/>
        <w:ind w:firstLine="510"/>
        <w:jc w:val="center"/>
        <w:rPr>
          <w:rFonts w:ascii="Times New Roman" w:hAnsi="Times New Roman" w:cs="Simplified Arabic"/>
          <w:b/>
          <w:bCs/>
          <w:sz w:val="28"/>
          <w:szCs w:val="32"/>
          <w:rtl/>
        </w:rPr>
      </w:pPr>
      <w:r>
        <w:rPr>
          <w:rFonts w:ascii="Times New Roman" w:hAnsi="Times New Roman" w:cs="Simplified Arabic"/>
          <w:b/>
          <w:bCs/>
          <w:sz w:val="28"/>
          <w:szCs w:val="32"/>
          <w:rtl/>
        </w:rPr>
        <w:t>المحور الأول: الدراسات السابقة</w:t>
      </w:r>
    </w:p>
    <w:p w14:paraId="04027B2F"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أولاً: دراسات محلية</w:t>
      </w:r>
    </w:p>
    <w:p w14:paraId="6E3C68AD" w14:textId="77777777" w:rsidR="007A604C" w:rsidRDefault="00000000">
      <w:pPr>
        <w:numPr>
          <w:ilvl w:val="0"/>
          <w:numId w:val="13"/>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فتحي</w:t>
      </w:r>
      <w:r>
        <w:rPr>
          <w:rFonts w:ascii="Times New Roman" w:hAnsi="Times New Roman" w:cs="Simplified Arabic"/>
          <w:sz w:val="24"/>
          <w:szCs w:val="28"/>
          <w:rtl/>
        </w:rPr>
        <w:t xml:space="preserve"> (2021، المملكة العربية السعودية، بعنوان "دور الذكاء الاصطناعي في تطوير العمليات التأمينية وتحسين القدرة التنافسية"، والتي هدفت إلى الكشف عن واقع تبني تقنيات الذكاء الاصطناعي في شركات التأمين السعودية وأثر ذلك على قدرتها التنافسية، حيث اعتمدت الدراسة على المنهج الوصفي التحليلي، واستخدمت الاستبانة كأداة لجمع البيانات من عينة بلغت (142) من المديرين والكوادر الفنية، وتوصلت النتائج إلى وجود مستوى مرتفع من الوعي بأهمية الذكاء الاصطناعي، كما أثبتت وجود أثر ذو دلالة إحصائية للتقنيات الذكية في تحسين دقة الاكتتاب وتقليل الهدر المالي، مما ساهم بشكل مباشر في تعزيز التميز التنافسي، وكان من أبرز توصياتها ضرورة استثمار شركات التأمين في تدريب الكوادر الوطنية على خوارزميات تحليل المخاطر الرقمية.</w:t>
      </w:r>
    </w:p>
    <w:p w14:paraId="1E88B44E" w14:textId="77777777" w:rsidR="007A604C" w:rsidRDefault="00000000">
      <w:pPr>
        <w:numPr>
          <w:ilvl w:val="0"/>
          <w:numId w:val="13"/>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lastRenderedPageBreak/>
        <w:t xml:space="preserve">دراسة </w:t>
      </w:r>
      <w:r>
        <w:rPr>
          <w:rFonts w:ascii="Times New Roman" w:hAnsi="Times New Roman" w:cs="Simplified Arabic"/>
          <w:b/>
          <w:bCs/>
          <w:sz w:val="24"/>
          <w:szCs w:val="28"/>
          <w:rtl/>
        </w:rPr>
        <w:t>بن عبد الله</w:t>
      </w:r>
      <w:r>
        <w:rPr>
          <w:rFonts w:ascii="Times New Roman" w:hAnsi="Times New Roman" w:cs="Simplified Arabic"/>
          <w:sz w:val="24"/>
          <w:szCs w:val="28"/>
          <w:rtl/>
        </w:rPr>
        <w:t xml:space="preserve"> (2022، المملكة العربية السعودية، بعنوان "الاستراتيجيات الرقمية ودورها في تحقيق الميزة التنافسية لشركات التأمين"، حيث ركزت الدراسة على تحليل العلاقة بين التوجه الاستراتيجي نحو الرقمنة وبين التفوق في السوق، واتبعت الدراسة المنهج الوصفي الارتباطي، وطبقت أداة الاستبانة على عينة قوامها (210) موظفاً في قطاعات الإدارة العليا والوسطى، وأظهرت النتائج أن الاستراتيجيات الرقمية تساهم في تفسير جزء كبير من التباين في الميزة التنافسية، خاصة فيما يتعلق بخفض التكاليف التشغيلية وسرعة الوصول للعملاء، وأوصت الدراسة بضرورة صياغة إطار تنظيمي يدعم الابتكار الرقمي في صناعة التأمين لمواجهة المنافسة الوافدة.</w:t>
      </w:r>
    </w:p>
    <w:p w14:paraId="7D79C6C2" w14:textId="77777777" w:rsidR="007A604C" w:rsidRDefault="00000000">
      <w:pPr>
        <w:numPr>
          <w:ilvl w:val="0"/>
          <w:numId w:val="13"/>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الأسدودي</w:t>
      </w:r>
      <w:r>
        <w:rPr>
          <w:rFonts w:ascii="Times New Roman" w:hAnsi="Times New Roman" w:cs="Simplified Arabic"/>
          <w:sz w:val="24"/>
          <w:szCs w:val="28"/>
          <w:rtl/>
        </w:rPr>
        <w:t xml:space="preserve"> (2023، المملكة العربية السعودية، بعنوان "تطبيق آليات الذكاء الاصطناعي في التسويق الرقمي وآثارها في تحقيق المزايا التنافسية — دراسة ميدانية على الخبراء"، وهدفت الدراسة إلى رصد كيفية توظيف تقنيات تعلم الآلة ومعالجة اللغات في تحسين العمليات التسويقية للخدمات المالية، واعتمدت المنهج الوصفي من خلال استبانة وزعت على (185) خبيراً في مجالي التقنية والتسويق، وخلصت النتائج إلى أن الأتمتة الذكية ساهمت في تخصيص العروض التأمينية بما يتناسب مع احتياجات كل عميل، مما أدى إلى رفع مستوى الولاء وتحقيق سبق تنافسي، وأبرزت التوصيات أهمية دمج البيانات الضخمة في صياغة الحملات التسويقية لشركات التأمين.</w:t>
      </w:r>
    </w:p>
    <w:p w14:paraId="43CB0A0C" w14:textId="77777777" w:rsidR="007A604C" w:rsidRDefault="00000000">
      <w:pPr>
        <w:numPr>
          <w:ilvl w:val="0"/>
          <w:numId w:val="13"/>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إبراهيم وآخرون</w:t>
      </w:r>
      <w:r>
        <w:rPr>
          <w:rFonts w:ascii="Times New Roman" w:hAnsi="Times New Roman" w:cs="Simplified Arabic"/>
          <w:sz w:val="24"/>
          <w:szCs w:val="28"/>
          <w:rtl/>
        </w:rPr>
        <w:t xml:space="preserve"> (2024، المملكة العربية السعودية، بعنوان "أثر التكامل بين تقنيات الذكاء الاصطناعي ونظام محاسبة المسئولية في تحقيق الميزة التنافسية للشركات: دراسة ميدانية"، والتي سعت إلى استكشاف دور التوافق بين التقنيات الذكية والرقابة المحاسبية في تعزيز الأداء التنافسي، واستخدمت الدراسة المنهج الوصفي التحليلي مع الاستبانة كأداة </w:t>
      </w:r>
      <w:r>
        <w:rPr>
          <w:rFonts w:ascii="Times New Roman" w:hAnsi="Times New Roman" w:cs="Simplified Arabic"/>
          <w:sz w:val="24"/>
          <w:szCs w:val="28"/>
          <w:rtl/>
        </w:rPr>
        <w:lastRenderedPageBreak/>
        <w:t>رئيسة، وطبقت على عينة بلغت (315) مهنياً في القطاع المالي، وبينت النتائج أن الذكاء الاصطناعي يعزز من كفاءة نظام محاسبة المسؤولية عبر توفير بيانات لحظية دقيقة، مما يدعم اتخاذ القرارات الاستراتيجية المحققة للميزة التنافسية، وأوصت بضرورة تبني معايير تقنية موحدة لدمج الذكاء الاصطناعي في الأنظمة الرقابية للشركات.</w:t>
      </w:r>
    </w:p>
    <w:p w14:paraId="5F4D34B7"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ثانياً: دراسات عربية</w:t>
      </w:r>
    </w:p>
    <w:p w14:paraId="2FEC3FD3" w14:textId="77777777" w:rsidR="007A604C" w:rsidRDefault="00000000">
      <w:pPr>
        <w:numPr>
          <w:ilvl w:val="0"/>
          <w:numId w:val="14"/>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المخلافي</w:t>
      </w:r>
      <w:r>
        <w:rPr>
          <w:rFonts w:ascii="Times New Roman" w:hAnsi="Times New Roman" w:cs="Simplified Arabic"/>
          <w:sz w:val="24"/>
          <w:szCs w:val="28"/>
          <w:rtl/>
        </w:rPr>
        <w:t xml:space="preserve"> (2025، اليمن، بعنوان "أثر الذكاء الاستراتيجي في تحقيق الميزة التنافسية بالتطبيق على شركات الاتصالات اليمنية"، وهدفت إلى قياس مدى مساهمة مكونات الذكاء الاستراتيجي في التميز التنافسي، واتبعت المنهج الوصفي التحليلي باستخدام استبانة وزعت على (264) قيادياً، وأثبتت النتائج وجود أثر معنوي للذكاء الاستراتيجي بكافة أبعاده في الميزة التنافسية، خاصة بُعد الاستشراف التكنولوجي، وأوصت بضرورة تأسيس وحدات إدارية متخصصة بالذكاء الاستراتيجي لمواكبة تقلبات السوق.</w:t>
      </w:r>
    </w:p>
    <w:p w14:paraId="15595859" w14:textId="77777777" w:rsidR="007A604C" w:rsidRDefault="00000000">
      <w:pPr>
        <w:numPr>
          <w:ilvl w:val="0"/>
          <w:numId w:val="14"/>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خشبة</w:t>
      </w:r>
      <w:r>
        <w:rPr>
          <w:rFonts w:ascii="Times New Roman" w:hAnsi="Times New Roman" w:cs="Simplified Arabic"/>
          <w:sz w:val="24"/>
          <w:szCs w:val="28"/>
          <w:rtl/>
        </w:rPr>
        <w:t xml:space="preserve"> (2024، مصر، بعنوان "دور تقنيات التسويق الرقمي الموجهة بالذكاء الاصطناعي في الميزة التنافسية في مصر: دراسة ميدانية على عملاء المتاجر الإلكترونية"، واستهدفت تحليل دور الخوارزميات الذكية في تشكيل تفضيلات المستهلكين، واعتمدت المنهج الوصفي من خلال استقصاء آراء (380) مستخدماً، وتوصلت إلى أن التوصيات الآلية القائمة على الذكاء الاصطناعي تزيد من كفاءة التسويق والقدرة على المنافسة، وأوصت بتطوير البنية التحتية المعلوماتية للشركات لدعم تطبيقات الذكاء الاصطناعي.</w:t>
      </w:r>
    </w:p>
    <w:p w14:paraId="1F9F07E1" w14:textId="77777777" w:rsidR="007A604C" w:rsidRDefault="00000000">
      <w:pPr>
        <w:numPr>
          <w:ilvl w:val="0"/>
          <w:numId w:val="14"/>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خفوس</w:t>
      </w:r>
      <w:r>
        <w:rPr>
          <w:rFonts w:ascii="Times New Roman" w:hAnsi="Times New Roman" w:cs="Simplified Arabic"/>
          <w:sz w:val="24"/>
          <w:szCs w:val="28"/>
          <w:rtl/>
        </w:rPr>
        <w:t xml:space="preserve"> (2024، الجزائر، بعنوان "مساهمة تطبيقات الذكاء الاصطناعي في تطوير قطاع التأمين"، وهدفت لتقييم أثر التقنيات الحديثة في كفاءة العمليات التأمينية، واتبعت المنهج الوصفي الاستكشافي عبر دراسة حالة، وخلصت إلى أن الذكاء الاصطناعي يقلل </w:t>
      </w:r>
      <w:r>
        <w:rPr>
          <w:rFonts w:ascii="Times New Roman" w:hAnsi="Times New Roman" w:cs="Simplified Arabic"/>
          <w:sz w:val="24"/>
          <w:szCs w:val="28"/>
          <w:rtl/>
        </w:rPr>
        <w:lastRenderedPageBreak/>
        <w:t>من هامش الخطأ في تقدير الأضرار ويسرع تسوية المطالبات، مما ينعكس إيجاباً على سمعة الشركة وتنافسيتها، وأوصت بالتوجه نحو الاستثمار في نظم الخبرة لتعزيز الاكتتاب الآلي.</w:t>
      </w:r>
    </w:p>
    <w:p w14:paraId="32FE0966" w14:textId="77777777" w:rsidR="007A604C" w:rsidRDefault="00000000">
      <w:pPr>
        <w:numPr>
          <w:ilvl w:val="0"/>
          <w:numId w:val="14"/>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سليمان سبع</w:t>
      </w:r>
      <w:r>
        <w:rPr>
          <w:rFonts w:ascii="Times New Roman" w:hAnsi="Times New Roman" w:cs="Simplified Arabic"/>
          <w:sz w:val="24"/>
          <w:szCs w:val="28"/>
          <w:rtl/>
        </w:rPr>
        <w:t xml:space="preserve"> (2024، مصر، بعنوان "تأثير تطبيقات الذكاء الاصطناعي على الميزة التنافسية: الدور الوسيط للقدرة الاستيعابية — دراسة تطبيقية على البنوك التجارية بمدينة المنصورة"، وهدفت لفحص كيفية تأثير الذكاء الاصطناعي عبر قناة القدرة الاستيعابية، واعتمدت المنهج الوصفي التحليلي على عينة من (290) موظفاً، وبينت النتائج أن القدرة الاستيعابية للبيانات والتقنية تتوسط العلاقة بين الذكاء الاصطناعي والميزة التنافسية بشكل كامل، وأوصت بضرورة رفع كفاءة الموارد البشرية لاستيعاب المستجدات التقنية.</w:t>
      </w:r>
    </w:p>
    <w:p w14:paraId="56BB4C8B" w14:textId="77777777" w:rsidR="007A604C" w:rsidRDefault="00000000">
      <w:pPr>
        <w:numPr>
          <w:ilvl w:val="0"/>
          <w:numId w:val="14"/>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محمود وآخرون</w:t>
      </w:r>
      <w:r>
        <w:rPr>
          <w:rFonts w:ascii="Times New Roman" w:hAnsi="Times New Roman" w:cs="Simplified Arabic"/>
          <w:sz w:val="24"/>
          <w:szCs w:val="28"/>
          <w:rtl/>
        </w:rPr>
        <w:t xml:space="preserve"> (2024، مصر، بعنوان "تحقيق الميزة التنافسية لمؤسسات التعليم الأساسي في ضوء تطبيقات الذكاء الاصطناعي"، وهدفت لتقديم تصور مقترح للتميز التنافسي عبر الرقمية، واعتمدت المنهج الوصفي، وتوصلت إلى أن توظيف الذكاء الاصطناعي في العمليات الإدارية والفنية يساهم في تحسين جودة المخرجات ورفع الكفاءة التنافسية، وأوصت بوضع استراتيجية وطنية لدمج الذكاء الاصطناعي في كافة القطاعات الخدمية.</w:t>
      </w:r>
    </w:p>
    <w:p w14:paraId="6A745D11" w14:textId="77777777" w:rsidR="007A604C" w:rsidRDefault="00000000">
      <w:pPr>
        <w:numPr>
          <w:ilvl w:val="0"/>
          <w:numId w:val="14"/>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مزوز</w:t>
      </w:r>
      <w:r>
        <w:rPr>
          <w:rFonts w:ascii="Times New Roman" w:hAnsi="Times New Roman" w:cs="Simplified Arabic"/>
          <w:sz w:val="24"/>
          <w:szCs w:val="28"/>
          <w:rtl/>
        </w:rPr>
        <w:t xml:space="preserve"> (2023، الجزائر، بعنوان "أثر التوجه نحو الذكاء الاصطناعي في تعزيز الأداء الابتكاري لشركات التأمين الجزائرية"، وهدفت لتحديد العلاقة بين التبني التقني والقدرة على الابتكار، واعتمدت المنهج الوصفي التحليلي عبر استبانة وزعت على (95) إطاراً في شركات التأمين، وأظهرت النتائج وجود علاقة طردية قوية بين التوجه للذكاء الاصطناعي </w:t>
      </w:r>
      <w:r>
        <w:rPr>
          <w:rFonts w:ascii="Times New Roman" w:hAnsi="Times New Roman" w:cs="Simplified Arabic"/>
          <w:sz w:val="24"/>
          <w:szCs w:val="28"/>
          <w:rtl/>
        </w:rPr>
        <w:lastRenderedPageBreak/>
        <w:t>والابتكار في الخدمات، وأوصت بضرورة تحديث النظم المعلوماتية لتدعم التحليل المتقدم للبيانات.</w:t>
      </w:r>
    </w:p>
    <w:p w14:paraId="0D233696" w14:textId="77777777" w:rsidR="007A604C" w:rsidRDefault="00000000">
      <w:pPr>
        <w:numPr>
          <w:ilvl w:val="0"/>
          <w:numId w:val="14"/>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جاد</w:t>
      </w:r>
      <w:r>
        <w:rPr>
          <w:rFonts w:ascii="Times New Roman" w:hAnsi="Times New Roman" w:cs="Simplified Arabic"/>
          <w:sz w:val="24"/>
          <w:szCs w:val="28"/>
          <w:rtl/>
        </w:rPr>
        <w:t xml:space="preserve"> (2023، مصر، بعنوان "أثر توظيف تطبيقات الذكاء الاصطناعي في تحسين جودة الخدمات التأمينية"، وهدفت لرصد أثر الرقمنة الذكية على رضا العملاء كبُعد تنافسي، واستخدمت المنهج الوصفي على عينة من (320) عميلاً وموظفاً، ووجدت أن الشات بوت (</w:t>
      </w:r>
      <w:r>
        <w:rPr>
          <w:rFonts w:ascii="Times New Roman" w:hAnsi="Times New Roman" w:cs="Simplified Arabic"/>
          <w:sz w:val="24"/>
          <w:szCs w:val="28"/>
        </w:rPr>
        <w:t>Chatbots</w:t>
      </w:r>
      <w:r>
        <w:rPr>
          <w:rFonts w:ascii="Times New Roman" w:hAnsi="Times New Roman" w:cs="Simplified Arabic"/>
          <w:sz w:val="24"/>
          <w:szCs w:val="28"/>
          <w:rtl/>
        </w:rPr>
        <w:t>) والأنظمة الخبيرة أدت إلى تحسين وقت الاستجابة بنسبة كبيرة، مما عزز الموقع التنافسي للشركة، وأوصت بضرورة تبني استراتيجية "العميل أولاً" عبر أدوات الذكاء الاصطناعي.</w:t>
      </w:r>
    </w:p>
    <w:p w14:paraId="1AF1D111" w14:textId="77777777" w:rsidR="007A604C" w:rsidRDefault="007A604C">
      <w:pPr>
        <w:spacing w:after="0" w:line="360" w:lineRule="auto"/>
        <w:ind w:firstLine="510"/>
        <w:jc w:val="both"/>
        <w:rPr>
          <w:rFonts w:ascii="Times New Roman" w:hAnsi="Times New Roman" w:cs="Simplified Arabic"/>
          <w:sz w:val="2"/>
          <w:szCs w:val="4"/>
          <w:rtl/>
        </w:rPr>
      </w:pPr>
    </w:p>
    <w:p w14:paraId="49EE31F9"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ثالثاً: دراسات أجنبية (</w:t>
      </w:r>
      <w:r>
        <w:rPr>
          <w:rFonts w:ascii="Times New Roman" w:hAnsi="Times New Roman" w:cs="Simplified Arabic"/>
          <w:b/>
          <w:bCs/>
          <w:sz w:val="24"/>
          <w:szCs w:val="28"/>
        </w:rPr>
        <w:t>Foreign Studies</w:t>
      </w:r>
      <w:r>
        <w:rPr>
          <w:rFonts w:ascii="Times New Roman" w:hAnsi="Times New Roman" w:cs="Simplified Arabic"/>
          <w:b/>
          <w:bCs/>
          <w:sz w:val="24"/>
          <w:szCs w:val="28"/>
          <w:rtl/>
        </w:rPr>
        <w:t>)</w:t>
      </w:r>
    </w:p>
    <w:p w14:paraId="51FFEB28" w14:textId="77777777" w:rsidR="007A604C" w:rsidRDefault="00000000">
      <w:pPr>
        <w:numPr>
          <w:ilvl w:val="0"/>
          <w:numId w:val="15"/>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بهاتاشاريا وآخرون</w:t>
      </w:r>
      <w:r>
        <w:rPr>
          <w:rFonts w:ascii="Times New Roman" w:hAnsi="Times New Roman" w:cs="Simplified Arabic"/>
          <w:sz w:val="24"/>
          <w:szCs w:val="28"/>
          <w:rtl/>
        </w:rPr>
        <w:t xml:space="preserve"> (</w:t>
      </w:r>
      <w:r>
        <w:rPr>
          <w:rFonts w:ascii="Times New Roman" w:hAnsi="Times New Roman" w:cs="Simplified Arabic"/>
          <w:sz w:val="24"/>
          <w:szCs w:val="28"/>
        </w:rPr>
        <w:t>Bhattacharya et al., 2025</w:t>
      </w:r>
      <w:r>
        <w:rPr>
          <w:rFonts w:ascii="Times New Roman" w:hAnsi="Times New Roman" w:cs="Simplified Arabic"/>
          <w:sz w:val="24"/>
          <w:szCs w:val="28"/>
          <w:rtl/>
        </w:rPr>
        <w:t>)، الولايات المتحدة، بعنوان "</w:t>
      </w:r>
      <w:r>
        <w:rPr>
          <w:rFonts w:ascii="Times New Roman" w:hAnsi="Times New Roman" w:cs="Simplified Arabic"/>
          <w:sz w:val="24"/>
          <w:szCs w:val="28"/>
        </w:rPr>
        <w:t>AI revolution in insurance: Bridging research and reality</w:t>
      </w:r>
      <w:r>
        <w:rPr>
          <w:rFonts w:ascii="Times New Roman" w:hAnsi="Times New Roman" w:cs="Simplified Arabic"/>
          <w:sz w:val="24"/>
          <w:szCs w:val="28"/>
          <w:rtl/>
        </w:rPr>
        <w:t>" (ثورة الذكاء الاصطناعي في التأمين: التجسير بين البحث والواقع)، حيث هدفت الدراسة إلى تحليل الفجوة بين النظريات الأكاديمية والتطبيقات الواقعية للذكاء الاصطناعي في قطاعات تأمين الممتلكات والصحة، واتبعت الدراسة المنهج الوصفي التحليلي القائم على مراجعة الأدبيات المنهجية (</w:t>
      </w:r>
      <w:r>
        <w:rPr>
          <w:rFonts w:ascii="Times New Roman" w:hAnsi="Times New Roman" w:cs="Simplified Arabic"/>
          <w:sz w:val="24"/>
          <w:szCs w:val="28"/>
        </w:rPr>
        <w:t>PRISMA</w:t>
      </w:r>
      <w:r>
        <w:rPr>
          <w:rFonts w:ascii="Times New Roman" w:hAnsi="Times New Roman" w:cs="Simplified Arabic"/>
          <w:sz w:val="24"/>
          <w:szCs w:val="28"/>
          <w:rtl/>
        </w:rPr>
        <w:t>)، وطبقت أداة المسح النوعي للنماذج التشغيلية، وتوصلت النتائج إلى أن الذكاء الاصطناعي أحدث تحولاً جذرياً في دقة تقييم المخاطر، إلاّ أن التحدي يكمن في "حوكمة البيانات" لضمان الشفافية التنافسية، وأوصت الدراسة بضرورة بناء نماذج ذكاء اصطناعي "قابلة للتفسير" لتعزيز ثقة العملاء وضمان الامتثال التنظيمي.</w:t>
      </w:r>
    </w:p>
    <w:p w14:paraId="61ED453B" w14:textId="77777777" w:rsidR="007A604C" w:rsidRDefault="00000000">
      <w:pPr>
        <w:numPr>
          <w:ilvl w:val="0"/>
          <w:numId w:val="15"/>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أكوستا-برادو وآخرون</w:t>
      </w:r>
      <w:r>
        <w:rPr>
          <w:rFonts w:ascii="Times New Roman" w:hAnsi="Times New Roman" w:cs="Simplified Arabic"/>
          <w:sz w:val="24"/>
          <w:szCs w:val="28"/>
          <w:rtl/>
        </w:rPr>
        <w:t xml:space="preserve"> (</w:t>
      </w:r>
      <w:r>
        <w:rPr>
          <w:rFonts w:ascii="Times New Roman" w:hAnsi="Times New Roman" w:cs="Simplified Arabic"/>
          <w:sz w:val="24"/>
          <w:szCs w:val="28"/>
        </w:rPr>
        <w:t>Acosta-Prado et al., 2024</w:t>
      </w:r>
      <w:r>
        <w:rPr>
          <w:rFonts w:ascii="Times New Roman" w:hAnsi="Times New Roman" w:cs="Simplified Arabic"/>
          <w:sz w:val="24"/>
          <w:szCs w:val="28"/>
          <w:rtl/>
        </w:rPr>
        <w:t>)، كولومبيا، بعنوان "</w:t>
      </w:r>
      <w:r>
        <w:rPr>
          <w:rFonts w:ascii="Times New Roman" w:hAnsi="Times New Roman" w:cs="Simplified Arabic"/>
          <w:sz w:val="24"/>
          <w:szCs w:val="28"/>
        </w:rPr>
        <w:t>Three Horizons of Technical Skills in Artificial Intelligence for the Sustainability of Insurance Companies</w:t>
      </w:r>
      <w:r>
        <w:rPr>
          <w:rFonts w:ascii="Times New Roman" w:hAnsi="Times New Roman" w:cs="Simplified Arabic"/>
          <w:sz w:val="24"/>
          <w:szCs w:val="28"/>
          <w:rtl/>
        </w:rPr>
        <w:t xml:space="preserve">" (ثلاثة آفاق للمهارات الفنية في الذكاء الاصطناعي لاستدامة </w:t>
      </w:r>
      <w:r>
        <w:rPr>
          <w:rFonts w:ascii="Times New Roman" w:hAnsi="Times New Roman" w:cs="Simplified Arabic"/>
          <w:sz w:val="24"/>
          <w:szCs w:val="28"/>
          <w:rtl/>
        </w:rPr>
        <w:lastRenderedPageBreak/>
        <w:t>شركات التأمين)، وهدفت الدراسة إلى تحديد المهارات التقنية اللازمة لضمان استدامة الميزة التنافسية، واتبعت المنهج الوصفي الاستكشافي، واستخدمت المقابلات المعمقة والاستبانة مع عينة من الخبراء التقنيين، وخلصت النتائج إلى أن الميزة التنافسية المستدامة ترتبط بتكامل المهارات البشرية مع خوارزميات تعلم الآلة، خاصة في الكشف عن الاحتيال وتخصيص التسعير، وأوصت بضرورة تبني استراتيجية "التعلم المستمر" للكوادر البشرية لمواكبة التطور المتسارع في التقنيات الذكية.</w:t>
      </w:r>
    </w:p>
    <w:p w14:paraId="6685D142" w14:textId="77777777" w:rsidR="007A604C" w:rsidRDefault="00000000">
      <w:pPr>
        <w:numPr>
          <w:ilvl w:val="0"/>
          <w:numId w:val="15"/>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رازيا وآخرون</w:t>
      </w:r>
      <w:r>
        <w:rPr>
          <w:rFonts w:ascii="Times New Roman" w:hAnsi="Times New Roman" w:cs="Simplified Arabic"/>
          <w:sz w:val="24"/>
          <w:szCs w:val="28"/>
          <w:rtl/>
        </w:rPr>
        <w:t xml:space="preserve"> (</w:t>
      </w:r>
      <w:r>
        <w:rPr>
          <w:rFonts w:ascii="Times New Roman" w:hAnsi="Times New Roman" w:cs="Simplified Arabic"/>
          <w:sz w:val="24"/>
          <w:szCs w:val="28"/>
        </w:rPr>
        <w:t>Razia et al., 2024</w:t>
      </w:r>
      <w:r>
        <w:rPr>
          <w:rFonts w:ascii="Times New Roman" w:hAnsi="Times New Roman" w:cs="Simplified Arabic"/>
          <w:sz w:val="24"/>
          <w:szCs w:val="28"/>
          <w:rtl/>
        </w:rPr>
        <w:t>)، فلسطين، بعنوان "</w:t>
      </w:r>
      <w:r>
        <w:rPr>
          <w:rFonts w:ascii="Times New Roman" w:hAnsi="Times New Roman" w:cs="Simplified Arabic"/>
          <w:sz w:val="24"/>
          <w:szCs w:val="28"/>
        </w:rPr>
        <w:t>Competitive advantage in light of AI to achieve innovative insurance performance</w:t>
      </w:r>
      <w:r>
        <w:rPr>
          <w:rFonts w:ascii="Times New Roman" w:hAnsi="Times New Roman" w:cs="Simplified Arabic"/>
          <w:sz w:val="24"/>
          <w:szCs w:val="28"/>
          <w:rtl/>
        </w:rPr>
        <w:t>" (الميزة التنافسية في ظل الذكاء الاصطناعي لتحقيق أداء تأميني ابتكاري)، حيث هدفت الدراسة إلى قياس دور الذكاء الاصطناعي في تعزيز التميز التنافسي والابتكار، واتبعت المنهج الوصفي التحليلي، واستخدمت الاستبانة كأداة لجمع البيانات من عينة بلغت (100) مدير ورئيس قسم، وتوصلت النتائج إلى وجود أثر إيجابي طردي ذو دلالة إحصائية لأبعاد الذكاء الاصطناعي في الميزة التنافسية، مما يسهم في ريادة السوق، وأوصت الدراسة بتوسيع الاستثمارات في الأنظمة الذكية وتبني مناهج تسويقية حديثة تعتمد على توقع احتياجات المؤمن لهم.</w:t>
      </w:r>
    </w:p>
    <w:p w14:paraId="36B9AF3D" w14:textId="77777777" w:rsidR="007A604C" w:rsidRDefault="00000000">
      <w:pPr>
        <w:numPr>
          <w:ilvl w:val="0"/>
          <w:numId w:val="15"/>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كراكوفسكي وآخرون</w:t>
      </w:r>
      <w:r>
        <w:rPr>
          <w:rFonts w:ascii="Times New Roman" w:hAnsi="Times New Roman" w:cs="Simplified Arabic"/>
          <w:sz w:val="24"/>
          <w:szCs w:val="28"/>
          <w:rtl/>
        </w:rPr>
        <w:t xml:space="preserve"> (</w:t>
      </w:r>
      <w:r>
        <w:rPr>
          <w:rFonts w:ascii="Times New Roman" w:hAnsi="Times New Roman" w:cs="Simplified Arabic"/>
          <w:sz w:val="24"/>
          <w:szCs w:val="28"/>
        </w:rPr>
        <w:t>Krakowski et al., 2023</w:t>
      </w:r>
      <w:r>
        <w:rPr>
          <w:rFonts w:ascii="Times New Roman" w:hAnsi="Times New Roman" w:cs="Simplified Arabic"/>
          <w:sz w:val="24"/>
          <w:szCs w:val="28"/>
          <w:rtl/>
        </w:rPr>
        <w:t>)، سويسرا، بعنوان "</w:t>
      </w:r>
      <w:r>
        <w:rPr>
          <w:rFonts w:ascii="Times New Roman" w:hAnsi="Times New Roman" w:cs="Simplified Arabic"/>
          <w:sz w:val="24"/>
          <w:szCs w:val="28"/>
        </w:rPr>
        <w:t>Artificial intelligence and the changing sources of competitive advantage</w:t>
      </w:r>
      <w:r>
        <w:rPr>
          <w:rFonts w:ascii="Times New Roman" w:hAnsi="Times New Roman" w:cs="Simplified Arabic"/>
          <w:sz w:val="24"/>
          <w:szCs w:val="28"/>
          <w:rtl/>
        </w:rPr>
        <w:t>" (الذكاء الاصطناعي والمصادر المتغيرة للميزة التنافسية)، وهدفت الدراسة إلى استكشاف كيف يغير الذكاء الاصطناعي من طبيعة الموارد التي تحقق التفوق التنافسي، واتبعت المنهج الوصفي التحليلي القائم على نظرية الموارد (</w:t>
      </w:r>
      <w:r>
        <w:rPr>
          <w:rFonts w:ascii="Times New Roman" w:hAnsi="Times New Roman" w:cs="Simplified Arabic"/>
          <w:sz w:val="24"/>
          <w:szCs w:val="28"/>
        </w:rPr>
        <w:t>RBV</w:t>
      </w:r>
      <w:r>
        <w:rPr>
          <w:rFonts w:ascii="Times New Roman" w:hAnsi="Times New Roman" w:cs="Simplified Arabic"/>
          <w:sz w:val="24"/>
          <w:szCs w:val="28"/>
          <w:rtl/>
        </w:rPr>
        <w:t xml:space="preserve">)، واستخدمت أداة تحليل المحتوى والملاحظة الفنية للنماذج الهجينة (إنسان-آلة)، وأظهرت النتائج أن الذكاء الاصطناعي لا يحل محل </w:t>
      </w:r>
      <w:r>
        <w:rPr>
          <w:rFonts w:ascii="Times New Roman" w:hAnsi="Times New Roman" w:cs="Simplified Arabic"/>
          <w:sz w:val="24"/>
          <w:szCs w:val="28"/>
          <w:rtl/>
        </w:rPr>
        <w:lastRenderedPageBreak/>
        <w:t>البشر فحسب، بل يخلق "قدرات هجينة" جديدة هي المصدر الحقيقي للميزة التنافسية في العصر الرقمي، وأوصت المديرين بتطوير استراتيجيات تعتمد على التكامل بين العقل البشري والخوارزمية.</w:t>
      </w:r>
    </w:p>
    <w:p w14:paraId="0C847DF9" w14:textId="77777777" w:rsidR="007A604C" w:rsidRDefault="00000000">
      <w:pPr>
        <w:numPr>
          <w:ilvl w:val="0"/>
          <w:numId w:val="15"/>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ظريفيس وآخرون</w:t>
      </w:r>
      <w:r>
        <w:rPr>
          <w:rFonts w:ascii="Times New Roman" w:hAnsi="Times New Roman" w:cs="Simplified Arabic"/>
          <w:sz w:val="24"/>
          <w:szCs w:val="28"/>
          <w:rtl/>
        </w:rPr>
        <w:t xml:space="preserve"> (</w:t>
      </w:r>
      <w:r>
        <w:rPr>
          <w:rFonts w:ascii="Times New Roman" w:hAnsi="Times New Roman" w:cs="Simplified Arabic"/>
          <w:sz w:val="24"/>
          <w:szCs w:val="28"/>
        </w:rPr>
        <w:t>Zarifis et al., 2023</w:t>
      </w:r>
      <w:r>
        <w:rPr>
          <w:rFonts w:ascii="Times New Roman" w:hAnsi="Times New Roman" w:cs="Simplified Arabic"/>
          <w:sz w:val="24"/>
          <w:szCs w:val="28"/>
          <w:rtl/>
        </w:rPr>
        <w:t>)، المملكة المتحدة، بعنوان "</w:t>
      </w:r>
      <w:r>
        <w:rPr>
          <w:rFonts w:ascii="Times New Roman" w:hAnsi="Times New Roman" w:cs="Simplified Arabic"/>
          <w:sz w:val="24"/>
          <w:szCs w:val="28"/>
        </w:rPr>
        <w:t>Evaluating the impact of AI on insurance: The four emerging AI- and data-driven business models</w:t>
      </w:r>
      <w:r>
        <w:rPr>
          <w:rFonts w:ascii="Times New Roman" w:hAnsi="Times New Roman" w:cs="Simplified Arabic"/>
          <w:sz w:val="24"/>
          <w:szCs w:val="28"/>
          <w:rtl/>
        </w:rPr>
        <w:t>" (تقييم أثر الذكاء الاصطناعي على التأمين: أربعة نماذج أعمال ناشئة قائمة على البيانات)، وهدفت لتقييم كيفية تغيير الذكاء الاصطناعي لنماذج الأعمال التقليدية، واتبعت منهج دراسة الحالة لـ (20) شركة تأمين عالمية، واستخدمت المقابلات النوعية كأداة للجمع، ووجدت أن الشركات التي تتبنى نماذج قائمة كلياً على الذكاء الاصطناعي تحقق كفاءة تشغيلية أعلى بنسبة 40%، مما يمنحها ميزة "التكلفة الأقل" بامتياز، وأوصت بضرورة إعادة هندسة سلسلة القيمة لتكون "رقمية بالكامل".</w:t>
      </w:r>
    </w:p>
    <w:p w14:paraId="51E15F85" w14:textId="77777777" w:rsidR="007A604C" w:rsidRDefault="00000000">
      <w:pPr>
        <w:numPr>
          <w:ilvl w:val="0"/>
          <w:numId w:val="15"/>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إلينغ وآخرون</w:t>
      </w:r>
      <w:r>
        <w:rPr>
          <w:rFonts w:ascii="Times New Roman" w:hAnsi="Times New Roman" w:cs="Simplified Arabic"/>
          <w:sz w:val="24"/>
          <w:szCs w:val="28"/>
          <w:rtl/>
        </w:rPr>
        <w:t xml:space="preserve"> (</w:t>
      </w:r>
      <w:r>
        <w:rPr>
          <w:rFonts w:ascii="Times New Roman" w:hAnsi="Times New Roman" w:cs="Simplified Arabic"/>
          <w:sz w:val="24"/>
          <w:szCs w:val="28"/>
        </w:rPr>
        <w:t>Eling et al., 2022</w:t>
      </w:r>
      <w:r>
        <w:rPr>
          <w:rFonts w:ascii="Times New Roman" w:hAnsi="Times New Roman" w:cs="Simplified Arabic"/>
          <w:sz w:val="24"/>
          <w:szCs w:val="28"/>
          <w:rtl/>
        </w:rPr>
        <w:t>)، سويسرا، بعنوان "</w:t>
      </w:r>
      <w:r>
        <w:rPr>
          <w:rFonts w:ascii="Times New Roman" w:hAnsi="Times New Roman" w:cs="Simplified Arabic"/>
          <w:sz w:val="24"/>
          <w:szCs w:val="28"/>
        </w:rPr>
        <w:t>The impact of artificial intelligence along the insurance value chain</w:t>
      </w:r>
      <w:r>
        <w:rPr>
          <w:rFonts w:ascii="Times New Roman" w:hAnsi="Times New Roman" w:cs="Simplified Arabic"/>
          <w:sz w:val="24"/>
          <w:szCs w:val="28"/>
          <w:rtl/>
        </w:rPr>
        <w:t>" (أثر الذكاء الاصطناعي على طول سلسلة القيمة التأمينية)، وهدفت لتحليل تأثير التقنية في كل مرحلة من مراحل العمل التأميني، واتبعت المنهج الوصفي التحليلي، واستخدمت أداة المسح الميداني، وتوصلت إلى أن الذكاء الاصطناعي يحسن "قابلية التأمين" للمخاطر المعقدة عبر التحليل التنبؤي، مما يعزز ميزة "الابتكار" في المنتجات، وأوصت الشركات بالتحول من نموذج تعويض الخسارة إلى نموذج "التنبؤ والوقاية".</w:t>
      </w:r>
    </w:p>
    <w:p w14:paraId="4E1A55A5" w14:textId="77777777" w:rsidR="007A604C" w:rsidRDefault="00000000">
      <w:pPr>
        <w:numPr>
          <w:ilvl w:val="0"/>
          <w:numId w:val="15"/>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دراسة </w:t>
      </w:r>
      <w:r>
        <w:rPr>
          <w:rFonts w:ascii="Times New Roman" w:hAnsi="Times New Roman" w:cs="Simplified Arabic"/>
          <w:b/>
          <w:bCs/>
          <w:sz w:val="24"/>
          <w:szCs w:val="28"/>
          <w:rtl/>
        </w:rPr>
        <w:t>أوينز وآخرون</w:t>
      </w:r>
      <w:r>
        <w:rPr>
          <w:rFonts w:ascii="Times New Roman" w:hAnsi="Times New Roman" w:cs="Simplified Arabic"/>
          <w:sz w:val="24"/>
          <w:szCs w:val="28"/>
          <w:rtl/>
        </w:rPr>
        <w:t xml:space="preserve"> (</w:t>
      </w:r>
      <w:r>
        <w:rPr>
          <w:rFonts w:ascii="Times New Roman" w:hAnsi="Times New Roman" w:cs="Simplified Arabic"/>
          <w:sz w:val="24"/>
          <w:szCs w:val="28"/>
        </w:rPr>
        <w:t>Owens et al., 2022</w:t>
      </w:r>
      <w:r>
        <w:rPr>
          <w:rFonts w:ascii="Times New Roman" w:hAnsi="Times New Roman" w:cs="Simplified Arabic"/>
          <w:sz w:val="24"/>
          <w:szCs w:val="28"/>
          <w:rtl/>
        </w:rPr>
        <w:t>)، أيرلندا، بعنوان "</w:t>
      </w:r>
      <w:r>
        <w:rPr>
          <w:rFonts w:ascii="Times New Roman" w:hAnsi="Times New Roman" w:cs="Simplified Arabic"/>
          <w:sz w:val="24"/>
          <w:szCs w:val="28"/>
        </w:rPr>
        <w:t>Explainable Artificial Intelligence (XAI) in Insurance</w:t>
      </w:r>
      <w:r>
        <w:rPr>
          <w:rFonts w:ascii="Times New Roman" w:hAnsi="Times New Roman" w:cs="Simplified Arabic"/>
          <w:sz w:val="24"/>
          <w:szCs w:val="28"/>
          <w:rtl/>
        </w:rPr>
        <w:t xml:space="preserve">" (الذكاء الاصطناعي القابل للتفسير في التأمين)، وهدفت الدراسة إلى فحص أهمية شفافية الخوارزميات في تحقيق الميزة التنافسية القائمة </w:t>
      </w:r>
      <w:r>
        <w:rPr>
          <w:rFonts w:ascii="Times New Roman" w:hAnsi="Times New Roman" w:cs="Simplified Arabic"/>
          <w:sz w:val="24"/>
          <w:szCs w:val="28"/>
          <w:rtl/>
        </w:rPr>
        <w:lastRenderedPageBreak/>
        <w:t>على الثقة، واتبعت المنهج الوصفي، واستخدمت أداة مراجعة النظم التقنية، وأثبتت النتائج أن الشركات التي توضح للعملاء كيفية اتخاذ القرار الآلي (مثل تسعير الوثيقة) تحقق ولاءً أعلى، وهو بُعد تنافسي جوهري، وأوصت بتطوير واجهات تقنية تدعم "التفسير الآلي" للقرارات.</w:t>
      </w:r>
    </w:p>
    <w:p w14:paraId="63547D18"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رابعاً: تعقيب عام على الدراسات السابقة</w:t>
      </w:r>
    </w:p>
    <w:p w14:paraId="3B4FFFF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من خلال المراجعة المستفيضة للأدبيات السابقة (المحلية، والعربية، والأجنبية)، تمكن الباحث من صياغة رؤية نقدية تحليلية تبرز تموضع الدراسة الحالية في الخريطة العلمية، وذلك على النحو الآتي:</w:t>
      </w:r>
    </w:p>
    <w:p w14:paraId="071BCFC6" w14:textId="77777777" w:rsidR="007A604C" w:rsidRDefault="00000000">
      <w:pPr>
        <w:numPr>
          <w:ilvl w:val="0"/>
          <w:numId w:val="16"/>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اتساق الدراسة الحالية مع الدراسات السابقة:</w:t>
      </w:r>
    </w:p>
    <w:p w14:paraId="50FE8A03"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تتسق الدراسة الحالية مع التوجه العالمي نحو "رقمنة الإدارة"، حيث تلتقي مع معظم الدراسات السابقة (مثل: بهاتاشاريا وآخرون، 2025؛ والأسدودي، 2023) في الإيمان بأن الذكاء الاصطناعي لم يعد خياراً تقنياً بل ضرورة استراتيجية لتحقيق الاستدامة المؤسسية في قطاع الخدمات المالية.</w:t>
      </w:r>
    </w:p>
    <w:p w14:paraId="50017FF0" w14:textId="77777777" w:rsidR="007A604C" w:rsidRDefault="00000000">
      <w:pPr>
        <w:numPr>
          <w:ilvl w:val="0"/>
          <w:numId w:val="16"/>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جوانب اتفاق الدراسة الحالية مع الدراسات السابقة:</w:t>
      </w:r>
    </w:p>
    <w:p w14:paraId="6495F4C6"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اتفقت الدراسة الحالية مع الدراسات السابقة في عدة نقاط جوهرية، أبرزها:</w:t>
      </w:r>
    </w:p>
    <w:p w14:paraId="67DC40EB" w14:textId="77777777" w:rsidR="007A604C" w:rsidRDefault="00000000">
      <w:pPr>
        <w:numPr>
          <w:ilvl w:val="0"/>
          <w:numId w:val="1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استخدام </w:t>
      </w:r>
      <w:r>
        <w:rPr>
          <w:rFonts w:ascii="Times New Roman" w:hAnsi="Times New Roman" w:cs="Simplified Arabic"/>
          <w:b/>
          <w:bCs/>
          <w:sz w:val="24"/>
          <w:szCs w:val="28"/>
          <w:rtl/>
        </w:rPr>
        <w:t>المنهج الوصفي التحليلي</w:t>
      </w:r>
      <w:r>
        <w:rPr>
          <w:rFonts w:ascii="Times New Roman" w:hAnsi="Times New Roman" w:cs="Simplified Arabic"/>
          <w:sz w:val="24"/>
          <w:szCs w:val="28"/>
          <w:rtl/>
        </w:rPr>
        <w:t xml:space="preserve"> كأنسب أداة لقراءة الظواهر الإدارية والتقنية المشتركة.</w:t>
      </w:r>
    </w:p>
    <w:p w14:paraId="07B37448" w14:textId="77777777" w:rsidR="007A604C" w:rsidRDefault="00000000">
      <w:pPr>
        <w:numPr>
          <w:ilvl w:val="0"/>
          <w:numId w:val="1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التركيز على </w:t>
      </w:r>
      <w:r>
        <w:rPr>
          <w:rFonts w:ascii="Times New Roman" w:hAnsi="Times New Roman" w:cs="Simplified Arabic"/>
          <w:b/>
          <w:bCs/>
          <w:sz w:val="24"/>
          <w:szCs w:val="28"/>
          <w:rtl/>
        </w:rPr>
        <w:t>الاستبانة</w:t>
      </w:r>
      <w:r>
        <w:rPr>
          <w:rFonts w:ascii="Times New Roman" w:hAnsi="Times New Roman" w:cs="Simplified Arabic"/>
          <w:sz w:val="24"/>
          <w:szCs w:val="28"/>
          <w:rtl/>
        </w:rPr>
        <w:t xml:space="preserve"> كأداة رئيسة لجمع البيانات من الكوادر القيادية والفنية.</w:t>
      </w:r>
    </w:p>
    <w:p w14:paraId="0A8099C5" w14:textId="77777777" w:rsidR="007A604C" w:rsidRDefault="00000000">
      <w:pPr>
        <w:numPr>
          <w:ilvl w:val="0"/>
          <w:numId w:val="17"/>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الإقرار بوجود </w:t>
      </w:r>
      <w:r>
        <w:rPr>
          <w:rFonts w:ascii="Times New Roman" w:hAnsi="Times New Roman" w:cs="Simplified Arabic"/>
          <w:b/>
          <w:bCs/>
          <w:sz w:val="24"/>
          <w:szCs w:val="28"/>
          <w:rtl/>
        </w:rPr>
        <w:t>أثر إيجابي</w:t>
      </w:r>
      <w:r>
        <w:rPr>
          <w:rFonts w:ascii="Times New Roman" w:hAnsi="Times New Roman" w:cs="Simplified Arabic"/>
          <w:sz w:val="24"/>
          <w:szCs w:val="28"/>
          <w:rtl/>
        </w:rPr>
        <w:t xml:space="preserve"> معنوي لتقنيات الذكاء الاصطناعي في تحسين أداء الشركات وتنافسيتها.</w:t>
      </w:r>
    </w:p>
    <w:p w14:paraId="0297C31B" w14:textId="77777777" w:rsidR="007A604C" w:rsidRDefault="00000000">
      <w:pPr>
        <w:numPr>
          <w:ilvl w:val="0"/>
          <w:numId w:val="18"/>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جوانب اختلاف الدراسة الحالية مع الدراسات السابقة:</w:t>
      </w:r>
    </w:p>
    <w:p w14:paraId="1324A08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تختلف الدراسة الحالية عن بعض الدراسات السابقة في:</w:t>
      </w:r>
    </w:p>
    <w:p w14:paraId="7F300E79" w14:textId="77777777" w:rsidR="007A604C" w:rsidRDefault="00000000">
      <w:pPr>
        <w:numPr>
          <w:ilvl w:val="0"/>
          <w:numId w:val="19"/>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lastRenderedPageBreak/>
        <w:t xml:space="preserve">نطاق المتغيرات: </w:t>
      </w:r>
      <w:r>
        <w:rPr>
          <w:rFonts w:ascii="Times New Roman" w:hAnsi="Times New Roman" w:cs="Simplified Arabic"/>
          <w:sz w:val="24"/>
          <w:szCs w:val="28"/>
          <w:rtl/>
        </w:rPr>
        <w:t xml:space="preserve">فبينما ركزت دراسة (المخلافي، 2025) على الذكاء الاستراتيجي، تركز الدراسة الحالية على "تقنيات" محددة (تعلم الآلة، </w:t>
      </w:r>
      <w:r>
        <w:rPr>
          <w:rFonts w:ascii="Times New Roman" w:hAnsi="Times New Roman" w:cs="Simplified Arabic"/>
          <w:sz w:val="24"/>
          <w:szCs w:val="28"/>
        </w:rPr>
        <w:t>NLP</w:t>
      </w:r>
      <w:r>
        <w:rPr>
          <w:rFonts w:ascii="Times New Roman" w:hAnsi="Times New Roman" w:cs="Simplified Arabic"/>
          <w:sz w:val="24"/>
          <w:szCs w:val="28"/>
          <w:rtl/>
        </w:rPr>
        <w:t>، الرؤية الحاسوبية).</w:t>
      </w:r>
    </w:p>
    <w:p w14:paraId="71A83336" w14:textId="77777777" w:rsidR="007A604C" w:rsidRDefault="00000000">
      <w:pPr>
        <w:numPr>
          <w:ilvl w:val="0"/>
          <w:numId w:val="19"/>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 xml:space="preserve">البيئة الزمانية: </w:t>
      </w:r>
      <w:r>
        <w:rPr>
          <w:rFonts w:ascii="Times New Roman" w:hAnsi="Times New Roman" w:cs="Simplified Arabic"/>
          <w:sz w:val="24"/>
          <w:szCs w:val="28"/>
          <w:rtl/>
        </w:rPr>
        <w:t>تُعد هذه الدراسة من أحدث الدراسات (2026م) التي ترصد الواقع بعد نضوج نماذج الذكاء الاصطناعي التوليدي، وهو ما افتقرت إليه دراسات ما قبل 2023.</w:t>
      </w:r>
    </w:p>
    <w:p w14:paraId="5CC1972D" w14:textId="77777777" w:rsidR="007A604C" w:rsidRDefault="00000000">
      <w:pPr>
        <w:numPr>
          <w:ilvl w:val="0"/>
          <w:numId w:val="20"/>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الفجوة البحثية:</w:t>
      </w:r>
    </w:p>
    <w:p w14:paraId="09D17D3B"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رغم كثرة الدراسات التي تناولت الذكاء الاصطناعي، إلاّ أن هناك فجوة في الدراسات التي تربط بين </w:t>
      </w:r>
      <w:r>
        <w:rPr>
          <w:rFonts w:ascii="Times New Roman" w:hAnsi="Times New Roman" w:cs="Simplified Arabic"/>
          <w:b/>
          <w:bCs/>
          <w:sz w:val="24"/>
          <w:szCs w:val="28"/>
          <w:rtl/>
        </w:rPr>
        <w:t>"أبعاد تقنية محددة"</w:t>
      </w:r>
      <w:r>
        <w:rPr>
          <w:rFonts w:ascii="Times New Roman" w:hAnsi="Times New Roman" w:cs="Simplified Arabic"/>
          <w:sz w:val="24"/>
          <w:szCs w:val="28"/>
          <w:rtl/>
        </w:rPr>
        <w:t xml:space="preserve"> (كالرؤية الحاسوبية) وبين </w:t>
      </w:r>
      <w:r>
        <w:rPr>
          <w:rFonts w:ascii="Times New Roman" w:hAnsi="Times New Roman" w:cs="Simplified Arabic"/>
          <w:b/>
          <w:bCs/>
          <w:sz w:val="24"/>
          <w:szCs w:val="28"/>
          <w:rtl/>
        </w:rPr>
        <w:t>"أبعاد الميزة التنافسية"</w:t>
      </w:r>
      <w:r>
        <w:rPr>
          <w:rFonts w:ascii="Times New Roman" w:hAnsi="Times New Roman" w:cs="Simplified Arabic"/>
          <w:sz w:val="24"/>
          <w:szCs w:val="28"/>
          <w:rtl/>
        </w:rPr>
        <w:t xml:space="preserve"> (كالتكلفة والتميز) في قطاع التأمين تحديداً، حيث اتسمت معظم الدراسات السابقة بالعمومية في تناول الذكاء الاصطناعي ككتلة واحدة دون تفكيك أبعاده التقنية وأثر كل بُعد على حدة.</w:t>
      </w:r>
    </w:p>
    <w:p w14:paraId="44BDF8C8" w14:textId="77777777" w:rsidR="007A604C" w:rsidRDefault="00000000">
      <w:pPr>
        <w:numPr>
          <w:ilvl w:val="0"/>
          <w:numId w:val="20"/>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جوانب استفادة الدراسة الحالية من الدراسات السابقة:</w:t>
      </w:r>
    </w:p>
    <w:p w14:paraId="46FDDAE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استفادت الدراسة الحالية من الأدبيات السابقة في:</w:t>
      </w:r>
    </w:p>
    <w:p w14:paraId="13C3F6B6" w14:textId="77777777" w:rsidR="007A604C" w:rsidRDefault="00000000">
      <w:pPr>
        <w:numPr>
          <w:ilvl w:val="0"/>
          <w:numId w:val="21"/>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بناء وتطوير أداة الدراسة (الاستبانة) بالاسترشاد بفقرات دراسات (فتحي، 2021؛ ورازيا، 2024).</w:t>
      </w:r>
    </w:p>
    <w:p w14:paraId="5FDC6454" w14:textId="77777777" w:rsidR="007A604C" w:rsidRDefault="00000000">
      <w:pPr>
        <w:numPr>
          <w:ilvl w:val="0"/>
          <w:numId w:val="21"/>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تحديد الأبعاد الأكثر دقة لقياس الميزة التنافسية في شركات التأمين.</w:t>
      </w:r>
    </w:p>
    <w:p w14:paraId="2501DDE8" w14:textId="77777777" w:rsidR="007A604C" w:rsidRDefault="00000000">
      <w:pPr>
        <w:numPr>
          <w:ilvl w:val="0"/>
          <w:numId w:val="21"/>
        </w:num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صياغة الفرضيات العلمية استناداً إلى النتائج المستقرة في البحوث الأجنبية الحديثة.</w:t>
      </w:r>
    </w:p>
    <w:p w14:paraId="53AADCA1" w14:textId="77777777" w:rsidR="007A604C" w:rsidRDefault="00000000">
      <w:pPr>
        <w:numPr>
          <w:ilvl w:val="0"/>
          <w:numId w:val="22"/>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الجوانب المميزة للدراسة الحالية عن الدراسات السابقة:</w:t>
      </w:r>
    </w:p>
    <w:p w14:paraId="5CDEF40A"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تتميز الدراسة الحالية بأنها تقدم </w:t>
      </w:r>
      <w:r>
        <w:rPr>
          <w:rFonts w:ascii="Times New Roman" w:hAnsi="Times New Roman" w:cs="Simplified Arabic"/>
          <w:b/>
          <w:bCs/>
          <w:sz w:val="24"/>
          <w:szCs w:val="28"/>
          <w:rtl/>
        </w:rPr>
        <w:t>"نموذجاً تكاملياً"</w:t>
      </w:r>
      <w:r>
        <w:rPr>
          <w:rFonts w:ascii="Times New Roman" w:hAnsi="Times New Roman" w:cs="Simplified Arabic"/>
          <w:sz w:val="24"/>
          <w:szCs w:val="28"/>
          <w:rtl/>
        </w:rPr>
        <w:t xml:space="preserve"> يربط بين الذكاء الاصطناعي كمتغير تكنولوجي والميزة التنافسية كمتغير إداري، مع التركيز على بيئة شركات التأمين التي تمر بتحول تنظيمي عميق، مما يجعل نتائجها أكثر قابلية للتطبيق الفوري في دعم استراتيجيات التحول الذكي.</w:t>
      </w:r>
    </w:p>
    <w:p w14:paraId="7044FE85" w14:textId="77777777" w:rsidR="007A604C" w:rsidRDefault="00000000">
      <w:pPr>
        <w:spacing w:after="0" w:line="360" w:lineRule="auto"/>
        <w:ind w:firstLine="510"/>
        <w:jc w:val="both"/>
        <w:rPr>
          <w:rFonts w:ascii="Times New Roman" w:hAnsi="Times New Roman" w:cs="Simplified Arabic"/>
          <w:sz w:val="24"/>
          <w:szCs w:val="28"/>
        </w:rPr>
      </w:pPr>
      <w:r>
        <w:rPr>
          <w:rFonts w:ascii="Times New Roman" w:hAnsi="Times New Roman" w:cs="Simplified Arabic"/>
          <w:sz w:val="24"/>
          <w:szCs w:val="28"/>
        </w:rPr>
        <w:br w:type="page"/>
      </w:r>
    </w:p>
    <w:p w14:paraId="21E51AD2" w14:textId="77777777" w:rsidR="007A604C" w:rsidRDefault="00000000">
      <w:pPr>
        <w:spacing w:after="0" w:line="360" w:lineRule="auto"/>
        <w:ind w:firstLine="510"/>
        <w:jc w:val="center"/>
        <w:rPr>
          <w:rFonts w:ascii="Times New Roman" w:hAnsi="Times New Roman" w:cs="Simplified Arabic"/>
          <w:b/>
          <w:bCs/>
          <w:sz w:val="28"/>
          <w:szCs w:val="32"/>
          <w:rtl/>
        </w:rPr>
      </w:pPr>
      <w:r>
        <w:rPr>
          <w:rFonts w:ascii="Times New Roman" w:hAnsi="Times New Roman" w:cs="Simplified Arabic"/>
          <w:b/>
          <w:bCs/>
          <w:sz w:val="28"/>
          <w:szCs w:val="32"/>
          <w:rtl/>
        </w:rPr>
        <w:lastRenderedPageBreak/>
        <w:t>المحور الثاني: الإطار النظري للدراسة</w:t>
      </w:r>
    </w:p>
    <w:p w14:paraId="6D42B058" w14:textId="77777777" w:rsidR="007A604C" w:rsidRDefault="007A604C">
      <w:pPr>
        <w:spacing w:after="0" w:line="360" w:lineRule="auto"/>
        <w:ind w:firstLine="510"/>
        <w:jc w:val="both"/>
        <w:rPr>
          <w:rFonts w:ascii="Times New Roman" w:hAnsi="Times New Roman" w:cs="Simplified Arabic"/>
          <w:b/>
          <w:bCs/>
          <w:sz w:val="24"/>
          <w:szCs w:val="28"/>
          <w:rtl/>
        </w:rPr>
      </w:pPr>
    </w:p>
    <w:p w14:paraId="327419CE"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تمهيد:</w:t>
      </w:r>
    </w:p>
    <w:p w14:paraId="2B0EB4C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يتناول هذا </w:t>
      </w:r>
      <w:r>
        <w:rPr>
          <w:rFonts w:ascii="Times New Roman" w:hAnsi="Times New Roman" w:cs="Simplified Arabic" w:hint="cs"/>
          <w:sz w:val="24"/>
          <w:szCs w:val="28"/>
          <w:rtl/>
        </w:rPr>
        <w:t>المحور</w:t>
      </w:r>
      <w:r>
        <w:rPr>
          <w:rFonts w:ascii="Times New Roman" w:hAnsi="Times New Roman" w:cs="Simplified Arabic"/>
          <w:sz w:val="24"/>
          <w:szCs w:val="28"/>
          <w:rtl/>
        </w:rPr>
        <w:t xml:space="preserve"> البناء النظري والمفاهيمي لمتغيرات الدراسة، حيث يستعرض في مبحثه الأول ماهية الذكاء الاصطناعي وتقنياته المعاصرة، وينتقل في المبحث الثاني لتحليل أبعاد الميزة التنافسية في قطاع التأمين، وصولاً إلى المبحث الثالث الذي يؤصل للعلاقة التفاعلية بينهما من منظور النظريات الإدارية الحديثة. </w:t>
      </w:r>
    </w:p>
    <w:p w14:paraId="6E3AE274" w14:textId="77777777" w:rsidR="007A604C" w:rsidRDefault="007A604C">
      <w:pPr>
        <w:spacing w:after="0" w:line="360" w:lineRule="auto"/>
        <w:ind w:firstLine="510"/>
        <w:jc w:val="both"/>
        <w:rPr>
          <w:rFonts w:ascii="Times New Roman" w:hAnsi="Times New Roman" w:cs="Simplified Arabic"/>
          <w:sz w:val="24"/>
          <w:szCs w:val="28"/>
          <w:rtl/>
        </w:rPr>
      </w:pPr>
    </w:p>
    <w:p w14:paraId="640E6F01" w14:textId="77777777" w:rsidR="007A604C" w:rsidRDefault="00000000">
      <w:pPr>
        <w:spacing w:after="0" w:line="360" w:lineRule="auto"/>
        <w:ind w:firstLine="510"/>
        <w:jc w:val="center"/>
        <w:rPr>
          <w:rFonts w:ascii="Times New Roman" w:hAnsi="Times New Roman" w:cs="Simplified Arabic"/>
          <w:b/>
          <w:bCs/>
          <w:sz w:val="26"/>
          <w:szCs w:val="30"/>
          <w:rtl/>
        </w:rPr>
      </w:pPr>
      <w:r>
        <w:rPr>
          <w:rFonts w:ascii="Times New Roman" w:hAnsi="Times New Roman" w:cs="Simplified Arabic"/>
          <w:b/>
          <w:bCs/>
          <w:sz w:val="26"/>
          <w:szCs w:val="30"/>
          <w:rtl/>
        </w:rPr>
        <w:t>المبحث الأول: تقنيات الذكاء الاصطناعي (</w:t>
      </w:r>
      <w:r>
        <w:rPr>
          <w:rFonts w:ascii="Times New Roman" w:hAnsi="Times New Roman" w:cs="Simplified Arabic"/>
          <w:b/>
          <w:bCs/>
          <w:sz w:val="26"/>
          <w:szCs w:val="30"/>
        </w:rPr>
        <w:t>AI Technologies</w:t>
      </w:r>
      <w:r>
        <w:rPr>
          <w:rFonts w:ascii="Times New Roman" w:hAnsi="Times New Roman" w:cs="Simplified Arabic"/>
          <w:b/>
          <w:bCs/>
          <w:sz w:val="26"/>
          <w:szCs w:val="30"/>
          <w:rtl/>
        </w:rPr>
        <w:t>)</w:t>
      </w:r>
    </w:p>
    <w:p w14:paraId="18C564B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يُمثل الذكاء الاصطناعي حجر الزاوية والركيزة الجوهرية التي يستند إليها التحول الرقمي الشامل في المؤسسات المالية والخدمية المعاصرة. فلم يعد الذكاء الاصطناعي مجرد أدوات برمجية تقليدية تؤدي مهاماً محددة سلفاً، بل استحال إلى منظومة إدراكية متكاملة تهدف إلى محاكاة القدرات الذهنية والمعرفية البشرية، بل وتجاوزها في بعض الأحيان من حيث السرعة والدقة وقدرة المعالجة. وفيما يلي تفصيل معمق لأهم المحاور التي تشكل بنية هذا المتغير التقني:</w:t>
      </w:r>
    </w:p>
    <w:p w14:paraId="67B6654C"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1. الماهية والنشأة الفلسفية والتطور التاريخي للذكاء الاصطناعي</w:t>
      </w:r>
    </w:p>
    <w:p w14:paraId="5B590F1E"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شهد مفهوم الذكاء الاصطناعي تطوراً دراماتيكياً، حيث انتقل من كونه مجرد فرضيات فلسفية وقواعد منطقية بسيطة تعتمد على مبدأ "إذا حدث (أ) فافعل (ب)"، وصولاً إلى أنظمة معقدة تمتلك القدرة على التعلم الذاتي (</w:t>
      </w:r>
      <w:r>
        <w:rPr>
          <w:rFonts w:ascii="Times New Roman" w:hAnsi="Times New Roman" w:cs="Simplified Arabic"/>
          <w:sz w:val="24"/>
          <w:szCs w:val="28"/>
        </w:rPr>
        <w:t>Self-Learning</w:t>
      </w:r>
      <w:r>
        <w:rPr>
          <w:rFonts w:ascii="Times New Roman" w:hAnsi="Times New Roman" w:cs="Simplified Arabic"/>
          <w:sz w:val="24"/>
          <w:szCs w:val="28"/>
          <w:rtl/>
        </w:rPr>
        <w:t>) والتكيف المستمر مع المتغيرات البيئية المحيطة.</w:t>
      </w:r>
    </w:p>
    <w:p w14:paraId="02A5CB1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يُعرف الذكاء الاصطناعي اصطلاحاً بأنه فرع من فروع علوم الحاسوب يهدف إلى تصميم وبناء أنظمة رقمية وبرمجية تمتلك القدرة على تنفيذ مهام كانت في السابق حكراً على العقل البشري، </w:t>
      </w:r>
      <w:r>
        <w:rPr>
          <w:rFonts w:ascii="Times New Roman" w:hAnsi="Times New Roman" w:cs="Simplified Arabic"/>
          <w:sz w:val="24"/>
          <w:szCs w:val="28"/>
          <w:rtl/>
        </w:rPr>
        <w:lastRenderedPageBreak/>
        <w:t>مثل الإدراك البصري، والتعرف على الكلام، والترجمة بين اللغات، واتخاذ القرارات المعقدة بناءً على معطيات متداخلة (</w:t>
      </w:r>
      <w:r>
        <w:rPr>
          <w:rFonts w:ascii="Times New Roman" w:hAnsi="Times New Roman" w:cs="Simplified Arabic"/>
          <w:sz w:val="24"/>
          <w:szCs w:val="28"/>
        </w:rPr>
        <w:t>Aksoy &amp; Demir, 2023, P. 315</w:t>
      </w:r>
      <w:r>
        <w:rPr>
          <w:rFonts w:ascii="Times New Roman" w:hAnsi="Times New Roman" w:cs="Simplified Arabic"/>
          <w:sz w:val="24"/>
          <w:szCs w:val="28"/>
          <w:rtl/>
        </w:rPr>
        <w:t>). ومن الناحية الوظيفية، تلعب هذه التقنيات دوراً محورياً في التعامل مع "البيانات الضخمة" (</w:t>
      </w:r>
      <w:r>
        <w:rPr>
          <w:rFonts w:ascii="Times New Roman" w:hAnsi="Times New Roman" w:cs="Simplified Arabic"/>
          <w:sz w:val="24"/>
          <w:szCs w:val="28"/>
        </w:rPr>
        <w:t>Big Data</w:t>
      </w:r>
      <w:r>
        <w:rPr>
          <w:rFonts w:ascii="Times New Roman" w:hAnsi="Times New Roman" w:cs="Simplified Arabic"/>
          <w:sz w:val="24"/>
          <w:szCs w:val="28"/>
          <w:rtl/>
        </w:rPr>
        <w:t>) والمعلومات غير المنظمة (</w:t>
      </w:r>
      <w:r>
        <w:rPr>
          <w:rFonts w:ascii="Times New Roman" w:hAnsi="Times New Roman" w:cs="Simplified Arabic"/>
          <w:sz w:val="24"/>
          <w:szCs w:val="28"/>
        </w:rPr>
        <w:t>Unstructured Data</w:t>
      </w:r>
      <w:r>
        <w:rPr>
          <w:rFonts w:ascii="Times New Roman" w:hAnsi="Times New Roman" w:cs="Simplified Arabic"/>
          <w:sz w:val="24"/>
          <w:szCs w:val="28"/>
          <w:rtl/>
        </w:rPr>
        <w:t>) التي تتدفق بكثافة في بيئة الأعمال الحديثة، وخاصة في قطاع التأمين والخدمات المالية، حيث تساهم في تحويل هذه البيانات الخام إلى معرفة استباقية تدعم صانع القرار (</w:t>
      </w:r>
      <w:r>
        <w:rPr>
          <w:rFonts w:ascii="Times New Roman" w:hAnsi="Times New Roman" w:cs="Simplified Arabic"/>
          <w:sz w:val="24"/>
          <w:szCs w:val="28"/>
        </w:rPr>
        <w:t>Talha et al., 2024, P. 58</w:t>
      </w:r>
      <w:r>
        <w:rPr>
          <w:rFonts w:ascii="Times New Roman" w:hAnsi="Times New Roman" w:cs="Simplified Arabic"/>
          <w:sz w:val="24"/>
          <w:szCs w:val="28"/>
          <w:rtl/>
        </w:rPr>
        <w:t>).</w:t>
      </w:r>
    </w:p>
    <w:p w14:paraId="2D6C047F"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2. تقنية تعلم الآلة (</w:t>
      </w:r>
      <w:r>
        <w:rPr>
          <w:rFonts w:ascii="Times New Roman" w:hAnsi="Times New Roman" w:cs="Simplified Arabic"/>
          <w:b/>
          <w:bCs/>
          <w:sz w:val="24"/>
          <w:szCs w:val="28"/>
        </w:rPr>
        <w:t>Machine Learning</w:t>
      </w:r>
      <w:r>
        <w:rPr>
          <w:rFonts w:ascii="Times New Roman" w:hAnsi="Times New Roman" w:cs="Simplified Arabic"/>
          <w:b/>
          <w:bCs/>
          <w:sz w:val="24"/>
          <w:szCs w:val="28"/>
          <w:rtl/>
        </w:rPr>
        <w:t>): المحرك التنبئي للأنظمة الذكية</w:t>
      </w:r>
    </w:p>
    <w:p w14:paraId="23F55442"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تُعتبر تقنية "تعلم الآلة" بمثابة القلب النابض والعصب المحرك لمنظومة الذكاء الاصطناعي برمتها. وهي عبارة عن مجموعة متطورة من الخوارزميات والنماذج الإحصائية التي تمنح الحاسب القدرة على "التعلم" من البيانات التاريخية، واكتشاف الأنماط الكامنة فيها، ومن ثم استخدام تلك الأنماط للتنبؤ بالنتائج المستقبلية أو اتخاذ قرارات حيال بيانات جديدة لم يسبق للنظام رؤيتها، وذلك دون الحاجة إلى برمجة صريحة لكل خطوة (</w:t>
      </w:r>
      <w:r>
        <w:rPr>
          <w:rFonts w:ascii="Times New Roman" w:hAnsi="Times New Roman" w:cs="Simplified Arabic"/>
          <w:sz w:val="24"/>
          <w:szCs w:val="28"/>
        </w:rPr>
        <w:t>Kaur et al., 2021, P. 154</w:t>
      </w:r>
      <w:r>
        <w:rPr>
          <w:rFonts w:ascii="Times New Roman" w:hAnsi="Times New Roman" w:cs="Simplified Arabic"/>
          <w:sz w:val="24"/>
          <w:szCs w:val="28"/>
          <w:rtl/>
        </w:rPr>
        <w:t>).</w:t>
      </w:r>
    </w:p>
    <w:p w14:paraId="15AE2379"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وفي سياق المؤسسات المالية وقطاع التأمين، تبرز أهمية هذه التقنية من خلال تطبيقات متعددة:</w:t>
      </w:r>
    </w:p>
    <w:p w14:paraId="549394F9" w14:textId="77777777" w:rsidR="007A604C" w:rsidRDefault="00000000">
      <w:pPr>
        <w:numPr>
          <w:ilvl w:val="0"/>
          <w:numId w:val="40"/>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تقييم المخاطر (</w:t>
      </w:r>
      <w:r>
        <w:rPr>
          <w:rFonts w:ascii="Times New Roman" w:hAnsi="Times New Roman" w:cs="Simplified Arabic"/>
          <w:b/>
          <w:bCs/>
          <w:sz w:val="24"/>
          <w:szCs w:val="28"/>
        </w:rPr>
        <w:t>Risk Scoring</w:t>
      </w:r>
      <w:r>
        <w:rPr>
          <w:rFonts w:ascii="Times New Roman" w:hAnsi="Times New Roman" w:cs="Simplified Arabic"/>
          <w:b/>
          <w:bCs/>
          <w:sz w:val="24"/>
          <w:szCs w:val="28"/>
          <w:rtl/>
        </w:rPr>
        <w:t>):</w:t>
      </w:r>
      <w:r>
        <w:rPr>
          <w:rFonts w:ascii="Times New Roman" w:hAnsi="Times New Roman" w:cs="Simplified Arabic"/>
          <w:sz w:val="24"/>
          <w:szCs w:val="28"/>
          <w:rtl/>
        </w:rPr>
        <w:t xml:space="preserve"> حيث تقوم الخوارزميات بتحليل سجلات آلاف العملاء لتقدير احتمالية وقوع الخطر بدقة متناهية، مما يسمح بتسعير البوالص بشكل عادل ومخصص.</w:t>
      </w:r>
    </w:p>
    <w:p w14:paraId="3CC70141" w14:textId="77777777" w:rsidR="007A604C" w:rsidRDefault="00000000">
      <w:pPr>
        <w:numPr>
          <w:ilvl w:val="0"/>
          <w:numId w:val="40"/>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تحسين عمليات الاكتتاب:</w:t>
      </w:r>
      <w:r>
        <w:rPr>
          <w:rFonts w:ascii="Times New Roman" w:hAnsi="Times New Roman" w:cs="Simplified Arabic"/>
          <w:sz w:val="24"/>
          <w:szCs w:val="28"/>
          <w:rtl/>
        </w:rPr>
        <w:t xml:space="preserve"> تساهم في تقليل الهامش البشري للخطأ، وتسريع وتيرة الموافقة على الطلبات، مما يرفع الكفاءة التشغيلية للمؤسسة (</w:t>
      </w:r>
      <w:r>
        <w:rPr>
          <w:rFonts w:ascii="Times New Roman" w:hAnsi="Times New Roman" w:cs="Simplified Arabic"/>
          <w:sz w:val="24"/>
          <w:szCs w:val="28"/>
        </w:rPr>
        <w:t>Eling et al., 2022, P. 215</w:t>
      </w:r>
      <w:r>
        <w:rPr>
          <w:rFonts w:ascii="Times New Roman" w:hAnsi="Times New Roman" w:cs="Simplified Arabic"/>
          <w:sz w:val="24"/>
          <w:szCs w:val="28"/>
          <w:rtl/>
        </w:rPr>
        <w:t>).</w:t>
      </w:r>
    </w:p>
    <w:p w14:paraId="3987EA90" w14:textId="77777777" w:rsidR="007A604C" w:rsidRDefault="00000000">
      <w:pPr>
        <w:numPr>
          <w:ilvl w:val="0"/>
          <w:numId w:val="40"/>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lastRenderedPageBreak/>
        <w:t>كشف الاحتيال:</w:t>
      </w:r>
      <w:r>
        <w:rPr>
          <w:rFonts w:ascii="Times New Roman" w:hAnsi="Times New Roman" w:cs="Simplified Arabic"/>
          <w:sz w:val="24"/>
          <w:szCs w:val="28"/>
          <w:rtl/>
        </w:rPr>
        <w:t xml:space="preserve"> قدرة الآلة على رصد الشذوذ في الأنماط المالية يساعد في كشف محاولات التلاعب والمطالبات الوهمية قبل حدوث الخسارة.</w:t>
      </w:r>
    </w:p>
    <w:p w14:paraId="2E3E68E3"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3. معالجة اللغات الطبيعية (</w:t>
      </w:r>
      <w:r>
        <w:rPr>
          <w:rFonts w:ascii="Times New Roman" w:hAnsi="Times New Roman" w:cs="Simplified Arabic"/>
          <w:b/>
          <w:bCs/>
          <w:sz w:val="24"/>
          <w:szCs w:val="28"/>
        </w:rPr>
        <w:t>NLP</w:t>
      </w:r>
      <w:r>
        <w:rPr>
          <w:rFonts w:ascii="Times New Roman" w:hAnsi="Times New Roman" w:cs="Simplified Arabic"/>
          <w:b/>
          <w:bCs/>
          <w:sz w:val="24"/>
          <w:szCs w:val="28"/>
          <w:rtl/>
        </w:rPr>
        <w:t>) وأتمتة التفاعل الذكي</w:t>
      </w:r>
    </w:p>
    <w:p w14:paraId="2B4A8663"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تختص تقنية معالجة اللغات الطبيعية (</w:t>
      </w:r>
      <w:r>
        <w:rPr>
          <w:rFonts w:ascii="Times New Roman" w:hAnsi="Times New Roman" w:cs="Simplified Arabic"/>
          <w:sz w:val="24"/>
          <w:szCs w:val="28"/>
        </w:rPr>
        <w:t>Natural Language Processing</w:t>
      </w:r>
      <w:r>
        <w:rPr>
          <w:rFonts w:ascii="Times New Roman" w:hAnsi="Times New Roman" w:cs="Simplified Arabic"/>
          <w:sz w:val="24"/>
          <w:szCs w:val="28"/>
          <w:rtl/>
        </w:rPr>
        <w:t>) بجسر الهوة بين اللغة البشرية المعقدة (سواء كانت مكتوبة أو منطوقة) وبين الفهم الآلي. تعتمد هذه التقنية على دمج علوم اللغويات مع علوم الحاسوب والذكاء الاصطناعي لتمكين الأنظمة من تحليل النصوص واستخلاص المعنى والسياق، بل وحتى استشفاف المشاعر الإنسانية الكامنة وراء الكلمات.</w:t>
      </w:r>
    </w:p>
    <w:p w14:paraId="6512471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وتتجلى قيمة (</w:t>
      </w:r>
      <w:r>
        <w:rPr>
          <w:rFonts w:ascii="Times New Roman" w:hAnsi="Times New Roman" w:cs="Simplified Arabic"/>
          <w:b/>
          <w:bCs/>
          <w:sz w:val="24"/>
          <w:szCs w:val="28"/>
        </w:rPr>
        <w:t>NLP</w:t>
      </w:r>
      <w:r>
        <w:rPr>
          <w:rFonts w:ascii="Times New Roman" w:hAnsi="Times New Roman" w:cs="Simplified Arabic"/>
          <w:b/>
          <w:bCs/>
          <w:sz w:val="24"/>
          <w:szCs w:val="28"/>
          <w:rtl/>
        </w:rPr>
        <w:t>) في بيئة العمل الرقمية من خلال المحاور التالية:</w:t>
      </w:r>
    </w:p>
    <w:p w14:paraId="093E80B2" w14:textId="77777777" w:rsidR="007A604C" w:rsidRDefault="00000000">
      <w:pPr>
        <w:numPr>
          <w:ilvl w:val="0"/>
          <w:numId w:val="41"/>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أنظمة الاستجابة الذكية (</w:t>
      </w:r>
      <w:r>
        <w:rPr>
          <w:rFonts w:ascii="Times New Roman" w:hAnsi="Times New Roman" w:cs="Simplified Arabic"/>
          <w:b/>
          <w:bCs/>
          <w:sz w:val="24"/>
          <w:szCs w:val="28"/>
        </w:rPr>
        <w:t>Chatbots</w:t>
      </w:r>
      <w:r>
        <w:rPr>
          <w:rFonts w:ascii="Times New Roman" w:hAnsi="Times New Roman" w:cs="Simplified Arabic"/>
          <w:b/>
          <w:bCs/>
          <w:sz w:val="24"/>
          <w:szCs w:val="28"/>
          <w:rtl/>
        </w:rPr>
        <w:t>):</w:t>
      </w:r>
      <w:r>
        <w:rPr>
          <w:rFonts w:ascii="Times New Roman" w:hAnsi="Times New Roman" w:cs="Simplified Arabic"/>
          <w:sz w:val="24"/>
          <w:szCs w:val="28"/>
          <w:rtl/>
        </w:rPr>
        <w:t xml:space="preserve"> أتاحت هذه التقنية تطوير وكلاء افتراضيين قادرين على إدارة حوارات ذكية مع العملاء على مدار الساعة، والإجابة على الاستفسارات المعقدة، وتقديم الدعم الفني دون تدخل بشري (</w:t>
      </w:r>
      <w:r>
        <w:rPr>
          <w:rFonts w:ascii="Times New Roman" w:hAnsi="Times New Roman" w:cs="Simplified Arabic"/>
          <w:sz w:val="24"/>
          <w:szCs w:val="28"/>
        </w:rPr>
        <w:t>Ahluwalia &amp; Mishra, 2022, P. 45</w:t>
      </w:r>
      <w:r>
        <w:rPr>
          <w:rFonts w:ascii="Times New Roman" w:hAnsi="Times New Roman" w:cs="Simplified Arabic"/>
          <w:sz w:val="24"/>
          <w:szCs w:val="28"/>
          <w:rtl/>
        </w:rPr>
        <w:t>).</w:t>
      </w:r>
    </w:p>
    <w:p w14:paraId="3DDBF4BF" w14:textId="77777777" w:rsidR="007A604C" w:rsidRDefault="00000000">
      <w:pPr>
        <w:numPr>
          <w:ilvl w:val="0"/>
          <w:numId w:val="41"/>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أتمتة المطالبات البسيطة:</w:t>
      </w:r>
      <w:r>
        <w:rPr>
          <w:rFonts w:ascii="Times New Roman" w:hAnsi="Times New Roman" w:cs="Simplified Arabic"/>
          <w:sz w:val="24"/>
          <w:szCs w:val="28"/>
          <w:rtl/>
        </w:rPr>
        <w:t xml:space="preserve"> يمكن للأنظمة قراءة وثائق المطالبات، وتحليل محتواها، والتأكد من استيفاء الشروط القانونية والفنية بشكل آلي وسريع.</w:t>
      </w:r>
    </w:p>
    <w:p w14:paraId="3A491330" w14:textId="77777777" w:rsidR="007A604C" w:rsidRDefault="00000000">
      <w:pPr>
        <w:numPr>
          <w:ilvl w:val="0"/>
          <w:numId w:val="41"/>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تعزيز تجربة العميل:</w:t>
      </w:r>
      <w:r>
        <w:rPr>
          <w:rFonts w:ascii="Times New Roman" w:hAnsi="Times New Roman" w:cs="Simplified Arabic"/>
          <w:sz w:val="24"/>
          <w:szCs w:val="28"/>
          <w:rtl/>
        </w:rPr>
        <w:t xml:space="preserve"> من خلال تقليص الوقت اللازم للانتظار وتقديم استجابات فورية ودقيقة، مما يساهم بشكل مباشر في رفع معدلات الرضا والولاء لدى جمهور المستهلكين، ويخفف العبء التشغيلي عن مراكز الاتصال التقليدية.</w:t>
      </w:r>
    </w:p>
    <w:p w14:paraId="2071DD13"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4. التعلم العميق (</w:t>
      </w:r>
      <w:r>
        <w:rPr>
          <w:rFonts w:ascii="Times New Roman" w:hAnsi="Times New Roman" w:cs="Simplified Arabic"/>
          <w:b/>
          <w:bCs/>
          <w:sz w:val="24"/>
          <w:szCs w:val="28"/>
        </w:rPr>
        <w:t>Deep Learning</w:t>
      </w:r>
      <w:r>
        <w:rPr>
          <w:rFonts w:ascii="Times New Roman" w:hAnsi="Times New Roman" w:cs="Simplified Arabic"/>
          <w:b/>
          <w:bCs/>
          <w:sz w:val="24"/>
          <w:szCs w:val="28"/>
          <w:rtl/>
        </w:rPr>
        <w:t xml:space="preserve">) والشبكات العصبية الاصطناعية </w:t>
      </w:r>
    </w:p>
    <w:p w14:paraId="4B3AE410"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يُعد التعلم العميق فرعاً متقدماً من تعلم الآلة، وهو يحاكي في بنيته الطريقة التي تعمل بها الخلايا العصبية في الدماغ البشري عبر ما يسمى "الشبكات العصبية الاصطناعية". تتكون هذه الشبكات من طبقات متعددة قادرة على معالجة البيانات بمستويات تجريد عالية جداً.</w:t>
      </w:r>
    </w:p>
    <w:p w14:paraId="2D4C2290"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lastRenderedPageBreak/>
        <w:t>في قطاع التأمين، يُستخدم التعلم العميق في تحليل الصور (</w:t>
      </w:r>
      <w:r>
        <w:rPr>
          <w:rFonts w:ascii="Times New Roman" w:hAnsi="Times New Roman" w:cs="Simplified Arabic"/>
          <w:sz w:val="24"/>
          <w:szCs w:val="28"/>
        </w:rPr>
        <w:t>Computer Vision</w:t>
      </w:r>
      <w:r>
        <w:rPr>
          <w:rFonts w:ascii="Times New Roman" w:hAnsi="Times New Roman" w:cs="Simplified Arabic"/>
          <w:sz w:val="24"/>
          <w:szCs w:val="28"/>
          <w:rtl/>
        </w:rPr>
        <w:t>)؛ فمثلاً، يمكن للعميل تصوير حادث سيارة وإرسال الصورة عبر تطبيق الشركة، ليقوم النظام الذكي فوراً وبشكل آلي بتقدير حجم الأضرار وتكلفة الإصلاح بناءً على تحليل الصور، مما يحول عملية تسوية المطالبات من أيام وأسابيع إلى دقائق معدودة.</w:t>
      </w:r>
    </w:p>
    <w:p w14:paraId="5CD6C59A"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hint="cs"/>
          <w:b/>
          <w:bCs/>
          <w:sz w:val="24"/>
          <w:szCs w:val="28"/>
          <w:rtl/>
        </w:rPr>
        <w:t>5</w:t>
      </w:r>
      <w:r>
        <w:rPr>
          <w:rFonts w:ascii="Times New Roman" w:hAnsi="Times New Roman" w:cs="Simplified Arabic"/>
          <w:b/>
          <w:bCs/>
          <w:sz w:val="24"/>
          <w:szCs w:val="28"/>
          <w:rtl/>
        </w:rPr>
        <w:t>. تقنيات الرؤية الحاسوبية (</w:t>
      </w:r>
      <w:r>
        <w:rPr>
          <w:rFonts w:ascii="Times New Roman" w:hAnsi="Times New Roman" w:cs="Simplified Arabic"/>
          <w:b/>
          <w:bCs/>
          <w:sz w:val="24"/>
          <w:szCs w:val="28"/>
        </w:rPr>
        <w:t>Computer Vision</w:t>
      </w:r>
      <w:r>
        <w:rPr>
          <w:rFonts w:ascii="Times New Roman" w:hAnsi="Times New Roman" w:cs="Simplified Arabic"/>
          <w:b/>
          <w:bCs/>
          <w:sz w:val="24"/>
          <w:szCs w:val="28"/>
          <w:rtl/>
        </w:rPr>
        <w:t>) وثورة معاينة الأضرار</w:t>
      </w:r>
    </w:p>
    <w:p w14:paraId="3667963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تُمثل الرؤية الحاسوبية أحد أكثر فروع الذكاء الاصطناعي إثارة للتحول في القطاع التأميني، حيث تمنح الأنظمة القدرة على "رؤية" وفهم وتحليل المحتوى البصري الرقمي (الصور ومقاطع الفيديو) بنفس الدقة التي يمتلكها الخبير البشري، بل وبسرعة تتجاوزه بمراحل.</w:t>
      </w:r>
    </w:p>
    <w:p w14:paraId="3EFB6E36"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تعتمد هذه التقنية على خوارزميات "الشبكات العصبية التلافيفية" (</w:t>
      </w:r>
      <w:r>
        <w:rPr>
          <w:rFonts w:ascii="Times New Roman" w:hAnsi="Times New Roman" w:cs="Simplified Arabic"/>
          <w:sz w:val="24"/>
          <w:szCs w:val="28"/>
        </w:rPr>
        <w:t>CNN</w:t>
      </w:r>
      <w:r>
        <w:rPr>
          <w:rFonts w:ascii="Times New Roman" w:hAnsi="Times New Roman" w:cs="Simplified Arabic"/>
          <w:sz w:val="24"/>
          <w:szCs w:val="28"/>
          <w:rtl/>
        </w:rPr>
        <w:t>) التي تستطيع تحديد الأجسام، وقياس الأبعاد، ورصد التلفيات الهيكلية بدقة متناهية. وفي تأمين المركبات على وجه الخصوص، يمكن للعميل بمجرد وقوع الحادث التقاط صور للأضرار ورفعها عبر تطبيق الشركة؛ حيث تقوم الخوارزميات فوراً بتحليل الصورة، وتحديد القطع المتضررة، وتقدير تكلفة الإصلاح بناءً على أسعار قطع الغيار المحدثة في السوق. ولا تقتصر الفائدة هنا على تسريع عملية التعويض (</w:t>
      </w:r>
      <w:r>
        <w:rPr>
          <w:rFonts w:ascii="Times New Roman" w:hAnsi="Times New Roman" w:cs="Simplified Arabic"/>
          <w:sz w:val="24"/>
          <w:szCs w:val="28"/>
        </w:rPr>
        <w:t>Fast-Track Claims</w:t>
      </w:r>
      <w:r>
        <w:rPr>
          <w:rFonts w:ascii="Times New Roman" w:hAnsi="Times New Roman" w:cs="Simplified Arabic"/>
          <w:sz w:val="24"/>
          <w:szCs w:val="28"/>
          <w:rtl/>
        </w:rPr>
        <w:t>)، بل تتعداها إلى الحد بشكل كبير من فرص الاحتيال التأميني عبر كشف الصور المتلاعب بها أو تلك التي تعود لحوادث قديمة (</w:t>
      </w:r>
      <w:r>
        <w:rPr>
          <w:rFonts w:ascii="Times New Roman" w:hAnsi="Times New Roman" w:cs="Simplified Arabic"/>
          <w:sz w:val="24"/>
          <w:szCs w:val="28"/>
        </w:rPr>
        <w:t>Zarifis et al., 2023, P. 5</w:t>
      </w:r>
      <w:r>
        <w:rPr>
          <w:rFonts w:ascii="Times New Roman" w:hAnsi="Times New Roman" w:cs="Simplified Arabic"/>
          <w:sz w:val="24"/>
          <w:szCs w:val="28"/>
          <w:rtl/>
        </w:rPr>
        <w:t>).</w:t>
      </w:r>
    </w:p>
    <w:p w14:paraId="4EBFF578"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hint="cs"/>
          <w:b/>
          <w:bCs/>
          <w:sz w:val="24"/>
          <w:szCs w:val="28"/>
          <w:rtl/>
        </w:rPr>
        <w:t>6</w:t>
      </w:r>
      <w:r>
        <w:rPr>
          <w:rFonts w:ascii="Times New Roman" w:hAnsi="Times New Roman" w:cs="Simplified Arabic"/>
          <w:b/>
          <w:bCs/>
          <w:sz w:val="24"/>
          <w:szCs w:val="28"/>
          <w:rtl/>
        </w:rPr>
        <w:t>. محددات ومعايير جودة أنظمة الذكاء الاصطناعي في البيئة المالية</w:t>
      </w:r>
    </w:p>
    <w:p w14:paraId="3538CCFE"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إن الانتقال نحو الأتمتة الذكية ليس عملية تقنية مجردة، بل هو مسار محفوف بالمتطلبات التي تضمن سلامة المخرجات. فنجاح هذه التقنيات مرهون بتوافر منظومة من المعايير الصارمة التي تشمل:</w:t>
      </w:r>
    </w:p>
    <w:p w14:paraId="5F1D024A" w14:textId="77777777" w:rsidR="007A604C" w:rsidRDefault="00000000">
      <w:pPr>
        <w:numPr>
          <w:ilvl w:val="0"/>
          <w:numId w:val="42"/>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lastRenderedPageBreak/>
        <w:t>دقة وموثوقية البيانات:</w:t>
      </w:r>
      <w:r>
        <w:rPr>
          <w:rFonts w:ascii="Times New Roman" w:hAnsi="Times New Roman" w:cs="Simplified Arabic"/>
          <w:sz w:val="24"/>
          <w:szCs w:val="28"/>
          <w:rtl/>
        </w:rPr>
        <w:t xml:space="preserve"> فالبيانات هي الوقود المحرك للذكاء الاصطناعي، وأي خلل في جودة المدخلات سيؤدي حتماً إلى نتائج مضللة.</w:t>
      </w:r>
    </w:p>
    <w:p w14:paraId="76EDBECD" w14:textId="77777777" w:rsidR="007A604C" w:rsidRDefault="00000000">
      <w:pPr>
        <w:numPr>
          <w:ilvl w:val="0"/>
          <w:numId w:val="42"/>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الشفافية الخوارزمية:</w:t>
      </w:r>
      <w:r>
        <w:rPr>
          <w:rFonts w:ascii="Times New Roman" w:hAnsi="Times New Roman" w:cs="Simplified Arabic"/>
          <w:sz w:val="24"/>
          <w:szCs w:val="28"/>
          <w:rtl/>
        </w:rPr>
        <w:t xml:space="preserve"> أي القدرة على فهم المنطق الذي تتبعه الخوارزمية للوصول إلى نتيجة معينة.</w:t>
      </w:r>
    </w:p>
    <w:p w14:paraId="19BDAA39" w14:textId="77777777" w:rsidR="007A604C" w:rsidRDefault="00000000">
      <w:pPr>
        <w:numPr>
          <w:ilvl w:val="0"/>
          <w:numId w:val="42"/>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الأمن السيبراني:</w:t>
      </w:r>
      <w:r>
        <w:rPr>
          <w:rFonts w:ascii="Times New Roman" w:hAnsi="Times New Roman" w:cs="Simplified Arabic"/>
          <w:sz w:val="24"/>
          <w:szCs w:val="28"/>
          <w:rtl/>
        </w:rPr>
        <w:t xml:space="preserve"> حماية هذه الأنظمة من الاختراقات التي قد تستهدف التلاعب بالنتائج أو سرقة بيانات العملاء الحساسة.</w:t>
      </w:r>
    </w:p>
    <w:p w14:paraId="1C3807FA"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ويوضح الجدول التالي مقارنة تحليلية شاملة بين التقنيات الرئيسية المستخدمة في هذه الدراسة والدور الذي تلعبه في سلسلة القيمة:</w:t>
      </w:r>
    </w:p>
    <w:p w14:paraId="2C96CF4C" w14:textId="77777777" w:rsidR="007A604C" w:rsidRDefault="00000000">
      <w:pPr>
        <w:spacing w:after="0" w:line="276" w:lineRule="auto"/>
        <w:jc w:val="center"/>
        <w:rPr>
          <w:rFonts w:ascii="Times New Roman" w:hAnsi="Times New Roman" w:cs="Simplified Arabic"/>
          <w:b/>
          <w:bCs/>
          <w:sz w:val="20"/>
          <w:szCs w:val="24"/>
          <w:rtl/>
        </w:rPr>
      </w:pPr>
      <w:r>
        <w:rPr>
          <w:rFonts w:ascii="Times New Roman" w:hAnsi="Times New Roman" w:cs="Simplified Arabic"/>
          <w:b/>
          <w:bCs/>
          <w:sz w:val="20"/>
          <w:szCs w:val="24"/>
          <w:rtl/>
        </w:rPr>
        <w:t>جدول رقم (1): مقارنة تقنيات الذكاء الاصطناعي في بيئة التأمين</w:t>
      </w:r>
    </w:p>
    <w:tbl>
      <w:tblPr>
        <w:tblStyle w:val="4-11"/>
        <w:bidiVisual/>
        <w:tblW w:w="0" w:type="auto"/>
        <w:jc w:val="center"/>
        <w:tblLook w:val="04A0" w:firstRow="1" w:lastRow="0" w:firstColumn="1" w:lastColumn="0" w:noHBand="0" w:noVBand="1"/>
      </w:tblPr>
      <w:tblGrid>
        <w:gridCol w:w="1496"/>
        <w:gridCol w:w="2048"/>
        <w:gridCol w:w="3115"/>
      </w:tblGrid>
      <w:tr w:rsidR="007A604C" w14:paraId="15D3D2CA" w14:textId="77777777" w:rsidTr="007A604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9B6968" w14:textId="77777777" w:rsidR="007A604C" w:rsidRDefault="00000000">
            <w:pPr>
              <w:spacing w:after="0" w:line="276" w:lineRule="auto"/>
              <w:ind w:firstLine="0"/>
              <w:jc w:val="center"/>
              <w:rPr>
                <w:sz w:val="20"/>
                <w:szCs w:val="24"/>
                <w:rtl/>
              </w:rPr>
            </w:pPr>
            <w:r>
              <w:rPr>
                <w:sz w:val="20"/>
                <w:szCs w:val="24"/>
                <w:rtl/>
              </w:rPr>
              <w:t>التقنية الذكية</w:t>
            </w:r>
          </w:p>
        </w:tc>
        <w:tc>
          <w:tcPr>
            <w:tcW w:w="0" w:type="auto"/>
            <w:vAlign w:val="center"/>
            <w:hideMark/>
          </w:tcPr>
          <w:p w14:paraId="5527899B" w14:textId="77777777" w:rsidR="007A604C" w:rsidRDefault="00000000">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Pr>
                <w:sz w:val="20"/>
                <w:szCs w:val="24"/>
                <w:rtl/>
              </w:rPr>
              <w:t>الدور الوظيفي الأساسي</w:t>
            </w:r>
          </w:p>
        </w:tc>
        <w:tc>
          <w:tcPr>
            <w:tcW w:w="0" w:type="auto"/>
            <w:vAlign w:val="center"/>
            <w:hideMark/>
          </w:tcPr>
          <w:p w14:paraId="68D6DC71" w14:textId="77777777" w:rsidR="007A604C" w:rsidRDefault="00000000">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Pr>
                <w:sz w:val="20"/>
                <w:szCs w:val="24"/>
                <w:rtl/>
              </w:rPr>
              <w:t>القيمة المضافة لشركة التأمين</w:t>
            </w:r>
          </w:p>
        </w:tc>
      </w:tr>
      <w:tr w:rsidR="007A604C" w14:paraId="63226511" w14:textId="77777777" w:rsidTr="007A60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4A4CE5" w14:textId="77777777" w:rsidR="007A604C" w:rsidRDefault="00000000">
            <w:pPr>
              <w:spacing w:after="0" w:line="276" w:lineRule="auto"/>
              <w:ind w:firstLine="0"/>
              <w:jc w:val="center"/>
              <w:rPr>
                <w:sz w:val="20"/>
                <w:szCs w:val="24"/>
                <w:rtl/>
              </w:rPr>
            </w:pPr>
            <w:r>
              <w:rPr>
                <w:sz w:val="20"/>
                <w:szCs w:val="24"/>
                <w:rtl/>
              </w:rPr>
              <w:t>تعلم الآلة</w:t>
            </w:r>
          </w:p>
        </w:tc>
        <w:tc>
          <w:tcPr>
            <w:tcW w:w="0" w:type="auto"/>
            <w:vAlign w:val="center"/>
            <w:hideMark/>
          </w:tcPr>
          <w:p w14:paraId="0F74F244"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تحليل الأنماط التاريخية</w:t>
            </w:r>
          </w:p>
        </w:tc>
        <w:tc>
          <w:tcPr>
            <w:tcW w:w="0" w:type="auto"/>
            <w:vAlign w:val="center"/>
            <w:hideMark/>
          </w:tcPr>
          <w:p w14:paraId="147EE4F6"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دقة التنبؤ بالمخاطر والاكتتاب</w:t>
            </w:r>
          </w:p>
        </w:tc>
      </w:tr>
      <w:tr w:rsidR="007A604C" w14:paraId="40DE1126" w14:textId="77777777" w:rsidTr="007A604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8C23C1" w14:textId="77777777" w:rsidR="007A604C" w:rsidRDefault="00000000">
            <w:pPr>
              <w:spacing w:after="0" w:line="276" w:lineRule="auto"/>
              <w:ind w:firstLine="0"/>
              <w:jc w:val="center"/>
              <w:rPr>
                <w:sz w:val="20"/>
                <w:szCs w:val="24"/>
                <w:rtl/>
              </w:rPr>
            </w:pPr>
            <w:r>
              <w:rPr>
                <w:sz w:val="20"/>
                <w:szCs w:val="24"/>
                <w:rtl/>
              </w:rPr>
              <w:t>معالجة اللغات</w:t>
            </w:r>
          </w:p>
        </w:tc>
        <w:tc>
          <w:tcPr>
            <w:tcW w:w="0" w:type="auto"/>
            <w:vAlign w:val="center"/>
            <w:hideMark/>
          </w:tcPr>
          <w:p w14:paraId="50447024" w14:textId="77777777" w:rsidR="007A604C" w:rsidRDefault="00000000">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b/>
                <w:bCs/>
                <w:sz w:val="20"/>
                <w:szCs w:val="24"/>
                <w:rtl/>
              </w:rPr>
            </w:pPr>
            <w:r>
              <w:rPr>
                <w:b/>
                <w:bCs/>
                <w:sz w:val="20"/>
                <w:szCs w:val="24"/>
                <w:rtl/>
              </w:rPr>
              <w:t>تحليل النصوص والكلام</w:t>
            </w:r>
          </w:p>
        </w:tc>
        <w:tc>
          <w:tcPr>
            <w:tcW w:w="0" w:type="auto"/>
            <w:vAlign w:val="center"/>
            <w:hideMark/>
          </w:tcPr>
          <w:p w14:paraId="6C8EE46D" w14:textId="77777777" w:rsidR="007A604C" w:rsidRDefault="00000000">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b/>
                <w:bCs/>
                <w:sz w:val="20"/>
                <w:szCs w:val="24"/>
                <w:rtl/>
              </w:rPr>
            </w:pPr>
            <w:r>
              <w:rPr>
                <w:b/>
                <w:bCs/>
                <w:sz w:val="20"/>
                <w:szCs w:val="24"/>
                <w:rtl/>
              </w:rPr>
              <w:t>تحسين التفاعل اللحظي مع العملاء</w:t>
            </w:r>
          </w:p>
        </w:tc>
      </w:tr>
      <w:tr w:rsidR="007A604C" w14:paraId="5289C211" w14:textId="77777777" w:rsidTr="007A60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44B9D8" w14:textId="77777777" w:rsidR="007A604C" w:rsidRDefault="00000000">
            <w:pPr>
              <w:spacing w:after="0" w:line="276" w:lineRule="auto"/>
              <w:ind w:firstLine="0"/>
              <w:jc w:val="center"/>
              <w:rPr>
                <w:sz w:val="20"/>
                <w:szCs w:val="24"/>
                <w:rtl/>
              </w:rPr>
            </w:pPr>
            <w:r>
              <w:rPr>
                <w:sz w:val="20"/>
                <w:szCs w:val="24"/>
                <w:rtl/>
              </w:rPr>
              <w:t>الرؤية الحاسوبية</w:t>
            </w:r>
          </w:p>
        </w:tc>
        <w:tc>
          <w:tcPr>
            <w:tcW w:w="0" w:type="auto"/>
            <w:vAlign w:val="center"/>
            <w:hideMark/>
          </w:tcPr>
          <w:p w14:paraId="419A618B"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معالجة الصور والمقاطع</w:t>
            </w:r>
          </w:p>
        </w:tc>
        <w:tc>
          <w:tcPr>
            <w:tcW w:w="0" w:type="auto"/>
            <w:vAlign w:val="center"/>
            <w:hideMark/>
          </w:tcPr>
          <w:p w14:paraId="5A9CF5AD"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تسريع معاينة الأضرار وكشف الاحتيال</w:t>
            </w:r>
          </w:p>
        </w:tc>
      </w:tr>
    </w:tbl>
    <w:p w14:paraId="09E6E650" w14:textId="77777777" w:rsidR="007A604C" w:rsidRDefault="00000000">
      <w:pPr>
        <w:spacing w:after="0" w:line="276" w:lineRule="auto"/>
        <w:jc w:val="center"/>
        <w:rPr>
          <w:rFonts w:ascii="Times New Roman" w:hAnsi="Times New Roman" w:cs="Simplified Arabic"/>
          <w:b/>
          <w:bCs/>
          <w:sz w:val="20"/>
          <w:szCs w:val="24"/>
          <w:rtl/>
        </w:rPr>
      </w:pPr>
      <w:r>
        <w:rPr>
          <w:rFonts w:ascii="Times New Roman" w:hAnsi="Times New Roman" w:cs="Simplified Arabic"/>
          <w:b/>
          <w:bCs/>
          <w:i/>
          <w:iCs/>
          <w:sz w:val="20"/>
          <w:szCs w:val="24"/>
          <w:rtl/>
        </w:rPr>
        <w:t>المصدر: إعداد الباحث بالاستفادة من (</w:t>
      </w:r>
      <w:r>
        <w:rPr>
          <w:rFonts w:ascii="Times New Roman" w:hAnsi="Times New Roman" w:cs="Simplified Arabic"/>
          <w:b/>
          <w:bCs/>
          <w:i/>
          <w:iCs/>
          <w:sz w:val="20"/>
          <w:szCs w:val="24"/>
        </w:rPr>
        <w:t>Eling et al., 2022</w:t>
      </w:r>
      <w:r>
        <w:rPr>
          <w:rFonts w:ascii="Times New Roman" w:hAnsi="Times New Roman" w:cs="Simplified Arabic"/>
          <w:b/>
          <w:bCs/>
          <w:i/>
          <w:iCs/>
          <w:sz w:val="20"/>
          <w:szCs w:val="24"/>
          <w:rtl/>
        </w:rPr>
        <w:t>) و (</w:t>
      </w:r>
      <w:r>
        <w:rPr>
          <w:rFonts w:ascii="Times New Roman" w:hAnsi="Times New Roman" w:cs="Simplified Arabic"/>
          <w:b/>
          <w:bCs/>
          <w:i/>
          <w:iCs/>
          <w:sz w:val="20"/>
          <w:szCs w:val="24"/>
        </w:rPr>
        <w:t>Zarifis et al., 2023</w:t>
      </w:r>
      <w:r>
        <w:rPr>
          <w:rFonts w:ascii="Times New Roman" w:hAnsi="Times New Roman" w:cs="Simplified Arabic"/>
          <w:b/>
          <w:bCs/>
          <w:i/>
          <w:iCs/>
          <w:sz w:val="20"/>
          <w:szCs w:val="24"/>
          <w:rtl/>
        </w:rPr>
        <w:t>).</w:t>
      </w:r>
    </w:p>
    <w:p w14:paraId="7A1E4042"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i/>
          <w:iCs/>
          <w:sz w:val="24"/>
          <w:szCs w:val="28"/>
          <w:rtl/>
        </w:rPr>
        <w:t>يوضح الجدول أن كل تقنية تستهدف جانباً محدداً من سلسلة القيمة التأمينية، مما يتطلب تكاملاً تقنياً لتحقيق الفعالية القصوى.</w:t>
      </w:r>
    </w:p>
    <w:p w14:paraId="759422D4"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hint="cs"/>
          <w:b/>
          <w:bCs/>
          <w:sz w:val="24"/>
          <w:szCs w:val="28"/>
          <w:rtl/>
        </w:rPr>
        <w:t>7</w:t>
      </w:r>
      <w:r>
        <w:rPr>
          <w:rFonts w:ascii="Times New Roman" w:hAnsi="Times New Roman" w:cs="Simplified Arabic"/>
          <w:b/>
          <w:bCs/>
          <w:sz w:val="24"/>
          <w:szCs w:val="28"/>
          <w:rtl/>
        </w:rPr>
        <w:t>. الذكاء الاصطناعي القابل للتفسير (</w:t>
      </w:r>
      <w:r>
        <w:rPr>
          <w:rFonts w:ascii="Times New Roman" w:hAnsi="Times New Roman" w:cs="Simplified Arabic"/>
          <w:b/>
          <w:bCs/>
          <w:sz w:val="24"/>
          <w:szCs w:val="28"/>
        </w:rPr>
        <w:t>XAI</w:t>
      </w:r>
      <w:r>
        <w:rPr>
          <w:rFonts w:ascii="Times New Roman" w:hAnsi="Times New Roman" w:cs="Simplified Arabic"/>
          <w:b/>
          <w:bCs/>
          <w:sz w:val="24"/>
          <w:szCs w:val="28"/>
          <w:rtl/>
        </w:rPr>
        <w:t>) والامتثال التنظيمي والأخلاقي</w:t>
      </w:r>
    </w:p>
    <w:p w14:paraId="4F090CC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مع زيادة الاعتماد على "الصندوق الأسود" (</w:t>
      </w:r>
      <w:r>
        <w:rPr>
          <w:rFonts w:ascii="Times New Roman" w:hAnsi="Times New Roman" w:cs="Simplified Arabic"/>
          <w:sz w:val="24"/>
          <w:szCs w:val="28"/>
        </w:rPr>
        <w:t>Black Box</w:t>
      </w:r>
      <w:r>
        <w:rPr>
          <w:rFonts w:ascii="Times New Roman" w:hAnsi="Times New Roman" w:cs="Simplified Arabic"/>
          <w:sz w:val="24"/>
          <w:szCs w:val="28"/>
          <w:rtl/>
        </w:rPr>
        <w:t>) —وهو المصطلح الذي يطلق على الخوارزميات المعقدة التي لا يُعرف كيف وصلت لنتائجها— ظهرت حاجة ملحة لما يسمى "الذكاء الاصطناعي القابل للتفسير" (</w:t>
      </w:r>
      <w:r>
        <w:rPr>
          <w:rFonts w:ascii="Times New Roman" w:hAnsi="Times New Roman" w:cs="Simplified Arabic"/>
          <w:sz w:val="24"/>
          <w:szCs w:val="28"/>
        </w:rPr>
        <w:t>Explainable AI</w:t>
      </w:r>
      <w:r>
        <w:rPr>
          <w:rFonts w:ascii="Times New Roman" w:hAnsi="Times New Roman" w:cs="Simplified Arabic"/>
          <w:sz w:val="24"/>
          <w:szCs w:val="28"/>
          <w:rtl/>
        </w:rPr>
        <w:t>).</w:t>
      </w:r>
    </w:p>
    <w:p w14:paraId="293C58E8"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تعتبر هذه التقنية ضرورة أخلاقية وقانونية في القطاع المالي؛ إذ يجب على شركات التأمين أن تكون قادرة على تقديم تبريرات منطقية وقانونية وراء قرارات الخوارزمية، مثل أسباب رفض منح </w:t>
      </w:r>
      <w:r>
        <w:rPr>
          <w:rFonts w:ascii="Times New Roman" w:hAnsi="Times New Roman" w:cs="Simplified Arabic"/>
          <w:sz w:val="24"/>
          <w:szCs w:val="28"/>
          <w:rtl/>
        </w:rPr>
        <w:lastRenderedPageBreak/>
        <w:t>وثيقة تأمين لعميل معين أو أسباب رفع قسط التأمين عليه. إن توضيح هذه الأسباب يضمن عدم التحيز (</w:t>
      </w:r>
      <w:r>
        <w:rPr>
          <w:rFonts w:ascii="Times New Roman" w:hAnsi="Times New Roman" w:cs="Simplified Arabic"/>
          <w:sz w:val="24"/>
          <w:szCs w:val="28"/>
        </w:rPr>
        <w:t>Bias</w:t>
      </w:r>
      <w:r>
        <w:rPr>
          <w:rFonts w:ascii="Times New Roman" w:hAnsi="Times New Roman" w:cs="Simplified Arabic"/>
          <w:sz w:val="24"/>
          <w:szCs w:val="28"/>
          <w:rtl/>
        </w:rPr>
        <w:t>) ضد فئات معينة ويحقق مبادئ العدالة الرقمية والامتثال للمعايير الرقابية الدولية (</w:t>
      </w:r>
      <w:r>
        <w:rPr>
          <w:rFonts w:ascii="Times New Roman" w:hAnsi="Times New Roman" w:cs="Simplified Arabic"/>
          <w:sz w:val="24"/>
          <w:szCs w:val="28"/>
        </w:rPr>
        <w:t>Owens et al., 2022, P. 232</w:t>
      </w:r>
      <w:r>
        <w:rPr>
          <w:rFonts w:ascii="Times New Roman" w:hAnsi="Times New Roman" w:cs="Simplified Arabic"/>
          <w:sz w:val="24"/>
          <w:szCs w:val="28"/>
          <w:rtl/>
        </w:rPr>
        <w:t>).</w:t>
      </w:r>
    </w:p>
    <w:p w14:paraId="0B2B869D"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تعقيب على المبحث الأول:</w:t>
      </w:r>
    </w:p>
    <w:p w14:paraId="1FD7EFB5"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من خلال استعراض ما سبق، يخلص الباحث إلى رؤية تحليلية مفادها أن الذكاء الاصطناعي في قطاع التأمين والخدمات المالية قد تجاوز مرحلة كونه "تكنولوجيا مضافة" أو خياراً تنافسياً ثانوياً، ليصبح بمثابة "بنية تحتية معرفية" وعصب الحياة للشركات الراغبة في البقاء.</w:t>
      </w:r>
    </w:p>
    <w:p w14:paraId="3A13AED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إن الانتقال من النماذج التقليدية التي تعتمد حصراً على الخبرة البشرية المحدودة بضيق الوقت وحجم البيانات، إلى "النماذج الهجينة" (</w:t>
      </w:r>
      <w:r>
        <w:rPr>
          <w:rFonts w:ascii="Times New Roman" w:hAnsi="Times New Roman" w:cs="Simplified Arabic"/>
          <w:sz w:val="24"/>
          <w:szCs w:val="28"/>
        </w:rPr>
        <w:t>Hybrid Models</w:t>
      </w:r>
      <w:r>
        <w:rPr>
          <w:rFonts w:ascii="Times New Roman" w:hAnsi="Times New Roman" w:cs="Simplified Arabic"/>
          <w:sz w:val="24"/>
          <w:szCs w:val="28"/>
          <w:rtl/>
        </w:rPr>
        <w:t>) التي تدمج بين الحدس البشري وقوة المعالجة الآلية، هو السبيل الوحيد للتعامل مع تعقيدات المخاطر السيبرانية والبيئية والجيوسياسية الحديثة. ويؤكد الباحث هنا على قاعدة ذهبية في هذا العلم: "دقة المخرجات هي رهينة لصحة ومدى شمولية المدخلات"؛ فالتحدي الجوهري الذي يواجه المؤسسات اليوم ليس في اقتناء البرمجيات الذكية، بل في بناء مستودعات بيانات ضخمة، نظيفة، ومحدثة، قادرة على تغذية هذه العقول الاصطناعية لتعمل بكفاءة ومصداقية.</w:t>
      </w:r>
    </w:p>
    <w:p w14:paraId="2027883C" w14:textId="77777777" w:rsidR="007A604C" w:rsidRDefault="007A604C">
      <w:pPr>
        <w:spacing w:after="0" w:line="360" w:lineRule="auto"/>
        <w:ind w:firstLine="510"/>
        <w:jc w:val="both"/>
        <w:rPr>
          <w:rFonts w:ascii="Times New Roman" w:hAnsi="Times New Roman" w:cs="Simplified Arabic"/>
          <w:sz w:val="24"/>
          <w:szCs w:val="28"/>
          <w:rtl/>
        </w:rPr>
      </w:pPr>
    </w:p>
    <w:p w14:paraId="27A231A0" w14:textId="77777777" w:rsidR="007A604C" w:rsidRDefault="00000000">
      <w:pPr>
        <w:bidi w:val="0"/>
        <w:spacing w:after="200" w:line="276" w:lineRule="auto"/>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14569A13" w14:textId="77777777" w:rsidR="007A604C" w:rsidRDefault="00000000">
      <w:pPr>
        <w:spacing w:after="0" w:line="360" w:lineRule="auto"/>
        <w:ind w:firstLine="510"/>
        <w:jc w:val="center"/>
        <w:rPr>
          <w:rFonts w:ascii="Times New Roman" w:hAnsi="Times New Roman" w:cs="Simplified Arabic"/>
          <w:b/>
          <w:bCs/>
          <w:sz w:val="26"/>
          <w:szCs w:val="30"/>
          <w:rtl/>
        </w:rPr>
      </w:pPr>
      <w:r>
        <w:rPr>
          <w:rFonts w:ascii="Times New Roman" w:hAnsi="Times New Roman" w:cs="Simplified Arabic"/>
          <w:b/>
          <w:bCs/>
          <w:sz w:val="26"/>
          <w:szCs w:val="30"/>
          <w:rtl/>
        </w:rPr>
        <w:lastRenderedPageBreak/>
        <w:t>المبحث الثاني: الميزة التنافسية في قطاع التأمين (</w:t>
      </w:r>
      <w:r>
        <w:rPr>
          <w:rFonts w:ascii="Times New Roman" w:hAnsi="Times New Roman" w:cs="Simplified Arabic"/>
          <w:b/>
          <w:bCs/>
          <w:sz w:val="26"/>
          <w:szCs w:val="30"/>
        </w:rPr>
        <w:t>Competitive Advantage</w:t>
      </w:r>
      <w:r>
        <w:rPr>
          <w:rFonts w:ascii="Times New Roman" w:hAnsi="Times New Roman" w:cs="Simplified Arabic"/>
          <w:b/>
          <w:bCs/>
          <w:sz w:val="26"/>
          <w:szCs w:val="30"/>
          <w:rtl/>
        </w:rPr>
        <w:t>)</w:t>
      </w:r>
    </w:p>
    <w:p w14:paraId="5961814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يُمثل مفهوم الميزة التنافسية الجوهر الاستراتيجي والبوصلة التي توجّه أداء شركات التأمين في العصر الرقمي، حيث يحدد قدرة المؤسسة على البقاء والاستمرار والنمو في بيئة أعمال عالمية تتسم بالتقلب المستمر، وشدة المخاطر، وتصاعد حدة المنافسة من قبل شركات التقنية التأمينية (</w:t>
      </w:r>
      <w:r>
        <w:rPr>
          <w:rFonts w:ascii="Times New Roman" w:hAnsi="Times New Roman" w:cs="Simplified Arabic"/>
          <w:sz w:val="24"/>
          <w:szCs w:val="28"/>
        </w:rPr>
        <w:t>InsurTech</w:t>
      </w:r>
      <w:r>
        <w:rPr>
          <w:rFonts w:ascii="Times New Roman" w:hAnsi="Times New Roman" w:cs="Simplified Arabic"/>
          <w:sz w:val="24"/>
          <w:szCs w:val="28"/>
          <w:rtl/>
        </w:rPr>
        <w:t>). فلم تعد الميزة التنافسية مجرد تفوق عابر، بل أصبحت استراتيجية استدامة ترتكز على الابتكار والقيمة المضافة. وفيما يلي استعراض تفصيلي لأهم المحاور التي تشكل البناء النظري والعملي لهذا المتغير:</w:t>
      </w:r>
    </w:p>
    <w:p w14:paraId="0CAA3BDF"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1. المفهوم الفلسفي والمنظور الاستراتيجي للميزة التنافسية</w:t>
      </w:r>
    </w:p>
    <w:p w14:paraId="79C785C4"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تُعرف الميزة التنافسية في الأدبيات الإدارية الحديثة بأنها محصلة لقدرة الشركة على صياغة وتنفيذ استراتيجيات تتيح لها استغلال مواردها المادية والبشرية وكفاءاتها الجوهرية (</w:t>
      </w:r>
      <w:r>
        <w:rPr>
          <w:rFonts w:ascii="Times New Roman" w:hAnsi="Times New Roman" w:cs="Simplified Arabic"/>
          <w:sz w:val="24"/>
          <w:szCs w:val="28"/>
        </w:rPr>
        <w:t>Core Competencies</w:t>
      </w:r>
      <w:r>
        <w:rPr>
          <w:rFonts w:ascii="Times New Roman" w:hAnsi="Times New Roman" w:cs="Simplified Arabic"/>
          <w:sz w:val="24"/>
          <w:szCs w:val="28"/>
          <w:rtl/>
        </w:rPr>
        <w:t>) بأسلوب فريد ومبتكر يصعب على المنافسين الحاليين أو المحتملين محاكاته أو تقليده (</w:t>
      </w:r>
      <w:r>
        <w:rPr>
          <w:rFonts w:ascii="Times New Roman" w:hAnsi="Times New Roman" w:cs="Simplified Arabic"/>
          <w:sz w:val="24"/>
          <w:szCs w:val="28"/>
        </w:rPr>
        <w:t>Krakowski et al., 2023, P. 1435</w:t>
      </w:r>
      <w:r>
        <w:rPr>
          <w:rFonts w:ascii="Times New Roman" w:hAnsi="Times New Roman" w:cs="Simplified Arabic"/>
          <w:sz w:val="24"/>
          <w:szCs w:val="28"/>
          <w:rtl/>
        </w:rPr>
        <w:t>).</w:t>
      </w:r>
    </w:p>
    <w:p w14:paraId="7663B366"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وفي سياق قطاع التأمين، لم تعد الميزة التنافسية محصورة في الملاءة المالية أو ضخامة الأصول فحسب، بل امتدت لتشمل أبعاداً معنوية ومعرفية، مثل:</w:t>
      </w:r>
    </w:p>
    <w:p w14:paraId="69E6525A" w14:textId="77777777" w:rsidR="007A604C" w:rsidRDefault="00000000">
      <w:pPr>
        <w:numPr>
          <w:ilvl w:val="0"/>
          <w:numId w:val="43"/>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القيمة المدركة لدى العميل:</w:t>
      </w:r>
      <w:r>
        <w:rPr>
          <w:rFonts w:ascii="Times New Roman" w:hAnsi="Times New Roman" w:cs="Simplified Arabic"/>
          <w:sz w:val="24"/>
          <w:szCs w:val="28"/>
          <w:rtl/>
        </w:rPr>
        <w:t xml:space="preserve"> وهي الفجوة الإيجابية بين ما يحصل عليه العميل من منافع (أمان، سرعة، ثقة) وبين ما يدفعه من تكلفة.</w:t>
      </w:r>
    </w:p>
    <w:p w14:paraId="43F2421A" w14:textId="77777777" w:rsidR="007A604C" w:rsidRDefault="00000000">
      <w:pPr>
        <w:numPr>
          <w:ilvl w:val="0"/>
          <w:numId w:val="43"/>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المرونة التنظيمية:</w:t>
      </w:r>
      <w:r>
        <w:rPr>
          <w:rFonts w:ascii="Times New Roman" w:hAnsi="Times New Roman" w:cs="Simplified Arabic"/>
          <w:sz w:val="24"/>
          <w:szCs w:val="28"/>
          <w:rtl/>
        </w:rPr>
        <w:t xml:space="preserve"> القدرة على التكيف السريع مع تقلبات السوق والتشريعات القانونية المتغيرة (المخلافي، 2025، ص. 365).</w:t>
      </w:r>
    </w:p>
    <w:p w14:paraId="3FDEBF81" w14:textId="77777777" w:rsidR="007A604C" w:rsidRDefault="00000000">
      <w:pPr>
        <w:numPr>
          <w:ilvl w:val="0"/>
          <w:numId w:val="43"/>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السيادة المعرفية:</w:t>
      </w:r>
      <w:r>
        <w:rPr>
          <w:rFonts w:ascii="Times New Roman" w:hAnsi="Times New Roman" w:cs="Simplified Arabic"/>
          <w:sz w:val="24"/>
          <w:szCs w:val="28"/>
          <w:rtl/>
        </w:rPr>
        <w:t xml:space="preserve"> القدرة على تحويل بيانات العملاء إلى رؤى استباقية تسبق احتياجات السوق.</w:t>
      </w:r>
    </w:p>
    <w:p w14:paraId="5F658C75"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lastRenderedPageBreak/>
        <w:t>2. استراتيجية ميزة التكلفة الأقل (</w:t>
      </w:r>
      <w:r>
        <w:rPr>
          <w:rFonts w:ascii="Times New Roman" w:hAnsi="Times New Roman" w:cs="Simplified Arabic"/>
          <w:b/>
          <w:bCs/>
          <w:sz w:val="24"/>
          <w:szCs w:val="28"/>
        </w:rPr>
        <w:t>Cost Leadership</w:t>
      </w:r>
      <w:r>
        <w:rPr>
          <w:rFonts w:ascii="Times New Roman" w:hAnsi="Times New Roman" w:cs="Simplified Arabic"/>
          <w:b/>
          <w:bCs/>
          <w:sz w:val="24"/>
          <w:szCs w:val="28"/>
          <w:rtl/>
        </w:rPr>
        <w:t>)</w:t>
      </w:r>
    </w:p>
    <w:p w14:paraId="55CA411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تتمثل هذه الميزة في نجاح شركة التأمين في تصميم وتقديم خدماتها التأمينية بتكاليف تشغيلية وإدارية أقل من متوسط تكاليف المنافسين في السوق، مع الالتزام الصارم بالحفاظ على مستويات الجودة المقبولة. وفي ظل الثورة الصناعية الرابعة، تؤدي الرقمنة والذكاء الاصطناعي دوراً حاسماً كأداة لخفض التكاليف من خلال:</w:t>
      </w:r>
    </w:p>
    <w:p w14:paraId="4B30E2DB" w14:textId="77777777" w:rsidR="007A604C" w:rsidRDefault="00000000">
      <w:pPr>
        <w:numPr>
          <w:ilvl w:val="0"/>
          <w:numId w:val="44"/>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أتمتة العمليات (</w:t>
      </w:r>
      <w:r>
        <w:rPr>
          <w:rFonts w:ascii="Times New Roman" w:hAnsi="Times New Roman" w:cs="Simplified Arabic"/>
          <w:b/>
          <w:bCs/>
          <w:sz w:val="24"/>
          <w:szCs w:val="28"/>
        </w:rPr>
        <w:t>RPA</w:t>
      </w:r>
      <w:r>
        <w:rPr>
          <w:rFonts w:ascii="Times New Roman" w:hAnsi="Times New Roman" w:cs="Simplified Arabic"/>
          <w:b/>
          <w:bCs/>
          <w:sz w:val="24"/>
          <w:szCs w:val="28"/>
          <w:rtl/>
        </w:rPr>
        <w:t>):</w:t>
      </w:r>
      <w:r>
        <w:rPr>
          <w:rFonts w:ascii="Times New Roman" w:hAnsi="Times New Roman" w:cs="Simplified Arabic"/>
          <w:sz w:val="24"/>
          <w:szCs w:val="28"/>
          <w:rtl/>
        </w:rPr>
        <w:t xml:space="preserve"> تقليل الاعتماد على التدخل البشري في المهام الروتينية، مما يقلص النفقات الإدارية.</w:t>
      </w:r>
    </w:p>
    <w:p w14:paraId="2D7BC5EC" w14:textId="77777777" w:rsidR="007A604C" w:rsidRDefault="00000000">
      <w:pPr>
        <w:numPr>
          <w:ilvl w:val="0"/>
          <w:numId w:val="44"/>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تحجيم الهدر في المطالبات:</w:t>
      </w:r>
      <w:r>
        <w:rPr>
          <w:rFonts w:ascii="Times New Roman" w:hAnsi="Times New Roman" w:cs="Simplified Arabic"/>
          <w:sz w:val="24"/>
          <w:szCs w:val="28"/>
          <w:rtl/>
        </w:rPr>
        <w:t xml:space="preserve"> عبر استخدام الخوارزميات لكشف المطالبات المبالغ فيها أو الوهمية، مما يقلل من نسب الخسارة (فتحي، 2021، ص. 330).</w:t>
      </w:r>
    </w:p>
    <w:p w14:paraId="0064CAD3" w14:textId="77777777" w:rsidR="007A604C" w:rsidRDefault="00000000">
      <w:pPr>
        <w:numPr>
          <w:ilvl w:val="0"/>
          <w:numId w:val="44"/>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تحقيق "كفاءة التكلفة":</w:t>
      </w:r>
      <w:r>
        <w:rPr>
          <w:rFonts w:ascii="Times New Roman" w:hAnsi="Times New Roman" w:cs="Simplified Arabic"/>
          <w:sz w:val="24"/>
          <w:szCs w:val="28"/>
          <w:rtl/>
        </w:rPr>
        <w:t xml:space="preserve"> إن الوصول إلى حد تدني التكاليف يمنح الشركة "هوامش أمان" عريضة تتيح لها مرونة عالية في تسعير وثائق التأمين بأسعار تنافسية جاذبة، مما يساهم في الاستحواذ على حصة سوقية أكبر وتعزيز القاعدة الرأسمالية عبر وفورات الحجم.</w:t>
      </w:r>
    </w:p>
    <w:p w14:paraId="35C5BD32"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3. ميزة التميز والجودة الاستثنائية (</w:t>
      </w:r>
      <w:r>
        <w:rPr>
          <w:rFonts w:ascii="Times New Roman" w:hAnsi="Times New Roman" w:cs="Simplified Arabic"/>
          <w:b/>
          <w:bCs/>
          <w:sz w:val="24"/>
          <w:szCs w:val="28"/>
        </w:rPr>
        <w:t>Differentiation and Quality</w:t>
      </w:r>
      <w:r>
        <w:rPr>
          <w:rFonts w:ascii="Times New Roman" w:hAnsi="Times New Roman" w:cs="Simplified Arabic"/>
          <w:b/>
          <w:bCs/>
          <w:sz w:val="24"/>
          <w:szCs w:val="28"/>
          <w:rtl/>
        </w:rPr>
        <w:t>)</w:t>
      </w:r>
    </w:p>
    <w:p w14:paraId="7DF7F802"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يرتكز التميز على خلق صورة ذهنية فريدة لدى العميل بأن ما تقدمه الشركة من منتجات وخدمات يمتلك خصائص "غير نمطية" تلبي احتياجاته بدقة متناهية لا يجدها عند الآخرين. لا تقتصر الجودة هنا على بنود العقد، بل تمتد لتشمل "تجربة العميل" (</w:t>
      </w:r>
      <w:r>
        <w:rPr>
          <w:rFonts w:ascii="Times New Roman" w:hAnsi="Times New Roman" w:cs="Simplified Arabic"/>
          <w:sz w:val="24"/>
          <w:szCs w:val="28"/>
        </w:rPr>
        <w:t>Customer Experience</w:t>
      </w:r>
      <w:r>
        <w:rPr>
          <w:rFonts w:ascii="Times New Roman" w:hAnsi="Times New Roman" w:cs="Simplified Arabic"/>
          <w:sz w:val="24"/>
          <w:szCs w:val="28"/>
          <w:rtl/>
        </w:rPr>
        <w:t>) بمفهومها الشامل.</w:t>
      </w:r>
    </w:p>
    <w:p w14:paraId="2CF272F1"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وقد أكدت دراسة (</w:t>
      </w:r>
      <w:r>
        <w:rPr>
          <w:rFonts w:ascii="Times New Roman" w:hAnsi="Times New Roman" w:cs="Simplified Arabic"/>
          <w:sz w:val="24"/>
          <w:szCs w:val="28"/>
        </w:rPr>
        <w:t>Razia et al., 2024, P. 90</w:t>
      </w:r>
      <w:r>
        <w:rPr>
          <w:rFonts w:ascii="Times New Roman" w:hAnsi="Times New Roman" w:cs="Simplified Arabic"/>
          <w:sz w:val="24"/>
          <w:szCs w:val="28"/>
          <w:rtl/>
        </w:rPr>
        <w:t>) أن التميز في قطاع التأمين المعاصر يرتبط ارتباطاً وثيقاً بعدة ركائز:</w:t>
      </w:r>
    </w:p>
    <w:p w14:paraId="6C305819" w14:textId="77777777" w:rsidR="007A604C" w:rsidRDefault="00000000">
      <w:pPr>
        <w:numPr>
          <w:ilvl w:val="0"/>
          <w:numId w:val="45"/>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lastRenderedPageBreak/>
        <w:t>سرعة الاستجابة اللحظية:</w:t>
      </w:r>
      <w:r>
        <w:rPr>
          <w:rFonts w:ascii="Times New Roman" w:hAnsi="Times New Roman" w:cs="Simplified Arabic"/>
          <w:sz w:val="24"/>
          <w:szCs w:val="28"/>
          <w:rtl/>
        </w:rPr>
        <w:t xml:space="preserve"> قدرة الشركة على التفاعل مع العميل في لحظة وقوع الخطر وتسوية المطالبة في وقت قياسي.</w:t>
      </w:r>
    </w:p>
    <w:p w14:paraId="15B09B0A" w14:textId="77777777" w:rsidR="007A604C" w:rsidRDefault="00000000">
      <w:pPr>
        <w:numPr>
          <w:ilvl w:val="0"/>
          <w:numId w:val="45"/>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الشفافية المطلقة:</w:t>
      </w:r>
      <w:r>
        <w:rPr>
          <w:rFonts w:ascii="Times New Roman" w:hAnsi="Times New Roman" w:cs="Simplified Arabic"/>
          <w:sz w:val="24"/>
          <w:szCs w:val="28"/>
          <w:rtl/>
        </w:rPr>
        <w:t xml:space="preserve"> وضوح الشروط والالتزامات بعيداً عن التعقيدات اللغوية والقانونية المنفرة.</w:t>
      </w:r>
    </w:p>
    <w:p w14:paraId="33388E19" w14:textId="77777777" w:rsidR="007A604C" w:rsidRDefault="00000000">
      <w:pPr>
        <w:numPr>
          <w:ilvl w:val="0"/>
          <w:numId w:val="45"/>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الهوية الذهنية:</w:t>
      </w:r>
      <w:r>
        <w:rPr>
          <w:rFonts w:ascii="Times New Roman" w:hAnsi="Times New Roman" w:cs="Simplified Arabic"/>
          <w:sz w:val="24"/>
          <w:szCs w:val="28"/>
          <w:rtl/>
        </w:rPr>
        <w:t xml:space="preserve"> بناء علامة تجارية مرتبطة بالثقة والابتكار، مما يحول العميل من مجرد "مشترٍ للخدمة" إلى "شريك للعلامة"، وهو ما يميز الشركة جذرياً عن المنافسين التقليديين الذين لا يزالون يعتمدون على الأنماط البيروقراطية القديمة.</w:t>
      </w:r>
    </w:p>
    <w:p w14:paraId="1BB02927" w14:textId="77777777" w:rsidR="007A604C" w:rsidRDefault="00000000">
      <w:pPr>
        <w:spacing w:after="0" w:line="360" w:lineRule="auto"/>
        <w:jc w:val="both"/>
        <w:rPr>
          <w:rFonts w:ascii="Times New Roman" w:hAnsi="Times New Roman" w:cs="Simplified Arabic"/>
          <w:b/>
          <w:bCs/>
          <w:sz w:val="24"/>
          <w:szCs w:val="28"/>
          <w:rtl/>
        </w:rPr>
      </w:pPr>
      <w:r>
        <w:rPr>
          <w:rFonts w:ascii="Times New Roman" w:hAnsi="Times New Roman" w:cs="Simplified Arabic"/>
          <w:b/>
          <w:bCs/>
          <w:sz w:val="24"/>
          <w:szCs w:val="28"/>
          <w:rtl/>
        </w:rPr>
        <w:t>4. ميزة الابتكار التأميني (</w:t>
      </w:r>
      <w:r>
        <w:rPr>
          <w:rFonts w:ascii="Times New Roman" w:hAnsi="Times New Roman" w:cs="Simplified Arabic"/>
          <w:b/>
          <w:bCs/>
          <w:sz w:val="24"/>
          <w:szCs w:val="28"/>
        </w:rPr>
        <w:t>Insurance Innovation</w:t>
      </w:r>
      <w:r>
        <w:rPr>
          <w:rFonts w:ascii="Times New Roman" w:hAnsi="Times New Roman" w:cs="Simplified Arabic"/>
          <w:b/>
          <w:bCs/>
          <w:sz w:val="24"/>
          <w:szCs w:val="28"/>
          <w:rtl/>
        </w:rPr>
        <w:t>): الريادة في خلق القيمة</w:t>
      </w:r>
    </w:p>
    <w:p w14:paraId="50278F5D"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يُعد الابتكار في الفكر الإداري الحديث المحرك الديناميكي الأقوى للميزة التنافسية، حيث لم يعد كافياً مجرد تحسين الخدمات التقليدية القائمة، بل أصبح لزاماً على شركات التأمين خلق منتجات تأمينية مبتكرة كلياً تلائم "نمط الحياة الرقمي".</w:t>
      </w:r>
    </w:p>
    <w:p w14:paraId="18B3C698"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ومن أبرز تجليات هذا الابتكار ما يُعرف بـ "التأمين القائم على الاستخدام" (</w:t>
      </w:r>
      <w:r>
        <w:rPr>
          <w:rFonts w:ascii="Times New Roman" w:hAnsi="Times New Roman" w:cs="Simplified Arabic"/>
          <w:sz w:val="24"/>
          <w:szCs w:val="28"/>
        </w:rPr>
        <w:t>Usage-Based Insurance - UBI</w:t>
      </w:r>
      <w:r>
        <w:rPr>
          <w:rFonts w:ascii="Times New Roman" w:hAnsi="Times New Roman" w:cs="Simplified Arabic"/>
          <w:sz w:val="24"/>
          <w:szCs w:val="28"/>
          <w:rtl/>
        </w:rPr>
        <w:t>)، والذي يعتمد على بيانات لحظية لتقييم المخاطر (مثل أجهزة التتبع في السيارات)، مما ينقل التأمين من نموذج "الجمود السنوي" إلى نموذج "المرونة السلوكية". وتؤدي القدرة على الابتكار دوراً جوهرياً في تعزيز الأداء الابتكاري العام للشركة، مما يضعها في طليعة المؤسسات التي تقود التحول الهيكلي في القطاع، ويجعلها "صانعة للسوق" بدلاً من كونها مجرد مستجيبة له (مزوز، 2023، ص. 128). إن الابتكار هنا لا يشمل المنتج فحسب، بل يمتد لابتكار قنوات توزيع رقمية ذكية تصل للعميل في الوقت والمكان المناسبين.</w:t>
      </w:r>
    </w:p>
    <w:p w14:paraId="43D66699" w14:textId="77777777" w:rsidR="007A604C" w:rsidRDefault="00000000">
      <w:pPr>
        <w:spacing w:after="0" w:line="360" w:lineRule="auto"/>
        <w:jc w:val="both"/>
        <w:rPr>
          <w:rFonts w:ascii="Times New Roman" w:hAnsi="Times New Roman" w:cs="Simplified Arabic"/>
          <w:b/>
          <w:bCs/>
          <w:sz w:val="24"/>
          <w:szCs w:val="28"/>
          <w:rtl/>
        </w:rPr>
      </w:pPr>
      <w:r>
        <w:rPr>
          <w:rFonts w:ascii="Times New Roman" w:hAnsi="Times New Roman" w:cs="Simplified Arabic"/>
          <w:b/>
          <w:bCs/>
          <w:sz w:val="24"/>
          <w:szCs w:val="28"/>
          <w:rtl/>
        </w:rPr>
        <w:t>5. محددات الميزة التنافسية المستدامة في العصر الرقمي (</w:t>
      </w:r>
      <w:r>
        <w:rPr>
          <w:rFonts w:ascii="Times New Roman" w:hAnsi="Times New Roman" w:cs="Simplified Arabic"/>
          <w:b/>
          <w:bCs/>
          <w:sz w:val="24"/>
          <w:szCs w:val="28"/>
        </w:rPr>
        <w:t>VRIN Framework</w:t>
      </w:r>
      <w:r>
        <w:rPr>
          <w:rFonts w:ascii="Times New Roman" w:hAnsi="Times New Roman" w:cs="Simplified Arabic"/>
          <w:b/>
          <w:bCs/>
          <w:sz w:val="24"/>
          <w:szCs w:val="28"/>
          <w:rtl/>
        </w:rPr>
        <w:t>)</w:t>
      </w:r>
    </w:p>
    <w:p w14:paraId="132AC9F6"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لكي تتصف الميزة التنافسية بالاستدامة ولا تكون مجرد طفرة مؤقتة، يجب أن تخضع لمعايير إطار </w:t>
      </w:r>
      <w:r>
        <w:rPr>
          <w:rFonts w:ascii="Times New Roman" w:hAnsi="Times New Roman" w:cs="Simplified Arabic"/>
          <w:b/>
          <w:bCs/>
          <w:sz w:val="24"/>
          <w:szCs w:val="28"/>
          <w:rtl/>
        </w:rPr>
        <w:t>(</w:t>
      </w:r>
      <w:r>
        <w:rPr>
          <w:rFonts w:ascii="Times New Roman" w:hAnsi="Times New Roman" w:cs="Simplified Arabic"/>
          <w:b/>
          <w:bCs/>
          <w:sz w:val="24"/>
          <w:szCs w:val="28"/>
        </w:rPr>
        <w:t>VRIN</w:t>
      </w:r>
      <w:r>
        <w:rPr>
          <w:rFonts w:ascii="Times New Roman" w:hAnsi="Times New Roman" w:cs="Simplified Arabic"/>
          <w:b/>
          <w:bCs/>
          <w:sz w:val="24"/>
          <w:szCs w:val="28"/>
          <w:rtl/>
        </w:rPr>
        <w:t>)</w:t>
      </w:r>
      <w:r>
        <w:rPr>
          <w:rFonts w:ascii="Times New Roman" w:hAnsi="Times New Roman" w:cs="Simplified Arabic"/>
          <w:sz w:val="24"/>
          <w:szCs w:val="28"/>
          <w:rtl/>
        </w:rPr>
        <w:t xml:space="preserve"> الشهير، والذي يشترط أن تكون موارد الشركة وقدراتها: (ذات قيمة، نادرة، صعبة التقليد، </w:t>
      </w:r>
      <w:r>
        <w:rPr>
          <w:rFonts w:ascii="Times New Roman" w:hAnsi="Times New Roman" w:cs="Simplified Arabic"/>
          <w:sz w:val="24"/>
          <w:szCs w:val="28"/>
          <w:rtl/>
        </w:rPr>
        <w:lastRenderedPageBreak/>
        <w:t>وغير قابلة للاستبدال). وفي العصر الرقمي، تبرز البيانات والذكاء الاصطناعي كموارد تحقق هذه الشروط إذا أُحسن توظيفها.</w:t>
      </w:r>
    </w:p>
    <w:p w14:paraId="6B9295B1"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ويوضح الجدول الآتي مصفوفة مؤشرات قياس الميزة التنافسية في شركات التأمين وفق أحدث التوجهات الاستراتيجية:</w:t>
      </w:r>
    </w:p>
    <w:p w14:paraId="71859166" w14:textId="77777777" w:rsidR="007A604C" w:rsidRDefault="00000000">
      <w:pPr>
        <w:spacing w:after="0" w:line="276" w:lineRule="auto"/>
        <w:jc w:val="center"/>
        <w:rPr>
          <w:rFonts w:ascii="Times New Roman" w:hAnsi="Times New Roman" w:cs="Simplified Arabic"/>
          <w:b/>
          <w:bCs/>
          <w:sz w:val="20"/>
          <w:szCs w:val="24"/>
          <w:rtl/>
        </w:rPr>
      </w:pPr>
      <w:r>
        <w:rPr>
          <w:rFonts w:ascii="Times New Roman" w:hAnsi="Times New Roman" w:cs="Simplified Arabic"/>
          <w:b/>
          <w:bCs/>
          <w:sz w:val="20"/>
          <w:szCs w:val="24"/>
          <w:rtl/>
        </w:rPr>
        <w:t>جدول رقم (2): مؤشرات قياس الميزة التنافسية في قطاع التأمين</w:t>
      </w:r>
    </w:p>
    <w:tbl>
      <w:tblPr>
        <w:tblStyle w:val="4-11"/>
        <w:bidiVisual/>
        <w:tblW w:w="0" w:type="auto"/>
        <w:tblLook w:val="04A0" w:firstRow="1" w:lastRow="0" w:firstColumn="1" w:lastColumn="0" w:noHBand="0" w:noVBand="1"/>
      </w:tblPr>
      <w:tblGrid>
        <w:gridCol w:w="1229"/>
        <w:gridCol w:w="2150"/>
        <w:gridCol w:w="3808"/>
        <w:gridCol w:w="1251"/>
      </w:tblGrid>
      <w:tr w:rsidR="007A604C" w14:paraId="4D3DFA3C" w14:textId="77777777" w:rsidTr="007A60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27D7B0" w14:textId="77777777" w:rsidR="007A604C" w:rsidRDefault="00000000">
            <w:pPr>
              <w:spacing w:after="0" w:line="276" w:lineRule="auto"/>
              <w:ind w:firstLine="0"/>
              <w:jc w:val="center"/>
              <w:rPr>
                <w:sz w:val="20"/>
                <w:szCs w:val="24"/>
                <w:rtl/>
              </w:rPr>
            </w:pPr>
            <w:r>
              <w:rPr>
                <w:sz w:val="20"/>
                <w:szCs w:val="24"/>
                <w:rtl/>
              </w:rPr>
              <w:t>بُعد الميزة التنافسية</w:t>
            </w:r>
          </w:p>
        </w:tc>
        <w:tc>
          <w:tcPr>
            <w:tcW w:w="0" w:type="auto"/>
            <w:vAlign w:val="center"/>
            <w:hideMark/>
          </w:tcPr>
          <w:p w14:paraId="0F8A487E" w14:textId="77777777" w:rsidR="007A604C" w:rsidRDefault="00000000">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Pr>
                <w:sz w:val="20"/>
                <w:szCs w:val="24"/>
                <w:rtl/>
              </w:rPr>
              <w:t>توصيف المؤشر الوظيفي</w:t>
            </w:r>
          </w:p>
        </w:tc>
        <w:tc>
          <w:tcPr>
            <w:tcW w:w="0" w:type="auto"/>
            <w:vAlign w:val="center"/>
            <w:hideMark/>
          </w:tcPr>
          <w:p w14:paraId="470BBD2D" w14:textId="77777777" w:rsidR="007A604C" w:rsidRDefault="00000000">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Pr>
                <w:sz w:val="20"/>
                <w:szCs w:val="24"/>
                <w:rtl/>
              </w:rPr>
              <w:t>مؤشرات القياس المقترحة</w:t>
            </w:r>
          </w:p>
        </w:tc>
        <w:tc>
          <w:tcPr>
            <w:tcW w:w="0" w:type="auto"/>
            <w:vAlign w:val="center"/>
            <w:hideMark/>
          </w:tcPr>
          <w:p w14:paraId="2865320E" w14:textId="77777777" w:rsidR="007A604C" w:rsidRDefault="00000000">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Pr>
                <w:sz w:val="20"/>
                <w:szCs w:val="24"/>
                <w:rtl/>
              </w:rPr>
              <w:t>المرجع العلمي</w:t>
            </w:r>
          </w:p>
        </w:tc>
      </w:tr>
      <w:tr w:rsidR="007A604C" w14:paraId="623DC6BB" w14:textId="77777777" w:rsidTr="007A6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B59DA5" w14:textId="77777777" w:rsidR="007A604C" w:rsidRDefault="00000000">
            <w:pPr>
              <w:spacing w:after="0" w:line="276" w:lineRule="auto"/>
              <w:ind w:firstLine="0"/>
              <w:jc w:val="center"/>
              <w:rPr>
                <w:sz w:val="20"/>
                <w:szCs w:val="24"/>
                <w:rtl/>
              </w:rPr>
            </w:pPr>
            <w:r>
              <w:rPr>
                <w:sz w:val="20"/>
                <w:szCs w:val="24"/>
                <w:rtl/>
              </w:rPr>
              <w:t>التكلفة الأقل</w:t>
            </w:r>
          </w:p>
        </w:tc>
        <w:tc>
          <w:tcPr>
            <w:tcW w:w="0" w:type="auto"/>
            <w:vAlign w:val="center"/>
            <w:hideMark/>
          </w:tcPr>
          <w:p w14:paraId="1B6DB895"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الكفاءة في إدارة النفقات وتعظيم العائد.</w:t>
            </w:r>
          </w:p>
        </w:tc>
        <w:tc>
          <w:tcPr>
            <w:tcW w:w="0" w:type="auto"/>
            <w:vAlign w:val="center"/>
            <w:hideMark/>
          </w:tcPr>
          <w:p w14:paraId="5B4EE659"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نسبة المصروفات الإدارية إلى الأقساط، دقة تقدير الخسائر الفنية، معدل خفض الهدر.</w:t>
            </w:r>
          </w:p>
        </w:tc>
        <w:tc>
          <w:tcPr>
            <w:tcW w:w="0" w:type="auto"/>
            <w:vAlign w:val="center"/>
            <w:hideMark/>
          </w:tcPr>
          <w:p w14:paraId="7CE7C356"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(فتحي، 2021)</w:t>
            </w:r>
          </w:p>
        </w:tc>
      </w:tr>
      <w:tr w:rsidR="007A604C" w14:paraId="1599D05A" w14:textId="77777777" w:rsidTr="007A604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FDE3F3" w14:textId="77777777" w:rsidR="007A604C" w:rsidRDefault="00000000">
            <w:pPr>
              <w:spacing w:after="0" w:line="276" w:lineRule="auto"/>
              <w:ind w:firstLine="0"/>
              <w:jc w:val="center"/>
              <w:rPr>
                <w:sz w:val="20"/>
                <w:szCs w:val="24"/>
                <w:rtl/>
              </w:rPr>
            </w:pPr>
            <w:r>
              <w:rPr>
                <w:sz w:val="20"/>
                <w:szCs w:val="24"/>
                <w:rtl/>
              </w:rPr>
              <w:t>التميز والجودة</w:t>
            </w:r>
          </w:p>
        </w:tc>
        <w:tc>
          <w:tcPr>
            <w:tcW w:w="0" w:type="auto"/>
            <w:vAlign w:val="center"/>
            <w:hideMark/>
          </w:tcPr>
          <w:p w14:paraId="051ED053" w14:textId="77777777" w:rsidR="007A604C" w:rsidRDefault="00000000">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b/>
                <w:bCs/>
                <w:sz w:val="20"/>
                <w:szCs w:val="24"/>
                <w:rtl/>
              </w:rPr>
            </w:pPr>
            <w:r>
              <w:rPr>
                <w:b/>
                <w:bCs/>
                <w:sz w:val="20"/>
                <w:szCs w:val="24"/>
                <w:rtl/>
              </w:rPr>
              <w:t>القيمة المضافة والتفوق في تقديم الخدمة.</w:t>
            </w:r>
          </w:p>
        </w:tc>
        <w:tc>
          <w:tcPr>
            <w:tcW w:w="0" w:type="auto"/>
            <w:vAlign w:val="center"/>
            <w:hideMark/>
          </w:tcPr>
          <w:p w14:paraId="0A2ABB20" w14:textId="77777777" w:rsidR="007A604C" w:rsidRDefault="00000000">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b/>
                <w:bCs/>
                <w:sz w:val="20"/>
                <w:szCs w:val="24"/>
                <w:rtl/>
              </w:rPr>
            </w:pPr>
            <w:r>
              <w:rPr>
                <w:b/>
                <w:bCs/>
                <w:sz w:val="20"/>
                <w:szCs w:val="24"/>
                <w:rtl/>
              </w:rPr>
              <w:t>مؤشر رضا العملاء (</w:t>
            </w:r>
            <w:r>
              <w:rPr>
                <w:b/>
                <w:bCs/>
                <w:sz w:val="20"/>
                <w:szCs w:val="24"/>
              </w:rPr>
              <w:t>CSI</w:t>
            </w:r>
            <w:r>
              <w:rPr>
                <w:b/>
                <w:bCs/>
                <w:sz w:val="20"/>
                <w:szCs w:val="24"/>
                <w:rtl/>
              </w:rPr>
              <w:t>)، صافي نقاط الترويج (</w:t>
            </w:r>
            <w:r>
              <w:rPr>
                <w:b/>
                <w:bCs/>
                <w:sz w:val="20"/>
                <w:szCs w:val="24"/>
              </w:rPr>
              <w:t>NPS</w:t>
            </w:r>
            <w:r>
              <w:rPr>
                <w:b/>
                <w:bCs/>
                <w:sz w:val="20"/>
                <w:szCs w:val="24"/>
                <w:rtl/>
              </w:rPr>
              <w:t>)، زمن دورة تسوية المطالبات.</w:t>
            </w:r>
          </w:p>
        </w:tc>
        <w:tc>
          <w:tcPr>
            <w:tcW w:w="0" w:type="auto"/>
            <w:vAlign w:val="center"/>
            <w:hideMark/>
          </w:tcPr>
          <w:p w14:paraId="24596C3B" w14:textId="77777777" w:rsidR="007A604C" w:rsidRDefault="00000000">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b/>
                <w:bCs/>
                <w:sz w:val="20"/>
                <w:szCs w:val="24"/>
                <w:rtl/>
              </w:rPr>
            </w:pPr>
            <w:r>
              <w:rPr>
                <w:b/>
                <w:bCs/>
                <w:sz w:val="20"/>
                <w:szCs w:val="24"/>
                <w:rtl/>
              </w:rPr>
              <w:t>(</w:t>
            </w:r>
            <w:r>
              <w:rPr>
                <w:b/>
                <w:bCs/>
                <w:sz w:val="20"/>
                <w:szCs w:val="24"/>
              </w:rPr>
              <w:t>Razia et al., 2024</w:t>
            </w:r>
            <w:r>
              <w:rPr>
                <w:b/>
                <w:bCs/>
                <w:sz w:val="20"/>
                <w:szCs w:val="24"/>
                <w:rtl/>
              </w:rPr>
              <w:t>)</w:t>
            </w:r>
          </w:p>
        </w:tc>
      </w:tr>
      <w:tr w:rsidR="007A604C" w14:paraId="487F24EC" w14:textId="77777777" w:rsidTr="007A6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DADA05" w14:textId="77777777" w:rsidR="007A604C" w:rsidRDefault="00000000">
            <w:pPr>
              <w:spacing w:after="0" w:line="276" w:lineRule="auto"/>
              <w:ind w:firstLine="0"/>
              <w:jc w:val="center"/>
              <w:rPr>
                <w:sz w:val="20"/>
                <w:szCs w:val="24"/>
                <w:rtl/>
              </w:rPr>
            </w:pPr>
            <w:r>
              <w:rPr>
                <w:sz w:val="20"/>
                <w:szCs w:val="24"/>
                <w:rtl/>
              </w:rPr>
              <w:t>الابتكار</w:t>
            </w:r>
          </w:p>
        </w:tc>
        <w:tc>
          <w:tcPr>
            <w:tcW w:w="0" w:type="auto"/>
            <w:vAlign w:val="center"/>
            <w:hideMark/>
          </w:tcPr>
          <w:p w14:paraId="0EEADD0B"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القدرة على تجديد محفظة المنتجات والعمليات.</w:t>
            </w:r>
          </w:p>
        </w:tc>
        <w:tc>
          <w:tcPr>
            <w:tcW w:w="0" w:type="auto"/>
            <w:vAlign w:val="center"/>
            <w:hideMark/>
          </w:tcPr>
          <w:p w14:paraId="632E9FB3"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عدد المنتجات الرقمية المطلقة سنوياً، الحصة السوقية للابتكارات الجديدة، معدل التحول الرقمي.</w:t>
            </w:r>
          </w:p>
        </w:tc>
        <w:tc>
          <w:tcPr>
            <w:tcW w:w="0" w:type="auto"/>
            <w:vAlign w:val="center"/>
            <w:hideMark/>
          </w:tcPr>
          <w:p w14:paraId="0EB1726B"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(مزوز، 2023)</w:t>
            </w:r>
          </w:p>
        </w:tc>
      </w:tr>
    </w:tbl>
    <w:p w14:paraId="50B85876" w14:textId="77777777" w:rsidR="007A604C" w:rsidRDefault="00000000">
      <w:pPr>
        <w:spacing w:after="0" w:line="276" w:lineRule="auto"/>
        <w:jc w:val="center"/>
        <w:rPr>
          <w:rFonts w:ascii="Times New Roman" w:hAnsi="Times New Roman" w:cs="Simplified Arabic"/>
          <w:b/>
          <w:bCs/>
          <w:sz w:val="20"/>
          <w:szCs w:val="24"/>
          <w:rtl/>
        </w:rPr>
      </w:pPr>
      <w:r>
        <w:rPr>
          <w:rFonts w:ascii="Times New Roman" w:hAnsi="Times New Roman" w:cs="Simplified Arabic"/>
          <w:b/>
          <w:bCs/>
          <w:sz w:val="20"/>
          <w:szCs w:val="24"/>
          <w:rtl/>
        </w:rPr>
        <w:t>المصدر: إعداد الباحث بالاستناد إلى الأدبيات المشار إليها (2025).</w:t>
      </w:r>
    </w:p>
    <w:p w14:paraId="4B2681D4"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يُظهر التحليل المقارن في الجدول أعلاه حالة من التكامل العضوي بين الأبعاد الثلاثة؛ فالتكلفة المنخفضة توفر السيولة اللازمة لتمويل مشروعات الابتكار، بينما يضمن التميز النوعي في الخدمة بقاء العميل وتعزيز ولائه للعلامة التجارية، مما يخلق حلقة مفرغة من التفوق التنافسي يصعب على المنافسين اختراقها.</w:t>
      </w:r>
    </w:p>
    <w:p w14:paraId="1F4F8F7D" w14:textId="77777777" w:rsidR="007A604C" w:rsidRDefault="00000000">
      <w:pPr>
        <w:spacing w:after="0" w:line="360" w:lineRule="auto"/>
        <w:jc w:val="both"/>
        <w:rPr>
          <w:rFonts w:ascii="Times New Roman" w:hAnsi="Times New Roman" w:cs="Simplified Arabic"/>
          <w:b/>
          <w:bCs/>
          <w:sz w:val="24"/>
          <w:szCs w:val="28"/>
          <w:rtl/>
        </w:rPr>
      </w:pPr>
      <w:r>
        <w:rPr>
          <w:rFonts w:ascii="Times New Roman" w:hAnsi="Times New Roman" w:cs="Simplified Arabic"/>
          <w:b/>
          <w:bCs/>
          <w:sz w:val="24"/>
          <w:szCs w:val="28"/>
          <w:rtl/>
        </w:rPr>
        <w:t>6. دور الذكاء الاستراتيجي في اقتناص المزايا التنافسية</w:t>
      </w:r>
    </w:p>
    <w:p w14:paraId="4A407059"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يرتبط تحقيق الميزة التنافسية في بيئات التأمين المعقدة بمدى امتلاك الإدارة العليا لما يُعرف بـ </w:t>
      </w:r>
      <w:r>
        <w:rPr>
          <w:rFonts w:ascii="Times New Roman" w:hAnsi="Times New Roman" w:cs="Simplified Arabic"/>
          <w:b/>
          <w:bCs/>
          <w:sz w:val="24"/>
          <w:szCs w:val="28"/>
          <w:rtl/>
        </w:rPr>
        <w:t>"الذكاء الاستراتيجي" (</w:t>
      </w:r>
      <w:r>
        <w:rPr>
          <w:rFonts w:ascii="Times New Roman" w:hAnsi="Times New Roman" w:cs="Simplified Arabic"/>
          <w:b/>
          <w:bCs/>
          <w:sz w:val="24"/>
          <w:szCs w:val="28"/>
        </w:rPr>
        <w:t>Strategic Intelligence</w:t>
      </w:r>
      <w:r>
        <w:rPr>
          <w:rFonts w:ascii="Times New Roman" w:hAnsi="Times New Roman" w:cs="Simplified Arabic"/>
          <w:b/>
          <w:bCs/>
          <w:sz w:val="24"/>
          <w:szCs w:val="28"/>
          <w:rtl/>
        </w:rPr>
        <w:t>)</w:t>
      </w:r>
      <w:r>
        <w:rPr>
          <w:rFonts w:ascii="Times New Roman" w:hAnsi="Times New Roman" w:cs="Simplified Arabic"/>
          <w:sz w:val="24"/>
          <w:szCs w:val="28"/>
          <w:rtl/>
        </w:rPr>
        <w:t>. وهو القدرة على الاستشراف وقراءة الاتجاهات الضعيفة (</w:t>
      </w:r>
      <w:r>
        <w:rPr>
          <w:rFonts w:ascii="Times New Roman" w:hAnsi="Times New Roman" w:cs="Simplified Arabic"/>
          <w:sz w:val="24"/>
          <w:szCs w:val="28"/>
        </w:rPr>
        <w:t>Weak Signals</w:t>
      </w:r>
      <w:r>
        <w:rPr>
          <w:rFonts w:ascii="Times New Roman" w:hAnsi="Times New Roman" w:cs="Simplified Arabic"/>
          <w:sz w:val="24"/>
          <w:szCs w:val="28"/>
          <w:rtl/>
        </w:rPr>
        <w:t>) في السوق قبل أن تتحول إلى توجهات عامة.</w:t>
      </w:r>
    </w:p>
    <w:p w14:paraId="2522DA2E"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lastRenderedPageBreak/>
        <w:t>إن الذكاء الاستراتيجي يساهم في تحويل تدفقات المعلومات الخام إلى قرارات استراتيجية استباقية تعزز من تموضع الشركة في السوق (</w:t>
      </w:r>
      <w:r>
        <w:rPr>
          <w:rFonts w:ascii="Times New Roman" w:hAnsi="Times New Roman" w:cs="Simplified Arabic"/>
          <w:sz w:val="24"/>
          <w:szCs w:val="28"/>
        </w:rPr>
        <w:t>Market Positioning</w:t>
      </w:r>
      <w:r>
        <w:rPr>
          <w:rFonts w:ascii="Times New Roman" w:hAnsi="Times New Roman" w:cs="Simplified Arabic"/>
          <w:sz w:val="24"/>
          <w:szCs w:val="28"/>
          <w:rtl/>
        </w:rPr>
        <w:t>). فهو يعمل كمجسات استشعار تتيح للشركة اقتناص الفرص المتاحة في الفجوات التأمينية غير المغطاة، وتجنب التهديدات الناجمة عن التحولات التكنولوجية المتسارعة (المخلافي، 2025، ص. 370).</w:t>
      </w:r>
    </w:p>
    <w:p w14:paraId="4518D401"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hint="cs"/>
          <w:b/>
          <w:bCs/>
          <w:sz w:val="24"/>
          <w:szCs w:val="28"/>
          <w:rtl/>
        </w:rPr>
        <w:t>7</w:t>
      </w:r>
      <w:r>
        <w:rPr>
          <w:rFonts w:ascii="Times New Roman" w:hAnsi="Times New Roman" w:cs="Simplified Arabic"/>
          <w:b/>
          <w:bCs/>
          <w:sz w:val="24"/>
          <w:szCs w:val="28"/>
          <w:rtl/>
        </w:rPr>
        <w:t xml:space="preserve">. الابتكار كرافعة للميزة التنافسية المستدامة </w:t>
      </w:r>
    </w:p>
    <w:p w14:paraId="6489F42A"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في بيئة التأمين الحديثة، أصبح الابتكار المستمر هو الضمانة الوحيدة لاستدامة الميزة التنافسية. لم يعد التميز في "المنتج" كافياً، بل يجب التميز في "نموذج العمل" نفسه.</w:t>
      </w:r>
    </w:p>
    <w:p w14:paraId="1B68EC3E" w14:textId="77777777" w:rsidR="007A604C" w:rsidRDefault="00000000">
      <w:pPr>
        <w:numPr>
          <w:ilvl w:val="0"/>
          <w:numId w:val="46"/>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التأمين السلوكي (</w:t>
      </w:r>
      <w:r>
        <w:rPr>
          <w:rFonts w:ascii="Times New Roman" w:hAnsi="Times New Roman" w:cs="Simplified Arabic"/>
          <w:b/>
          <w:bCs/>
          <w:sz w:val="24"/>
          <w:szCs w:val="28"/>
        </w:rPr>
        <w:t>Usage-Based Insurance</w:t>
      </w:r>
      <w:r>
        <w:rPr>
          <w:rFonts w:ascii="Times New Roman" w:hAnsi="Times New Roman" w:cs="Simplified Arabic"/>
          <w:b/>
          <w:bCs/>
          <w:sz w:val="24"/>
          <w:szCs w:val="28"/>
          <w:rtl/>
        </w:rPr>
        <w:t>):</w:t>
      </w:r>
      <w:r>
        <w:rPr>
          <w:rFonts w:ascii="Times New Roman" w:hAnsi="Times New Roman" w:cs="Simplified Arabic"/>
          <w:sz w:val="24"/>
          <w:szCs w:val="28"/>
          <w:rtl/>
        </w:rPr>
        <w:t xml:space="preserve"> حيث تبتكر الشركات نماذج تسعير تعتمد على سلوك العميل الفعلي (مثل طريقة قيادته للسيارة) وليس فقط على التقديرات الإحصائية العامة.</w:t>
      </w:r>
    </w:p>
    <w:p w14:paraId="233BB91A" w14:textId="77777777" w:rsidR="007A604C" w:rsidRDefault="00000000">
      <w:pPr>
        <w:numPr>
          <w:ilvl w:val="0"/>
          <w:numId w:val="46"/>
        </w:numPr>
        <w:spacing w:after="0" w:line="360" w:lineRule="auto"/>
        <w:jc w:val="both"/>
        <w:rPr>
          <w:rFonts w:ascii="Times New Roman" w:hAnsi="Times New Roman" w:cs="Simplified Arabic"/>
          <w:sz w:val="24"/>
          <w:szCs w:val="28"/>
          <w:rtl/>
        </w:rPr>
      </w:pPr>
      <w:r>
        <w:rPr>
          <w:rFonts w:ascii="Times New Roman" w:hAnsi="Times New Roman" w:cs="Simplified Arabic"/>
          <w:b/>
          <w:bCs/>
          <w:sz w:val="24"/>
          <w:szCs w:val="28"/>
          <w:rtl/>
        </w:rPr>
        <w:t>التخصيص الفائق (</w:t>
      </w:r>
      <w:r>
        <w:rPr>
          <w:rFonts w:ascii="Times New Roman" w:hAnsi="Times New Roman" w:cs="Simplified Arabic"/>
          <w:b/>
          <w:bCs/>
          <w:sz w:val="24"/>
          <w:szCs w:val="28"/>
        </w:rPr>
        <w:t>Hyper-Personalization</w:t>
      </w:r>
      <w:r>
        <w:rPr>
          <w:rFonts w:ascii="Times New Roman" w:hAnsi="Times New Roman" w:cs="Simplified Arabic"/>
          <w:b/>
          <w:bCs/>
          <w:sz w:val="24"/>
          <w:szCs w:val="28"/>
          <w:rtl/>
        </w:rPr>
        <w:t>):</w:t>
      </w:r>
      <w:r>
        <w:rPr>
          <w:rFonts w:ascii="Times New Roman" w:hAnsi="Times New Roman" w:cs="Simplified Arabic"/>
          <w:sz w:val="24"/>
          <w:szCs w:val="28"/>
          <w:rtl/>
        </w:rPr>
        <w:t xml:space="preserve"> استخدام البيانات الضخمة لتصميم وثيقة تأمين "مفصلة" على مقاس احتياجات كل فرد، مما يجعل محاكاة هذا العرض من قبل المنافسين أمراً غاية في الصعوبة بسبب الارتباط العميق ببيانات العميل الخاصة.</w:t>
      </w:r>
    </w:p>
    <w:p w14:paraId="4538E539" w14:textId="77777777" w:rsidR="007A604C" w:rsidRDefault="00000000">
      <w:pPr>
        <w:spacing w:after="0" w:line="360" w:lineRule="auto"/>
        <w:jc w:val="both"/>
        <w:rPr>
          <w:rFonts w:ascii="Times New Roman" w:hAnsi="Times New Roman" w:cs="Simplified Arabic"/>
          <w:b/>
          <w:bCs/>
          <w:sz w:val="24"/>
          <w:szCs w:val="28"/>
          <w:rtl/>
        </w:rPr>
      </w:pPr>
      <w:r>
        <w:rPr>
          <w:rFonts w:ascii="Times New Roman" w:hAnsi="Times New Roman" w:cs="Simplified Arabic"/>
          <w:b/>
          <w:bCs/>
          <w:sz w:val="24"/>
          <w:szCs w:val="28"/>
          <w:rtl/>
        </w:rPr>
        <w:t>تعقيب على المبحث الثاني:</w:t>
      </w:r>
    </w:p>
    <w:p w14:paraId="32BEA030"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من خلال ما تم طرحه، يستنتج الباحث أن الميزة التنافسية في قطاع التأمين قد شهدت تحولاً دراماتيكياً؛ حيث انتقلت من مفهوم "الميزة الساكنة" (</w:t>
      </w:r>
      <w:r>
        <w:rPr>
          <w:rFonts w:ascii="Times New Roman" w:hAnsi="Times New Roman" w:cs="Simplified Arabic"/>
          <w:sz w:val="24"/>
          <w:szCs w:val="28"/>
        </w:rPr>
        <w:t>Static Advantage</w:t>
      </w:r>
      <w:r>
        <w:rPr>
          <w:rFonts w:ascii="Times New Roman" w:hAnsi="Times New Roman" w:cs="Simplified Arabic"/>
          <w:sz w:val="24"/>
          <w:szCs w:val="28"/>
          <w:rtl/>
        </w:rPr>
        <w:t>) التي كانت ترتكز تاريخياً على حجم رأس المال والانتشار الجغرافي، إلى مفهوم "الميزة الديناميكية" (</w:t>
      </w:r>
      <w:r>
        <w:rPr>
          <w:rFonts w:ascii="Times New Roman" w:hAnsi="Times New Roman" w:cs="Simplified Arabic"/>
          <w:sz w:val="24"/>
          <w:szCs w:val="28"/>
        </w:rPr>
        <w:t>Dynamic Advantage</w:t>
      </w:r>
      <w:r>
        <w:rPr>
          <w:rFonts w:ascii="Times New Roman" w:hAnsi="Times New Roman" w:cs="Simplified Arabic"/>
          <w:sz w:val="24"/>
          <w:szCs w:val="28"/>
          <w:rtl/>
        </w:rPr>
        <w:t>) القائمة على تدفق المعرفة وسرعة التنفيذ.</w:t>
      </w:r>
    </w:p>
    <w:p w14:paraId="56141B2A"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 xml:space="preserve">ويرى الباحث أن التحدي الأكبر الذي يواجه شركات التأمين اليوم ليس في "تحقيق" الميزة التنافسية، بل في "استدامتها"؛ إذ إن سرعة التقليد التقني وسهولة انتقال التكنولوجيا تجعل من التفوق التقني </w:t>
      </w:r>
      <w:r>
        <w:rPr>
          <w:rFonts w:ascii="Times New Roman" w:hAnsi="Times New Roman" w:cs="Simplified Arabic"/>
          <w:sz w:val="24"/>
          <w:szCs w:val="28"/>
          <w:rtl/>
        </w:rPr>
        <w:lastRenderedPageBreak/>
        <w:t>المجرد ميزة قصيرة الأمد. لذا، فإن "الابتكار المستمر" والقدرة الفائقة على "إدارة التغيير التنظيمي" هما الضمان الوحيد للريادة.</w:t>
      </w:r>
    </w:p>
    <w:p w14:paraId="5C631045" w14:textId="77777777" w:rsidR="007A604C" w:rsidRDefault="00000000">
      <w:pPr>
        <w:spacing w:after="0" w:line="360" w:lineRule="auto"/>
        <w:jc w:val="both"/>
        <w:rPr>
          <w:rFonts w:ascii="Times New Roman" w:hAnsi="Times New Roman" w:cs="Simplified Arabic"/>
          <w:sz w:val="24"/>
          <w:szCs w:val="28"/>
          <w:rtl/>
        </w:rPr>
      </w:pPr>
      <w:r>
        <w:rPr>
          <w:rFonts w:ascii="Times New Roman" w:hAnsi="Times New Roman" w:cs="Simplified Arabic"/>
          <w:sz w:val="24"/>
          <w:szCs w:val="28"/>
          <w:rtl/>
        </w:rPr>
        <w:t>وبناءً عليه، يخلص الباحث إلى أن الميزة التنافسية الحقيقية في العصر الرقمي تكمن في "المرونة التنظيمية" (</w:t>
      </w:r>
      <w:r>
        <w:rPr>
          <w:rFonts w:ascii="Times New Roman" w:hAnsi="Times New Roman" w:cs="Simplified Arabic"/>
          <w:sz w:val="24"/>
          <w:szCs w:val="28"/>
        </w:rPr>
        <w:t>Organizational Agility</w:t>
      </w:r>
      <w:r>
        <w:rPr>
          <w:rFonts w:ascii="Times New Roman" w:hAnsi="Times New Roman" w:cs="Simplified Arabic"/>
          <w:sz w:val="24"/>
          <w:szCs w:val="28"/>
          <w:rtl/>
        </w:rPr>
        <w:t>)؛ وهي القدرة التي تسمح للشركة بإعادة تشكيل مواردها ودمج التقنيات الحديثة (كالذكاء الاصطناعي) في صلب استراتيجيتها التنافسية، لتصبح التكنولوجيا جزءاً من الحمض النووي (</w:t>
      </w:r>
      <w:r>
        <w:rPr>
          <w:rFonts w:ascii="Times New Roman" w:hAnsi="Times New Roman" w:cs="Simplified Arabic"/>
          <w:sz w:val="24"/>
          <w:szCs w:val="28"/>
        </w:rPr>
        <w:t>DNA</w:t>
      </w:r>
      <w:r>
        <w:rPr>
          <w:rFonts w:ascii="Times New Roman" w:hAnsi="Times New Roman" w:cs="Simplified Arabic"/>
          <w:sz w:val="24"/>
          <w:szCs w:val="28"/>
          <w:rtl/>
        </w:rPr>
        <w:t>) للمؤسسة وليس مجرد أداة ملحقة بها.</w:t>
      </w:r>
    </w:p>
    <w:p w14:paraId="5F740420" w14:textId="77777777" w:rsidR="007A604C" w:rsidRDefault="007A604C">
      <w:pPr>
        <w:spacing w:after="0" w:line="360" w:lineRule="auto"/>
        <w:ind w:firstLine="510"/>
        <w:jc w:val="both"/>
        <w:rPr>
          <w:rFonts w:ascii="Times New Roman" w:hAnsi="Times New Roman" w:cs="Simplified Arabic"/>
          <w:sz w:val="24"/>
          <w:szCs w:val="28"/>
          <w:rtl/>
        </w:rPr>
      </w:pPr>
    </w:p>
    <w:p w14:paraId="00CF3065" w14:textId="77777777" w:rsidR="007A604C" w:rsidRDefault="007A604C">
      <w:pPr>
        <w:bidi w:val="0"/>
        <w:spacing w:after="200" w:line="276" w:lineRule="auto"/>
        <w:rPr>
          <w:rFonts w:ascii="Times New Roman" w:hAnsi="Times New Roman" w:cs="Simplified Arabic"/>
          <w:b/>
          <w:bCs/>
          <w:sz w:val="24"/>
          <w:szCs w:val="28"/>
        </w:rPr>
      </w:pPr>
    </w:p>
    <w:p w14:paraId="27805455" w14:textId="77777777" w:rsidR="007A604C" w:rsidRDefault="00000000">
      <w:pPr>
        <w:bidi w:val="0"/>
        <w:spacing w:after="200" w:line="276" w:lineRule="auto"/>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012FF8DB" w14:textId="77777777" w:rsidR="007A604C" w:rsidRDefault="00000000">
      <w:pPr>
        <w:spacing w:after="0" w:line="360" w:lineRule="auto"/>
        <w:ind w:firstLine="510"/>
        <w:jc w:val="center"/>
        <w:rPr>
          <w:rFonts w:ascii="Times New Roman" w:hAnsi="Times New Roman" w:cs="Simplified Arabic"/>
          <w:b/>
          <w:bCs/>
          <w:sz w:val="28"/>
          <w:szCs w:val="32"/>
          <w:rtl/>
        </w:rPr>
      </w:pPr>
      <w:r>
        <w:rPr>
          <w:rFonts w:ascii="Times New Roman" w:hAnsi="Times New Roman" w:cs="Simplified Arabic"/>
          <w:b/>
          <w:bCs/>
          <w:sz w:val="28"/>
          <w:szCs w:val="32"/>
          <w:rtl/>
        </w:rPr>
        <w:lastRenderedPageBreak/>
        <w:t>المبحث الثالث: أثر تقنيات الذكاء الاصطناعي في تعزيز الميزة التنافسية لشركات التأمين</w:t>
      </w:r>
    </w:p>
    <w:p w14:paraId="286A9C7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يُمثل هذا المبحث حلقة الوصل بين القدرات التقنية والمخرجات الاستراتيجية، إذ يسعى لتفسير الكيفية التي تتحول بها الخوارزميات إلى قيم تنافسية ملموسة. وفيما يلي تفصيل للمحاور الجوهرية لهذا المبحث:</w:t>
      </w:r>
    </w:p>
    <w:p w14:paraId="1D01A4EA"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1. المنطلقات النظرية للعلاقة بين الذكاء الاصطناعي والميزة التنافسية:</w:t>
      </w:r>
    </w:p>
    <w:p w14:paraId="63206F43"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 xml:space="preserve">تستند العلاقة بين المتغيرين إلى </w:t>
      </w:r>
      <w:r>
        <w:rPr>
          <w:rFonts w:ascii="Times New Roman" w:hAnsi="Times New Roman" w:cs="Simplified Arabic"/>
          <w:b/>
          <w:bCs/>
          <w:sz w:val="24"/>
          <w:szCs w:val="28"/>
          <w:rtl/>
        </w:rPr>
        <w:t>"نظرية الموارد (</w:t>
      </w:r>
      <w:r>
        <w:rPr>
          <w:rFonts w:ascii="Times New Roman" w:hAnsi="Times New Roman" w:cs="Simplified Arabic"/>
          <w:b/>
          <w:bCs/>
          <w:sz w:val="24"/>
          <w:szCs w:val="28"/>
        </w:rPr>
        <w:t>Resource-Based View - RBV</w:t>
      </w:r>
      <w:r>
        <w:rPr>
          <w:rFonts w:ascii="Times New Roman" w:hAnsi="Times New Roman" w:cs="Simplified Arabic"/>
          <w:b/>
          <w:bCs/>
          <w:sz w:val="24"/>
          <w:szCs w:val="28"/>
          <w:rtl/>
        </w:rPr>
        <w:t>)"</w:t>
      </w:r>
      <w:r>
        <w:rPr>
          <w:rFonts w:ascii="Times New Roman" w:hAnsi="Times New Roman" w:cs="Simplified Arabic"/>
          <w:sz w:val="24"/>
          <w:szCs w:val="28"/>
          <w:rtl/>
        </w:rPr>
        <w:t>، التي تفترض أن امتلاك الشركة لموارد نادرة وقيمة وغير قابلة للمحاكاة يُعد مصدراً للميزة التنافسية. وفي هذا السياق، تُمثل خوارزميات الذكاء الاصطناعي والبيانات الضخمة "أصولاً معرفية" تمنح شركات التأمين قدرة فائقة على تحليل المخاطر بأسلوب يعجز عنه المنافسون التقليديون (</w:t>
      </w:r>
      <w:r>
        <w:rPr>
          <w:rFonts w:ascii="Times New Roman" w:hAnsi="Times New Roman" w:cs="Simplified Arabic"/>
          <w:sz w:val="24"/>
          <w:szCs w:val="28"/>
        </w:rPr>
        <w:t>Krakowski et al., 2023, P. 1438</w:t>
      </w:r>
      <w:r>
        <w:rPr>
          <w:rFonts w:ascii="Times New Roman" w:hAnsi="Times New Roman" w:cs="Simplified Arabic"/>
          <w:sz w:val="24"/>
          <w:szCs w:val="28"/>
          <w:rtl/>
        </w:rPr>
        <w:t xml:space="preserve">). كما تلتقي هذه العلاقة مع </w:t>
      </w:r>
      <w:r>
        <w:rPr>
          <w:rFonts w:ascii="Times New Roman" w:hAnsi="Times New Roman" w:cs="Simplified Arabic"/>
          <w:b/>
          <w:bCs/>
          <w:sz w:val="24"/>
          <w:szCs w:val="28"/>
          <w:rtl/>
        </w:rPr>
        <w:t>"نظرية القدرات الديناميكية"</w:t>
      </w:r>
      <w:r>
        <w:rPr>
          <w:rFonts w:ascii="Times New Roman" w:hAnsi="Times New Roman" w:cs="Simplified Arabic"/>
          <w:sz w:val="24"/>
          <w:szCs w:val="28"/>
          <w:rtl/>
        </w:rPr>
        <w:t>، حيث تؤدي تقنيات الذكاء الاصطناعي دور المُمكّن للمنظمة لإعادة تشكيل كفاءاتها لمواجهة التغيرات البيئية السريعة (سليمان سبع، 2024، ص. 935).</w:t>
      </w:r>
    </w:p>
    <w:p w14:paraId="6E593767"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2. دور تعلم الآلة في تحقيق ريادة التكلفة:</w:t>
      </w:r>
    </w:p>
    <w:p w14:paraId="6FAF50FE"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يؤدي استخدام تعلم الآلة (</w:t>
      </w:r>
      <w:r>
        <w:rPr>
          <w:rFonts w:ascii="Times New Roman" w:hAnsi="Times New Roman" w:cs="Simplified Arabic"/>
          <w:sz w:val="24"/>
          <w:szCs w:val="28"/>
        </w:rPr>
        <w:t>Machine Learning</w:t>
      </w:r>
      <w:r>
        <w:rPr>
          <w:rFonts w:ascii="Times New Roman" w:hAnsi="Times New Roman" w:cs="Simplified Arabic"/>
          <w:sz w:val="24"/>
          <w:szCs w:val="28"/>
          <w:rtl/>
        </w:rPr>
        <w:t>) إلى تحويل هيكل التكاليف في شركات التأمين عبر أتمتة عمليات الاكتتاب (</w:t>
      </w:r>
      <w:r>
        <w:rPr>
          <w:rFonts w:ascii="Times New Roman" w:hAnsi="Times New Roman" w:cs="Simplified Arabic"/>
          <w:sz w:val="24"/>
          <w:szCs w:val="28"/>
        </w:rPr>
        <w:t>Underwriting</w:t>
      </w:r>
      <w:r>
        <w:rPr>
          <w:rFonts w:ascii="Times New Roman" w:hAnsi="Times New Roman" w:cs="Simplified Arabic"/>
          <w:sz w:val="24"/>
          <w:szCs w:val="28"/>
          <w:rtl/>
        </w:rPr>
        <w:t>) وتقليل الاعتماد على التدخل البشري الكثيف. وتؤكد دراسة (</w:t>
      </w:r>
      <w:r>
        <w:rPr>
          <w:rFonts w:ascii="Times New Roman" w:hAnsi="Times New Roman" w:cs="Simplified Arabic"/>
          <w:sz w:val="24"/>
          <w:szCs w:val="28"/>
        </w:rPr>
        <w:t>Ahluwalia &amp; Mishra, 2022, P. 48</w:t>
      </w:r>
      <w:r>
        <w:rPr>
          <w:rFonts w:ascii="Times New Roman" w:hAnsi="Times New Roman" w:cs="Simplified Arabic"/>
          <w:sz w:val="24"/>
          <w:szCs w:val="28"/>
          <w:rtl/>
        </w:rPr>
        <w:t>) أن القدرة التنبؤية العالية لهذه التقنية تساهم في خفض معدلات الخسارة (</w:t>
      </w:r>
      <w:r>
        <w:rPr>
          <w:rFonts w:ascii="Times New Roman" w:hAnsi="Times New Roman" w:cs="Simplified Arabic"/>
          <w:sz w:val="24"/>
          <w:szCs w:val="28"/>
        </w:rPr>
        <w:t>Loss Ratio</w:t>
      </w:r>
      <w:r>
        <w:rPr>
          <w:rFonts w:ascii="Times New Roman" w:hAnsi="Times New Roman" w:cs="Simplified Arabic"/>
          <w:sz w:val="24"/>
          <w:szCs w:val="28"/>
          <w:rtl/>
        </w:rPr>
        <w:t>) من خلال الكشف المبكر عن المطالبات الاحتيالية وتحديد التسعير العادل بناءً على درجة الخطورة الحقيقية، مما يمنح الشركة ميزة "التكلفة الأقل" بفاعلية عالية.</w:t>
      </w:r>
    </w:p>
    <w:p w14:paraId="33C313BD" w14:textId="77777777" w:rsidR="007A604C" w:rsidRDefault="007A604C">
      <w:pPr>
        <w:spacing w:after="0" w:line="360" w:lineRule="auto"/>
        <w:ind w:firstLine="510"/>
        <w:jc w:val="both"/>
        <w:rPr>
          <w:rFonts w:ascii="Times New Roman" w:hAnsi="Times New Roman" w:cs="Simplified Arabic"/>
          <w:sz w:val="24"/>
          <w:szCs w:val="28"/>
          <w:rtl/>
        </w:rPr>
      </w:pPr>
    </w:p>
    <w:p w14:paraId="5DD9100D" w14:textId="77777777" w:rsidR="007A604C" w:rsidRDefault="007A604C">
      <w:pPr>
        <w:spacing w:after="0" w:line="360" w:lineRule="auto"/>
        <w:ind w:firstLine="510"/>
        <w:jc w:val="both"/>
        <w:rPr>
          <w:rFonts w:ascii="Times New Roman" w:hAnsi="Times New Roman" w:cs="Simplified Arabic"/>
          <w:sz w:val="24"/>
          <w:szCs w:val="28"/>
          <w:rtl/>
        </w:rPr>
      </w:pPr>
    </w:p>
    <w:p w14:paraId="6B49AD1E"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3. مساهمة معالجة اللغات الطبيعية في تميز الخدمة التأمينية:</w:t>
      </w:r>
    </w:p>
    <w:p w14:paraId="04835568"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تُسهم تقنيات معالجة اللغات الطبيعية (</w:t>
      </w:r>
      <w:r>
        <w:rPr>
          <w:rFonts w:ascii="Times New Roman" w:hAnsi="Times New Roman" w:cs="Simplified Arabic"/>
          <w:sz w:val="24"/>
          <w:szCs w:val="28"/>
        </w:rPr>
        <w:t>NLP</w:t>
      </w:r>
      <w:r>
        <w:rPr>
          <w:rFonts w:ascii="Times New Roman" w:hAnsi="Times New Roman" w:cs="Simplified Arabic"/>
          <w:sz w:val="24"/>
          <w:szCs w:val="28"/>
          <w:rtl/>
        </w:rPr>
        <w:t xml:space="preserve">) في خلق تجربة عميل استثنائية من خلال توفير قنوات اتصال ذكية تعمل على مدار الساعة. إن التفاعل اللحظي والدقيق مع استفسارات العملاء يؤدي إلى تحسين جودة الخدمة المدركة، وهو ما يُعد بُعداً جوهرياً للتميز التنافسي (إلينغ وآخرون، </w:t>
      </w:r>
      <w:r>
        <w:rPr>
          <w:rFonts w:ascii="Times New Roman" w:hAnsi="Times New Roman" w:cs="Simplified Arabic"/>
          <w:sz w:val="24"/>
          <w:szCs w:val="28"/>
        </w:rPr>
        <w:t>Eling et al., 2022, P. 218</w:t>
      </w:r>
      <w:r>
        <w:rPr>
          <w:rFonts w:ascii="Times New Roman" w:hAnsi="Times New Roman" w:cs="Simplified Arabic"/>
          <w:sz w:val="24"/>
          <w:szCs w:val="28"/>
          <w:rtl/>
        </w:rPr>
        <w:t>). وبهذا الصدد، أشارت دراسة (جاد، 2023م) إلى أن توظيف هذه التطبيقات يُقلص زمن الاستجابة، مما يعزز من الصورة الذهنية للشركة مقارنة بالمنافسين.</w:t>
      </w:r>
    </w:p>
    <w:p w14:paraId="3D7033D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4. أثر الرؤية الحاسوبية في ابتكار العمليات والمخرجات:</w:t>
      </w:r>
    </w:p>
    <w:p w14:paraId="1481E719"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تسمح الرؤية الحاسوبية (</w:t>
      </w:r>
      <w:r>
        <w:rPr>
          <w:rFonts w:ascii="Times New Roman" w:hAnsi="Times New Roman" w:cs="Simplified Arabic"/>
          <w:sz w:val="24"/>
          <w:szCs w:val="28"/>
        </w:rPr>
        <w:t>Computer Vision</w:t>
      </w:r>
      <w:r>
        <w:rPr>
          <w:rFonts w:ascii="Times New Roman" w:hAnsi="Times New Roman" w:cs="Simplified Arabic"/>
          <w:sz w:val="24"/>
          <w:szCs w:val="28"/>
          <w:rtl/>
        </w:rPr>
        <w:t>) لشركات التأمين بابتكار طرق غير مسبوقة في معاينة الأضرار وتسوية المطالبات. إن الانتقال من المعاينة الميدانية التقليدية إلى المعاينة الرقمية الفورية يُمثل ابتكاراً في العمليات (</w:t>
      </w:r>
      <w:r>
        <w:rPr>
          <w:rFonts w:ascii="Times New Roman" w:hAnsi="Times New Roman" w:cs="Simplified Arabic"/>
          <w:sz w:val="24"/>
          <w:szCs w:val="28"/>
        </w:rPr>
        <w:t>Process Innovation</w:t>
      </w:r>
      <w:r>
        <w:rPr>
          <w:rFonts w:ascii="Times New Roman" w:hAnsi="Times New Roman" w:cs="Simplified Arabic"/>
          <w:sz w:val="24"/>
          <w:szCs w:val="28"/>
          <w:rtl/>
        </w:rPr>
        <w:t>) يرفع من الكفاءة التشغيلية ويحقق سبقاً تنافسياً في سرعة التعويض (</w:t>
      </w:r>
      <w:r>
        <w:rPr>
          <w:rFonts w:ascii="Times New Roman" w:hAnsi="Times New Roman" w:cs="Simplified Arabic"/>
          <w:sz w:val="24"/>
          <w:szCs w:val="28"/>
        </w:rPr>
        <w:t>Zarifis et al., 2023, P. 8</w:t>
      </w:r>
      <w:r>
        <w:rPr>
          <w:rFonts w:ascii="Times New Roman" w:hAnsi="Times New Roman" w:cs="Simplified Arabic"/>
          <w:sz w:val="24"/>
          <w:szCs w:val="28"/>
          <w:rtl/>
        </w:rPr>
        <w:t>).</w:t>
      </w:r>
    </w:p>
    <w:p w14:paraId="568B66B3"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 xml:space="preserve">5. التكامل بين الذكاء الاستراتيجي وتقنيات </w:t>
      </w:r>
      <w:r>
        <w:rPr>
          <w:rFonts w:ascii="Times New Roman" w:hAnsi="Times New Roman" w:cs="Simplified Arabic"/>
          <w:b/>
          <w:bCs/>
          <w:sz w:val="24"/>
          <w:szCs w:val="28"/>
        </w:rPr>
        <w:t>AI</w:t>
      </w:r>
      <w:r>
        <w:rPr>
          <w:rFonts w:ascii="Times New Roman" w:hAnsi="Times New Roman" w:cs="Simplified Arabic"/>
          <w:b/>
          <w:bCs/>
          <w:sz w:val="24"/>
          <w:szCs w:val="28"/>
          <w:rtl/>
        </w:rPr>
        <w:t xml:space="preserve"> لاقتناص الفرص السوقية:</w:t>
      </w:r>
    </w:p>
    <w:p w14:paraId="3CEFB8D8"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يرتبط نجاح تقنيات الذكاء الاصطناعي بمدى توفر رؤية استراتيجية تستشرف المستقبل. ويبرز الجدول الآتي مصفوفة التأثير المتبادل بين أبعاد الدراسة:</w:t>
      </w:r>
    </w:p>
    <w:p w14:paraId="53930BD0" w14:textId="77777777" w:rsidR="007A604C" w:rsidRDefault="00000000">
      <w:pPr>
        <w:spacing w:after="0" w:line="276" w:lineRule="auto"/>
        <w:jc w:val="center"/>
        <w:rPr>
          <w:rFonts w:ascii="Times New Roman" w:hAnsi="Times New Roman" w:cs="Simplified Arabic"/>
          <w:b/>
          <w:bCs/>
          <w:sz w:val="20"/>
          <w:szCs w:val="24"/>
          <w:rtl/>
        </w:rPr>
      </w:pPr>
      <w:r>
        <w:rPr>
          <w:rFonts w:ascii="Times New Roman" w:hAnsi="Times New Roman" w:cs="Simplified Arabic"/>
          <w:b/>
          <w:bCs/>
          <w:sz w:val="20"/>
          <w:szCs w:val="24"/>
          <w:rtl/>
        </w:rPr>
        <w:t>جدول رقم (3): مصفوفة أثر تقنيات الذكاء الاصطناعي في أبعاد الميزة التنافسية</w:t>
      </w:r>
    </w:p>
    <w:tbl>
      <w:tblPr>
        <w:tblStyle w:val="4-11"/>
        <w:bidiVisual/>
        <w:tblW w:w="0" w:type="auto"/>
        <w:tblInd w:w="5" w:type="dxa"/>
        <w:tblLook w:val="04A0" w:firstRow="1" w:lastRow="0" w:firstColumn="1" w:lastColumn="0" w:noHBand="0" w:noVBand="1"/>
      </w:tblPr>
      <w:tblGrid>
        <w:gridCol w:w="1975"/>
        <w:gridCol w:w="1931"/>
        <w:gridCol w:w="4527"/>
      </w:tblGrid>
      <w:tr w:rsidR="007A604C" w14:paraId="12A1EE0F" w14:textId="77777777" w:rsidTr="007A60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390021" w14:textId="77777777" w:rsidR="007A604C" w:rsidRDefault="00000000">
            <w:pPr>
              <w:spacing w:after="0" w:line="276" w:lineRule="auto"/>
              <w:ind w:firstLine="0"/>
              <w:jc w:val="center"/>
              <w:rPr>
                <w:sz w:val="20"/>
                <w:szCs w:val="24"/>
                <w:rtl/>
              </w:rPr>
            </w:pPr>
            <w:r>
              <w:rPr>
                <w:sz w:val="20"/>
                <w:szCs w:val="24"/>
                <w:rtl/>
              </w:rPr>
              <w:t>تقنية الذكاء الاصطناعي</w:t>
            </w:r>
          </w:p>
        </w:tc>
        <w:tc>
          <w:tcPr>
            <w:tcW w:w="1931" w:type="dxa"/>
            <w:vAlign w:val="center"/>
            <w:hideMark/>
          </w:tcPr>
          <w:p w14:paraId="64C6DC76" w14:textId="77777777" w:rsidR="007A604C" w:rsidRDefault="00000000">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Pr>
                <w:sz w:val="20"/>
                <w:szCs w:val="24"/>
                <w:rtl/>
              </w:rPr>
              <w:t>بُعد الميزة التنافسية المستهدف</w:t>
            </w:r>
          </w:p>
        </w:tc>
        <w:tc>
          <w:tcPr>
            <w:tcW w:w="4527" w:type="dxa"/>
            <w:vAlign w:val="center"/>
            <w:hideMark/>
          </w:tcPr>
          <w:p w14:paraId="3C0478FA" w14:textId="77777777" w:rsidR="007A604C" w:rsidRDefault="00000000">
            <w:pPr>
              <w:spacing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Pr>
                <w:sz w:val="20"/>
                <w:szCs w:val="24"/>
                <w:rtl/>
              </w:rPr>
              <w:t>آلية التأثير الاستراتيجي</w:t>
            </w:r>
          </w:p>
        </w:tc>
      </w:tr>
      <w:tr w:rsidR="007A604C" w14:paraId="19FBD23E" w14:textId="77777777" w:rsidTr="007A6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3663C1" w14:textId="77777777" w:rsidR="007A604C" w:rsidRDefault="00000000">
            <w:pPr>
              <w:spacing w:after="0" w:line="276" w:lineRule="auto"/>
              <w:ind w:firstLine="0"/>
              <w:jc w:val="center"/>
              <w:rPr>
                <w:sz w:val="20"/>
                <w:szCs w:val="24"/>
                <w:rtl/>
              </w:rPr>
            </w:pPr>
            <w:r>
              <w:rPr>
                <w:sz w:val="20"/>
                <w:szCs w:val="24"/>
                <w:rtl/>
              </w:rPr>
              <w:t>تعلم الآلة</w:t>
            </w:r>
          </w:p>
        </w:tc>
        <w:tc>
          <w:tcPr>
            <w:tcW w:w="1931" w:type="dxa"/>
            <w:vAlign w:val="center"/>
            <w:hideMark/>
          </w:tcPr>
          <w:p w14:paraId="669DC6B1"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التكلفة الأقل</w:t>
            </w:r>
          </w:p>
        </w:tc>
        <w:tc>
          <w:tcPr>
            <w:tcW w:w="4527" w:type="dxa"/>
            <w:vAlign w:val="center"/>
            <w:hideMark/>
          </w:tcPr>
          <w:p w14:paraId="4DDC5D80"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خفض نسب الاحتيال ودقة تسعير المخاطر.</w:t>
            </w:r>
          </w:p>
        </w:tc>
      </w:tr>
      <w:tr w:rsidR="007A604C" w14:paraId="76113005" w14:textId="77777777" w:rsidTr="007A604C">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BD46B9" w14:textId="77777777" w:rsidR="007A604C" w:rsidRDefault="00000000">
            <w:pPr>
              <w:spacing w:after="0" w:line="276" w:lineRule="auto"/>
              <w:ind w:firstLine="0"/>
              <w:jc w:val="center"/>
              <w:rPr>
                <w:sz w:val="20"/>
                <w:szCs w:val="24"/>
                <w:rtl/>
              </w:rPr>
            </w:pPr>
            <w:r>
              <w:rPr>
                <w:sz w:val="20"/>
                <w:szCs w:val="24"/>
                <w:rtl/>
              </w:rPr>
              <w:t>معالجة اللغات (</w:t>
            </w:r>
            <w:r>
              <w:rPr>
                <w:sz w:val="20"/>
                <w:szCs w:val="24"/>
              </w:rPr>
              <w:t>NLP</w:t>
            </w:r>
            <w:r>
              <w:rPr>
                <w:sz w:val="20"/>
                <w:szCs w:val="24"/>
                <w:rtl/>
              </w:rPr>
              <w:t>)</w:t>
            </w:r>
          </w:p>
        </w:tc>
        <w:tc>
          <w:tcPr>
            <w:tcW w:w="1931" w:type="dxa"/>
            <w:vAlign w:val="center"/>
            <w:hideMark/>
          </w:tcPr>
          <w:p w14:paraId="344F1BDF" w14:textId="77777777" w:rsidR="007A604C" w:rsidRDefault="00000000">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b/>
                <w:bCs/>
                <w:sz w:val="20"/>
                <w:szCs w:val="24"/>
                <w:rtl/>
              </w:rPr>
            </w:pPr>
            <w:r>
              <w:rPr>
                <w:b/>
                <w:bCs/>
                <w:sz w:val="20"/>
                <w:szCs w:val="24"/>
                <w:rtl/>
              </w:rPr>
              <w:t>التميز/ الجودة</w:t>
            </w:r>
          </w:p>
        </w:tc>
        <w:tc>
          <w:tcPr>
            <w:tcW w:w="4527" w:type="dxa"/>
            <w:vAlign w:val="center"/>
            <w:hideMark/>
          </w:tcPr>
          <w:p w14:paraId="59ED0CCE" w14:textId="77777777" w:rsidR="007A604C" w:rsidRDefault="00000000">
            <w:pPr>
              <w:spacing w:after="0" w:line="276" w:lineRule="auto"/>
              <w:ind w:firstLine="0"/>
              <w:jc w:val="center"/>
              <w:cnfStyle w:val="000000000000" w:firstRow="0" w:lastRow="0" w:firstColumn="0" w:lastColumn="0" w:oddVBand="0" w:evenVBand="0" w:oddHBand="0" w:evenHBand="0" w:firstRowFirstColumn="0" w:firstRowLastColumn="0" w:lastRowFirstColumn="0" w:lastRowLastColumn="0"/>
              <w:rPr>
                <w:b/>
                <w:bCs/>
                <w:sz w:val="20"/>
                <w:szCs w:val="24"/>
                <w:rtl/>
              </w:rPr>
            </w:pPr>
            <w:r>
              <w:rPr>
                <w:b/>
                <w:bCs/>
                <w:sz w:val="20"/>
                <w:szCs w:val="24"/>
                <w:rtl/>
              </w:rPr>
              <w:t>رفع كفاءة التفاعل مع العملاء وشخصنة الخدمات.</w:t>
            </w:r>
          </w:p>
        </w:tc>
      </w:tr>
      <w:tr w:rsidR="007A604C" w14:paraId="69514682" w14:textId="77777777" w:rsidTr="007A6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6C3352" w14:textId="77777777" w:rsidR="007A604C" w:rsidRDefault="00000000">
            <w:pPr>
              <w:spacing w:after="0" w:line="276" w:lineRule="auto"/>
              <w:ind w:firstLine="0"/>
              <w:jc w:val="center"/>
              <w:rPr>
                <w:sz w:val="20"/>
                <w:szCs w:val="24"/>
                <w:rtl/>
              </w:rPr>
            </w:pPr>
            <w:r>
              <w:rPr>
                <w:sz w:val="20"/>
                <w:szCs w:val="24"/>
                <w:rtl/>
              </w:rPr>
              <w:t>الرؤية الحاسوبية</w:t>
            </w:r>
          </w:p>
        </w:tc>
        <w:tc>
          <w:tcPr>
            <w:tcW w:w="1931" w:type="dxa"/>
            <w:vAlign w:val="center"/>
            <w:hideMark/>
          </w:tcPr>
          <w:p w14:paraId="2DF97BE0"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الابتكار</w:t>
            </w:r>
          </w:p>
        </w:tc>
        <w:tc>
          <w:tcPr>
            <w:tcW w:w="4527" w:type="dxa"/>
            <w:vAlign w:val="center"/>
            <w:hideMark/>
          </w:tcPr>
          <w:p w14:paraId="571204DC" w14:textId="77777777" w:rsidR="007A604C" w:rsidRDefault="00000000">
            <w:pPr>
              <w:spacing w:after="0" w:line="276" w:lineRule="auto"/>
              <w:ind w:firstLine="0"/>
              <w:jc w:val="center"/>
              <w:cnfStyle w:val="000000100000" w:firstRow="0" w:lastRow="0" w:firstColumn="0" w:lastColumn="0" w:oddVBand="0" w:evenVBand="0" w:oddHBand="1" w:evenHBand="0" w:firstRowFirstColumn="0" w:firstRowLastColumn="0" w:lastRowFirstColumn="0" w:lastRowLastColumn="0"/>
              <w:rPr>
                <w:b/>
                <w:bCs/>
                <w:sz w:val="20"/>
                <w:szCs w:val="24"/>
                <w:rtl/>
              </w:rPr>
            </w:pPr>
            <w:r>
              <w:rPr>
                <w:b/>
                <w:bCs/>
                <w:sz w:val="20"/>
                <w:szCs w:val="24"/>
                <w:rtl/>
              </w:rPr>
              <w:t>رقمنة معاينة الأضرار وتطوير منتجات تأمينية لحظية.</w:t>
            </w:r>
          </w:p>
        </w:tc>
      </w:tr>
    </w:tbl>
    <w:p w14:paraId="6E0ADA37" w14:textId="77777777" w:rsidR="007A604C" w:rsidRDefault="00000000">
      <w:pPr>
        <w:spacing w:after="0" w:line="276" w:lineRule="auto"/>
        <w:jc w:val="center"/>
        <w:rPr>
          <w:rFonts w:ascii="Times New Roman" w:hAnsi="Times New Roman" w:cs="Simplified Arabic"/>
          <w:b/>
          <w:bCs/>
          <w:sz w:val="20"/>
          <w:szCs w:val="24"/>
          <w:rtl/>
        </w:rPr>
      </w:pPr>
      <w:r>
        <w:rPr>
          <w:rFonts w:ascii="Times New Roman" w:hAnsi="Times New Roman" w:cs="Simplified Arabic"/>
          <w:b/>
          <w:bCs/>
          <w:sz w:val="20"/>
          <w:szCs w:val="24"/>
          <w:rtl/>
        </w:rPr>
        <w:t>المصدر: إعداد الباحث بالاعتماد على (فتحي، 2021؛ ورازيا وآخرون، 2024).</w:t>
      </w:r>
    </w:p>
    <w:p w14:paraId="31626CE3"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i/>
          <w:iCs/>
          <w:sz w:val="24"/>
          <w:szCs w:val="28"/>
          <w:rtl/>
        </w:rPr>
        <w:lastRenderedPageBreak/>
        <w:t xml:space="preserve"> يوضح الجدول أن التكامل بين الأبعاد التقنية يغطي كافة زوايا الميزة التنافسية، مما يخلق تفوقاً شمولياً للمؤسسة.</w:t>
      </w:r>
    </w:p>
    <w:p w14:paraId="27F81283"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6. الذكاء الاصطناعي كأداة لتعزيز الاستدامة التنافسية:</w:t>
      </w:r>
    </w:p>
    <w:p w14:paraId="72EB0174"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لا يقتصر أثر الذكاء الاصطناعي على المكاسب القريبة، بل يمتد لبناء ميزة تنافسية مستدامة من خلال "التعلم المستمر" للخوارزميات؛ فكلما زادت البيانات، زادت دقة النظام، وصعب على المنافسين الجدد سد هذه الفجوة المعرفية (</w:t>
      </w:r>
      <w:r>
        <w:rPr>
          <w:rFonts w:ascii="Times New Roman" w:hAnsi="Times New Roman" w:cs="Simplified Arabic"/>
          <w:sz w:val="24"/>
          <w:szCs w:val="28"/>
        </w:rPr>
        <w:t>Acosta-Prado et al., 2024, P. 195</w:t>
      </w:r>
      <w:r>
        <w:rPr>
          <w:rFonts w:ascii="Times New Roman" w:hAnsi="Times New Roman" w:cs="Simplified Arabic"/>
          <w:sz w:val="24"/>
          <w:szCs w:val="28"/>
          <w:rtl/>
        </w:rPr>
        <w:t>).</w:t>
      </w:r>
    </w:p>
    <w:p w14:paraId="3CA3C57D"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b/>
          <w:bCs/>
          <w:sz w:val="24"/>
          <w:szCs w:val="28"/>
          <w:rtl/>
        </w:rPr>
        <w:t>تعقيب الباحث على المبحث الثالث:</w:t>
      </w:r>
    </w:p>
    <w:p w14:paraId="71DC1A1C"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يستخلص الباحث أن العلاقة بين الذكاء الاصطناعي والميزة التنافسية هي علاقة "تمكينية تبادلية"؛ إذ إن التقنية ليست غاية في حد ذاتها، بل هي الوسيلة التي تُحول البيانات الصامتة إلى قرارات استراتيجية ذكية. ويرى الباحث أن الميزة التنافسية الناتجة عن الذكاء الاصطناعي تتسم بـ "الديناميكية العالية"، مما يتطلب من شركات التأمين تحديث خوارزمياتها باستمرار لضمان عدم تآكل تفوقها أمام المنافسين الرقميين.</w:t>
      </w:r>
    </w:p>
    <w:p w14:paraId="23E28BE0" w14:textId="77777777" w:rsidR="007A604C" w:rsidRDefault="00000000">
      <w:pPr>
        <w:spacing w:after="0" w:line="360" w:lineRule="auto"/>
        <w:ind w:firstLine="510"/>
        <w:jc w:val="both"/>
        <w:rPr>
          <w:rFonts w:ascii="Times New Roman" w:hAnsi="Times New Roman" w:cs="Simplified Arabic"/>
          <w:b/>
          <w:bCs/>
          <w:sz w:val="24"/>
          <w:szCs w:val="28"/>
          <w:rtl/>
        </w:rPr>
      </w:pPr>
      <w:r>
        <w:rPr>
          <w:rFonts w:ascii="Times New Roman" w:hAnsi="Times New Roman" w:cs="Simplified Arabic"/>
          <w:b/>
          <w:bCs/>
          <w:sz w:val="24"/>
          <w:szCs w:val="28"/>
          <w:rtl/>
        </w:rPr>
        <w:t>خاتمة الإطار النظري</w:t>
      </w:r>
    </w:p>
    <w:p w14:paraId="451CD2D6" w14:textId="77777777" w:rsidR="007A604C" w:rsidRDefault="00000000">
      <w:pPr>
        <w:spacing w:after="0" w:line="360" w:lineRule="auto"/>
        <w:ind w:firstLine="510"/>
        <w:jc w:val="both"/>
        <w:rPr>
          <w:rFonts w:ascii="Times New Roman" w:hAnsi="Times New Roman" w:cs="Simplified Arabic"/>
          <w:sz w:val="24"/>
          <w:szCs w:val="28"/>
          <w:rtl/>
        </w:rPr>
      </w:pPr>
      <w:r>
        <w:rPr>
          <w:rFonts w:ascii="Times New Roman" w:hAnsi="Times New Roman" w:cs="Simplified Arabic"/>
          <w:sz w:val="24"/>
          <w:szCs w:val="28"/>
          <w:rtl/>
        </w:rPr>
        <w:t>في ختام هذا العرض النظري الموسع، تم تأصيل المتغيرات البحثية بدءاً من الماهية التقنية للذكاء الاصطناعي، وصولاً إلى أثره الجوهري في صياغة الميزة التنافسية. وقد خلص الإطار النظري إلى أن شركات التأمين التي تنجح في دمج تعلم الآلة، ومعالجة اللغات، والرؤية الحاسوبية ضمن استراتيجياتها، ستكون الأكثر قدرة على تحقيق ريادة التكلفة والتميز والابتكار. وبهذا، تكتمل الصورة النظرية لتبدأ مرحلة التحقق الميداني من هذه العلاقات في الفصل القادم.</w:t>
      </w:r>
    </w:p>
    <w:p w14:paraId="7DD13A00" w14:textId="77777777" w:rsidR="007A604C" w:rsidRDefault="007A604C">
      <w:pPr>
        <w:spacing w:after="0" w:line="360" w:lineRule="auto"/>
        <w:jc w:val="both"/>
        <w:rPr>
          <w:rFonts w:ascii="Times New Roman" w:hAnsi="Times New Roman" w:cs="Simplified Arabic"/>
          <w:sz w:val="24"/>
          <w:szCs w:val="28"/>
          <w:rtl/>
        </w:rPr>
      </w:pPr>
    </w:p>
    <w:sectPr w:rsidR="007A604C">
      <w:footerReference w:type="default" r:id="rId9"/>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61F0B" w14:textId="77777777" w:rsidR="00927341" w:rsidRDefault="00927341">
      <w:pPr>
        <w:spacing w:after="0" w:line="240" w:lineRule="auto"/>
      </w:pPr>
      <w:r>
        <w:separator/>
      </w:r>
    </w:p>
  </w:endnote>
  <w:endnote w:type="continuationSeparator" w:id="0">
    <w:p w14:paraId="1AA92060" w14:textId="77777777" w:rsidR="00927341" w:rsidRDefault="00927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PT Bold Heading">
    <w:altName w:val="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altName w:val="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D7DA" w14:textId="77777777" w:rsidR="007A604C" w:rsidRDefault="00000000">
    <w:pPr>
      <w:pStyle w:val="Footer"/>
      <w:jc w:val="center"/>
    </w:pPr>
    <w:r>
      <w:fldChar w:fldCharType="begin"/>
    </w:r>
    <w:r>
      <w:instrText>PAGE   \* MERGEFORMAT</w:instrText>
    </w:r>
    <w:r>
      <w:fldChar w:fldCharType="separate"/>
    </w:r>
    <w:r>
      <w:rPr>
        <w:rtl/>
        <w:lang w:val="ar-SA"/>
      </w:rPr>
      <w:t>2</w:t>
    </w:r>
    <w:r>
      <w:fldChar w:fldCharType="end"/>
    </w:r>
  </w:p>
  <w:p w14:paraId="3D867D58" w14:textId="77777777" w:rsidR="007A604C" w:rsidRDefault="007A604C">
    <w:pPr>
      <w:pStyle w:val="Footer"/>
      <w:jc w:val="center"/>
      <w:rPr>
        <w:rFonts w:cs="Simplified Arabic"/>
        <w:b/>
        <w:bCs/>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97A87" w14:textId="77777777" w:rsidR="00927341" w:rsidRDefault="00927341">
      <w:pPr>
        <w:spacing w:after="0" w:line="240" w:lineRule="auto"/>
      </w:pPr>
      <w:r>
        <w:separator/>
      </w:r>
    </w:p>
  </w:footnote>
  <w:footnote w:type="continuationSeparator" w:id="0">
    <w:p w14:paraId="2BBF32E9" w14:textId="77777777" w:rsidR="00927341" w:rsidRDefault="00927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55C873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1"/>
    <w:multiLevelType w:val="multilevel"/>
    <w:tmpl w:val="CDCEDEC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2"/>
    <w:multiLevelType w:val="multilevel"/>
    <w:tmpl w:val="732CD0B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3"/>
    <w:multiLevelType w:val="multilevel"/>
    <w:tmpl w:val="75B883BA"/>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4"/>
    <w:multiLevelType w:val="multilevel"/>
    <w:tmpl w:val="CE8EB43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5"/>
    <w:multiLevelType w:val="multilevel"/>
    <w:tmpl w:val="F308278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6"/>
    <w:multiLevelType w:val="multilevel"/>
    <w:tmpl w:val="82CA1F72"/>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7"/>
    <w:multiLevelType w:val="multilevel"/>
    <w:tmpl w:val="C14CFBF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8"/>
    <w:multiLevelType w:val="multilevel"/>
    <w:tmpl w:val="5DC2550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9"/>
    <w:multiLevelType w:val="multilevel"/>
    <w:tmpl w:val="F0C4180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A"/>
    <w:multiLevelType w:val="multilevel"/>
    <w:tmpl w:val="3A0AE92C"/>
    <w:lvl w:ilvl="0">
      <w:start w:val="6"/>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0B"/>
    <w:multiLevelType w:val="multilevel"/>
    <w:tmpl w:val="6BCE463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C"/>
    <w:multiLevelType w:val="multilevel"/>
    <w:tmpl w:val="141A836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D"/>
    <w:multiLevelType w:val="multilevel"/>
    <w:tmpl w:val="181E933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E"/>
    <w:multiLevelType w:val="hybridMultilevel"/>
    <w:tmpl w:val="5E8237F8"/>
    <w:lvl w:ilvl="0" w:tplc="04090005">
      <w:start w:val="1"/>
      <w:numFmt w:val="bullet"/>
      <w:lvlText w:val=""/>
      <w:lvlJc w:val="left"/>
      <w:pPr>
        <w:ind w:left="1781" w:hanging="720"/>
      </w:pPr>
      <w:rPr>
        <w:rFonts w:ascii="Wingdings" w:hAnsi="Wingdings" w:hint="default"/>
        <w:b/>
      </w:rPr>
    </w:lvl>
    <w:lvl w:ilvl="1" w:tplc="6A1C1E54" w:tentative="1">
      <w:start w:val="1"/>
      <w:numFmt w:val="lowerLetter"/>
      <w:lvlText w:val="%2."/>
      <w:lvlJc w:val="left"/>
      <w:pPr>
        <w:ind w:left="2141" w:hanging="360"/>
      </w:pPr>
    </w:lvl>
    <w:lvl w:ilvl="2" w:tplc="FF5ADC06" w:tentative="1">
      <w:start w:val="1"/>
      <w:numFmt w:val="lowerRoman"/>
      <w:lvlText w:val="%3."/>
      <w:lvlJc w:val="right"/>
      <w:pPr>
        <w:ind w:left="2861" w:hanging="180"/>
      </w:pPr>
    </w:lvl>
    <w:lvl w:ilvl="3" w:tplc="75F81B4E" w:tentative="1">
      <w:start w:val="1"/>
      <w:numFmt w:val="decimal"/>
      <w:lvlText w:val="%4."/>
      <w:lvlJc w:val="left"/>
      <w:pPr>
        <w:ind w:left="3581" w:hanging="360"/>
      </w:pPr>
    </w:lvl>
    <w:lvl w:ilvl="4" w:tplc="E20ED50A" w:tentative="1">
      <w:start w:val="1"/>
      <w:numFmt w:val="lowerLetter"/>
      <w:lvlText w:val="%5."/>
      <w:lvlJc w:val="left"/>
      <w:pPr>
        <w:ind w:left="4301" w:hanging="360"/>
      </w:pPr>
    </w:lvl>
    <w:lvl w:ilvl="5" w:tplc="8250D304" w:tentative="1">
      <w:start w:val="1"/>
      <w:numFmt w:val="lowerRoman"/>
      <w:lvlText w:val="%6."/>
      <w:lvlJc w:val="right"/>
      <w:pPr>
        <w:ind w:left="5021" w:hanging="180"/>
      </w:pPr>
    </w:lvl>
    <w:lvl w:ilvl="6" w:tplc="DF5A089A" w:tentative="1">
      <w:start w:val="1"/>
      <w:numFmt w:val="decimal"/>
      <w:lvlText w:val="%7."/>
      <w:lvlJc w:val="left"/>
      <w:pPr>
        <w:ind w:left="5741" w:hanging="360"/>
      </w:pPr>
    </w:lvl>
    <w:lvl w:ilvl="7" w:tplc="7EAC3108" w:tentative="1">
      <w:start w:val="1"/>
      <w:numFmt w:val="lowerLetter"/>
      <w:lvlText w:val="%8."/>
      <w:lvlJc w:val="left"/>
      <w:pPr>
        <w:ind w:left="6461" w:hanging="360"/>
      </w:pPr>
    </w:lvl>
    <w:lvl w:ilvl="8" w:tplc="87CC4672" w:tentative="1">
      <w:start w:val="1"/>
      <w:numFmt w:val="lowerRoman"/>
      <w:lvlText w:val="%9."/>
      <w:lvlJc w:val="right"/>
      <w:pPr>
        <w:ind w:left="7181" w:hanging="180"/>
      </w:pPr>
    </w:lvl>
  </w:abstractNum>
  <w:abstractNum w:abstractNumId="15" w15:restartNumberingAfterBreak="0">
    <w:nsid w:val="0000000F"/>
    <w:multiLevelType w:val="multilevel"/>
    <w:tmpl w:val="ACD0356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0"/>
    <w:multiLevelType w:val="multilevel"/>
    <w:tmpl w:val="6286049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1"/>
    <w:multiLevelType w:val="multilevel"/>
    <w:tmpl w:val="AE78C4C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2"/>
    <w:multiLevelType w:val="multilevel"/>
    <w:tmpl w:val="440878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3"/>
    <w:multiLevelType w:val="hybridMultilevel"/>
    <w:tmpl w:val="09AC6516"/>
    <w:lvl w:ilvl="0" w:tplc="04090005">
      <w:start w:val="1"/>
      <w:numFmt w:val="bullet"/>
      <w:lvlText w:val=""/>
      <w:lvlJc w:val="left"/>
      <w:pPr>
        <w:ind w:left="1797" w:hanging="360"/>
      </w:pPr>
      <w:rPr>
        <w:rFonts w:ascii="Wingdings" w:hAnsi="Wingdings" w:hint="default"/>
      </w:rPr>
    </w:lvl>
    <w:lvl w:ilvl="1" w:tplc="2B444FD4" w:tentative="1">
      <w:start w:val="1"/>
      <w:numFmt w:val="bullet"/>
      <w:lvlText w:val="o"/>
      <w:lvlJc w:val="left"/>
      <w:pPr>
        <w:ind w:left="2517" w:hanging="360"/>
      </w:pPr>
      <w:rPr>
        <w:rFonts w:ascii="Courier New" w:hAnsi="Courier New" w:cs="Courier New" w:hint="default"/>
      </w:rPr>
    </w:lvl>
    <w:lvl w:ilvl="2" w:tplc="C636A65C" w:tentative="1">
      <w:start w:val="1"/>
      <w:numFmt w:val="bullet"/>
      <w:lvlText w:val=""/>
      <w:lvlJc w:val="left"/>
      <w:pPr>
        <w:ind w:left="3237" w:hanging="360"/>
      </w:pPr>
      <w:rPr>
        <w:rFonts w:ascii="Wingdings" w:hAnsi="Wingdings" w:hint="default"/>
      </w:rPr>
    </w:lvl>
    <w:lvl w:ilvl="3" w:tplc="C02846F2" w:tentative="1">
      <w:start w:val="1"/>
      <w:numFmt w:val="bullet"/>
      <w:lvlText w:val=""/>
      <w:lvlJc w:val="left"/>
      <w:pPr>
        <w:ind w:left="3957" w:hanging="360"/>
      </w:pPr>
      <w:rPr>
        <w:rFonts w:ascii="Symbol" w:hAnsi="Symbol" w:hint="default"/>
      </w:rPr>
    </w:lvl>
    <w:lvl w:ilvl="4" w:tplc="4684BAB6" w:tentative="1">
      <w:start w:val="1"/>
      <w:numFmt w:val="bullet"/>
      <w:lvlText w:val="o"/>
      <w:lvlJc w:val="left"/>
      <w:pPr>
        <w:ind w:left="4677" w:hanging="360"/>
      </w:pPr>
      <w:rPr>
        <w:rFonts w:ascii="Courier New" w:hAnsi="Courier New" w:cs="Courier New" w:hint="default"/>
      </w:rPr>
    </w:lvl>
    <w:lvl w:ilvl="5" w:tplc="5768B52C" w:tentative="1">
      <w:start w:val="1"/>
      <w:numFmt w:val="bullet"/>
      <w:lvlText w:val=""/>
      <w:lvlJc w:val="left"/>
      <w:pPr>
        <w:ind w:left="5397" w:hanging="360"/>
      </w:pPr>
      <w:rPr>
        <w:rFonts w:ascii="Wingdings" w:hAnsi="Wingdings" w:hint="default"/>
      </w:rPr>
    </w:lvl>
    <w:lvl w:ilvl="6" w:tplc="ED405352" w:tentative="1">
      <w:start w:val="1"/>
      <w:numFmt w:val="bullet"/>
      <w:lvlText w:val=""/>
      <w:lvlJc w:val="left"/>
      <w:pPr>
        <w:ind w:left="6117" w:hanging="360"/>
      </w:pPr>
      <w:rPr>
        <w:rFonts w:ascii="Symbol" w:hAnsi="Symbol" w:hint="default"/>
      </w:rPr>
    </w:lvl>
    <w:lvl w:ilvl="7" w:tplc="F2D45F9E" w:tentative="1">
      <w:start w:val="1"/>
      <w:numFmt w:val="bullet"/>
      <w:lvlText w:val="o"/>
      <w:lvlJc w:val="left"/>
      <w:pPr>
        <w:ind w:left="6837" w:hanging="360"/>
      </w:pPr>
      <w:rPr>
        <w:rFonts w:ascii="Courier New" w:hAnsi="Courier New" w:cs="Courier New" w:hint="default"/>
      </w:rPr>
    </w:lvl>
    <w:lvl w:ilvl="8" w:tplc="C1383180" w:tentative="1">
      <w:start w:val="1"/>
      <w:numFmt w:val="bullet"/>
      <w:lvlText w:val=""/>
      <w:lvlJc w:val="left"/>
      <w:pPr>
        <w:ind w:left="7557" w:hanging="360"/>
      </w:pPr>
      <w:rPr>
        <w:rFonts w:ascii="Wingdings" w:hAnsi="Wingdings" w:hint="default"/>
      </w:rPr>
    </w:lvl>
  </w:abstractNum>
  <w:abstractNum w:abstractNumId="20" w15:restartNumberingAfterBreak="0">
    <w:nsid w:val="00000014"/>
    <w:multiLevelType w:val="multilevel"/>
    <w:tmpl w:val="749E6B0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5"/>
    <w:multiLevelType w:val="multilevel"/>
    <w:tmpl w:val="B0A40FF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6"/>
    <w:multiLevelType w:val="multilevel"/>
    <w:tmpl w:val="090C6414"/>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3" w15:restartNumberingAfterBreak="0">
    <w:nsid w:val="00000017"/>
    <w:multiLevelType w:val="multilevel"/>
    <w:tmpl w:val="ACE8E294"/>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4" w15:restartNumberingAfterBreak="0">
    <w:nsid w:val="00000018"/>
    <w:multiLevelType w:val="multilevel"/>
    <w:tmpl w:val="C93460A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9"/>
    <w:multiLevelType w:val="multilevel"/>
    <w:tmpl w:val="C84ECBB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A"/>
    <w:multiLevelType w:val="multilevel"/>
    <w:tmpl w:val="2D9C422A"/>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7" w15:restartNumberingAfterBreak="0">
    <w:nsid w:val="0000001B"/>
    <w:multiLevelType w:val="multilevel"/>
    <w:tmpl w:val="090C6414"/>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8" w15:restartNumberingAfterBreak="0">
    <w:nsid w:val="0000001C"/>
    <w:multiLevelType w:val="multilevel"/>
    <w:tmpl w:val="2EB2BD5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9" w15:restartNumberingAfterBreak="0">
    <w:nsid w:val="0000001D"/>
    <w:multiLevelType w:val="multilevel"/>
    <w:tmpl w:val="64E6245E"/>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0" w15:restartNumberingAfterBreak="0">
    <w:nsid w:val="0000001E"/>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15:restartNumberingAfterBreak="0">
    <w:nsid w:val="0000001F"/>
    <w:multiLevelType w:val="multilevel"/>
    <w:tmpl w:val="64EE926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00000020"/>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0000021"/>
    <w:multiLevelType w:val="multilevel"/>
    <w:tmpl w:val="7ADCA87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4" w15:restartNumberingAfterBreak="0">
    <w:nsid w:val="00000022"/>
    <w:multiLevelType w:val="multilevel"/>
    <w:tmpl w:val="3EE6931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00000023"/>
    <w:multiLevelType w:val="multilevel"/>
    <w:tmpl w:val="23CCAA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00000024"/>
    <w:multiLevelType w:val="multilevel"/>
    <w:tmpl w:val="9104CA9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00000025"/>
    <w:multiLevelType w:val="multilevel"/>
    <w:tmpl w:val="CE7C242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00000026"/>
    <w:multiLevelType w:val="multilevel"/>
    <w:tmpl w:val="93140A1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00000027"/>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0000028"/>
    <w:multiLevelType w:val="multilevel"/>
    <w:tmpl w:val="7236096C"/>
    <w:lvl w:ilvl="0">
      <w:start w:val="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1" w15:restartNumberingAfterBreak="0">
    <w:nsid w:val="00000029"/>
    <w:multiLevelType w:val="multilevel"/>
    <w:tmpl w:val="A7304D2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2" w15:restartNumberingAfterBreak="0">
    <w:nsid w:val="0000002A"/>
    <w:multiLevelType w:val="multilevel"/>
    <w:tmpl w:val="BA0ABCC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0000002B"/>
    <w:multiLevelType w:val="multilevel"/>
    <w:tmpl w:val="DEF8848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4" w15:restartNumberingAfterBreak="0">
    <w:nsid w:val="0000002C"/>
    <w:multiLevelType w:val="multilevel"/>
    <w:tmpl w:val="E3C81DA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5" w15:restartNumberingAfterBreak="0">
    <w:nsid w:val="0000002D"/>
    <w:multiLevelType w:val="multilevel"/>
    <w:tmpl w:val="19F2B15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534538568">
    <w:abstractNumId w:val="14"/>
  </w:num>
  <w:num w:numId="2" w16cid:durableId="2098862847">
    <w:abstractNumId w:val="19"/>
  </w:num>
  <w:num w:numId="3" w16cid:durableId="456140181">
    <w:abstractNumId w:val="30"/>
  </w:num>
  <w:num w:numId="4" w16cid:durableId="795564029">
    <w:abstractNumId w:val="32"/>
  </w:num>
  <w:num w:numId="5" w16cid:durableId="1310087589">
    <w:abstractNumId w:val="39"/>
  </w:num>
  <w:num w:numId="6" w16cid:durableId="304354999">
    <w:abstractNumId w:val="25"/>
  </w:num>
  <w:num w:numId="7" w16cid:durableId="574054712">
    <w:abstractNumId w:val="23"/>
  </w:num>
  <w:num w:numId="8" w16cid:durableId="1717123303">
    <w:abstractNumId w:val="12"/>
  </w:num>
  <w:num w:numId="9" w16cid:durableId="867641325">
    <w:abstractNumId w:val="42"/>
  </w:num>
  <w:num w:numId="10" w16cid:durableId="1133405848">
    <w:abstractNumId w:val="24"/>
  </w:num>
  <w:num w:numId="11" w16cid:durableId="166599441">
    <w:abstractNumId w:val="11"/>
  </w:num>
  <w:num w:numId="12" w16cid:durableId="571353572">
    <w:abstractNumId w:val="36"/>
  </w:num>
  <w:num w:numId="13" w16cid:durableId="1332490637">
    <w:abstractNumId w:val="33"/>
  </w:num>
  <w:num w:numId="14" w16cid:durableId="1783766415">
    <w:abstractNumId w:val="21"/>
  </w:num>
  <w:num w:numId="15" w16cid:durableId="222757517">
    <w:abstractNumId w:val="4"/>
  </w:num>
  <w:num w:numId="16" w16cid:durableId="128057590">
    <w:abstractNumId w:val="28"/>
  </w:num>
  <w:num w:numId="17" w16cid:durableId="1029527573">
    <w:abstractNumId w:val="34"/>
  </w:num>
  <w:num w:numId="18" w16cid:durableId="1796437231">
    <w:abstractNumId w:val="40"/>
  </w:num>
  <w:num w:numId="19" w16cid:durableId="1915702659">
    <w:abstractNumId w:val="17"/>
  </w:num>
  <w:num w:numId="20" w16cid:durableId="384836214">
    <w:abstractNumId w:val="29"/>
  </w:num>
  <w:num w:numId="21" w16cid:durableId="1349410553">
    <w:abstractNumId w:val="38"/>
  </w:num>
  <w:num w:numId="22" w16cid:durableId="1628271338">
    <w:abstractNumId w:val="10"/>
  </w:num>
  <w:num w:numId="23" w16cid:durableId="1168403325">
    <w:abstractNumId w:val="20"/>
  </w:num>
  <w:num w:numId="24" w16cid:durableId="818110598">
    <w:abstractNumId w:val="43"/>
  </w:num>
  <w:num w:numId="25" w16cid:durableId="874079598">
    <w:abstractNumId w:val="5"/>
  </w:num>
  <w:num w:numId="26" w16cid:durableId="1571040873">
    <w:abstractNumId w:val="35"/>
  </w:num>
  <w:num w:numId="27" w16cid:durableId="792677000">
    <w:abstractNumId w:val="6"/>
  </w:num>
  <w:num w:numId="28" w16cid:durableId="1770810640">
    <w:abstractNumId w:val="41"/>
  </w:num>
  <w:num w:numId="29" w16cid:durableId="1301614802">
    <w:abstractNumId w:val="9"/>
  </w:num>
  <w:num w:numId="30" w16cid:durableId="350960526">
    <w:abstractNumId w:val="31"/>
  </w:num>
  <w:num w:numId="31" w16cid:durableId="1018124180">
    <w:abstractNumId w:val="44"/>
  </w:num>
  <w:num w:numId="32" w16cid:durableId="1919754840">
    <w:abstractNumId w:val="45"/>
  </w:num>
  <w:num w:numId="33" w16cid:durableId="1367366397">
    <w:abstractNumId w:val="2"/>
  </w:num>
  <w:num w:numId="34" w16cid:durableId="393813850">
    <w:abstractNumId w:val="3"/>
  </w:num>
  <w:num w:numId="35" w16cid:durableId="1730373992">
    <w:abstractNumId w:val="8"/>
  </w:num>
  <w:num w:numId="36" w16cid:durableId="1993949466">
    <w:abstractNumId w:val="26"/>
  </w:num>
  <w:num w:numId="37" w16cid:durableId="526215241">
    <w:abstractNumId w:val="18"/>
  </w:num>
  <w:num w:numId="38" w16cid:durableId="433017708">
    <w:abstractNumId w:val="27"/>
  </w:num>
  <w:num w:numId="39" w16cid:durableId="299500931">
    <w:abstractNumId w:val="22"/>
  </w:num>
  <w:num w:numId="40" w16cid:durableId="125508729">
    <w:abstractNumId w:val="16"/>
  </w:num>
  <w:num w:numId="41" w16cid:durableId="38014829">
    <w:abstractNumId w:val="13"/>
  </w:num>
  <w:num w:numId="42" w16cid:durableId="840119442">
    <w:abstractNumId w:val="0"/>
  </w:num>
  <w:num w:numId="43" w16cid:durableId="418066263">
    <w:abstractNumId w:val="7"/>
  </w:num>
  <w:num w:numId="44" w16cid:durableId="1933582139">
    <w:abstractNumId w:val="37"/>
  </w:num>
  <w:num w:numId="45" w16cid:durableId="1071079384">
    <w:abstractNumId w:val="1"/>
  </w:num>
  <w:num w:numId="46" w16cid:durableId="6264678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04C"/>
    <w:rsid w:val="007A604C"/>
    <w:rsid w:val="0089671F"/>
    <w:rsid w:val="00927341"/>
    <w:rsid w:val="00D272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D0F1"/>
  <w15:docId w15:val="{9A8A94F2-EA76-42AE-A86D-22D2F0848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259" w:lineRule="auto"/>
    </w:pPr>
  </w:style>
  <w:style w:type="paragraph" w:styleId="Heading1">
    <w:name w:val="heading 1"/>
    <w:basedOn w:val="Normal"/>
    <w:next w:val="Normal"/>
    <w:link w:val="Heading1Char"/>
    <w:uiPriority w:val="9"/>
    <w:qFormat/>
    <w:pPr>
      <w:keepNext/>
      <w:keepLines/>
      <w:spacing w:before="480" w:after="0" w:line="276" w:lineRule="auto"/>
      <w:outlineLvl w:val="0"/>
    </w:pPr>
    <w:rPr>
      <w:rFonts w:ascii="Cambria" w:eastAsia="SimSun" w:hAnsi="Cambria" w:cs="Times New Roman"/>
      <w:b/>
      <w:bCs/>
      <w:color w:val="365F91"/>
      <w:sz w:val="28"/>
      <w:szCs w:val="28"/>
    </w:rPr>
  </w:style>
  <w:style w:type="paragraph" w:styleId="Heading2">
    <w:name w:val="heading 2"/>
    <w:basedOn w:val="Normal"/>
    <w:next w:val="Normal"/>
    <w:link w:val="Heading2Char"/>
    <w:uiPriority w:val="9"/>
    <w:semiHidden/>
    <w:unhideWhenUsed/>
    <w:qFormat/>
    <w:pPr>
      <w:keepNext/>
      <w:keepLines/>
      <w:spacing w:before="200" w:after="0" w:line="276" w:lineRule="auto"/>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after="0" w:line="276" w:lineRule="auto"/>
      <w:outlineLvl w:val="2"/>
    </w:pPr>
    <w:rPr>
      <w:rFonts w:ascii="Cambria" w:eastAsia="SimSun" w:hAnsi="Cambria" w:cs="Times New Roman"/>
      <w:b/>
      <w:bCs/>
      <w:color w:val="4F81BD"/>
    </w:rPr>
  </w:style>
  <w:style w:type="paragraph" w:styleId="Heading4">
    <w:name w:val="heading 4"/>
    <w:basedOn w:val="Normal"/>
    <w:next w:val="Normal"/>
    <w:link w:val="Heading4Char"/>
    <w:uiPriority w:val="9"/>
    <w:semiHidden/>
    <w:unhideWhenUsed/>
    <w:qFormat/>
    <w:pPr>
      <w:keepNext/>
      <w:keepLines/>
      <w:spacing w:before="200" w:after="0" w:line="276" w:lineRule="auto"/>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semiHidden/>
    <w:unhideWhenUsed/>
    <w:qFormat/>
    <w:pPr>
      <w:keepNext/>
      <w:keepLines/>
      <w:spacing w:before="40" w:after="0"/>
      <w:outlineLvl w:val="4"/>
    </w:pPr>
    <w:rPr>
      <w:rFonts w:eastAsia="Times New Roman" w:cs="Times New Roman"/>
      <w:color w:val="2E74B5"/>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qFormat/>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qFormat/>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
    <w:rPr>
      <w:rFonts w:ascii="Cambria" w:eastAsia="SimSun" w:hAnsi="Cambria" w:cs="Times New Roman"/>
      <w:b/>
      <w:bCs/>
      <w:color w:val="4F81BD"/>
    </w:rPr>
  </w:style>
  <w:style w:type="character" w:customStyle="1" w:styleId="Heading4Char">
    <w:name w:val="Heading 4 Char"/>
    <w:basedOn w:val="DefaultParagraphFont"/>
    <w:link w:val="Heading4"/>
    <w:uiPriority w:val="9"/>
    <w:rPr>
      <w:rFonts w:ascii="Cambria" w:eastAsia="SimSun" w:hAnsi="Cambria" w:cs="Times New Roman"/>
      <w:b/>
      <w:bCs/>
      <w:i/>
      <w:iCs/>
      <w:color w:val="4F81BD"/>
    </w:rPr>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character" w:styleId="Hyperlink">
    <w:name w:val="Hyperlink"/>
    <w:basedOn w:val="DefaultParagraphFont"/>
    <w:uiPriority w:val="99"/>
    <w:rPr>
      <w:color w:val="0000FF"/>
      <w:u w:val="single"/>
    </w:rPr>
  </w:style>
  <w:style w:type="table" w:customStyle="1" w:styleId="4-51">
    <w:name w:val="جدول شبكة 4 - تمييز 51"/>
    <w:basedOn w:val="TableNormal"/>
    <w:uiPriority w:val="49"/>
    <w:pPr>
      <w:spacing w:after="0" w:line="240" w:lineRule="auto"/>
    </w:p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NoSpacing">
    <w:name w:val="No Spacing"/>
    <w:link w:val="NoSpacingChar"/>
    <w:uiPriority w:val="1"/>
    <w:qFormat/>
    <w:pPr>
      <w:bidi/>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FootnoteText">
    <w:name w:val="footnote text"/>
    <w:basedOn w:val="Normal"/>
    <w:link w:val="FootnoteTextChar"/>
    <w:qFormat/>
    <w:pPr>
      <w:spacing w:after="0" w:line="240" w:lineRule="auto"/>
    </w:pPr>
    <w:rPr>
      <w:rFonts w:ascii="Times New Roman" w:eastAsia="SimSun" w:hAnsi="Times New Roman" w:cs="Times New Roman"/>
      <w:sz w:val="20"/>
      <w:szCs w:val="20"/>
      <w:lang w:eastAsia="zh-CN"/>
    </w:rPr>
  </w:style>
  <w:style w:type="character" w:customStyle="1" w:styleId="FootnoteTextChar">
    <w:name w:val="Footnote Text Char"/>
    <w:basedOn w:val="DefaultParagraphFont"/>
    <w:link w:val="FootnoteText"/>
    <w:rPr>
      <w:rFonts w:ascii="Times New Roman" w:eastAsia="SimSun" w:hAnsi="Times New Roman" w:cs="Times New Roman"/>
      <w:sz w:val="20"/>
      <w:szCs w:val="20"/>
      <w:lang w:eastAsia="zh-CN"/>
    </w:rPr>
  </w:style>
  <w:style w:type="paragraph" w:styleId="TOC1">
    <w:name w:val="toc 1"/>
    <w:basedOn w:val="Normal"/>
    <w:next w:val="Normal"/>
    <w:uiPriority w:val="39"/>
    <w:qFormat/>
    <w:pPr>
      <w:spacing w:after="100" w:line="276" w:lineRule="auto"/>
    </w:pPr>
  </w:style>
  <w:style w:type="paragraph" w:styleId="TOC2">
    <w:name w:val="toc 2"/>
    <w:basedOn w:val="Normal"/>
    <w:next w:val="Normal"/>
    <w:uiPriority w:val="39"/>
    <w:qFormat/>
    <w:pPr>
      <w:spacing w:after="100" w:line="276" w:lineRule="auto"/>
      <w:ind w:left="220"/>
    </w:pPr>
  </w:style>
  <w:style w:type="character" w:styleId="FootnoteReference">
    <w:name w:val="footnote reference"/>
    <w:basedOn w:val="DefaultParagraphFont"/>
    <w:uiPriority w:val="99"/>
    <w:rPr>
      <w:vertAlign w:val="superscript"/>
    </w:rPr>
  </w:style>
  <w:style w:type="paragraph" w:customStyle="1" w:styleId="1">
    <w:name w:val="فهرس1"/>
    <w:basedOn w:val="Normal"/>
    <w:link w:val="1Char"/>
    <w:qFormat/>
    <w:pPr>
      <w:spacing w:after="200" w:line="240" w:lineRule="auto"/>
      <w:jc w:val="center"/>
    </w:pPr>
    <w:rPr>
      <w:rFonts w:ascii="Cambria" w:eastAsia="Times New Roman" w:hAnsi="Cambria" w:cs="PT Bold Heading"/>
      <w:sz w:val="44"/>
      <w:szCs w:val="44"/>
      <w:lang w:bidi="ar-YE"/>
    </w:rPr>
  </w:style>
  <w:style w:type="character" w:customStyle="1" w:styleId="1Char">
    <w:name w:val="فهرس1 Char"/>
    <w:link w:val="1"/>
    <w:rPr>
      <w:rFonts w:ascii="Cambria" w:eastAsia="Times New Roman" w:hAnsi="Cambria" w:cs="PT Bold Heading"/>
      <w:sz w:val="44"/>
      <w:szCs w:val="44"/>
      <w:lang w:bidi="ar-YE"/>
    </w:r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customStyle="1" w:styleId="mw-headline">
    <w:name w:val="mw-headline"/>
    <w:basedOn w:val="DefaultParagraphFont"/>
  </w:style>
  <w:style w:type="paragraph" w:customStyle="1" w:styleId="ParaAttribute1">
    <w:name w:val="ParaAttribute1"/>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Pr>
      <w:rFonts w:ascii="Times New Roman" w:eastAsia="Times New Roman"/>
    </w:rPr>
  </w:style>
  <w:style w:type="character" w:customStyle="1" w:styleId="CharAttribute1">
    <w:name w:val="CharAttribute1"/>
    <w:rPr>
      <w:rFonts w:ascii="Times New Roman" w:eastAsia="Times New Roman"/>
    </w:rPr>
  </w:style>
  <w:style w:type="character" w:customStyle="1" w:styleId="mw-editsection">
    <w:name w:val="mw-editsection"/>
    <w:basedOn w:val="DefaultParagraphFont"/>
  </w:style>
  <w:style w:type="character" w:customStyle="1" w:styleId="mw-editsection-bracket">
    <w:name w:val="mw-editsection-bracket"/>
    <w:basedOn w:val="DefaultParagraphFont"/>
  </w:style>
  <w:style w:type="character" w:customStyle="1" w:styleId="dont-break-out">
    <w:name w:val="dont-break-out"/>
    <w:basedOn w:val="DefaultParagraphFont"/>
  </w:style>
  <w:style w:type="table" w:customStyle="1" w:styleId="10">
    <w:name w:val="شبكة جدول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Pr>
      <w:rFonts w:ascii="TimesNewRomanPSMT" w:hAnsi="TimesNewRomanPSMT" w:hint="default"/>
      <w:b w:val="0"/>
      <w:bCs w:val="0"/>
      <w:i w:val="0"/>
      <w:iCs w:val="0"/>
      <w:color w:val="000000"/>
      <w:sz w:val="24"/>
      <w:szCs w:val="24"/>
    </w:rPr>
  </w:style>
  <w:style w:type="character" w:styleId="Emphasis">
    <w:name w:val="Emphasis"/>
    <w:uiPriority w:val="20"/>
    <w:qFormat/>
    <w:rPr>
      <w:i/>
      <w:iCs/>
    </w:rPr>
  </w:style>
  <w:style w:type="table" w:customStyle="1" w:styleId="2">
    <w:name w:val="شبكة جدول2"/>
    <w:basedOn w:val="TableNormal"/>
    <w:next w:val="TableGrid"/>
    <w:uiPriority w:val="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NoList"/>
    <w:uiPriority w:val="99"/>
  </w:style>
  <w:style w:type="numbering" w:customStyle="1" w:styleId="110">
    <w:name w:val="بلا قائمة11"/>
    <w:next w:val="NoList"/>
    <w:uiPriority w:val="99"/>
  </w:style>
  <w:style w:type="table" w:customStyle="1" w:styleId="111">
    <w:name w:val="شبكة جدول1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Normal"/>
    <w:next w:val="Normal"/>
    <w:uiPriority w:val="9"/>
    <w:qFormat/>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Normal"/>
    <w:next w:val="Normal"/>
    <w:uiPriority w:val="9"/>
    <w:qFormat/>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Normal"/>
    <w:next w:val="Normal"/>
    <w:uiPriority w:val="9"/>
    <w:qFormat/>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Normal"/>
    <w:next w:val="Normal"/>
    <w:uiPriority w:val="9"/>
    <w:qFormat/>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Normal"/>
    <w:next w:val="Normal"/>
    <w:uiPriority w:val="9"/>
    <w:qFormat/>
    <w:pPr>
      <w:keepNext/>
      <w:keepLines/>
      <w:spacing w:after="0" w:line="257" w:lineRule="auto"/>
      <w:ind w:firstLine="284"/>
      <w:jc w:val="both"/>
      <w:outlineLvl w:val="8"/>
    </w:pPr>
    <w:rPr>
      <w:rFonts w:eastAsia="Times New Roman" w:cs="Times New Roman"/>
      <w:color w:val="272727"/>
      <w:sz w:val="24"/>
      <w:szCs w:val="28"/>
    </w:rPr>
  </w:style>
  <w:style w:type="numbering" w:customStyle="1" w:styleId="20">
    <w:name w:val="بلا قائمة2"/>
    <w:next w:val="NoList"/>
    <w:uiPriority w:val="99"/>
  </w:style>
  <w:style w:type="character" w:customStyle="1" w:styleId="Heading5Char">
    <w:name w:val="Heading 5 Char"/>
    <w:basedOn w:val="DefaultParagraphFont"/>
    <w:link w:val="Heading5"/>
    <w:uiPriority w:val="9"/>
    <w:rPr>
      <w:rFonts w:ascii="Calibri" w:eastAsia="Times New Roman" w:hAnsi="Calibri" w:cs="Times New Roman"/>
      <w:color w:val="2E74B5"/>
    </w:rPr>
  </w:style>
  <w:style w:type="character" w:customStyle="1" w:styleId="Heading6Char">
    <w:name w:val="Heading 6 Char"/>
    <w:basedOn w:val="DefaultParagraphFont"/>
    <w:link w:val="Heading6"/>
    <w:uiPriority w:val="9"/>
    <w:rPr>
      <w:rFonts w:ascii="Calibri" w:eastAsia="Times New Roman" w:hAnsi="Calibri" w:cs="Times New Roman"/>
      <w:i/>
      <w:iCs/>
      <w:color w:val="595959"/>
    </w:rPr>
  </w:style>
  <w:style w:type="character" w:customStyle="1" w:styleId="Heading7Char">
    <w:name w:val="Heading 7 Char"/>
    <w:basedOn w:val="DefaultParagraphFont"/>
    <w:link w:val="Heading7"/>
    <w:uiPriority w:val="9"/>
    <w:rPr>
      <w:rFonts w:ascii="Calibri" w:eastAsia="Times New Roman" w:hAnsi="Calibri" w:cs="Times New Roman"/>
      <w:color w:val="595959"/>
    </w:rPr>
  </w:style>
  <w:style w:type="character" w:customStyle="1" w:styleId="Heading8Char">
    <w:name w:val="Heading 8 Char"/>
    <w:basedOn w:val="DefaultParagraphFont"/>
    <w:link w:val="Heading8"/>
    <w:uiPriority w:val="9"/>
    <w:rPr>
      <w:rFonts w:ascii="Calibri" w:eastAsia="Times New Roman" w:hAnsi="Calibri" w:cs="Times New Roman"/>
      <w:i/>
      <w:iCs/>
      <w:color w:val="272727"/>
    </w:rPr>
  </w:style>
  <w:style w:type="character" w:customStyle="1" w:styleId="Heading9Char">
    <w:name w:val="Heading 9 Char"/>
    <w:basedOn w:val="DefaultParagraphFont"/>
    <w:link w:val="Heading9"/>
    <w:uiPriority w:val="9"/>
    <w:rPr>
      <w:rFonts w:ascii="Calibri" w:eastAsia="Times New Roman" w:hAnsi="Calibri" w:cs="Times New Roman"/>
      <w:color w:val="272727"/>
    </w:rPr>
  </w:style>
  <w:style w:type="paragraph" w:customStyle="1" w:styleId="12">
    <w:name w:val="العنوان1"/>
    <w:basedOn w:val="Normal"/>
    <w:next w:val="Normal"/>
    <w:uiPriority w:val="10"/>
    <w:qFormat/>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Pr>
      <w:rFonts w:ascii="Calibri Light" w:eastAsia="Times New Roman" w:hAnsi="Calibri Light" w:cs="Times New Roman"/>
      <w:spacing w:val="-10"/>
      <w:kern w:val="28"/>
      <w:sz w:val="56"/>
      <w:szCs w:val="56"/>
    </w:rPr>
  </w:style>
  <w:style w:type="paragraph" w:customStyle="1" w:styleId="13">
    <w:name w:val="عنوان فرعي1"/>
    <w:basedOn w:val="Normal"/>
    <w:next w:val="Normal"/>
    <w:uiPriority w:val="11"/>
    <w:qFormat/>
    <w:pPr>
      <w:numPr>
        <w:ilvl w:val="1"/>
      </w:numPr>
      <w:spacing w:line="257" w:lineRule="auto"/>
      <w:ind w:firstLine="284"/>
      <w:jc w:val="both"/>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Pr>
      <w:rFonts w:ascii="Calibri" w:eastAsia="Times New Roman" w:hAnsi="Calibri" w:cs="Times New Roman"/>
      <w:color w:val="595959"/>
      <w:spacing w:val="15"/>
      <w:sz w:val="28"/>
    </w:rPr>
  </w:style>
  <w:style w:type="paragraph" w:customStyle="1" w:styleId="14">
    <w:name w:val="اقتباس1"/>
    <w:basedOn w:val="Normal"/>
    <w:next w:val="Normal"/>
    <w:uiPriority w:val="29"/>
    <w:qFormat/>
    <w:pPr>
      <w:spacing w:before="160" w:line="257" w:lineRule="auto"/>
      <w:ind w:firstLine="284"/>
      <w:jc w:val="center"/>
    </w:pPr>
    <w:rPr>
      <w:rFonts w:ascii="Times New Roman" w:hAnsi="Times New Roman" w:cs="Simplified Arabic"/>
      <w:i/>
      <w:iCs/>
      <w:color w:val="404040"/>
      <w:sz w:val="24"/>
      <w:szCs w:val="28"/>
    </w:rPr>
  </w:style>
  <w:style w:type="character" w:customStyle="1" w:styleId="QuoteChar">
    <w:name w:val="Quote Char"/>
    <w:basedOn w:val="DefaultParagraphFont"/>
    <w:link w:val="Quote"/>
    <w:uiPriority w:val="29"/>
    <w:rPr>
      <w:i/>
      <w:iCs/>
      <w:color w:val="404040"/>
    </w:rPr>
  </w:style>
  <w:style w:type="character" w:customStyle="1" w:styleId="15">
    <w:name w:val="تأكيد مكثف1"/>
    <w:basedOn w:val="DefaultParagraphFont"/>
    <w:uiPriority w:val="21"/>
    <w:qFormat/>
    <w:rPr>
      <w:i/>
      <w:iCs/>
      <w:color w:val="2E74B5"/>
    </w:rPr>
  </w:style>
  <w:style w:type="paragraph" w:customStyle="1" w:styleId="16">
    <w:name w:val="اقتباس مكثف1"/>
    <w:basedOn w:val="Normal"/>
    <w:next w:val="Normal"/>
    <w:uiPriority w:val="30"/>
    <w:qFormat/>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IntenseQuoteChar">
    <w:name w:val="Intense Quote Char"/>
    <w:basedOn w:val="DefaultParagraphFont"/>
    <w:link w:val="IntenseQuote"/>
    <w:uiPriority w:val="30"/>
    <w:rPr>
      <w:i/>
      <w:iCs/>
      <w:color w:val="2E74B5"/>
    </w:rPr>
  </w:style>
  <w:style w:type="character" w:customStyle="1" w:styleId="17">
    <w:name w:val="مرجع مكثف1"/>
    <w:basedOn w:val="DefaultParagraphFont"/>
    <w:uiPriority w:val="32"/>
    <w:qFormat/>
    <w:rPr>
      <w:b/>
      <w:bCs/>
      <w:smallCaps/>
      <w:color w:val="2E74B5"/>
      <w:spacing w:val="5"/>
    </w:rPr>
  </w:style>
  <w:style w:type="table" w:customStyle="1" w:styleId="4-61">
    <w:name w:val="جدول شبكة 4 - تمييز 61"/>
    <w:basedOn w:val="TableNormal"/>
    <w:next w:val="GridTable4-Accent61"/>
    <w:uiPriority w:val="49"/>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
    <w:name w:val="شبكة جدول4"/>
    <w:basedOn w:val="TableNormal"/>
    <w:next w:val="TableGrid"/>
    <w:uiPriority w:val="39"/>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DefaultParagraphFont"/>
    <w:uiPriority w:val="9"/>
    <w:rPr>
      <w:rFonts w:ascii="Cambria" w:eastAsia="SimSun" w:hAnsi="Cambria" w:cs="Times New Roman"/>
      <w:color w:val="365F91"/>
    </w:rPr>
  </w:style>
  <w:style w:type="character" w:customStyle="1" w:styleId="6Char1">
    <w:name w:val="عنوان 6 Char1"/>
    <w:basedOn w:val="DefaultParagraphFont"/>
    <w:uiPriority w:val="9"/>
    <w:rPr>
      <w:rFonts w:ascii="Cambria" w:eastAsia="SimSun" w:hAnsi="Cambria" w:cs="Times New Roman"/>
      <w:color w:val="243F60"/>
    </w:rPr>
  </w:style>
  <w:style w:type="character" w:customStyle="1" w:styleId="7Char1">
    <w:name w:val="عنوان 7 Char1"/>
    <w:basedOn w:val="DefaultParagraphFont"/>
    <w:uiPriority w:val="9"/>
    <w:rPr>
      <w:rFonts w:ascii="Cambria" w:eastAsia="SimSun" w:hAnsi="Cambria" w:cs="Times New Roman"/>
      <w:i/>
      <w:iCs/>
      <w:color w:val="243F60"/>
    </w:rPr>
  </w:style>
  <w:style w:type="character" w:customStyle="1" w:styleId="8Char1">
    <w:name w:val="عنوان 8 Char1"/>
    <w:basedOn w:val="DefaultParagraphFont"/>
    <w:uiPriority w:val="9"/>
    <w:rPr>
      <w:rFonts w:ascii="Cambria" w:eastAsia="SimSun" w:hAnsi="Cambria" w:cs="Times New Roman"/>
      <w:color w:val="272727"/>
      <w:sz w:val="21"/>
      <w:szCs w:val="21"/>
    </w:rPr>
  </w:style>
  <w:style w:type="character" w:customStyle="1" w:styleId="9Char1">
    <w:name w:val="عنوان 9 Char1"/>
    <w:basedOn w:val="DefaultParagraphFont"/>
    <w:uiPriority w:val="9"/>
    <w:rPr>
      <w:rFonts w:ascii="Cambria" w:eastAsia="SimSun" w:hAnsi="Cambria" w:cs="Times New Roman"/>
      <w:i/>
      <w:iCs/>
      <w:color w:val="272727"/>
      <w:sz w:val="21"/>
      <w:szCs w:val="21"/>
    </w:rPr>
  </w:style>
  <w:style w:type="paragraph" w:styleId="Title">
    <w:name w:val="Title"/>
    <w:basedOn w:val="Normal"/>
    <w:next w:val="Normal"/>
    <w:link w:val="TitleChar"/>
    <w:uiPriority w:val="10"/>
    <w:qFormat/>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
    <w:name w:val="العنوان Char1"/>
    <w:basedOn w:val="DefaultParagraphFont"/>
    <w:uiPriority w:val="10"/>
    <w:rPr>
      <w:rFonts w:ascii="Cambria" w:eastAsia="SimSun" w:hAnsi="Cambria"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Times New Roman" w:cs="Times New Roman"/>
      <w:color w:val="595959"/>
      <w:spacing w:val="15"/>
      <w:sz w:val="28"/>
    </w:rPr>
  </w:style>
  <w:style w:type="character" w:customStyle="1" w:styleId="Char10">
    <w:name w:val="عنوان فرعي Char1"/>
    <w:basedOn w:val="DefaultParagraphFont"/>
    <w:uiPriority w:val="11"/>
    <w:rPr>
      <w:rFonts w:eastAsia="SimSun"/>
      <w:color w:val="5A5A5A"/>
      <w:spacing w:val="15"/>
    </w:rPr>
  </w:style>
  <w:style w:type="paragraph" w:styleId="Quote">
    <w:name w:val="Quote"/>
    <w:basedOn w:val="Normal"/>
    <w:next w:val="Normal"/>
    <w:link w:val="QuoteChar"/>
    <w:uiPriority w:val="29"/>
    <w:qFormat/>
    <w:pPr>
      <w:spacing w:before="200"/>
      <w:ind w:left="864" w:right="864"/>
      <w:jc w:val="center"/>
    </w:pPr>
    <w:rPr>
      <w:i/>
      <w:iCs/>
      <w:color w:val="404040"/>
    </w:rPr>
  </w:style>
  <w:style w:type="character" w:customStyle="1" w:styleId="Char11">
    <w:name w:val="اقتباس Char1"/>
    <w:basedOn w:val="DefaultParagraphFont"/>
    <w:uiPriority w:val="29"/>
    <w:rPr>
      <w:i/>
      <w:iCs/>
      <w:color w:val="404040"/>
    </w:rPr>
  </w:style>
  <w:style w:type="character" w:styleId="IntenseEmphasis">
    <w:name w:val="Intense Emphasis"/>
    <w:basedOn w:val="DefaultParagraphFont"/>
    <w:uiPriority w:val="21"/>
    <w:qFormat/>
    <w:rPr>
      <w:i/>
      <w:iCs/>
      <w:color w:val="4F81BD"/>
    </w:rPr>
  </w:style>
  <w:style w:type="paragraph" w:styleId="IntenseQuote">
    <w:name w:val="Intense Quote"/>
    <w:basedOn w:val="Normal"/>
    <w:next w:val="Normal"/>
    <w:link w:val="IntenseQuoteChar"/>
    <w:uiPriority w:val="30"/>
    <w:qFormat/>
    <w:pPr>
      <w:pBdr>
        <w:top w:val="single" w:sz="4" w:space="10" w:color="4F81BD"/>
        <w:bottom w:val="single" w:sz="4" w:space="10" w:color="4F81BD"/>
      </w:pBdr>
      <w:spacing w:before="360" w:after="360"/>
      <w:ind w:left="864" w:right="864"/>
      <w:jc w:val="center"/>
    </w:pPr>
    <w:rPr>
      <w:i/>
      <w:iCs/>
      <w:color w:val="2E74B5"/>
    </w:rPr>
  </w:style>
  <w:style w:type="character" w:customStyle="1" w:styleId="Char12">
    <w:name w:val="اقتباس مكثف Char1"/>
    <w:basedOn w:val="DefaultParagraphFont"/>
    <w:uiPriority w:val="30"/>
    <w:rPr>
      <w:i/>
      <w:iCs/>
      <w:color w:val="4F81BD"/>
    </w:rPr>
  </w:style>
  <w:style w:type="character" w:styleId="IntenseReference">
    <w:name w:val="Intense Reference"/>
    <w:basedOn w:val="DefaultParagraphFont"/>
    <w:uiPriority w:val="32"/>
    <w:qFormat/>
    <w:rPr>
      <w:b/>
      <w:bCs/>
      <w:smallCaps/>
      <w:color w:val="4F81BD"/>
      <w:spacing w:val="5"/>
    </w:rPr>
  </w:style>
  <w:style w:type="table" w:customStyle="1" w:styleId="GridTable4-Accent61">
    <w:name w:val="Grid Table 4 - Accent 61"/>
    <w:basedOn w:val="TableNormal"/>
    <w:uiPriority w:val="49"/>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30">
    <w:name w:val="بلا قائمة3"/>
    <w:next w:val="NoList"/>
    <w:uiPriority w:val="99"/>
  </w:style>
  <w:style w:type="table" w:customStyle="1" w:styleId="4-62">
    <w:name w:val="جدول شبكة 4 - تمييز 62"/>
    <w:basedOn w:val="TableNormal"/>
    <w:next w:val="GridTable4-Accent61"/>
    <w:uiPriority w:val="49"/>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
    <w:name w:val="شبكة جدول5"/>
    <w:basedOn w:val="TableNormal"/>
    <w:next w:val="TableGrid"/>
    <w:uiPriority w:val="39"/>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TableNormal"/>
    <w:next w:val="GridTable4-Accent11"/>
    <w:uiPriority w:val="49"/>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UnresolvedMention1">
    <w:name w:val="Unresolved Mention1"/>
    <w:basedOn w:val="DefaultParagraphFont"/>
    <w:uiPriority w:val="99"/>
    <w:rPr>
      <w:color w:val="605E5C"/>
      <w:shd w:val="clear" w:color="auto" w:fill="E1DFDD"/>
    </w:r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21">
    <w:name w:val="Grid Table 4 - Accent 21"/>
    <w:basedOn w:val="TableNormal"/>
    <w:uiPriority w:val="49"/>
    <w:pPr>
      <w:spacing w:after="0" w:line="240" w:lineRule="auto"/>
    </w:p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40">
    <w:name w:val="بلا قائمة4"/>
    <w:next w:val="NoList"/>
    <w:uiPriority w:val="99"/>
  </w:style>
  <w:style w:type="table" w:customStyle="1" w:styleId="4-63">
    <w:name w:val="جدول شبكة 4 - تمييز 63"/>
    <w:basedOn w:val="TableNormal"/>
    <w:next w:val="GridTable4-Accent61"/>
    <w:uiPriority w:val="49"/>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50">
    <w:name w:val="بلا قائمة5"/>
    <w:next w:val="NoList"/>
    <w:uiPriority w:val="99"/>
  </w:style>
  <w:style w:type="table" w:customStyle="1" w:styleId="4-64">
    <w:name w:val="جدول شبكة 4 - تمييز 64"/>
    <w:basedOn w:val="TableNormal"/>
    <w:next w:val="GridTable4-Accent61"/>
    <w:uiPriority w:val="49"/>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6">
    <w:name w:val="بلا قائمة6"/>
    <w:next w:val="NoList"/>
    <w:uiPriority w:val="99"/>
  </w:style>
  <w:style w:type="table" w:customStyle="1" w:styleId="4-65">
    <w:name w:val="جدول شبكة 4 - تمييز 65"/>
    <w:basedOn w:val="TableNormal"/>
    <w:next w:val="GridTable4-Accent61"/>
    <w:uiPriority w:val="49"/>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7">
    <w:name w:val="بلا قائمة7"/>
    <w:next w:val="NoList"/>
    <w:uiPriority w:val="99"/>
  </w:style>
  <w:style w:type="table" w:customStyle="1" w:styleId="4-66">
    <w:name w:val="جدول شبكة 4 - تمييز 66"/>
    <w:basedOn w:val="TableNormal"/>
    <w:next w:val="GridTable4-Accent61"/>
    <w:uiPriority w:val="49"/>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31">
    <w:name w:val="Grid Table 4 - Accent 31"/>
    <w:basedOn w:val="TableNormal"/>
    <w:uiPriority w:val="49"/>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8">
    <w:name w:val="بلا قائمة8"/>
    <w:next w:val="NoList"/>
    <w:uiPriority w:val="99"/>
  </w:style>
  <w:style w:type="numbering" w:customStyle="1" w:styleId="9">
    <w:name w:val="بلا قائمة9"/>
    <w:next w:val="NoList"/>
    <w:uiPriority w:val="99"/>
  </w:style>
  <w:style w:type="numbering" w:customStyle="1" w:styleId="100">
    <w:name w:val="بلا قائمة10"/>
    <w:next w:val="NoList"/>
    <w:uiPriority w:val="99"/>
  </w:style>
  <w:style w:type="numbering" w:customStyle="1" w:styleId="120">
    <w:name w:val="بلا قائمة12"/>
    <w:next w:val="NoList"/>
    <w:uiPriority w:val="99"/>
  </w:style>
  <w:style w:type="numbering" w:customStyle="1" w:styleId="130">
    <w:name w:val="بلا قائمة13"/>
    <w:next w:val="NoList"/>
    <w:uiPriority w:val="99"/>
  </w:style>
  <w:style w:type="numbering" w:customStyle="1" w:styleId="140">
    <w:name w:val="بلا قائمة14"/>
    <w:next w:val="NoList"/>
    <w:uiPriority w:val="99"/>
  </w:style>
  <w:style w:type="table" w:customStyle="1" w:styleId="GridTable4-Accent51">
    <w:name w:val="Grid Table 4 - Accent 51"/>
    <w:basedOn w:val="TableNormal"/>
    <w:uiPriority w:val="49"/>
    <w:pPr>
      <w:spacing w:after="0" w:line="240" w:lineRule="auto"/>
    </w:p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numbering" w:customStyle="1" w:styleId="150">
    <w:name w:val="بلا قائمة15"/>
    <w:next w:val="NoList"/>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6573</Words>
  <Characters>37467</Characters>
  <Application>Microsoft Office Word</Application>
  <DocSecurity>0</DocSecurity>
  <Lines>312</Lines>
  <Paragraphs>87</Paragraphs>
  <ScaleCrop>false</ScaleCrop>
  <Company>Toshiba</Company>
  <LinksUpToDate>false</LinksUpToDate>
  <CharactersWithSpaces>43953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Al-Otaibi, Nader</cp:lastModifiedBy>
  <cp:revision>2</cp:revision>
  <cp:lastPrinted>2026-03-03T23:52:00Z</cp:lastPrinted>
  <dcterms:created xsi:type="dcterms:W3CDTF">2026-03-27T16:46:00Z</dcterms:created>
  <dcterms:modified xsi:type="dcterms:W3CDTF">2026-03-27T16:46:00Z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7d78170d7738477992b133f035a1d834</vt:lpwstr>
  </property>
</Properties>
</file>