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663E" w:rsidRDefault="0032663E" w:rsidP="007971EF">
      <w:pPr>
        <w:pStyle w:val="Heading2"/>
        <w:shd w:val="clear" w:color="auto" w:fill="FFFFFF"/>
        <w:bidi/>
        <w:spacing w:before="480" w:beforeAutospacing="0" w:after="240" w:afterAutospacing="0" w:line="480" w:lineRule="atLeast"/>
        <w:rPr>
          <w:rFonts w:asciiTheme="majorBidi" w:hAnsiTheme="majorBidi" w:cstheme="majorBidi"/>
          <w:color w:val="0F1115"/>
          <w:sz w:val="33"/>
          <w:szCs w:val="33"/>
          <w:rtl/>
        </w:rPr>
      </w:pPr>
      <w:r>
        <w:rPr>
          <w:rFonts w:asciiTheme="majorBidi" w:hAnsiTheme="majorBidi" w:cstheme="majorBidi" w:hint="cs"/>
          <w:color w:val="0F1115"/>
          <w:sz w:val="33"/>
          <w:szCs w:val="33"/>
          <w:rtl/>
        </w:rPr>
        <w:t>عزيزي الباحث فرحان</w:t>
      </w:r>
    </w:p>
    <w:p w:rsidR="007971EF" w:rsidRPr="007971EF" w:rsidRDefault="007971EF" w:rsidP="0032663E">
      <w:pPr>
        <w:pStyle w:val="Heading2"/>
        <w:shd w:val="clear" w:color="auto" w:fill="FFFFFF"/>
        <w:bidi/>
        <w:spacing w:before="480" w:beforeAutospacing="0" w:after="240" w:afterAutospacing="0" w:line="480" w:lineRule="atLeast"/>
        <w:rPr>
          <w:rFonts w:asciiTheme="majorBidi" w:hAnsiTheme="majorBidi" w:cstheme="majorBidi"/>
          <w:color w:val="0F1115"/>
          <w:sz w:val="33"/>
          <w:szCs w:val="33"/>
        </w:rPr>
      </w:pPr>
      <w:r w:rsidRPr="007971EF">
        <w:rPr>
          <w:rFonts w:asciiTheme="majorBidi" w:hAnsiTheme="majorBidi" w:cstheme="majorBidi"/>
          <w:color w:val="0F1115"/>
          <w:sz w:val="33"/>
          <w:szCs w:val="33"/>
          <w:rtl/>
        </w:rPr>
        <w:t>التقييم العام</w:t>
      </w:r>
    </w:p>
    <w:p w:rsidR="007971EF" w:rsidRPr="007971EF" w:rsidRDefault="007971EF" w:rsidP="0032663E">
      <w:pPr>
        <w:pStyle w:val="ds-markdown-paragraph"/>
        <w:shd w:val="clear" w:color="auto" w:fill="FFFFFF"/>
        <w:bidi/>
        <w:spacing w:before="240" w:beforeAutospacing="0" w:after="240" w:afterAutospacing="0"/>
        <w:jc w:val="both"/>
        <w:rPr>
          <w:rFonts w:asciiTheme="majorBidi" w:hAnsiTheme="majorBidi" w:cstheme="majorBidi"/>
          <w:color w:val="0F1115"/>
        </w:rPr>
      </w:pPr>
      <w:r w:rsidRPr="007971EF">
        <w:rPr>
          <w:rFonts w:asciiTheme="majorBidi" w:hAnsiTheme="majorBidi" w:cstheme="majorBidi"/>
          <w:color w:val="0F1115"/>
          <w:rtl/>
        </w:rPr>
        <w:t>تتناول الرسالة موضوعًا بالغ الأهمية في الإدارة العامة، وهو العلاقة بين التوجه الاستراتيجي والتخطيط التشغيلي وأداء المنظمات الحكومية في سياق التحول الوطني الطموح (رؤية 2030). تُظهر الرسالة جهدًا بحثيًا ممتازًا، وتتميز بمنهجية كمية متقدمة باستخدام نمذجة المعادلات الهيكلية</w:t>
      </w:r>
      <w:r w:rsidRPr="007971EF">
        <w:rPr>
          <w:rFonts w:asciiTheme="majorBidi" w:hAnsiTheme="majorBidi" w:cstheme="majorBidi"/>
          <w:color w:val="0F1115"/>
        </w:rPr>
        <w:t xml:space="preserve"> (SEM)</w:t>
      </w:r>
      <w:r w:rsidRPr="007971EF">
        <w:rPr>
          <w:rFonts w:asciiTheme="majorBidi" w:hAnsiTheme="majorBidi" w:cstheme="majorBidi"/>
          <w:color w:val="0F1115"/>
          <w:rtl/>
        </w:rPr>
        <w:t>، وحجم عينة كبير (473 مفردة)، وتحليل إحصائي دقيق. النتائج التي توصلت إليها الدراسة ذات قيمة نظرية وتطبيقية عالية، وتُسهم بشكل واضح في سد الفجوة البحثية المتعلقة بدور التخطيط التشغيلي كمتغير وسيط. بشكل عام، الرسالة تستوفي معايير الجودة العلمية المطلوبة لدرجة الدكتوراه، مع وجود بعض الملاحظات التي يمكن أن ترفع من جودتها</w:t>
      </w:r>
      <w:r w:rsidRPr="007971EF">
        <w:rPr>
          <w:rFonts w:asciiTheme="majorBidi" w:hAnsiTheme="majorBidi" w:cstheme="majorBidi"/>
          <w:color w:val="0F1115"/>
        </w:rPr>
        <w:t>.</w:t>
      </w:r>
    </w:p>
    <w:p w:rsidR="007971EF" w:rsidRPr="007971EF" w:rsidRDefault="007971EF" w:rsidP="007971EF">
      <w:pPr>
        <w:shd w:val="clear" w:color="auto" w:fill="FFFFFF"/>
        <w:bidi/>
        <w:spacing w:before="480" w:after="240" w:line="450" w:lineRule="atLeast"/>
        <w:ind w:left="720"/>
        <w:outlineLvl w:val="2"/>
        <w:rPr>
          <w:rFonts w:asciiTheme="majorBidi" w:eastAsia="Times New Roman" w:hAnsiTheme="majorBidi" w:cstheme="majorBidi"/>
          <w:b/>
          <w:bCs/>
          <w:color w:val="0F1115"/>
          <w:sz w:val="30"/>
          <w:szCs w:val="30"/>
        </w:rPr>
      </w:pPr>
      <w:r w:rsidRPr="007971EF">
        <w:rPr>
          <w:rFonts w:asciiTheme="majorBidi" w:eastAsia="Times New Roman" w:hAnsiTheme="majorBidi" w:cstheme="majorBidi"/>
          <w:b/>
          <w:bCs/>
          <w:color w:val="0F1115"/>
          <w:sz w:val="30"/>
          <w:szCs w:val="30"/>
          <w:rtl/>
        </w:rPr>
        <w:t>صفحة 78: مجتمع وعينة الدراسة</w:t>
      </w:r>
    </w:p>
    <w:p w:rsidR="007971EF" w:rsidRPr="007971EF" w:rsidRDefault="007971EF" w:rsidP="007971EF">
      <w:pPr>
        <w:shd w:val="clear" w:color="auto" w:fill="FFFFFF"/>
        <w:bidi/>
        <w:spacing w:before="100" w:beforeAutospacing="1" w:after="100" w:afterAutospacing="1" w:line="420" w:lineRule="atLeast"/>
        <w:ind w:left="720"/>
        <w:rPr>
          <w:rFonts w:asciiTheme="majorBidi" w:eastAsia="Times New Roman" w:hAnsiTheme="majorBidi" w:cstheme="majorBidi"/>
          <w:color w:val="0F1115"/>
          <w:sz w:val="24"/>
          <w:szCs w:val="24"/>
        </w:rPr>
      </w:pPr>
      <w:r w:rsidRPr="007971EF">
        <w:rPr>
          <w:rFonts w:asciiTheme="majorBidi" w:eastAsia="Times New Roman" w:hAnsiTheme="majorBidi" w:cstheme="majorBidi"/>
          <w:color w:val="0F1115"/>
          <w:sz w:val="24"/>
          <w:szCs w:val="24"/>
        </w:rPr>
        <w:t>"</w:t>
      </w:r>
      <w:r w:rsidRPr="007971EF">
        <w:rPr>
          <w:rFonts w:asciiTheme="majorBidi" w:eastAsia="Times New Roman" w:hAnsiTheme="majorBidi" w:cstheme="majorBidi"/>
          <w:i/>
          <w:iCs/>
          <w:color w:val="0F1115"/>
          <w:sz w:val="24"/>
          <w:szCs w:val="24"/>
          <w:rtl/>
        </w:rPr>
        <w:t>إشكالية منهجية بسيطة</w:t>
      </w:r>
      <w:r w:rsidRPr="007971EF">
        <w:rPr>
          <w:rFonts w:asciiTheme="majorBidi" w:eastAsia="Times New Roman" w:hAnsiTheme="majorBidi" w:cstheme="majorBidi"/>
          <w:i/>
          <w:iCs/>
          <w:color w:val="0F1115"/>
          <w:sz w:val="24"/>
          <w:szCs w:val="24"/>
        </w:rPr>
        <w:t>:</w:t>
      </w:r>
      <w:r w:rsidRPr="007971EF">
        <w:rPr>
          <w:rFonts w:asciiTheme="majorBidi" w:eastAsia="Times New Roman" w:hAnsiTheme="majorBidi" w:cstheme="majorBidi"/>
          <w:color w:val="0F1115"/>
          <w:sz w:val="24"/>
          <w:szCs w:val="24"/>
        </w:rPr>
        <w:t> </w:t>
      </w:r>
      <w:r w:rsidRPr="007971EF">
        <w:rPr>
          <w:rFonts w:asciiTheme="majorBidi" w:eastAsia="Times New Roman" w:hAnsiTheme="majorBidi" w:cstheme="majorBidi"/>
          <w:color w:val="0F1115"/>
          <w:sz w:val="24"/>
          <w:szCs w:val="24"/>
          <w:rtl/>
        </w:rPr>
        <w:t>تم تعريف مجتمع الدراسة بأنه "المنظمات الحكومية"، ثم تم الانتقال إلى الحديث عن "موظفي القطاع العام" وحجم المجتمع المقدر بـ 1.2 مليون موظف. هذا يحتاج إلى توضيح أكثر دقة: هل الوحدة الأساسية للتحليل هي "المنظمة" أم "الموظف"؟ بما أن الدراسة تستخدم استبيانات تُوزع على الأفراد، فمجتمع الدراسة الفعلي هو "موظفو القطاع العام"، والمنظمات هي الإطار الذي يُسحب منه هؤلاء الموظفون. هذا الخلط بسيط ويمكن توضيحه</w:t>
      </w:r>
      <w:r w:rsidRPr="007971EF">
        <w:rPr>
          <w:rFonts w:asciiTheme="majorBidi" w:eastAsia="Times New Roman" w:hAnsiTheme="majorBidi" w:cstheme="majorBidi"/>
          <w:color w:val="0F1115"/>
          <w:sz w:val="24"/>
          <w:szCs w:val="24"/>
        </w:rPr>
        <w:t>.</w:t>
      </w:r>
    </w:p>
    <w:p w:rsidR="007971EF" w:rsidRPr="007971EF" w:rsidRDefault="007971EF" w:rsidP="007971EF">
      <w:pPr>
        <w:shd w:val="clear" w:color="auto" w:fill="FFFFFF"/>
        <w:bidi/>
        <w:spacing w:before="480" w:after="240" w:line="480" w:lineRule="atLeast"/>
        <w:ind w:left="720"/>
        <w:outlineLvl w:val="1"/>
        <w:rPr>
          <w:rFonts w:asciiTheme="majorBidi" w:eastAsia="Times New Roman" w:hAnsiTheme="majorBidi" w:cstheme="majorBidi"/>
          <w:b/>
          <w:bCs/>
          <w:color w:val="0F1115"/>
          <w:sz w:val="33"/>
          <w:szCs w:val="33"/>
        </w:rPr>
      </w:pPr>
      <w:r w:rsidRPr="007971EF">
        <w:rPr>
          <w:rFonts w:asciiTheme="majorBidi" w:eastAsia="Times New Roman" w:hAnsiTheme="majorBidi" w:cstheme="majorBidi"/>
          <w:b/>
          <w:bCs/>
          <w:color w:val="0F1115"/>
          <w:sz w:val="33"/>
          <w:szCs w:val="33"/>
          <w:rtl/>
        </w:rPr>
        <w:t>الإشكاليات المنهجية الكبرى (نقاط تحتاج إلى توضيح أو تحسين)</w:t>
      </w:r>
    </w:p>
    <w:p w:rsidR="007971EF" w:rsidRPr="007971EF" w:rsidRDefault="007971EF" w:rsidP="007971EF">
      <w:pPr>
        <w:numPr>
          <w:ilvl w:val="0"/>
          <w:numId w:val="20"/>
        </w:numPr>
        <w:shd w:val="clear" w:color="auto" w:fill="FFFFFF"/>
        <w:tabs>
          <w:tab w:val="clear" w:pos="720"/>
          <w:tab w:val="num" w:pos="1440"/>
        </w:tabs>
        <w:bidi/>
        <w:spacing w:before="100" w:beforeAutospacing="1" w:after="0" w:line="420" w:lineRule="atLeast"/>
        <w:ind w:left="1380"/>
        <w:rPr>
          <w:rFonts w:asciiTheme="majorBidi" w:eastAsia="Times New Roman" w:hAnsiTheme="majorBidi" w:cstheme="majorBidi"/>
          <w:color w:val="0F1115"/>
          <w:sz w:val="24"/>
          <w:szCs w:val="24"/>
        </w:rPr>
      </w:pPr>
      <w:r w:rsidRPr="007971EF">
        <w:rPr>
          <w:rFonts w:asciiTheme="majorBidi" w:eastAsia="Times New Roman" w:hAnsiTheme="majorBidi" w:cstheme="majorBidi"/>
          <w:b/>
          <w:bCs/>
          <w:color w:val="0F1115"/>
          <w:sz w:val="24"/>
          <w:szCs w:val="24"/>
          <w:rtl/>
        </w:rPr>
        <w:t>الخلط بين مجتمع الدراسة (ص. 78)</w:t>
      </w:r>
      <w:r w:rsidRPr="007971EF">
        <w:rPr>
          <w:rFonts w:asciiTheme="majorBidi" w:eastAsia="Times New Roman" w:hAnsiTheme="majorBidi" w:cstheme="majorBidi"/>
          <w:b/>
          <w:bCs/>
          <w:color w:val="0F1115"/>
          <w:sz w:val="24"/>
          <w:szCs w:val="24"/>
        </w:rPr>
        <w:t>:</w:t>
      </w:r>
      <w:r w:rsidRPr="007971EF">
        <w:rPr>
          <w:rFonts w:asciiTheme="majorBidi" w:eastAsia="Times New Roman" w:hAnsiTheme="majorBidi" w:cstheme="majorBidi"/>
          <w:color w:val="0F1115"/>
          <w:sz w:val="24"/>
          <w:szCs w:val="24"/>
        </w:rPr>
        <w:t> </w:t>
      </w:r>
      <w:r w:rsidRPr="007971EF">
        <w:rPr>
          <w:rFonts w:asciiTheme="majorBidi" w:eastAsia="Times New Roman" w:hAnsiTheme="majorBidi" w:cstheme="majorBidi"/>
          <w:color w:val="0F1115"/>
          <w:sz w:val="24"/>
          <w:szCs w:val="24"/>
          <w:rtl/>
        </w:rPr>
        <w:t>كما ذكرنا سابقًا، هناك تداخل بسيط بين "المنظمات الحكومية" كمجتمع و"موظفي القطاع العام" كوحدات معاينة. يفضل توضيح أن مجتمع الدراسة المستهدف هم "موظفو القطاع العام في المملكة العربية السعودية"، وأن المنظمات هي الإطار الذي تم سحب العينة منه. هذا توضيح شكلي وليس جوهريًا</w:t>
      </w:r>
      <w:r w:rsidRPr="007971EF">
        <w:rPr>
          <w:rFonts w:asciiTheme="majorBidi" w:eastAsia="Times New Roman" w:hAnsiTheme="majorBidi" w:cstheme="majorBidi"/>
          <w:color w:val="0F1115"/>
          <w:sz w:val="24"/>
          <w:szCs w:val="24"/>
        </w:rPr>
        <w:t>.</w:t>
      </w:r>
    </w:p>
    <w:p w:rsidR="007971EF" w:rsidRPr="007971EF" w:rsidRDefault="007971EF" w:rsidP="007971EF">
      <w:pPr>
        <w:numPr>
          <w:ilvl w:val="0"/>
          <w:numId w:val="20"/>
        </w:numPr>
        <w:shd w:val="clear" w:color="auto" w:fill="FFFFFF"/>
        <w:tabs>
          <w:tab w:val="clear" w:pos="720"/>
          <w:tab w:val="num" w:pos="1440"/>
        </w:tabs>
        <w:bidi/>
        <w:spacing w:before="100" w:beforeAutospacing="1" w:after="120" w:line="420" w:lineRule="atLeast"/>
        <w:ind w:left="1380"/>
        <w:rPr>
          <w:rFonts w:asciiTheme="majorBidi" w:eastAsia="Times New Roman" w:hAnsiTheme="majorBidi" w:cstheme="majorBidi"/>
          <w:color w:val="0F1115"/>
          <w:sz w:val="24"/>
          <w:szCs w:val="24"/>
        </w:rPr>
      </w:pPr>
      <w:r w:rsidRPr="007971EF">
        <w:rPr>
          <w:rFonts w:asciiTheme="majorBidi" w:eastAsia="Times New Roman" w:hAnsiTheme="majorBidi" w:cstheme="majorBidi"/>
          <w:b/>
          <w:bCs/>
          <w:color w:val="0F1115"/>
          <w:sz w:val="24"/>
          <w:szCs w:val="24"/>
          <w:rtl/>
        </w:rPr>
        <w:t>تفسير النتائج غير الدالة</w:t>
      </w:r>
      <w:r w:rsidRPr="007971EF">
        <w:rPr>
          <w:rFonts w:asciiTheme="majorBidi" w:eastAsia="Times New Roman" w:hAnsiTheme="majorBidi" w:cstheme="majorBidi"/>
          <w:b/>
          <w:bCs/>
          <w:color w:val="0F1115"/>
          <w:sz w:val="24"/>
          <w:szCs w:val="24"/>
        </w:rPr>
        <w:t xml:space="preserve"> (Non-significant results) (</w:t>
      </w:r>
      <w:r w:rsidRPr="007971EF">
        <w:rPr>
          <w:rFonts w:asciiTheme="majorBidi" w:eastAsia="Times New Roman" w:hAnsiTheme="majorBidi" w:cstheme="majorBidi"/>
          <w:b/>
          <w:bCs/>
          <w:color w:val="0F1115"/>
          <w:sz w:val="24"/>
          <w:szCs w:val="24"/>
          <w:rtl/>
        </w:rPr>
        <w:t>ص. 133</w:t>
      </w:r>
      <w:r w:rsidRPr="007971EF">
        <w:rPr>
          <w:rFonts w:asciiTheme="majorBidi" w:eastAsia="Times New Roman" w:hAnsiTheme="majorBidi" w:cstheme="majorBidi"/>
          <w:b/>
          <w:bCs/>
          <w:color w:val="0F1115"/>
          <w:sz w:val="24"/>
          <w:szCs w:val="24"/>
        </w:rPr>
        <w:t>):</w:t>
      </w:r>
    </w:p>
    <w:p w:rsidR="007971EF" w:rsidRPr="007971EF" w:rsidRDefault="007971EF" w:rsidP="007971EF">
      <w:pPr>
        <w:numPr>
          <w:ilvl w:val="1"/>
          <w:numId w:val="20"/>
        </w:numPr>
        <w:shd w:val="clear" w:color="auto" w:fill="FFFFFF"/>
        <w:tabs>
          <w:tab w:val="clear" w:pos="1440"/>
          <w:tab w:val="num" w:pos="2160"/>
        </w:tabs>
        <w:bidi/>
        <w:spacing w:before="100" w:beforeAutospacing="1" w:after="0" w:line="420" w:lineRule="atLeast"/>
        <w:ind w:left="1380"/>
        <w:rPr>
          <w:rFonts w:asciiTheme="majorBidi" w:eastAsia="Times New Roman" w:hAnsiTheme="majorBidi" w:cstheme="majorBidi"/>
          <w:color w:val="0F1115"/>
          <w:sz w:val="24"/>
          <w:szCs w:val="24"/>
        </w:rPr>
      </w:pPr>
      <w:r w:rsidRPr="007971EF">
        <w:rPr>
          <w:rFonts w:asciiTheme="majorBidi" w:eastAsia="Times New Roman" w:hAnsiTheme="majorBidi" w:cstheme="majorBidi"/>
          <w:color w:val="0F1115"/>
          <w:sz w:val="24"/>
          <w:szCs w:val="24"/>
          <w:rtl/>
        </w:rPr>
        <w:t>في النموذج البعدي، وجد الباحث أن التأثير المباشر للرؤية</w:t>
      </w:r>
      <w:r w:rsidRPr="007971EF">
        <w:rPr>
          <w:rFonts w:asciiTheme="majorBidi" w:eastAsia="Times New Roman" w:hAnsiTheme="majorBidi" w:cstheme="majorBidi"/>
          <w:color w:val="0F1115"/>
          <w:sz w:val="24"/>
          <w:szCs w:val="24"/>
        </w:rPr>
        <w:t xml:space="preserve"> (VIS) </w:t>
      </w:r>
      <w:r w:rsidRPr="007971EF">
        <w:rPr>
          <w:rFonts w:asciiTheme="majorBidi" w:eastAsia="Times New Roman" w:hAnsiTheme="majorBidi" w:cstheme="majorBidi"/>
          <w:color w:val="0F1115"/>
          <w:sz w:val="24"/>
          <w:szCs w:val="24"/>
          <w:rtl/>
        </w:rPr>
        <w:t>والاستراتيجية</w:t>
      </w:r>
      <w:r w:rsidRPr="007971EF">
        <w:rPr>
          <w:rFonts w:asciiTheme="majorBidi" w:eastAsia="Times New Roman" w:hAnsiTheme="majorBidi" w:cstheme="majorBidi"/>
          <w:color w:val="0F1115"/>
          <w:sz w:val="24"/>
          <w:szCs w:val="24"/>
        </w:rPr>
        <w:t xml:space="preserve"> (STRA) </w:t>
      </w:r>
      <w:r w:rsidRPr="007971EF">
        <w:rPr>
          <w:rFonts w:asciiTheme="majorBidi" w:eastAsia="Times New Roman" w:hAnsiTheme="majorBidi" w:cstheme="majorBidi"/>
          <w:color w:val="0F1115"/>
          <w:sz w:val="24"/>
          <w:szCs w:val="24"/>
          <w:rtl/>
        </w:rPr>
        <w:t>على الأداء</w:t>
      </w:r>
      <w:r w:rsidRPr="007971EF">
        <w:rPr>
          <w:rFonts w:asciiTheme="majorBidi" w:eastAsia="Times New Roman" w:hAnsiTheme="majorBidi" w:cstheme="majorBidi"/>
          <w:color w:val="0F1115"/>
          <w:sz w:val="24"/>
          <w:szCs w:val="24"/>
        </w:rPr>
        <w:t xml:space="preserve"> (POP) </w:t>
      </w:r>
      <w:r w:rsidRPr="007971EF">
        <w:rPr>
          <w:rFonts w:asciiTheme="majorBidi" w:eastAsia="Times New Roman" w:hAnsiTheme="majorBidi" w:cstheme="majorBidi"/>
          <w:color w:val="0F1115"/>
          <w:sz w:val="24"/>
          <w:szCs w:val="24"/>
          <w:rtl/>
        </w:rPr>
        <w:t>غير دال إحصائيًا</w:t>
      </w:r>
      <w:r w:rsidRPr="007971EF">
        <w:rPr>
          <w:rFonts w:asciiTheme="majorBidi" w:eastAsia="Times New Roman" w:hAnsiTheme="majorBidi" w:cstheme="majorBidi"/>
          <w:color w:val="0F1115"/>
          <w:sz w:val="24"/>
          <w:szCs w:val="24"/>
        </w:rPr>
        <w:t>.</w:t>
      </w:r>
    </w:p>
    <w:p w:rsidR="007971EF" w:rsidRPr="007971EF" w:rsidRDefault="007971EF" w:rsidP="007971EF">
      <w:pPr>
        <w:numPr>
          <w:ilvl w:val="1"/>
          <w:numId w:val="20"/>
        </w:numPr>
        <w:shd w:val="clear" w:color="auto" w:fill="FFFFFF"/>
        <w:tabs>
          <w:tab w:val="clear" w:pos="1440"/>
          <w:tab w:val="num" w:pos="2160"/>
        </w:tabs>
        <w:bidi/>
        <w:spacing w:before="100" w:beforeAutospacing="1" w:after="0" w:line="420" w:lineRule="atLeast"/>
        <w:ind w:left="1380"/>
        <w:rPr>
          <w:rFonts w:asciiTheme="majorBidi" w:eastAsia="Times New Roman" w:hAnsiTheme="majorBidi" w:cstheme="majorBidi"/>
          <w:color w:val="0F1115"/>
          <w:sz w:val="24"/>
          <w:szCs w:val="24"/>
        </w:rPr>
      </w:pPr>
      <w:r w:rsidRPr="007971EF">
        <w:rPr>
          <w:rFonts w:asciiTheme="majorBidi" w:eastAsia="Times New Roman" w:hAnsiTheme="majorBidi" w:cstheme="majorBidi"/>
          <w:color w:val="0F1115"/>
          <w:sz w:val="24"/>
          <w:szCs w:val="24"/>
          <w:rtl/>
        </w:rPr>
        <w:t xml:space="preserve">التفسير المقدم (ص. 141) بأنه "يرجح أن تمارس الرؤية تأثيرها بشكل أساسي من خلال التخطيط التشغيلي" هو تفسير سليم ومدعوم بنتائج الوساطة. ولكن يمكن تعزيزه أكثر بالإشارة إلى أن هذا يتماشى مع </w:t>
      </w:r>
      <w:r w:rsidRPr="007971EF">
        <w:rPr>
          <w:rFonts w:asciiTheme="majorBidi" w:eastAsia="Times New Roman" w:hAnsiTheme="majorBidi" w:cstheme="majorBidi"/>
          <w:color w:val="0F1115"/>
          <w:sz w:val="24"/>
          <w:szCs w:val="24"/>
          <w:rtl/>
        </w:rPr>
        <w:lastRenderedPageBreak/>
        <w:t>نظرية الترجمة الاستراتيجية</w:t>
      </w:r>
      <w:r w:rsidRPr="007971EF">
        <w:rPr>
          <w:rFonts w:asciiTheme="majorBidi" w:eastAsia="Times New Roman" w:hAnsiTheme="majorBidi" w:cstheme="majorBidi"/>
          <w:color w:val="0F1115"/>
          <w:sz w:val="24"/>
          <w:szCs w:val="24"/>
        </w:rPr>
        <w:t xml:space="preserve"> (Strategy Translation Theory) </w:t>
      </w:r>
      <w:r w:rsidRPr="007971EF">
        <w:rPr>
          <w:rFonts w:asciiTheme="majorBidi" w:eastAsia="Times New Roman" w:hAnsiTheme="majorBidi" w:cstheme="majorBidi"/>
          <w:color w:val="0F1115"/>
          <w:sz w:val="24"/>
          <w:szCs w:val="24"/>
          <w:rtl/>
        </w:rPr>
        <w:t>التي تقول إن الرؤى العليا تحتاج إلى آليات تنفيذية (كالتخطيط التشغيلي) لتتحقق على أرض الواقع. هذا ليس نقدًا، بل اقتراح لتعميق التفسير</w:t>
      </w:r>
      <w:r w:rsidRPr="007971EF">
        <w:rPr>
          <w:rFonts w:asciiTheme="majorBidi" w:eastAsia="Times New Roman" w:hAnsiTheme="majorBidi" w:cstheme="majorBidi"/>
          <w:color w:val="0F1115"/>
          <w:sz w:val="24"/>
          <w:szCs w:val="24"/>
        </w:rPr>
        <w:t>.</w:t>
      </w:r>
    </w:p>
    <w:p w:rsidR="007971EF" w:rsidRPr="007971EF" w:rsidRDefault="007971EF" w:rsidP="007971EF">
      <w:pPr>
        <w:numPr>
          <w:ilvl w:val="0"/>
          <w:numId w:val="20"/>
        </w:numPr>
        <w:shd w:val="clear" w:color="auto" w:fill="FFFFFF"/>
        <w:tabs>
          <w:tab w:val="clear" w:pos="720"/>
          <w:tab w:val="num" w:pos="1440"/>
        </w:tabs>
        <w:bidi/>
        <w:spacing w:before="100" w:beforeAutospacing="1" w:after="120" w:line="420" w:lineRule="atLeast"/>
        <w:ind w:left="1380"/>
        <w:rPr>
          <w:rFonts w:asciiTheme="majorBidi" w:eastAsia="Times New Roman" w:hAnsiTheme="majorBidi" w:cstheme="majorBidi"/>
          <w:color w:val="0F1115"/>
          <w:sz w:val="24"/>
          <w:szCs w:val="24"/>
        </w:rPr>
      </w:pPr>
      <w:r w:rsidRPr="007971EF">
        <w:rPr>
          <w:rFonts w:asciiTheme="majorBidi" w:eastAsia="Times New Roman" w:hAnsiTheme="majorBidi" w:cstheme="majorBidi"/>
          <w:b/>
          <w:bCs/>
          <w:color w:val="0F1115"/>
          <w:sz w:val="24"/>
          <w:szCs w:val="24"/>
          <w:rtl/>
        </w:rPr>
        <w:t>تفسير الفروقات حسب المؤهل العلمي (ص. 119)</w:t>
      </w:r>
      <w:r w:rsidRPr="007971EF">
        <w:rPr>
          <w:rFonts w:asciiTheme="majorBidi" w:eastAsia="Times New Roman" w:hAnsiTheme="majorBidi" w:cstheme="majorBidi"/>
          <w:b/>
          <w:bCs/>
          <w:color w:val="0F1115"/>
          <w:sz w:val="24"/>
          <w:szCs w:val="24"/>
        </w:rPr>
        <w:t>:</w:t>
      </w:r>
    </w:p>
    <w:p w:rsidR="007971EF" w:rsidRPr="007971EF" w:rsidRDefault="007971EF" w:rsidP="007971EF">
      <w:pPr>
        <w:numPr>
          <w:ilvl w:val="1"/>
          <w:numId w:val="20"/>
        </w:numPr>
        <w:shd w:val="clear" w:color="auto" w:fill="FFFFFF"/>
        <w:tabs>
          <w:tab w:val="clear" w:pos="1440"/>
          <w:tab w:val="num" w:pos="2160"/>
        </w:tabs>
        <w:bidi/>
        <w:spacing w:before="100" w:beforeAutospacing="1" w:after="0" w:line="420" w:lineRule="atLeast"/>
        <w:ind w:left="1380"/>
        <w:rPr>
          <w:rFonts w:asciiTheme="majorBidi" w:eastAsia="Times New Roman" w:hAnsiTheme="majorBidi" w:cstheme="majorBidi"/>
          <w:color w:val="0F1115"/>
          <w:sz w:val="24"/>
          <w:szCs w:val="24"/>
        </w:rPr>
      </w:pPr>
      <w:r w:rsidRPr="007971EF">
        <w:rPr>
          <w:rFonts w:asciiTheme="majorBidi" w:eastAsia="Times New Roman" w:hAnsiTheme="majorBidi" w:cstheme="majorBidi"/>
          <w:color w:val="0F1115"/>
          <w:sz w:val="24"/>
          <w:szCs w:val="24"/>
          <w:rtl/>
        </w:rPr>
        <w:t>النتيجة أن حملة الدبلوم أعلى من حملة الماجستير في تقييم وضوح الاستراتيجية مثيرة للاهتمام وتستحق تفسيرًا أعمق مما ورد. هل يمكن أن يكون حملة الماجستير أكثر انتقادًا وتشككًا بسبب معرفتهم الأوسع؟ هذا مجرد اقتراح، ولكن مناقشة هذه النقطة الشاذة</w:t>
      </w:r>
      <w:r w:rsidRPr="007971EF">
        <w:rPr>
          <w:rFonts w:asciiTheme="majorBidi" w:eastAsia="Times New Roman" w:hAnsiTheme="majorBidi" w:cstheme="majorBidi"/>
          <w:color w:val="0F1115"/>
          <w:sz w:val="24"/>
          <w:szCs w:val="24"/>
        </w:rPr>
        <w:t xml:space="preserve"> (Outlier) </w:t>
      </w:r>
      <w:r w:rsidRPr="007971EF">
        <w:rPr>
          <w:rFonts w:asciiTheme="majorBidi" w:eastAsia="Times New Roman" w:hAnsiTheme="majorBidi" w:cstheme="majorBidi"/>
          <w:color w:val="0F1115"/>
          <w:sz w:val="24"/>
          <w:szCs w:val="24"/>
          <w:rtl/>
        </w:rPr>
        <w:t>ستزيد من عمق التحليل</w:t>
      </w:r>
      <w:r w:rsidRPr="007971EF">
        <w:rPr>
          <w:rFonts w:asciiTheme="majorBidi" w:eastAsia="Times New Roman" w:hAnsiTheme="majorBidi" w:cstheme="majorBidi"/>
          <w:color w:val="0F1115"/>
          <w:sz w:val="24"/>
          <w:szCs w:val="24"/>
        </w:rPr>
        <w:t>.</w:t>
      </w:r>
    </w:p>
    <w:p w:rsidR="007971EF" w:rsidRPr="007971EF" w:rsidRDefault="007971EF" w:rsidP="007971EF">
      <w:pPr>
        <w:shd w:val="clear" w:color="auto" w:fill="FFFFFF"/>
        <w:bidi/>
        <w:spacing w:before="480" w:after="240" w:line="480" w:lineRule="atLeast"/>
        <w:ind w:left="720"/>
        <w:outlineLvl w:val="1"/>
        <w:rPr>
          <w:rFonts w:asciiTheme="majorBidi" w:eastAsia="Times New Roman" w:hAnsiTheme="majorBidi" w:cstheme="majorBidi"/>
          <w:b/>
          <w:bCs/>
          <w:color w:val="0F1115"/>
          <w:sz w:val="33"/>
          <w:szCs w:val="33"/>
        </w:rPr>
      </w:pPr>
      <w:r w:rsidRPr="007971EF">
        <w:rPr>
          <w:rFonts w:asciiTheme="majorBidi" w:eastAsia="Times New Roman" w:hAnsiTheme="majorBidi" w:cstheme="majorBidi"/>
          <w:b/>
          <w:bCs/>
          <w:color w:val="0F1115"/>
          <w:sz w:val="33"/>
          <w:szCs w:val="33"/>
          <w:rtl/>
        </w:rPr>
        <w:t>ملخص التقييم</w:t>
      </w:r>
    </w:p>
    <w:p w:rsidR="007971EF" w:rsidRPr="007971EF" w:rsidRDefault="007971EF" w:rsidP="007971EF">
      <w:pPr>
        <w:shd w:val="clear" w:color="auto" w:fill="FFFFFF"/>
        <w:bidi/>
        <w:spacing w:before="240" w:after="240" w:line="420" w:lineRule="atLeast"/>
        <w:ind w:left="720"/>
        <w:rPr>
          <w:rFonts w:asciiTheme="majorBidi" w:eastAsia="Times New Roman" w:hAnsiTheme="majorBidi" w:cstheme="majorBidi"/>
          <w:color w:val="0F1115"/>
          <w:sz w:val="24"/>
          <w:szCs w:val="24"/>
        </w:rPr>
      </w:pPr>
      <w:r w:rsidRPr="007971EF">
        <w:rPr>
          <w:rFonts w:asciiTheme="majorBidi" w:eastAsia="Times New Roman" w:hAnsiTheme="majorBidi" w:cstheme="majorBidi"/>
          <w:color w:val="0F1115"/>
          <w:sz w:val="24"/>
          <w:szCs w:val="24"/>
          <w:rtl/>
        </w:rPr>
        <w:t>هذه رسالة دكتوراه متميزة بكل المقاييس. تُظهر فهمًا عميقًا للموضوع، ومنهجية بحثية صارمة ومتقدمة، وتحليلاً إحصائيًا دقيقًا، ونتائج ذات قيمة نظرية وتطبيقية عالية</w:t>
      </w:r>
      <w:r w:rsidRPr="007971EF">
        <w:rPr>
          <w:rFonts w:asciiTheme="majorBidi" w:eastAsia="Times New Roman" w:hAnsiTheme="majorBidi" w:cstheme="majorBidi"/>
          <w:color w:val="0F1115"/>
          <w:sz w:val="24"/>
          <w:szCs w:val="24"/>
        </w:rPr>
        <w:t>.</w:t>
      </w:r>
    </w:p>
    <w:p w:rsidR="007971EF" w:rsidRPr="007971EF" w:rsidRDefault="007971EF" w:rsidP="007971EF">
      <w:pPr>
        <w:shd w:val="clear" w:color="auto" w:fill="FFFFFF"/>
        <w:bidi/>
        <w:spacing w:before="240" w:after="240" w:line="420" w:lineRule="atLeast"/>
        <w:ind w:left="720"/>
        <w:rPr>
          <w:rFonts w:asciiTheme="majorBidi" w:eastAsia="Times New Roman" w:hAnsiTheme="majorBidi" w:cstheme="majorBidi"/>
          <w:color w:val="0F1115"/>
          <w:sz w:val="24"/>
          <w:szCs w:val="24"/>
        </w:rPr>
      </w:pPr>
      <w:r w:rsidRPr="007971EF">
        <w:rPr>
          <w:rFonts w:asciiTheme="majorBidi" w:eastAsia="Times New Roman" w:hAnsiTheme="majorBidi" w:cstheme="majorBidi"/>
          <w:b/>
          <w:bCs/>
          <w:color w:val="0F1115"/>
          <w:sz w:val="24"/>
          <w:szCs w:val="24"/>
          <w:rtl/>
        </w:rPr>
        <w:t>نقاط القوة الرئيسية</w:t>
      </w:r>
      <w:r w:rsidRPr="007971EF">
        <w:rPr>
          <w:rFonts w:asciiTheme="majorBidi" w:eastAsia="Times New Roman" w:hAnsiTheme="majorBidi" w:cstheme="majorBidi"/>
          <w:b/>
          <w:bCs/>
          <w:color w:val="0F1115"/>
          <w:sz w:val="24"/>
          <w:szCs w:val="24"/>
        </w:rPr>
        <w:t>:</w:t>
      </w:r>
    </w:p>
    <w:p w:rsidR="007971EF" w:rsidRPr="007971EF" w:rsidRDefault="007971EF" w:rsidP="007971EF">
      <w:pPr>
        <w:numPr>
          <w:ilvl w:val="0"/>
          <w:numId w:val="21"/>
        </w:numPr>
        <w:shd w:val="clear" w:color="auto" w:fill="FFFFFF"/>
        <w:tabs>
          <w:tab w:val="clear" w:pos="720"/>
          <w:tab w:val="num" w:pos="1440"/>
        </w:tabs>
        <w:bidi/>
        <w:spacing w:before="100" w:beforeAutospacing="1" w:after="0" w:line="420" w:lineRule="atLeast"/>
        <w:ind w:left="1380"/>
        <w:rPr>
          <w:rFonts w:asciiTheme="majorBidi" w:eastAsia="Times New Roman" w:hAnsiTheme="majorBidi" w:cstheme="majorBidi"/>
          <w:color w:val="0F1115"/>
          <w:sz w:val="24"/>
          <w:szCs w:val="24"/>
        </w:rPr>
      </w:pPr>
      <w:r w:rsidRPr="007971EF">
        <w:rPr>
          <w:rFonts w:asciiTheme="majorBidi" w:eastAsia="Times New Roman" w:hAnsiTheme="majorBidi" w:cstheme="majorBidi"/>
          <w:b/>
          <w:bCs/>
          <w:color w:val="0F1115"/>
          <w:sz w:val="24"/>
          <w:szCs w:val="24"/>
          <w:rtl/>
        </w:rPr>
        <w:t>أهمية الموضوع وحداثته</w:t>
      </w:r>
      <w:r w:rsidRPr="007971EF">
        <w:rPr>
          <w:rFonts w:asciiTheme="majorBidi" w:eastAsia="Times New Roman" w:hAnsiTheme="majorBidi" w:cstheme="majorBidi"/>
          <w:b/>
          <w:bCs/>
          <w:color w:val="0F1115"/>
          <w:sz w:val="24"/>
          <w:szCs w:val="24"/>
        </w:rPr>
        <w:t>:</w:t>
      </w:r>
      <w:r w:rsidRPr="007971EF">
        <w:rPr>
          <w:rFonts w:asciiTheme="majorBidi" w:eastAsia="Times New Roman" w:hAnsiTheme="majorBidi" w:cstheme="majorBidi"/>
          <w:color w:val="0F1115"/>
          <w:sz w:val="24"/>
          <w:szCs w:val="24"/>
        </w:rPr>
        <w:t> </w:t>
      </w:r>
      <w:r w:rsidRPr="007971EF">
        <w:rPr>
          <w:rFonts w:asciiTheme="majorBidi" w:eastAsia="Times New Roman" w:hAnsiTheme="majorBidi" w:cstheme="majorBidi"/>
          <w:color w:val="0F1115"/>
          <w:sz w:val="24"/>
          <w:szCs w:val="24"/>
          <w:rtl/>
        </w:rPr>
        <w:t>الربط بين التوجه الاستراتيجي والتخطيط التشغيلي كمتغير وسيط في القطاع العام السعودي</w:t>
      </w:r>
      <w:r w:rsidRPr="007971EF">
        <w:rPr>
          <w:rFonts w:asciiTheme="majorBidi" w:eastAsia="Times New Roman" w:hAnsiTheme="majorBidi" w:cstheme="majorBidi"/>
          <w:color w:val="0F1115"/>
          <w:sz w:val="24"/>
          <w:szCs w:val="24"/>
        </w:rPr>
        <w:t>.</w:t>
      </w:r>
    </w:p>
    <w:p w:rsidR="007971EF" w:rsidRPr="007971EF" w:rsidRDefault="007971EF" w:rsidP="007971EF">
      <w:pPr>
        <w:numPr>
          <w:ilvl w:val="0"/>
          <w:numId w:val="21"/>
        </w:numPr>
        <w:shd w:val="clear" w:color="auto" w:fill="FFFFFF"/>
        <w:tabs>
          <w:tab w:val="clear" w:pos="720"/>
          <w:tab w:val="num" w:pos="1440"/>
        </w:tabs>
        <w:bidi/>
        <w:spacing w:before="100" w:beforeAutospacing="1" w:after="0" w:line="420" w:lineRule="atLeast"/>
        <w:ind w:left="1380"/>
        <w:rPr>
          <w:rFonts w:asciiTheme="majorBidi" w:eastAsia="Times New Roman" w:hAnsiTheme="majorBidi" w:cstheme="majorBidi"/>
          <w:color w:val="0F1115"/>
          <w:sz w:val="24"/>
          <w:szCs w:val="24"/>
        </w:rPr>
      </w:pPr>
      <w:r w:rsidRPr="007971EF">
        <w:rPr>
          <w:rFonts w:asciiTheme="majorBidi" w:eastAsia="Times New Roman" w:hAnsiTheme="majorBidi" w:cstheme="majorBidi"/>
          <w:b/>
          <w:bCs/>
          <w:color w:val="0F1115"/>
          <w:sz w:val="24"/>
          <w:szCs w:val="24"/>
          <w:rtl/>
        </w:rPr>
        <w:t>المنهجية المتقدمة</w:t>
      </w:r>
      <w:r w:rsidRPr="007971EF">
        <w:rPr>
          <w:rFonts w:asciiTheme="majorBidi" w:eastAsia="Times New Roman" w:hAnsiTheme="majorBidi" w:cstheme="majorBidi"/>
          <w:b/>
          <w:bCs/>
          <w:color w:val="0F1115"/>
          <w:sz w:val="24"/>
          <w:szCs w:val="24"/>
        </w:rPr>
        <w:t>:</w:t>
      </w:r>
      <w:r w:rsidRPr="007971EF">
        <w:rPr>
          <w:rFonts w:asciiTheme="majorBidi" w:eastAsia="Times New Roman" w:hAnsiTheme="majorBidi" w:cstheme="majorBidi"/>
          <w:color w:val="0F1115"/>
          <w:sz w:val="24"/>
          <w:szCs w:val="24"/>
        </w:rPr>
        <w:t> </w:t>
      </w:r>
      <w:r w:rsidRPr="007971EF">
        <w:rPr>
          <w:rFonts w:asciiTheme="majorBidi" w:eastAsia="Times New Roman" w:hAnsiTheme="majorBidi" w:cstheme="majorBidi"/>
          <w:color w:val="0F1115"/>
          <w:sz w:val="24"/>
          <w:szCs w:val="24"/>
          <w:rtl/>
        </w:rPr>
        <w:t>استخدام</w:t>
      </w:r>
      <w:r w:rsidRPr="007971EF">
        <w:rPr>
          <w:rFonts w:asciiTheme="majorBidi" w:eastAsia="Times New Roman" w:hAnsiTheme="majorBidi" w:cstheme="majorBidi"/>
          <w:color w:val="0F1115"/>
          <w:sz w:val="24"/>
          <w:szCs w:val="24"/>
        </w:rPr>
        <w:t xml:space="preserve"> G*Power</w:t>
      </w:r>
      <w:r w:rsidRPr="007971EF">
        <w:rPr>
          <w:rFonts w:asciiTheme="majorBidi" w:eastAsia="Times New Roman" w:hAnsiTheme="majorBidi" w:cstheme="majorBidi"/>
          <w:color w:val="0F1115"/>
          <w:sz w:val="24"/>
          <w:szCs w:val="24"/>
          <w:rtl/>
        </w:rPr>
        <w:t xml:space="preserve">، </w:t>
      </w:r>
      <w:r w:rsidRPr="007971EF">
        <w:rPr>
          <w:rFonts w:asciiTheme="majorBidi" w:eastAsia="Times New Roman" w:hAnsiTheme="majorBidi" w:cstheme="majorBidi"/>
          <w:color w:val="0F1115"/>
          <w:sz w:val="24"/>
          <w:szCs w:val="24"/>
        </w:rPr>
        <w:t>SEM</w:t>
      </w:r>
      <w:r w:rsidRPr="007971EF">
        <w:rPr>
          <w:rFonts w:asciiTheme="majorBidi" w:eastAsia="Times New Roman" w:hAnsiTheme="majorBidi" w:cstheme="majorBidi"/>
          <w:color w:val="0F1115"/>
          <w:sz w:val="24"/>
          <w:szCs w:val="24"/>
          <w:rtl/>
        </w:rPr>
        <w:t>، تحليل الوساطة، والتحليل البعدي، والتحقق من جميع الافتراضات الإحصائية</w:t>
      </w:r>
      <w:r w:rsidRPr="007971EF">
        <w:rPr>
          <w:rFonts w:asciiTheme="majorBidi" w:eastAsia="Times New Roman" w:hAnsiTheme="majorBidi" w:cstheme="majorBidi"/>
          <w:color w:val="0F1115"/>
          <w:sz w:val="24"/>
          <w:szCs w:val="24"/>
        </w:rPr>
        <w:t>.</w:t>
      </w:r>
    </w:p>
    <w:p w:rsidR="007971EF" w:rsidRPr="007971EF" w:rsidRDefault="007971EF" w:rsidP="007971EF">
      <w:pPr>
        <w:numPr>
          <w:ilvl w:val="0"/>
          <w:numId w:val="21"/>
        </w:numPr>
        <w:shd w:val="clear" w:color="auto" w:fill="FFFFFF"/>
        <w:tabs>
          <w:tab w:val="clear" w:pos="720"/>
          <w:tab w:val="num" w:pos="1440"/>
        </w:tabs>
        <w:bidi/>
        <w:spacing w:before="100" w:beforeAutospacing="1" w:after="0" w:line="420" w:lineRule="atLeast"/>
        <w:ind w:left="1380"/>
        <w:rPr>
          <w:rFonts w:asciiTheme="majorBidi" w:eastAsia="Times New Roman" w:hAnsiTheme="majorBidi" w:cstheme="majorBidi"/>
          <w:color w:val="0F1115"/>
          <w:sz w:val="24"/>
          <w:szCs w:val="24"/>
        </w:rPr>
      </w:pPr>
      <w:r w:rsidRPr="007971EF">
        <w:rPr>
          <w:rFonts w:asciiTheme="majorBidi" w:eastAsia="Times New Roman" w:hAnsiTheme="majorBidi" w:cstheme="majorBidi"/>
          <w:b/>
          <w:bCs/>
          <w:color w:val="0F1115"/>
          <w:sz w:val="24"/>
          <w:szCs w:val="24"/>
          <w:rtl/>
        </w:rPr>
        <w:t>جودة البيانات</w:t>
      </w:r>
      <w:r w:rsidRPr="007971EF">
        <w:rPr>
          <w:rFonts w:asciiTheme="majorBidi" w:eastAsia="Times New Roman" w:hAnsiTheme="majorBidi" w:cstheme="majorBidi"/>
          <w:b/>
          <w:bCs/>
          <w:color w:val="0F1115"/>
          <w:sz w:val="24"/>
          <w:szCs w:val="24"/>
        </w:rPr>
        <w:t>:</w:t>
      </w:r>
      <w:r w:rsidRPr="007971EF">
        <w:rPr>
          <w:rFonts w:asciiTheme="majorBidi" w:eastAsia="Times New Roman" w:hAnsiTheme="majorBidi" w:cstheme="majorBidi"/>
          <w:color w:val="0F1115"/>
          <w:sz w:val="24"/>
          <w:szCs w:val="24"/>
        </w:rPr>
        <w:t> </w:t>
      </w:r>
      <w:r w:rsidRPr="007971EF">
        <w:rPr>
          <w:rFonts w:asciiTheme="majorBidi" w:eastAsia="Times New Roman" w:hAnsiTheme="majorBidi" w:cstheme="majorBidi"/>
          <w:color w:val="0F1115"/>
          <w:sz w:val="24"/>
          <w:szCs w:val="24"/>
          <w:rtl/>
        </w:rPr>
        <w:t>حجم عينة كبير ومتنوع، ومقاييس ذات موثوقية وصدق عالين</w:t>
      </w:r>
      <w:r w:rsidRPr="007971EF">
        <w:rPr>
          <w:rFonts w:asciiTheme="majorBidi" w:eastAsia="Times New Roman" w:hAnsiTheme="majorBidi" w:cstheme="majorBidi"/>
          <w:color w:val="0F1115"/>
          <w:sz w:val="24"/>
          <w:szCs w:val="24"/>
        </w:rPr>
        <w:t>.</w:t>
      </w:r>
    </w:p>
    <w:p w:rsidR="007971EF" w:rsidRPr="007971EF" w:rsidRDefault="007971EF" w:rsidP="007971EF">
      <w:pPr>
        <w:numPr>
          <w:ilvl w:val="0"/>
          <w:numId w:val="21"/>
        </w:numPr>
        <w:shd w:val="clear" w:color="auto" w:fill="FFFFFF"/>
        <w:tabs>
          <w:tab w:val="clear" w:pos="720"/>
          <w:tab w:val="num" w:pos="1440"/>
        </w:tabs>
        <w:bidi/>
        <w:spacing w:before="100" w:beforeAutospacing="1" w:after="0" w:line="420" w:lineRule="atLeast"/>
        <w:ind w:left="1380"/>
        <w:rPr>
          <w:rFonts w:asciiTheme="majorBidi" w:eastAsia="Times New Roman" w:hAnsiTheme="majorBidi" w:cstheme="majorBidi"/>
          <w:color w:val="0F1115"/>
          <w:sz w:val="24"/>
          <w:szCs w:val="24"/>
        </w:rPr>
      </w:pPr>
      <w:r w:rsidRPr="007971EF">
        <w:rPr>
          <w:rFonts w:asciiTheme="majorBidi" w:eastAsia="Times New Roman" w:hAnsiTheme="majorBidi" w:cstheme="majorBidi"/>
          <w:b/>
          <w:bCs/>
          <w:color w:val="0F1115"/>
          <w:sz w:val="24"/>
          <w:szCs w:val="24"/>
          <w:rtl/>
        </w:rPr>
        <w:t>النتائج المبتكرة</w:t>
      </w:r>
      <w:r w:rsidRPr="007971EF">
        <w:rPr>
          <w:rFonts w:asciiTheme="majorBidi" w:eastAsia="Times New Roman" w:hAnsiTheme="majorBidi" w:cstheme="majorBidi"/>
          <w:b/>
          <w:bCs/>
          <w:color w:val="0F1115"/>
          <w:sz w:val="24"/>
          <w:szCs w:val="24"/>
        </w:rPr>
        <w:t>:</w:t>
      </w:r>
      <w:r w:rsidRPr="007971EF">
        <w:rPr>
          <w:rFonts w:asciiTheme="majorBidi" w:eastAsia="Times New Roman" w:hAnsiTheme="majorBidi" w:cstheme="majorBidi"/>
          <w:color w:val="0F1115"/>
          <w:sz w:val="24"/>
          <w:szCs w:val="24"/>
        </w:rPr>
        <w:t> </w:t>
      </w:r>
      <w:r w:rsidRPr="007971EF">
        <w:rPr>
          <w:rFonts w:asciiTheme="majorBidi" w:eastAsia="Times New Roman" w:hAnsiTheme="majorBidi" w:cstheme="majorBidi"/>
          <w:color w:val="0F1115"/>
          <w:sz w:val="24"/>
          <w:szCs w:val="24"/>
          <w:rtl/>
        </w:rPr>
        <w:t>اكتشاف الفجوة الهرمية، والتباين النوعي، والأهم من ذلك، التمييز بين أدوار أبعاد التوجه الاستراتيجي الثلاثة (الرؤية، الأهداف، الاستراتيجية) وتأثيراتها المباشرة وغير المباشرة. هذا يعد إسهامًا نظريًا أصيلًا</w:t>
      </w:r>
      <w:r w:rsidRPr="007971EF">
        <w:rPr>
          <w:rFonts w:asciiTheme="majorBidi" w:eastAsia="Times New Roman" w:hAnsiTheme="majorBidi" w:cstheme="majorBidi"/>
          <w:color w:val="0F1115"/>
          <w:sz w:val="24"/>
          <w:szCs w:val="24"/>
        </w:rPr>
        <w:t>.</w:t>
      </w:r>
    </w:p>
    <w:p w:rsidR="007971EF" w:rsidRPr="007971EF" w:rsidRDefault="007971EF" w:rsidP="007971EF">
      <w:pPr>
        <w:numPr>
          <w:ilvl w:val="0"/>
          <w:numId w:val="21"/>
        </w:numPr>
        <w:shd w:val="clear" w:color="auto" w:fill="FFFFFF"/>
        <w:tabs>
          <w:tab w:val="clear" w:pos="720"/>
          <w:tab w:val="num" w:pos="1440"/>
        </w:tabs>
        <w:bidi/>
        <w:spacing w:before="100" w:beforeAutospacing="1" w:after="0" w:line="420" w:lineRule="atLeast"/>
        <w:ind w:left="1380"/>
        <w:rPr>
          <w:rFonts w:asciiTheme="majorBidi" w:eastAsia="Times New Roman" w:hAnsiTheme="majorBidi" w:cstheme="majorBidi"/>
          <w:color w:val="0F1115"/>
          <w:sz w:val="24"/>
          <w:szCs w:val="24"/>
        </w:rPr>
      </w:pPr>
      <w:r w:rsidRPr="007971EF">
        <w:rPr>
          <w:rFonts w:asciiTheme="majorBidi" w:eastAsia="Times New Roman" w:hAnsiTheme="majorBidi" w:cstheme="majorBidi"/>
          <w:b/>
          <w:bCs/>
          <w:color w:val="0F1115"/>
          <w:sz w:val="24"/>
          <w:szCs w:val="24"/>
          <w:rtl/>
        </w:rPr>
        <w:t>الوضوح والتنظيم</w:t>
      </w:r>
      <w:r w:rsidRPr="007971EF">
        <w:rPr>
          <w:rFonts w:asciiTheme="majorBidi" w:eastAsia="Times New Roman" w:hAnsiTheme="majorBidi" w:cstheme="majorBidi"/>
          <w:b/>
          <w:bCs/>
          <w:color w:val="0F1115"/>
          <w:sz w:val="24"/>
          <w:szCs w:val="24"/>
        </w:rPr>
        <w:t>:</w:t>
      </w:r>
      <w:r w:rsidRPr="007971EF">
        <w:rPr>
          <w:rFonts w:asciiTheme="majorBidi" w:eastAsia="Times New Roman" w:hAnsiTheme="majorBidi" w:cstheme="majorBidi"/>
          <w:color w:val="0F1115"/>
          <w:sz w:val="24"/>
          <w:szCs w:val="24"/>
        </w:rPr>
        <w:t> </w:t>
      </w:r>
      <w:r w:rsidRPr="007971EF">
        <w:rPr>
          <w:rFonts w:asciiTheme="majorBidi" w:eastAsia="Times New Roman" w:hAnsiTheme="majorBidi" w:cstheme="majorBidi"/>
          <w:color w:val="0F1115"/>
          <w:sz w:val="24"/>
          <w:szCs w:val="24"/>
          <w:rtl/>
        </w:rPr>
        <w:t>الرسالة مكتوبة بلغة علمية سليمة ومنظمة بشكل جيد، مما يسهل على القارئ متابعة الأفكار والنتائج</w:t>
      </w:r>
      <w:r w:rsidRPr="007971EF">
        <w:rPr>
          <w:rFonts w:asciiTheme="majorBidi" w:eastAsia="Times New Roman" w:hAnsiTheme="majorBidi" w:cstheme="majorBidi"/>
          <w:color w:val="0F1115"/>
          <w:sz w:val="24"/>
          <w:szCs w:val="24"/>
        </w:rPr>
        <w:t>.</w:t>
      </w:r>
    </w:p>
    <w:p w:rsidR="007971EF" w:rsidRDefault="007971EF" w:rsidP="007971EF">
      <w:pPr>
        <w:numPr>
          <w:ilvl w:val="0"/>
          <w:numId w:val="21"/>
        </w:numPr>
        <w:shd w:val="clear" w:color="auto" w:fill="FFFFFF"/>
        <w:tabs>
          <w:tab w:val="clear" w:pos="720"/>
          <w:tab w:val="num" w:pos="1440"/>
        </w:tabs>
        <w:bidi/>
        <w:spacing w:before="100" w:beforeAutospacing="1" w:after="0" w:line="420" w:lineRule="atLeast"/>
        <w:ind w:left="1380"/>
        <w:rPr>
          <w:rFonts w:asciiTheme="majorBidi" w:eastAsia="Times New Roman" w:hAnsiTheme="majorBidi" w:cstheme="majorBidi"/>
          <w:color w:val="0F1115"/>
          <w:sz w:val="24"/>
          <w:szCs w:val="24"/>
        </w:rPr>
      </w:pPr>
      <w:r w:rsidRPr="007971EF">
        <w:rPr>
          <w:rFonts w:asciiTheme="majorBidi" w:eastAsia="Times New Roman" w:hAnsiTheme="majorBidi" w:cstheme="majorBidi"/>
          <w:b/>
          <w:bCs/>
          <w:color w:val="0F1115"/>
          <w:sz w:val="24"/>
          <w:szCs w:val="24"/>
          <w:rtl/>
        </w:rPr>
        <w:t>الشفافية</w:t>
      </w:r>
      <w:r w:rsidRPr="007971EF">
        <w:rPr>
          <w:rFonts w:asciiTheme="majorBidi" w:eastAsia="Times New Roman" w:hAnsiTheme="majorBidi" w:cstheme="majorBidi"/>
          <w:b/>
          <w:bCs/>
          <w:color w:val="0F1115"/>
          <w:sz w:val="24"/>
          <w:szCs w:val="24"/>
        </w:rPr>
        <w:t>:</w:t>
      </w:r>
      <w:r w:rsidRPr="007971EF">
        <w:rPr>
          <w:rFonts w:asciiTheme="majorBidi" w:eastAsia="Times New Roman" w:hAnsiTheme="majorBidi" w:cstheme="majorBidi"/>
          <w:color w:val="0F1115"/>
          <w:sz w:val="24"/>
          <w:szCs w:val="24"/>
        </w:rPr>
        <w:t> </w:t>
      </w:r>
      <w:r w:rsidRPr="007971EF">
        <w:rPr>
          <w:rFonts w:asciiTheme="majorBidi" w:eastAsia="Times New Roman" w:hAnsiTheme="majorBidi" w:cstheme="majorBidi"/>
          <w:color w:val="0F1115"/>
          <w:sz w:val="24"/>
          <w:szCs w:val="24"/>
          <w:rtl/>
        </w:rPr>
        <w:t>إدراج جميع نتائج التحليل في الملاحق يعزز من مصداقية البحث</w:t>
      </w:r>
      <w:r w:rsidRPr="007971EF">
        <w:rPr>
          <w:rFonts w:asciiTheme="majorBidi" w:eastAsia="Times New Roman" w:hAnsiTheme="majorBidi" w:cstheme="majorBidi"/>
          <w:color w:val="0F1115"/>
          <w:sz w:val="24"/>
          <w:szCs w:val="24"/>
        </w:rPr>
        <w:t>.</w:t>
      </w:r>
    </w:p>
    <w:p w:rsidR="00DE0829" w:rsidRPr="007971EF" w:rsidRDefault="00DE0829" w:rsidP="00DE0829">
      <w:pPr>
        <w:shd w:val="clear" w:color="auto" w:fill="FFFFFF"/>
        <w:bidi/>
        <w:spacing w:before="100" w:beforeAutospacing="1" w:after="0" w:line="420" w:lineRule="atLeast"/>
        <w:ind w:left="1380"/>
        <w:rPr>
          <w:rFonts w:asciiTheme="majorBidi" w:eastAsia="Times New Roman" w:hAnsiTheme="majorBidi" w:cstheme="majorBidi"/>
          <w:color w:val="0F1115"/>
          <w:sz w:val="24"/>
          <w:szCs w:val="24"/>
        </w:rPr>
      </w:pPr>
      <w:r>
        <w:rPr>
          <w:rFonts w:asciiTheme="majorBidi" w:eastAsia="Times New Roman" w:hAnsiTheme="majorBidi" w:cstheme="majorBidi" w:hint="cs"/>
          <w:b/>
          <w:bCs/>
          <w:color w:val="0F1115"/>
          <w:sz w:val="24"/>
          <w:szCs w:val="24"/>
          <w:rtl/>
        </w:rPr>
        <w:t xml:space="preserve">بالتوفيق ان شاء الله </w:t>
      </w:r>
      <w:bookmarkStart w:id="0" w:name="_GoBack"/>
      <w:bookmarkEnd w:id="0"/>
    </w:p>
    <w:p w:rsidR="007971EF" w:rsidRPr="007971EF" w:rsidRDefault="007971EF" w:rsidP="00B36193">
      <w:pPr>
        <w:shd w:val="clear" w:color="auto" w:fill="FFFFFF"/>
        <w:bidi/>
        <w:spacing w:before="240" w:after="100" w:afterAutospacing="1" w:line="420" w:lineRule="atLeast"/>
        <w:ind w:left="720"/>
        <w:rPr>
          <w:rFonts w:asciiTheme="majorBidi" w:eastAsia="Times New Roman" w:hAnsiTheme="majorBidi" w:cstheme="majorBidi"/>
          <w:color w:val="0F1115"/>
          <w:sz w:val="24"/>
          <w:szCs w:val="24"/>
        </w:rPr>
      </w:pPr>
      <w:r w:rsidRPr="007971EF">
        <w:rPr>
          <w:rFonts w:asciiTheme="majorBidi" w:eastAsia="Times New Roman" w:hAnsiTheme="majorBidi" w:cstheme="majorBidi"/>
          <w:b/>
          <w:bCs/>
          <w:color w:val="0F1115"/>
          <w:sz w:val="24"/>
          <w:szCs w:val="24"/>
          <w:rtl/>
        </w:rPr>
        <w:t xml:space="preserve">تاريخ التقرير: </w:t>
      </w:r>
      <w:r w:rsidR="00B36193">
        <w:rPr>
          <w:rFonts w:asciiTheme="majorBidi" w:eastAsia="Times New Roman" w:hAnsiTheme="majorBidi" w:cstheme="majorBidi" w:hint="cs"/>
          <w:b/>
          <w:bCs/>
          <w:color w:val="0F1115"/>
          <w:sz w:val="24"/>
          <w:szCs w:val="24"/>
          <w:rtl/>
        </w:rPr>
        <w:t xml:space="preserve">10 </w:t>
      </w:r>
      <w:r w:rsidRPr="007971EF">
        <w:rPr>
          <w:rFonts w:asciiTheme="majorBidi" w:eastAsia="Times New Roman" w:hAnsiTheme="majorBidi" w:cstheme="majorBidi"/>
          <w:b/>
          <w:bCs/>
          <w:color w:val="0F1115"/>
          <w:sz w:val="24"/>
          <w:szCs w:val="24"/>
          <w:rtl/>
        </w:rPr>
        <w:t>مارس 2026</w:t>
      </w:r>
    </w:p>
    <w:p w:rsidR="00CB0AC4" w:rsidRPr="00B36193" w:rsidRDefault="00CB0AC4" w:rsidP="007971EF">
      <w:pPr>
        <w:bidi/>
        <w:rPr>
          <w:rFonts w:asciiTheme="majorBidi" w:hAnsiTheme="majorBidi" w:cstheme="majorBidi"/>
        </w:rPr>
      </w:pPr>
    </w:p>
    <w:sectPr w:rsidR="00CB0AC4" w:rsidRPr="00B3619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7A2B" w:rsidRDefault="00087A2B" w:rsidP="007971EF">
      <w:pPr>
        <w:spacing w:after="0" w:line="240" w:lineRule="auto"/>
      </w:pPr>
      <w:r>
        <w:separator/>
      </w:r>
    </w:p>
  </w:endnote>
  <w:endnote w:type="continuationSeparator" w:id="0">
    <w:p w:rsidR="00087A2B" w:rsidRDefault="00087A2B" w:rsidP="007971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7A2B" w:rsidRDefault="00087A2B" w:rsidP="007971EF">
      <w:pPr>
        <w:spacing w:after="0" w:line="240" w:lineRule="auto"/>
      </w:pPr>
      <w:r>
        <w:separator/>
      </w:r>
    </w:p>
  </w:footnote>
  <w:footnote w:type="continuationSeparator" w:id="0">
    <w:p w:rsidR="00087A2B" w:rsidRDefault="00087A2B" w:rsidP="007971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842FF"/>
    <w:multiLevelType w:val="multilevel"/>
    <w:tmpl w:val="E946A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F26B5D"/>
    <w:multiLevelType w:val="multilevel"/>
    <w:tmpl w:val="5BE4CF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9F7533"/>
    <w:multiLevelType w:val="multilevel"/>
    <w:tmpl w:val="E14E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B9579C"/>
    <w:multiLevelType w:val="multilevel"/>
    <w:tmpl w:val="676E6D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D71BF8"/>
    <w:multiLevelType w:val="multilevel"/>
    <w:tmpl w:val="681E9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9949CD"/>
    <w:multiLevelType w:val="multilevel"/>
    <w:tmpl w:val="21B69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DC6402"/>
    <w:multiLevelType w:val="multilevel"/>
    <w:tmpl w:val="D562C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7A2C64"/>
    <w:multiLevelType w:val="multilevel"/>
    <w:tmpl w:val="85F46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200B21"/>
    <w:multiLevelType w:val="multilevel"/>
    <w:tmpl w:val="5E58B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AF42F0"/>
    <w:multiLevelType w:val="multilevel"/>
    <w:tmpl w:val="6C0C8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F94DC9"/>
    <w:multiLevelType w:val="multilevel"/>
    <w:tmpl w:val="CD606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D53933"/>
    <w:multiLevelType w:val="multilevel"/>
    <w:tmpl w:val="164A7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F506C9"/>
    <w:multiLevelType w:val="multilevel"/>
    <w:tmpl w:val="07EE7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EB35E4"/>
    <w:multiLevelType w:val="multilevel"/>
    <w:tmpl w:val="5D68B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CE7710"/>
    <w:multiLevelType w:val="multilevel"/>
    <w:tmpl w:val="EE720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6B0C87"/>
    <w:multiLevelType w:val="multilevel"/>
    <w:tmpl w:val="7FAA3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4E2F86"/>
    <w:multiLevelType w:val="multilevel"/>
    <w:tmpl w:val="C9AA1A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E02D0C"/>
    <w:multiLevelType w:val="multilevel"/>
    <w:tmpl w:val="A7CE3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CB3685"/>
    <w:multiLevelType w:val="multilevel"/>
    <w:tmpl w:val="B6BE3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7A13C2"/>
    <w:multiLevelType w:val="multilevel"/>
    <w:tmpl w:val="65C46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DD23B31"/>
    <w:multiLevelType w:val="multilevel"/>
    <w:tmpl w:val="293A0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12"/>
  </w:num>
  <w:num w:numId="3">
    <w:abstractNumId w:val="14"/>
  </w:num>
  <w:num w:numId="4">
    <w:abstractNumId w:val="9"/>
  </w:num>
  <w:num w:numId="5">
    <w:abstractNumId w:val="17"/>
  </w:num>
  <w:num w:numId="6">
    <w:abstractNumId w:val="6"/>
  </w:num>
  <w:num w:numId="7">
    <w:abstractNumId w:val="0"/>
  </w:num>
  <w:num w:numId="8">
    <w:abstractNumId w:val="8"/>
  </w:num>
  <w:num w:numId="9">
    <w:abstractNumId w:val="5"/>
  </w:num>
  <w:num w:numId="10">
    <w:abstractNumId w:val="15"/>
  </w:num>
  <w:num w:numId="11">
    <w:abstractNumId w:val="11"/>
  </w:num>
  <w:num w:numId="12">
    <w:abstractNumId w:val="4"/>
  </w:num>
  <w:num w:numId="13">
    <w:abstractNumId w:val="2"/>
  </w:num>
  <w:num w:numId="14">
    <w:abstractNumId w:val="7"/>
  </w:num>
  <w:num w:numId="15">
    <w:abstractNumId w:val="16"/>
  </w:num>
  <w:num w:numId="16">
    <w:abstractNumId w:val="18"/>
  </w:num>
  <w:num w:numId="17">
    <w:abstractNumId w:val="10"/>
  </w:num>
  <w:num w:numId="18">
    <w:abstractNumId w:val="3"/>
  </w:num>
  <w:num w:numId="19">
    <w:abstractNumId w:val="13"/>
  </w:num>
  <w:num w:numId="20">
    <w:abstractNumId w:val="1"/>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NDczNDUzNTI0MTc0szBU0lEKTi0uzszPAykwrAUA9VN62CwAAAA="/>
  </w:docVars>
  <w:rsids>
    <w:rsidRoot w:val="00111B2F"/>
    <w:rsid w:val="00087A2B"/>
    <w:rsid w:val="00111B2F"/>
    <w:rsid w:val="0032663E"/>
    <w:rsid w:val="006A34A0"/>
    <w:rsid w:val="007971EF"/>
    <w:rsid w:val="009D67C9"/>
    <w:rsid w:val="00B36193"/>
    <w:rsid w:val="00C82235"/>
    <w:rsid w:val="00CB0AC4"/>
    <w:rsid w:val="00DE08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8F3C0"/>
  <w15:chartTrackingRefBased/>
  <w15:docId w15:val="{021BA8C4-B8DA-4771-94E6-CDDE7C872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7971E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7971E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971E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7971EF"/>
    <w:rPr>
      <w:rFonts w:ascii="Times New Roman" w:eastAsia="Times New Roman" w:hAnsi="Times New Roman" w:cs="Times New Roman"/>
      <w:b/>
      <w:bCs/>
      <w:sz w:val="27"/>
      <w:szCs w:val="27"/>
    </w:rPr>
  </w:style>
  <w:style w:type="paragraph" w:customStyle="1" w:styleId="ds-markdown-paragraph">
    <w:name w:val="ds-markdown-paragraph"/>
    <w:basedOn w:val="Normal"/>
    <w:rsid w:val="007971E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971EF"/>
    <w:rPr>
      <w:i/>
      <w:iCs/>
    </w:rPr>
  </w:style>
  <w:style w:type="character" w:styleId="Strong">
    <w:name w:val="Strong"/>
    <w:basedOn w:val="DefaultParagraphFont"/>
    <w:uiPriority w:val="22"/>
    <w:qFormat/>
    <w:rsid w:val="007971EF"/>
    <w:rPr>
      <w:b/>
      <w:bCs/>
    </w:rPr>
  </w:style>
  <w:style w:type="paragraph" w:styleId="Header">
    <w:name w:val="header"/>
    <w:basedOn w:val="Normal"/>
    <w:link w:val="HeaderChar"/>
    <w:uiPriority w:val="99"/>
    <w:unhideWhenUsed/>
    <w:rsid w:val="007971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71EF"/>
  </w:style>
  <w:style w:type="paragraph" w:styleId="Footer">
    <w:name w:val="footer"/>
    <w:basedOn w:val="Normal"/>
    <w:link w:val="FooterChar"/>
    <w:uiPriority w:val="99"/>
    <w:unhideWhenUsed/>
    <w:rsid w:val="007971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71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7059319">
      <w:bodyDiv w:val="1"/>
      <w:marLeft w:val="0"/>
      <w:marRight w:val="0"/>
      <w:marTop w:val="0"/>
      <w:marBottom w:val="0"/>
      <w:divBdr>
        <w:top w:val="none" w:sz="0" w:space="0" w:color="auto"/>
        <w:left w:val="none" w:sz="0" w:space="0" w:color="auto"/>
        <w:bottom w:val="none" w:sz="0" w:space="0" w:color="auto"/>
        <w:right w:val="none" w:sz="0" w:space="0" w:color="auto"/>
      </w:divBdr>
    </w:div>
    <w:div w:id="1510409294">
      <w:bodyDiv w:val="1"/>
      <w:marLeft w:val="0"/>
      <w:marRight w:val="0"/>
      <w:marTop w:val="0"/>
      <w:marBottom w:val="0"/>
      <w:divBdr>
        <w:top w:val="none" w:sz="0" w:space="0" w:color="auto"/>
        <w:left w:val="none" w:sz="0" w:space="0" w:color="auto"/>
        <w:bottom w:val="none" w:sz="0" w:space="0" w:color="auto"/>
        <w:right w:val="none" w:sz="0" w:space="0" w:color="auto"/>
      </w:divBdr>
      <w:divsChild>
        <w:div w:id="373434550">
          <w:marLeft w:val="660"/>
          <w:marRight w:val="660"/>
          <w:marTop w:val="0"/>
          <w:marBottom w:val="360"/>
          <w:divBdr>
            <w:top w:val="none" w:sz="0" w:space="0" w:color="auto"/>
            <w:left w:val="none" w:sz="0" w:space="0" w:color="auto"/>
            <w:bottom w:val="none" w:sz="0" w:space="0" w:color="auto"/>
            <w:right w:val="none" w:sz="0" w:space="0" w:color="auto"/>
          </w:divBdr>
          <w:divsChild>
            <w:div w:id="588000123">
              <w:marLeft w:val="0"/>
              <w:marRight w:val="0"/>
              <w:marTop w:val="0"/>
              <w:marBottom w:val="0"/>
              <w:divBdr>
                <w:top w:val="none" w:sz="0" w:space="0" w:color="auto"/>
                <w:left w:val="none" w:sz="0" w:space="0" w:color="auto"/>
                <w:bottom w:val="none" w:sz="0" w:space="0" w:color="auto"/>
                <w:right w:val="none" w:sz="0" w:space="0" w:color="auto"/>
              </w:divBdr>
              <w:divsChild>
                <w:div w:id="1222248249">
                  <w:marLeft w:val="0"/>
                  <w:marRight w:val="0"/>
                  <w:marTop w:val="0"/>
                  <w:marBottom w:val="0"/>
                  <w:divBdr>
                    <w:top w:val="none" w:sz="0" w:space="0" w:color="auto"/>
                    <w:left w:val="none" w:sz="0" w:space="0" w:color="auto"/>
                    <w:bottom w:val="none" w:sz="0" w:space="0" w:color="auto"/>
                    <w:right w:val="none" w:sz="0" w:space="0" w:color="auto"/>
                  </w:divBdr>
                  <w:divsChild>
                    <w:div w:id="496845433">
                      <w:marLeft w:val="0"/>
                      <w:marRight w:val="0"/>
                      <w:marTop w:val="0"/>
                      <w:marBottom w:val="0"/>
                      <w:divBdr>
                        <w:top w:val="none" w:sz="0" w:space="0" w:color="auto"/>
                        <w:left w:val="none" w:sz="0" w:space="0" w:color="auto"/>
                        <w:bottom w:val="none" w:sz="0" w:space="0" w:color="auto"/>
                        <w:right w:val="none" w:sz="0" w:space="0" w:color="auto"/>
                      </w:divBdr>
                      <w:divsChild>
                        <w:div w:id="393696003">
                          <w:blockQuote w:val="1"/>
                          <w:marLeft w:val="0"/>
                          <w:marRight w:val="0"/>
                          <w:marTop w:val="240"/>
                          <w:marBottom w:val="0"/>
                          <w:divBdr>
                            <w:top w:val="none" w:sz="0" w:space="0" w:color="auto"/>
                            <w:left w:val="single" w:sz="12" w:space="11" w:color="ADB2B8"/>
                            <w:bottom w:val="none" w:sz="0" w:space="0" w:color="auto"/>
                            <w:right w:val="none" w:sz="0" w:space="0" w:color="auto"/>
                          </w:divBdr>
                        </w:div>
                        <w:div w:id="880289458">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484</Words>
  <Characters>2759</Characters>
  <Application>Microsoft Office Word</Application>
  <DocSecurity>0</DocSecurity>
  <Lines>22</Lines>
  <Paragraphs>6</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    التقييم العام</vt:lpstr>
      <vt:lpstr>        صفحة 78: مجتمع وعينة الدراسة</vt:lpstr>
      <vt:lpstr>    الإشكاليات المنهجية الكبرى (نقاط تحتاج إلى توضيح أو تحسين)</vt:lpstr>
      <vt:lpstr>    ملخص التقييم</vt:lpstr>
      <vt:lpstr>    التوصية النهائية</vt:lpstr>
    </vt:vector>
  </TitlesOfParts>
  <Company/>
  <LinksUpToDate>false</LinksUpToDate>
  <CharactersWithSpaces>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Windows User</cp:lastModifiedBy>
  <cp:revision>5</cp:revision>
  <dcterms:created xsi:type="dcterms:W3CDTF">2026-03-10T11:27:00Z</dcterms:created>
  <dcterms:modified xsi:type="dcterms:W3CDTF">2026-03-10T13:33:00Z</dcterms:modified>
</cp:coreProperties>
</file>