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0C3BE10" w:rsidR="009125CE" w:rsidRPr="00012BBF" w:rsidRDefault="00934D43" w:rsidP="00934D43">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012BBF">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C81B191">
            <wp:simplePos x="0" y="0"/>
            <wp:positionH relativeFrom="margin">
              <wp:posOffset>233680</wp:posOffset>
            </wp:positionH>
            <wp:positionV relativeFrom="margin">
              <wp:posOffset>-87630</wp:posOffset>
            </wp:positionV>
            <wp:extent cx="1592580" cy="1478280"/>
            <wp:effectExtent l="0" t="0" r="762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92580" cy="1478280"/>
                    </a:xfrm>
                    <a:prstGeom prst="rect">
                      <a:avLst/>
                    </a:prstGeom>
                  </pic:spPr>
                </pic:pic>
              </a:graphicData>
            </a:graphic>
            <wp14:sizeRelH relativeFrom="margin">
              <wp14:pctWidth>0</wp14:pctWidth>
            </wp14:sizeRelH>
            <wp14:sizeRelV relativeFrom="margin">
              <wp14:pctHeight>0</wp14:pctHeight>
            </wp14:sizeRelV>
          </wp:anchor>
        </w:drawing>
      </w:r>
      <w:r w:rsidR="009125CE" w:rsidRPr="00012BBF">
        <w:rPr>
          <w:rFonts w:ascii="Simplified Arabic" w:hAnsi="Simplified Arabic" w:cs="Simplified Arabic"/>
          <w:b/>
          <w:bCs/>
          <w:color w:val="000000" w:themeColor="text1"/>
          <w:sz w:val="32"/>
          <w:szCs w:val="32"/>
          <w:rtl/>
          <w:lang w:bidi="ar-EG"/>
        </w:rPr>
        <w:t xml:space="preserve">جامعة ميدأوشن </w:t>
      </w:r>
    </w:p>
    <w:p w14:paraId="1E957002" w14:textId="0F7E0648" w:rsidR="00F546CE" w:rsidRPr="00012BBF" w:rsidRDefault="009125CE" w:rsidP="00934D4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12BBF">
        <w:rPr>
          <w:rFonts w:ascii="Simplified Arabic" w:hAnsi="Simplified Arabic" w:cs="Simplified Arabic"/>
          <w:b/>
          <w:bCs/>
          <w:color w:val="000000" w:themeColor="text1"/>
          <w:sz w:val="32"/>
          <w:szCs w:val="32"/>
          <w:rtl/>
          <w:lang w:bidi="ar-EG"/>
        </w:rPr>
        <w:t xml:space="preserve">كلية </w:t>
      </w:r>
      <w:r w:rsidR="008C42C1" w:rsidRPr="00012BBF">
        <w:rPr>
          <w:rFonts w:ascii="Simplified Arabic" w:hAnsi="Simplified Arabic" w:cs="Simplified Arabic"/>
          <w:b/>
          <w:bCs/>
          <w:color w:val="000000" w:themeColor="text1"/>
          <w:sz w:val="32"/>
          <w:szCs w:val="32"/>
          <w:rtl/>
          <w:lang w:bidi="ar-EG"/>
        </w:rPr>
        <w:t>الإدارة</w:t>
      </w:r>
      <w:r w:rsidRPr="00012BBF">
        <w:rPr>
          <w:rFonts w:ascii="Simplified Arabic" w:hAnsi="Simplified Arabic" w:cs="Simplified Arabic"/>
          <w:b/>
          <w:bCs/>
          <w:color w:val="000000" w:themeColor="text1"/>
          <w:sz w:val="32"/>
          <w:szCs w:val="32"/>
          <w:rtl/>
          <w:lang w:bidi="ar-EG"/>
        </w:rPr>
        <w:t xml:space="preserve"> </w:t>
      </w:r>
    </w:p>
    <w:p w14:paraId="5F6542BF" w14:textId="1C94ACA3" w:rsidR="009125CE" w:rsidRPr="00012BBF" w:rsidRDefault="00E67776" w:rsidP="00934D4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12BBF">
        <w:rPr>
          <w:rFonts w:ascii="Simplified Arabic" w:hAnsi="Simplified Arabic" w:cs="Simplified Arabic"/>
          <w:b/>
          <w:bCs/>
          <w:color w:val="000000" w:themeColor="text1"/>
          <w:sz w:val="32"/>
          <w:szCs w:val="32"/>
          <w:rtl/>
          <w:lang w:bidi="ar-EG"/>
        </w:rPr>
        <w:t>ماجستير ادارة الموارد البشرية</w:t>
      </w:r>
    </w:p>
    <w:p w14:paraId="7F3EC781" w14:textId="77777777" w:rsidR="0053470A" w:rsidRPr="00012BBF" w:rsidRDefault="0053470A" w:rsidP="00934D43">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0BFE1A2E" w14:textId="6995BA8F" w:rsidR="00E67776" w:rsidRPr="00012BBF" w:rsidRDefault="00E67776" w:rsidP="0053470A">
      <w:pPr>
        <w:spacing w:before="100" w:beforeAutospacing="1" w:after="100" w:afterAutospacing="1" w:line="276" w:lineRule="auto"/>
        <w:jc w:val="center"/>
        <w:rPr>
          <w:rFonts w:ascii="Simplified Arabic" w:hAnsi="Simplified Arabic" w:cs="Simplified Arabic"/>
          <w:b/>
          <w:bCs/>
          <w:color w:val="000000" w:themeColor="text1"/>
          <w:sz w:val="40"/>
          <w:szCs w:val="40"/>
          <w:rtl/>
          <w:lang w:bidi="ar-EG"/>
        </w:rPr>
      </w:pPr>
      <w:r w:rsidRPr="00012BBF">
        <w:rPr>
          <w:rFonts w:ascii="Simplified Arabic" w:hAnsi="Simplified Arabic" w:cs="Simplified Arabic"/>
          <w:b/>
          <w:bCs/>
          <w:color w:val="000000" w:themeColor="text1"/>
          <w:sz w:val="40"/>
          <w:szCs w:val="40"/>
          <w:rtl/>
          <w:lang w:bidi="ar-EG"/>
        </w:rPr>
        <w:t>أثر جودة التنسيق مع الجهات الحكومية على تجربة الموظف والاحتفاظ بالكفاءات في بيئات العمل عالية المخاطر: دراسة ميدانية على شركات الطاقة في مدينة الدمام.</w:t>
      </w:r>
    </w:p>
    <w:p w14:paraId="751A7E65" w14:textId="213BBE3E" w:rsidR="009125CE" w:rsidRPr="00012BBF" w:rsidRDefault="009125CE" w:rsidP="0053470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12BBF">
        <w:rPr>
          <w:rFonts w:ascii="Simplified Arabic" w:hAnsi="Simplified Arabic" w:cs="Simplified Arabic"/>
          <w:b/>
          <w:bCs/>
          <w:color w:val="000000" w:themeColor="text1"/>
          <w:sz w:val="36"/>
          <w:szCs w:val="36"/>
          <w:rtl/>
          <w:lang w:bidi="ar-EG"/>
        </w:rPr>
        <w:t>إعداد الطالب/</w:t>
      </w:r>
    </w:p>
    <w:p w14:paraId="2E14F0F4" w14:textId="0E830907" w:rsidR="00E67776" w:rsidRPr="00012BBF" w:rsidRDefault="00E67776" w:rsidP="0053470A">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012BBF">
        <w:rPr>
          <w:rFonts w:ascii="Simplified Arabic" w:hAnsi="Simplified Arabic" w:cs="Simplified Arabic"/>
          <w:color w:val="000000" w:themeColor="text1"/>
          <w:sz w:val="36"/>
          <w:szCs w:val="36"/>
          <w:rtl/>
        </w:rPr>
        <w:t>عمر عزام الرحيمي</w:t>
      </w:r>
    </w:p>
    <w:p w14:paraId="5AC9E5D5" w14:textId="77777777" w:rsidR="00E67776" w:rsidRPr="00012BBF" w:rsidRDefault="00E67776" w:rsidP="0053470A">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012BBF">
        <w:rPr>
          <w:rFonts w:ascii="Simplified Arabic" w:hAnsi="Simplified Arabic" w:cs="Simplified Arabic"/>
          <w:color w:val="000000" w:themeColor="text1"/>
          <w:sz w:val="36"/>
          <w:szCs w:val="36"/>
          <w:rtl/>
        </w:rPr>
        <w:t>253002521</w:t>
      </w:r>
    </w:p>
    <w:tbl>
      <w:tblPr>
        <w:bidiVisual/>
        <w:tblW w:w="0" w:type="auto"/>
        <w:tblLook w:val="04A0" w:firstRow="1" w:lastRow="0" w:firstColumn="1" w:lastColumn="0" w:noHBand="0" w:noVBand="1"/>
      </w:tblPr>
      <w:tblGrid>
        <w:gridCol w:w="4530"/>
        <w:gridCol w:w="4531"/>
      </w:tblGrid>
      <w:tr w:rsidR="0053470A" w:rsidRPr="00012BBF" w14:paraId="7CBE4C57" w14:textId="77777777" w:rsidTr="0053470A">
        <w:tc>
          <w:tcPr>
            <w:tcW w:w="4530" w:type="dxa"/>
          </w:tcPr>
          <w:p w14:paraId="3B1F5A2A" w14:textId="77777777" w:rsidR="0053470A" w:rsidRPr="00012BBF" w:rsidRDefault="0053470A" w:rsidP="0053470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12BBF">
              <w:rPr>
                <w:rFonts w:ascii="Simplified Arabic" w:hAnsi="Simplified Arabic" w:cs="Simplified Arabic" w:hint="cs"/>
                <w:b/>
                <w:bCs/>
                <w:color w:val="000000" w:themeColor="text1"/>
                <w:sz w:val="36"/>
                <w:szCs w:val="36"/>
                <w:rtl/>
                <w:lang w:bidi="ar-EG"/>
              </w:rPr>
              <w:t>المشرف الرئيسي/</w:t>
            </w:r>
          </w:p>
        </w:tc>
        <w:tc>
          <w:tcPr>
            <w:tcW w:w="4531" w:type="dxa"/>
          </w:tcPr>
          <w:p w14:paraId="3CD2C437" w14:textId="77777777" w:rsidR="0053470A" w:rsidRPr="00012BBF" w:rsidRDefault="0053470A" w:rsidP="0053470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12BBF">
              <w:rPr>
                <w:rFonts w:ascii="Simplified Arabic" w:hAnsi="Simplified Arabic" w:cs="Simplified Arabic" w:hint="cs"/>
                <w:b/>
                <w:bCs/>
                <w:color w:val="000000" w:themeColor="text1"/>
                <w:sz w:val="36"/>
                <w:szCs w:val="36"/>
                <w:rtl/>
                <w:lang w:bidi="ar-EG"/>
              </w:rPr>
              <w:t>المشرف الثاني/</w:t>
            </w:r>
          </w:p>
        </w:tc>
      </w:tr>
      <w:tr w:rsidR="0053470A" w:rsidRPr="00012BBF" w14:paraId="5E4FD7FD" w14:textId="77777777" w:rsidTr="0053470A">
        <w:tc>
          <w:tcPr>
            <w:tcW w:w="4530" w:type="dxa"/>
          </w:tcPr>
          <w:p w14:paraId="2B83A80F" w14:textId="77777777" w:rsidR="0053470A" w:rsidRPr="00012BBF" w:rsidRDefault="0053470A" w:rsidP="0053470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12BBF">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4D30410" w14:textId="77777777" w:rsidR="0053470A" w:rsidRPr="00012BBF" w:rsidRDefault="0053470A" w:rsidP="0053470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12BBF">
              <w:rPr>
                <w:rFonts w:ascii="Simplified Arabic" w:eastAsia="Calibri" w:hAnsi="Simplified Arabic" w:cs="Simplified Arabic"/>
                <w:color w:val="000000" w:themeColor="text1"/>
                <w:kern w:val="0"/>
                <w:sz w:val="36"/>
                <w:szCs w:val="36"/>
                <w:rtl/>
                <w:lang w:bidi="ar-EG"/>
                <w14:ligatures w14:val="none"/>
              </w:rPr>
              <w:t>د.فايز جراد</w:t>
            </w:r>
          </w:p>
        </w:tc>
      </w:tr>
    </w:tbl>
    <w:p w14:paraId="381E009E" w14:textId="77777777" w:rsidR="0053470A" w:rsidRPr="00012BBF" w:rsidRDefault="0053470A" w:rsidP="0053470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12BBF">
        <w:rPr>
          <w:rFonts w:ascii="Simplified Arabic" w:hAnsi="Simplified Arabic" w:cs="Simplified Arabic"/>
          <w:b/>
          <w:bCs/>
          <w:color w:val="000000" w:themeColor="text1"/>
          <w:sz w:val="36"/>
          <w:szCs w:val="36"/>
          <w:rtl/>
          <w:lang w:bidi="ar-EG"/>
        </w:rPr>
        <w:t>العام الدراسي:</w:t>
      </w:r>
    </w:p>
    <w:p w14:paraId="720A82F7" w14:textId="77777777" w:rsidR="0053470A" w:rsidRPr="00012BBF" w:rsidRDefault="0053470A" w:rsidP="0053470A">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53470A" w:rsidRPr="00012BBF" w:rsidSect="0053470A">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012BBF">
        <w:rPr>
          <w:rFonts w:ascii="Simplified Arabic" w:hAnsi="Simplified Arabic" w:cs="Simplified Arabic" w:hint="cs"/>
          <w:color w:val="000000" w:themeColor="text1"/>
          <w:sz w:val="36"/>
          <w:szCs w:val="36"/>
          <w:rtl/>
          <w:lang w:bidi="ar-EG"/>
        </w:rPr>
        <w:t xml:space="preserve">1448 </w:t>
      </w:r>
      <w:r w:rsidRPr="00012BBF">
        <w:rPr>
          <w:rFonts w:ascii="Simplified Arabic" w:hAnsi="Simplified Arabic" w:cs="Simplified Arabic"/>
          <w:color w:val="000000" w:themeColor="text1"/>
          <w:sz w:val="36"/>
          <w:szCs w:val="36"/>
          <w:rtl/>
          <w:lang w:bidi="ar-EG"/>
        </w:rPr>
        <w:t>–</w:t>
      </w:r>
      <w:r w:rsidRPr="00012BBF">
        <w:rPr>
          <w:rFonts w:ascii="Simplified Arabic" w:hAnsi="Simplified Arabic" w:cs="Simplified Arabic" w:hint="cs"/>
          <w:color w:val="000000" w:themeColor="text1"/>
          <w:sz w:val="36"/>
          <w:szCs w:val="36"/>
          <w:rtl/>
          <w:lang w:bidi="ar-EG"/>
        </w:rPr>
        <w:t xml:space="preserve"> 2026</w:t>
      </w:r>
    </w:p>
    <w:p w14:paraId="71ADFF12" w14:textId="77777777" w:rsidR="0053470A" w:rsidRPr="00012BBF" w:rsidRDefault="0053470A" w:rsidP="0053470A">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55410966" w14:textId="77777777" w:rsidR="00E67776" w:rsidRPr="00012BBF" w:rsidRDefault="00E67776" w:rsidP="00934D43">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51830FC9" w14:textId="77777777" w:rsidR="0053470A" w:rsidRPr="00012BBF" w:rsidRDefault="0053470A" w:rsidP="0053470A">
      <w:pPr>
        <w:pStyle w:val="NormalWeb"/>
        <w:bidi/>
        <w:spacing w:line="276" w:lineRule="auto"/>
        <w:jc w:val="center"/>
        <w:rPr>
          <w:rFonts w:ascii="Simplified Arabic" w:hAnsi="Simplified Arabic" w:cs="Simplified Arabic"/>
          <w:color w:val="000000" w:themeColor="text1"/>
          <w:sz w:val="28"/>
          <w:szCs w:val="28"/>
          <w:rtl/>
        </w:rPr>
        <w:sectPr w:rsidR="0053470A" w:rsidRPr="00012BBF" w:rsidSect="0053470A">
          <w:footerReference w:type="default" r:id="rId10"/>
          <w:type w:val="continuous"/>
          <w:pgSz w:w="11906" w:h="16838" w:code="9"/>
          <w:pgMar w:top="1134" w:right="1701" w:bottom="1134" w:left="1134" w:header="720" w:footer="720" w:gutter="0"/>
          <w:pgNumType w:fmt="arabicAbjad"/>
          <w:cols w:space="708"/>
          <w:bidi/>
          <w:rtlGutter/>
          <w:docGrid w:linePitch="360"/>
        </w:sectPr>
      </w:pPr>
      <w:bookmarkStart w:id="0" w:name="_Hlk172151144"/>
      <w:bookmarkStart w:id="1" w:name="_Toc169790489"/>
    </w:p>
    <w:p w14:paraId="20A838CD" w14:textId="46423D1E" w:rsidR="0053470A" w:rsidRPr="00012BBF" w:rsidRDefault="0053470A" w:rsidP="0053470A">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2" w:name="_Toc233239776"/>
      <w:r w:rsidRPr="00012BBF">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155A1DB5" w14:textId="2047E5A3" w:rsidR="0053470A" w:rsidRPr="00012BBF" w:rsidRDefault="0053470A" w:rsidP="0053470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239777"/>
      <w:r w:rsidRPr="00012BBF">
        <w:rPr>
          <w:rFonts w:ascii="Simplified Arabic" w:hAnsi="Simplified Arabic" w:cs="Simplified Arabic" w:hint="cs"/>
          <w:b/>
          <w:bCs/>
          <w:color w:val="000000" w:themeColor="text1"/>
          <w:sz w:val="36"/>
          <w:szCs w:val="36"/>
          <w:rtl/>
        </w:rPr>
        <w:t>1.1 المقدمة</w:t>
      </w:r>
      <w:bookmarkEnd w:id="3"/>
    </w:p>
    <w:p w14:paraId="1920CA55" w14:textId="72563DB0" w:rsidR="00D253EF" w:rsidRPr="00012BBF" w:rsidRDefault="00D253EF" w:rsidP="0053470A">
      <w:pPr>
        <w:pStyle w:val="NormalWeb"/>
        <w:bidi/>
        <w:spacing w:line="276" w:lineRule="auto"/>
        <w:ind w:firstLine="424"/>
        <w:jc w:val="both"/>
        <w:rPr>
          <w:rFonts w:ascii="Simplified Arabic" w:hAnsi="Simplified Arabic" w:cs="Simplified Arabic"/>
          <w:color w:val="000000" w:themeColor="text1"/>
          <w:sz w:val="28"/>
          <w:szCs w:val="28"/>
          <w:rtl/>
        </w:rPr>
      </w:pPr>
      <w:r w:rsidRPr="00012BBF">
        <w:rPr>
          <w:rFonts w:ascii="Simplified Arabic" w:hAnsi="Simplified Arabic" w:cs="Simplified Arabic"/>
          <w:color w:val="000000" w:themeColor="text1"/>
          <w:sz w:val="28"/>
          <w:szCs w:val="28"/>
          <w:rtl/>
        </w:rPr>
        <w:t xml:space="preserve">يُمثّل التنسيق الإداري بين المنظمات والجهات الحكومية أحد الأركان الجوهرية التي تقوم عليها فاعلية الأداء المؤسسي في مختلف القطاعات الاقتصادية، إذ يُعدّ الآلية التي يتم من خلالها توحيد الجهود وتوجيهها نحو تحقيق الأهداف المشتركة بين الأطراف المتعددة، وضمان تكامل السياسات والإجراءات بما يُحقق الانسيابية في العمليات التشغيلية ويُقلّل من الازدواجية والتعارض. وقد أكد الباحثون أن التنسيق ليس مجرد عملية إدارية روتينية، وإنما هو نشاط استراتيجي يربط بين التخطيط والتنظيم والتوجيه والرقابة، ويلعب دورًا محوريًا في تحديد مستوى جودة الخدمات المقدمة وكفاءة استثمار الموارد المتاحة (صلاح واخرون، </w:t>
      </w:r>
      <w:r w:rsidRPr="00012BBF">
        <w:rPr>
          <w:rFonts w:ascii="Simplified Arabic" w:hAnsi="Simplified Arabic" w:cs="Simplified Arabic"/>
          <w:color w:val="000000" w:themeColor="text1"/>
          <w:sz w:val="28"/>
          <w:szCs w:val="28"/>
        </w:rPr>
        <w:t xml:space="preserve"> (2021</w:t>
      </w:r>
      <w:r w:rsidRPr="00012BBF">
        <w:rPr>
          <w:rFonts w:ascii="Simplified Arabic" w:hAnsi="Simplified Arabic" w:cs="Simplified Arabic"/>
          <w:color w:val="000000" w:themeColor="text1"/>
          <w:sz w:val="28"/>
          <w:szCs w:val="28"/>
          <w:rtl/>
        </w:rPr>
        <w:t>.</w:t>
      </w:r>
    </w:p>
    <w:p w14:paraId="19FEE072" w14:textId="77777777" w:rsidR="00D253EF" w:rsidRPr="00012BBF" w:rsidRDefault="00D253EF" w:rsidP="0053470A">
      <w:pPr>
        <w:pStyle w:val="NormalWeb"/>
        <w:bidi/>
        <w:spacing w:line="276" w:lineRule="auto"/>
        <w:ind w:firstLine="424"/>
        <w:jc w:val="both"/>
        <w:rPr>
          <w:rFonts w:ascii="Simplified Arabic" w:hAnsi="Simplified Arabic" w:cs="Simplified Arabic"/>
          <w:color w:val="000000" w:themeColor="text1"/>
          <w:sz w:val="28"/>
          <w:szCs w:val="28"/>
        </w:rPr>
      </w:pPr>
      <w:r w:rsidRPr="00012BBF">
        <w:rPr>
          <w:rFonts w:ascii="Simplified Arabic" w:hAnsi="Simplified Arabic" w:cs="Simplified Arabic"/>
          <w:color w:val="000000" w:themeColor="text1"/>
          <w:sz w:val="28"/>
          <w:szCs w:val="28"/>
          <w:rtl/>
        </w:rPr>
        <w:t>وتتعاظم أهمية التنسيق مع الجهات الحكومية في السياقات التي تتعدد فيها الأطراف التنظيمية والرقابية، حيث يتطلب تحقيق الفاعلية المؤسسية وجود آليات واضحة لتبادل المعلومات وتوزيع المسؤوليات وتوحيد الإجراءات بين المستويات الإدارية المختلفة. وقد أثبتت الأدبيات الأكاديمية أن نجاح التنسيق بين الوكالات الحكومية يتحدد بمحركات متعددة تشمل البيئة المؤسسية وطبيعة المشكلات المشتركة، كما يعتمد على أدوات تتراوح بين الهياكل التنظيمية والسياسات والاتفاقيات وأنظمة المعلومات، وأن القدرة الإدارية ودقة استراتيجيات التنسيق تُعدّان من العوامل الحاسمة في تحقيق النتائج المرجوة</w:t>
      </w:r>
      <w:r w:rsidRPr="00012BBF">
        <w:rPr>
          <w:rFonts w:ascii="Simplified Arabic" w:hAnsi="Simplified Arabic" w:cs="Simplified Arabic"/>
          <w:color w:val="000000" w:themeColor="text1"/>
          <w:sz w:val="28"/>
          <w:szCs w:val="28"/>
        </w:rPr>
        <w:t xml:space="preserve"> (Syarien &amp; Samarah, 2023).</w:t>
      </w:r>
    </w:p>
    <w:p w14:paraId="61F5266A" w14:textId="36E5DF18" w:rsidR="00D253EF" w:rsidRPr="00012BBF" w:rsidRDefault="00D253EF" w:rsidP="0053470A">
      <w:pPr>
        <w:pStyle w:val="NormalWeb"/>
        <w:bidi/>
        <w:spacing w:line="276" w:lineRule="auto"/>
        <w:ind w:firstLine="424"/>
        <w:jc w:val="both"/>
        <w:rPr>
          <w:rFonts w:ascii="Simplified Arabic" w:hAnsi="Simplified Arabic" w:cs="Simplified Arabic"/>
          <w:color w:val="000000" w:themeColor="text1"/>
          <w:sz w:val="28"/>
          <w:szCs w:val="28"/>
        </w:rPr>
      </w:pPr>
      <w:r w:rsidRPr="00012BBF">
        <w:rPr>
          <w:rFonts w:ascii="Simplified Arabic" w:hAnsi="Simplified Arabic" w:cs="Simplified Arabic"/>
          <w:color w:val="000000" w:themeColor="text1"/>
          <w:sz w:val="28"/>
          <w:szCs w:val="28"/>
          <w:rtl/>
        </w:rPr>
        <w:t>وعلى صعيد تقديم الخدمات العامة، يرتبط مستوى جودة التنسيق بالخصائص التنظيمية للحكومات، بما في ذلك نطاق أدوات التنسيق المتبناة ومستوى الاعتماد المتبادل في المهام بين الوحدات التنظيمية، وهو ما يُشكّل إطارًا تفسيريًا لفهم التباينات في قدرة المؤسسات على إدارة مشكلات التنسيق والتغلب عليها</w:t>
      </w:r>
      <w:r w:rsidRPr="00012BBF">
        <w:rPr>
          <w:rFonts w:ascii="Simplified Arabic" w:hAnsi="Simplified Arabic" w:cs="Simplified Arabic"/>
          <w:color w:val="000000" w:themeColor="text1"/>
          <w:sz w:val="28"/>
          <w:szCs w:val="28"/>
        </w:rPr>
        <w:t xml:space="preserve"> (K</w:t>
      </w:r>
      <w:r w:rsidRPr="00012BBF">
        <w:rPr>
          <w:rFonts w:ascii="Cambria" w:hAnsi="Cambria" w:cs="Cambria"/>
          <w:color w:val="000000" w:themeColor="text1"/>
          <w:sz w:val="28"/>
          <w:szCs w:val="28"/>
        </w:rPr>
        <w:t>å</w:t>
      </w:r>
      <w:r w:rsidRPr="00012BBF">
        <w:rPr>
          <w:rFonts w:ascii="Simplified Arabic" w:hAnsi="Simplified Arabic" w:cs="Simplified Arabic"/>
          <w:color w:val="000000" w:themeColor="text1"/>
          <w:sz w:val="28"/>
          <w:szCs w:val="28"/>
        </w:rPr>
        <w:t xml:space="preserve">rtvedt, 2024). </w:t>
      </w:r>
    </w:p>
    <w:p w14:paraId="14CFA8C5" w14:textId="36D0FD76" w:rsidR="00D253EF" w:rsidRPr="00012BBF" w:rsidRDefault="00D253EF" w:rsidP="0053470A">
      <w:pPr>
        <w:pStyle w:val="NormalWeb"/>
        <w:bidi/>
        <w:spacing w:line="276" w:lineRule="auto"/>
        <w:ind w:firstLine="424"/>
        <w:jc w:val="both"/>
        <w:rPr>
          <w:rFonts w:ascii="Simplified Arabic" w:hAnsi="Simplified Arabic" w:cs="Simplified Arabic"/>
          <w:color w:val="000000" w:themeColor="text1"/>
          <w:sz w:val="28"/>
          <w:szCs w:val="28"/>
        </w:rPr>
      </w:pPr>
      <w:r w:rsidRPr="00012BBF">
        <w:rPr>
          <w:rFonts w:ascii="Simplified Arabic" w:hAnsi="Simplified Arabic" w:cs="Simplified Arabic"/>
          <w:color w:val="000000" w:themeColor="text1"/>
          <w:sz w:val="28"/>
          <w:szCs w:val="28"/>
          <w:rtl/>
        </w:rPr>
        <w:t xml:space="preserve">و برز مفهوم تجربة الموظف بوصفه أحد المفاهيم الإدارية الحديثة التي تتجاوز المقاربات التقليدية لرضا الموظف وارتباطه الوظيفي، ليشمل مجمل التفاعلات ونقاط التماس التي يمرّ بها الموظف طوال رحلته داخل المنظمة، بما في ذلك البيئة المادية والموارد التكنولوجية والثقافة التنظيمية. وتُعدّ إدارة تجربة </w:t>
      </w:r>
      <w:r w:rsidRPr="00012BBF">
        <w:rPr>
          <w:rFonts w:ascii="Simplified Arabic" w:hAnsi="Simplified Arabic" w:cs="Simplified Arabic"/>
          <w:color w:val="000000" w:themeColor="text1"/>
          <w:sz w:val="28"/>
          <w:szCs w:val="28"/>
          <w:rtl/>
        </w:rPr>
        <w:lastRenderedPageBreak/>
        <w:t xml:space="preserve">الموظف مدخلًا استراتيجيًا لتحقيق السعادة المؤسسية وتعزيز الأداء التنظيمي، لا سيما في المؤسسات التي تسعى إلى استقطاب الكفاءات والاحتفاظ بها في ظل بيئات عمل تنافسية متزايدة (القحطاني، 2025). </w:t>
      </w:r>
    </w:p>
    <w:p w14:paraId="7D8A557E" w14:textId="0A986FFD" w:rsidR="00D253EF" w:rsidRPr="00012BBF" w:rsidRDefault="00D253EF" w:rsidP="0053470A">
      <w:pPr>
        <w:pStyle w:val="NormalWeb"/>
        <w:bidi/>
        <w:spacing w:line="276" w:lineRule="auto"/>
        <w:ind w:firstLine="424"/>
        <w:jc w:val="both"/>
        <w:rPr>
          <w:rFonts w:ascii="Simplified Arabic" w:hAnsi="Simplified Arabic" w:cs="Simplified Arabic"/>
          <w:color w:val="000000" w:themeColor="text1"/>
          <w:sz w:val="28"/>
          <w:szCs w:val="28"/>
        </w:rPr>
      </w:pPr>
      <w:r w:rsidRPr="00012BBF">
        <w:rPr>
          <w:rFonts w:ascii="Simplified Arabic" w:hAnsi="Simplified Arabic" w:cs="Simplified Arabic"/>
          <w:color w:val="000000" w:themeColor="text1"/>
          <w:sz w:val="28"/>
          <w:szCs w:val="28"/>
          <w:rtl/>
        </w:rPr>
        <w:t xml:space="preserve">ويكتسب هذا الموضوع أهمية خاصة في قطاع الطاقة بالمملكة العربية السعودية، الذي يُصنّف ضمن بيئات العمل عالية المخاطر نظرًا لطبيعة عملياته التشغيلية المعقدة وارتباطه الوثيق بمنظومة واسعة من الجهات الحكومية الرقابية والتنظيمية. وتمثّل شركات الطاقة في مدينة الدمام نموذجًا بارزًا لهذا التقاطع بين المتطلبات الحكومية وبيئة العمل الداخلية، حيث يؤثر مستوى التنسيق مع الجهات الحكومية تأثيرًا مباشرًا في تجربة الموظف اليومية وقراره بالاستمرار في المنظمة أو مغادرتها. </w:t>
      </w:r>
    </w:p>
    <w:p w14:paraId="17650153" w14:textId="1E40268B" w:rsidR="0053470A" w:rsidRPr="00012BBF" w:rsidRDefault="0053470A" w:rsidP="0053470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3239778"/>
      <w:bookmarkEnd w:id="0"/>
      <w:bookmarkEnd w:id="1"/>
      <w:r w:rsidRPr="00012BBF">
        <w:rPr>
          <w:rFonts w:ascii="Simplified Arabic" w:hAnsi="Simplified Arabic" w:cs="Simplified Arabic"/>
          <w:b/>
          <w:bCs/>
          <w:color w:val="000000" w:themeColor="text1"/>
          <w:sz w:val="36"/>
          <w:szCs w:val="36"/>
          <w:rtl/>
        </w:rPr>
        <w:t>2.1 مشكلة الدراسة</w:t>
      </w:r>
      <w:bookmarkEnd w:id="5"/>
    </w:p>
    <w:p w14:paraId="09E86F52" w14:textId="77777777" w:rsidR="00D253EF" w:rsidRPr="00012BBF" w:rsidRDefault="00D253EF" w:rsidP="0053470A">
      <w:pPr>
        <w:pStyle w:val="NormalWeb"/>
        <w:bidi/>
        <w:spacing w:line="276" w:lineRule="auto"/>
        <w:ind w:firstLine="424"/>
        <w:jc w:val="both"/>
        <w:rPr>
          <w:rFonts w:ascii="Simplified Arabic" w:hAnsi="Simplified Arabic" w:cs="Simplified Arabic"/>
          <w:color w:val="000000" w:themeColor="text1"/>
          <w:sz w:val="28"/>
          <w:szCs w:val="28"/>
        </w:rPr>
      </w:pPr>
      <w:r w:rsidRPr="00012BBF">
        <w:rPr>
          <w:rFonts w:ascii="Simplified Arabic" w:hAnsi="Simplified Arabic" w:cs="Simplified Arabic"/>
          <w:color w:val="000000" w:themeColor="text1"/>
          <w:sz w:val="28"/>
          <w:szCs w:val="28"/>
          <w:rtl/>
        </w:rPr>
        <w:t>يشهد قطاع الطاقة في المملكة العربية السعودية تحولات جوهرية متسارعة في إطار مستهدفات رؤية المملكة 2030، التي تسعى إلى تنويع مصادر الدخل الوطني وتعزيز الاستثمار في رأس المال البشري وتطوير بيئات العمل لتصبح أكثر جاذبية واستدامة. وتُعدّ شركات الطاقة العاملة في مدينة الدمام بالمنطقة الشرقية من أبرز الكيانات الاقتصادية التي تتقاطع عملياتها التشغيلية مع منظومة واسعة من الجهات الحكومية الرقابية والتنظيمية، كوزارة الطاقة ووزارة الموارد البشرية والتنمية الاجتماعية والهيئة العامة للصناعة والثروة المعدنية وهيئة الزكاة والضريبة والجمارك والدفاع المدني، مما يجعل جودة التنسيق مع هذه الجهات ركيزة حاسمة في انسيابية العمليات وكفاءة الأداء التنظيمي</w:t>
      </w:r>
      <w:r w:rsidRPr="00012BBF">
        <w:rPr>
          <w:rFonts w:ascii="Simplified Arabic" w:hAnsi="Simplified Arabic" w:cs="Simplified Arabic"/>
          <w:color w:val="000000" w:themeColor="text1"/>
          <w:sz w:val="28"/>
          <w:szCs w:val="28"/>
        </w:rPr>
        <w:t>.</w:t>
      </w:r>
    </w:p>
    <w:p w14:paraId="350342A1" w14:textId="2A2FF181" w:rsidR="00D253EF" w:rsidRPr="00012BBF" w:rsidRDefault="00D253EF" w:rsidP="0053470A">
      <w:pPr>
        <w:pStyle w:val="NormalWeb"/>
        <w:bidi/>
        <w:spacing w:line="276" w:lineRule="auto"/>
        <w:ind w:firstLine="424"/>
        <w:jc w:val="both"/>
        <w:rPr>
          <w:rFonts w:ascii="Simplified Arabic" w:hAnsi="Simplified Arabic" w:cs="Simplified Arabic"/>
          <w:color w:val="000000" w:themeColor="text1"/>
          <w:sz w:val="28"/>
          <w:szCs w:val="28"/>
        </w:rPr>
      </w:pPr>
      <w:r w:rsidRPr="00012BBF">
        <w:rPr>
          <w:rFonts w:ascii="Simplified Arabic" w:hAnsi="Simplified Arabic" w:cs="Simplified Arabic"/>
          <w:color w:val="000000" w:themeColor="text1"/>
          <w:sz w:val="28"/>
          <w:szCs w:val="28"/>
          <w:rtl/>
        </w:rPr>
        <w:t>غير أن الواقع العملي يكشف عن تحديات هيكلية وإجرائية تُلقي بظلالها على جودة هذا التنسيق، تتجلى في غموض بعض الإجراءات التنظيمية وتعددها بين الجهات الحكومية المختلفة، وقصور آليات تبادل المعلومات وبطء الاستجابة للمتطلبات التشغيلية العاجلة، فضلًا عن التعارض أحيانًا بين الأنظمة والسياسات الصادرة عن جهات حكومية متعددة، وتتفاقم هذه التحديات في بيئات العمل عالية المخاطر التي يتسم بها قطاع الطاقة، حيث تتطلب طبيعة العمل مستوى عاليًا من الدقة والسرعة في الحصول على التصاريح والموافقات والتراخيص، وأي تأخر أو ارتباك في هذا التنسيق ينعكس مباشرة على بيئة العمل الداخلية وعلى تجربة الموظف اليومية</w:t>
      </w:r>
      <w:r w:rsidRPr="00012BBF">
        <w:rPr>
          <w:rFonts w:ascii="Simplified Arabic" w:hAnsi="Simplified Arabic" w:cs="Simplified Arabic"/>
          <w:color w:val="000000" w:themeColor="text1"/>
          <w:sz w:val="28"/>
          <w:szCs w:val="28"/>
        </w:rPr>
        <w:t>.</w:t>
      </w:r>
    </w:p>
    <w:p w14:paraId="591FE9E9" w14:textId="5CD422B9" w:rsidR="00D253EF" w:rsidRPr="00012BBF" w:rsidRDefault="00D253EF" w:rsidP="0053470A">
      <w:pPr>
        <w:pStyle w:val="NormalWeb"/>
        <w:bidi/>
        <w:spacing w:line="276" w:lineRule="auto"/>
        <w:ind w:firstLine="424"/>
        <w:jc w:val="both"/>
        <w:rPr>
          <w:rFonts w:ascii="Simplified Arabic" w:hAnsi="Simplified Arabic" w:cs="Simplified Arabic"/>
          <w:color w:val="000000" w:themeColor="text1"/>
          <w:sz w:val="28"/>
          <w:szCs w:val="28"/>
        </w:rPr>
      </w:pPr>
      <w:r w:rsidRPr="00012BBF">
        <w:rPr>
          <w:rFonts w:ascii="Simplified Arabic" w:hAnsi="Simplified Arabic" w:cs="Simplified Arabic"/>
          <w:color w:val="000000" w:themeColor="text1"/>
          <w:sz w:val="28"/>
          <w:szCs w:val="28"/>
          <w:rtl/>
        </w:rPr>
        <w:t xml:space="preserve">وتُشير الشواهد الميدانية إلى أن تراجع جودة التنسيق مع الجهات الحكومية يُولّد ضغوطًا إدارية وتشغيلية مضاعفة على الموظفين، تتمثل في تكرار الإجراءات الورقية وطول فترات الانتظار والتعامل مع اشتراطات </w:t>
      </w:r>
      <w:r w:rsidRPr="00012BBF">
        <w:rPr>
          <w:rFonts w:ascii="Simplified Arabic" w:hAnsi="Simplified Arabic" w:cs="Simplified Arabic"/>
          <w:color w:val="000000" w:themeColor="text1"/>
          <w:sz w:val="28"/>
          <w:szCs w:val="28"/>
          <w:rtl/>
        </w:rPr>
        <w:lastRenderedPageBreak/>
        <w:t>متناقضة وأعباء بيروقراطية تُستنزف فيها طاقاتهم الذهنية والمهنية. وينتج عن ذلك تدهور ملموس في تجربة الموظف بأبعادها المتعددة</w:t>
      </w:r>
      <w:r w:rsidRPr="00012BBF">
        <w:rPr>
          <w:rFonts w:ascii="Simplified Arabic" w:hAnsi="Simplified Arabic" w:cs="Simplified Arabic"/>
          <w:color w:val="000000" w:themeColor="text1"/>
          <w:sz w:val="28"/>
          <w:szCs w:val="28"/>
        </w:rPr>
        <w:t xml:space="preserve">  </w:t>
      </w:r>
      <w:r w:rsidRPr="00012BBF">
        <w:rPr>
          <w:rFonts w:ascii="Simplified Arabic" w:hAnsi="Simplified Arabic" w:cs="Simplified Arabic"/>
          <w:color w:val="000000" w:themeColor="text1"/>
          <w:sz w:val="28"/>
          <w:szCs w:val="28"/>
          <w:rtl/>
        </w:rPr>
        <w:t>بما فيها الرضا الوظيفي والارتباط التنظيمي والشعور بالتمكين وهو ما يُفضي في نهاية المطاف إلى ارتفاع معدلات دوران العمالة واستنزاف الكفاءات المتخصصة التي يصعب تعويضها في قطاع يتطلب خبرات فنية نادرة وتأهيلًا تخصصيًا عاليًا. وقد أكدت دراسة</w:t>
      </w:r>
      <w:r w:rsidRPr="00012BBF">
        <w:rPr>
          <w:rFonts w:ascii="Simplified Arabic" w:hAnsi="Simplified Arabic" w:cs="Simplified Arabic"/>
          <w:color w:val="000000" w:themeColor="text1"/>
          <w:sz w:val="28"/>
          <w:szCs w:val="28"/>
        </w:rPr>
        <w:t xml:space="preserve"> Lee </w:t>
      </w:r>
      <w:r w:rsidRPr="00012BBF">
        <w:rPr>
          <w:rFonts w:ascii="Simplified Arabic" w:hAnsi="Simplified Arabic" w:cs="Simplified Arabic"/>
          <w:color w:val="000000" w:themeColor="text1"/>
          <w:sz w:val="28"/>
          <w:szCs w:val="28"/>
          <w:rtl/>
        </w:rPr>
        <w:t>و</w:t>
      </w:r>
      <w:r w:rsidRPr="00012BBF">
        <w:rPr>
          <w:rFonts w:ascii="Simplified Arabic" w:hAnsi="Simplified Arabic" w:cs="Simplified Arabic"/>
          <w:color w:val="000000" w:themeColor="text1"/>
          <w:sz w:val="28"/>
          <w:szCs w:val="28"/>
        </w:rPr>
        <w:t xml:space="preserve">Kim (2023) </w:t>
      </w:r>
      <w:r w:rsidRPr="00012BBF">
        <w:rPr>
          <w:rFonts w:ascii="Simplified Arabic" w:hAnsi="Simplified Arabic" w:cs="Simplified Arabic"/>
          <w:color w:val="000000" w:themeColor="text1"/>
          <w:sz w:val="28"/>
          <w:szCs w:val="28"/>
          <w:rtl/>
        </w:rPr>
        <w:t>أن تجربة الموظف بأبعادها المادية والتكنولوجية والثقافية تؤثر جوهريًا في الالتزام التنظيمي، بينما أشارت دراسة</w:t>
      </w:r>
      <w:r w:rsidRPr="00012BBF">
        <w:rPr>
          <w:rFonts w:ascii="Simplified Arabic" w:hAnsi="Simplified Arabic" w:cs="Simplified Arabic"/>
          <w:color w:val="000000" w:themeColor="text1"/>
          <w:sz w:val="28"/>
          <w:szCs w:val="28"/>
        </w:rPr>
        <w:t xml:space="preserve"> K</w:t>
      </w:r>
      <w:r w:rsidRPr="00012BBF">
        <w:rPr>
          <w:rFonts w:ascii="Cambria" w:hAnsi="Cambria" w:cs="Cambria"/>
          <w:color w:val="000000" w:themeColor="text1"/>
          <w:sz w:val="28"/>
          <w:szCs w:val="28"/>
        </w:rPr>
        <w:t>å</w:t>
      </w:r>
      <w:r w:rsidRPr="00012BBF">
        <w:rPr>
          <w:rFonts w:ascii="Simplified Arabic" w:hAnsi="Simplified Arabic" w:cs="Simplified Arabic"/>
          <w:color w:val="000000" w:themeColor="text1"/>
          <w:sz w:val="28"/>
          <w:szCs w:val="28"/>
        </w:rPr>
        <w:t xml:space="preserve">rtvedt (2024) </w:t>
      </w:r>
      <w:r w:rsidRPr="00012BBF">
        <w:rPr>
          <w:rFonts w:ascii="Simplified Arabic" w:hAnsi="Simplified Arabic" w:cs="Simplified Arabic"/>
          <w:color w:val="000000" w:themeColor="text1"/>
          <w:sz w:val="28"/>
          <w:szCs w:val="28"/>
          <w:rtl/>
        </w:rPr>
        <w:t>إلى أن جودة التنسيق المُدرَكة ترتبط بنطاق أدوات التنسيق المتبناة ومستوى الاعتماد المتبادل في المهام. كما أوضحت دراسة صلاح وآخرين (2021) وجود علاقة ارتباط موجبة بين فاعلية التنسيق الإداري وجودة الخدمات المقدمة، فيما أكدت دراسة</w:t>
      </w:r>
      <w:r w:rsidRPr="00012BBF">
        <w:rPr>
          <w:rFonts w:ascii="Simplified Arabic" w:hAnsi="Simplified Arabic" w:cs="Simplified Arabic"/>
          <w:color w:val="000000" w:themeColor="text1"/>
          <w:sz w:val="28"/>
          <w:szCs w:val="28"/>
        </w:rPr>
        <w:t xml:space="preserve"> Judijanto </w:t>
      </w:r>
      <w:r w:rsidRPr="00012BBF">
        <w:rPr>
          <w:rFonts w:ascii="Simplified Arabic" w:hAnsi="Simplified Arabic" w:cs="Simplified Arabic"/>
          <w:color w:val="000000" w:themeColor="text1"/>
          <w:sz w:val="28"/>
          <w:szCs w:val="28"/>
          <w:rtl/>
        </w:rPr>
        <w:t>وآخرين</w:t>
      </w:r>
      <w:r w:rsidRPr="00012BBF">
        <w:rPr>
          <w:rFonts w:ascii="Simplified Arabic" w:hAnsi="Simplified Arabic" w:cs="Simplified Arabic"/>
          <w:color w:val="000000" w:themeColor="text1"/>
          <w:sz w:val="28"/>
          <w:szCs w:val="28"/>
        </w:rPr>
        <w:t xml:space="preserve"> (2024) </w:t>
      </w:r>
      <w:r w:rsidRPr="00012BBF">
        <w:rPr>
          <w:rFonts w:ascii="Simplified Arabic" w:hAnsi="Simplified Arabic" w:cs="Simplified Arabic"/>
          <w:color w:val="000000" w:themeColor="text1"/>
          <w:sz w:val="28"/>
          <w:szCs w:val="28"/>
          <w:rtl/>
        </w:rPr>
        <w:t>أن التنسيق بين الوكالات الحكومية يؤثر إيجابيًا وبشكل دال في فاعلية الخدمات العامة</w:t>
      </w:r>
      <w:r w:rsidRPr="00012BBF">
        <w:rPr>
          <w:rFonts w:ascii="Simplified Arabic" w:hAnsi="Simplified Arabic" w:cs="Simplified Arabic"/>
          <w:color w:val="000000" w:themeColor="text1"/>
          <w:sz w:val="28"/>
          <w:szCs w:val="28"/>
        </w:rPr>
        <w:t>.</w:t>
      </w:r>
    </w:p>
    <w:p w14:paraId="385D7E2A" w14:textId="1CD8F31F" w:rsidR="00D253EF" w:rsidRPr="00012BBF" w:rsidRDefault="00D253EF" w:rsidP="0053470A">
      <w:pPr>
        <w:pStyle w:val="NormalWeb"/>
        <w:bidi/>
        <w:spacing w:line="276" w:lineRule="auto"/>
        <w:ind w:firstLine="424"/>
        <w:jc w:val="both"/>
        <w:rPr>
          <w:rFonts w:ascii="Simplified Arabic" w:hAnsi="Simplified Arabic" w:cs="Simplified Arabic"/>
          <w:color w:val="000000" w:themeColor="text1"/>
          <w:sz w:val="28"/>
          <w:szCs w:val="28"/>
        </w:rPr>
      </w:pPr>
      <w:r w:rsidRPr="00012BBF">
        <w:rPr>
          <w:rFonts w:ascii="Simplified Arabic" w:hAnsi="Simplified Arabic" w:cs="Simplified Arabic"/>
          <w:color w:val="000000" w:themeColor="text1"/>
          <w:sz w:val="28"/>
          <w:szCs w:val="28"/>
          <w:rtl/>
        </w:rPr>
        <w:t>وعلى الرغم من الاهتمام المتزايد في الأدبيات الأكاديمية بكلّ من التنسيق الحكومي وتجربة الموظف كمفاهيم مستقلة، إلا أن هناك ندرة واضحة في الدراسات التي تربط بين المتغيرين ربطًا مباشرًا، لا سيما في السياق السعودي وفي بيئات العمل عالية المخاطر كقطاع الطاقة</w:t>
      </w:r>
      <w:r w:rsidRPr="00012BBF">
        <w:rPr>
          <w:rFonts w:ascii="Simplified Arabic" w:hAnsi="Simplified Arabic" w:cs="Simplified Arabic"/>
          <w:color w:val="000000" w:themeColor="text1"/>
          <w:sz w:val="28"/>
          <w:szCs w:val="28"/>
        </w:rPr>
        <w:t xml:space="preserve">. </w:t>
      </w:r>
      <w:r w:rsidRPr="00012BBF">
        <w:rPr>
          <w:rFonts w:ascii="Simplified Arabic" w:hAnsi="Simplified Arabic" w:cs="Simplified Arabic"/>
          <w:color w:val="000000" w:themeColor="text1"/>
          <w:sz w:val="28"/>
          <w:szCs w:val="28"/>
          <w:rtl/>
        </w:rPr>
        <w:t>وتتبلور مشكلة الدراسة الحالية في هذه الفجوة المعرفية والتطبيقية، حيث لم يُحدَّد بعد بصورة علمية منهجية مدى تأثير جودة التنسيق مع الجهات الحكومية بأبعاده المختلفة على تجربة الموظف والاحتفاظ بالكفاءات في هذا القطاع الحيوي</w:t>
      </w:r>
      <w:r w:rsidRPr="00012BBF">
        <w:rPr>
          <w:rFonts w:ascii="Simplified Arabic" w:hAnsi="Simplified Arabic" w:cs="Simplified Arabic"/>
          <w:color w:val="000000" w:themeColor="text1"/>
          <w:sz w:val="28"/>
          <w:szCs w:val="28"/>
        </w:rPr>
        <w:t>.</w:t>
      </w:r>
    </w:p>
    <w:p w14:paraId="75BDE806" w14:textId="77777777" w:rsidR="00D253EF" w:rsidRPr="00012BBF" w:rsidRDefault="00D253EF" w:rsidP="0053470A">
      <w:pPr>
        <w:pStyle w:val="NormalWeb"/>
        <w:bidi/>
        <w:spacing w:line="276" w:lineRule="auto"/>
        <w:ind w:firstLine="424"/>
        <w:jc w:val="both"/>
        <w:rPr>
          <w:rFonts w:ascii="Simplified Arabic" w:hAnsi="Simplified Arabic" w:cs="Simplified Arabic"/>
          <w:color w:val="000000" w:themeColor="text1"/>
          <w:sz w:val="28"/>
          <w:szCs w:val="28"/>
          <w:rtl/>
        </w:rPr>
      </w:pPr>
      <w:r w:rsidRPr="00012BBF">
        <w:rPr>
          <w:rFonts w:ascii="Simplified Arabic" w:hAnsi="Simplified Arabic" w:cs="Simplified Arabic"/>
          <w:color w:val="000000" w:themeColor="text1"/>
          <w:sz w:val="28"/>
          <w:szCs w:val="28"/>
          <w:rtl/>
        </w:rPr>
        <w:t>وعليه، يمكن بلورة مشكلة الدراسة في التساؤل الرئيسي التالي</w:t>
      </w:r>
      <w:r w:rsidRPr="00012BBF">
        <w:rPr>
          <w:rFonts w:ascii="Simplified Arabic" w:hAnsi="Simplified Arabic" w:cs="Simplified Arabic"/>
          <w:color w:val="000000" w:themeColor="text1"/>
          <w:sz w:val="28"/>
          <w:szCs w:val="28"/>
        </w:rPr>
        <w:t xml:space="preserve">: </w:t>
      </w:r>
      <w:r w:rsidRPr="00012BBF">
        <w:rPr>
          <w:rStyle w:val="Strong"/>
          <w:rFonts w:ascii="Simplified Arabic" w:hAnsi="Simplified Arabic" w:cs="Simplified Arabic"/>
          <w:b w:val="0"/>
          <w:bCs w:val="0"/>
          <w:color w:val="000000" w:themeColor="text1"/>
          <w:sz w:val="28"/>
          <w:szCs w:val="28"/>
          <w:rtl/>
        </w:rPr>
        <w:t>ما أثر جودة التنسيق مع الجهات الحكومية بأبعاده (وضوح الإجراءات التنظيمية، فاعلية تبادل المعلومات، كفاءة المتابعة والاستجابة، التكامل بين الأنظمة والسياسات) على تجربة الموظف والاحتفاظ بالكفاءات في بيئات العمل عالية المخاطر بشركات الطاقة في مدينة الدمام؟</w:t>
      </w:r>
    </w:p>
    <w:p w14:paraId="26CD3316" w14:textId="27D44C38" w:rsidR="00D253EF" w:rsidRPr="00012BBF" w:rsidRDefault="0053470A" w:rsidP="0053470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6" w:name="_Toc233239779"/>
      <w:r w:rsidRPr="00012BBF">
        <w:rPr>
          <w:rFonts w:ascii="Simplified Arabic" w:hAnsi="Simplified Arabic" w:cs="Simplified Arabic"/>
          <w:b/>
          <w:bCs/>
          <w:color w:val="000000" w:themeColor="text1"/>
          <w:sz w:val="36"/>
          <w:szCs w:val="36"/>
          <w:rtl/>
        </w:rPr>
        <w:t>3.1 أهداف الدراسة</w:t>
      </w:r>
      <w:bookmarkEnd w:id="6"/>
    </w:p>
    <w:p w14:paraId="54806121" w14:textId="77777777" w:rsidR="00D253EF" w:rsidRPr="00012BBF" w:rsidRDefault="00D253EF" w:rsidP="005347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جودة التنسيق مع الجهات الحكومية بأبعاده (وضوح الإجراءات التنظيمية، فاعلية تبادل المعلومات، كفاءة المتابعة والاستجابة، التكامل بين الأنظمة والسياسات) على تجربة الموظف والاحتفاظ بالكفاءات في بيئات العمل عالية المخاطر بشركات الطاقة في مدينة الدمام</w:t>
      </w:r>
      <w:r w:rsidRPr="00012BBF">
        <w:rPr>
          <w:rFonts w:ascii="Simplified Arabic" w:eastAsia="Times New Roman" w:hAnsi="Simplified Arabic" w:cs="Simplified Arabic"/>
          <w:color w:val="000000" w:themeColor="text1"/>
          <w:kern w:val="0"/>
          <w:sz w:val="28"/>
          <w:szCs w:val="28"/>
          <w14:ligatures w14:val="none"/>
        </w:rPr>
        <w:t>.</w:t>
      </w:r>
    </w:p>
    <w:p w14:paraId="5C1B0CCC" w14:textId="77777777" w:rsidR="00D253EF" w:rsidRPr="00012BBF" w:rsidRDefault="00D253EF" w:rsidP="0053470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7" w:name="_Toc222965665"/>
      <w:r w:rsidRPr="00012BBF">
        <w:rPr>
          <w:rFonts w:ascii="Simplified Arabic" w:eastAsia="Times New Roman" w:hAnsi="Simplified Arabic" w:cs="Simplified Arabic"/>
          <w:b/>
          <w:bCs/>
          <w:color w:val="000000" w:themeColor="text1"/>
          <w:kern w:val="0"/>
          <w:sz w:val="28"/>
          <w:szCs w:val="28"/>
          <w:rtl/>
          <w14:ligatures w14:val="none"/>
        </w:rPr>
        <w:t>ويتفرع من الهدف الرئيسي الأهداف الفرعية التالية</w:t>
      </w:r>
      <w:r w:rsidRPr="00012BBF">
        <w:rPr>
          <w:rFonts w:ascii="Simplified Arabic" w:eastAsia="Times New Roman" w:hAnsi="Simplified Arabic" w:cs="Simplified Arabic"/>
          <w:b/>
          <w:bCs/>
          <w:color w:val="000000" w:themeColor="text1"/>
          <w:kern w:val="0"/>
          <w:sz w:val="28"/>
          <w:szCs w:val="28"/>
          <w14:ligatures w14:val="none"/>
        </w:rPr>
        <w:t>:</w:t>
      </w:r>
      <w:bookmarkEnd w:id="7"/>
    </w:p>
    <w:p w14:paraId="14C6D7D6" w14:textId="77777777" w:rsidR="00D253EF" w:rsidRPr="00012BBF" w:rsidRDefault="00D253EF" w:rsidP="00A84068">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lastRenderedPageBreak/>
        <w:t>التعرف على أثر وضوح الإجراءات التنظيمية في التنسيق مع الجهات الحكومية على تجربة الموظف والاحتفاظ بالكفاءات في شركات الطاقة بمدينة الدمام</w:t>
      </w:r>
      <w:r w:rsidRPr="00012BBF">
        <w:rPr>
          <w:rFonts w:ascii="Simplified Arabic" w:eastAsia="Times New Roman" w:hAnsi="Simplified Arabic" w:cs="Simplified Arabic"/>
          <w:color w:val="000000" w:themeColor="text1"/>
          <w:kern w:val="0"/>
          <w:sz w:val="28"/>
          <w:szCs w:val="28"/>
          <w14:ligatures w14:val="none"/>
        </w:rPr>
        <w:t>.</w:t>
      </w:r>
    </w:p>
    <w:p w14:paraId="2B52EB89" w14:textId="77777777" w:rsidR="00D253EF" w:rsidRPr="00012BBF" w:rsidRDefault="00D253EF" w:rsidP="00A84068">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التعرف على أثر فاعلية تبادل المعلومات مع الجهات الحكومية على تجربة الموظف والاحتفاظ بالكفاءات في شركات الطاقة بمدينة الدمام</w:t>
      </w:r>
      <w:r w:rsidRPr="00012BBF">
        <w:rPr>
          <w:rFonts w:ascii="Simplified Arabic" w:eastAsia="Times New Roman" w:hAnsi="Simplified Arabic" w:cs="Simplified Arabic"/>
          <w:color w:val="000000" w:themeColor="text1"/>
          <w:kern w:val="0"/>
          <w:sz w:val="28"/>
          <w:szCs w:val="28"/>
          <w14:ligatures w14:val="none"/>
        </w:rPr>
        <w:t>.</w:t>
      </w:r>
    </w:p>
    <w:p w14:paraId="2722A27D" w14:textId="77777777" w:rsidR="00D253EF" w:rsidRPr="00012BBF" w:rsidRDefault="00D253EF" w:rsidP="00A84068">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التعرف على أثر كفاءة المتابعة والاستجابة في التنسيق مع الجهات الحكومية على تجربة الموظف والاحتفاظ بالكفاءات في شركات الطاقة بمدينة الدمام</w:t>
      </w:r>
      <w:r w:rsidRPr="00012BBF">
        <w:rPr>
          <w:rFonts w:ascii="Simplified Arabic" w:eastAsia="Times New Roman" w:hAnsi="Simplified Arabic" w:cs="Simplified Arabic"/>
          <w:color w:val="000000" w:themeColor="text1"/>
          <w:kern w:val="0"/>
          <w:sz w:val="28"/>
          <w:szCs w:val="28"/>
          <w14:ligatures w14:val="none"/>
        </w:rPr>
        <w:t>.</w:t>
      </w:r>
    </w:p>
    <w:p w14:paraId="76C06654" w14:textId="77777777" w:rsidR="00D253EF" w:rsidRPr="00012BBF" w:rsidRDefault="00D253EF" w:rsidP="00A84068">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التعرف على أثر التكامل بين الأنظمة والسياسات في التنسيق مع الجهات الحكومية على تجربة الموظف والاحتفاظ بالكفاءات في شركات الطاقة بمدينة الدمام</w:t>
      </w:r>
      <w:r w:rsidRPr="00012BBF">
        <w:rPr>
          <w:rFonts w:ascii="Simplified Arabic" w:eastAsia="Times New Roman" w:hAnsi="Simplified Arabic" w:cs="Simplified Arabic"/>
          <w:color w:val="000000" w:themeColor="text1"/>
          <w:kern w:val="0"/>
          <w:sz w:val="28"/>
          <w:szCs w:val="28"/>
          <w14:ligatures w14:val="none"/>
        </w:rPr>
        <w:t>.</w:t>
      </w:r>
    </w:p>
    <w:p w14:paraId="61B42EED" w14:textId="77777777" w:rsidR="00D253EF" w:rsidRPr="00012BBF" w:rsidRDefault="00D253EF" w:rsidP="00A84068">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تقديم توصيات عملية لتعزيز جودة التنسيق مع الجهات الحكومية بما يُسهم في تحسين تجربة الموظف ورفع معدلات الاحتفاظ بالكفاءات في قطاع الطاقة</w:t>
      </w:r>
      <w:r w:rsidRPr="00012BBF">
        <w:rPr>
          <w:rFonts w:ascii="Simplified Arabic" w:eastAsia="Times New Roman" w:hAnsi="Simplified Arabic" w:cs="Simplified Arabic"/>
          <w:color w:val="000000" w:themeColor="text1"/>
          <w:kern w:val="0"/>
          <w:sz w:val="28"/>
          <w:szCs w:val="28"/>
          <w14:ligatures w14:val="none"/>
        </w:rPr>
        <w:t>.</w:t>
      </w:r>
    </w:p>
    <w:p w14:paraId="654B8CD4" w14:textId="77777777" w:rsidR="0053470A" w:rsidRPr="00012BBF" w:rsidRDefault="0053470A" w:rsidP="0053470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239780"/>
      <w:r w:rsidRPr="00012BBF">
        <w:rPr>
          <w:rFonts w:ascii="Simplified Arabic" w:eastAsia="Times New Roman" w:hAnsi="Simplified Arabic" w:cs="Simplified Arabic"/>
          <w:b/>
          <w:bCs/>
          <w:color w:val="000000" w:themeColor="text1"/>
          <w:kern w:val="0"/>
          <w:sz w:val="36"/>
          <w:szCs w:val="36"/>
          <w:rtl/>
          <w14:ligatures w14:val="none"/>
        </w:rPr>
        <w:t>4.1 أسئلة الدراسة</w:t>
      </w:r>
      <w:bookmarkEnd w:id="8"/>
    </w:p>
    <w:p w14:paraId="2F866DA9" w14:textId="1E6689FE" w:rsidR="0053470A" w:rsidRPr="00012BBF" w:rsidRDefault="0053470A" w:rsidP="0053470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12BBF">
        <w:rPr>
          <w:rFonts w:ascii="Simplified Arabic" w:eastAsia="Times New Roman" w:hAnsi="Simplified Arabic" w:cs="Simplified Arabic"/>
          <w:b/>
          <w:bCs/>
          <w:color w:val="000000" w:themeColor="text1"/>
          <w:kern w:val="0"/>
          <w:sz w:val="32"/>
          <w:szCs w:val="32"/>
          <w:rtl/>
          <w14:ligatures w14:val="none"/>
        </w:rPr>
        <w:t>السؤال الرئيسي:</w:t>
      </w:r>
    </w:p>
    <w:p w14:paraId="1014A9E4" w14:textId="77777777" w:rsidR="00D253EF" w:rsidRPr="00012BBF" w:rsidRDefault="00D253EF" w:rsidP="005347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ما أثر جودة التنسيق مع الجهات الحكومية بأبعاده (وضوح الإجراءات التنظيمية، فاعلية تبادل المعلومات، كفاءة المتابعة والاستجابة، التكامل بين الأنظمة والسياسات) على تجربة الموظف والاحتفاظ بالكفاءات في بيئات العمل عالية المخاطر بشركات الطاقة في مدينة الدمام؟</w:t>
      </w:r>
    </w:p>
    <w:p w14:paraId="03C64747" w14:textId="77777777" w:rsidR="00D253EF" w:rsidRPr="00012BBF" w:rsidRDefault="00D253EF" w:rsidP="0053470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9" w:name="_Toc222965668"/>
      <w:r w:rsidRPr="00012BBF">
        <w:rPr>
          <w:rFonts w:ascii="Simplified Arabic" w:eastAsia="Times New Roman" w:hAnsi="Simplified Arabic" w:cs="Simplified Arabic"/>
          <w:b/>
          <w:bCs/>
          <w:color w:val="000000" w:themeColor="text1"/>
          <w:kern w:val="0"/>
          <w:sz w:val="28"/>
          <w:szCs w:val="28"/>
          <w:rtl/>
          <w14:ligatures w14:val="none"/>
        </w:rPr>
        <w:t>ويتفرع من السؤال الرئيسي الأسئلة الفرعية التالية</w:t>
      </w:r>
      <w:r w:rsidRPr="00012BBF">
        <w:rPr>
          <w:rFonts w:ascii="Simplified Arabic" w:eastAsia="Times New Roman" w:hAnsi="Simplified Arabic" w:cs="Simplified Arabic"/>
          <w:b/>
          <w:bCs/>
          <w:color w:val="000000" w:themeColor="text1"/>
          <w:kern w:val="0"/>
          <w:sz w:val="28"/>
          <w:szCs w:val="28"/>
          <w14:ligatures w14:val="none"/>
        </w:rPr>
        <w:t>:</w:t>
      </w:r>
      <w:bookmarkEnd w:id="9"/>
    </w:p>
    <w:p w14:paraId="68A93227" w14:textId="77777777" w:rsidR="00D253EF" w:rsidRPr="00012BBF" w:rsidRDefault="00D253EF" w:rsidP="00A8406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ما أثر وضوح الإجراءات التنظيمية في التنسيق مع الجهات الحكومية على تجربة الموظف والاحتفاظ بالكفاءات في شركات الطاقة بمدينة الدمام؟</w:t>
      </w:r>
    </w:p>
    <w:p w14:paraId="3DF5E752" w14:textId="77777777" w:rsidR="00D253EF" w:rsidRPr="00012BBF" w:rsidRDefault="00D253EF" w:rsidP="00A8406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ما أثر فاعلية تبادل المعلومات مع الجهات الحكومية على تجربة الموظف والاحتفاظ بالكفاءات في شركات الطاقة بمدينة الدمام؟</w:t>
      </w:r>
    </w:p>
    <w:p w14:paraId="1DB816DF" w14:textId="77777777" w:rsidR="00D253EF" w:rsidRPr="00012BBF" w:rsidRDefault="00D253EF" w:rsidP="00A8406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ما أثر كفاءة المتابعة والاستجابة في التنسيق مع الجهات الحكومية على تجربة الموظف والاحتفاظ بالكفاءات في شركات الطاقة بمدينة الدمام؟</w:t>
      </w:r>
    </w:p>
    <w:p w14:paraId="3A5239EF" w14:textId="77777777" w:rsidR="00D253EF" w:rsidRPr="00012BBF" w:rsidRDefault="00D253EF" w:rsidP="00A8406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lastRenderedPageBreak/>
        <w:t>ما أثر التكامل بين الأنظمة والسياسات في التنسيق مع الجهات الحكومية على تجربة الموظف والاحتفاظ بالكفاءات في شركات الطاقة بمدينة الدمام؟</w:t>
      </w:r>
    </w:p>
    <w:p w14:paraId="5BFBACCF" w14:textId="77777777" w:rsidR="0053470A" w:rsidRPr="00012BBF" w:rsidRDefault="0053470A" w:rsidP="0053470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239781"/>
      <w:r w:rsidRPr="00012BBF">
        <w:rPr>
          <w:rFonts w:ascii="Simplified Arabic" w:eastAsia="Times New Roman" w:hAnsi="Simplified Arabic" w:cs="Simplified Arabic"/>
          <w:b/>
          <w:bCs/>
          <w:color w:val="000000" w:themeColor="text1"/>
          <w:kern w:val="0"/>
          <w:sz w:val="36"/>
          <w:szCs w:val="36"/>
          <w:rtl/>
          <w14:ligatures w14:val="none"/>
        </w:rPr>
        <w:t>5.1 فروض الدراسة</w:t>
      </w:r>
      <w:bookmarkEnd w:id="10"/>
    </w:p>
    <w:p w14:paraId="7FB9A5EE" w14:textId="61216C92" w:rsidR="0053470A" w:rsidRPr="00012BBF" w:rsidRDefault="0053470A" w:rsidP="0053470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12BBF">
        <w:rPr>
          <w:rFonts w:ascii="Simplified Arabic" w:eastAsia="Times New Roman" w:hAnsi="Simplified Arabic" w:cs="Simplified Arabic"/>
          <w:b/>
          <w:bCs/>
          <w:color w:val="000000" w:themeColor="text1"/>
          <w:kern w:val="0"/>
          <w:sz w:val="32"/>
          <w:szCs w:val="32"/>
          <w:rtl/>
          <w14:ligatures w14:val="none"/>
        </w:rPr>
        <w:t>الفرض الرئيسي:</w:t>
      </w:r>
    </w:p>
    <w:p w14:paraId="054C1C0D" w14:textId="77777777" w:rsidR="00D253EF" w:rsidRPr="00012BBF" w:rsidRDefault="00D253EF" w:rsidP="00A84068">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Cambria" w:eastAsia="Times New Roman" w:hAnsi="Cambria" w:cs="Cambria"/>
          <w:color w:val="000000" w:themeColor="text1"/>
          <w:kern w:val="0"/>
          <w:sz w:val="28"/>
          <w:szCs w:val="28"/>
          <w14:ligatures w14:val="none"/>
        </w:rPr>
        <w:t>α</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Times New Roman" w:eastAsia="Times New Roman" w:hAnsi="Times New Roman" w:cs="Times New Roman"/>
          <w:color w:val="000000" w:themeColor="text1"/>
          <w:kern w:val="0"/>
          <w:sz w:val="28"/>
          <w:szCs w:val="28"/>
          <w14:ligatures w14:val="none"/>
        </w:rPr>
        <w:t>≤</w:t>
      </w:r>
      <w:r w:rsidRPr="00012BBF">
        <w:rPr>
          <w:rFonts w:ascii="Simplified Arabic" w:eastAsia="Times New Roman" w:hAnsi="Simplified Arabic" w:cs="Simplified Arabic"/>
          <w:color w:val="000000" w:themeColor="text1"/>
          <w:kern w:val="0"/>
          <w:sz w:val="28"/>
          <w:szCs w:val="28"/>
          <w14:ligatures w14:val="none"/>
        </w:rPr>
        <w:t xml:space="preserve"> 0.05) </w:t>
      </w:r>
      <w:r w:rsidRPr="00012BBF">
        <w:rPr>
          <w:rFonts w:ascii="Simplified Arabic" w:eastAsia="Times New Roman" w:hAnsi="Simplified Arabic" w:cs="Simplified Arabic"/>
          <w:color w:val="000000" w:themeColor="text1"/>
          <w:kern w:val="0"/>
          <w:sz w:val="28"/>
          <w:szCs w:val="28"/>
          <w:rtl/>
          <w14:ligatures w14:val="none"/>
        </w:rPr>
        <w:t>لجودة التنسيق مع الجهات الحكومية بأبعاده (وضوح الإجراءات التنظيمية، فاعلية تبادل المعلومات، كفاءة المتابعة والاستجابة، التكامل بين الأنظمة والسياسات) على تجربة الموظف والاحتفاظ بالكفاءات في بيئات العمل عالية المخاطر بشركات الطاقة في مدينة الدمام</w:t>
      </w:r>
      <w:r w:rsidRPr="00012BBF">
        <w:rPr>
          <w:rFonts w:ascii="Simplified Arabic" w:eastAsia="Times New Roman" w:hAnsi="Simplified Arabic" w:cs="Simplified Arabic"/>
          <w:color w:val="000000" w:themeColor="text1"/>
          <w:kern w:val="0"/>
          <w:sz w:val="28"/>
          <w:szCs w:val="28"/>
          <w14:ligatures w14:val="none"/>
        </w:rPr>
        <w:t>.</w:t>
      </w:r>
    </w:p>
    <w:p w14:paraId="53DCDD49" w14:textId="77777777" w:rsidR="00D253EF" w:rsidRPr="00012BBF" w:rsidRDefault="00D253EF" w:rsidP="0053470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1" w:name="_Toc222965671"/>
      <w:r w:rsidRPr="00012BBF">
        <w:rPr>
          <w:rFonts w:ascii="Simplified Arabic" w:eastAsia="Times New Roman" w:hAnsi="Simplified Arabic" w:cs="Simplified Arabic"/>
          <w:b/>
          <w:bCs/>
          <w:color w:val="000000" w:themeColor="text1"/>
          <w:kern w:val="0"/>
          <w:sz w:val="28"/>
          <w:szCs w:val="28"/>
          <w:rtl/>
          <w14:ligatures w14:val="none"/>
        </w:rPr>
        <w:t>ويتفرع من الفرض الرئيسي الفروض الفرعية التالية</w:t>
      </w:r>
      <w:r w:rsidRPr="00012BBF">
        <w:rPr>
          <w:rFonts w:ascii="Simplified Arabic" w:eastAsia="Times New Roman" w:hAnsi="Simplified Arabic" w:cs="Simplified Arabic"/>
          <w:b/>
          <w:bCs/>
          <w:color w:val="000000" w:themeColor="text1"/>
          <w:kern w:val="0"/>
          <w:sz w:val="28"/>
          <w:szCs w:val="28"/>
          <w14:ligatures w14:val="none"/>
        </w:rPr>
        <w:t>:</w:t>
      </w:r>
      <w:bookmarkEnd w:id="11"/>
    </w:p>
    <w:p w14:paraId="5B222D0F" w14:textId="77777777" w:rsidR="00D253EF" w:rsidRPr="00012BBF" w:rsidRDefault="00D253EF" w:rsidP="00A84068">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الفرض الفرعي الأول</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Cambria" w:eastAsia="Times New Roman" w:hAnsi="Cambria" w:cs="Cambria"/>
          <w:color w:val="000000" w:themeColor="text1"/>
          <w:kern w:val="0"/>
          <w:sz w:val="28"/>
          <w:szCs w:val="28"/>
          <w14:ligatures w14:val="none"/>
        </w:rPr>
        <w:t>α</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Times New Roman" w:eastAsia="Times New Roman" w:hAnsi="Times New Roman" w:cs="Times New Roman"/>
          <w:color w:val="000000" w:themeColor="text1"/>
          <w:kern w:val="0"/>
          <w:sz w:val="28"/>
          <w:szCs w:val="28"/>
          <w14:ligatures w14:val="none"/>
        </w:rPr>
        <w:t>≤</w:t>
      </w:r>
      <w:r w:rsidRPr="00012BBF">
        <w:rPr>
          <w:rFonts w:ascii="Simplified Arabic" w:eastAsia="Times New Roman" w:hAnsi="Simplified Arabic" w:cs="Simplified Arabic"/>
          <w:color w:val="000000" w:themeColor="text1"/>
          <w:kern w:val="0"/>
          <w:sz w:val="28"/>
          <w:szCs w:val="28"/>
          <w14:ligatures w14:val="none"/>
        </w:rPr>
        <w:t xml:space="preserve"> 0.05) </w:t>
      </w:r>
      <w:r w:rsidRPr="00012BBF">
        <w:rPr>
          <w:rFonts w:ascii="Simplified Arabic" w:eastAsia="Times New Roman" w:hAnsi="Simplified Arabic" w:cs="Simplified Arabic"/>
          <w:color w:val="000000" w:themeColor="text1"/>
          <w:kern w:val="0"/>
          <w:sz w:val="28"/>
          <w:szCs w:val="28"/>
          <w:rtl/>
          <w14:ligatures w14:val="none"/>
        </w:rPr>
        <w:t>لوضوح الإجراءات التنظيمية في التنسيق مع الجهات الحكومية على تجربة الموظف والاحتفاظ بالكفاءات في شركات الطاقة بمدينة الدمام</w:t>
      </w:r>
      <w:r w:rsidRPr="00012BBF">
        <w:rPr>
          <w:rFonts w:ascii="Simplified Arabic" w:eastAsia="Times New Roman" w:hAnsi="Simplified Arabic" w:cs="Simplified Arabic"/>
          <w:color w:val="000000" w:themeColor="text1"/>
          <w:kern w:val="0"/>
          <w:sz w:val="28"/>
          <w:szCs w:val="28"/>
          <w14:ligatures w14:val="none"/>
        </w:rPr>
        <w:t>.</w:t>
      </w:r>
    </w:p>
    <w:p w14:paraId="492775BC" w14:textId="77777777" w:rsidR="00D253EF" w:rsidRPr="00012BBF" w:rsidRDefault="00D253EF" w:rsidP="00A84068">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الفرض الفرعي الثاني</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Cambria" w:eastAsia="Times New Roman" w:hAnsi="Cambria" w:cs="Cambria"/>
          <w:color w:val="000000" w:themeColor="text1"/>
          <w:kern w:val="0"/>
          <w:sz w:val="28"/>
          <w:szCs w:val="28"/>
          <w14:ligatures w14:val="none"/>
        </w:rPr>
        <w:t>α</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Times New Roman" w:eastAsia="Times New Roman" w:hAnsi="Times New Roman" w:cs="Times New Roman"/>
          <w:color w:val="000000" w:themeColor="text1"/>
          <w:kern w:val="0"/>
          <w:sz w:val="28"/>
          <w:szCs w:val="28"/>
          <w14:ligatures w14:val="none"/>
        </w:rPr>
        <w:t>≤</w:t>
      </w:r>
      <w:r w:rsidRPr="00012BBF">
        <w:rPr>
          <w:rFonts w:ascii="Simplified Arabic" w:eastAsia="Times New Roman" w:hAnsi="Simplified Arabic" w:cs="Simplified Arabic"/>
          <w:color w:val="000000" w:themeColor="text1"/>
          <w:kern w:val="0"/>
          <w:sz w:val="28"/>
          <w:szCs w:val="28"/>
          <w14:ligatures w14:val="none"/>
        </w:rPr>
        <w:t xml:space="preserve"> 0.05) </w:t>
      </w:r>
      <w:r w:rsidRPr="00012BBF">
        <w:rPr>
          <w:rFonts w:ascii="Simplified Arabic" w:eastAsia="Times New Roman" w:hAnsi="Simplified Arabic" w:cs="Simplified Arabic"/>
          <w:color w:val="000000" w:themeColor="text1"/>
          <w:kern w:val="0"/>
          <w:sz w:val="28"/>
          <w:szCs w:val="28"/>
          <w:rtl/>
          <w14:ligatures w14:val="none"/>
        </w:rPr>
        <w:t>لفاعلية تبادل المعلومات مع الجهات الحكومية على تجربة الموظف والاحتفاظ بالكفاءات في شركات الطاقة بمدينة الدمام</w:t>
      </w:r>
      <w:r w:rsidRPr="00012BBF">
        <w:rPr>
          <w:rFonts w:ascii="Simplified Arabic" w:eastAsia="Times New Roman" w:hAnsi="Simplified Arabic" w:cs="Simplified Arabic"/>
          <w:color w:val="000000" w:themeColor="text1"/>
          <w:kern w:val="0"/>
          <w:sz w:val="28"/>
          <w:szCs w:val="28"/>
          <w14:ligatures w14:val="none"/>
        </w:rPr>
        <w:t>.</w:t>
      </w:r>
    </w:p>
    <w:p w14:paraId="09DC8C9C" w14:textId="77777777" w:rsidR="00D253EF" w:rsidRPr="00012BBF" w:rsidRDefault="00D253EF" w:rsidP="00A84068">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الفرض الفرعي الثالث</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Cambria" w:eastAsia="Times New Roman" w:hAnsi="Cambria" w:cs="Cambria"/>
          <w:color w:val="000000" w:themeColor="text1"/>
          <w:kern w:val="0"/>
          <w:sz w:val="28"/>
          <w:szCs w:val="28"/>
          <w14:ligatures w14:val="none"/>
        </w:rPr>
        <w:t>α</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Times New Roman" w:eastAsia="Times New Roman" w:hAnsi="Times New Roman" w:cs="Times New Roman"/>
          <w:color w:val="000000" w:themeColor="text1"/>
          <w:kern w:val="0"/>
          <w:sz w:val="28"/>
          <w:szCs w:val="28"/>
          <w14:ligatures w14:val="none"/>
        </w:rPr>
        <w:t>≤</w:t>
      </w:r>
      <w:r w:rsidRPr="00012BBF">
        <w:rPr>
          <w:rFonts w:ascii="Simplified Arabic" w:eastAsia="Times New Roman" w:hAnsi="Simplified Arabic" w:cs="Simplified Arabic"/>
          <w:color w:val="000000" w:themeColor="text1"/>
          <w:kern w:val="0"/>
          <w:sz w:val="28"/>
          <w:szCs w:val="28"/>
          <w14:ligatures w14:val="none"/>
        </w:rPr>
        <w:t xml:space="preserve"> 0.05) </w:t>
      </w:r>
      <w:r w:rsidRPr="00012BBF">
        <w:rPr>
          <w:rFonts w:ascii="Simplified Arabic" w:eastAsia="Times New Roman" w:hAnsi="Simplified Arabic" w:cs="Simplified Arabic"/>
          <w:color w:val="000000" w:themeColor="text1"/>
          <w:kern w:val="0"/>
          <w:sz w:val="28"/>
          <w:szCs w:val="28"/>
          <w:rtl/>
          <w14:ligatures w14:val="none"/>
        </w:rPr>
        <w:t>لكفاءة المتابعة والاستجابة في التنسيق مع الجهات الحكومية على تجربة الموظف والاحتفاظ بالكفاءات في شركات الطاقة بمدينة الدمام</w:t>
      </w:r>
      <w:r w:rsidRPr="00012BBF">
        <w:rPr>
          <w:rFonts w:ascii="Simplified Arabic" w:eastAsia="Times New Roman" w:hAnsi="Simplified Arabic" w:cs="Simplified Arabic"/>
          <w:color w:val="000000" w:themeColor="text1"/>
          <w:kern w:val="0"/>
          <w:sz w:val="28"/>
          <w:szCs w:val="28"/>
          <w14:ligatures w14:val="none"/>
        </w:rPr>
        <w:t>.</w:t>
      </w:r>
    </w:p>
    <w:p w14:paraId="6D0AF1F2" w14:textId="77777777" w:rsidR="00D253EF" w:rsidRPr="00012BBF" w:rsidRDefault="00D253EF" w:rsidP="00A84068">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الفرض الفرعي الرابع</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Cambria" w:eastAsia="Times New Roman" w:hAnsi="Cambria" w:cs="Cambria"/>
          <w:color w:val="000000" w:themeColor="text1"/>
          <w:kern w:val="0"/>
          <w:sz w:val="28"/>
          <w:szCs w:val="28"/>
          <w14:ligatures w14:val="none"/>
        </w:rPr>
        <w:t>α</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Times New Roman" w:eastAsia="Times New Roman" w:hAnsi="Times New Roman" w:cs="Times New Roman"/>
          <w:color w:val="000000" w:themeColor="text1"/>
          <w:kern w:val="0"/>
          <w:sz w:val="28"/>
          <w:szCs w:val="28"/>
          <w14:ligatures w14:val="none"/>
        </w:rPr>
        <w:t>≤</w:t>
      </w:r>
      <w:r w:rsidRPr="00012BBF">
        <w:rPr>
          <w:rFonts w:ascii="Simplified Arabic" w:eastAsia="Times New Roman" w:hAnsi="Simplified Arabic" w:cs="Simplified Arabic"/>
          <w:color w:val="000000" w:themeColor="text1"/>
          <w:kern w:val="0"/>
          <w:sz w:val="28"/>
          <w:szCs w:val="28"/>
          <w14:ligatures w14:val="none"/>
        </w:rPr>
        <w:t xml:space="preserve"> 0.05) </w:t>
      </w:r>
      <w:r w:rsidRPr="00012BBF">
        <w:rPr>
          <w:rFonts w:ascii="Simplified Arabic" w:eastAsia="Times New Roman" w:hAnsi="Simplified Arabic" w:cs="Simplified Arabic"/>
          <w:color w:val="000000" w:themeColor="text1"/>
          <w:kern w:val="0"/>
          <w:sz w:val="28"/>
          <w:szCs w:val="28"/>
          <w:rtl/>
          <w14:ligatures w14:val="none"/>
        </w:rPr>
        <w:t>للتكامل بين الأنظمة والسياسات في التنسيق مع الجهات الحكومية على تجربة الموظف والاحتفاظ بالكفاءات في شركات الطاقة بمدينة الدمام</w:t>
      </w:r>
      <w:r w:rsidRPr="00012BBF">
        <w:rPr>
          <w:rFonts w:ascii="Simplified Arabic" w:eastAsia="Times New Roman" w:hAnsi="Simplified Arabic" w:cs="Simplified Arabic"/>
          <w:color w:val="000000" w:themeColor="text1"/>
          <w:kern w:val="0"/>
          <w:sz w:val="28"/>
          <w:szCs w:val="28"/>
          <w14:ligatures w14:val="none"/>
        </w:rPr>
        <w:t>.</w:t>
      </w:r>
    </w:p>
    <w:p w14:paraId="21B4DA38" w14:textId="77777777" w:rsidR="0053470A" w:rsidRPr="00012BBF" w:rsidRDefault="0053470A" w:rsidP="0053470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239782"/>
      <w:r w:rsidRPr="00012BBF">
        <w:rPr>
          <w:rFonts w:ascii="Simplified Arabic" w:eastAsia="Times New Roman" w:hAnsi="Simplified Arabic" w:cs="Simplified Arabic"/>
          <w:b/>
          <w:bCs/>
          <w:color w:val="000000" w:themeColor="text1"/>
          <w:kern w:val="0"/>
          <w:sz w:val="36"/>
          <w:szCs w:val="36"/>
          <w:rtl/>
          <w14:ligatures w14:val="none"/>
        </w:rPr>
        <w:t>6.1 أهمية الدراسة</w:t>
      </w:r>
      <w:bookmarkEnd w:id="12"/>
    </w:p>
    <w:p w14:paraId="7ECD5E6A" w14:textId="32244CF8" w:rsidR="0053470A" w:rsidRPr="00012BBF" w:rsidRDefault="0053470A" w:rsidP="0053470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12BBF">
        <w:rPr>
          <w:rFonts w:ascii="Simplified Arabic" w:eastAsia="Times New Roman" w:hAnsi="Simplified Arabic" w:cs="Simplified Arabic"/>
          <w:b/>
          <w:bCs/>
          <w:color w:val="000000" w:themeColor="text1"/>
          <w:kern w:val="0"/>
          <w:sz w:val="32"/>
          <w:szCs w:val="32"/>
          <w:rtl/>
          <w14:ligatures w14:val="none"/>
        </w:rPr>
        <w:lastRenderedPageBreak/>
        <w:t>أ. الأهمية العلمية (النظرية):</w:t>
      </w:r>
    </w:p>
    <w:p w14:paraId="57F50E66" w14:textId="15ABB20A" w:rsidR="00D253EF" w:rsidRPr="00012BBF" w:rsidRDefault="00D253EF" w:rsidP="00A84068">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تُسهم هذه الدراسة في سدّ فجوة بحثية واضحة في الأدبيات العربية والأجنبية من خلال الربط بين متغيرَي جودة التنسيق مع الجهات الحكومية وتجربة الموظف والاحتفاظ بالكفاءات، وهو تناول نادر لم تتطرق إليه الدراسات السابقة بشكل مباشر ومتكامل</w:t>
      </w:r>
      <w:r w:rsidRPr="00012BBF">
        <w:rPr>
          <w:rFonts w:ascii="Simplified Arabic" w:eastAsia="Times New Roman" w:hAnsi="Simplified Arabic" w:cs="Simplified Arabic"/>
          <w:color w:val="000000" w:themeColor="text1"/>
          <w:kern w:val="0"/>
          <w:sz w:val="28"/>
          <w:szCs w:val="28"/>
          <w14:ligatures w14:val="none"/>
        </w:rPr>
        <w:t>.</w:t>
      </w:r>
    </w:p>
    <w:p w14:paraId="6F36567D" w14:textId="31D70DEC" w:rsidR="00D253EF" w:rsidRPr="00012BBF" w:rsidRDefault="00D253EF" w:rsidP="00A84068">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تُقدّم الدراسة إطارًا نظريًا يدمج بين نظريات التنسيق الإداري الحكومي ونظريات تجربة الموظف، مما يُتيح فهمًا أعمق للعلاقة بين البيئة التنظيمية الخارجية (التنسيق الحكومي) والبيئة التنظيمية الداخلية (تجربة الموظف)</w:t>
      </w:r>
      <w:r w:rsidRPr="00012BBF">
        <w:rPr>
          <w:rFonts w:ascii="Simplified Arabic" w:eastAsia="Times New Roman" w:hAnsi="Simplified Arabic" w:cs="Simplified Arabic"/>
          <w:color w:val="000000" w:themeColor="text1"/>
          <w:kern w:val="0"/>
          <w:sz w:val="28"/>
          <w:szCs w:val="28"/>
          <w14:ligatures w14:val="none"/>
        </w:rPr>
        <w:t>.</w:t>
      </w:r>
    </w:p>
    <w:p w14:paraId="12A0E7C8" w14:textId="670E1ADC" w:rsidR="00D253EF" w:rsidRPr="00012BBF" w:rsidRDefault="00D253EF" w:rsidP="00A84068">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تُسهم الدراسة في تطوير أداة قياس محكّمة لجودة التنسيق مع الجهات الحكومية بأبعاده الأربعة في سياق بيئات العمل عالية المخاطر، يمكن أن يستفيد منها الباحثون في دراسات مستقبلية</w:t>
      </w:r>
      <w:r w:rsidRPr="00012BBF">
        <w:rPr>
          <w:rFonts w:ascii="Simplified Arabic" w:eastAsia="Times New Roman" w:hAnsi="Simplified Arabic" w:cs="Simplified Arabic"/>
          <w:color w:val="000000" w:themeColor="text1"/>
          <w:kern w:val="0"/>
          <w:sz w:val="28"/>
          <w:szCs w:val="28"/>
          <w14:ligatures w14:val="none"/>
        </w:rPr>
        <w:t>.</w:t>
      </w:r>
    </w:p>
    <w:p w14:paraId="1630E00A" w14:textId="232967CE" w:rsidR="00D253EF" w:rsidRPr="00012BBF" w:rsidRDefault="00D253EF" w:rsidP="00A84068">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تُمهّد نتائج هذه الدراسة لإجراء دراسات مستقبلية تتناول متغيرات وسيطة ومعدّلة في العلاقة بين التنسيق الحكومي وتجربة الموظف، مثل الثقافة التنظيمية والدعم الإداري والتحول الرقمي</w:t>
      </w:r>
      <w:r w:rsidRPr="00012BBF">
        <w:rPr>
          <w:rFonts w:ascii="Simplified Arabic" w:eastAsia="Times New Roman" w:hAnsi="Simplified Arabic" w:cs="Simplified Arabic"/>
          <w:color w:val="000000" w:themeColor="text1"/>
          <w:kern w:val="0"/>
          <w:sz w:val="28"/>
          <w:szCs w:val="28"/>
          <w14:ligatures w14:val="none"/>
        </w:rPr>
        <w:t>.</w:t>
      </w:r>
    </w:p>
    <w:p w14:paraId="2E125942" w14:textId="77777777" w:rsidR="00D253EF" w:rsidRPr="00012BBF" w:rsidRDefault="00D253EF" w:rsidP="0053470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2965674"/>
      <w:r w:rsidRPr="00012BBF">
        <w:rPr>
          <w:rFonts w:ascii="Simplified Arabic" w:eastAsia="Times New Roman" w:hAnsi="Simplified Arabic" w:cs="Simplified Arabic"/>
          <w:b/>
          <w:bCs/>
          <w:color w:val="000000" w:themeColor="text1"/>
          <w:kern w:val="0"/>
          <w:sz w:val="32"/>
          <w:szCs w:val="32"/>
          <w:rtl/>
          <w14:ligatures w14:val="none"/>
        </w:rPr>
        <w:t>ب. الأهمية العملية (التطبيقية)</w:t>
      </w:r>
      <w:r w:rsidRPr="00012BBF">
        <w:rPr>
          <w:rFonts w:ascii="Simplified Arabic" w:eastAsia="Times New Roman" w:hAnsi="Simplified Arabic" w:cs="Simplified Arabic"/>
          <w:b/>
          <w:bCs/>
          <w:color w:val="000000" w:themeColor="text1"/>
          <w:kern w:val="0"/>
          <w:sz w:val="32"/>
          <w:szCs w:val="32"/>
          <w14:ligatures w14:val="none"/>
        </w:rPr>
        <w:t>:</w:t>
      </w:r>
      <w:bookmarkEnd w:id="13"/>
    </w:p>
    <w:p w14:paraId="10F6FB24" w14:textId="6E8D6C6E" w:rsidR="00D253EF" w:rsidRPr="00012BBF" w:rsidRDefault="00D253EF" w:rsidP="00A84068">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تُوفّر نتائج الدراسة مؤشرات عملية لقيادات شركات الطاقة وصانعي القرار في الجهات الحكومية ذات العلاقة حول أولويات تحسين جودة التنسيق وأثرها المباشر على استقرار القوى العاملة</w:t>
      </w:r>
      <w:r w:rsidRPr="00012BBF">
        <w:rPr>
          <w:rFonts w:ascii="Simplified Arabic" w:eastAsia="Times New Roman" w:hAnsi="Simplified Arabic" w:cs="Simplified Arabic"/>
          <w:color w:val="000000" w:themeColor="text1"/>
          <w:kern w:val="0"/>
          <w:sz w:val="28"/>
          <w:szCs w:val="28"/>
          <w14:ligatures w14:val="none"/>
        </w:rPr>
        <w:t>.</w:t>
      </w:r>
    </w:p>
    <w:p w14:paraId="6E0D5676" w14:textId="52037A7A" w:rsidR="00D253EF" w:rsidRPr="00012BBF" w:rsidRDefault="00D253EF" w:rsidP="00A84068">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تُسهم الدراسة في تحديد العوامل المرتبطة بجودة التنسيق الحكومي التي تؤثر في قرار الموظف بالبقاء أو المغادرة، مما يُمكّن الشركات من تبني استراتيجيات استبقاء أكثر فاعلية وتقليل تكاليف دوران العمالة</w:t>
      </w:r>
      <w:r w:rsidRPr="00012BBF">
        <w:rPr>
          <w:rFonts w:ascii="Simplified Arabic" w:eastAsia="Times New Roman" w:hAnsi="Simplified Arabic" w:cs="Simplified Arabic"/>
          <w:color w:val="000000" w:themeColor="text1"/>
          <w:kern w:val="0"/>
          <w:sz w:val="28"/>
          <w:szCs w:val="28"/>
          <w14:ligatures w14:val="none"/>
        </w:rPr>
        <w:t>.</w:t>
      </w:r>
    </w:p>
    <w:p w14:paraId="10BAEA86" w14:textId="0ABB3641" w:rsidR="00D253EF" w:rsidRPr="00012BBF" w:rsidRDefault="00D253EF" w:rsidP="00A84068">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تُقدّم الدراسة رؤية واضحة حول جوانب القوة والضعف في التنسيق الحالي بين شركات الطاقة والجهات الحكومية، مما يُساعد في تطوير آليات عمل أكثر كفاءة ومرونة</w:t>
      </w:r>
      <w:r w:rsidRPr="00012BBF">
        <w:rPr>
          <w:rFonts w:ascii="Simplified Arabic" w:eastAsia="Times New Roman" w:hAnsi="Simplified Arabic" w:cs="Simplified Arabic"/>
          <w:color w:val="000000" w:themeColor="text1"/>
          <w:kern w:val="0"/>
          <w:sz w:val="28"/>
          <w:szCs w:val="28"/>
          <w14:ligatures w14:val="none"/>
        </w:rPr>
        <w:t>.</w:t>
      </w:r>
    </w:p>
    <w:p w14:paraId="7B81CE0C" w14:textId="5685B109" w:rsidR="00D253EF" w:rsidRPr="00012BBF" w:rsidRDefault="00D253EF" w:rsidP="00A84068">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تُساعد الدراسة شركات الطاقة في الدمام على تعزيز مكانتها كجهات عمل مفضلة من خلال تحسين العوامل المرتبطة بالتنسيق الحكومي التي تؤثر في رضا الموظفين وولائهم التنظيمي</w:t>
      </w:r>
      <w:r w:rsidRPr="00012BBF">
        <w:rPr>
          <w:rFonts w:ascii="Simplified Arabic" w:eastAsia="Times New Roman" w:hAnsi="Simplified Arabic" w:cs="Simplified Arabic"/>
          <w:color w:val="000000" w:themeColor="text1"/>
          <w:kern w:val="0"/>
          <w:sz w:val="28"/>
          <w:szCs w:val="28"/>
          <w14:ligatures w14:val="none"/>
        </w:rPr>
        <w:t>.</w:t>
      </w:r>
    </w:p>
    <w:p w14:paraId="05CFE0BC" w14:textId="77777777" w:rsidR="0053470A" w:rsidRPr="00012BBF" w:rsidRDefault="0053470A" w:rsidP="0053470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170243312"/>
      <w:bookmarkStart w:id="15" w:name="_Toc233239783"/>
      <w:bookmarkEnd w:id="4"/>
      <w:r w:rsidRPr="00012BBF">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5"/>
    </w:p>
    <w:p w14:paraId="269A3E1D" w14:textId="12ED3390" w:rsidR="0053470A" w:rsidRPr="00012BBF" w:rsidRDefault="0053470A" w:rsidP="0053470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12BBF">
        <w:rPr>
          <w:rFonts w:ascii="Simplified Arabic" w:eastAsia="Times New Roman" w:hAnsi="Simplified Arabic" w:cs="Simplified Arabic"/>
          <w:b/>
          <w:bCs/>
          <w:color w:val="000000" w:themeColor="text1"/>
          <w:kern w:val="0"/>
          <w:sz w:val="32"/>
          <w:szCs w:val="32"/>
          <w:rtl/>
          <w14:ligatures w14:val="none"/>
        </w:rPr>
        <w:lastRenderedPageBreak/>
        <w:t>المحور الأول: الدراسات المتعلقة بالمتغير المستقل (جودة التنسيق مع الجهات الحكومية) وعلاقته بمتغيرات أخرى</w:t>
      </w:r>
    </w:p>
    <w:p w14:paraId="11DBDEBD" w14:textId="77777777" w:rsidR="0053470A" w:rsidRPr="00012BBF" w:rsidRDefault="00D253EF" w:rsidP="00A84068">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12BBF">
        <w:rPr>
          <w:rFonts w:ascii="Simplified Arabic" w:eastAsia="Times New Roman" w:hAnsi="Simplified Arabic" w:cs="Simplified Arabic"/>
          <w:b/>
          <w:bCs/>
          <w:color w:val="000000" w:themeColor="text1"/>
          <w:kern w:val="0"/>
          <w:sz w:val="28"/>
          <w:szCs w:val="28"/>
          <w:rtl/>
          <w14:ligatures w14:val="none"/>
        </w:rPr>
        <w:t xml:space="preserve">دراسة (صلاح وآخرون، 2021) بعنوان "فاعلية التنسيق بين الهلال الأحمر والمستشفيات الحكومية من وجهة نظر العاملين". </w:t>
      </w:r>
    </w:p>
    <w:p w14:paraId="59916552" w14:textId="3AFCC3BD" w:rsidR="00D253EF" w:rsidRPr="00012BBF" w:rsidRDefault="00D253EF" w:rsidP="005347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هدفت الدراسة إلى التعرف على فاعلية التنسيق الإداري بأبعاده (مستوى التنسيق بين المؤسسات، طبيعة التنسيق) بين دائرة الإسعاف والطوارئ في جمعية الهلال الأحمر الفلسطيني والمستشفيات الحكومية في مدينة غزة وشمال قطاع غزة، وأثرها على جودة الخدمات الصحية المقدمة للمرضى</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(152) مفردة من إجمالي مجتمع الدراسة البالغ (167) فردًا، بنسبة استجابة بلغت</w:t>
      </w:r>
      <w:r w:rsidRPr="00012BBF">
        <w:rPr>
          <w:rFonts w:ascii="Simplified Arabic" w:eastAsia="Times New Roman" w:hAnsi="Simplified Arabic" w:cs="Simplified Arabic"/>
          <w:color w:val="000000" w:themeColor="text1"/>
          <w:kern w:val="0"/>
          <w:sz w:val="28"/>
          <w:szCs w:val="28"/>
          <w14:ligatures w14:val="none"/>
        </w:rPr>
        <w:t xml:space="preserve"> (91%). </w:t>
      </w:r>
      <w:r w:rsidRPr="00012BBF">
        <w:rPr>
          <w:rFonts w:ascii="Simplified Arabic" w:eastAsia="Times New Roman" w:hAnsi="Simplified Arabic" w:cs="Simplified Arabic"/>
          <w:color w:val="000000" w:themeColor="text1"/>
          <w:kern w:val="0"/>
          <w:sz w:val="28"/>
          <w:szCs w:val="28"/>
          <w:rtl/>
          <w14:ligatures w14:val="none"/>
        </w:rPr>
        <w:t>وتوصلت نتائج الدراسة إلى أن التنسيق الإداري حصل على وزن نسبي</w:t>
      </w:r>
      <w:r w:rsidRPr="00012BBF">
        <w:rPr>
          <w:rFonts w:ascii="Simplified Arabic" w:eastAsia="Times New Roman" w:hAnsi="Simplified Arabic" w:cs="Simplified Arabic"/>
          <w:color w:val="000000" w:themeColor="text1"/>
          <w:kern w:val="0"/>
          <w:sz w:val="28"/>
          <w:szCs w:val="28"/>
          <w14:ligatures w14:val="none"/>
        </w:rPr>
        <w:t xml:space="preserve"> (58.83%)</w:t>
      </w:r>
      <w:r w:rsidRPr="00012BBF">
        <w:rPr>
          <w:rFonts w:ascii="Simplified Arabic" w:eastAsia="Times New Roman" w:hAnsi="Simplified Arabic" w:cs="Simplified Arabic"/>
          <w:color w:val="000000" w:themeColor="text1"/>
          <w:kern w:val="0"/>
          <w:sz w:val="28"/>
          <w:szCs w:val="28"/>
          <w:rtl/>
          <w14:ligatures w14:val="none"/>
        </w:rPr>
        <w:t>، وأن مستوى التنسيق بين المؤسسات جاء بوزن نسبي (59.17%)، كما أظهرت وجود علاقة ارتباط موجبة بين فاعلية التنسيق الإداري وجودة الخدمات الصحية</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وأوصت الدراسة بإعداد خطة متكاملة للتنسيق الإداري بين وزارة الصحة وجمعية الهلال الأحمر لضبط عملية التنسيق ومستوياتها، وإعداد سياسات تمويلية واضحة لدعم مخرجات الاجتماعات التنسيقية</w:t>
      </w:r>
      <w:r w:rsidRPr="00012BBF">
        <w:rPr>
          <w:rFonts w:ascii="Simplified Arabic" w:eastAsia="Times New Roman" w:hAnsi="Simplified Arabic" w:cs="Simplified Arabic"/>
          <w:color w:val="000000" w:themeColor="text1"/>
          <w:kern w:val="0"/>
          <w:sz w:val="28"/>
          <w:szCs w:val="28"/>
          <w14:ligatures w14:val="none"/>
        </w:rPr>
        <w:t>.</w:t>
      </w:r>
    </w:p>
    <w:p w14:paraId="0DEE03A7" w14:textId="77777777" w:rsidR="0053470A" w:rsidRPr="00012BBF" w:rsidRDefault="0053470A" w:rsidP="00A84068">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12BBF">
        <w:rPr>
          <w:rFonts w:ascii="Simplified Arabic" w:eastAsia="Times New Roman" w:hAnsi="Simplified Arabic" w:cs="Simplified Arabic"/>
          <w:b/>
          <w:bCs/>
          <w:color w:val="000000" w:themeColor="text1"/>
          <w:kern w:val="0"/>
          <w:sz w:val="28"/>
          <w:szCs w:val="28"/>
          <w:rtl/>
          <w14:ligatures w14:val="none"/>
        </w:rPr>
        <w:t xml:space="preserve">دراسة (العبيدي، 2021) بعنوان "التنسيق الإداري بين الوزارة الاتحادية والحكومة المحلية وأثره في الأداء البلدي: دراسة تطبيقية في بلديات محافظة ذي قار". </w:t>
      </w:r>
    </w:p>
    <w:p w14:paraId="2937ACF2" w14:textId="7F0ED6E9" w:rsidR="0053470A" w:rsidRPr="00012BBF" w:rsidRDefault="0053470A" w:rsidP="005347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هدفت الدراسة إلى التعرف على أثر التنسيق الإداري بين الوزارة الاتحادية والحكومة المحلية بأبعاده (التنسيق الرأسي، التنسيق الأفقي) على مستوى الأداء البلدي في بلديات محافظة ذي قار بالعراق. واستخدمت الدراسة المنهج الوصفي التحليلي</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وتوصلت نتائج الدراسة إلى وجود أثر ذي دلالة إحصائية للتنسيق الإداري بين المستويين الاتحادي والمحلي في تحسين الأداء البلدي. وأوصت بتعزيز آليات التنسيق بين الوزارة والحكومة المحلية وتبسيط الإجراءات الإدارية لتحقيق أداء بلدي أفضل</w:t>
      </w:r>
      <w:r w:rsidRPr="00012BBF">
        <w:rPr>
          <w:rFonts w:ascii="Simplified Arabic" w:eastAsia="Times New Roman" w:hAnsi="Simplified Arabic" w:cs="Simplified Arabic"/>
          <w:color w:val="000000" w:themeColor="text1"/>
          <w:kern w:val="0"/>
          <w:sz w:val="28"/>
          <w:szCs w:val="28"/>
          <w14:ligatures w14:val="none"/>
        </w:rPr>
        <w:t>.</w:t>
      </w:r>
    </w:p>
    <w:p w14:paraId="0270B5A5" w14:textId="77777777" w:rsidR="0053470A" w:rsidRPr="00012BBF" w:rsidRDefault="00D253EF" w:rsidP="00A84068">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12BBF">
        <w:rPr>
          <w:rFonts w:ascii="Simplified Arabic" w:eastAsia="Times New Roman" w:hAnsi="Simplified Arabic" w:cs="Simplified Arabic"/>
          <w:b/>
          <w:bCs/>
          <w:color w:val="000000" w:themeColor="text1"/>
          <w:kern w:val="0"/>
          <w:sz w:val="28"/>
          <w:szCs w:val="28"/>
          <w:rtl/>
          <w14:ligatures w14:val="none"/>
        </w:rPr>
        <w:t xml:space="preserve">دراسة (عيسى والغربان، 2022) بعنوان "تأثير التعاون والتنسيق في تحسين جودة عمل المدقق الداخلي". </w:t>
      </w:r>
    </w:p>
    <w:p w14:paraId="39E8E94F" w14:textId="38F51C23" w:rsidR="00D253EF" w:rsidRPr="00012BBF" w:rsidRDefault="00D253EF" w:rsidP="005347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12BBF">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تأثير تعزيز مجالات التعاون والتنسيق بأبعاده (التعاون على مستوى الجهاز، التعاون على مستوى الوحدة) بين أجهزة التدقيق الداخلي في زيادة جودة العمل التدقيقي، في أمانة بغداد بوصفها إحدى الوحدات الحكومية الخدمية. واستخدمت الدراسة المنهج الوصفي التحليلي، وتكوّنت العينة من (60) مدققًا داخليًا في أقسام وشُعب جهاز التدقيق الداخلي</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وتوصلت نتائج الدراسة إلى أن التعاون والتنسيق بالتدقيق الداخلي يُعدّ من أهم المجالات التي تؤثر في جودة عمل المدقق الداخلي. وأوصت بضرورة زيادة اهتمام الإدارات المسؤولة بمجالات التعاون والتنسيق من خلال عقد الندوات والورش والدورات التدريبية، فضلًا عن تشجيع المدققين على العمل بروح الفريق الواحد</w:t>
      </w:r>
      <w:r w:rsidRPr="00012BBF">
        <w:rPr>
          <w:rFonts w:ascii="Simplified Arabic" w:eastAsia="Times New Roman" w:hAnsi="Simplified Arabic" w:cs="Simplified Arabic"/>
          <w:color w:val="000000" w:themeColor="text1"/>
          <w:kern w:val="0"/>
          <w:sz w:val="28"/>
          <w:szCs w:val="28"/>
          <w14:ligatures w14:val="none"/>
        </w:rPr>
        <w:t>.</w:t>
      </w:r>
    </w:p>
    <w:p w14:paraId="2E45301A" w14:textId="77777777" w:rsidR="0053470A" w:rsidRPr="00012BBF" w:rsidRDefault="0053470A" w:rsidP="00A84068">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12BBF">
        <w:rPr>
          <w:rFonts w:ascii="Simplified Arabic" w:eastAsia="Times New Roman" w:hAnsi="Simplified Arabic" w:cs="Simplified Arabic"/>
          <w:b/>
          <w:bCs/>
          <w:color w:val="000000" w:themeColor="text1"/>
          <w:kern w:val="0"/>
          <w:sz w:val="28"/>
          <w:szCs w:val="28"/>
          <w:rtl/>
          <w14:ligatures w14:val="none"/>
        </w:rPr>
        <w:t>دراسة</w:t>
      </w:r>
      <w:r w:rsidRPr="00012BBF">
        <w:rPr>
          <w:rFonts w:ascii="Simplified Arabic" w:eastAsia="Times New Roman" w:hAnsi="Simplified Arabic" w:cs="Simplified Arabic"/>
          <w:b/>
          <w:bCs/>
          <w:color w:val="000000" w:themeColor="text1"/>
          <w:kern w:val="0"/>
          <w:sz w:val="28"/>
          <w:szCs w:val="28"/>
          <w14:ligatures w14:val="none"/>
        </w:rPr>
        <w:t xml:space="preserve"> (Syarien &amp; Samarah, 2023) </w:t>
      </w:r>
      <w:r w:rsidRPr="00012BBF">
        <w:rPr>
          <w:rFonts w:ascii="Simplified Arabic" w:eastAsia="Times New Roman" w:hAnsi="Simplified Arabic" w:cs="Simplified Arabic"/>
          <w:b/>
          <w:bCs/>
          <w:color w:val="000000" w:themeColor="text1"/>
          <w:kern w:val="0"/>
          <w:sz w:val="28"/>
          <w:szCs w:val="28"/>
          <w:rtl/>
          <w14:ligatures w14:val="none"/>
        </w:rPr>
        <w:t>بعنوان</w:t>
      </w:r>
      <w:r w:rsidRPr="00012BBF">
        <w:rPr>
          <w:rFonts w:ascii="Simplified Arabic" w:eastAsia="Times New Roman" w:hAnsi="Simplified Arabic" w:cs="Simplified Arabic"/>
          <w:b/>
          <w:bCs/>
          <w:color w:val="000000" w:themeColor="text1"/>
          <w:kern w:val="0"/>
          <w:sz w:val="28"/>
          <w:szCs w:val="28"/>
          <w14:ligatures w14:val="none"/>
        </w:rPr>
        <w:t xml:space="preserve"> "Interagency Coordination Drivers, Instruments, and Success Factors: A Systematic Literature Review". </w:t>
      </w:r>
    </w:p>
    <w:p w14:paraId="0DB438CF" w14:textId="2F532791" w:rsidR="0053470A" w:rsidRPr="00012BBF" w:rsidRDefault="0053470A" w:rsidP="005347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هدفت الدراسة إلى التعرف على محركات التنسيق بين الوكالات الحكومية وأدواته وعوامل نجاحه الحاسمة، من خلال مراجعة منهجية للأدبيات المنشورة بين عامَي 2010 و2021 في المجلات المفهرسة في قاعدة</w:t>
      </w:r>
      <w:r w:rsidRPr="00012BBF">
        <w:rPr>
          <w:rFonts w:ascii="Simplified Arabic" w:eastAsia="Times New Roman" w:hAnsi="Simplified Arabic" w:cs="Simplified Arabic"/>
          <w:color w:val="000000" w:themeColor="text1"/>
          <w:kern w:val="0"/>
          <w:sz w:val="28"/>
          <w:szCs w:val="28"/>
          <w14:ligatures w14:val="none"/>
        </w:rPr>
        <w:t xml:space="preserve"> Scopus. </w:t>
      </w:r>
      <w:r w:rsidRPr="00012BBF">
        <w:rPr>
          <w:rFonts w:ascii="Simplified Arabic" w:eastAsia="Times New Roman" w:hAnsi="Simplified Arabic" w:cs="Simplified Arabic"/>
          <w:color w:val="000000" w:themeColor="text1"/>
          <w:kern w:val="0"/>
          <w:sz w:val="28"/>
          <w:szCs w:val="28"/>
          <w:rtl/>
          <w14:ligatures w14:val="none"/>
        </w:rPr>
        <w:t>واستخدمت الدراسة منهج المراجعة المنهجية للأدبيات</w:t>
      </w:r>
      <w:r w:rsidRPr="00012BBF">
        <w:rPr>
          <w:rFonts w:ascii="Simplified Arabic" w:eastAsia="Times New Roman" w:hAnsi="Simplified Arabic" w:cs="Simplified Arabic"/>
          <w:color w:val="000000" w:themeColor="text1"/>
          <w:kern w:val="0"/>
          <w:sz w:val="28"/>
          <w:szCs w:val="28"/>
          <w14:ligatures w14:val="none"/>
        </w:rPr>
        <w:t xml:space="preserve"> (Systematic Literature Review). </w:t>
      </w:r>
      <w:r w:rsidRPr="00012BBF">
        <w:rPr>
          <w:rFonts w:ascii="Simplified Arabic" w:eastAsia="Times New Roman" w:hAnsi="Simplified Arabic" w:cs="Simplified Arabic"/>
          <w:color w:val="000000" w:themeColor="text1"/>
          <w:kern w:val="0"/>
          <w:sz w:val="28"/>
          <w:szCs w:val="28"/>
          <w:rtl/>
          <w14:ligatures w14:val="none"/>
        </w:rPr>
        <w:t>وتوصلت نتائج الدراسة إلى أن التنسيق يمكن أن يكون مدفوعًا بالمشكلات أو بالمؤسسات أو بمزيج من الاثنين معًا، وأن أدوات التنسيق قد تشمل تدخلات من الحوكمة والهيكل والأنظمة والعمليات والسياسات والاتفاقيات وإشراك الوسطاء، وأن نجاح التنسيق يتحدد بالبيئة المؤسسية والقدرة الإدارية ودقة استراتيجيات التنسيق. وأوصت بضرورة مراعاة السياق المؤسسي عند تصميم آليات التنسيق بين الأجهزة الحكومية</w:t>
      </w:r>
      <w:r w:rsidRPr="00012BBF">
        <w:rPr>
          <w:rFonts w:ascii="Simplified Arabic" w:eastAsia="Times New Roman" w:hAnsi="Simplified Arabic" w:cs="Simplified Arabic"/>
          <w:color w:val="000000" w:themeColor="text1"/>
          <w:kern w:val="0"/>
          <w:sz w:val="28"/>
          <w:szCs w:val="28"/>
          <w14:ligatures w14:val="none"/>
        </w:rPr>
        <w:t>.</w:t>
      </w:r>
    </w:p>
    <w:p w14:paraId="1F2BA4D1" w14:textId="77777777" w:rsidR="0053470A" w:rsidRPr="00012BBF" w:rsidRDefault="00D253EF" w:rsidP="00A84068">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12BBF">
        <w:rPr>
          <w:rFonts w:ascii="Simplified Arabic" w:eastAsia="Times New Roman" w:hAnsi="Simplified Arabic" w:cs="Simplified Arabic"/>
          <w:b/>
          <w:bCs/>
          <w:color w:val="000000" w:themeColor="text1"/>
          <w:kern w:val="0"/>
          <w:sz w:val="28"/>
          <w:szCs w:val="28"/>
          <w:rtl/>
          <w14:ligatures w14:val="none"/>
        </w:rPr>
        <w:t xml:space="preserve">دراسة (الجمّل، بدون تاريخ) بعنوان "دور آليات التنسيق بين الحكومة المركزية والوحدات المحلية في تحسين أداء أجهزة الإدارة المحلية". </w:t>
      </w:r>
    </w:p>
    <w:p w14:paraId="5FA7861B" w14:textId="685E9C3F" w:rsidR="00D253EF" w:rsidRPr="00012BBF" w:rsidRDefault="00D253EF" w:rsidP="005347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هدفت الدراسة إلى التعرف على دور آليات التنسيق بأبعادها (التنسيق الهيكلي، التنسيق الإجرائي، التنسيق المالي) بين الحكومة المركزية والوحدات المحلية في تحسين أداء أجهزة الإدارة المحلية</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وهي رسالة دكتوراه من جامعة القاهرة — كلية الاقتصاد والعلوم السياسية</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آليات التنسيق </w:t>
      </w:r>
      <w:r w:rsidRPr="00012BBF">
        <w:rPr>
          <w:rFonts w:ascii="Simplified Arabic" w:eastAsia="Times New Roman" w:hAnsi="Simplified Arabic" w:cs="Simplified Arabic"/>
          <w:color w:val="000000" w:themeColor="text1"/>
          <w:kern w:val="0"/>
          <w:sz w:val="28"/>
          <w:szCs w:val="28"/>
          <w:rtl/>
          <w14:ligatures w14:val="none"/>
        </w:rPr>
        <w:lastRenderedPageBreak/>
        <w:t>تلعب دورًا محوريًا في رفع كفاءة أجهزة الإدارة المحلية وتقليل الازدواجية في المهام. وأوصت بتطوير أطر مؤسسية واضحة للتنسيق بين الحكومة المركزية والوحدات المحلية</w:t>
      </w:r>
      <w:r w:rsidRPr="00012BBF">
        <w:rPr>
          <w:rFonts w:ascii="Simplified Arabic" w:eastAsia="Times New Roman" w:hAnsi="Simplified Arabic" w:cs="Simplified Arabic"/>
          <w:color w:val="000000" w:themeColor="text1"/>
          <w:kern w:val="0"/>
          <w:sz w:val="28"/>
          <w:szCs w:val="28"/>
          <w14:ligatures w14:val="none"/>
        </w:rPr>
        <w:t>.</w:t>
      </w:r>
    </w:p>
    <w:p w14:paraId="46BA81B0" w14:textId="77777777" w:rsidR="0053470A" w:rsidRPr="00012BBF" w:rsidRDefault="00D253EF" w:rsidP="00A84068">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12BBF">
        <w:rPr>
          <w:rFonts w:ascii="Simplified Arabic" w:eastAsia="Times New Roman" w:hAnsi="Simplified Arabic" w:cs="Simplified Arabic"/>
          <w:b/>
          <w:bCs/>
          <w:color w:val="000000" w:themeColor="text1"/>
          <w:kern w:val="0"/>
          <w:sz w:val="28"/>
          <w:szCs w:val="28"/>
          <w:rtl/>
          <w14:ligatures w14:val="none"/>
        </w:rPr>
        <w:t>دراسة</w:t>
      </w:r>
      <w:r w:rsidRPr="00012BBF">
        <w:rPr>
          <w:rFonts w:ascii="Simplified Arabic" w:eastAsia="Times New Roman" w:hAnsi="Simplified Arabic" w:cs="Simplified Arabic"/>
          <w:b/>
          <w:bCs/>
          <w:color w:val="000000" w:themeColor="text1"/>
          <w:kern w:val="0"/>
          <w:sz w:val="28"/>
          <w:szCs w:val="28"/>
          <w14:ligatures w14:val="none"/>
        </w:rPr>
        <w:t xml:space="preserve"> (K</w:t>
      </w:r>
      <w:r w:rsidRPr="00012BBF">
        <w:rPr>
          <w:rFonts w:ascii="Cambria" w:eastAsia="Times New Roman" w:hAnsi="Cambria" w:cs="Cambria"/>
          <w:b/>
          <w:bCs/>
          <w:color w:val="000000" w:themeColor="text1"/>
          <w:kern w:val="0"/>
          <w:sz w:val="28"/>
          <w:szCs w:val="28"/>
          <w14:ligatures w14:val="none"/>
        </w:rPr>
        <w:t>å</w:t>
      </w:r>
      <w:r w:rsidRPr="00012BBF">
        <w:rPr>
          <w:rFonts w:ascii="Simplified Arabic" w:eastAsia="Times New Roman" w:hAnsi="Simplified Arabic" w:cs="Simplified Arabic"/>
          <w:b/>
          <w:bCs/>
          <w:color w:val="000000" w:themeColor="text1"/>
          <w:kern w:val="0"/>
          <w:sz w:val="28"/>
          <w:szCs w:val="28"/>
          <w14:ligatures w14:val="none"/>
        </w:rPr>
        <w:t xml:space="preserve">rtvedt, 2024) </w:t>
      </w:r>
      <w:r w:rsidRPr="00012BBF">
        <w:rPr>
          <w:rFonts w:ascii="Simplified Arabic" w:eastAsia="Times New Roman" w:hAnsi="Simplified Arabic" w:cs="Simplified Arabic"/>
          <w:b/>
          <w:bCs/>
          <w:color w:val="000000" w:themeColor="text1"/>
          <w:kern w:val="0"/>
          <w:sz w:val="28"/>
          <w:szCs w:val="28"/>
          <w:rtl/>
          <w14:ligatures w14:val="none"/>
        </w:rPr>
        <w:t>بعنوان</w:t>
      </w:r>
      <w:r w:rsidRPr="00012BBF">
        <w:rPr>
          <w:rFonts w:ascii="Simplified Arabic" w:eastAsia="Times New Roman" w:hAnsi="Simplified Arabic" w:cs="Simplified Arabic"/>
          <w:b/>
          <w:bCs/>
          <w:color w:val="000000" w:themeColor="text1"/>
          <w:kern w:val="0"/>
          <w:sz w:val="28"/>
          <w:szCs w:val="28"/>
          <w14:ligatures w14:val="none"/>
        </w:rPr>
        <w:t xml:space="preserve"> "Explaining Coordination Quality in Public Service Delivery". </w:t>
      </w:r>
    </w:p>
    <w:p w14:paraId="38D0A2B5" w14:textId="7C0E0ADC" w:rsidR="00D253EF" w:rsidRPr="00012BBF" w:rsidRDefault="00D253EF" w:rsidP="005347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هدفت الدراسة إلى التعرف على كيفية تفسير الخصائص التنظيمية بأبعادها (نطاق أدوات التنسيق، التخصص الهيكلي، الاعتماد المتبادل في المهام) لاختلافات جودة التنسيق في تقديم الخدمات العامة في (259) حكومة محلية في النرويج</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واستخدمت الدراسة المنهج الكمي القائم على تحليل الانحدار متعدد المستويات، وتكوّنت العينة من (1,417) مديرًا تشغيليًا مسؤولين عن تقديم الخدمات العامة. وتوصلت نتائج الدراسة إلى أن المديرين يُدركون جودة التنسيق بشكل أفضل عندما تتبنى الحكومات المحلية نطاقًا أوسع من أدوات التنسيق وعندما يكون مستوى الاعتماد المتبادل في المهام أعلى، في حين لم يرتبط التخصص الهيكلي بجودة التنسيق المُدرَكة. وأوصت بأن الحكومات المحلية تمتلك القدرة على تسهيل التنسيق من خلال تبني مزيج هجين من أدوات التنسيق لضمان تقديم خدمات أكثر تماسكًا</w:t>
      </w:r>
      <w:r w:rsidRPr="00012BBF">
        <w:rPr>
          <w:rFonts w:ascii="Simplified Arabic" w:eastAsia="Times New Roman" w:hAnsi="Simplified Arabic" w:cs="Simplified Arabic"/>
          <w:color w:val="000000" w:themeColor="text1"/>
          <w:kern w:val="0"/>
          <w:sz w:val="28"/>
          <w:szCs w:val="28"/>
          <w14:ligatures w14:val="none"/>
        </w:rPr>
        <w:t>.</w:t>
      </w:r>
    </w:p>
    <w:p w14:paraId="41C39687" w14:textId="77777777" w:rsidR="0053470A" w:rsidRPr="00012BBF" w:rsidRDefault="00D253EF" w:rsidP="00A84068">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12BBF">
        <w:rPr>
          <w:rFonts w:ascii="Simplified Arabic" w:eastAsia="Times New Roman" w:hAnsi="Simplified Arabic" w:cs="Simplified Arabic"/>
          <w:b/>
          <w:bCs/>
          <w:color w:val="000000" w:themeColor="text1"/>
          <w:kern w:val="0"/>
          <w:sz w:val="28"/>
          <w:szCs w:val="28"/>
          <w:rtl/>
          <w14:ligatures w14:val="none"/>
        </w:rPr>
        <w:t>دراسة</w:t>
      </w:r>
      <w:r w:rsidRPr="00012BBF">
        <w:rPr>
          <w:rFonts w:ascii="Simplified Arabic" w:eastAsia="Times New Roman" w:hAnsi="Simplified Arabic" w:cs="Simplified Arabic"/>
          <w:b/>
          <w:bCs/>
          <w:color w:val="000000" w:themeColor="text1"/>
          <w:kern w:val="0"/>
          <w:sz w:val="28"/>
          <w:szCs w:val="28"/>
          <w14:ligatures w14:val="none"/>
        </w:rPr>
        <w:t xml:space="preserve"> (Roberts &amp; Milman, 2024) </w:t>
      </w:r>
      <w:r w:rsidRPr="00012BBF">
        <w:rPr>
          <w:rFonts w:ascii="Simplified Arabic" w:eastAsia="Times New Roman" w:hAnsi="Simplified Arabic" w:cs="Simplified Arabic"/>
          <w:b/>
          <w:bCs/>
          <w:color w:val="000000" w:themeColor="text1"/>
          <w:kern w:val="0"/>
          <w:sz w:val="28"/>
          <w:szCs w:val="28"/>
          <w:rtl/>
          <w14:ligatures w14:val="none"/>
        </w:rPr>
        <w:t>بعنوان</w:t>
      </w:r>
      <w:r w:rsidRPr="00012BBF">
        <w:rPr>
          <w:rFonts w:ascii="Simplified Arabic" w:eastAsia="Times New Roman" w:hAnsi="Simplified Arabic" w:cs="Simplified Arabic"/>
          <w:b/>
          <w:bCs/>
          <w:color w:val="000000" w:themeColor="text1"/>
          <w:kern w:val="0"/>
          <w:sz w:val="28"/>
          <w:szCs w:val="28"/>
          <w14:ligatures w14:val="none"/>
        </w:rPr>
        <w:t xml:space="preserve"> "The Relationship Between How Agencies Work Together and Coordinated Outcomes: A Configurational Analysis". </w:t>
      </w:r>
    </w:p>
    <w:p w14:paraId="36FEDEFC" w14:textId="07729595" w:rsidR="00D253EF" w:rsidRPr="00012BBF" w:rsidRDefault="00D253EF" w:rsidP="005347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العلاقة بين أنماط التعاون بين الوكالات الحكومية بأبعادها </w:t>
      </w:r>
      <w:r w:rsidRPr="00012BBF">
        <w:rPr>
          <w:rFonts w:ascii="Simplified Arabic" w:eastAsia="Times New Roman" w:hAnsi="Simplified Arabic" w:cs="Simplified Arabic"/>
          <w:color w:val="000000" w:themeColor="text1"/>
          <w:kern w:val="0"/>
          <w:sz w:val="28"/>
          <w:szCs w:val="28"/>
          <w14:ligatures w14:val="none"/>
        </w:rPr>
        <w:t>(</w:t>
      </w:r>
      <w:r w:rsidRPr="00012BBF">
        <w:rPr>
          <w:rFonts w:ascii="Simplified Arabic" w:eastAsia="Times New Roman" w:hAnsi="Simplified Arabic" w:cs="Simplified Arabic"/>
          <w:color w:val="000000" w:themeColor="text1"/>
          <w:kern w:val="0"/>
          <w:sz w:val="28"/>
          <w:szCs w:val="28"/>
          <w:rtl/>
          <w14:ligatures w14:val="none"/>
        </w:rPr>
        <w:t>آليات التنسيق الرسمية، التفاعلات غير الرسمية، الهياكل التنظيمية المشتركة) والنتائج المنسقة باستخدام التحليل التكويني. واستخدمت الدراسة المنهج الكمي القائم على التحليل التكويني</w:t>
      </w:r>
      <w:r w:rsidRPr="00012BBF">
        <w:rPr>
          <w:rFonts w:ascii="Simplified Arabic" w:eastAsia="Times New Roman" w:hAnsi="Simplified Arabic" w:cs="Simplified Arabic"/>
          <w:color w:val="000000" w:themeColor="text1"/>
          <w:kern w:val="0"/>
          <w:sz w:val="28"/>
          <w:szCs w:val="28"/>
          <w14:ligatures w14:val="none"/>
        </w:rPr>
        <w:t xml:space="preserve"> (Configurational Analysis). </w:t>
      </w:r>
      <w:r w:rsidRPr="00012BBF">
        <w:rPr>
          <w:rFonts w:ascii="Simplified Arabic" w:eastAsia="Times New Roman" w:hAnsi="Simplified Arabic" w:cs="Simplified Arabic"/>
          <w:color w:val="000000" w:themeColor="text1"/>
          <w:kern w:val="0"/>
          <w:sz w:val="28"/>
          <w:szCs w:val="28"/>
          <w:rtl/>
          <w14:ligatures w14:val="none"/>
        </w:rPr>
        <w:t>وتوصلت نتائج الدراسة إلى أن النتائج المنسقة الناجحة تتطلب تكوينات محددة من آليات التنسيق، وأنه لا توجد آلية واحدة كافية بمفردها لتحقيق التنسيق الفعّال. وأوصت بضرورة النظر إلى التنسيق بوصفه منظومة متكاملة من الآليات بدلًا من الاعتماد على أداة واحدة</w:t>
      </w:r>
      <w:r w:rsidRPr="00012BBF">
        <w:rPr>
          <w:rFonts w:ascii="Simplified Arabic" w:eastAsia="Times New Roman" w:hAnsi="Simplified Arabic" w:cs="Simplified Arabic"/>
          <w:color w:val="000000" w:themeColor="text1"/>
          <w:kern w:val="0"/>
          <w:sz w:val="28"/>
          <w:szCs w:val="28"/>
          <w14:ligatures w14:val="none"/>
        </w:rPr>
        <w:t>.</w:t>
      </w:r>
    </w:p>
    <w:p w14:paraId="0B8A3286" w14:textId="77777777" w:rsidR="0053470A" w:rsidRPr="00012BBF" w:rsidRDefault="00D253EF" w:rsidP="00A84068">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12BBF">
        <w:rPr>
          <w:rFonts w:ascii="Simplified Arabic" w:eastAsia="Times New Roman" w:hAnsi="Simplified Arabic" w:cs="Simplified Arabic"/>
          <w:b/>
          <w:bCs/>
          <w:color w:val="000000" w:themeColor="text1"/>
          <w:kern w:val="0"/>
          <w:sz w:val="28"/>
          <w:szCs w:val="28"/>
          <w:rtl/>
          <w14:ligatures w14:val="none"/>
        </w:rPr>
        <w:t>دراسة</w:t>
      </w:r>
      <w:r w:rsidRPr="00012BBF">
        <w:rPr>
          <w:rFonts w:ascii="Simplified Arabic" w:eastAsia="Times New Roman" w:hAnsi="Simplified Arabic" w:cs="Simplified Arabic"/>
          <w:b/>
          <w:bCs/>
          <w:color w:val="000000" w:themeColor="text1"/>
          <w:kern w:val="0"/>
          <w:sz w:val="28"/>
          <w:szCs w:val="28"/>
          <w14:ligatures w14:val="none"/>
        </w:rPr>
        <w:t xml:space="preserve"> (Judijanto et al., 2024) </w:t>
      </w:r>
      <w:r w:rsidRPr="00012BBF">
        <w:rPr>
          <w:rFonts w:ascii="Simplified Arabic" w:eastAsia="Times New Roman" w:hAnsi="Simplified Arabic" w:cs="Simplified Arabic"/>
          <w:b/>
          <w:bCs/>
          <w:color w:val="000000" w:themeColor="text1"/>
          <w:kern w:val="0"/>
          <w:sz w:val="28"/>
          <w:szCs w:val="28"/>
          <w:rtl/>
          <w14:ligatures w14:val="none"/>
        </w:rPr>
        <w:t>بعنوان</w:t>
      </w:r>
      <w:r w:rsidRPr="00012BBF">
        <w:rPr>
          <w:rFonts w:ascii="Simplified Arabic" w:eastAsia="Times New Roman" w:hAnsi="Simplified Arabic" w:cs="Simplified Arabic"/>
          <w:b/>
          <w:bCs/>
          <w:color w:val="000000" w:themeColor="text1"/>
          <w:kern w:val="0"/>
          <w:sz w:val="28"/>
          <w:szCs w:val="28"/>
          <w14:ligatures w14:val="none"/>
        </w:rPr>
        <w:t xml:space="preserve"> "Analysis of Regulatory Quality, Interagency Coordination, and Institutional Capacity on the Effectiveness of Public Services in Jakarta". </w:t>
      </w:r>
    </w:p>
    <w:p w14:paraId="6ABD2C3B" w14:textId="4FC0FCB8" w:rsidR="00D253EF" w:rsidRPr="00012BBF" w:rsidRDefault="00D253EF" w:rsidP="005347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أثر جودة التنظيم والتنسيق بين الوكالات والقدرة المؤسسية بأبعادها (جودة التنظيم، التنسيق بين الوكالات، القدرة المؤسسية) على فاعلية الخدمات العامة في جاكرتا. واستخدمت الدراسة المنهج الكمي باستخدام نمذجة المعادلات الهيكلية بالمربعات الصغرى الجزئية </w:t>
      </w:r>
      <w:r w:rsidRPr="00012BBF">
        <w:rPr>
          <w:rFonts w:ascii="Simplified Arabic" w:eastAsia="Times New Roman" w:hAnsi="Simplified Arabic" w:cs="Simplified Arabic"/>
          <w:color w:val="000000" w:themeColor="text1"/>
          <w:kern w:val="0"/>
          <w:sz w:val="28"/>
          <w:szCs w:val="28"/>
          <w14:ligatures w14:val="none"/>
        </w:rPr>
        <w:t>(SEM-PLS)</w:t>
      </w:r>
      <w:r w:rsidRPr="00012BBF">
        <w:rPr>
          <w:rFonts w:ascii="Simplified Arabic" w:eastAsia="Times New Roman" w:hAnsi="Simplified Arabic" w:cs="Simplified Arabic"/>
          <w:color w:val="000000" w:themeColor="text1"/>
          <w:kern w:val="0"/>
          <w:sz w:val="28"/>
          <w:szCs w:val="28"/>
          <w:rtl/>
          <w14:ligatures w14:val="none"/>
        </w:rPr>
        <w:t>، وتكوّنت العينة من (100) مستجيب من العاملين في قطاع الخدمات العامة بجاكرتا. وتوصلت نتائج الدراسة إلى أن العوامل الثلاثة — جودة التنظيم</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Cambria" w:eastAsia="Times New Roman" w:hAnsi="Cambria" w:cs="Cambria"/>
          <w:color w:val="000000" w:themeColor="text1"/>
          <w:kern w:val="0"/>
          <w:sz w:val="28"/>
          <w:szCs w:val="28"/>
          <w14:ligatures w14:val="none"/>
        </w:rPr>
        <w:t>β</w:t>
      </w:r>
      <w:r w:rsidRPr="00012BBF">
        <w:rPr>
          <w:rFonts w:ascii="Simplified Arabic" w:eastAsia="Times New Roman" w:hAnsi="Simplified Arabic" w:cs="Simplified Arabic"/>
          <w:color w:val="000000" w:themeColor="text1"/>
          <w:kern w:val="0"/>
          <w:sz w:val="28"/>
          <w:szCs w:val="28"/>
          <w14:ligatures w14:val="none"/>
        </w:rPr>
        <w:t xml:space="preserve"> = 0.354)</w:t>
      </w:r>
      <w:r w:rsidRPr="00012BBF">
        <w:rPr>
          <w:rFonts w:ascii="Simplified Arabic" w:eastAsia="Times New Roman" w:hAnsi="Simplified Arabic" w:cs="Simplified Arabic"/>
          <w:color w:val="000000" w:themeColor="text1"/>
          <w:kern w:val="0"/>
          <w:sz w:val="28"/>
          <w:szCs w:val="28"/>
          <w:rtl/>
          <w14:ligatures w14:val="none"/>
        </w:rPr>
        <w:t>، والتنسيق بين الوكالات</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Cambria" w:eastAsia="Times New Roman" w:hAnsi="Cambria" w:cs="Cambria"/>
          <w:color w:val="000000" w:themeColor="text1"/>
          <w:kern w:val="0"/>
          <w:sz w:val="28"/>
          <w:szCs w:val="28"/>
          <w14:ligatures w14:val="none"/>
        </w:rPr>
        <w:t>β</w:t>
      </w:r>
      <w:r w:rsidRPr="00012BBF">
        <w:rPr>
          <w:rFonts w:ascii="Simplified Arabic" w:eastAsia="Times New Roman" w:hAnsi="Simplified Arabic" w:cs="Simplified Arabic"/>
          <w:color w:val="000000" w:themeColor="text1"/>
          <w:kern w:val="0"/>
          <w:sz w:val="28"/>
          <w:szCs w:val="28"/>
          <w14:ligatures w14:val="none"/>
        </w:rPr>
        <w:t xml:space="preserve"> = 0.302)</w:t>
      </w:r>
      <w:r w:rsidRPr="00012BBF">
        <w:rPr>
          <w:rFonts w:ascii="Simplified Arabic" w:eastAsia="Times New Roman" w:hAnsi="Simplified Arabic" w:cs="Simplified Arabic"/>
          <w:color w:val="000000" w:themeColor="text1"/>
          <w:kern w:val="0"/>
          <w:sz w:val="28"/>
          <w:szCs w:val="28"/>
          <w:rtl/>
          <w14:ligatures w14:val="none"/>
        </w:rPr>
        <w:t xml:space="preserve">، والقدرة المؤسسية </w:t>
      </w:r>
      <w:r w:rsidRPr="00012BBF">
        <w:rPr>
          <w:rFonts w:ascii="Simplified Arabic" w:eastAsia="Times New Roman" w:hAnsi="Simplified Arabic" w:cs="Simplified Arabic"/>
          <w:color w:val="000000" w:themeColor="text1"/>
          <w:kern w:val="0"/>
          <w:sz w:val="28"/>
          <w:szCs w:val="28"/>
          <w14:ligatures w14:val="none"/>
        </w:rPr>
        <w:t>(</w:t>
      </w:r>
      <w:r w:rsidRPr="00012BBF">
        <w:rPr>
          <w:rFonts w:ascii="Cambria" w:eastAsia="Times New Roman" w:hAnsi="Cambria" w:cs="Cambria"/>
          <w:color w:val="000000" w:themeColor="text1"/>
          <w:kern w:val="0"/>
          <w:sz w:val="28"/>
          <w:szCs w:val="28"/>
          <w14:ligatures w14:val="none"/>
        </w:rPr>
        <w:t>β</w:t>
      </w:r>
      <w:r w:rsidRPr="00012BBF">
        <w:rPr>
          <w:rFonts w:ascii="Simplified Arabic" w:eastAsia="Times New Roman" w:hAnsi="Simplified Arabic" w:cs="Simplified Arabic"/>
          <w:color w:val="000000" w:themeColor="text1"/>
          <w:kern w:val="0"/>
          <w:sz w:val="28"/>
          <w:szCs w:val="28"/>
          <w14:ligatures w14:val="none"/>
        </w:rPr>
        <w:t xml:space="preserve"> = 0.417) — </w:t>
      </w:r>
      <w:r w:rsidRPr="00012BBF">
        <w:rPr>
          <w:rFonts w:ascii="Simplified Arabic" w:eastAsia="Times New Roman" w:hAnsi="Simplified Arabic" w:cs="Simplified Arabic"/>
          <w:color w:val="000000" w:themeColor="text1"/>
          <w:kern w:val="0"/>
          <w:sz w:val="28"/>
          <w:szCs w:val="28"/>
          <w:rtl/>
          <w14:ligatures w14:val="none"/>
        </w:rPr>
        <w:t>تؤثر إيجابيًا وبشكل دال إحصائيًا في فاعلية الخدمات العامة، وأن القدرة المؤسسية كانت الأقوى تأثيرًا. وأوصت بتبسيط الأطر التنظيمية وتعزيز التنسيق بين الأجهزة الحكومية والاستثمار في بناء القدرات المؤسسية</w:t>
      </w:r>
      <w:r w:rsidRPr="00012BBF">
        <w:rPr>
          <w:rFonts w:ascii="Simplified Arabic" w:eastAsia="Times New Roman" w:hAnsi="Simplified Arabic" w:cs="Simplified Arabic"/>
          <w:color w:val="000000" w:themeColor="text1"/>
          <w:kern w:val="0"/>
          <w:sz w:val="28"/>
          <w:szCs w:val="28"/>
          <w14:ligatures w14:val="none"/>
        </w:rPr>
        <w:t>.</w:t>
      </w:r>
    </w:p>
    <w:p w14:paraId="39AC07F8" w14:textId="77777777" w:rsidR="0053470A" w:rsidRPr="00012BBF" w:rsidRDefault="00D253EF" w:rsidP="00A84068">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12BBF">
        <w:rPr>
          <w:rFonts w:ascii="Simplified Arabic" w:eastAsia="Times New Roman" w:hAnsi="Simplified Arabic" w:cs="Simplified Arabic"/>
          <w:b/>
          <w:bCs/>
          <w:color w:val="000000" w:themeColor="text1"/>
          <w:kern w:val="0"/>
          <w:sz w:val="28"/>
          <w:szCs w:val="28"/>
          <w:rtl/>
          <w14:ligatures w14:val="none"/>
        </w:rPr>
        <w:t>دراسة</w:t>
      </w:r>
      <w:r w:rsidRPr="00012BBF">
        <w:rPr>
          <w:rFonts w:ascii="Simplified Arabic" w:eastAsia="Times New Roman" w:hAnsi="Simplified Arabic" w:cs="Simplified Arabic"/>
          <w:b/>
          <w:bCs/>
          <w:color w:val="000000" w:themeColor="text1"/>
          <w:kern w:val="0"/>
          <w:sz w:val="28"/>
          <w:szCs w:val="28"/>
          <w14:ligatures w14:val="none"/>
        </w:rPr>
        <w:t xml:space="preserve"> (Mustaki &amp; Abdussamad, 2025) </w:t>
      </w:r>
      <w:r w:rsidRPr="00012BBF">
        <w:rPr>
          <w:rFonts w:ascii="Simplified Arabic" w:eastAsia="Times New Roman" w:hAnsi="Simplified Arabic" w:cs="Simplified Arabic"/>
          <w:b/>
          <w:bCs/>
          <w:color w:val="000000" w:themeColor="text1"/>
          <w:kern w:val="0"/>
          <w:sz w:val="28"/>
          <w:szCs w:val="28"/>
          <w:rtl/>
          <w14:ligatures w14:val="none"/>
        </w:rPr>
        <w:t>بعنوان</w:t>
      </w:r>
      <w:r w:rsidRPr="00012BBF">
        <w:rPr>
          <w:rFonts w:ascii="Simplified Arabic" w:eastAsia="Times New Roman" w:hAnsi="Simplified Arabic" w:cs="Simplified Arabic"/>
          <w:b/>
          <w:bCs/>
          <w:color w:val="000000" w:themeColor="text1"/>
          <w:kern w:val="0"/>
          <w:sz w:val="28"/>
          <w:szCs w:val="28"/>
          <w14:ligatures w14:val="none"/>
        </w:rPr>
        <w:t xml:space="preserve"> "The Influence of Coordination on Employee Work Effectiveness". </w:t>
      </w:r>
    </w:p>
    <w:p w14:paraId="7A0DBC63" w14:textId="17BA88DE" w:rsidR="00D253EF" w:rsidRPr="00012BBF" w:rsidRDefault="00D253EF" w:rsidP="005347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التنسيق بأبعاده (توحيد الجهود، التوازن بين المهام، تحفيز الفريق) على فاعلية عمل الموظفين. واستخدمت الدراسة المنهج الكمي. وتوصلت نتائج الدراسة إلى أن التنسيق يؤثر بشكل إيجابي ودال إحصائيًا في فاعلية عمل الموظفين، حيث يُسهم في توحيد الجهود وتوجيه الأنشطة نحو تحقيق الأهداف المشتركة. وأوصت بتعزيز ممارسات التنسيق داخل المنظمات لرفع مستوى كفاءة الأداء الوظيفي</w:t>
      </w:r>
      <w:r w:rsidRPr="00012BBF">
        <w:rPr>
          <w:rFonts w:ascii="Simplified Arabic" w:eastAsia="Times New Roman" w:hAnsi="Simplified Arabic" w:cs="Simplified Arabic"/>
          <w:color w:val="000000" w:themeColor="text1"/>
          <w:kern w:val="0"/>
          <w:sz w:val="28"/>
          <w:szCs w:val="28"/>
          <w14:ligatures w14:val="none"/>
        </w:rPr>
        <w:t>.</w:t>
      </w:r>
    </w:p>
    <w:p w14:paraId="50B13294" w14:textId="77777777" w:rsidR="00D253EF" w:rsidRPr="00012BBF" w:rsidRDefault="00D253EF" w:rsidP="0053470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6" w:name="_Toc222965677"/>
      <w:r w:rsidRPr="00012BBF">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(تجربة الموظف والاحتفاظ بالكفاءات) وعلاقته بمتغيرات أخرى</w:t>
      </w:r>
      <w:bookmarkEnd w:id="16"/>
    </w:p>
    <w:p w14:paraId="0328F8ED" w14:textId="77777777" w:rsidR="0053470A" w:rsidRPr="00012BBF" w:rsidRDefault="0053470A" w:rsidP="00A84068">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12BBF">
        <w:rPr>
          <w:rFonts w:ascii="Simplified Arabic" w:eastAsia="Times New Roman" w:hAnsi="Simplified Arabic" w:cs="Simplified Arabic"/>
          <w:b/>
          <w:bCs/>
          <w:color w:val="000000" w:themeColor="text1"/>
          <w:kern w:val="0"/>
          <w:sz w:val="28"/>
          <w:szCs w:val="28"/>
          <w:rtl/>
          <w14:ligatures w14:val="none"/>
        </w:rPr>
        <w:t>دراسة</w:t>
      </w:r>
      <w:r w:rsidRPr="00012BBF">
        <w:rPr>
          <w:rFonts w:ascii="Simplified Arabic" w:eastAsia="Times New Roman" w:hAnsi="Simplified Arabic" w:cs="Simplified Arabic"/>
          <w:b/>
          <w:bCs/>
          <w:color w:val="000000" w:themeColor="text1"/>
          <w:kern w:val="0"/>
          <w:sz w:val="28"/>
          <w:szCs w:val="28"/>
          <w14:ligatures w14:val="none"/>
        </w:rPr>
        <w:t xml:space="preserve"> (Adhikersa et al., 2022) </w:t>
      </w:r>
      <w:r w:rsidRPr="00012BBF">
        <w:rPr>
          <w:rFonts w:ascii="Simplified Arabic" w:eastAsia="Times New Roman" w:hAnsi="Simplified Arabic" w:cs="Simplified Arabic"/>
          <w:b/>
          <w:bCs/>
          <w:color w:val="000000" w:themeColor="text1"/>
          <w:kern w:val="0"/>
          <w:sz w:val="28"/>
          <w:szCs w:val="28"/>
          <w:rtl/>
          <w14:ligatures w14:val="none"/>
        </w:rPr>
        <w:t>بعنوان</w:t>
      </w:r>
      <w:r w:rsidRPr="00012BBF">
        <w:rPr>
          <w:rFonts w:ascii="Simplified Arabic" w:eastAsia="Times New Roman" w:hAnsi="Simplified Arabic" w:cs="Simplified Arabic"/>
          <w:b/>
          <w:bCs/>
          <w:color w:val="000000" w:themeColor="text1"/>
          <w:kern w:val="0"/>
          <w:sz w:val="28"/>
          <w:szCs w:val="28"/>
          <w14:ligatures w14:val="none"/>
        </w:rPr>
        <w:t xml:space="preserve"> "Impact of Agile Organization and Leadership on Employee Experience: Case Study UPTD Digital Service Center, Geospatial Data and Information of West Java Provincial Government (Jabar Digital Service)". </w:t>
      </w:r>
    </w:p>
    <w:p w14:paraId="564A696B" w14:textId="55E251E5" w:rsidR="0053470A" w:rsidRPr="00012BBF" w:rsidRDefault="0053470A" w:rsidP="005347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12BBF">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المنظمة الرشيقة والقيادة الرشيقة بأبعادهما على تجربة الموظف في وحدة تنفيذ الخدمات الرقمية التابعة لحكومة مقاطعة جاوة الغربية بإندونيسيا. واستخدمت الدراسة المنهج المختلط</w:t>
      </w:r>
      <w:r w:rsidRPr="00012BBF">
        <w:rPr>
          <w:rFonts w:ascii="Simplified Arabic" w:eastAsia="Times New Roman" w:hAnsi="Simplified Arabic" w:cs="Simplified Arabic"/>
          <w:color w:val="000000" w:themeColor="text1"/>
          <w:kern w:val="0"/>
          <w:sz w:val="28"/>
          <w:szCs w:val="28"/>
          <w14:ligatures w14:val="none"/>
        </w:rPr>
        <w:t xml:space="preserve"> (Mixed Methods). </w:t>
      </w:r>
      <w:r w:rsidRPr="00012BBF">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تطبيق المنظمة الرشيقة والقيادة </w:t>
      </w:r>
      <w:r w:rsidRPr="00012BBF">
        <w:rPr>
          <w:rFonts w:ascii="Simplified Arabic" w:eastAsia="Times New Roman" w:hAnsi="Simplified Arabic" w:cs="Simplified Arabic"/>
          <w:color w:val="000000" w:themeColor="text1"/>
          <w:kern w:val="0"/>
          <w:sz w:val="28"/>
          <w:szCs w:val="28"/>
          <w:rtl/>
          <w14:ligatures w14:val="none"/>
        </w:rPr>
        <w:lastRenderedPageBreak/>
        <w:t>الرشيقة يمكن تطبيقه في المنظمات الحكومية التي تتسم بالجمود، وأن هذا التطبيق يؤثر إيجابيًا في تجربة الموظف. وأوصت بتبني مبادئ الرشاقة التنظيمية في القطاع الحكومي لتحسين تجربة الموظف</w:t>
      </w:r>
      <w:r w:rsidRPr="00012BBF">
        <w:rPr>
          <w:rFonts w:ascii="Simplified Arabic" w:eastAsia="Times New Roman" w:hAnsi="Simplified Arabic" w:cs="Simplified Arabic"/>
          <w:color w:val="000000" w:themeColor="text1"/>
          <w:kern w:val="0"/>
          <w:sz w:val="28"/>
          <w:szCs w:val="28"/>
          <w14:ligatures w14:val="none"/>
        </w:rPr>
        <w:t>.</w:t>
      </w:r>
    </w:p>
    <w:p w14:paraId="666CA811" w14:textId="77777777" w:rsidR="0053470A" w:rsidRPr="00012BBF" w:rsidRDefault="0053470A" w:rsidP="00A84068">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12BBF">
        <w:rPr>
          <w:rFonts w:ascii="Simplified Arabic" w:eastAsia="Times New Roman" w:hAnsi="Simplified Arabic" w:cs="Simplified Arabic"/>
          <w:b/>
          <w:bCs/>
          <w:color w:val="000000" w:themeColor="text1"/>
          <w:kern w:val="0"/>
          <w:sz w:val="28"/>
          <w:szCs w:val="28"/>
          <w:rtl/>
          <w14:ligatures w14:val="none"/>
        </w:rPr>
        <w:t>دراسة</w:t>
      </w:r>
      <w:r w:rsidRPr="00012BBF">
        <w:rPr>
          <w:rFonts w:ascii="Simplified Arabic" w:eastAsia="Times New Roman" w:hAnsi="Simplified Arabic" w:cs="Simplified Arabic"/>
          <w:b/>
          <w:bCs/>
          <w:color w:val="000000" w:themeColor="text1"/>
          <w:kern w:val="0"/>
          <w:sz w:val="28"/>
          <w:szCs w:val="28"/>
          <w14:ligatures w14:val="none"/>
        </w:rPr>
        <w:t xml:space="preserve"> (Lee &amp; Kim, 2023) </w:t>
      </w:r>
      <w:r w:rsidRPr="00012BBF">
        <w:rPr>
          <w:rFonts w:ascii="Simplified Arabic" w:eastAsia="Times New Roman" w:hAnsi="Simplified Arabic" w:cs="Simplified Arabic"/>
          <w:b/>
          <w:bCs/>
          <w:color w:val="000000" w:themeColor="text1"/>
          <w:kern w:val="0"/>
          <w:sz w:val="28"/>
          <w:szCs w:val="28"/>
          <w:rtl/>
          <w14:ligatures w14:val="none"/>
        </w:rPr>
        <w:t>بعنوان</w:t>
      </w:r>
      <w:r w:rsidRPr="00012BBF">
        <w:rPr>
          <w:rFonts w:ascii="Simplified Arabic" w:eastAsia="Times New Roman" w:hAnsi="Simplified Arabic" w:cs="Simplified Arabic"/>
          <w:b/>
          <w:bCs/>
          <w:color w:val="000000" w:themeColor="text1"/>
          <w:kern w:val="0"/>
          <w:sz w:val="28"/>
          <w:szCs w:val="28"/>
          <w14:ligatures w14:val="none"/>
        </w:rPr>
        <w:t xml:space="preserve"> "Effect of Employee Experience on Organizational Commitment: Case of South Korea". </w:t>
      </w:r>
    </w:p>
    <w:p w14:paraId="7BB4B63B" w14:textId="717877E7" w:rsidR="0053470A" w:rsidRPr="00012BBF" w:rsidRDefault="0053470A" w:rsidP="005347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12BBF">
        <w:rPr>
          <w:rFonts w:ascii="Simplified Arabic" w:eastAsia="Times New Roman" w:hAnsi="Simplified Arabic" w:cs="Simplified Arabic"/>
          <w:color w:val="000000" w:themeColor="text1"/>
          <w:kern w:val="0"/>
          <w:sz w:val="28"/>
          <w:szCs w:val="28"/>
          <w:rtl/>
          <w14:ligatures w14:val="none"/>
        </w:rPr>
        <w:t>هدفت الدراسة إلى التعرف على أثر تجربة الموظف بأبعادها (التجربة المادية، التجربة التكنولوجية، التجربة الثقافية) على الالتزام التنظيمي، من خلال الرضا الوظيفي والرفاهية النفسية كمتغيرات وسيطة، مع مراعاة دور المتانة الذهنية كمتغير معدّل. واستخدمت الدراسة المنهج الكمي القائم على نمذجة المعادلات الهيكلية</w:t>
      </w:r>
      <w:r w:rsidRPr="00012BBF">
        <w:rPr>
          <w:rFonts w:ascii="Simplified Arabic" w:eastAsia="Times New Roman" w:hAnsi="Simplified Arabic" w:cs="Simplified Arabic"/>
          <w:color w:val="000000" w:themeColor="text1"/>
          <w:kern w:val="0"/>
          <w:sz w:val="28"/>
          <w:szCs w:val="28"/>
          <w14:ligatures w14:val="none"/>
        </w:rPr>
        <w:t xml:space="preserve"> (SEM)</w:t>
      </w:r>
      <w:r w:rsidRPr="00012BBF">
        <w:rPr>
          <w:rFonts w:ascii="Simplified Arabic" w:eastAsia="Times New Roman" w:hAnsi="Simplified Arabic" w:cs="Simplified Arabic"/>
          <w:color w:val="000000" w:themeColor="text1"/>
          <w:kern w:val="0"/>
          <w:sz w:val="28"/>
          <w:szCs w:val="28"/>
          <w:rtl/>
          <w14:ligatures w14:val="none"/>
        </w:rPr>
        <w:t>، وتكوّنت العينة من (534) موظفًا من الشركات الكورية. وتوصلت نتائج الدراسة إلى أن التجربة الثقافية والتجربة المادية لهما تأثير معنوي في الالتزام التنظيمي، بينما لم يكن للتجربة التكنولوجية تأثير مباشر دال، كما أن تجربة الموظف تؤثر إيجابيًا في الالتزام التنظيمي من خلال الرضا الوظيفي والرفاهية النفسية كوسيطين، وأن مستوى المتانة الذهنية يُعدّل هذه العلاقة. وأوصت بأن إدارة تجربة الموظف يمكن أن تزيد من الالتزام التنظيمي من خلال تحسين الرضا الوظيفي والرفاهية النفسية</w:t>
      </w:r>
      <w:r w:rsidRPr="00012BBF">
        <w:rPr>
          <w:rFonts w:ascii="Simplified Arabic" w:eastAsia="Times New Roman" w:hAnsi="Simplified Arabic" w:cs="Simplified Arabic"/>
          <w:color w:val="000000" w:themeColor="text1"/>
          <w:kern w:val="0"/>
          <w:sz w:val="28"/>
          <w:szCs w:val="28"/>
          <w14:ligatures w14:val="none"/>
        </w:rPr>
        <w:t>.</w:t>
      </w:r>
    </w:p>
    <w:p w14:paraId="68360FCA" w14:textId="77777777" w:rsidR="007A2A56" w:rsidRPr="00012BBF" w:rsidRDefault="00D253EF" w:rsidP="00A84068">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12BBF">
        <w:rPr>
          <w:rFonts w:ascii="Simplified Arabic" w:eastAsia="Times New Roman" w:hAnsi="Simplified Arabic" w:cs="Simplified Arabic"/>
          <w:b/>
          <w:bCs/>
          <w:color w:val="000000" w:themeColor="text1"/>
          <w:kern w:val="0"/>
          <w:sz w:val="28"/>
          <w:szCs w:val="28"/>
          <w:rtl/>
          <w14:ligatures w14:val="none"/>
        </w:rPr>
        <w:t xml:space="preserve">دراسة (حسن، 2024) بعنوان </w:t>
      </w:r>
      <w:r w:rsidRPr="00012BBF">
        <w:rPr>
          <w:rFonts w:ascii="Simplified Arabic" w:eastAsia="Times New Roman" w:hAnsi="Simplified Arabic" w:cs="Simplified Arabic"/>
          <w:b/>
          <w:bCs/>
          <w:color w:val="000000" w:themeColor="text1"/>
          <w:kern w:val="0"/>
          <w:sz w:val="28"/>
          <w:szCs w:val="28"/>
          <w14:ligatures w14:val="none"/>
        </w:rPr>
        <w:t>"</w:t>
      </w:r>
      <w:r w:rsidRPr="00012BBF">
        <w:rPr>
          <w:rFonts w:ascii="Simplified Arabic" w:eastAsia="Times New Roman" w:hAnsi="Simplified Arabic" w:cs="Simplified Arabic"/>
          <w:b/>
          <w:bCs/>
          <w:color w:val="000000" w:themeColor="text1"/>
          <w:kern w:val="0"/>
          <w:sz w:val="28"/>
          <w:szCs w:val="28"/>
          <w:rtl/>
          <w14:ligatures w14:val="none"/>
        </w:rPr>
        <w:t>رأس المال النفسي كمتغير وسيط في العلاقة بين تجربة الموظف والازدهار في مكان العمل: دراسة ميدانية على البنوك الإسلامية بجمهورية مصر العربية</w:t>
      </w:r>
      <w:r w:rsidRPr="00012BBF">
        <w:rPr>
          <w:rFonts w:ascii="Simplified Arabic" w:eastAsia="Times New Roman" w:hAnsi="Simplified Arabic" w:cs="Simplified Arabic"/>
          <w:b/>
          <w:bCs/>
          <w:color w:val="000000" w:themeColor="text1"/>
          <w:kern w:val="0"/>
          <w:sz w:val="28"/>
          <w:szCs w:val="28"/>
          <w14:ligatures w14:val="none"/>
        </w:rPr>
        <w:t>"</w:t>
      </w:r>
    </w:p>
    <w:p w14:paraId="38EE2983" w14:textId="7D08AF71" w:rsidR="00D253EF" w:rsidRPr="00012BBF" w:rsidRDefault="00D253EF" w:rsidP="007A2A5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هدفت الدراسة إلى التعرف على طبيعة العلاقة بين تجربة الموظف بأبعادها (المادية، التكنولوجية، الثقافية) والازدهار في مكان العمل بأبعاده (التعلم، الحيوية)، في ضوء تأثير رأس المال النفسي كمتغير وسيط. واستخدمت الدراسة المنهج الوصفي التحليلي، وتكوّنت العينة من (374) مفردة من العاملين في البنوك الإسلامية العاملة في مصر (بنك فيصل الإسلامي، مصرف أبو ظبي الإسلامي، بنك البركة) بأسلوب العينة العشوائية الطبقية، بنسبة استجابة بلغت (91%). وتوصلت نتائج الدراسة إلى وجود علاقة طردية ذات تأثير معنوي بين تجربة الموظف وتحقيق الازدهار في مكان العمل، وأن رأس المال النفسي يتوسط جزئيًا هذه العلاقة. وأوصت بضرورة التزام البنوك بتحسين تجربة الموظف في أبعادها الثلاثة لتعزيز الازدهار في بيئة العمل</w:t>
      </w:r>
      <w:r w:rsidRPr="00012BBF">
        <w:rPr>
          <w:rFonts w:ascii="Simplified Arabic" w:eastAsia="Times New Roman" w:hAnsi="Simplified Arabic" w:cs="Simplified Arabic"/>
          <w:color w:val="000000" w:themeColor="text1"/>
          <w:kern w:val="0"/>
          <w:sz w:val="28"/>
          <w:szCs w:val="28"/>
          <w14:ligatures w14:val="none"/>
        </w:rPr>
        <w:t>.</w:t>
      </w:r>
    </w:p>
    <w:p w14:paraId="513F73F1" w14:textId="77777777" w:rsidR="007A2A56" w:rsidRPr="00012BBF" w:rsidRDefault="0053470A" w:rsidP="00A84068">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12BBF">
        <w:rPr>
          <w:rFonts w:ascii="Simplified Arabic" w:eastAsia="Times New Roman" w:hAnsi="Simplified Arabic" w:cs="Simplified Arabic"/>
          <w:b/>
          <w:bCs/>
          <w:color w:val="000000" w:themeColor="text1"/>
          <w:kern w:val="0"/>
          <w:sz w:val="28"/>
          <w:szCs w:val="28"/>
          <w:rtl/>
          <w14:ligatures w14:val="none"/>
        </w:rPr>
        <w:lastRenderedPageBreak/>
        <w:t>دراسة</w:t>
      </w:r>
      <w:r w:rsidRPr="00012BBF">
        <w:rPr>
          <w:rFonts w:ascii="Simplified Arabic" w:eastAsia="Times New Roman" w:hAnsi="Simplified Arabic" w:cs="Simplified Arabic"/>
          <w:b/>
          <w:bCs/>
          <w:color w:val="000000" w:themeColor="text1"/>
          <w:kern w:val="0"/>
          <w:sz w:val="28"/>
          <w:szCs w:val="28"/>
          <w14:ligatures w14:val="none"/>
        </w:rPr>
        <w:t xml:space="preserve"> (Kimonyo, 2024) </w:t>
      </w:r>
      <w:r w:rsidRPr="00012BBF">
        <w:rPr>
          <w:rFonts w:ascii="Simplified Arabic" w:eastAsia="Times New Roman" w:hAnsi="Simplified Arabic" w:cs="Simplified Arabic"/>
          <w:b/>
          <w:bCs/>
          <w:color w:val="000000" w:themeColor="text1"/>
          <w:kern w:val="0"/>
          <w:sz w:val="28"/>
          <w:szCs w:val="28"/>
          <w:rtl/>
          <w14:ligatures w14:val="none"/>
        </w:rPr>
        <w:t>بعنوان</w:t>
      </w:r>
      <w:r w:rsidRPr="00012BBF">
        <w:rPr>
          <w:rFonts w:ascii="Simplified Arabic" w:eastAsia="Times New Roman" w:hAnsi="Simplified Arabic" w:cs="Simplified Arabic"/>
          <w:b/>
          <w:bCs/>
          <w:color w:val="000000" w:themeColor="text1"/>
          <w:kern w:val="0"/>
          <w:sz w:val="28"/>
          <w:szCs w:val="28"/>
          <w14:ligatures w14:val="none"/>
        </w:rPr>
        <w:t xml:space="preserve"> "The Impact of Employee Experience on Organizational Performance: Driving Innovation, Engagement, and Customer Satisfaction". </w:t>
      </w:r>
    </w:p>
    <w:p w14:paraId="58ED117B" w14:textId="0A4FC1FD" w:rsidR="0053470A" w:rsidRPr="00012BBF" w:rsidRDefault="0053470A" w:rsidP="007A2A5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هدفت الدراسة إلى التعرف على أثر تجربة الموظف بأبعادها (البيئة الثقافية، الموارد التكنولوجية، المساحات المادية) على الأداء التنظيمي من حيث الابتكار وارتباط الموظفين ورضا العملاء. واستخدمت الدراسة المنهج الوصفي بتصميم مختلط</w:t>
      </w:r>
      <w:r w:rsidRPr="00012BBF">
        <w:rPr>
          <w:rFonts w:ascii="Simplified Arabic" w:eastAsia="Times New Roman" w:hAnsi="Simplified Arabic" w:cs="Simplified Arabic"/>
          <w:color w:val="000000" w:themeColor="text1"/>
          <w:kern w:val="0"/>
          <w:sz w:val="28"/>
          <w:szCs w:val="28"/>
          <w14:ligatures w14:val="none"/>
        </w:rPr>
        <w:t xml:space="preserve"> (Mixed Methods) </w:t>
      </w:r>
      <w:r w:rsidRPr="00012BBF">
        <w:rPr>
          <w:rFonts w:ascii="Simplified Arabic" w:eastAsia="Times New Roman" w:hAnsi="Simplified Arabic" w:cs="Simplified Arabic"/>
          <w:color w:val="000000" w:themeColor="text1"/>
          <w:kern w:val="0"/>
          <w:sz w:val="28"/>
          <w:szCs w:val="28"/>
          <w:rtl/>
          <w14:ligatures w14:val="none"/>
        </w:rPr>
        <w:t>يجمع بين البيانات الكمية من (300) موظف والبيانات النوعية من مقابلات مع (50) مديرًا عبر قطاعات مختلفة. وتوصلت نتائج الدراسة إلى وجود علاقة إيجابية قوية بين تجربة الموظف والأداء التنظيمي</w:t>
      </w:r>
      <w:r w:rsidRPr="00012BBF">
        <w:rPr>
          <w:rFonts w:ascii="Simplified Arabic" w:eastAsia="Times New Roman" w:hAnsi="Simplified Arabic" w:cs="Simplified Arabic"/>
          <w:color w:val="000000" w:themeColor="text1"/>
          <w:kern w:val="0"/>
          <w:sz w:val="28"/>
          <w:szCs w:val="28"/>
          <w14:ligatures w14:val="none"/>
        </w:rPr>
        <w:t xml:space="preserve"> (r = 0.72, p &lt; 0.01)</w:t>
      </w:r>
      <w:r w:rsidRPr="00012BBF">
        <w:rPr>
          <w:rFonts w:ascii="Simplified Arabic" w:eastAsia="Times New Roman" w:hAnsi="Simplified Arabic" w:cs="Simplified Arabic"/>
          <w:color w:val="000000" w:themeColor="text1"/>
          <w:kern w:val="0"/>
          <w:sz w:val="28"/>
          <w:szCs w:val="28"/>
          <w:rtl/>
          <w14:ligatures w14:val="none"/>
        </w:rPr>
        <w:t>، حيث أظهرت المنظمات ذات الدرجات العالية في تجربة الموظف (أعلى من 80%) معدلات ابتكار أعلى بنسبة 15% وارتباط أعلى بنسبة 20% ورضا عملاء أعلى بنسبة 12%. وأوصت بالاستثمار في تحسين تجربة الموظف من خلال برامج التطوير الشاملة وآليات التغذية الراجعة الفعّالة وبيئات العمل الداعمة</w:t>
      </w:r>
      <w:r w:rsidRPr="00012BBF">
        <w:rPr>
          <w:rFonts w:ascii="Simplified Arabic" w:eastAsia="Times New Roman" w:hAnsi="Simplified Arabic" w:cs="Simplified Arabic"/>
          <w:color w:val="000000" w:themeColor="text1"/>
          <w:kern w:val="0"/>
          <w:sz w:val="28"/>
          <w:szCs w:val="28"/>
          <w14:ligatures w14:val="none"/>
        </w:rPr>
        <w:t>.</w:t>
      </w:r>
    </w:p>
    <w:p w14:paraId="38E6376B" w14:textId="77777777" w:rsidR="007A2A56" w:rsidRPr="00012BBF" w:rsidRDefault="00D253EF" w:rsidP="00A84068">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12BBF">
        <w:rPr>
          <w:rFonts w:ascii="Simplified Arabic" w:eastAsia="Times New Roman" w:hAnsi="Simplified Arabic" w:cs="Simplified Arabic"/>
          <w:b/>
          <w:bCs/>
          <w:color w:val="000000" w:themeColor="text1"/>
          <w:kern w:val="0"/>
          <w:sz w:val="28"/>
          <w:szCs w:val="28"/>
          <w:rtl/>
          <w14:ligatures w14:val="none"/>
        </w:rPr>
        <w:t>دراسة (القحطاني، 2025) بعنوان "إدارة تجربة الموظف: مدخل لتحقيق السعادة المؤسسية بجامعة الإمام عبدالرحمن بن فيصل في ضوء الخبرات العالمية المعاصرة: استراتيجية مقترحة</w:t>
      </w:r>
      <w:r w:rsidRPr="00012BBF">
        <w:rPr>
          <w:rFonts w:ascii="Simplified Arabic" w:eastAsia="Times New Roman" w:hAnsi="Simplified Arabic" w:cs="Simplified Arabic"/>
          <w:b/>
          <w:bCs/>
          <w:color w:val="000000" w:themeColor="text1"/>
          <w:kern w:val="0"/>
          <w:sz w:val="28"/>
          <w:szCs w:val="28"/>
          <w14:ligatures w14:val="none"/>
        </w:rPr>
        <w:t>"</w:t>
      </w:r>
    </w:p>
    <w:p w14:paraId="23BB66F3" w14:textId="72E8D517" w:rsidR="00D253EF" w:rsidRPr="00012BBF" w:rsidRDefault="00D253EF" w:rsidP="007A2A5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هدفت الدراسة إلى التعرف على مستوى إدارة تجربة الموظف لدى أعضاء هيئة التدريس في جامعة الإمام عبدالرحمن بن فيصل، وقياس مستوى الأداء لتحقيق السعادة المؤسسية، والكشف عن وجود فروق بين متوسطات الاستجابات تُعزى إلى متغيرات (جامعة التخرج، الكلية، الرتبة العلمية، سنوات الخدمة التدريسية)</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واستخدمت الدراسة المنهج المزجي</w:t>
      </w:r>
      <w:r w:rsidRPr="00012BBF">
        <w:rPr>
          <w:rFonts w:ascii="Simplified Arabic" w:eastAsia="Times New Roman" w:hAnsi="Simplified Arabic" w:cs="Simplified Arabic"/>
          <w:color w:val="000000" w:themeColor="text1"/>
          <w:kern w:val="0"/>
          <w:sz w:val="28"/>
          <w:szCs w:val="28"/>
          <w14:ligatures w14:val="none"/>
        </w:rPr>
        <w:t xml:space="preserve"> (Mixed Methods) </w:t>
      </w:r>
      <w:r w:rsidRPr="00012BBF">
        <w:rPr>
          <w:rFonts w:ascii="Simplified Arabic" w:eastAsia="Times New Roman" w:hAnsi="Simplified Arabic" w:cs="Simplified Arabic"/>
          <w:color w:val="000000" w:themeColor="text1"/>
          <w:kern w:val="0"/>
          <w:sz w:val="28"/>
          <w:szCs w:val="28"/>
          <w:rtl/>
          <w14:ligatures w14:val="none"/>
        </w:rPr>
        <w:t>بتوظيف التصميم التفسيري التتابعي، وتكوّنت العينة من (322) عضو هيئة تدريس للاستبانة، و</w:t>
      </w:r>
      <w:r w:rsidRPr="00012BBF">
        <w:rPr>
          <w:rFonts w:ascii="Simplified Arabic" w:eastAsia="Times New Roman" w:hAnsi="Simplified Arabic" w:cs="Simplified Arabic"/>
          <w:color w:val="000000" w:themeColor="text1"/>
          <w:kern w:val="0"/>
          <w:sz w:val="28"/>
          <w:szCs w:val="28"/>
          <w14:ligatures w14:val="none"/>
        </w:rPr>
        <w:t xml:space="preserve">(11) </w:t>
      </w:r>
      <w:r w:rsidRPr="00012BBF">
        <w:rPr>
          <w:rFonts w:ascii="Simplified Arabic" w:eastAsia="Times New Roman" w:hAnsi="Simplified Arabic" w:cs="Simplified Arabic"/>
          <w:color w:val="000000" w:themeColor="text1"/>
          <w:kern w:val="0"/>
          <w:sz w:val="28"/>
          <w:szCs w:val="28"/>
          <w:rtl/>
          <w14:ligatures w14:val="none"/>
        </w:rPr>
        <w:t>مشاركًا للمقابلات، من إجمالي مجتمع الدراسة البالغ (1,960) عضوًا. وتوصلت نتائج الدراسة إلى أن جميع أبعاد إدارة تجربة الموظف جاءت بمستوى "مرتفع</w:t>
      </w:r>
      <w:r w:rsidRPr="00012BBF">
        <w:rPr>
          <w:rFonts w:ascii="Simplified Arabic" w:eastAsia="Times New Roman" w:hAnsi="Simplified Arabic" w:cs="Simplified Arabic"/>
          <w:color w:val="000000" w:themeColor="text1"/>
          <w:kern w:val="0"/>
          <w:sz w:val="28"/>
          <w:szCs w:val="28"/>
          <w14:ligatures w14:val="none"/>
        </w:rPr>
        <w:t>"</w:t>
      </w:r>
      <w:r w:rsidRPr="00012BBF">
        <w:rPr>
          <w:rFonts w:ascii="Simplified Arabic" w:eastAsia="Times New Roman" w:hAnsi="Simplified Arabic" w:cs="Simplified Arabic"/>
          <w:color w:val="000000" w:themeColor="text1"/>
          <w:kern w:val="0"/>
          <w:sz w:val="28"/>
          <w:szCs w:val="28"/>
          <w:rtl/>
          <w14:ligatures w14:val="none"/>
        </w:rPr>
        <w:t>، بينما جاءت أبعاد السعادة المؤسسية بمستوى "متوسط"، مع وجود فروق ذات دلالة إحصائية تُعزى لمتغيرَي جامعة التخرج والكلية، وعدم وجود فروق تُعزى للرتبة العلمية أو سنوات الخدمة. وأوصت ببناء استراتيجية مقترحة لإدارة تجربة الموظف كمدخل لتحقيق السعادة المؤسسية في ضوء الخبرات العالمية المعاصرة</w:t>
      </w:r>
      <w:r w:rsidRPr="00012BBF">
        <w:rPr>
          <w:rFonts w:ascii="Simplified Arabic" w:eastAsia="Times New Roman" w:hAnsi="Simplified Arabic" w:cs="Simplified Arabic"/>
          <w:color w:val="000000" w:themeColor="text1"/>
          <w:kern w:val="0"/>
          <w:sz w:val="28"/>
          <w:szCs w:val="28"/>
          <w14:ligatures w14:val="none"/>
        </w:rPr>
        <w:t>.</w:t>
      </w:r>
    </w:p>
    <w:p w14:paraId="6943CFA9" w14:textId="77777777" w:rsidR="007A2A56" w:rsidRPr="00012BBF" w:rsidRDefault="00D253EF" w:rsidP="00A84068">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12BBF">
        <w:rPr>
          <w:rFonts w:ascii="Simplified Arabic" w:eastAsia="Times New Roman" w:hAnsi="Simplified Arabic" w:cs="Simplified Arabic"/>
          <w:b/>
          <w:bCs/>
          <w:color w:val="000000" w:themeColor="text1"/>
          <w:kern w:val="0"/>
          <w:sz w:val="28"/>
          <w:szCs w:val="28"/>
          <w:rtl/>
          <w14:ligatures w14:val="none"/>
        </w:rPr>
        <w:lastRenderedPageBreak/>
        <w:t>دراسة</w:t>
      </w:r>
      <w:r w:rsidRPr="00012BBF">
        <w:rPr>
          <w:rFonts w:ascii="Simplified Arabic" w:eastAsia="Times New Roman" w:hAnsi="Simplified Arabic" w:cs="Simplified Arabic"/>
          <w:b/>
          <w:bCs/>
          <w:color w:val="000000" w:themeColor="text1"/>
          <w:kern w:val="0"/>
          <w:sz w:val="28"/>
          <w:szCs w:val="28"/>
          <w14:ligatures w14:val="none"/>
        </w:rPr>
        <w:t xml:space="preserve"> (Jo &amp; Shin, 2025) </w:t>
      </w:r>
      <w:r w:rsidRPr="00012BBF">
        <w:rPr>
          <w:rFonts w:ascii="Simplified Arabic" w:eastAsia="Times New Roman" w:hAnsi="Simplified Arabic" w:cs="Simplified Arabic"/>
          <w:b/>
          <w:bCs/>
          <w:color w:val="000000" w:themeColor="text1"/>
          <w:kern w:val="0"/>
          <w:sz w:val="28"/>
          <w:szCs w:val="28"/>
          <w:rtl/>
          <w14:ligatures w14:val="none"/>
        </w:rPr>
        <w:t>بعنوان</w:t>
      </w:r>
      <w:r w:rsidRPr="00012BBF">
        <w:rPr>
          <w:rFonts w:ascii="Simplified Arabic" w:eastAsia="Times New Roman" w:hAnsi="Simplified Arabic" w:cs="Simplified Arabic"/>
          <w:b/>
          <w:bCs/>
          <w:color w:val="000000" w:themeColor="text1"/>
          <w:kern w:val="0"/>
          <w:sz w:val="28"/>
          <w:szCs w:val="28"/>
          <w14:ligatures w14:val="none"/>
        </w:rPr>
        <w:t xml:space="preserve"> "The Impact of Recognition, Fairness, and Leadership on Employee Outcomes: A Large-Scale Multi-Group Analysis". </w:t>
      </w:r>
    </w:p>
    <w:p w14:paraId="2DC54F64" w14:textId="69826D6B" w:rsidR="00D253EF" w:rsidRPr="00012BBF" w:rsidRDefault="00D253EF" w:rsidP="007A2A5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هدفت الدراسة إلى التعرف على تأثير عوامل بيئة العمل بأبعادها (التقدير، العدالة، المشاركة، القيادة التحويلية، عبء العمل، المنافسة) على نتائج الموظفين المتمثلة في الارتباط الوظيفي والاحتراق الوظيفي والرضا الوظيفي. واستخدمت الدراسة المنهج الكمي القائم على نمذجة المعادلات الهيكلية بالمربعات الصغرى الجزئية</w:t>
      </w:r>
      <w:r w:rsidRPr="00012BBF">
        <w:rPr>
          <w:rFonts w:ascii="Simplified Arabic" w:eastAsia="Times New Roman" w:hAnsi="Simplified Arabic" w:cs="Simplified Arabic"/>
          <w:color w:val="000000" w:themeColor="text1"/>
          <w:kern w:val="0"/>
          <w:sz w:val="28"/>
          <w:szCs w:val="28"/>
          <w14:ligatures w14:val="none"/>
        </w:rPr>
        <w:t xml:space="preserve"> (PLS-SEM) </w:t>
      </w:r>
      <w:r w:rsidRPr="00012BBF">
        <w:rPr>
          <w:rFonts w:ascii="Simplified Arabic" w:eastAsia="Times New Roman" w:hAnsi="Simplified Arabic" w:cs="Simplified Arabic"/>
          <w:color w:val="000000" w:themeColor="text1"/>
          <w:kern w:val="0"/>
          <w:sz w:val="28"/>
          <w:szCs w:val="28"/>
          <w:rtl/>
          <w14:ligatures w14:val="none"/>
        </w:rPr>
        <w:t>مع تحليل المجموعات المتعددة</w:t>
      </w:r>
      <w:r w:rsidRPr="00012BBF">
        <w:rPr>
          <w:rFonts w:ascii="Simplified Arabic" w:eastAsia="Times New Roman" w:hAnsi="Simplified Arabic" w:cs="Simplified Arabic"/>
          <w:color w:val="000000" w:themeColor="text1"/>
          <w:kern w:val="0"/>
          <w:sz w:val="28"/>
          <w:szCs w:val="28"/>
          <w14:ligatures w14:val="none"/>
        </w:rPr>
        <w:t xml:space="preserve"> (MGA)</w:t>
      </w:r>
      <w:r w:rsidRPr="00012BBF">
        <w:rPr>
          <w:rFonts w:ascii="Simplified Arabic" w:eastAsia="Times New Roman" w:hAnsi="Simplified Arabic" w:cs="Simplified Arabic"/>
          <w:color w:val="000000" w:themeColor="text1"/>
          <w:kern w:val="0"/>
          <w:sz w:val="28"/>
          <w:szCs w:val="28"/>
          <w:rtl/>
          <w14:ligatures w14:val="none"/>
        </w:rPr>
        <w:t>، وتكوّنت العينة من (25,285) موظفًا من بيانات المسح الكوري السادس لظروف العمل</w:t>
      </w:r>
      <w:r w:rsidRPr="00012BBF">
        <w:rPr>
          <w:rFonts w:ascii="Simplified Arabic" w:eastAsia="Times New Roman" w:hAnsi="Simplified Arabic" w:cs="Simplified Arabic"/>
          <w:color w:val="000000" w:themeColor="text1"/>
          <w:kern w:val="0"/>
          <w:sz w:val="28"/>
          <w:szCs w:val="28"/>
          <w14:ligatures w14:val="none"/>
        </w:rPr>
        <w:t xml:space="preserve"> (KWCS). </w:t>
      </w:r>
      <w:r w:rsidRPr="00012BBF">
        <w:rPr>
          <w:rFonts w:ascii="Simplified Arabic" w:eastAsia="Times New Roman" w:hAnsi="Simplified Arabic" w:cs="Simplified Arabic"/>
          <w:color w:val="000000" w:themeColor="text1"/>
          <w:kern w:val="0"/>
          <w:sz w:val="28"/>
          <w:szCs w:val="28"/>
          <w:rtl/>
          <w14:ligatures w14:val="none"/>
        </w:rPr>
        <w:t>وتوصلت نتائج الدراسة إلى أن التقدير يُعزز بشكل كبير ارتباط الموظفين</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Cambria" w:eastAsia="Times New Roman" w:hAnsi="Cambria" w:cs="Cambria"/>
          <w:color w:val="000000" w:themeColor="text1"/>
          <w:kern w:val="0"/>
          <w:sz w:val="28"/>
          <w:szCs w:val="28"/>
          <w14:ligatures w14:val="none"/>
        </w:rPr>
        <w:t>β</w:t>
      </w:r>
      <w:r w:rsidRPr="00012BBF">
        <w:rPr>
          <w:rFonts w:ascii="Simplified Arabic" w:eastAsia="Times New Roman" w:hAnsi="Simplified Arabic" w:cs="Simplified Arabic"/>
          <w:color w:val="000000" w:themeColor="text1"/>
          <w:kern w:val="0"/>
          <w:sz w:val="28"/>
          <w:szCs w:val="28"/>
          <w14:ligatures w14:val="none"/>
        </w:rPr>
        <w:t xml:space="preserve"> = 0.394)</w:t>
      </w:r>
      <w:r w:rsidRPr="00012BBF">
        <w:rPr>
          <w:rFonts w:ascii="Simplified Arabic" w:eastAsia="Times New Roman" w:hAnsi="Simplified Arabic" w:cs="Simplified Arabic"/>
          <w:color w:val="000000" w:themeColor="text1"/>
          <w:kern w:val="0"/>
          <w:sz w:val="28"/>
          <w:szCs w:val="28"/>
          <w:rtl/>
          <w14:ligatures w14:val="none"/>
        </w:rPr>
        <w:t>، وأن العدالة والمشاركة تُسهمان إيجابيًا وإن بدرجة أقل، وأن القيادة التحويلية تلعب دورًا مزدوجًا في تعزيز الارتباط وخفض الاحتراق الوظيفي، كما أن قلق التحول التكنولوجي يؤثر سلبًا في الرضا الوظيفي. وأوصت بتبني مبادرات تقدير مخصصة ومنهجيات إدارة عادلة وتوزيع متوازن لأعباء العمل</w:t>
      </w:r>
      <w:r w:rsidRPr="00012BBF">
        <w:rPr>
          <w:rFonts w:ascii="Simplified Arabic" w:eastAsia="Times New Roman" w:hAnsi="Simplified Arabic" w:cs="Simplified Arabic"/>
          <w:color w:val="000000" w:themeColor="text1"/>
          <w:kern w:val="0"/>
          <w:sz w:val="28"/>
          <w:szCs w:val="28"/>
          <w14:ligatures w14:val="none"/>
        </w:rPr>
        <w:t>.</w:t>
      </w:r>
    </w:p>
    <w:p w14:paraId="5A8C113D" w14:textId="77777777" w:rsidR="00552D1D" w:rsidRPr="00012BBF" w:rsidRDefault="00552D1D" w:rsidP="00552D1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169790501"/>
      <w:bookmarkStart w:id="18" w:name="_Toc233239784"/>
      <w:bookmarkEnd w:id="14"/>
      <w:r w:rsidRPr="00012BBF">
        <w:rPr>
          <w:rFonts w:ascii="Simplified Arabic" w:eastAsia="Times New Roman" w:hAnsi="Simplified Arabic" w:cs="Simplified Arabic"/>
          <w:b/>
          <w:bCs/>
          <w:color w:val="000000" w:themeColor="text1"/>
          <w:kern w:val="0"/>
          <w:sz w:val="36"/>
          <w:szCs w:val="36"/>
          <w:rtl/>
          <w14:ligatures w14:val="none"/>
        </w:rPr>
        <w:t>8.1 الفجوة البحثية:</w:t>
      </w:r>
      <w:bookmarkEnd w:id="18"/>
    </w:p>
    <w:p w14:paraId="4F771932" w14:textId="4A7E2DB2" w:rsidR="00552D1D" w:rsidRPr="00012BBF" w:rsidRDefault="00552D1D" w:rsidP="00552D1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12BBF">
        <w:rPr>
          <w:rFonts w:ascii="Simplified Arabic" w:eastAsia="Times New Roman" w:hAnsi="Simplified Arabic" w:cs="Simplified Arabic"/>
          <w:b/>
          <w:bCs/>
          <w:color w:val="000000" w:themeColor="text1"/>
          <w:kern w:val="0"/>
          <w:sz w:val="32"/>
          <w:szCs w:val="32"/>
          <w:rtl/>
          <w14:ligatures w14:val="none"/>
        </w:rPr>
        <w:t>أولًا: أوجه الاتفاق</w:t>
      </w:r>
    </w:p>
    <w:p w14:paraId="392BAF3E"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تتفق الدراسة الحالية مع عدد من الدراسات السابقة في جوانب متعددة تُشكّل أرضية مشتركة للبناء المعرفي والمنهجي. فمن حيث المتغير المستقل، تتقاطع هذه الدراسة مع دراسة صلاح والأشقر ومسلم وأبو ناموس (2021) ودراسة عيسى والغربان (2022) ودراسة العبيدي (2021) في تناول التنسيق الإداري مع الجهات الحكومية كمتغير مؤثر في جودة المخرجات المؤسسية، كما تتفق مع دراسة</w:t>
      </w:r>
      <w:r w:rsidRPr="00012BBF">
        <w:rPr>
          <w:rFonts w:ascii="Simplified Arabic" w:eastAsia="Times New Roman" w:hAnsi="Simplified Arabic" w:cs="Simplified Arabic"/>
          <w:color w:val="000000" w:themeColor="text1"/>
          <w:kern w:val="0"/>
          <w:sz w:val="28"/>
          <w:szCs w:val="28"/>
          <w14:ligatures w14:val="none"/>
        </w:rPr>
        <w:t xml:space="preserve"> K</w:t>
      </w:r>
      <w:r w:rsidRPr="00012BBF">
        <w:rPr>
          <w:rFonts w:ascii="Cambria" w:eastAsia="Times New Roman" w:hAnsi="Cambria" w:cs="Cambria"/>
          <w:color w:val="000000" w:themeColor="text1"/>
          <w:kern w:val="0"/>
          <w:sz w:val="28"/>
          <w:szCs w:val="28"/>
          <w14:ligatures w14:val="none"/>
        </w:rPr>
        <w:t>å</w:t>
      </w:r>
      <w:r w:rsidRPr="00012BBF">
        <w:rPr>
          <w:rFonts w:ascii="Simplified Arabic" w:eastAsia="Times New Roman" w:hAnsi="Simplified Arabic" w:cs="Simplified Arabic"/>
          <w:color w:val="000000" w:themeColor="text1"/>
          <w:kern w:val="0"/>
          <w:sz w:val="28"/>
          <w:szCs w:val="28"/>
          <w14:ligatures w14:val="none"/>
        </w:rPr>
        <w:t xml:space="preserve">rtvedt (2024) </w:t>
      </w:r>
      <w:r w:rsidRPr="00012BBF">
        <w:rPr>
          <w:rFonts w:ascii="Simplified Arabic" w:eastAsia="Times New Roman" w:hAnsi="Simplified Arabic" w:cs="Simplified Arabic"/>
          <w:color w:val="000000" w:themeColor="text1"/>
          <w:kern w:val="0"/>
          <w:sz w:val="28"/>
          <w:szCs w:val="28"/>
          <w:rtl/>
          <w14:ligatures w14:val="none"/>
        </w:rPr>
        <w:t>ودراسة</w:t>
      </w:r>
      <w:r w:rsidRPr="00012BBF">
        <w:rPr>
          <w:rFonts w:ascii="Simplified Arabic" w:eastAsia="Times New Roman" w:hAnsi="Simplified Arabic" w:cs="Simplified Arabic"/>
          <w:color w:val="000000" w:themeColor="text1"/>
          <w:kern w:val="0"/>
          <w:sz w:val="28"/>
          <w:szCs w:val="28"/>
          <w14:ligatures w14:val="none"/>
        </w:rPr>
        <w:t xml:space="preserve"> Judijanto </w:t>
      </w:r>
      <w:r w:rsidRPr="00012BBF">
        <w:rPr>
          <w:rFonts w:ascii="Simplified Arabic" w:eastAsia="Times New Roman" w:hAnsi="Simplified Arabic" w:cs="Simplified Arabic"/>
          <w:color w:val="000000" w:themeColor="text1"/>
          <w:kern w:val="0"/>
          <w:sz w:val="28"/>
          <w:szCs w:val="28"/>
          <w:rtl/>
          <w14:ligatures w14:val="none"/>
        </w:rPr>
        <w:t xml:space="preserve">وآخرين </w:t>
      </w:r>
      <w:r w:rsidRPr="00012BBF">
        <w:rPr>
          <w:rFonts w:ascii="Simplified Arabic" w:eastAsia="Times New Roman" w:hAnsi="Simplified Arabic" w:cs="Simplified Arabic"/>
          <w:color w:val="000000" w:themeColor="text1"/>
          <w:kern w:val="0"/>
          <w:sz w:val="28"/>
          <w:szCs w:val="28"/>
          <w14:ligatures w14:val="none"/>
        </w:rPr>
        <w:t xml:space="preserve">(2024) </w:t>
      </w:r>
      <w:r w:rsidRPr="00012BBF">
        <w:rPr>
          <w:rFonts w:ascii="Simplified Arabic" w:eastAsia="Times New Roman" w:hAnsi="Simplified Arabic" w:cs="Simplified Arabic"/>
          <w:color w:val="000000" w:themeColor="text1"/>
          <w:kern w:val="0"/>
          <w:sz w:val="28"/>
          <w:szCs w:val="28"/>
          <w:rtl/>
          <w14:ligatures w14:val="none"/>
        </w:rPr>
        <w:t>ودراسة</w:t>
      </w:r>
      <w:r w:rsidRPr="00012BBF">
        <w:rPr>
          <w:rFonts w:ascii="Simplified Arabic" w:eastAsia="Times New Roman" w:hAnsi="Simplified Arabic" w:cs="Simplified Arabic"/>
          <w:color w:val="000000" w:themeColor="text1"/>
          <w:kern w:val="0"/>
          <w:sz w:val="28"/>
          <w:szCs w:val="28"/>
          <w14:ligatures w14:val="none"/>
        </w:rPr>
        <w:t xml:space="preserve"> Syarien </w:t>
      </w:r>
      <w:r w:rsidRPr="00012BBF">
        <w:rPr>
          <w:rFonts w:ascii="Simplified Arabic" w:eastAsia="Times New Roman" w:hAnsi="Simplified Arabic" w:cs="Simplified Arabic"/>
          <w:color w:val="000000" w:themeColor="text1"/>
          <w:kern w:val="0"/>
          <w:sz w:val="28"/>
          <w:szCs w:val="28"/>
          <w:rtl/>
          <w14:ligatures w14:val="none"/>
        </w:rPr>
        <w:t>و</w:t>
      </w:r>
      <w:r w:rsidRPr="00012BBF">
        <w:rPr>
          <w:rFonts w:ascii="Simplified Arabic" w:eastAsia="Times New Roman" w:hAnsi="Simplified Arabic" w:cs="Simplified Arabic"/>
          <w:color w:val="000000" w:themeColor="text1"/>
          <w:kern w:val="0"/>
          <w:sz w:val="28"/>
          <w:szCs w:val="28"/>
          <w14:ligatures w14:val="none"/>
        </w:rPr>
        <w:t xml:space="preserve">Samarah (2023) </w:t>
      </w:r>
      <w:r w:rsidRPr="00012BBF">
        <w:rPr>
          <w:rFonts w:ascii="Simplified Arabic" w:eastAsia="Times New Roman" w:hAnsi="Simplified Arabic" w:cs="Simplified Arabic"/>
          <w:color w:val="000000" w:themeColor="text1"/>
          <w:kern w:val="0"/>
          <w:sz w:val="28"/>
          <w:szCs w:val="28"/>
          <w:rtl/>
          <w14:ligatures w14:val="none"/>
        </w:rPr>
        <w:t>في التأكيد على أن جودة التنسيق بين الوكالات الحكومية تتحدد بعوامل مؤسسية وهيكلية وإجرائية متعددة الأبعاد</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ومن حيث المتغير التابع، تتفق الدراسة الحالية مع دراسة حسن (2024) ودراسة القحطاني (2025) ودراسة</w:t>
      </w:r>
      <w:r w:rsidRPr="00012BBF">
        <w:rPr>
          <w:rFonts w:ascii="Simplified Arabic" w:eastAsia="Times New Roman" w:hAnsi="Simplified Arabic" w:cs="Simplified Arabic"/>
          <w:color w:val="000000" w:themeColor="text1"/>
          <w:kern w:val="0"/>
          <w:sz w:val="28"/>
          <w:szCs w:val="28"/>
          <w14:ligatures w14:val="none"/>
        </w:rPr>
        <w:t xml:space="preserve"> Lee </w:t>
      </w:r>
      <w:r w:rsidRPr="00012BBF">
        <w:rPr>
          <w:rFonts w:ascii="Simplified Arabic" w:eastAsia="Times New Roman" w:hAnsi="Simplified Arabic" w:cs="Simplified Arabic"/>
          <w:color w:val="000000" w:themeColor="text1"/>
          <w:kern w:val="0"/>
          <w:sz w:val="28"/>
          <w:szCs w:val="28"/>
          <w:rtl/>
          <w14:ligatures w14:val="none"/>
        </w:rPr>
        <w:t>و</w:t>
      </w:r>
      <w:r w:rsidRPr="00012BBF">
        <w:rPr>
          <w:rFonts w:ascii="Simplified Arabic" w:eastAsia="Times New Roman" w:hAnsi="Simplified Arabic" w:cs="Simplified Arabic"/>
          <w:color w:val="000000" w:themeColor="text1"/>
          <w:kern w:val="0"/>
          <w:sz w:val="28"/>
          <w:szCs w:val="28"/>
          <w14:ligatures w14:val="none"/>
        </w:rPr>
        <w:t xml:space="preserve">Kim (2023) </w:t>
      </w:r>
      <w:r w:rsidRPr="00012BBF">
        <w:rPr>
          <w:rFonts w:ascii="Simplified Arabic" w:eastAsia="Times New Roman" w:hAnsi="Simplified Arabic" w:cs="Simplified Arabic"/>
          <w:color w:val="000000" w:themeColor="text1"/>
          <w:kern w:val="0"/>
          <w:sz w:val="28"/>
          <w:szCs w:val="28"/>
          <w:rtl/>
          <w14:ligatures w14:val="none"/>
        </w:rPr>
        <w:t>ودراسة</w:t>
      </w:r>
      <w:r w:rsidRPr="00012BBF">
        <w:rPr>
          <w:rFonts w:ascii="Simplified Arabic" w:eastAsia="Times New Roman" w:hAnsi="Simplified Arabic" w:cs="Simplified Arabic"/>
          <w:color w:val="000000" w:themeColor="text1"/>
          <w:kern w:val="0"/>
          <w:sz w:val="28"/>
          <w:szCs w:val="28"/>
          <w14:ligatures w14:val="none"/>
        </w:rPr>
        <w:t xml:space="preserve"> Kimonyo (2024) </w:t>
      </w:r>
      <w:r w:rsidRPr="00012BBF">
        <w:rPr>
          <w:rFonts w:ascii="Simplified Arabic" w:eastAsia="Times New Roman" w:hAnsi="Simplified Arabic" w:cs="Simplified Arabic"/>
          <w:color w:val="000000" w:themeColor="text1"/>
          <w:kern w:val="0"/>
          <w:sz w:val="28"/>
          <w:szCs w:val="28"/>
          <w:rtl/>
          <w14:ligatures w14:val="none"/>
        </w:rPr>
        <w:t xml:space="preserve">في تناول تجربة الموظف بوصفها مفهومًا شاملًا يتجاوز الرضا الوظيفي التقليدي ليشمل الأبعاد المادية والتكنولوجية والثقافية وأثرها في الالتزام التنظيمي والاحتفاظ بالكفاءات. كما تتفق الدراسة الحالية مع غالبية الدراسات السابقة في اعتماد المنهج </w:t>
      </w:r>
      <w:r w:rsidRPr="00012BBF">
        <w:rPr>
          <w:rFonts w:ascii="Simplified Arabic" w:eastAsia="Times New Roman" w:hAnsi="Simplified Arabic" w:cs="Simplified Arabic"/>
          <w:color w:val="000000" w:themeColor="text1"/>
          <w:kern w:val="0"/>
          <w:sz w:val="28"/>
          <w:szCs w:val="28"/>
          <w:rtl/>
          <w14:ligatures w14:val="none"/>
        </w:rPr>
        <w:lastRenderedPageBreak/>
        <w:t>الوصفي التحليلي واستخدام الاستبانة كأداة رئيسية لجمع البيانات، وتوظيف الأساليب الإحصائية الكمية كتحليل الانحدار ومعاملات الارتباط والمقارنات بين المجموعات وفقًا للمتغيرات الديموغرافية، وهو ما يتسق مع المنهجية المتبعة في دراسة</w:t>
      </w:r>
      <w:r w:rsidRPr="00012BBF">
        <w:rPr>
          <w:rFonts w:ascii="Simplified Arabic" w:eastAsia="Times New Roman" w:hAnsi="Simplified Arabic" w:cs="Simplified Arabic"/>
          <w:color w:val="000000" w:themeColor="text1"/>
          <w:kern w:val="0"/>
          <w:sz w:val="28"/>
          <w:szCs w:val="28"/>
          <w14:ligatures w14:val="none"/>
        </w:rPr>
        <w:t xml:space="preserve"> Jo </w:t>
      </w:r>
      <w:r w:rsidRPr="00012BBF">
        <w:rPr>
          <w:rFonts w:ascii="Simplified Arabic" w:eastAsia="Times New Roman" w:hAnsi="Simplified Arabic" w:cs="Simplified Arabic"/>
          <w:color w:val="000000" w:themeColor="text1"/>
          <w:kern w:val="0"/>
          <w:sz w:val="28"/>
          <w:szCs w:val="28"/>
          <w:rtl/>
          <w14:ligatures w14:val="none"/>
        </w:rPr>
        <w:t>و</w:t>
      </w:r>
      <w:r w:rsidRPr="00012BBF">
        <w:rPr>
          <w:rFonts w:ascii="Simplified Arabic" w:eastAsia="Times New Roman" w:hAnsi="Simplified Arabic" w:cs="Simplified Arabic"/>
          <w:color w:val="000000" w:themeColor="text1"/>
          <w:kern w:val="0"/>
          <w:sz w:val="28"/>
          <w:szCs w:val="28"/>
          <w14:ligatures w14:val="none"/>
        </w:rPr>
        <w:t xml:space="preserve">Shin (2025) </w:t>
      </w:r>
      <w:r w:rsidRPr="00012BBF">
        <w:rPr>
          <w:rFonts w:ascii="Simplified Arabic" w:eastAsia="Times New Roman" w:hAnsi="Simplified Arabic" w:cs="Simplified Arabic"/>
          <w:color w:val="000000" w:themeColor="text1"/>
          <w:kern w:val="0"/>
          <w:sz w:val="28"/>
          <w:szCs w:val="28"/>
          <w:rtl/>
          <w14:ligatures w14:val="none"/>
        </w:rPr>
        <w:t>التي اعتمدت على تحليل بيانات واسعة النطاق، ودراسة</w:t>
      </w:r>
      <w:r w:rsidRPr="00012BBF">
        <w:rPr>
          <w:rFonts w:ascii="Simplified Arabic" w:eastAsia="Times New Roman" w:hAnsi="Simplified Arabic" w:cs="Simplified Arabic"/>
          <w:color w:val="000000" w:themeColor="text1"/>
          <w:kern w:val="0"/>
          <w:sz w:val="28"/>
          <w:szCs w:val="28"/>
          <w14:ligatures w14:val="none"/>
        </w:rPr>
        <w:t xml:space="preserve"> Mustaki </w:t>
      </w:r>
      <w:r w:rsidRPr="00012BBF">
        <w:rPr>
          <w:rFonts w:ascii="Simplified Arabic" w:eastAsia="Times New Roman" w:hAnsi="Simplified Arabic" w:cs="Simplified Arabic"/>
          <w:color w:val="000000" w:themeColor="text1"/>
          <w:kern w:val="0"/>
          <w:sz w:val="28"/>
          <w:szCs w:val="28"/>
          <w:rtl/>
          <w14:ligatures w14:val="none"/>
        </w:rPr>
        <w:t>و</w:t>
      </w:r>
      <w:r w:rsidRPr="00012BBF">
        <w:rPr>
          <w:rFonts w:ascii="Simplified Arabic" w:eastAsia="Times New Roman" w:hAnsi="Simplified Arabic" w:cs="Simplified Arabic"/>
          <w:color w:val="000000" w:themeColor="text1"/>
          <w:kern w:val="0"/>
          <w:sz w:val="28"/>
          <w:szCs w:val="28"/>
          <w14:ligatures w14:val="none"/>
        </w:rPr>
        <w:t xml:space="preserve">Abdussamad (2025) </w:t>
      </w:r>
      <w:r w:rsidRPr="00012BBF">
        <w:rPr>
          <w:rFonts w:ascii="Simplified Arabic" w:eastAsia="Times New Roman" w:hAnsi="Simplified Arabic" w:cs="Simplified Arabic"/>
          <w:color w:val="000000" w:themeColor="text1"/>
          <w:kern w:val="0"/>
          <w:sz w:val="28"/>
          <w:szCs w:val="28"/>
          <w:rtl/>
          <w14:ligatures w14:val="none"/>
        </w:rPr>
        <w:t>التي تناولت أثر التنسيق في فاعلية عمل الموظفين بالمنهج الكمي ذاته</w:t>
      </w:r>
      <w:r w:rsidRPr="00012BBF">
        <w:rPr>
          <w:rFonts w:ascii="Simplified Arabic" w:eastAsia="Times New Roman" w:hAnsi="Simplified Arabic" w:cs="Simplified Arabic"/>
          <w:color w:val="000000" w:themeColor="text1"/>
          <w:kern w:val="0"/>
          <w:sz w:val="28"/>
          <w:szCs w:val="28"/>
          <w14:ligatures w14:val="none"/>
        </w:rPr>
        <w:t>.</w:t>
      </w:r>
    </w:p>
    <w:p w14:paraId="5BEEA7B3" w14:textId="77777777" w:rsidR="00D253EF" w:rsidRPr="00012BBF" w:rsidRDefault="00D253EF" w:rsidP="00552D1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2965680"/>
      <w:r w:rsidRPr="00012BBF">
        <w:rPr>
          <w:rFonts w:ascii="Simplified Arabic" w:eastAsia="Times New Roman" w:hAnsi="Simplified Arabic" w:cs="Simplified Arabic"/>
          <w:b/>
          <w:bCs/>
          <w:color w:val="000000" w:themeColor="text1"/>
          <w:kern w:val="0"/>
          <w:sz w:val="32"/>
          <w:szCs w:val="32"/>
          <w:rtl/>
          <w14:ligatures w14:val="none"/>
        </w:rPr>
        <w:t>ثانيًا: أوجه الاختلاف</w:t>
      </w:r>
      <w:bookmarkEnd w:id="19"/>
    </w:p>
    <w:p w14:paraId="6DA4777C"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تتميز الدراسة الحالية عن الدراسات السابقة في عدة جوانب جوهرية تُكسبها أصالة بحثية واضحة. فمن حيث الربط بين المتغيرات، لم تتناول أيّ من الدراسات السابقة — في حدود اطلاع الباحث — العلاقة المباشرة بين جودة التنسيق مع الجهات الحكومية وتجربة الموظف والاحتفاظ بالكفاءات في نموذج بحثي واحد متكامل، إذ ركّزت دراسات التنسيق الحكومي كدراسة</w:t>
      </w:r>
      <w:r w:rsidRPr="00012BBF">
        <w:rPr>
          <w:rFonts w:ascii="Simplified Arabic" w:eastAsia="Times New Roman" w:hAnsi="Simplified Arabic" w:cs="Simplified Arabic"/>
          <w:color w:val="000000" w:themeColor="text1"/>
          <w:kern w:val="0"/>
          <w:sz w:val="28"/>
          <w:szCs w:val="28"/>
          <w14:ligatures w14:val="none"/>
        </w:rPr>
        <w:t xml:space="preserve"> K</w:t>
      </w:r>
      <w:r w:rsidRPr="00012BBF">
        <w:rPr>
          <w:rFonts w:ascii="Cambria" w:eastAsia="Times New Roman" w:hAnsi="Cambria" w:cs="Cambria"/>
          <w:color w:val="000000" w:themeColor="text1"/>
          <w:kern w:val="0"/>
          <w:sz w:val="28"/>
          <w:szCs w:val="28"/>
          <w14:ligatures w14:val="none"/>
        </w:rPr>
        <w:t>å</w:t>
      </w:r>
      <w:r w:rsidRPr="00012BBF">
        <w:rPr>
          <w:rFonts w:ascii="Simplified Arabic" w:eastAsia="Times New Roman" w:hAnsi="Simplified Arabic" w:cs="Simplified Arabic"/>
          <w:color w:val="000000" w:themeColor="text1"/>
          <w:kern w:val="0"/>
          <w:sz w:val="28"/>
          <w:szCs w:val="28"/>
          <w14:ligatures w14:val="none"/>
        </w:rPr>
        <w:t xml:space="preserve">rtvedt (2024) </w:t>
      </w:r>
      <w:r w:rsidRPr="00012BBF">
        <w:rPr>
          <w:rFonts w:ascii="Simplified Arabic" w:eastAsia="Times New Roman" w:hAnsi="Simplified Arabic" w:cs="Simplified Arabic"/>
          <w:color w:val="000000" w:themeColor="text1"/>
          <w:kern w:val="0"/>
          <w:sz w:val="28"/>
          <w:szCs w:val="28"/>
          <w:rtl/>
          <w14:ligatures w14:val="none"/>
        </w:rPr>
        <w:t>ودراسة</w:t>
      </w:r>
      <w:r w:rsidRPr="00012BBF">
        <w:rPr>
          <w:rFonts w:ascii="Simplified Arabic" w:eastAsia="Times New Roman" w:hAnsi="Simplified Arabic" w:cs="Simplified Arabic"/>
          <w:color w:val="000000" w:themeColor="text1"/>
          <w:kern w:val="0"/>
          <w:sz w:val="28"/>
          <w:szCs w:val="28"/>
          <w14:ligatures w14:val="none"/>
        </w:rPr>
        <w:t xml:space="preserve"> Roberts </w:t>
      </w:r>
      <w:r w:rsidRPr="00012BBF">
        <w:rPr>
          <w:rFonts w:ascii="Simplified Arabic" w:eastAsia="Times New Roman" w:hAnsi="Simplified Arabic" w:cs="Simplified Arabic"/>
          <w:color w:val="000000" w:themeColor="text1"/>
          <w:kern w:val="0"/>
          <w:sz w:val="28"/>
          <w:szCs w:val="28"/>
          <w:rtl/>
          <w14:ligatures w14:val="none"/>
        </w:rPr>
        <w:t>و</w:t>
      </w:r>
      <w:r w:rsidRPr="00012BBF">
        <w:rPr>
          <w:rFonts w:ascii="Simplified Arabic" w:eastAsia="Times New Roman" w:hAnsi="Simplified Arabic" w:cs="Simplified Arabic"/>
          <w:color w:val="000000" w:themeColor="text1"/>
          <w:kern w:val="0"/>
          <w:sz w:val="28"/>
          <w:szCs w:val="28"/>
          <w14:ligatures w14:val="none"/>
        </w:rPr>
        <w:t xml:space="preserve">Milman (2024) </w:t>
      </w:r>
      <w:r w:rsidRPr="00012BBF">
        <w:rPr>
          <w:rFonts w:ascii="Simplified Arabic" w:eastAsia="Times New Roman" w:hAnsi="Simplified Arabic" w:cs="Simplified Arabic"/>
          <w:color w:val="000000" w:themeColor="text1"/>
          <w:kern w:val="0"/>
          <w:sz w:val="28"/>
          <w:szCs w:val="28"/>
          <w:rtl/>
          <w14:ligatures w14:val="none"/>
        </w:rPr>
        <w:t>على أثر التنسيق في جودة الخدمات العامة والنتائج المنسقة بين الوكالات، بينما ركّزت دراسات تجربة الموظف كدراسة حسن (2024) ودراسة</w:t>
      </w:r>
      <w:r w:rsidRPr="00012BBF">
        <w:rPr>
          <w:rFonts w:ascii="Simplified Arabic" w:eastAsia="Times New Roman" w:hAnsi="Simplified Arabic" w:cs="Simplified Arabic"/>
          <w:color w:val="000000" w:themeColor="text1"/>
          <w:kern w:val="0"/>
          <w:sz w:val="28"/>
          <w:szCs w:val="28"/>
          <w14:ligatures w14:val="none"/>
        </w:rPr>
        <w:t xml:space="preserve"> Lee </w:t>
      </w:r>
      <w:r w:rsidRPr="00012BBF">
        <w:rPr>
          <w:rFonts w:ascii="Simplified Arabic" w:eastAsia="Times New Roman" w:hAnsi="Simplified Arabic" w:cs="Simplified Arabic"/>
          <w:color w:val="000000" w:themeColor="text1"/>
          <w:kern w:val="0"/>
          <w:sz w:val="28"/>
          <w:szCs w:val="28"/>
          <w:rtl/>
          <w14:ligatures w14:val="none"/>
        </w:rPr>
        <w:t>و</w:t>
      </w:r>
      <w:r w:rsidRPr="00012BBF">
        <w:rPr>
          <w:rFonts w:ascii="Simplified Arabic" w:eastAsia="Times New Roman" w:hAnsi="Simplified Arabic" w:cs="Simplified Arabic"/>
          <w:color w:val="000000" w:themeColor="text1"/>
          <w:kern w:val="0"/>
          <w:sz w:val="28"/>
          <w:szCs w:val="28"/>
          <w14:ligatures w14:val="none"/>
        </w:rPr>
        <w:t xml:space="preserve">Kim (2023) </w:t>
      </w:r>
      <w:r w:rsidRPr="00012BBF">
        <w:rPr>
          <w:rFonts w:ascii="Simplified Arabic" w:eastAsia="Times New Roman" w:hAnsi="Simplified Arabic" w:cs="Simplified Arabic"/>
          <w:color w:val="000000" w:themeColor="text1"/>
          <w:kern w:val="0"/>
          <w:sz w:val="28"/>
          <w:szCs w:val="28"/>
          <w:rtl/>
          <w14:ligatures w14:val="none"/>
        </w:rPr>
        <w:t xml:space="preserve">على علاقة التجربة بالازدهار الوظيفي والالتزام التنظيمي دون ربطها بالتنسيق الحكومي. ومن حيث بيئة التطبيق، تتفرد الدراسة الحالية بتطبيقها في قطاع الطاقة بوصفه بيئة عمل عالية المخاطر في مدينة الدمام بالمملكة العربية السعودية، في حين طُبّقت الدراسات السابقة في سياقات مغايرة كالبنوك الإسلامية في مصر (حسن، </w:t>
      </w:r>
      <w:r w:rsidRPr="00012BBF">
        <w:rPr>
          <w:rFonts w:ascii="Simplified Arabic" w:eastAsia="Times New Roman" w:hAnsi="Simplified Arabic" w:cs="Simplified Arabic"/>
          <w:color w:val="000000" w:themeColor="text1"/>
          <w:kern w:val="0"/>
          <w:sz w:val="28"/>
          <w:szCs w:val="28"/>
          <w14:ligatures w14:val="none"/>
        </w:rPr>
        <w:t xml:space="preserve">2024) </w:t>
      </w:r>
      <w:r w:rsidRPr="00012BBF">
        <w:rPr>
          <w:rFonts w:ascii="Simplified Arabic" w:eastAsia="Times New Roman" w:hAnsi="Simplified Arabic" w:cs="Simplified Arabic"/>
          <w:color w:val="000000" w:themeColor="text1"/>
          <w:kern w:val="0"/>
          <w:sz w:val="28"/>
          <w:szCs w:val="28"/>
          <w:rtl/>
          <w14:ligatures w14:val="none"/>
        </w:rPr>
        <w:t>والجامعات السعودية (القحطاني، 2025) والمستشفيات الحكومية في غزة (صلاح وآخرون، 2021) والحكومات المحلية في النرويج</w:t>
      </w:r>
      <w:r w:rsidRPr="00012BBF">
        <w:rPr>
          <w:rFonts w:ascii="Simplified Arabic" w:eastAsia="Times New Roman" w:hAnsi="Simplified Arabic" w:cs="Simplified Arabic"/>
          <w:color w:val="000000" w:themeColor="text1"/>
          <w:kern w:val="0"/>
          <w:sz w:val="28"/>
          <w:szCs w:val="28"/>
          <w14:ligatures w14:val="none"/>
        </w:rPr>
        <w:t xml:space="preserve"> (K</w:t>
      </w:r>
      <w:r w:rsidRPr="00012BBF">
        <w:rPr>
          <w:rFonts w:ascii="Cambria" w:eastAsia="Times New Roman" w:hAnsi="Cambria" w:cs="Cambria"/>
          <w:color w:val="000000" w:themeColor="text1"/>
          <w:kern w:val="0"/>
          <w:sz w:val="28"/>
          <w:szCs w:val="28"/>
          <w14:ligatures w14:val="none"/>
        </w:rPr>
        <w:t>å</w:t>
      </w:r>
      <w:r w:rsidRPr="00012BBF">
        <w:rPr>
          <w:rFonts w:ascii="Simplified Arabic" w:eastAsia="Times New Roman" w:hAnsi="Simplified Arabic" w:cs="Simplified Arabic"/>
          <w:color w:val="000000" w:themeColor="text1"/>
          <w:kern w:val="0"/>
          <w:sz w:val="28"/>
          <w:szCs w:val="28"/>
          <w14:ligatures w14:val="none"/>
        </w:rPr>
        <w:t xml:space="preserve">rtvedt, 2024) </w:t>
      </w:r>
      <w:r w:rsidRPr="00012BBF">
        <w:rPr>
          <w:rFonts w:ascii="Simplified Arabic" w:eastAsia="Times New Roman" w:hAnsi="Simplified Arabic" w:cs="Simplified Arabic"/>
          <w:color w:val="000000" w:themeColor="text1"/>
          <w:kern w:val="0"/>
          <w:sz w:val="28"/>
          <w:szCs w:val="28"/>
          <w:rtl/>
          <w14:ligatures w14:val="none"/>
        </w:rPr>
        <w:t>والشركات الكورية</w:t>
      </w:r>
      <w:r w:rsidRPr="00012BBF">
        <w:rPr>
          <w:rFonts w:ascii="Simplified Arabic" w:eastAsia="Times New Roman" w:hAnsi="Simplified Arabic" w:cs="Simplified Arabic"/>
          <w:color w:val="000000" w:themeColor="text1"/>
          <w:kern w:val="0"/>
          <w:sz w:val="28"/>
          <w:szCs w:val="28"/>
          <w14:ligatures w14:val="none"/>
        </w:rPr>
        <w:t xml:space="preserve"> (Lee &amp; Kim, 2023) </w:t>
      </w:r>
      <w:r w:rsidRPr="00012BBF">
        <w:rPr>
          <w:rFonts w:ascii="Simplified Arabic" w:eastAsia="Times New Roman" w:hAnsi="Simplified Arabic" w:cs="Simplified Arabic"/>
          <w:color w:val="000000" w:themeColor="text1"/>
          <w:kern w:val="0"/>
          <w:sz w:val="28"/>
          <w:szCs w:val="28"/>
          <w:rtl/>
          <w14:ligatures w14:val="none"/>
        </w:rPr>
        <w:t xml:space="preserve">والقطاع العام في جاكرتا </w:t>
      </w:r>
      <w:r w:rsidRPr="00012BBF">
        <w:rPr>
          <w:rFonts w:ascii="Simplified Arabic" w:eastAsia="Times New Roman" w:hAnsi="Simplified Arabic" w:cs="Simplified Arabic"/>
          <w:color w:val="000000" w:themeColor="text1"/>
          <w:kern w:val="0"/>
          <w:sz w:val="28"/>
          <w:szCs w:val="28"/>
          <w14:ligatures w14:val="none"/>
        </w:rPr>
        <w:t xml:space="preserve">(Judijanto et al., 2024). </w:t>
      </w:r>
      <w:r w:rsidRPr="00012BBF">
        <w:rPr>
          <w:rFonts w:ascii="Simplified Arabic" w:eastAsia="Times New Roman" w:hAnsi="Simplified Arabic" w:cs="Simplified Arabic"/>
          <w:color w:val="000000" w:themeColor="text1"/>
          <w:kern w:val="0"/>
          <w:sz w:val="28"/>
          <w:szCs w:val="28"/>
          <w:rtl/>
          <w14:ligatures w14:val="none"/>
        </w:rPr>
        <w:t>كما تختلف الدراسة الحالية في تصميم أبعاد المتغير المستقل، حيث تتبنى أبعادًا أربعة مُصمَّمة خصيصًا لسياق التنسيق الحكومي في قطاع الطاقة (وضوح الإجراءات التنظيمية، فاعلية تبادل المعلومات، كفاءة المتابعة والاستجابة، التكامل بين الأنظمة والسياسات</w:t>
      </w:r>
      <w:proofErr w:type="gramStart"/>
      <w:r w:rsidRPr="00012BBF">
        <w:rPr>
          <w:rFonts w:ascii="Simplified Arabic" w:eastAsia="Times New Roman" w:hAnsi="Simplified Arabic" w:cs="Simplified Arabic"/>
          <w:color w:val="000000" w:themeColor="text1"/>
          <w:kern w:val="0"/>
          <w:sz w:val="28"/>
          <w:szCs w:val="28"/>
          <w14:ligatures w14:val="none"/>
        </w:rPr>
        <w:t>)</w:t>
      </w:r>
      <w:r w:rsidRPr="00012BBF">
        <w:rPr>
          <w:rFonts w:ascii="Simplified Arabic" w:eastAsia="Times New Roman" w:hAnsi="Simplified Arabic" w:cs="Simplified Arabic"/>
          <w:color w:val="000000" w:themeColor="text1"/>
          <w:kern w:val="0"/>
          <w:sz w:val="28"/>
          <w:szCs w:val="28"/>
          <w:rtl/>
          <w14:ligatures w14:val="none"/>
        </w:rPr>
        <w:t>،</w:t>
      </w:r>
      <w:proofErr w:type="gramEnd"/>
      <w:r w:rsidRPr="00012BBF">
        <w:rPr>
          <w:rFonts w:ascii="Simplified Arabic" w:eastAsia="Times New Roman" w:hAnsi="Simplified Arabic" w:cs="Simplified Arabic"/>
          <w:color w:val="000000" w:themeColor="text1"/>
          <w:kern w:val="0"/>
          <w:sz w:val="28"/>
          <w:szCs w:val="28"/>
          <w:rtl/>
          <w14:ligatures w14:val="none"/>
        </w:rPr>
        <w:t xml:space="preserve"> وهو ما يختلف عن الأبعاد المستخدمة في الدراسات السابقة التي تناولت التنسيق من منظورات أخرى كمستوى التنسيق وطبيعته (صلاح وآخرون، 2021) أو نطاق أدوات التنسيق والتخصص الهيكلي</w:t>
      </w:r>
      <w:r w:rsidRPr="00012BBF">
        <w:rPr>
          <w:rFonts w:ascii="Simplified Arabic" w:eastAsia="Times New Roman" w:hAnsi="Simplified Arabic" w:cs="Simplified Arabic"/>
          <w:color w:val="000000" w:themeColor="text1"/>
          <w:kern w:val="0"/>
          <w:sz w:val="28"/>
          <w:szCs w:val="28"/>
          <w14:ligatures w14:val="none"/>
        </w:rPr>
        <w:t xml:space="preserve"> (K</w:t>
      </w:r>
      <w:r w:rsidRPr="00012BBF">
        <w:rPr>
          <w:rFonts w:ascii="Cambria" w:eastAsia="Times New Roman" w:hAnsi="Cambria" w:cs="Cambria"/>
          <w:color w:val="000000" w:themeColor="text1"/>
          <w:kern w:val="0"/>
          <w:sz w:val="28"/>
          <w:szCs w:val="28"/>
          <w14:ligatures w14:val="none"/>
        </w:rPr>
        <w:t>å</w:t>
      </w:r>
      <w:r w:rsidRPr="00012BBF">
        <w:rPr>
          <w:rFonts w:ascii="Simplified Arabic" w:eastAsia="Times New Roman" w:hAnsi="Simplified Arabic" w:cs="Simplified Arabic"/>
          <w:color w:val="000000" w:themeColor="text1"/>
          <w:kern w:val="0"/>
          <w:sz w:val="28"/>
          <w:szCs w:val="28"/>
          <w14:ligatures w14:val="none"/>
        </w:rPr>
        <w:t xml:space="preserve">rtvedt, 2024) </w:t>
      </w:r>
      <w:r w:rsidRPr="00012BBF">
        <w:rPr>
          <w:rFonts w:ascii="Simplified Arabic" w:eastAsia="Times New Roman" w:hAnsi="Simplified Arabic" w:cs="Simplified Arabic"/>
          <w:color w:val="000000" w:themeColor="text1"/>
          <w:kern w:val="0"/>
          <w:sz w:val="28"/>
          <w:szCs w:val="28"/>
          <w:rtl/>
          <w14:ligatures w14:val="none"/>
        </w:rPr>
        <w:t>أو جودة التنظيم والقدرة المؤسسية</w:t>
      </w:r>
      <w:r w:rsidRPr="00012BBF">
        <w:rPr>
          <w:rFonts w:ascii="Simplified Arabic" w:eastAsia="Times New Roman" w:hAnsi="Simplified Arabic" w:cs="Simplified Arabic"/>
          <w:color w:val="000000" w:themeColor="text1"/>
          <w:kern w:val="0"/>
          <w:sz w:val="28"/>
          <w:szCs w:val="28"/>
          <w14:ligatures w14:val="none"/>
        </w:rPr>
        <w:t xml:space="preserve"> (Judijanto et al., 2024).</w:t>
      </w:r>
    </w:p>
    <w:p w14:paraId="26B35EE8" w14:textId="77777777" w:rsidR="00552D1D" w:rsidRPr="00012BBF" w:rsidRDefault="00552D1D" w:rsidP="00552D1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0" w:name="_Toc169790502"/>
      <w:bookmarkStart w:id="21" w:name="_Toc233239785"/>
      <w:bookmarkEnd w:id="17"/>
      <w:r w:rsidRPr="00012BBF">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1"/>
    </w:p>
    <w:p w14:paraId="40C58E0E" w14:textId="4A4CA912" w:rsidR="00552D1D" w:rsidRPr="00012BBF" w:rsidRDefault="00552D1D" w:rsidP="00552D1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12BBF">
        <w:rPr>
          <w:rFonts w:ascii="Simplified Arabic" w:eastAsia="Times New Roman" w:hAnsi="Simplified Arabic" w:cs="Simplified Arabic"/>
          <w:b/>
          <w:bCs/>
          <w:color w:val="000000" w:themeColor="text1"/>
          <w:kern w:val="0"/>
          <w:sz w:val="32"/>
          <w:szCs w:val="32"/>
          <w:rtl/>
          <w14:ligatures w14:val="none"/>
        </w:rPr>
        <w:lastRenderedPageBreak/>
        <w:t>جودة التنسيق مع الجهات الحكومية</w:t>
      </w:r>
    </w:p>
    <w:p w14:paraId="244EF067"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يُعدّ التنسيق الإداري من المفاهيم الراسخة في الفكر الإداري والتنظيمي، وقد حظي باهتمام مبكر من روّاد الإدارة العامة الذين أكدوا أن فاعلية أي منظومة إدارية تتوقف على مدى قدرتها على تحقيق التكامل والانسجام بين الأنشطة والجهود المتعددة التي تقوم بها الأطراف المختلفة. ويُعرّف التنسيق بأنه ذلك الجهد الإداري الهادف إلى توحيد الجهود وتوجيهها نحو تحقيق أهداف مشتركة بأسلوب محدد وفي توقيت معين، بما يضمن عدم التعارض أو الازدواجية بين الأنشطة المؤداة (عيسى والغربان، 2022). وفي إطار العلاقة بين المنظمات والجهات الحكومية، يتخذ التنسيق أبعادًا أكثر تعقيدًا نظرًا لتعدد الأطراف التنظيمية والرقابية وتنوع متطلباتها، مما يستلزم وجود آليات مؤسسية واضحة تُنظّم هذه العلاقة وتُحقق الفاعلية المطلوبة</w:t>
      </w:r>
      <w:r w:rsidRPr="00012BBF">
        <w:rPr>
          <w:rFonts w:ascii="Simplified Arabic" w:eastAsia="Times New Roman" w:hAnsi="Simplified Arabic" w:cs="Simplified Arabic"/>
          <w:color w:val="000000" w:themeColor="text1"/>
          <w:kern w:val="0"/>
          <w:sz w:val="28"/>
          <w:szCs w:val="28"/>
          <w14:ligatures w14:val="none"/>
        </w:rPr>
        <w:t>.</w:t>
      </w:r>
    </w:p>
    <w:p w14:paraId="036973B7"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وقد تطورت النظرة إلى التنسيق الحكومي من كونه مجرد إجراء بيروقراطي تقليدي إلى اعتباره عملية استراتيجية متعددة الأبعاد تُحدّد جودة المخرجات المؤسسية. ويُميّز الباحثون بين مستويات متعددة للتنسيق تشمل التنسيق الرأسي بين المستويات الإدارية المختلفة والتنسيق الأفقي بين الوحدات التنظيمية المتكافئة (العبيدي، 2021). كما يُميّزون بين التنسيق بوصفه عملية — أي الآليات والإجراءات المتبعة — والتنسيق بوصفه نتيجة — أي مدى نجاح هذه الآليات في معالجة مشكلات التنسيق كالازدواجية والفجوات وعدم الاتساق في السياسات</w:t>
      </w:r>
      <w:r w:rsidRPr="00012BBF">
        <w:rPr>
          <w:rFonts w:ascii="Simplified Arabic" w:eastAsia="Times New Roman" w:hAnsi="Simplified Arabic" w:cs="Simplified Arabic"/>
          <w:color w:val="000000" w:themeColor="text1"/>
          <w:kern w:val="0"/>
          <w:sz w:val="28"/>
          <w:szCs w:val="28"/>
          <w14:ligatures w14:val="none"/>
        </w:rPr>
        <w:t xml:space="preserve"> (K</w:t>
      </w:r>
      <w:r w:rsidRPr="00012BBF">
        <w:rPr>
          <w:rFonts w:ascii="Cambria" w:eastAsia="Times New Roman" w:hAnsi="Cambria" w:cs="Cambria"/>
          <w:color w:val="000000" w:themeColor="text1"/>
          <w:kern w:val="0"/>
          <w:sz w:val="28"/>
          <w:szCs w:val="28"/>
          <w14:ligatures w14:val="none"/>
        </w:rPr>
        <w:t>å</w:t>
      </w:r>
      <w:r w:rsidRPr="00012BBF">
        <w:rPr>
          <w:rFonts w:ascii="Simplified Arabic" w:eastAsia="Times New Roman" w:hAnsi="Simplified Arabic" w:cs="Simplified Arabic"/>
          <w:color w:val="000000" w:themeColor="text1"/>
          <w:kern w:val="0"/>
          <w:sz w:val="28"/>
          <w:szCs w:val="28"/>
          <w14:ligatures w14:val="none"/>
        </w:rPr>
        <w:t>rtvedt, 2024).</w:t>
      </w:r>
    </w:p>
    <w:p w14:paraId="7F88F437"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وتتحدد جودة التنسيق مع الجهات الحكومية بعدة عوامل مترابطة، أبرزها نطاق أدوات التنسيق المتبناة ومدى شمولها، والبنية الهيكلية للحكومات ودرجة تخصصها، ومستوى الاعتماد المتبادل في المهام بين الوحدات التنظيمية. وقد أثبتت الدراسات أن الحكومات التي تتبنى مزيجًا هجينًا من أدوات التنسيق — يجمع بين التنسيق الهرمي والتفاوضي والشبكي</w:t>
      </w:r>
      <w:r w:rsidRPr="00012BBF">
        <w:rPr>
          <w:rFonts w:ascii="Simplified Arabic" w:eastAsia="Times New Roman" w:hAnsi="Simplified Arabic" w:cs="Simplified Arabic"/>
          <w:color w:val="000000" w:themeColor="text1"/>
          <w:kern w:val="0"/>
          <w:sz w:val="28"/>
          <w:szCs w:val="28"/>
          <w14:ligatures w14:val="none"/>
        </w:rPr>
        <w:t xml:space="preserve"> — </w:t>
      </w:r>
      <w:r w:rsidRPr="00012BBF">
        <w:rPr>
          <w:rFonts w:ascii="Simplified Arabic" w:eastAsia="Times New Roman" w:hAnsi="Simplified Arabic" w:cs="Simplified Arabic"/>
          <w:color w:val="000000" w:themeColor="text1"/>
          <w:kern w:val="0"/>
          <w:sz w:val="28"/>
          <w:szCs w:val="28"/>
          <w:rtl/>
          <w14:ligatures w14:val="none"/>
        </w:rPr>
        <w:t xml:space="preserve">تُحقق مستويات أعلى من جودة التنسيق المُدرَكة من قبل المديرين العموميين </w:t>
      </w:r>
      <w:r w:rsidRPr="00012BBF">
        <w:rPr>
          <w:rFonts w:ascii="Simplified Arabic" w:eastAsia="Times New Roman" w:hAnsi="Simplified Arabic" w:cs="Simplified Arabic"/>
          <w:color w:val="000000" w:themeColor="text1"/>
          <w:kern w:val="0"/>
          <w:sz w:val="28"/>
          <w:szCs w:val="28"/>
          <w14:ligatures w14:val="none"/>
        </w:rPr>
        <w:t>(K</w:t>
      </w:r>
      <w:r w:rsidRPr="00012BBF">
        <w:rPr>
          <w:rFonts w:ascii="Cambria" w:eastAsia="Times New Roman" w:hAnsi="Cambria" w:cs="Cambria"/>
          <w:color w:val="000000" w:themeColor="text1"/>
          <w:kern w:val="0"/>
          <w:sz w:val="28"/>
          <w:szCs w:val="28"/>
          <w14:ligatures w14:val="none"/>
        </w:rPr>
        <w:t>å</w:t>
      </w:r>
      <w:r w:rsidRPr="00012BBF">
        <w:rPr>
          <w:rFonts w:ascii="Simplified Arabic" w:eastAsia="Times New Roman" w:hAnsi="Simplified Arabic" w:cs="Simplified Arabic"/>
          <w:color w:val="000000" w:themeColor="text1"/>
          <w:kern w:val="0"/>
          <w:sz w:val="28"/>
          <w:szCs w:val="28"/>
          <w14:ligatures w14:val="none"/>
        </w:rPr>
        <w:t xml:space="preserve">rtvedt, 2024). </w:t>
      </w:r>
      <w:r w:rsidRPr="00012BBF">
        <w:rPr>
          <w:rFonts w:ascii="Simplified Arabic" w:eastAsia="Times New Roman" w:hAnsi="Simplified Arabic" w:cs="Simplified Arabic"/>
          <w:color w:val="000000" w:themeColor="text1"/>
          <w:kern w:val="0"/>
          <w:sz w:val="28"/>
          <w:szCs w:val="28"/>
          <w:rtl/>
          <w14:ligatures w14:val="none"/>
        </w:rPr>
        <w:t>كما أن نجاح التنسيق بين الوكالات الحكومية لا يعتمد على آلية واحدة بمفردها، وإنما يتطلب تكوينات محددة ومتكاملة من الآليات الرسمية وغير الرسمية</w:t>
      </w:r>
      <w:r w:rsidRPr="00012BBF">
        <w:rPr>
          <w:rFonts w:ascii="Simplified Arabic" w:eastAsia="Times New Roman" w:hAnsi="Simplified Arabic" w:cs="Simplified Arabic"/>
          <w:color w:val="000000" w:themeColor="text1"/>
          <w:kern w:val="0"/>
          <w:sz w:val="28"/>
          <w:szCs w:val="28"/>
          <w14:ligatures w14:val="none"/>
        </w:rPr>
        <w:t xml:space="preserve"> (Roberts &amp; Milman, 2024).</w:t>
      </w:r>
    </w:p>
    <w:p w14:paraId="440DDFC9"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 xml:space="preserve">وفي سياق هذه الدراسة، يتم تناول جودة التنسيق مع الجهات الحكومية من خلال أربعة أبعاد رئيسية: البُعد الأول هو وضوح الإجراءات التنظيمية، ويُشير إلى مدى شفافية ووضوح المتطلبات والإجراءات التنظيمية التي تفرضها الجهات الحكومية على شركات الطاقة وسهولة فهمها وتطبيقها. والبُعد الثاني هو </w:t>
      </w:r>
      <w:r w:rsidRPr="00012BBF">
        <w:rPr>
          <w:rFonts w:ascii="Simplified Arabic" w:eastAsia="Times New Roman" w:hAnsi="Simplified Arabic" w:cs="Simplified Arabic"/>
          <w:color w:val="000000" w:themeColor="text1"/>
          <w:kern w:val="0"/>
          <w:sz w:val="28"/>
          <w:szCs w:val="28"/>
          <w:rtl/>
          <w14:ligatures w14:val="none"/>
        </w:rPr>
        <w:lastRenderedPageBreak/>
        <w:t>فاعلية تبادل المعلومات، ويعكس مدى كفاءة قنوات الاتصال وأنظمة المعلومات المشتركة بين الشركات والجهات الحكومية في نقل البيانات والمستندات والقرارات بدقة وسرعة. والبُعد الثالث هو كفاءة المتابعة والاستجابة، ويقيس سرعة الجهات الحكومية في معالجة الطلبات والاستفسارات وإصدار التصاريح والموافقات ومستوى جودة الردود المقدمة. أما البُعد الرابع فهو التكامل بين الأنظمة والسياسات، ويُشير إلى مدى الاتساق والانسجام بين الأنظمة واللوائح والسياسات الصادرة عن الجهات الحكومية المتعددة التي تتعامل معها شركات الطاقة</w:t>
      </w:r>
      <w:r w:rsidRPr="00012BBF">
        <w:rPr>
          <w:rFonts w:ascii="Simplified Arabic" w:eastAsia="Times New Roman" w:hAnsi="Simplified Arabic" w:cs="Simplified Arabic"/>
          <w:color w:val="000000" w:themeColor="text1"/>
          <w:kern w:val="0"/>
          <w:sz w:val="28"/>
          <w:szCs w:val="28"/>
          <w14:ligatures w14:val="none"/>
        </w:rPr>
        <w:t xml:space="preserve"> (Judijanto et al., 2024; Syarien &amp; Samarah, 2023).</w:t>
      </w:r>
    </w:p>
    <w:p w14:paraId="634EFAF5" w14:textId="1E25BCC3" w:rsidR="00D253EF" w:rsidRPr="00012BBF" w:rsidRDefault="00D253EF" w:rsidP="00552D1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2965683"/>
      <w:r w:rsidRPr="00012BBF">
        <w:rPr>
          <w:rFonts w:ascii="Simplified Arabic" w:eastAsia="Times New Roman" w:hAnsi="Simplified Arabic" w:cs="Simplified Arabic"/>
          <w:b/>
          <w:bCs/>
          <w:color w:val="000000" w:themeColor="text1"/>
          <w:kern w:val="0"/>
          <w:sz w:val="32"/>
          <w:szCs w:val="32"/>
          <w:rtl/>
          <w14:ligatures w14:val="none"/>
        </w:rPr>
        <w:t>تجربة الموظف والاحتفاظ بالكفاءات</w:t>
      </w:r>
      <w:bookmarkEnd w:id="22"/>
    </w:p>
    <w:p w14:paraId="67FE7A25"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شهد مفهوم تجربة الموظف تطورًا ملحوظًا في أدبيات إدارة الموارد البشرية خلال العقد الأخير، حيث انتقل الاهتمام من مقاربات الرضا الوظيفي والارتباط الوظيفي التقليدية إلى مفهوم أشمل يتناول مجمل التفاعلات ونقاط التماس التي يمرّ بها الموظف طوال رحلته داخل المنظمة منذ لحظة الاستقطاب وحتى مغادرة المنظمة. ويُعرّف</w:t>
      </w:r>
      <w:r w:rsidRPr="00012BBF">
        <w:rPr>
          <w:rFonts w:ascii="Simplified Arabic" w:eastAsia="Times New Roman" w:hAnsi="Simplified Arabic" w:cs="Simplified Arabic"/>
          <w:color w:val="000000" w:themeColor="text1"/>
          <w:kern w:val="0"/>
          <w:sz w:val="28"/>
          <w:szCs w:val="28"/>
          <w14:ligatures w14:val="none"/>
        </w:rPr>
        <w:t xml:space="preserve"> Morgan (2017) </w:t>
      </w:r>
      <w:r w:rsidRPr="00012BBF">
        <w:rPr>
          <w:rFonts w:ascii="Simplified Arabic" w:eastAsia="Times New Roman" w:hAnsi="Simplified Arabic" w:cs="Simplified Arabic"/>
          <w:color w:val="000000" w:themeColor="text1"/>
          <w:kern w:val="0"/>
          <w:sz w:val="28"/>
          <w:szCs w:val="28"/>
          <w:rtl/>
          <w14:ligatures w14:val="none"/>
        </w:rPr>
        <w:t>تجربة الموظف بأنها حاصل التقاطع بين توقعات الموظف واحتياجاته ومتطلباته من جهة والتصميم التنظيمي المتعلق بتلبية هذه التوقعات والاحتياجات من جهة أخرى، وهي تنشأ من التفاعل المستمر بين الموظف والمنظمة عبر ثلاثة أبعاد: التجربة المادية والتجربة التكنولوجية والتجربة الثقافية</w:t>
      </w:r>
      <w:r w:rsidRPr="00012BBF">
        <w:rPr>
          <w:rFonts w:ascii="Simplified Arabic" w:eastAsia="Times New Roman" w:hAnsi="Simplified Arabic" w:cs="Simplified Arabic"/>
          <w:color w:val="000000" w:themeColor="text1"/>
          <w:kern w:val="0"/>
          <w:sz w:val="28"/>
          <w:szCs w:val="28"/>
          <w14:ligatures w14:val="none"/>
        </w:rPr>
        <w:t xml:space="preserve"> (Lee &amp; Kim, 2023).</w:t>
      </w:r>
    </w:p>
    <w:p w14:paraId="28A0C1EC"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وتتصل التجربة المادية ببيئة العمل الفعلية التي يعمل فيها الموظف من حيث المساحات والمرافق والتجهيزات والإضاءة والتصميم المريح، بينما تتصل التجربة التكنولوجية بالموارد والأدوات التقنية المتاحة للموظف لأداء مهامه بكفاءة، أما التجربة الثقافية فتتعلق بالقيم والمعتقدات والمعايير التنظيمية التي تُشكّل المناخ العام وتشمل جودة العلاقات بين الزملاء والمديرين ومستوى الاستقلالية الممنوحة ودرجة التقدير والاعتراف (حسن، 2024). وقد أكدت الدراسات أن إدارة تجربة الموظف تُعدّ مدخلًا استراتيجيًا لتحقيق السعادة المؤسسية وتعزيز جودة الحياة الوظيفية، لا سيما حين تُصمَّم استراتيجيات إدارة التجربة في ضوء الخبرات العالمية المعاصرة وتُراعي خصوصية السياق المؤسسي (القحطاني، 2025)</w:t>
      </w:r>
      <w:r w:rsidRPr="00012BBF">
        <w:rPr>
          <w:rFonts w:ascii="Simplified Arabic" w:eastAsia="Times New Roman" w:hAnsi="Simplified Arabic" w:cs="Simplified Arabic"/>
          <w:color w:val="000000" w:themeColor="text1"/>
          <w:kern w:val="0"/>
          <w:sz w:val="28"/>
          <w:szCs w:val="28"/>
          <w14:ligatures w14:val="none"/>
        </w:rPr>
        <w:t>.</w:t>
      </w:r>
    </w:p>
    <w:p w14:paraId="3A3C4477"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 xml:space="preserve">أما فيما يخص الاحتفاظ بالكفاءات، فهو يُشير إلى قدرة المنظمة على الإبقاء على موظفيها المتميزين وتقليل معدلات دوران العمالة غير المرغوب فيه. وترتبط تجربة الموظف ارتباطًا وثيقًا بالاحتفاظ بالكفاءات، إذ أن الموظفين الذين يعيشون تجربة إيجابية في بيئة عملهم يُظهرون مستويات أعلى من الالتزام التنظيمي </w:t>
      </w:r>
      <w:r w:rsidRPr="00012BBF">
        <w:rPr>
          <w:rFonts w:ascii="Simplified Arabic" w:eastAsia="Times New Roman" w:hAnsi="Simplified Arabic" w:cs="Simplified Arabic"/>
          <w:color w:val="000000" w:themeColor="text1"/>
          <w:kern w:val="0"/>
          <w:sz w:val="28"/>
          <w:szCs w:val="28"/>
          <w:rtl/>
          <w14:ligatures w14:val="none"/>
        </w:rPr>
        <w:lastRenderedPageBreak/>
        <w:t>والرضا الوظيفي والرفاهية النفسية، وهو ما يُقلّل من نيّتهم في ترك المنظمة. وقد أثبتت الدراسات أن تجربة الموظف تؤثر إيجابيًا في الالتزام التنظيمي من خلال الرضا الوظيفي والرفاهية النفسية كمتغيرات وسيطة</w:t>
      </w:r>
      <w:r w:rsidRPr="00012BBF">
        <w:rPr>
          <w:rFonts w:ascii="Simplified Arabic" w:eastAsia="Times New Roman" w:hAnsi="Simplified Arabic" w:cs="Simplified Arabic"/>
          <w:color w:val="000000" w:themeColor="text1"/>
          <w:kern w:val="0"/>
          <w:sz w:val="28"/>
          <w:szCs w:val="28"/>
          <w14:ligatures w14:val="none"/>
        </w:rPr>
        <w:t xml:space="preserve"> (Lee &amp; Kim, 2023)</w:t>
      </w:r>
      <w:r w:rsidRPr="00012BBF">
        <w:rPr>
          <w:rFonts w:ascii="Simplified Arabic" w:eastAsia="Times New Roman" w:hAnsi="Simplified Arabic" w:cs="Simplified Arabic"/>
          <w:color w:val="000000" w:themeColor="text1"/>
          <w:kern w:val="0"/>
          <w:sz w:val="28"/>
          <w:szCs w:val="28"/>
          <w:rtl/>
          <w14:ligatures w14:val="none"/>
        </w:rPr>
        <w:t>، كما أن المنظمات التي تُولي اهتمامًا بتجربة الموظف تُحقق معدلات دوران أقل ومستويات إنتاجية أعلى وابتكارًا أكثر تكرارًا</w:t>
      </w:r>
      <w:r w:rsidRPr="00012BBF">
        <w:rPr>
          <w:rFonts w:ascii="Simplified Arabic" w:eastAsia="Times New Roman" w:hAnsi="Simplified Arabic" w:cs="Simplified Arabic"/>
          <w:color w:val="000000" w:themeColor="text1"/>
          <w:kern w:val="0"/>
          <w:sz w:val="28"/>
          <w:szCs w:val="28"/>
          <w14:ligatures w14:val="none"/>
        </w:rPr>
        <w:t xml:space="preserve"> (Kimonyo, 2024).</w:t>
      </w:r>
    </w:p>
    <w:p w14:paraId="351B58E1"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وتتعاظم أهمية الاحتفاظ بالكفاءات في بيئات العمل عالية المخاطر كقطاع الطاقة، حيث يتطلب هذا القطاع خبرات فنية متخصصة ومهارات نادرة يصعب تعويضها في سوق العمل، كما أن فقدان الكفاءات يُشكّل تهديدًا مباشرًا للسلامة التشغيلية والاستمرارية المؤسسية. ويتأثر قرار الموظف بالبقاء أو المغادرة بعوامل متعددة تتجاوز الحوافز المادية لتشمل عوامل مؤسسية وتنظيمية، من بينها التقدير والعدالة والقيادة وعبء العمل</w:t>
      </w:r>
      <w:r w:rsidRPr="00012BBF">
        <w:rPr>
          <w:rFonts w:ascii="Simplified Arabic" w:eastAsia="Times New Roman" w:hAnsi="Simplified Arabic" w:cs="Simplified Arabic"/>
          <w:color w:val="000000" w:themeColor="text1"/>
          <w:kern w:val="0"/>
          <w:sz w:val="28"/>
          <w:szCs w:val="28"/>
          <w14:ligatures w14:val="none"/>
        </w:rPr>
        <w:t xml:space="preserve"> (Jo &amp; Shin, 2025)</w:t>
      </w:r>
      <w:r w:rsidRPr="00012BBF">
        <w:rPr>
          <w:rFonts w:ascii="Simplified Arabic" w:eastAsia="Times New Roman" w:hAnsi="Simplified Arabic" w:cs="Simplified Arabic"/>
          <w:color w:val="000000" w:themeColor="text1"/>
          <w:kern w:val="0"/>
          <w:sz w:val="28"/>
          <w:szCs w:val="28"/>
          <w:rtl/>
          <w14:ligatures w14:val="none"/>
        </w:rPr>
        <w:t>، فضلًا عن العوامل البيئية المحيطة التي تُشكّل السياق الخارجي لتجربة الموظف كجودة التنسيق مع الجهات الحكومية</w:t>
      </w:r>
      <w:r w:rsidRPr="00012BBF">
        <w:rPr>
          <w:rFonts w:ascii="Simplified Arabic" w:eastAsia="Times New Roman" w:hAnsi="Simplified Arabic" w:cs="Simplified Arabic"/>
          <w:color w:val="000000" w:themeColor="text1"/>
          <w:kern w:val="0"/>
          <w:sz w:val="28"/>
          <w:szCs w:val="28"/>
          <w14:ligatures w14:val="none"/>
        </w:rPr>
        <w:t>.</w:t>
      </w:r>
    </w:p>
    <w:p w14:paraId="5F40AE1F" w14:textId="1557B252" w:rsidR="00552D1D" w:rsidRPr="00012BBF" w:rsidRDefault="00552D1D"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12BBF">
        <w:rPr>
          <w:rFonts w:ascii="Simplified Arabic" w:eastAsia="Times New Roman" w:hAnsi="Simplified Arabic" w:cs="Simplified Arabic"/>
          <w:b/>
          <w:bCs/>
          <w:color w:val="000000" w:themeColor="text1"/>
          <w:kern w:val="0"/>
          <w:sz w:val="32"/>
          <w:szCs w:val="32"/>
          <w:rtl/>
          <w14:ligatures w14:val="none"/>
        </w:rPr>
        <w:t>ثانيًا: مصطلحات الدراسة</w:t>
      </w:r>
    </w:p>
    <w:p w14:paraId="543CBFDF"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جودة التنسيق مع الجهات الحكومية</w:t>
      </w:r>
      <w:r w:rsidRPr="00012BBF">
        <w:rPr>
          <w:rFonts w:ascii="Simplified Arabic" w:eastAsia="Times New Roman" w:hAnsi="Simplified Arabic" w:cs="Simplified Arabic"/>
          <w:color w:val="000000" w:themeColor="text1"/>
          <w:kern w:val="0"/>
          <w:sz w:val="28"/>
          <w:szCs w:val="28"/>
          <w14:ligatures w14:val="none"/>
        </w:rPr>
        <w:t xml:space="preserve"> (Quality of Coordination with Government Agencies): </w:t>
      </w:r>
      <w:r w:rsidRPr="00012BBF">
        <w:rPr>
          <w:rFonts w:ascii="Simplified Arabic" w:eastAsia="Times New Roman" w:hAnsi="Simplified Arabic" w:cs="Simplified Arabic"/>
          <w:color w:val="000000" w:themeColor="text1"/>
          <w:kern w:val="0"/>
          <w:sz w:val="28"/>
          <w:szCs w:val="28"/>
          <w:rtl/>
          <w14:ligatures w14:val="none"/>
        </w:rPr>
        <w:t>تُعرَّف إجرائيًا في هذه الدراسة بأنها الدرجة التي تتحقق عندها الفاعلية والكفاءة في التفاعل الإداري والتنظيمي بين شركات الطاقة في مدينة الدمام والجهات الحكومية ذات العلاقة، وتُقاس من خلال أربعة أبعاد هي وضوح الإجراءات التنظيمية وفاعلية تبادل المعلومات وكفاءة المتابعة والاستجابة والتكامل بين الأنظمة والسياسات، وذلك وفقًا لاستجابات أفراد عينة الدراسة على فقرات الاستبانة المُعدّة لهذا الغرض</w:t>
      </w:r>
      <w:r w:rsidRPr="00012BBF">
        <w:rPr>
          <w:rFonts w:ascii="Simplified Arabic" w:eastAsia="Times New Roman" w:hAnsi="Simplified Arabic" w:cs="Simplified Arabic"/>
          <w:color w:val="000000" w:themeColor="text1"/>
          <w:kern w:val="0"/>
          <w:sz w:val="28"/>
          <w:szCs w:val="28"/>
          <w14:ligatures w14:val="none"/>
        </w:rPr>
        <w:t>.</w:t>
      </w:r>
    </w:p>
    <w:p w14:paraId="3999A142"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وضوح الإجراءات التنظيمية</w:t>
      </w:r>
      <w:r w:rsidRPr="00012BBF">
        <w:rPr>
          <w:rFonts w:ascii="Simplified Arabic" w:eastAsia="Times New Roman" w:hAnsi="Simplified Arabic" w:cs="Simplified Arabic"/>
          <w:color w:val="000000" w:themeColor="text1"/>
          <w:kern w:val="0"/>
          <w:sz w:val="28"/>
          <w:szCs w:val="28"/>
          <w14:ligatures w14:val="none"/>
        </w:rPr>
        <w:t xml:space="preserve"> (Clarity of Regulatory Procedures): </w:t>
      </w:r>
      <w:r w:rsidRPr="00012BBF">
        <w:rPr>
          <w:rFonts w:ascii="Simplified Arabic" w:eastAsia="Times New Roman" w:hAnsi="Simplified Arabic" w:cs="Simplified Arabic"/>
          <w:color w:val="000000" w:themeColor="text1"/>
          <w:kern w:val="0"/>
          <w:sz w:val="28"/>
          <w:szCs w:val="28"/>
          <w:rtl/>
          <w14:ligatures w14:val="none"/>
        </w:rPr>
        <w:t>يُعرَّف إجرائيًا بأنه مدى شفافية المتطلبات والإجراءات التنظيمية التي تفرضها الجهات الحكومية على شركات الطاقة ووضوحها وسهولة فهمها وتطبيقها، بما يُمكّن العاملين من الامتثال لها دون غموض أو لبس، ويُقاس بالدرجة التي يحصل عليها أفراد العينة على فقرات هذا البُعد في الاستبانة</w:t>
      </w:r>
      <w:r w:rsidRPr="00012BBF">
        <w:rPr>
          <w:rFonts w:ascii="Simplified Arabic" w:eastAsia="Times New Roman" w:hAnsi="Simplified Arabic" w:cs="Simplified Arabic"/>
          <w:color w:val="000000" w:themeColor="text1"/>
          <w:kern w:val="0"/>
          <w:sz w:val="28"/>
          <w:szCs w:val="28"/>
          <w14:ligatures w14:val="none"/>
        </w:rPr>
        <w:t>.</w:t>
      </w:r>
    </w:p>
    <w:p w14:paraId="55CC333F"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فاعلية تبادل المعلومات</w:t>
      </w:r>
      <w:r w:rsidRPr="00012BBF">
        <w:rPr>
          <w:rFonts w:ascii="Simplified Arabic" w:eastAsia="Times New Roman" w:hAnsi="Simplified Arabic" w:cs="Simplified Arabic"/>
          <w:color w:val="000000" w:themeColor="text1"/>
          <w:kern w:val="0"/>
          <w:sz w:val="28"/>
          <w:szCs w:val="28"/>
          <w14:ligatures w14:val="none"/>
        </w:rPr>
        <w:t xml:space="preserve"> (Effectiveness of Information Exchange): </w:t>
      </w:r>
      <w:r w:rsidRPr="00012BBF">
        <w:rPr>
          <w:rFonts w:ascii="Simplified Arabic" w:eastAsia="Times New Roman" w:hAnsi="Simplified Arabic" w:cs="Simplified Arabic"/>
          <w:color w:val="000000" w:themeColor="text1"/>
          <w:kern w:val="0"/>
          <w:sz w:val="28"/>
          <w:szCs w:val="28"/>
          <w:rtl/>
          <w14:ligatures w14:val="none"/>
        </w:rPr>
        <w:t>تُعرَّف إجرائيًا بأنها مدى كفاءة قنوات الاتصال وأنظمة المعلومات في نقل البيانات والمستندات والقرارات بين شركات الطاقة والجهات الحكومية بدقة وسرعة وموثوقية، وتُقاس بالدرجة التي يحصل عليها أفراد العينة على فقرات هذا البُعد في الاستبانة</w:t>
      </w:r>
      <w:r w:rsidRPr="00012BBF">
        <w:rPr>
          <w:rFonts w:ascii="Simplified Arabic" w:eastAsia="Times New Roman" w:hAnsi="Simplified Arabic" w:cs="Simplified Arabic"/>
          <w:color w:val="000000" w:themeColor="text1"/>
          <w:kern w:val="0"/>
          <w:sz w:val="28"/>
          <w:szCs w:val="28"/>
          <w14:ligatures w14:val="none"/>
        </w:rPr>
        <w:t>.</w:t>
      </w:r>
    </w:p>
    <w:p w14:paraId="15D6E2AA"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lastRenderedPageBreak/>
        <w:t>كفاءة المتابعة والاستجابة</w:t>
      </w:r>
      <w:r w:rsidRPr="00012BBF">
        <w:rPr>
          <w:rFonts w:ascii="Simplified Arabic" w:eastAsia="Times New Roman" w:hAnsi="Simplified Arabic" w:cs="Simplified Arabic"/>
          <w:color w:val="000000" w:themeColor="text1"/>
          <w:kern w:val="0"/>
          <w:sz w:val="28"/>
          <w:szCs w:val="28"/>
          <w14:ligatures w14:val="none"/>
        </w:rPr>
        <w:t xml:space="preserve"> (Efficiency of Follow-up and Response): </w:t>
      </w:r>
      <w:r w:rsidRPr="00012BBF">
        <w:rPr>
          <w:rFonts w:ascii="Simplified Arabic" w:eastAsia="Times New Roman" w:hAnsi="Simplified Arabic" w:cs="Simplified Arabic"/>
          <w:color w:val="000000" w:themeColor="text1"/>
          <w:kern w:val="0"/>
          <w:sz w:val="28"/>
          <w:szCs w:val="28"/>
          <w:rtl/>
          <w14:ligatures w14:val="none"/>
        </w:rPr>
        <w:t>تُعرَّف إجرائيًا بأنها سرعة الجهات الحكومية في معالجة الطلبات والاستفسارات المقدمة من شركات الطاقة وإصدار التصاريح والموافقات اللازمة، ومستوى جودة الردود والحلول المقدمة، وتُقاس بالدرجة التي يحصل عليها أفراد العينة على فقرات هذا البُعد في الاستبانة</w:t>
      </w:r>
      <w:r w:rsidRPr="00012BBF">
        <w:rPr>
          <w:rFonts w:ascii="Simplified Arabic" w:eastAsia="Times New Roman" w:hAnsi="Simplified Arabic" w:cs="Simplified Arabic"/>
          <w:color w:val="000000" w:themeColor="text1"/>
          <w:kern w:val="0"/>
          <w:sz w:val="28"/>
          <w:szCs w:val="28"/>
          <w14:ligatures w14:val="none"/>
        </w:rPr>
        <w:t>.</w:t>
      </w:r>
    </w:p>
    <w:p w14:paraId="6FC24103"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التكامل بين الأنظمة والسياسات</w:t>
      </w:r>
      <w:r w:rsidRPr="00012BBF">
        <w:rPr>
          <w:rFonts w:ascii="Simplified Arabic" w:eastAsia="Times New Roman" w:hAnsi="Simplified Arabic" w:cs="Simplified Arabic"/>
          <w:color w:val="000000" w:themeColor="text1"/>
          <w:kern w:val="0"/>
          <w:sz w:val="28"/>
          <w:szCs w:val="28"/>
          <w14:ligatures w14:val="none"/>
        </w:rPr>
        <w:t xml:space="preserve"> (Integration of Systems and Policies): </w:t>
      </w:r>
      <w:r w:rsidRPr="00012BBF">
        <w:rPr>
          <w:rFonts w:ascii="Simplified Arabic" w:eastAsia="Times New Roman" w:hAnsi="Simplified Arabic" w:cs="Simplified Arabic"/>
          <w:color w:val="000000" w:themeColor="text1"/>
          <w:kern w:val="0"/>
          <w:sz w:val="28"/>
          <w:szCs w:val="28"/>
          <w:rtl/>
          <w14:ligatures w14:val="none"/>
        </w:rPr>
        <w:t>يُعرَّف إجرائيًا بأنه مدى الاتساق والانسجام بين الأنظمة واللوائح والسياسات الصادرة عن الجهات الحكومية المتعددة التي تتعامل معها شركات الطاقة، بحيث لا يحدث تعارض أو تناقض يُعيق العمليات التشغيلية، ويُقاس بالدرجة التي يحصل عليها أفراد العينة على فقرات هذا البُعد في الاستبانة</w:t>
      </w:r>
      <w:r w:rsidRPr="00012BBF">
        <w:rPr>
          <w:rFonts w:ascii="Simplified Arabic" w:eastAsia="Times New Roman" w:hAnsi="Simplified Arabic" w:cs="Simplified Arabic"/>
          <w:color w:val="000000" w:themeColor="text1"/>
          <w:kern w:val="0"/>
          <w:sz w:val="28"/>
          <w:szCs w:val="28"/>
          <w14:ligatures w14:val="none"/>
        </w:rPr>
        <w:t>.</w:t>
      </w:r>
    </w:p>
    <w:p w14:paraId="0A450535"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تجربة الموظف</w:t>
      </w:r>
      <w:r w:rsidRPr="00012BBF">
        <w:rPr>
          <w:rFonts w:ascii="Simplified Arabic" w:eastAsia="Times New Roman" w:hAnsi="Simplified Arabic" w:cs="Simplified Arabic"/>
          <w:color w:val="000000" w:themeColor="text1"/>
          <w:kern w:val="0"/>
          <w:sz w:val="28"/>
          <w:szCs w:val="28"/>
          <w14:ligatures w14:val="none"/>
        </w:rPr>
        <w:t xml:space="preserve"> (Employee Experience): </w:t>
      </w:r>
      <w:r w:rsidRPr="00012BBF">
        <w:rPr>
          <w:rFonts w:ascii="Simplified Arabic" w:eastAsia="Times New Roman" w:hAnsi="Simplified Arabic" w:cs="Simplified Arabic"/>
          <w:color w:val="000000" w:themeColor="text1"/>
          <w:kern w:val="0"/>
          <w:sz w:val="28"/>
          <w:szCs w:val="28"/>
          <w:rtl/>
          <w14:ligatures w14:val="none"/>
        </w:rPr>
        <w:t>تُعرَّف إجرائيًا بأنها مجمل التفاعلات والانطباعات والإدراكات التي يُكوّنها الموظف العامل في شركات الطاقة بمدينة الدمام نتيجة تعامله مع بيئة العمل الداخلية والخارجية، بما يشمل البيئة المادية والتكنولوجية والثقافية والإجراءات المرتبطة بالتنسيق الحكومي، وتُقاس بالدرجة التي يحصل عليها أفراد العينة على فقرات محور تجربة الموظف في الاستبانة</w:t>
      </w:r>
      <w:r w:rsidRPr="00012BBF">
        <w:rPr>
          <w:rFonts w:ascii="Simplified Arabic" w:eastAsia="Times New Roman" w:hAnsi="Simplified Arabic" w:cs="Simplified Arabic"/>
          <w:color w:val="000000" w:themeColor="text1"/>
          <w:kern w:val="0"/>
          <w:sz w:val="28"/>
          <w:szCs w:val="28"/>
          <w14:ligatures w14:val="none"/>
        </w:rPr>
        <w:t>.</w:t>
      </w:r>
    </w:p>
    <w:p w14:paraId="14E57223"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الاحتفاظ بالكفاءات</w:t>
      </w:r>
      <w:r w:rsidRPr="00012BBF">
        <w:rPr>
          <w:rFonts w:ascii="Simplified Arabic" w:eastAsia="Times New Roman" w:hAnsi="Simplified Arabic" w:cs="Simplified Arabic"/>
          <w:color w:val="000000" w:themeColor="text1"/>
          <w:kern w:val="0"/>
          <w:sz w:val="28"/>
          <w:szCs w:val="28"/>
          <w14:ligatures w14:val="none"/>
        </w:rPr>
        <w:t xml:space="preserve"> (Talent Retention): </w:t>
      </w:r>
      <w:r w:rsidRPr="00012BBF">
        <w:rPr>
          <w:rFonts w:ascii="Simplified Arabic" w:eastAsia="Times New Roman" w:hAnsi="Simplified Arabic" w:cs="Simplified Arabic"/>
          <w:color w:val="000000" w:themeColor="text1"/>
          <w:kern w:val="0"/>
          <w:sz w:val="28"/>
          <w:szCs w:val="28"/>
          <w:rtl/>
          <w14:ligatures w14:val="none"/>
        </w:rPr>
        <w:t>يُعرَّف إجرائيًا بأنه قدرة شركات الطاقة في مدينة الدمام على الإبقاء على موظفيها المتميزين ذوي الخبرات والمهارات المتخصصة وتقليل معدلات دوران العمالة غير المرغوب فيه، ويُقاس بالدرجة التي يحصل عليها أفراد العينة على الفقرات المتعلقة بنية البقاء والالتزام التنظيمي في محور تجربة الموظف والاحتفاظ بالكفاءات في الاستبانة</w:t>
      </w:r>
      <w:r w:rsidRPr="00012BBF">
        <w:rPr>
          <w:rFonts w:ascii="Simplified Arabic" w:eastAsia="Times New Roman" w:hAnsi="Simplified Arabic" w:cs="Simplified Arabic"/>
          <w:color w:val="000000" w:themeColor="text1"/>
          <w:kern w:val="0"/>
          <w:sz w:val="28"/>
          <w:szCs w:val="28"/>
          <w14:ligatures w14:val="none"/>
        </w:rPr>
        <w:t>.</w:t>
      </w:r>
    </w:p>
    <w:p w14:paraId="41585ED0"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بيئات العمل عالية المخاطر</w:t>
      </w:r>
      <w:r w:rsidRPr="00012BBF">
        <w:rPr>
          <w:rFonts w:ascii="Simplified Arabic" w:eastAsia="Times New Roman" w:hAnsi="Simplified Arabic" w:cs="Simplified Arabic"/>
          <w:color w:val="000000" w:themeColor="text1"/>
          <w:kern w:val="0"/>
          <w:sz w:val="28"/>
          <w:szCs w:val="28"/>
          <w14:ligatures w14:val="none"/>
        </w:rPr>
        <w:t xml:space="preserve"> (High-Risk Work Environments): </w:t>
      </w:r>
      <w:r w:rsidRPr="00012BBF">
        <w:rPr>
          <w:rFonts w:ascii="Simplified Arabic" w:eastAsia="Times New Roman" w:hAnsi="Simplified Arabic" w:cs="Simplified Arabic"/>
          <w:color w:val="000000" w:themeColor="text1"/>
          <w:kern w:val="0"/>
          <w:sz w:val="28"/>
          <w:szCs w:val="28"/>
          <w:rtl/>
          <w14:ligatures w14:val="none"/>
        </w:rPr>
        <w:t>تُعرَّف إجرائيًا بأنها بيئات العمل التي تتسم بوجود مخاطر تشغيلية وصحية وبيئية وأمنية مرتفعة نتيجة طبيعة الأنشطة المُمارَسة، كما هو الحال في قطاع الطاقة (النفط والغاز والبتروكيماويات والطاقة المتجددة)، والتي تتطلب مستوى عاليًا من الالتزام بمعايير السلامة والامتثال للأنظمة والتنسيق المستمر مع الجهات الحكومية الرقابية</w:t>
      </w:r>
      <w:r w:rsidRPr="00012BBF">
        <w:rPr>
          <w:rFonts w:ascii="Simplified Arabic" w:eastAsia="Times New Roman" w:hAnsi="Simplified Arabic" w:cs="Simplified Arabic"/>
          <w:color w:val="000000" w:themeColor="text1"/>
          <w:kern w:val="0"/>
          <w:sz w:val="28"/>
          <w:szCs w:val="28"/>
          <w14:ligatures w14:val="none"/>
        </w:rPr>
        <w:t>.</w:t>
      </w:r>
    </w:p>
    <w:p w14:paraId="50BD82E9" w14:textId="0E9C036E" w:rsidR="00801016" w:rsidRPr="00012BBF" w:rsidRDefault="00552D1D" w:rsidP="00552D1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3" w:name="_Toc233239786"/>
      <w:r w:rsidRPr="00012BBF">
        <w:rPr>
          <w:rFonts w:ascii="Simplified Arabic" w:hAnsi="Simplified Arabic" w:cs="Simplified Arabic"/>
          <w:b/>
          <w:bCs/>
          <w:color w:val="000000" w:themeColor="text1"/>
          <w:sz w:val="36"/>
          <w:szCs w:val="36"/>
          <w:rtl/>
        </w:rPr>
        <w:t>10.1 المنهجية وطرق البحث:</w:t>
      </w:r>
      <w:bookmarkEnd w:id="23"/>
    </w:p>
    <w:bookmarkEnd w:id="20"/>
    <w:p w14:paraId="3E69D822" w14:textId="4BB37D60" w:rsidR="00D253EF" w:rsidRPr="00012BBF" w:rsidRDefault="00D253EF" w:rsidP="00552D1D">
      <w:pPr>
        <w:pStyle w:val="NormalWeb"/>
        <w:bidi/>
        <w:spacing w:line="276" w:lineRule="auto"/>
        <w:ind w:firstLine="424"/>
        <w:jc w:val="both"/>
        <w:rPr>
          <w:rFonts w:ascii="Simplified Arabic" w:hAnsi="Simplified Arabic" w:cs="Simplified Arabic"/>
          <w:color w:val="000000" w:themeColor="text1"/>
          <w:sz w:val="28"/>
          <w:szCs w:val="28"/>
        </w:rPr>
      </w:pPr>
      <w:r w:rsidRPr="00012BBF">
        <w:rPr>
          <w:rFonts w:ascii="Simplified Arabic" w:hAnsi="Simplified Arabic" w:cs="Simplified Arabic"/>
          <w:color w:val="000000" w:themeColor="text1"/>
          <w:sz w:val="28"/>
          <w:szCs w:val="28"/>
          <w:rtl/>
        </w:rPr>
        <w:t xml:space="preserve">ستعتمد هذه الدراسة على المنهج الوصفي التحليلي بوصفه المنهج الأكثر ملاءمة لطبيعة الدراسة وأهدافها، إذ يُتيح وصف الظاهرة محل الدراسة — أثر جودة التنسيق مع الجهات الحكومية على تجربة </w:t>
      </w:r>
      <w:r w:rsidRPr="00012BBF">
        <w:rPr>
          <w:rFonts w:ascii="Simplified Arabic" w:hAnsi="Simplified Arabic" w:cs="Simplified Arabic"/>
          <w:color w:val="000000" w:themeColor="text1"/>
          <w:sz w:val="28"/>
          <w:szCs w:val="28"/>
          <w:rtl/>
        </w:rPr>
        <w:lastRenderedPageBreak/>
        <w:t>الموظف والاحتفاظ بالكفاءات — وصفًا دقيقًا وتحليلها كمّيًا من خلال جمع البيانات الميدانية من العاملين في شركات الطاقة بمدينة الدمام. وسيُمكّن هذا المنهج الباحث من رصد مستوى جودة التنسيق مع الجهات الحكومية ومستوى تجربة الموظف والاحتفاظ بالكفاءات، فضلًا عن تحديد طبيعة العلاقة واتجاهها وقوتها بين المتغير المستقل والمتغير التابع</w:t>
      </w:r>
      <w:r w:rsidRPr="00012BBF">
        <w:rPr>
          <w:rFonts w:ascii="Simplified Arabic" w:hAnsi="Simplified Arabic" w:cs="Simplified Arabic"/>
          <w:color w:val="000000" w:themeColor="text1"/>
          <w:sz w:val="28"/>
          <w:szCs w:val="28"/>
        </w:rPr>
        <w:t>.</w:t>
      </w:r>
    </w:p>
    <w:p w14:paraId="7D956BFC"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وسيتم تطبيق هذا المنهج من خلال شقّين: الأول نظري يستعرض الأدبيات والدراسات السابقة ذات الصلة بمتغيرات الدراسة بالاستناد إلى المصادر الثانوية من الكتب والدوريات العلمية والرسائل الجامعية وقواعد البيانات الإلكترونية، والثاني ميداني يعتمد على تصميم استبانة محكّمة كأداة رئيسية لجمع البيانات الأولية من أفراد عينة الدراسة، ومن ثم تحليلها باستخدام الأساليب الإحصائية المناسبة للوصول إلى نتائج قابلة للتعميم واختبار فروض الدراسة واستخلاص التوصيات العملية</w:t>
      </w:r>
      <w:r w:rsidRPr="00012BBF">
        <w:rPr>
          <w:rFonts w:ascii="Simplified Arabic" w:eastAsia="Times New Roman" w:hAnsi="Simplified Arabic" w:cs="Simplified Arabic"/>
          <w:color w:val="000000" w:themeColor="text1"/>
          <w:kern w:val="0"/>
          <w:sz w:val="28"/>
          <w:szCs w:val="28"/>
          <w14:ligatures w14:val="none"/>
        </w:rPr>
        <w:t>.</w:t>
      </w:r>
    </w:p>
    <w:p w14:paraId="395D5E77" w14:textId="209035C4" w:rsidR="00552D1D" w:rsidRPr="00012BBF" w:rsidRDefault="00552D1D" w:rsidP="00552D1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4" w:name="_Toc233239787"/>
      <w:r w:rsidRPr="00012BBF">
        <w:rPr>
          <w:rFonts w:ascii="Simplified Arabic" w:eastAsia="Times New Roman" w:hAnsi="Simplified Arabic" w:cs="Simplified Arabic"/>
          <w:b/>
          <w:bCs/>
          <w:color w:val="000000" w:themeColor="text1"/>
          <w:kern w:val="0"/>
          <w:sz w:val="36"/>
          <w:szCs w:val="36"/>
          <w:rtl/>
          <w14:ligatures w14:val="none"/>
        </w:rPr>
        <w:t>11.1 مجتمع وعينة الدراسة</w:t>
      </w:r>
      <w:bookmarkEnd w:id="24"/>
    </w:p>
    <w:p w14:paraId="269EDB2B"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شركات الطاقة الكبرى العاملة في مدينة الدمام بالمنطقة الشرقية بالمملكة العربية السعودية، والتي تشمل شركات النفط والغاز والبتروكيماويات والطاقة المتجددة الخاضعة لتنسيق مباشر ومستمر مع جهات حكومية متعددة كوزارة الطاقة ووزارة الموارد البشرية والتنمية الاجتماعية والهيئة العامة للصناعة والثروة المعدنية وهيئة الزكاة والضريبة والجمارك وغيرها. ويُقدّر حجم المجتمع الكلي بنحو (5,000) موظف وموظفة يعملون في المستويات الإدارية والتشغيلية المختلفة بهذه الشركات، ممن لديهم تفاعل مباشر أو غير مباشر مع إجراءات التنسيق الحكومي</w:t>
      </w:r>
      <w:r w:rsidRPr="00012BBF">
        <w:rPr>
          <w:rFonts w:ascii="Simplified Arabic" w:eastAsia="Times New Roman" w:hAnsi="Simplified Arabic" w:cs="Simplified Arabic"/>
          <w:color w:val="000000" w:themeColor="text1"/>
          <w:kern w:val="0"/>
          <w:sz w:val="28"/>
          <w:szCs w:val="28"/>
          <w14:ligatures w14:val="none"/>
        </w:rPr>
        <w:t>.</w:t>
      </w:r>
    </w:p>
    <w:p w14:paraId="374ABC57"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وستعتمد الدراسة على أسلوب العينة العشوائية الطبقية لضمان تمثيل المستويات الوظيفية المختلفة (الإدارة العليا، الإدارة الوسطى، المستوى التشغيلي) تمثيلًا متناسبًا مع حجمها في المجتمع الأصلي</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وسيتم تحديد الحد الأدنى لحجم العينة وفقًا لمعادلة ستيفن ثامبسون</w:t>
      </w:r>
      <w:r w:rsidRPr="00012BBF">
        <w:rPr>
          <w:rFonts w:ascii="Simplified Arabic" w:eastAsia="Times New Roman" w:hAnsi="Simplified Arabic" w:cs="Simplified Arabic"/>
          <w:color w:val="000000" w:themeColor="text1"/>
          <w:kern w:val="0"/>
          <w:sz w:val="28"/>
          <w:szCs w:val="28"/>
          <w14:ligatures w14:val="none"/>
        </w:rPr>
        <w:t xml:space="preserve"> (Stephen Thompson) </w:t>
      </w:r>
      <w:r w:rsidRPr="00012BBF">
        <w:rPr>
          <w:rFonts w:ascii="Simplified Arabic" w:eastAsia="Times New Roman" w:hAnsi="Simplified Arabic" w:cs="Simplified Arabic"/>
          <w:color w:val="000000" w:themeColor="text1"/>
          <w:kern w:val="0"/>
          <w:sz w:val="28"/>
          <w:szCs w:val="28"/>
          <w:rtl/>
          <w14:ligatures w14:val="none"/>
        </w:rPr>
        <w:t xml:space="preserve">عند مستوى ثقة (95%) وحدّ خطأ مقبول (5%)، وهو ما يُقدّر بنحو </w:t>
      </w:r>
      <w:r w:rsidRPr="00012BBF">
        <w:rPr>
          <w:rFonts w:ascii="Simplified Arabic" w:eastAsia="Times New Roman" w:hAnsi="Simplified Arabic" w:cs="Simplified Arabic"/>
          <w:color w:val="000000" w:themeColor="text1"/>
          <w:kern w:val="0"/>
          <w:sz w:val="28"/>
          <w:szCs w:val="28"/>
          <w14:ligatures w14:val="none"/>
        </w:rPr>
        <w:t xml:space="preserve">(357) </w:t>
      </w:r>
      <w:r w:rsidRPr="00012BBF">
        <w:rPr>
          <w:rFonts w:ascii="Simplified Arabic" w:eastAsia="Times New Roman" w:hAnsi="Simplified Arabic" w:cs="Simplified Arabic"/>
          <w:color w:val="000000" w:themeColor="text1"/>
          <w:kern w:val="0"/>
          <w:sz w:val="28"/>
          <w:szCs w:val="28"/>
          <w:rtl/>
          <w14:ligatures w14:val="none"/>
        </w:rPr>
        <w:t>مفردة كحدّ أدنى. وسيقوم الباحث بتوزيع (420) استبانة لتعويض الفاقد المتوقع في الاسترداد أو الاستبانات غير الصالحة للتحليل، بهدف الحصول على عدد كافٍ من الاستجابات الصالحة التي تُحقق الشروط الإحصائية المطلوبة لتعميم النتائج</w:t>
      </w:r>
      <w:r w:rsidRPr="00012BBF">
        <w:rPr>
          <w:rFonts w:ascii="Simplified Arabic" w:eastAsia="Times New Roman" w:hAnsi="Simplified Arabic" w:cs="Simplified Arabic"/>
          <w:color w:val="000000" w:themeColor="text1"/>
          <w:kern w:val="0"/>
          <w:sz w:val="28"/>
          <w:szCs w:val="28"/>
          <w14:ligatures w14:val="none"/>
        </w:rPr>
        <w:t>.</w:t>
      </w:r>
    </w:p>
    <w:p w14:paraId="3C6C3F67" w14:textId="1237C032" w:rsidR="00552D1D" w:rsidRPr="00012BBF" w:rsidRDefault="00552D1D" w:rsidP="00552D1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5" w:name="_Toc233239788"/>
      <w:r w:rsidRPr="00012BBF">
        <w:rPr>
          <w:rFonts w:ascii="Simplified Arabic" w:eastAsia="Times New Roman" w:hAnsi="Simplified Arabic" w:cs="Simplified Arabic"/>
          <w:b/>
          <w:bCs/>
          <w:color w:val="000000" w:themeColor="text1"/>
          <w:kern w:val="0"/>
          <w:sz w:val="36"/>
          <w:szCs w:val="36"/>
          <w:rtl/>
          <w14:ligatures w14:val="none"/>
        </w:rPr>
        <w:t>12.1 مصادر جمع البيانات</w:t>
      </w:r>
      <w:bookmarkEnd w:id="25"/>
    </w:p>
    <w:p w14:paraId="4EBBBE64" w14:textId="77777777" w:rsidR="00D253EF" w:rsidRPr="00012BBF" w:rsidRDefault="00D253EF"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12BBF">
        <w:rPr>
          <w:rFonts w:ascii="Simplified Arabic" w:eastAsia="Times New Roman" w:hAnsi="Simplified Arabic" w:cs="Simplified Arabic"/>
          <w:b/>
          <w:bCs/>
          <w:color w:val="000000" w:themeColor="text1"/>
          <w:kern w:val="0"/>
          <w:sz w:val="28"/>
          <w:szCs w:val="28"/>
          <w:rtl/>
          <w14:ligatures w14:val="none"/>
        </w:rPr>
        <w:lastRenderedPageBreak/>
        <w:t>ستعتمد الدراسة على نوعين من مصادر جمع البيانات</w:t>
      </w:r>
      <w:r w:rsidRPr="00012BBF">
        <w:rPr>
          <w:rFonts w:ascii="Simplified Arabic" w:eastAsia="Times New Roman" w:hAnsi="Simplified Arabic" w:cs="Simplified Arabic"/>
          <w:b/>
          <w:bCs/>
          <w:color w:val="000000" w:themeColor="text1"/>
          <w:kern w:val="0"/>
          <w:sz w:val="28"/>
          <w:szCs w:val="28"/>
          <w14:ligatures w14:val="none"/>
        </w:rPr>
        <w:t>:</w:t>
      </w:r>
    </w:p>
    <w:p w14:paraId="1383F0B3" w14:textId="77777777" w:rsidR="00D253EF" w:rsidRPr="00012BBF" w:rsidRDefault="00D253EF" w:rsidP="00A84068">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b/>
          <w:bCs/>
          <w:color w:val="000000" w:themeColor="text1"/>
          <w:kern w:val="0"/>
          <w:sz w:val="28"/>
          <w:szCs w:val="28"/>
          <w:rtl/>
          <w14:ligatures w14:val="none"/>
        </w:rPr>
        <w:t>المصادر الثانوية</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في مجالات التنسيق الإداري وتجربة الموظف والاحتفاظ بالكفاءات، والدوريات والمجلات العلمية المحكّمة العربية والأجنبية، والرسائل الجامعية (ماجستير ودكتوراه)، والتقارير والإحصاءات الصادرة عن الجهات الرسمية في المملكة العربية السعودية، وقواعد البيانات الإلكترونية مثل</w:t>
      </w:r>
      <w:r w:rsidRPr="00012BBF">
        <w:rPr>
          <w:rFonts w:ascii="Simplified Arabic" w:eastAsia="Times New Roman" w:hAnsi="Simplified Arabic" w:cs="Simplified Arabic"/>
          <w:color w:val="000000" w:themeColor="text1"/>
          <w:kern w:val="0"/>
          <w:sz w:val="28"/>
          <w:szCs w:val="28"/>
          <w14:ligatures w14:val="none"/>
        </w:rPr>
        <w:t xml:space="preserve"> Scopus </w:t>
      </w:r>
      <w:r w:rsidRPr="00012BBF">
        <w:rPr>
          <w:rFonts w:ascii="Simplified Arabic" w:eastAsia="Times New Roman" w:hAnsi="Simplified Arabic" w:cs="Simplified Arabic"/>
          <w:color w:val="000000" w:themeColor="text1"/>
          <w:kern w:val="0"/>
          <w:sz w:val="28"/>
          <w:szCs w:val="28"/>
          <w:rtl/>
          <w14:ligatures w14:val="none"/>
        </w:rPr>
        <w:t>و</w:t>
      </w:r>
      <w:r w:rsidRPr="00012BBF">
        <w:rPr>
          <w:rFonts w:ascii="Simplified Arabic" w:eastAsia="Times New Roman" w:hAnsi="Simplified Arabic" w:cs="Simplified Arabic"/>
          <w:color w:val="000000" w:themeColor="text1"/>
          <w:kern w:val="0"/>
          <w:sz w:val="28"/>
          <w:szCs w:val="28"/>
          <w14:ligatures w14:val="none"/>
        </w:rPr>
        <w:t xml:space="preserve">Web of Science </w:t>
      </w:r>
      <w:r w:rsidRPr="00012BBF">
        <w:rPr>
          <w:rFonts w:ascii="Simplified Arabic" w:eastAsia="Times New Roman" w:hAnsi="Simplified Arabic" w:cs="Simplified Arabic"/>
          <w:color w:val="000000" w:themeColor="text1"/>
          <w:kern w:val="0"/>
          <w:sz w:val="28"/>
          <w:szCs w:val="28"/>
          <w:rtl/>
          <w14:ligatures w14:val="none"/>
        </w:rPr>
        <w:t>ودار المنظومة. وستُستخدم هذه المصادر في بناء الإطار النظري ومراجعة الدراسات السابقة وتحديد الفجوة البحثية</w:t>
      </w:r>
      <w:r w:rsidRPr="00012BBF">
        <w:rPr>
          <w:rFonts w:ascii="Simplified Arabic" w:eastAsia="Times New Roman" w:hAnsi="Simplified Arabic" w:cs="Simplified Arabic"/>
          <w:color w:val="000000" w:themeColor="text1"/>
          <w:kern w:val="0"/>
          <w:sz w:val="28"/>
          <w:szCs w:val="28"/>
          <w14:ligatures w14:val="none"/>
        </w:rPr>
        <w:t>.</w:t>
      </w:r>
    </w:p>
    <w:p w14:paraId="47B5CBDC" w14:textId="77777777" w:rsidR="00D253EF" w:rsidRPr="00012BBF" w:rsidRDefault="00D253EF" w:rsidP="00A84068">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b/>
          <w:bCs/>
          <w:color w:val="000000" w:themeColor="text1"/>
          <w:kern w:val="0"/>
          <w:sz w:val="28"/>
          <w:szCs w:val="28"/>
          <w:rtl/>
          <w14:ligatures w14:val="none"/>
        </w:rPr>
        <w:t>المصادر الأولية</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وتتمثل في الاستبانة التي سيُصمّمها الباحث كأداة رئيسية لجمع البيانات الميدانية من أفراد عينة الدراسة مباشرة، والتي ستُوزّع إلكترونيًا وورقيًا على العاملين في شركات الطاقة بمدينة الدمام</w:t>
      </w:r>
      <w:r w:rsidRPr="00012BBF">
        <w:rPr>
          <w:rFonts w:ascii="Simplified Arabic" w:eastAsia="Times New Roman" w:hAnsi="Simplified Arabic" w:cs="Simplified Arabic"/>
          <w:color w:val="000000" w:themeColor="text1"/>
          <w:kern w:val="0"/>
          <w:sz w:val="28"/>
          <w:szCs w:val="28"/>
          <w14:ligatures w14:val="none"/>
        </w:rPr>
        <w:t>.</w:t>
      </w:r>
    </w:p>
    <w:p w14:paraId="05A18D42" w14:textId="12FED114" w:rsidR="00552D1D" w:rsidRPr="00012BBF" w:rsidRDefault="00552D1D" w:rsidP="00552D1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6" w:name="_Toc233239789"/>
      <w:r w:rsidRPr="00012BBF">
        <w:rPr>
          <w:rFonts w:ascii="Simplified Arabic" w:eastAsia="Times New Roman" w:hAnsi="Simplified Arabic" w:cs="Simplified Arabic"/>
          <w:b/>
          <w:bCs/>
          <w:color w:val="000000" w:themeColor="text1"/>
          <w:kern w:val="0"/>
          <w:sz w:val="36"/>
          <w:szCs w:val="36"/>
          <w:rtl/>
          <w14:ligatures w14:val="none"/>
        </w:rPr>
        <w:t>13.1 أداة الدراسة</w:t>
      </w:r>
      <w:bookmarkEnd w:id="26"/>
    </w:p>
    <w:p w14:paraId="5796DDE8"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ستُستخدم الاستبانة كأداة رئيسية لجمع البيانات الأولية، وسيتم تصميمها وفق مقياس ليكرت الخماسي (موافق بشدة، موافق، محايد، غير موافق، غير موافق بشدة). وستتكوّن الاستبانة من ثلاثة أقسام على النحو التالي</w:t>
      </w:r>
      <w:r w:rsidRPr="00012BBF">
        <w:rPr>
          <w:rFonts w:ascii="Simplified Arabic" w:eastAsia="Times New Roman" w:hAnsi="Simplified Arabic" w:cs="Simplified Arabic"/>
          <w:color w:val="000000" w:themeColor="text1"/>
          <w:kern w:val="0"/>
          <w:sz w:val="28"/>
          <w:szCs w:val="28"/>
          <w14:ligatures w14:val="none"/>
        </w:rPr>
        <w:t>:</w:t>
      </w:r>
    </w:p>
    <w:p w14:paraId="51CBF92D"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b/>
          <w:bCs/>
          <w:color w:val="000000" w:themeColor="text1"/>
          <w:kern w:val="0"/>
          <w:sz w:val="28"/>
          <w:szCs w:val="28"/>
          <w:rtl/>
          <w14:ligatures w14:val="none"/>
        </w:rPr>
        <w:t>القسم الأول</w:t>
      </w:r>
      <w:r w:rsidRPr="00012BBF">
        <w:rPr>
          <w:rFonts w:ascii="Simplified Arabic" w:eastAsia="Times New Roman" w:hAnsi="Simplified Arabic" w:cs="Simplified Arabic"/>
          <w:color w:val="000000" w:themeColor="text1"/>
          <w:kern w:val="0"/>
          <w:sz w:val="28"/>
          <w:szCs w:val="28"/>
          <w:rtl/>
          <w14:ligatures w14:val="none"/>
        </w:rPr>
        <w:t>: البيانات الديموغرافية، ويشمل المتغيرات الشخصية والوظيفية لأفراد العينة (الجنس، المؤهل العلمي، سنوات الخبرة، المستوى الوظيفي)</w:t>
      </w:r>
      <w:r w:rsidRPr="00012BBF">
        <w:rPr>
          <w:rFonts w:ascii="Simplified Arabic" w:eastAsia="Times New Roman" w:hAnsi="Simplified Arabic" w:cs="Simplified Arabic"/>
          <w:color w:val="000000" w:themeColor="text1"/>
          <w:kern w:val="0"/>
          <w:sz w:val="28"/>
          <w:szCs w:val="28"/>
          <w14:ligatures w14:val="none"/>
        </w:rPr>
        <w:t>.</w:t>
      </w:r>
    </w:p>
    <w:p w14:paraId="192322C5"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b/>
          <w:bCs/>
          <w:color w:val="000000" w:themeColor="text1"/>
          <w:kern w:val="0"/>
          <w:sz w:val="28"/>
          <w:szCs w:val="28"/>
          <w:rtl/>
          <w14:ligatures w14:val="none"/>
        </w:rPr>
        <w:t>القسم الثاني</w:t>
      </w:r>
      <w:r w:rsidRPr="00012BBF">
        <w:rPr>
          <w:rFonts w:ascii="Simplified Arabic" w:eastAsia="Times New Roman" w:hAnsi="Simplified Arabic" w:cs="Simplified Arabic"/>
          <w:color w:val="000000" w:themeColor="text1"/>
          <w:kern w:val="0"/>
          <w:sz w:val="28"/>
          <w:szCs w:val="28"/>
          <w:rtl/>
          <w14:ligatures w14:val="none"/>
        </w:rPr>
        <w:t>: المتغير المستقل (جودة التنسيق مع الجهات الحكومية)، ويتكوّن من (16) فقرة موزّعة على أربعة أبعاد، بواقع (4) فقرات لكل بُعد، وذلك على النحو التالي</w:t>
      </w:r>
      <w:r w:rsidRPr="00012BBF">
        <w:rPr>
          <w:rFonts w:ascii="Simplified Arabic" w:eastAsia="Times New Roman" w:hAnsi="Simplified Arabic" w:cs="Simplified Arabic"/>
          <w:color w:val="000000" w:themeColor="text1"/>
          <w:kern w:val="0"/>
          <w:sz w:val="28"/>
          <w:szCs w:val="28"/>
          <w14:ligatures w14:val="none"/>
        </w:rPr>
        <w:t>:</w:t>
      </w:r>
    </w:p>
    <w:p w14:paraId="73F996DC" w14:textId="77777777" w:rsidR="00D253EF" w:rsidRPr="00012BBF" w:rsidRDefault="00D253EF" w:rsidP="00A8406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البُعد الأول — وضوح الإجراءات التنظيمية</w:t>
      </w:r>
      <w:r w:rsidRPr="00012BBF">
        <w:rPr>
          <w:rFonts w:ascii="Simplified Arabic" w:eastAsia="Times New Roman" w:hAnsi="Simplified Arabic" w:cs="Simplified Arabic"/>
          <w:color w:val="000000" w:themeColor="text1"/>
          <w:kern w:val="0"/>
          <w:sz w:val="28"/>
          <w:szCs w:val="28"/>
          <w14:ligatures w14:val="none"/>
        </w:rPr>
        <w:t xml:space="preserve">: (4) </w:t>
      </w:r>
      <w:r w:rsidRPr="00012BBF">
        <w:rPr>
          <w:rFonts w:ascii="Simplified Arabic" w:eastAsia="Times New Roman" w:hAnsi="Simplified Arabic" w:cs="Simplified Arabic"/>
          <w:color w:val="000000" w:themeColor="text1"/>
          <w:kern w:val="0"/>
          <w:sz w:val="28"/>
          <w:szCs w:val="28"/>
          <w:rtl/>
          <w14:ligatures w14:val="none"/>
        </w:rPr>
        <w:t>فقرات</w:t>
      </w:r>
      <w:r w:rsidRPr="00012BBF">
        <w:rPr>
          <w:rFonts w:ascii="Simplified Arabic" w:eastAsia="Times New Roman" w:hAnsi="Simplified Arabic" w:cs="Simplified Arabic"/>
          <w:color w:val="000000" w:themeColor="text1"/>
          <w:kern w:val="0"/>
          <w:sz w:val="28"/>
          <w:szCs w:val="28"/>
          <w14:ligatures w14:val="none"/>
        </w:rPr>
        <w:t>.</w:t>
      </w:r>
    </w:p>
    <w:p w14:paraId="491D7812" w14:textId="77777777" w:rsidR="00D253EF" w:rsidRPr="00012BBF" w:rsidRDefault="00D253EF" w:rsidP="00A8406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البُعد الثاني — فاعلية تبادل المعلومات</w:t>
      </w:r>
      <w:r w:rsidRPr="00012BBF">
        <w:rPr>
          <w:rFonts w:ascii="Simplified Arabic" w:eastAsia="Times New Roman" w:hAnsi="Simplified Arabic" w:cs="Simplified Arabic"/>
          <w:color w:val="000000" w:themeColor="text1"/>
          <w:kern w:val="0"/>
          <w:sz w:val="28"/>
          <w:szCs w:val="28"/>
          <w14:ligatures w14:val="none"/>
        </w:rPr>
        <w:t xml:space="preserve">: (4) </w:t>
      </w:r>
      <w:r w:rsidRPr="00012BBF">
        <w:rPr>
          <w:rFonts w:ascii="Simplified Arabic" w:eastAsia="Times New Roman" w:hAnsi="Simplified Arabic" w:cs="Simplified Arabic"/>
          <w:color w:val="000000" w:themeColor="text1"/>
          <w:kern w:val="0"/>
          <w:sz w:val="28"/>
          <w:szCs w:val="28"/>
          <w:rtl/>
          <w14:ligatures w14:val="none"/>
        </w:rPr>
        <w:t>فقرات</w:t>
      </w:r>
      <w:r w:rsidRPr="00012BBF">
        <w:rPr>
          <w:rFonts w:ascii="Simplified Arabic" w:eastAsia="Times New Roman" w:hAnsi="Simplified Arabic" w:cs="Simplified Arabic"/>
          <w:color w:val="000000" w:themeColor="text1"/>
          <w:kern w:val="0"/>
          <w:sz w:val="28"/>
          <w:szCs w:val="28"/>
          <w14:ligatures w14:val="none"/>
        </w:rPr>
        <w:t>.</w:t>
      </w:r>
    </w:p>
    <w:p w14:paraId="0A943803" w14:textId="77777777" w:rsidR="00D253EF" w:rsidRPr="00012BBF" w:rsidRDefault="00D253EF" w:rsidP="00A8406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البُعد الثالث — كفاءة المتابعة والاستجابة</w:t>
      </w:r>
      <w:r w:rsidRPr="00012BBF">
        <w:rPr>
          <w:rFonts w:ascii="Simplified Arabic" w:eastAsia="Times New Roman" w:hAnsi="Simplified Arabic" w:cs="Simplified Arabic"/>
          <w:color w:val="000000" w:themeColor="text1"/>
          <w:kern w:val="0"/>
          <w:sz w:val="28"/>
          <w:szCs w:val="28"/>
          <w14:ligatures w14:val="none"/>
        </w:rPr>
        <w:t xml:space="preserve">: (4) </w:t>
      </w:r>
      <w:r w:rsidRPr="00012BBF">
        <w:rPr>
          <w:rFonts w:ascii="Simplified Arabic" w:eastAsia="Times New Roman" w:hAnsi="Simplified Arabic" w:cs="Simplified Arabic"/>
          <w:color w:val="000000" w:themeColor="text1"/>
          <w:kern w:val="0"/>
          <w:sz w:val="28"/>
          <w:szCs w:val="28"/>
          <w:rtl/>
          <w14:ligatures w14:val="none"/>
        </w:rPr>
        <w:t>فقرات</w:t>
      </w:r>
      <w:r w:rsidRPr="00012BBF">
        <w:rPr>
          <w:rFonts w:ascii="Simplified Arabic" w:eastAsia="Times New Roman" w:hAnsi="Simplified Arabic" w:cs="Simplified Arabic"/>
          <w:color w:val="000000" w:themeColor="text1"/>
          <w:kern w:val="0"/>
          <w:sz w:val="28"/>
          <w:szCs w:val="28"/>
          <w14:ligatures w14:val="none"/>
        </w:rPr>
        <w:t>.</w:t>
      </w:r>
    </w:p>
    <w:p w14:paraId="73358D06" w14:textId="77777777" w:rsidR="00D253EF" w:rsidRPr="00012BBF" w:rsidRDefault="00D253EF" w:rsidP="00A8406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البُعد الرابع — التكامل بين الأنظمة والسياسات</w:t>
      </w:r>
      <w:r w:rsidRPr="00012BBF">
        <w:rPr>
          <w:rFonts w:ascii="Simplified Arabic" w:eastAsia="Times New Roman" w:hAnsi="Simplified Arabic" w:cs="Simplified Arabic"/>
          <w:color w:val="000000" w:themeColor="text1"/>
          <w:kern w:val="0"/>
          <w:sz w:val="28"/>
          <w:szCs w:val="28"/>
          <w14:ligatures w14:val="none"/>
        </w:rPr>
        <w:t xml:space="preserve">: (4) </w:t>
      </w:r>
      <w:r w:rsidRPr="00012BBF">
        <w:rPr>
          <w:rFonts w:ascii="Simplified Arabic" w:eastAsia="Times New Roman" w:hAnsi="Simplified Arabic" w:cs="Simplified Arabic"/>
          <w:color w:val="000000" w:themeColor="text1"/>
          <w:kern w:val="0"/>
          <w:sz w:val="28"/>
          <w:szCs w:val="28"/>
          <w:rtl/>
          <w14:ligatures w14:val="none"/>
        </w:rPr>
        <w:t>فقرات</w:t>
      </w:r>
      <w:r w:rsidRPr="00012BBF">
        <w:rPr>
          <w:rFonts w:ascii="Simplified Arabic" w:eastAsia="Times New Roman" w:hAnsi="Simplified Arabic" w:cs="Simplified Arabic"/>
          <w:color w:val="000000" w:themeColor="text1"/>
          <w:kern w:val="0"/>
          <w:sz w:val="28"/>
          <w:szCs w:val="28"/>
          <w14:ligatures w14:val="none"/>
        </w:rPr>
        <w:t>.</w:t>
      </w:r>
    </w:p>
    <w:p w14:paraId="68701963"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b/>
          <w:bCs/>
          <w:color w:val="000000" w:themeColor="text1"/>
          <w:kern w:val="0"/>
          <w:sz w:val="28"/>
          <w:szCs w:val="28"/>
          <w:rtl/>
          <w14:ligatures w14:val="none"/>
        </w:rPr>
        <w:lastRenderedPageBreak/>
        <w:t>القسم الثالث</w:t>
      </w:r>
      <w:r w:rsidRPr="00012BBF">
        <w:rPr>
          <w:rFonts w:ascii="Simplified Arabic" w:eastAsia="Times New Roman" w:hAnsi="Simplified Arabic" w:cs="Simplified Arabic"/>
          <w:color w:val="000000" w:themeColor="text1"/>
          <w:kern w:val="0"/>
          <w:sz w:val="28"/>
          <w:szCs w:val="28"/>
          <w:rtl/>
          <w14:ligatures w14:val="none"/>
        </w:rPr>
        <w:t>: المتغير التابع (تجربة الموظف والاحتفاظ بالكفاءات)، وهو أحادي المحور ويتكوّن من (10) فقرات تقيس مستوى تجربة الموظف ومدى الاحتفاظ بالكفاءات في بيئة العمل</w:t>
      </w:r>
      <w:r w:rsidRPr="00012BBF">
        <w:rPr>
          <w:rFonts w:ascii="Simplified Arabic" w:eastAsia="Times New Roman" w:hAnsi="Simplified Arabic" w:cs="Simplified Arabic"/>
          <w:color w:val="000000" w:themeColor="text1"/>
          <w:kern w:val="0"/>
          <w:sz w:val="28"/>
          <w:szCs w:val="28"/>
          <w14:ligatures w14:val="none"/>
        </w:rPr>
        <w:t>.</w:t>
      </w:r>
    </w:p>
    <w:p w14:paraId="2F8ACEB2"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وبذلك يكون إجمالي فقرات الاستبانة (26) فقرة، بالإضافة إلى فقرات البيانات الديموغرافية. وسيتم التحقق من صدق الأداة من خلال الصدق الظاهري (عرضها على مجموعة من المحكّمين المتخصصين) والصدق البنائي (معامل ارتباط بيرسون)، والتحقق من ثباتها باستخدام معامل ألفا كرونباخ</w:t>
      </w:r>
      <w:r w:rsidRPr="00012BBF">
        <w:rPr>
          <w:rFonts w:ascii="Simplified Arabic" w:eastAsia="Times New Roman" w:hAnsi="Simplified Arabic" w:cs="Simplified Arabic"/>
          <w:color w:val="000000" w:themeColor="text1"/>
          <w:kern w:val="0"/>
          <w:sz w:val="28"/>
          <w:szCs w:val="28"/>
          <w14:ligatures w14:val="none"/>
        </w:rPr>
        <w:t xml:space="preserve"> (Cronbach's Alpha).</w:t>
      </w:r>
    </w:p>
    <w:p w14:paraId="1DC87C18" w14:textId="5E41A1F9" w:rsidR="00552D1D" w:rsidRPr="00012BBF" w:rsidRDefault="00552D1D" w:rsidP="00552D1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7" w:name="_Toc233239790"/>
      <w:r w:rsidRPr="00012BBF">
        <w:rPr>
          <w:rFonts w:ascii="Simplified Arabic" w:eastAsia="Times New Roman" w:hAnsi="Simplified Arabic" w:cs="Simplified Arabic"/>
          <w:b/>
          <w:bCs/>
          <w:color w:val="000000" w:themeColor="text1"/>
          <w:kern w:val="0"/>
          <w:sz w:val="36"/>
          <w:szCs w:val="36"/>
          <w:rtl/>
          <w14:ligatures w14:val="none"/>
        </w:rPr>
        <w:t>14.1 الأساليب الإحصائية المستخدمة</w:t>
      </w:r>
      <w:bookmarkEnd w:id="27"/>
    </w:p>
    <w:p w14:paraId="3EC75E77" w14:textId="77777777" w:rsidR="00D253EF" w:rsidRPr="00012BBF" w:rsidRDefault="00D253EF" w:rsidP="00552D1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سيتم تحليل البيانات المجمّعة باستخدام برنامج الحزم الإحصائية للعلوم الاجتماعية</w:t>
      </w:r>
      <w:r w:rsidRPr="00012BBF">
        <w:rPr>
          <w:rFonts w:ascii="Simplified Arabic" w:eastAsia="Times New Roman" w:hAnsi="Simplified Arabic" w:cs="Simplified Arabic"/>
          <w:color w:val="000000" w:themeColor="text1"/>
          <w:kern w:val="0"/>
          <w:sz w:val="28"/>
          <w:szCs w:val="28"/>
          <w14:ligatures w14:val="none"/>
        </w:rPr>
        <w:t xml:space="preserve"> (SPSS)</w:t>
      </w:r>
      <w:r w:rsidRPr="00012BBF">
        <w:rPr>
          <w:rFonts w:ascii="Simplified Arabic" w:eastAsia="Times New Roman" w:hAnsi="Simplified Arabic" w:cs="Simplified Arabic"/>
          <w:color w:val="000000" w:themeColor="text1"/>
          <w:kern w:val="0"/>
          <w:sz w:val="28"/>
          <w:szCs w:val="28"/>
          <w:rtl/>
          <w14:ligatures w14:val="none"/>
        </w:rPr>
        <w:t>، وستُستخدم الأساليب الإحصائية التالية</w:t>
      </w:r>
      <w:r w:rsidRPr="00012BBF">
        <w:rPr>
          <w:rFonts w:ascii="Simplified Arabic" w:eastAsia="Times New Roman" w:hAnsi="Simplified Arabic" w:cs="Simplified Arabic"/>
          <w:color w:val="000000" w:themeColor="text1"/>
          <w:kern w:val="0"/>
          <w:sz w:val="28"/>
          <w:szCs w:val="28"/>
          <w14:ligatures w14:val="none"/>
        </w:rPr>
        <w:t>:</w:t>
      </w:r>
    </w:p>
    <w:p w14:paraId="017FC976" w14:textId="77777777" w:rsidR="00D253EF" w:rsidRPr="00012BBF" w:rsidRDefault="00D253EF" w:rsidP="00A84068">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معامل ألفا كرونباخ</w:t>
      </w:r>
      <w:r w:rsidRPr="00012BBF">
        <w:rPr>
          <w:rFonts w:ascii="Simplified Arabic" w:eastAsia="Times New Roman" w:hAnsi="Simplified Arabic" w:cs="Simplified Arabic"/>
          <w:color w:val="000000" w:themeColor="text1"/>
          <w:kern w:val="0"/>
          <w:sz w:val="28"/>
          <w:szCs w:val="28"/>
          <w14:ligatures w14:val="none"/>
        </w:rPr>
        <w:t xml:space="preserve"> (Cronbach's Alpha): </w:t>
      </w:r>
      <w:r w:rsidRPr="00012BBF">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012BBF">
        <w:rPr>
          <w:rFonts w:ascii="Simplified Arabic" w:eastAsia="Times New Roman" w:hAnsi="Simplified Arabic" w:cs="Simplified Arabic"/>
          <w:color w:val="000000" w:themeColor="text1"/>
          <w:kern w:val="0"/>
          <w:sz w:val="28"/>
          <w:szCs w:val="28"/>
          <w14:ligatures w14:val="none"/>
        </w:rPr>
        <w:t>.</w:t>
      </w:r>
    </w:p>
    <w:p w14:paraId="1E605942" w14:textId="77777777" w:rsidR="00D253EF" w:rsidRPr="00012BBF" w:rsidRDefault="00D253EF" w:rsidP="00A84068">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لوصف خصائص أفراد عينة الدراسة الديموغرافية</w:t>
      </w:r>
      <w:r w:rsidRPr="00012BBF">
        <w:rPr>
          <w:rFonts w:ascii="Simplified Arabic" w:eastAsia="Times New Roman" w:hAnsi="Simplified Arabic" w:cs="Simplified Arabic"/>
          <w:color w:val="000000" w:themeColor="text1"/>
          <w:kern w:val="0"/>
          <w:sz w:val="28"/>
          <w:szCs w:val="28"/>
          <w14:ligatures w14:val="none"/>
        </w:rPr>
        <w:t>.</w:t>
      </w:r>
    </w:p>
    <w:p w14:paraId="714D04F4" w14:textId="77777777" w:rsidR="00D253EF" w:rsidRPr="00012BBF" w:rsidRDefault="00D253EF" w:rsidP="00A84068">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الاستبانة وترتيب الأبعاد والفقرات</w:t>
      </w:r>
      <w:r w:rsidRPr="00012BBF">
        <w:rPr>
          <w:rFonts w:ascii="Simplified Arabic" w:eastAsia="Times New Roman" w:hAnsi="Simplified Arabic" w:cs="Simplified Arabic"/>
          <w:color w:val="000000" w:themeColor="text1"/>
          <w:kern w:val="0"/>
          <w:sz w:val="28"/>
          <w:szCs w:val="28"/>
          <w14:ligatures w14:val="none"/>
        </w:rPr>
        <w:t>.</w:t>
      </w:r>
    </w:p>
    <w:p w14:paraId="32C3F107" w14:textId="77777777" w:rsidR="00D253EF" w:rsidRPr="00012BBF" w:rsidRDefault="00D253EF" w:rsidP="00A84068">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معامل ارتباط بيرسون</w:t>
      </w:r>
      <w:r w:rsidRPr="00012BBF">
        <w:rPr>
          <w:rFonts w:ascii="Simplified Arabic" w:eastAsia="Times New Roman" w:hAnsi="Simplified Arabic" w:cs="Simplified Arabic"/>
          <w:color w:val="000000" w:themeColor="text1"/>
          <w:kern w:val="0"/>
          <w:sz w:val="28"/>
          <w:szCs w:val="28"/>
          <w14:ligatures w14:val="none"/>
        </w:rPr>
        <w:t xml:space="preserve"> (Pearson Correlation): </w:t>
      </w:r>
      <w:r w:rsidRPr="00012BBF">
        <w:rPr>
          <w:rFonts w:ascii="Simplified Arabic" w:eastAsia="Times New Roman" w:hAnsi="Simplified Arabic" w:cs="Simplified Arabic"/>
          <w:color w:val="000000" w:themeColor="text1"/>
          <w:kern w:val="0"/>
          <w:sz w:val="28"/>
          <w:szCs w:val="28"/>
          <w:rtl/>
          <w14:ligatures w14:val="none"/>
        </w:rPr>
        <w:t>للتحقق من صدق الاتساق الداخلي لأداة الدراسة وقياس العلاقة بين المتغيرات</w:t>
      </w:r>
      <w:r w:rsidRPr="00012BBF">
        <w:rPr>
          <w:rFonts w:ascii="Simplified Arabic" w:eastAsia="Times New Roman" w:hAnsi="Simplified Arabic" w:cs="Simplified Arabic"/>
          <w:color w:val="000000" w:themeColor="text1"/>
          <w:kern w:val="0"/>
          <w:sz w:val="28"/>
          <w:szCs w:val="28"/>
          <w14:ligatures w14:val="none"/>
        </w:rPr>
        <w:t>.</w:t>
      </w:r>
    </w:p>
    <w:p w14:paraId="22025676" w14:textId="77777777" w:rsidR="00D253EF" w:rsidRPr="00012BBF" w:rsidRDefault="00D253EF" w:rsidP="00A84068">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012BBF">
        <w:rPr>
          <w:rFonts w:ascii="Simplified Arabic" w:eastAsia="Times New Roman" w:hAnsi="Simplified Arabic" w:cs="Simplified Arabic"/>
          <w:color w:val="000000" w:themeColor="text1"/>
          <w:kern w:val="0"/>
          <w:sz w:val="28"/>
          <w:szCs w:val="28"/>
          <w14:ligatures w14:val="none"/>
        </w:rPr>
        <w:t xml:space="preserve"> (Simple Linear Regression): </w:t>
      </w:r>
      <w:r w:rsidRPr="00012BBF">
        <w:rPr>
          <w:rFonts w:ascii="Simplified Arabic" w:eastAsia="Times New Roman" w:hAnsi="Simplified Arabic" w:cs="Simplified Arabic"/>
          <w:color w:val="000000" w:themeColor="text1"/>
          <w:kern w:val="0"/>
          <w:sz w:val="28"/>
          <w:szCs w:val="28"/>
          <w:rtl/>
          <w14:ligatures w14:val="none"/>
        </w:rPr>
        <w:t>لاختبار أثر جودة التنسيق مع الجهات الحكومية إجمالًا على تجربة الموظف والاحتفاظ بالكفاءات</w:t>
      </w:r>
      <w:r w:rsidRPr="00012BBF">
        <w:rPr>
          <w:rFonts w:ascii="Simplified Arabic" w:eastAsia="Times New Roman" w:hAnsi="Simplified Arabic" w:cs="Simplified Arabic"/>
          <w:color w:val="000000" w:themeColor="text1"/>
          <w:kern w:val="0"/>
          <w:sz w:val="28"/>
          <w:szCs w:val="28"/>
          <w14:ligatures w14:val="none"/>
        </w:rPr>
        <w:t>.</w:t>
      </w:r>
    </w:p>
    <w:p w14:paraId="4EBBBA31" w14:textId="77777777" w:rsidR="00D253EF" w:rsidRPr="00012BBF" w:rsidRDefault="00D253EF" w:rsidP="00A84068">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012BBF">
        <w:rPr>
          <w:rFonts w:ascii="Simplified Arabic" w:eastAsia="Times New Roman" w:hAnsi="Simplified Arabic" w:cs="Simplified Arabic"/>
          <w:color w:val="000000" w:themeColor="text1"/>
          <w:kern w:val="0"/>
          <w:sz w:val="28"/>
          <w:szCs w:val="28"/>
          <w14:ligatures w14:val="none"/>
        </w:rPr>
        <w:t xml:space="preserve"> (Multiple Linear Regression): </w:t>
      </w:r>
      <w:r w:rsidRPr="00012BBF">
        <w:rPr>
          <w:rFonts w:ascii="Simplified Arabic" w:eastAsia="Times New Roman" w:hAnsi="Simplified Arabic" w:cs="Simplified Arabic"/>
          <w:color w:val="000000" w:themeColor="text1"/>
          <w:kern w:val="0"/>
          <w:sz w:val="28"/>
          <w:szCs w:val="28"/>
          <w:rtl/>
          <w14:ligatures w14:val="none"/>
        </w:rPr>
        <w:t>لاختبار أثر كل بُعد من أبعاد جودة التنسيق مع الجهات الحكومية على المتغير التابع، وتحديد الأهمية النسبية لكل بُعد</w:t>
      </w:r>
      <w:r w:rsidRPr="00012BBF">
        <w:rPr>
          <w:rFonts w:ascii="Simplified Arabic" w:eastAsia="Times New Roman" w:hAnsi="Simplified Arabic" w:cs="Simplified Arabic"/>
          <w:color w:val="000000" w:themeColor="text1"/>
          <w:kern w:val="0"/>
          <w:sz w:val="28"/>
          <w:szCs w:val="28"/>
          <w14:ligatures w14:val="none"/>
        </w:rPr>
        <w:t>.</w:t>
      </w:r>
    </w:p>
    <w:p w14:paraId="0F4570E0" w14:textId="1AA9F8F3" w:rsidR="00552D1D" w:rsidRPr="00012BBF" w:rsidRDefault="00552D1D" w:rsidP="00552D1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8" w:name="_Toc233239791"/>
      <w:r w:rsidRPr="00012BBF">
        <w:rPr>
          <w:rFonts w:ascii="Simplified Arabic" w:eastAsia="Times New Roman" w:hAnsi="Simplified Arabic" w:cs="Simplified Arabic"/>
          <w:b/>
          <w:bCs/>
          <w:color w:val="000000" w:themeColor="text1"/>
          <w:kern w:val="0"/>
          <w:sz w:val="36"/>
          <w:szCs w:val="36"/>
          <w:rtl/>
          <w14:ligatures w14:val="none"/>
        </w:rPr>
        <w:t>15.1 حدود الدراسة</w:t>
      </w:r>
      <w:bookmarkEnd w:id="28"/>
    </w:p>
    <w:p w14:paraId="1B1C2621" w14:textId="38899270" w:rsidR="00D253EF" w:rsidRPr="00012BBF" w:rsidRDefault="00D253EF" w:rsidP="00A84068">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lastRenderedPageBreak/>
        <w:t>الحدود الموضوعية</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 xml:space="preserve">ستقتصر الدراسة على دراسة أثر جودة التنسيق مع الجهات الحكومية بأبعاده الأربعة </w:t>
      </w:r>
      <w:r w:rsidR="00552D1D" w:rsidRPr="00012BBF">
        <w:rPr>
          <w:rFonts w:ascii="Simplified Arabic" w:eastAsia="Times New Roman" w:hAnsi="Simplified Arabic" w:cs="Simplified Arabic" w:hint="cs"/>
          <w:color w:val="000000" w:themeColor="text1"/>
          <w:kern w:val="0"/>
          <w:sz w:val="28"/>
          <w:szCs w:val="28"/>
          <w:rtl/>
          <w14:ligatures w14:val="none"/>
        </w:rPr>
        <w:t>(</w:t>
      </w:r>
      <w:r w:rsidRPr="00012BBF">
        <w:rPr>
          <w:rFonts w:ascii="Simplified Arabic" w:eastAsia="Times New Roman" w:hAnsi="Simplified Arabic" w:cs="Simplified Arabic"/>
          <w:color w:val="000000" w:themeColor="text1"/>
          <w:kern w:val="0"/>
          <w:sz w:val="28"/>
          <w:szCs w:val="28"/>
          <w:rtl/>
          <w14:ligatures w14:val="none"/>
        </w:rPr>
        <w:t>وضوح الإجراءات التنظيمية، فاعلية تبادل المعلومات، كفاءة المتابعة والاستجابة، التكامل بين الأنظمة والسياسات) على تجربة الموظف والاحتفاظ بالكفاءات</w:t>
      </w:r>
      <w:r w:rsidRPr="00012BBF">
        <w:rPr>
          <w:rFonts w:ascii="Simplified Arabic" w:eastAsia="Times New Roman" w:hAnsi="Simplified Arabic" w:cs="Simplified Arabic"/>
          <w:color w:val="000000" w:themeColor="text1"/>
          <w:kern w:val="0"/>
          <w:sz w:val="28"/>
          <w:szCs w:val="28"/>
          <w14:ligatures w14:val="none"/>
        </w:rPr>
        <w:t>.</w:t>
      </w:r>
    </w:p>
    <w:p w14:paraId="21EF873F" w14:textId="77777777" w:rsidR="00D253EF" w:rsidRPr="00012BBF" w:rsidRDefault="00D253EF" w:rsidP="00A84068">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الحدود المكانية</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ستُطبّق الدراسة على شركات الطاقة (النفط والغاز والبتروكيماويات والطاقة المتجددة) العاملة في مدينة الدمام بالمنطقة الشرقية بالمملكة العربية السعودية</w:t>
      </w:r>
      <w:r w:rsidRPr="00012BBF">
        <w:rPr>
          <w:rFonts w:ascii="Simplified Arabic" w:eastAsia="Times New Roman" w:hAnsi="Simplified Arabic" w:cs="Simplified Arabic"/>
          <w:color w:val="000000" w:themeColor="text1"/>
          <w:kern w:val="0"/>
          <w:sz w:val="28"/>
          <w:szCs w:val="28"/>
          <w14:ligatures w14:val="none"/>
        </w:rPr>
        <w:t>.</w:t>
      </w:r>
    </w:p>
    <w:p w14:paraId="7D244BC2" w14:textId="77777777" w:rsidR="00D253EF" w:rsidRPr="00012BBF" w:rsidRDefault="00D253EF" w:rsidP="00A84068">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2BBF">
        <w:rPr>
          <w:rFonts w:ascii="Simplified Arabic" w:eastAsia="Times New Roman" w:hAnsi="Simplified Arabic" w:cs="Simplified Arabic"/>
          <w:color w:val="000000" w:themeColor="text1"/>
          <w:kern w:val="0"/>
          <w:sz w:val="28"/>
          <w:szCs w:val="28"/>
          <w:rtl/>
          <w14:ligatures w14:val="none"/>
        </w:rPr>
        <w:t>الحدود البشرية</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ستشمل الدراسة العاملين في شركات الطاقة بمدينة الدمام بمختلف المستويات الوظيفية (الإدارة العليا، الإدارة الوسطى، المستوى التشغيلي) ممن لديهم تفاعل مع إجراءات التنسيق الحكومي</w:t>
      </w:r>
      <w:r w:rsidRPr="00012BBF">
        <w:rPr>
          <w:rFonts w:ascii="Simplified Arabic" w:eastAsia="Times New Roman" w:hAnsi="Simplified Arabic" w:cs="Simplified Arabic"/>
          <w:color w:val="000000" w:themeColor="text1"/>
          <w:kern w:val="0"/>
          <w:sz w:val="28"/>
          <w:szCs w:val="28"/>
          <w14:ligatures w14:val="none"/>
        </w:rPr>
        <w:t>.</w:t>
      </w:r>
    </w:p>
    <w:p w14:paraId="747B4371" w14:textId="2370431B" w:rsidR="00D253EF" w:rsidRPr="00012BBF" w:rsidRDefault="00D253EF" w:rsidP="00A84068">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الحدود الزمانية</w:t>
      </w:r>
      <w:r w:rsidRPr="00012BBF">
        <w:rPr>
          <w:rFonts w:ascii="Simplified Arabic" w:eastAsia="Times New Roman" w:hAnsi="Simplified Arabic" w:cs="Simplified Arabic"/>
          <w:color w:val="000000" w:themeColor="text1"/>
          <w:kern w:val="0"/>
          <w:sz w:val="28"/>
          <w:szCs w:val="28"/>
          <w14:ligatures w14:val="none"/>
        </w:rPr>
        <w:t xml:space="preserve">: </w:t>
      </w:r>
      <w:r w:rsidRPr="00012BBF">
        <w:rPr>
          <w:rFonts w:ascii="Simplified Arabic" w:eastAsia="Times New Roman" w:hAnsi="Simplified Arabic" w:cs="Simplified Arabic"/>
          <w:color w:val="000000" w:themeColor="text1"/>
          <w:kern w:val="0"/>
          <w:sz w:val="28"/>
          <w:szCs w:val="28"/>
          <w:rtl/>
          <w14:ligatures w14:val="none"/>
        </w:rPr>
        <w:t>سيتم إجراء الدراسة الميدانية وتوزيع الاستبانات وجمع البيانات خلال الفصل الدراسي الثاني من العام الجامعي 1446/1447هـ الموافق 2026م</w:t>
      </w:r>
      <w:r w:rsidRPr="00012BBF">
        <w:rPr>
          <w:rFonts w:ascii="Simplified Arabic" w:eastAsia="Times New Roman" w:hAnsi="Simplified Arabic" w:cs="Simplified Arabic"/>
          <w:color w:val="000000" w:themeColor="text1"/>
          <w:kern w:val="0"/>
          <w:sz w:val="28"/>
          <w:szCs w:val="28"/>
          <w14:ligatures w14:val="none"/>
        </w:rPr>
        <w:t>.</w:t>
      </w:r>
    </w:p>
    <w:p w14:paraId="5CE3A409" w14:textId="398885B0" w:rsidR="000D057A" w:rsidRPr="00012BBF" w:rsidRDefault="00552D1D" w:rsidP="009F37DB">
      <w:pPr>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012BBF">
        <w:rPr>
          <w:rFonts w:ascii="Simplified Arabic" w:eastAsia="Times New Roman" w:hAnsi="Simplified Arabic" w:cs="Simplified Arabic"/>
          <w:b/>
          <w:bCs/>
          <w:color w:val="000000" w:themeColor="text1"/>
          <w:kern w:val="0"/>
          <w:sz w:val="40"/>
          <w:szCs w:val="40"/>
          <w:rtl/>
          <w:lang w:bidi="ar-EG"/>
          <w14:ligatures w14:val="none"/>
        </w:rPr>
        <w:br w:type="page"/>
      </w:r>
      <w:bookmarkStart w:id="29" w:name="_Toc233239792"/>
      <w:r w:rsidRPr="00012BBF">
        <w:rPr>
          <w:rFonts w:ascii="Simplified Arabic" w:eastAsia="Times New Roman" w:hAnsi="Simplified Arabic" w:cs="Simplified Arabic" w:hint="cs"/>
          <w:b/>
          <w:bCs/>
          <w:color w:val="000000" w:themeColor="text1"/>
          <w:kern w:val="0"/>
          <w:sz w:val="40"/>
          <w:szCs w:val="40"/>
          <w:rtl/>
          <w:lang w:bidi="ar-EG"/>
          <w14:ligatures w14:val="none"/>
        </w:rPr>
        <w:lastRenderedPageBreak/>
        <w:t xml:space="preserve">الفصل الثاني: </w:t>
      </w:r>
      <w:r w:rsidR="000D057A" w:rsidRPr="00012BBF">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29"/>
    </w:p>
    <w:p w14:paraId="2418D1E6" w14:textId="77777777" w:rsidR="000D057A" w:rsidRPr="00012BBF" w:rsidRDefault="000D057A" w:rsidP="009F37DB">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lang w:bidi="ar-EG"/>
          <w14:ligatures w14:val="none"/>
        </w:rPr>
      </w:pPr>
      <w:bookmarkStart w:id="30" w:name="_Toc233239793"/>
      <w:r w:rsidRPr="00012BBF">
        <w:rPr>
          <w:rFonts w:ascii="Simplified Arabic" w:eastAsia="Times New Roman" w:hAnsi="Simplified Arabic" w:cs="Simplified Arabic"/>
          <w:b/>
          <w:bCs/>
          <w:color w:val="000000" w:themeColor="text1"/>
          <w:kern w:val="0"/>
          <w:sz w:val="36"/>
          <w:szCs w:val="36"/>
          <w:rtl/>
          <w14:ligatures w14:val="none"/>
        </w:rPr>
        <w:t>المبحث الأول: جودة التنسيق مع الجهات الحكومية</w:t>
      </w:r>
      <w:bookmarkEnd w:id="30"/>
    </w:p>
    <w:p w14:paraId="67393C38" w14:textId="5A414BE4" w:rsidR="000D057A" w:rsidRPr="00012BBF" w:rsidRDefault="009F37DB" w:rsidP="009F37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1" w:name="_Toc233239794"/>
      <w:r w:rsidRPr="00012BBF">
        <w:rPr>
          <w:rFonts w:ascii="Simplified Arabic" w:eastAsia="Times New Roman" w:hAnsi="Simplified Arabic" w:cs="Simplified Arabic" w:hint="cs"/>
          <w:b/>
          <w:bCs/>
          <w:color w:val="000000" w:themeColor="text1"/>
          <w:kern w:val="0"/>
          <w:sz w:val="32"/>
          <w:szCs w:val="32"/>
          <w:rtl/>
          <w14:ligatures w14:val="none"/>
        </w:rPr>
        <w:t xml:space="preserve">1.1.2 </w:t>
      </w:r>
      <w:r w:rsidR="000D057A" w:rsidRPr="00012BBF">
        <w:rPr>
          <w:rFonts w:ascii="Simplified Arabic" w:eastAsia="Times New Roman" w:hAnsi="Simplified Arabic" w:cs="Simplified Arabic"/>
          <w:b/>
          <w:bCs/>
          <w:color w:val="000000" w:themeColor="text1"/>
          <w:kern w:val="0"/>
          <w:sz w:val="32"/>
          <w:szCs w:val="32"/>
          <w:rtl/>
          <w14:ligatures w14:val="none"/>
        </w:rPr>
        <w:t>تمهيد</w:t>
      </w:r>
      <w:bookmarkEnd w:id="31"/>
    </w:p>
    <w:p w14:paraId="19C81E1E"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تُمثّل جودة التنسيق مع الجهات الحكومية أحد المرتكزات الجوهرية التي تنهض عليها كفاءة الأداء المؤسسي في القطاعات ذات الطابع التشغيلي المعقّد، ولا سيما في بيئات العمل عالية المخاطر كقطاع الطاقة، حيث تتشابك العلاقات بين المنشآت الإنتاجية ومنظومة واسعة من الجهات التنظيمية والرقابية والخدمية. وقد فرضت التحولات المتسارعة في منظومات الحوكمة، وتوسّع نطاق التشريعات الناظمة للنشاط الاقتصادي، وتصاعد الاهتمام بمعايير السلامة والاستدامة، ضرورةً ملحّةً لإعادة النظر في طبيعة العلاقة بين المنشآت والجهات الحكومية، بحيث تتجاوز كونها علاقة إجرائية شكلية إلى علاقة تكاملية قائمة على التوافق التنظيمي وانسياب المعلومات وتزامن القرارات. ومن هذا المنطلق، انتقل التنسيق من كونه وظيفة مساندة إلى كونه قدرة استراتيجية تُسهم في خفض كلفة الالتزام التنظيمي وتسريع دورة اتخاذ القرار وتقليص الاحتكاك بين المستويات الإدارية المختلفة</w:t>
      </w:r>
      <w:r w:rsidRPr="00012BBF">
        <w:rPr>
          <w:rFonts w:ascii="Simplified Arabic" w:eastAsia="Times New Roman" w:hAnsi="Simplified Arabic" w:cs="Simplified Arabic"/>
          <w:color w:val="000000" w:themeColor="text1"/>
          <w:kern w:val="0"/>
          <w:sz w:val="28"/>
          <w:szCs w:val="28"/>
          <w:lang w:bidi="ar-EG"/>
          <w14:ligatures w14:val="none"/>
        </w:rPr>
        <w:t>.</w:t>
      </w:r>
    </w:p>
    <w:p w14:paraId="2D381C59"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ويكتسب هذا المبحث أهميته من كون جودة التنسيق لم تعد تُقاس بمجرد تحقّق التواصل بين الأطراف، بل بمدى انضباط الإجراءات وفاعلية تبادل المعلومات وكفاءة المتابعة وتكامل الأنظمة، وهي عناصر تشكّل في مجموعها بنية متماسكة لجودة العلاقة البينية. وتتناول الفقرات التالية مفهوم جودة التنسيق مع الجهات الحكومية وأهميته وأهدافه وأبعاده واستراتيجياته، استنادًا إلى الإسهامات النظرية المتاحة في الأدبيات الإدارية الحديثة، مع الحرص على إبراز المداخل المختلفة التي تناولت هذا المفهوم بوصفه ظاهرة إدارية متعددة الأبعاد</w:t>
      </w:r>
      <w:r w:rsidRPr="00012BBF">
        <w:rPr>
          <w:rFonts w:ascii="Simplified Arabic" w:eastAsia="Times New Roman" w:hAnsi="Simplified Arabic" w:cs="Simplified Arabic"/>
          <w:color w:val="000000" w:themeColor="text1"/>
          <w:kern w:val="0"/>
          <w:sz w:val="28"/>
          <w:szCs w:val="28"/>
          <w:lang w:bidi="ar-EG"/>
          <w14:ligatures w14:val="none"/>
        </w:rPr>
        <w:t>.</w:t>
      </w:r>
    </w:p>
    <w:p w14:paraId="5CA445B1" w14:textId="09597346" w:rsidR="000D057A" w:rsidRPr="00012BBF" w:rsidRDefault="009F37DB" w:rsidP="009F37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2" w:name="_Toc233239795"/>
      <w:r w:rsidRPr="00012BBF">
        <w:rPr>
          <w:rFonts w:ascii="Simplified Arabic" w:eastAsia="Times New Roman" w:hAnsi="Simplified Arabic" w:cs="Simplified Arabic" w:hint="cs"/>
          <w:b/>
          <w:bCs/>
          <w:color w:val="000000" w:themeColor="text1"/>
          <w:kern w:val="0"/>
          <w:sz w:val="32"/>
          <w:szCs w:val="32"/>
          <w:rtl/>
          <w14:ligatures w14:val="none"/>
        </w:rPr>
        <w:t>2.1.2</w:t>
      </w:r>
      <w:r w:rsidR="000D057A" w:rsidRPr="00012BBF">
        <w:rPr>
          <w:rFonts w:ascii="Simplified Arabic" w:eastAsia="Times New Roman" w:hAnsi="Simplified Arabic" w:cs="Simplified Arabic"/>
          <w:b/>
          <w:bCs/>
          <w:color w:val="000000" w:themeColor="text1"/>
          <w:kern w:val="0"/>
          <w:sz w:val="32"/>
          <w:szCs w:val="32"/>
          <w:rtl/>
          <w14:ligatures w14:val="none"/>
        </w:rPr>
        <w:t xml:space="preserve"> مفهوم جودة التنسيق مع الجهات الحكومية</w:t>
      </w:r>
      <w:bookmarkEnd w:id="32"/>
    </w:p>
    <w:p w14:paraId="25127C75"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 xml:space="preserve">يُعدّ مفهوم التنسيق من المفاهيم الإدارية المتجذّرة في الفكر التنظيمي، غير أنّ إضافة قيد “الجودة” وربطه بالجهات الحكومية قد أكسبه أبعادًا جديدة تتصل بالعلاقات البينية بين المنشآت ومحيطها المؤسسي. ويُشير العبيدي (٢٠٢١) إلى أنّ التنسيق الإداري بين الجهات الحكومية يُمثّل عملية منظّمة تستهدف ضبط </w:t>
      </w:r>
      <w:r w:rsidRPr="00012BBF">
        <w:rPr>
          <w:rFonts w:ascii="Simplified Arabic" w:eastAsia="Times New Roman" w:hAnsi="Simplified Arabic" w:cs="Simplified Arabic"/>
          <w:color w:val="000000" w:themeColor="text1"/>
          <w:kern w:val="0"/>
          <w:sz w:val="28"/>
          <w:szCs w:val="28"/>
          <w:rtl/>
          <w14:ligatures w14:val="none"/>
        </w:rPr>
        <w:lastRenderedPageBreak/>
        <w:t>الجهود وتوجيهها نحو غايات مشتركة، بحيث تتكامل القرارات الصادرة عن المستويات المختلفة دون تعارض أو ازدواجية، وهو ما يجعله أحد أهم محدّدات الأداء في الأجهزة العامة. ومن منظور قريب، يرى مطر وسعيد (٢٠٢١) أنّ التنسيق ليس مجرد ترتيب إجرائي بين الجهات، بل هو منظومة متكاملة من الترتيبات الهيكلية والآليات الاتصالية التي تكفل انسجام السياسات وتجانس التطبيق بين الوحدات المركزية والمحلية</w:t>
      </w:r>
      <w:r w:rsidRPr="00012BBF">
        <w:rPr>
          <w:rFonts w:ascii="Simplified Arabic" w:eastAsia="Times New Roman" w:hAnsi="Simplified Arabic" w:cs="Simplified Arabic"/>
          <w:color w:val="000000" w:themeColor="text1"/>
          <w:kern w:val="0"/>
          <w:sz w:val="28"/>
          <w:szCs w:val="28"/>
          <w:lang w:bidi="ar-EG"/>
          <w14:ligatures w14:val="none"/>
        </w:rPr>
        <w:t>.</w:t>
      </w:r>
    </w:p>
    <w:p w14:paraId="513D5039"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وفي سياق أكثر شمولًا، يُعرّف الجمّل (بدون تاريخ) آليات التنسيق بأنّها مجموعة من القواعد والترتيبات الرسمية وغير الرسمية التي تربط بين الأجهزة الحكومية المختلفة، وتستهدف تجاوز ظواهر التشظّي الإداري والتداخل في الاختصاصات، بما يُحقق وحدة الفعل الإداري دون المساس باستقلالية الوحدات المعنية. وفي اتجاه مكمّل، يُقدّم صلاح وآخرون (٢٠٢١) قراءة وظيفية للتنسيق باعتباره فاعلية تتجلّى في القدرة على تحقيق التوافق بين الأطراف المختلفة عند مواجهة المواقف المعقّدة، وهو ما يُبرز البُعد الديناميكي للمفهوم الذي يتجاوز التعريفات الساكنة إلى التركيز على القدرة الفعلية على إنجاز الأهداف المشتركة</w:t>
      </w:r>
      <w:r w:rsidRPr="00012BBF">
        <w:rPr>
          <w:rFonts w:ascii="Simplified Arabic" w:eastAsia="Times New Roman" w:hAnsi="Simplified Arabic" w:cs="Simplified Arabic"/>
          <w:color w:val="000000" w:themeColor="text1"/>
          <w:kern w:val="0"/>
          <w:sz w:val="28"/>
          <w:szCs w:val="28"/>
          <w:lang w:bidi="ar-EG"/>
          <w14:ligatures w14:val="none"/>
        </w:rPr>
        <w:t>.</w:t>
      </w:r>
    </w:p>
    <w:p w14:paraId="383B6BA1"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وعلى المستوى الأجنبي، يُقدّم</w:t>
      </w:r>
      <w:r w:rsidRPr="00012BBF">
        <w:rPr>
          <w:rFonts w:ascii="Simplified Arabic" w:eastAsia="Times New Roman" w:hAnsi="Simplified Arabic" w:cs="Simplified Arabic"/>
          <w:color w:val="000000" w:themeColor="text1"/>
          <w:kern w:val="0"/>
          <w:sz w:val="28"/>
          <w:szCs w:val="28"/>
          <w:lang w:bidi="ar-EG"/>
          <w14:ligatures w14:val="none"/>
        </w:rPr>
        <w:t xml:space="preserve"> K</w:t>
      </w:r>
      <w:r w:rsidRPr="00012BBF">
        <w:rPr>
          <w:rFonts w:ascii="Cambria" w:eastAsia="Times New Roman" w:hAnsi="Cambria" w:cs="Cambria"/>
          <w:color w:val="000000" w:themeColor="text1"/>
          <w:kern w:val="0"/>
          <w:sz w:val="28"/>
          <w:szCs w:val="28"/>
          <w:lang w:bidi="ar-EG"/>
          <w14:ligatures w14:val="none"/>
        </w:rPr>
        <w:t>å</w:t>
      </w:r>
      <w:r w:rsidRPr="00012BBF">
        <w:rPr>
          <w:rFonts w:ascii="Simplified Arabic" w:eastAsia="Times New Roman" w:hAnsi="Simplified Arabic" w:cs="Simplified Arabic"/>
          <w:color w:val="000000" w:themeColor="text1"/>
          <w:kern w:val="0"/>
          <w:sz w:val="28"/>
          <w:szCs w:val="28"/>
          <w:lang w:bidi="ar-EG"/>
          <w14:ligatures w14:val="none"/>
        </w:rPr>
        <w:t xml:space="preserve">rtvedt (2024) </w:t>
      </w:r>
      <w:r w:rsidRPr="00012BBF">
        <w:rPr>
          <w:rFonts w:ascii="Simplified Arabic" w:eastAsia="Times New Roman" w:hAnsi="Simplified Arabic" w:cs="Simplified Arabic"/>
          <w:color w:val="000000" w:themeColor="text1"/>
          <w:kern w:val="0"/>
          <w:sz w:val="28"/>
          <w:szCs w:val="28"/>
          <w:rtl/>
          <w14:ligatures w14:val="none"/>
        </w:rPr>
        <w:t>رؤية أكثر تعمّقًا حين يصف جودة التنسيق بأنّها خاصية مركّبة تعكس مدى انسجام الإجراءات والمعلومات والقرارات بين الجهات المعنية بتقديم الخدمة العامة، مؤكّدًا أنّ الجودة هنا لا تُختزل في تحقّق الاتصال، بل في قيمته المضافة على مخرجات العملية الإدارية. وفي السياق ذاته، يرى</w:t>
      </w:r>
      <w:r w:rsidRPr="00012BBF">
        <w:rPr>
          <w:rFonts w:ascii="Simplified Arabic" w:eastAsia="Times New Roman" w:hAnsi="Simplified Arabic" w:cs="Simplified Arabic"/>
          <w:color w:val="000000" w:themeColor="text1"/>
          <w:kern w:val="0"/>
          <w:sz w:val="28"/>
          <w:szCs w:val="28"/>
          <w:lang w:bidi="ar-EG"/>
          <w14:ligatures w14:val="none"/>
        </w:rPr>
        <w:t xml:space="preserve"> Roberts &amp; Milman (2024) </w:t>
      </w:r>
      <w:r w:rsidRPr="00012BBF">
        <w:rPr>
          <w:rFonts w:ascii="Simplified Arabic" w:eastAsia="Times New Roman" w:hAnsi="Simplified Arabic" w:cs="Simplified Arabic"/>
          <w:color w:val="000000" w:themeColor="text1"/>
          <w:kern w:val="0"/>
          <w:sz w:val="28"/>
          <w:szCs w:val="28"/>
          <w:rtl/>
          <w14:ligatures w14:val="none"/>
        </w:rPr>
        <w:t>أنّ التنسيق بين الأجهزة يُمثّل نمطًا تكوينيًّا من العلاقات التي تتشكّل عبر مزيج من الترتيبات الرسمية والممارسات التفاعلية، بحيث تتحدد جودته بقدرته على إنتاج مخرجات منسّقة قابلة للقياس. ومن منظور أحدث، يُعرّف</w:t>
      </w:r>
      <w:r w:rsidRPr="00012BBF">
        <w:rPr>
          <w:rFonts w:ascii="Simplified Arabic" w:eastAsia="Times New Roman" w:hAnsi="Simplified Arabic" w:cs="Simplified Arabic"/>
          <w:color w:val="000000" w:themeColor="text1"/>
          <w:kern w:val="0"/>
          <w:sz w:val="28"/>
          <w:szCs w:val="28"/>
          <w:lang w:bidi="ar-EG"/>
          <w14:ligatures w14:val="none"/>
        </w:rPr>
        <w:t xml:space="preserve"> Syarien &amp; Samarah (2023) </w:t>
      </w:r>
      <w:r w:rsidRPr="00012BBF">
        <w:rPr>
          <w:rFonts w:ascii="Simplified Arabic" w:eastAsia="Times New Roman" w:hAnsi="Simplified Arabic" w:cs="Simplified Arabic"/>
          <w:color w:val="000000" w:themeColor="text1"/>
          <w:kern w:val="0"/>
          <w:sz w:val="28"/>
          <w:szCs w:val="28"/>
          <w:rtl/>
          <w14:ligatures w14:val="none"/>
        </w:rPr>
        <w:t>التنسيق بين الأجهزة بأنّه عملية ديناميكية تنطوي على محرّكات وأدوات وعوامل نجاح متشابكة، وهو ما يُحوّل الاهتمام من السؤال عن “ماهية” التنسيق إلى السؤال عن “شروط جودته</w:t>
      </w:r>
      <w:r w:rsidRPr="00012BBF">
        <w:rPr>
          <w:rFonts w:ascii="Simplified Arabic" w:eastAsia="Times New Roman" w:hAnsi="Simplified Arabic" w:cs="Simplified Arabic"/>
          <w:color w:val="000000" w:themeColor="text1"/>
          <w:kern w:val="0"/>
          <w:sz w:val="28"/>
          <w:szCs w:val="28"/>
          <w:lang w:bidi="ar-EG"/>
          <w14:ligatures w14:val="none"/>
        </w:rPr>
        <w:t>”.</w:t>
      </w:r>
    </w:p>
    <w:p w14:paraId="5A9CDFEB"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ويُقدّم</w:t>
      </w:r>
      <w:r w:rsidRPr="00012BBF">
        <w:rPr>
          <w:rFonts w:ascii="Simplified Arabic" w:eastAsia="Times New Roman" w:hAnsi="Simplified Arabic" w:cs="Simplified Arabic"/>
          <w:color w:val="000000" w:themeColor="text1"/>
          <w:kern w:val="0"/>
          <w:sz w:val="28"/>
          <w:szCs w:val="28"/>
          <w:lang w:bidi="ar-EG"/>
          <w14:ligatures w14:val="none"/>
        </w:rPr>
        <w:t xml:space="preserve"> Gustavsson (2023) </w:t>
      </w:r>
      <w:r w:rsidRPr="00012BBF">
        <w:rPr>
          <w:rFonts w:ascii="Simplified Arabic" w:eastAsia="Times New Roman" w:hAnsi="Simplified Arabic" w:cs="Simplified Arabic"/>
          <w:color w:val="000000" w:themeColor="text1"/>
          <w:kern w:val="0"/>
          <w:sz w:val="28"/>
          <w:szCs w:val="28"/>
          <w:rtl/>
          <w14:ligatures w14:val="none"/>
        </w:rPr>
        <w:t>إسهامًا نوعيًّا حين ينظر إلى التنسيق بوصفه ممارسة رشيقة، أي مجموعة من الترتيبات المرنة التي تستجيب للتغيّر في بيئات العمل، وهو ما يفتح المفهوم على بُعد تكيّفي يجعله أقرب إلى القدرات الديناميكية منه إلى الإجراءات الجامدة. ويُوسّع</w:t>
      </w:r>
      <w:r w:rsidRPr="00012BBF">
        <w:rPr>
          <w:rFonts w:ascii="Simplified Arabic" w:eastAsia="Times New Roman" w:hAnsi="Simplified Arabic" w:cs="Simplified Arabic"/>
          <w:color w:val="000000" w:themeColor="text1"/>
          <w:kern w:val="0"/>
          <w:sz w:val="28"/>
          <w:szCs w:val="28"/>
          <w:lang w:bidi="ar-EG"/>
          <w14:ligatures w14:val="none"/>
        </w:rPr>
        <w:t xml:space="preserve"> Musenze &amp; Mayende (2021) </w:t>
      </w:r>
      <w:r w:rsidRPr="00012BBF">
        <w:rPr>
          <w:rFonts w:ascii="Simplified Arabic" w:eastAsia="Times New Roman" w:hAnsi="Simplified Arabic" w:cs="Simplified Arabic"/>
          <w:color w:val="000000" w:themeColor="text1"/>
          <w:kern w:val="0"/>
          <w:sz w:val="28"/>
          <w:szCs w:val="28"/>
          <w:rtl/>
          <w14:ligatures w14:val="none"/>
        </w:rPr>
        <w:t>هذا الفهم حين يربطان بين التنسيق وجودة الخدمة في المنظمات الخدمية، مُقدّمَين قراءة كيفية تنظر إلى التنسيق باعتباره عملية تفاعلية تعتمد على وضوح الأدوار وكفاءة الاتصال البيني. وفي سياق التنسيق العمودي بين المستويات الإدارية المختلفة، يصف</w:t>
      </w:r>
      <w:r w:rsidRPr="00012BBF">
        <w:rPr>
          <w:rFonts w:ascii="Simplified Arabic" w:eastAsia="Times New Roman" w:hAnsi="Simplified Arabic" w:cs="Simplified Arabic"/>
          <w:color w:val="000000" w:themeColor="text1"/>
          <w:kern w:val="0"/>
          <w:sz w:val="28"/>
          <w:szCs w:val="28"/>
          <w:lang w:bidi="ar-EG"/>
          <w14:ligatures w14:val="none"/>
        </w:rPr>
        <w:t xml:space="preserve"> Campaz-Landaz</w:t>
      </w:r>
      <w:r w:rsidRPr="00012BBF">
        <w:rPr>
          <w:rFonts w:ascii="Cambria" w:eastAsia="Times New Roman" w:hAnsi="Cambria" w:cs="Cambria"/>
          <w:color w:val="000000" w:themeColor="text1"/>
          <w:kern w:val="0"/>
          <w:sz w:val="28"/>
          <w:szCs w:val="28"/>
          <w:lang w:bidi="ar-EG"/>
          <w14:ligatures w14:val="none"/>
        </w:rPr>
        <w:t>á</w:t>
      </w:r>
      <w:r w:rsidRPr="00012BBF">
        <w:rPr>
          <w:rFonts w:ascii="Simplified Arabic" w:eastAsia="Times New Roman" w:hAnsi="Simplified Arabic" w:cs="Simplified Arabic"/>
          <w:color w:val="000000" w:themeColor="text1"/>
          <w:kern w:val="0"/>
          <w:sz w:val="28"/>
          <w:szCs w:val="28"/>
          <w:lang w:bidi="ar-EG"/>
          <w14:ligatures w14:val="none"/>
        </w:rPr>
        <w:t xml:space="preserve">bal </w:t>
      </w:r>
      <w:r w:rsidRPr="00012BBF">
        <w:rPr>
          <w:rFonts w:ascii="Simplified Arabic" w:eastAsia="Times New Roman" w:hAnsi="Simplified Arabic" w:cs="Simplified Arabic"/>
          <w:color w:val="000000" w:themeColor="text1"/>
          <w:kern w:val="0"/>
          <w:sz w:val="28"/>
          <w:szCs w:val="28"/>
          <w:rtl/>
          <w14:ligatures w14:val="none"/>
        </w:rPr>
        <w:t xml:space="preserve">وآخرون (2024) </w:t>
      </w:r>
      <w:r w:rsidRPr="00012BBF">
        <w:rPr>
          <w:rFonts w:ascii="Simplified Arabic" w:eastAsia="Times New Roman" w:hAnsi="Simplified Arabic" w:cs="Simplified Arabic"/>
          <w:color w:val="000000" w:themeColor="text1"/>
          <w:kern w:val="0"/>
          <w:sz w:val="28"/>
          <w:szCs w:val="28"/>
          <w:rtl/>
          <w14:ligatures w14:val="none"/>
        </w:rPr>
        <w:lastRenderedPageBreak/>
        <w:t>التنسيق بأنّه آليات متكاملة تعتمد بشكل متزايد على تقنيات المعلومات والاتصالات لربط المستويات وتسريع تدفّق البيانات، وهو ما يُضيف بُعدًا تقنيًّا للمفهوم</w:t>
      </w:r>
      <w:r w:rsidRPr="00012BBF">
        <w:rPr>
          <w:rFonts w:ascii="Simplified Arabic" w:eastAsia="Times New Roman" w:hAnsi="Simplified Arabic" w:cs="Simplified Arabic"/>
          <w:color w:val="000000" w:themeColor="text1"/>
          <w:kern w:val="0"/>
          <w:sz w:val="28"/>
          <w:szCs w:val="28"/>
          <w:lang w:bidi="ar-EG"/>
          <w14:ligatures w14:val="none"/>
        </w:rPr>
        <w:t>.</w:t>
      </w:r>
    </w:p>
    <w:p w14:paraId="4F4731CE"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وانطلاقًا من استعراض هذه التعريفات، يرى الباحث أنّ جودة التنسيق مع الجهات الحكومية يُمكن تعريفها إجرائيًّا بأنّها: “الدرجة التي تتحقّق بها سلاسة العلاقة التشغيلية بين المنشأة والجهات الحكومية ذات العلاقة، من خلال وضوح الإجراءات التنظيمية، وانسياب المعلومات في الاتجاهين، وكفاءة آليات المتابعة والاستجابة، وتحقّق التكامل بين الأنظمة والسياسات، بما يُخفّض كلفة الالتزام التنظيمي ويُعزّز قدرة المنشأة على التركيز في نشاطها الجوهري”. ويُلاحظ الباحث أنّ التعريفات السابقة، رغم تنوّع مداخلها، تلتقي عند جوهر مشترك مفاده أنّ الجودة في التنسيق ليست خاصية شكلية في العلاقة، بل خاصية وظيفية تتجلّى في قيمتها المضافة على الأداء، وهو ما يُبرّر تبنّي مقاربة متعددة الأبعاد في قياسها</w:t>
      </w:r>
      <w:r w:rsidRPr="00012BBF">
        <w:rPr>
          <w:rFonts w:ascii="Simplified Arabic" w:eastAsia="Times New Roman" w:hAnsi="Simplified Arabic" w:cs="Simplified Arabic"/>
          <w:color w:val="000000" w:themeColor="text1"/>
          <w:kern w:val="0"/>
          <w:sz w:val="28"/>
          <w:szCs w:val="28"/>
          <w:lang w:bidi="ar-EG"/>
          <w14:ligatures w14:val="none"/>
        </w:rPr>
        <w:t>.</w:t>
      </w:r>
    </w:p>
    <w:p w14:paraId="794E9A34" w14:textId="02957BAB" w:rsidR="000D057A" w:rsidRPr="00012BBF" w:rsidRDefault="009F37DB" w:rsidP="009F37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3" w:name="_Toc233239796"/>
      <w:r w:rsidRPr="00012BBF">
        <w:rPr>
          <w:rFonts w:ascii="Simplified Arabic" w:eastAsia="Times New Roman" w:hAnsi="Simplified Arabic" w:cs="Simplified Arabic" w:hint="cs"/>
          <w:b/>
          <w:bCs/>
          <w:color w:val="000000" w:themeColor="text1"/>
          <w:kern w:val="0"/>
          <w:sz w:val="32"/>
          <w:szCs w:val="32"/>
          <w:rtl/>
          <w14:ligatures w14:val="none"/>
        </w:rPr>
        <w:t>3.1.2</w:t>
      </w:r>
      <w:r w:rsidR="000D057A" w:rsidRPr="00012BBF">
        <w:rPr>
          <w:rFonts w:ascii="Simplified Arabic" w:eastAsia="Times New Roman" w:hAnsi="Simplified Arabic" w:cs="Simplified Arabic"/>
          <w:b/>
          <w:bCs/>
          <w:color w:val="000000" w:themeColor="text1"/>
          <w:kern w:val="0"/>
          <w:sz w:val="32"/>
          <w:szCs w:val="32"/>
          <w:rtl/>
          <w14:ligatures w14:val="none"/>
        </w:rPr>
        <w:t xml:space="preserve"> أهمية جودة التنسيق مع الجهات الحكومية</w:t>
      </w:r>
      <w:bookmarkEnd w:id="33"/>
    </w:p>
    <w:p w14:paraId="577EAC15"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تستمد جودة التنسيق مع الجهات الحكومية أهميتها من موقعها بوصفها همزة الوصل بين البيئة التنظيمية الخارجية والبيئة التشغيلية الداخلية للمنشآت، إذ تتوقّف عليها قدرة المنشأة على استيعاب المتطلّبات النظامية وتحويلها إلى ممارسات تشغيلية انسيابية. وتتضاعف هذه الأهمية في البيئات عالية المخاطر كقطاع الطاقة، حيث يُلقي تعدّد الجهات الرقابية وتشعّب التشريعات أعباءً تنظيمية ثقيلة قد تتحوّل، في غياب التنسيق الجيّد، إلى مصدر للاحتكاك المستمر وتعطيل العمليات</w:t>
      </w:r>
      <w:r w:rsidRPr="00012BBF">
        <w:rPr>
          <w:rFonts w:ascii="Simplified Arabic" w:eastAsia="Times New Roman" w:hAnsi="Simplified Arabic" w:cs="Simplified Arabic"/>
          <w:color w:val="000000" w:themeColor="text1"/>
          <w:kern w:val="0"/>
          <w:sz w:val="28"/>
          <w:szCs w:val="28"/>
          <w:lang w:bidi="ar-EG"/>
          <w14:ligatures w14:val="none"/>
        </w:rPr>
        <w:t>.</w:t>
      </w:r>
    </w:p>
    <w:p w14:paraId="319C90C0"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ويُشير العبيدي (٢٠٢١) إلى أنّ أهمية التنسيق تتمظهر في عدة محاور، أوّلها أنّه يُمثّل أداة لتحقيق وحدة الفعل الإداري بين الجهات المتعدّدة، وثانيها أنّه يُسهم في تجنّب الازدواجية وتعارض القرارات التي قد تنشأ عن استقلالية الوحدات، وثالثها أنّه يُعزّز كفاءة استثمار الموارد عبر منع الهدر الناجم عن تكرار الجهود، ورابعها أنّه يُوفّر إطارًا مرجعيًّا يُمكّن صانعي القرار من رؤية المشهد التنظيمي بصورة متكاملة بدلًا من الاكتفاء بمنظور جزئي محدود</w:t>
      </w:r>
      <w:r w:rsidRPr="00012BBF">
        <w:rPr>
          <w:rFonts w:ascii="Simplified Arabic" w:eastAsia="Times New Roman" w:hAnsi="Simplified Arabic" w:cs="Simplified Arabic"/>
          <w:color w:val="000000" w:themeColor="text1"/>
          <w:kern w:val="0"/>
          <w:sz w:val="28"/>
          <w:szCs w:val="28"/>
          <w:lang w:bidi="ar-EG"/>
          <w14:ligatures w14:val="none"/>
        </w:rPr>
        <w:t>.</w:t>
      </w:r>
    </w:p>
    <w:p w14:paraId="5E69D789"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 xml:space="preserve">ويرى مطر وسعيد (٢٠٢١) أنّ أهمية التنسيق تنبع كذلك من دوره في تحسين الأداء البلدي والمؤسسي، إذ يُمثّل الجسر الذي تنتقل عبره السياسات العامة من المستوى المركزي إلى مستوى التطبيق، وأنّ غيابه أو ضعفه يُحوّل التشريعات الجيّدة إلى نصوص معطّلة لا تجد طريقها إلى الواقع التطبيقي. ويُضيف الجمّل (بدون تاريخ) بُعدًا آخر للأهمية حين يُشير إلى أنّ آليات التنسيق بين الحكومة المركزية والوحدات المحلية </w:t>
      </w:r>
      <w:r w:rsidRPr="00012BBF">
        <w:rPr>
          <w:rFonts w:ascii="Simplified Arabic" w:eastAsia="Times New Roman" w:hAnsi="Simplified Arabic" w:cs="Simplified Arabic"/>
          <w:color w:val="000000" w:themeColor="text1"/>
          <w:kern w:val="0"/>
          <w:sz w:val="28"/>
          <w:szCs w:val="28"/>
          <w:rtl/>
          <w14:ligatures w14:val="none"/>
        </w:rPr>
        <w:lastRenderedPageBreak/>
        <w:t>تُسهم في تحسين أداء أجهزة الإدارة المحلية، ليس فقط من خلال ضبط العلاقات الرأسية، بل عبر بناء قدرات تكاملية تُتيح للوحدات الأدنى أداء أدوارها بفاعلية ضمن إطار وطني موحّد</w:t>
      </w:r>
      <w:r w:rsidRPr="00012BBF">
        <w:rPr>
          <w:rFonts w:ascii="Simplified Arabic" w:eastAsia="Times New Roman" w:hAnsi="Simplified Arabic" w:cs="Simplified Arabic"/>
          <w:color w:val="000000" w:themeColor="text1"/>
          <w:kern w:val="0"/>
          <w:sz w:val="28"/>
          <w:szCs w:val="28"/>
          <w:lang w:bidi="ar-EG"/>
          <w14:ligatures w14:val="none"/>
        </w:rPr>
        <w:t>.</w:t>
      </w:r>
    </w:p>
    <w:p w14:paraId="1D7E8F0B"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ومن منظور تكميلي، يُبرز عيسى والغربان (٢٠٢٢) أنّ التعاون والتنسيق يُمثّلان رافعتين لجودة العمل في الوظائف الفنية المتخصّصة، مؤكّدَين أنّ غياب التنسيق يُولّد فجوات معلوماتية تنعكس سلبًا على دقّة الأحكام المهنية وكفاءتها. ويذهب أبو نعموس وآخرون (٢٠٢١) إلى أنّ فاعلية التنسيق بين الجهات تكتسب أهمية خاصة في المواقف التي تتطلّب استجابة سريعة ومتزامنة، حيث يُصبح التنسيق شرطًا وجوديًّا لنجاح التدخّل وليس مجرد عامل من عوامل تحسينه</w:t>
      </w:r>
      <w:r w:rsidRPr="00012BBF">
        <w:rPr>
          <w:rFonts w:ascii="Simplified Arabic" w:eastAsia="Times New Roman" w:hAnsi="Simplified Arabic" w:cs="Simplified Arabic"/>
          <w:color w:val="000000" w:themeColor="text1"/>
          <w:kern w:val="0"/>
          <w:sz w:val="28"/>
          <w:szCs w:val="28"/>
          <w:lang w:bidi="ar-EG"/>
          <w14:ligatures w14:val="none"/>
        </w:rPr>
        <w:t>.</w:t>
      </w:r>
    </w:p>
    <w:p w14:paraId="1B425E88"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وعلى المستوى الأجنبي، يرى</w:t>
      </w:r>
      <w:r w:rsidRPr="00012BBF">
        <w:rPr>
          <w:rFonts w:ascii="Simplified Arabic" w:eastAsia="Times New Roman" w:hAnsi="Simplified Arabic" w:cs="Simplified Arabic"/>
          <w:color w:val="000000" w:themeColor="text1"/>
          <w:kern w:val="0"/>
          <w:sz w:val="28"/>
          <w:szCs w:val="28"/>
          <w:lang w:bidi="ar-EG"/>
          <w14:ligatures w14:val="none"/>
        </w:rPr>
        <w:t xml:space="preserve"> Judijanto </w:t>
      </w:r>
      <w:r w:rsidRPr="00012BBF">
        <w:rPr>
          <w:rFonts w:ascii="Simplified Arabic" w:eastAsia="Times New Roman" w:hAnsi="Simplified Arabic" w:cs="Simplified Arabic"/>
          <w:color w:val="000000" w:themeColor="text1"/>
          <w:kern w:val="0"/>
          <w:sz w:val="28"/>
          <w:szCs w:val="28"/>
          <w:rtl/>
          <w14:ligatures w14:val="none"/>
        </w:rPr>
        <w:t>وآخرون (2024) أنّ التنسيق بين الأجهزة يُمثّل أحد المحدّدات الجوهرية لفاعلية الخدمات العامة إلى جانب جودة التنظيم والقدرة المؤسسية، وأنّه يُسهم في تحسين تجربة المستفيدين عبر تقليص أوقات الإنجاز وتبسيط مسارات الخدمة. ويُؤكّد</w:t>
      </w:r>
      <w:r w:rsidRPr="00012BBF">
        <w:rPr>
          <w:rFonts w:ascii="Simplified Arabic" w:eastAsia="Times New Roman" w:hAnsi="Simplified Arabic" w:cs="Simplified Arabic"/>
          <w:color w:val="000000" w:themeColor="text1"/>
          <w:kern w:val="0"/>
          <w:sz w:val="28"/>
          <w:szCs w:val="28"/>
          <w:lang w:bidi="ar-EG"/>
          <w14:ligatures w14:val="none"/>
        </w:rPr>
        <w:t xml:space="preserve"> Mustaki &amp; Abdussamad (2025) </w:t>
      </w:r>
      <w:r w:rsidRPr="00012BBF">
        <w:rPr>
          <w:rFonts w:ascii="Simplified Arabic" w:eastAsia="Times New Roman" w:hAnsi="Simplified Arabic" w:cs="Simplified Arabic"/>
          <w:color w:val="000000" w:themeColor="text1"/>
          <w:kern w:val="0"/>
          <w:sz w:val="28"/>
          <w:szCs w:val="28"/>
          <w:rtl/>
          <w14:ligatures w14:val="none"/>
        </w:rPr>
        <w:t>أنّ أهمية التنسيق تتجلّى في انعكاسه المباشر على فاعلية أداء العاملين، إذ يُهيّئ بيئة عمل أكثر انسيابية تُقلّل من مصادر الإحباط الإجرائي وتُتيح للموظفين التركيز على المهام ذات القيمة المضافة. ويُوسّع</w:t>
      </w:r>
      <w:r w:rsidRPr="00012BBF">
        <w:rPr>
          <w:rFonts w:ascii="Simplified Arabic" w:eastAsia="Times New Roman" w:hAnsi="Simplified Arabic" w:cs="Simplified Arabic"/>
          <w:color w:val="000000" w:themeColor="text1"/>
          <w:kern w:val="0"/>
          <w:sz w:val="28"/>
          <w:szCs w:val="28"/>
          <w:lang w:bidi="ar-EG"/>
          <w14:ligatures w14:val="none"/>
        </w:rPr>
        <w:t xml:space="preserve"> K</w:t>
      </w:r>
      <w:r w:rsidRPr="00012BBF">
        <w:rPr>
          <w:rFonts w:ascii="Cambria" w:eastAsia="Times New Roman" w:hAnsi="Cambria" w:cs="Cambria"/>
          <w:color w:val="000000" w:themeColor="text1"/>
          <w:kern w:val="0"/>
          <w:sz w:val="28"/>
          <w:szCs w:val="28"/>
          <w:lang w:bidi="ar-EG"/>
          <w14:ligatures w14:val="none"/>
        </w:rPr>
        <w:t>å</w:t>
      </w:r>
      <w:r w:rsidRPr="00012BBF">
        <w:rPr>
          <w:rFonts w:ascii="Simplified Arabic" w:eastAsia="Times New Roman" w:hAnsi="Simplified Arabic" w:cs="Simplified Arabic"/>
          <w:color w:val="000000" w:themeColor="text1"/>
          <w:kern w:val="0"/>
          <w:sz w:val="28"/>
          <w:szCs w:val="28"/>
          <w:lang w:bidi="ar-EG"/>
          <w14:ligatures w14:val="none"/>
        </w:rPr>
        <w:t xml:space="preserve">rtvedt (2024) </w:t>
      </w:r>
      <w:r w:rsidRPr="00012BBF">
        <w:rPr>
          <w:rFonts w:ascii="Simplified Arabic" w:eastAsia="Times New Roman" w:hAnsi="Simplified Arabic" w:cs="Simplified Arabic"/>
          <w:color w:val="000000" w:themeColor="text1"/>
          <w:kern w:val="0"/>
          <w:sz w:val="28"/>
          <w:szCs w:val="28"/>
          <w:rtl/>
          <w14:ligatures w14:val="none"/>
        </w:rPr>
        <w:t>دائرة الأهمية حين يربط جودة التنسيق بجودة تقديم الخدمة العامة بوجه عام، معتبرًا إيّاها متغيرًا تفسيريًّا مركزيًّا لفهم التباين في مخرجات الأجهزة العامة</w:t>
      </w:r>
      <w:r w:rsidRPr="00012BBF">
        <w:rPr>
          <w:rFonts w:ascii="Simplified Arabic" w:eastAsia="Times New Roman" w:hAnsi="Simplified Arabic" w:cs="Simplified Arabic"/>
          <w:color w:val="000000" w:themeColor="text1"/>
          <w:kern w:val="0"/>
          <w:sz w:val="28"/>
          <w:szCs w:val="28"/>
          <w:lang w:bidi="ar-EG"/>
          <w14:ligatures w14:val="none"/>
        </w:rPr>
        <w:t>.</w:t>
      </w:r>
    </w:p>
    <w:p w14:paraId="5C315076"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ويُشير</w:t>
      </w:r>
      <w:r w:rsidRPr="00012BBF">
        <w:rPr>
          <w:rFonts w:ascii="Simplified Arabic" w:eastAsia="Times New Roman" w:hAnsi="Simplified Arabic" w:cs="Simplified Arabic"/>
          <w:color w:val="000000" w:themeColor="text1"/>
          <w:kern w:val="0"/>
          <w:sz w:val="28"/>
          <w:szCs w:val="28"/>
          <w:lang w:bidi="ar-EG"/>
          <w14:ligatures w14:val="none"/>
        </w:rPr>
        <w:t xml:space="preserve"> Roberts &amp; Milman (2024) </w:t>
      </w:r>
      <w:r w:rsidRPr="00012BBF">
        <w:rPr>
          <w:rFonts w:ascii="Simplified Arabic" w:eastAsia="Times New Roman" w:hAnsi="Simplified Arabic" w:cs="Simplified Arabic"/>
          <w:color w:val="000000" w:themeColor="text1"/>
          <w:kern w:val="0"/>
          <w:sz w:val="28"/>
          <w:szCs w:val="28"/>
          <w:rtl/>
          <w14:ligatures w14:val="none"/>
        </w:rPr>
        <w:t>إلى أنّ أهمية التنسيق تتجاوز البُعد التشغيلي إلى البُعد الاستراتيجي، إذ تتحدّد على أساسه قدرة الأجهزة المتعدّدة على إنتاج مخرجات منسّقة تعكس وحدة الرؤية رغم تعدّد الفاعلين. ويُضيف</w:t>
      </w:r>
      <w:r w:rsidRPr="00012BBF">
        <w:rPr>
          <w:rFonts w:ascii="Simplified Arabic" w:eastAsia="Times New Roman" w:hAnsi="Simplified Arabic" w:cs="Simplified Arabic"/>
          <w:color w:val="000000" w:themeColor="text1"/>
          <w:kern w:val="0"/>
          <w:sz w:val="28"/>
          <w:szCs w:val="28"/>
          <w:lang w:bidi="ar-EG"/>
          <w14:ligatures w14:val="none"/>
        </w:rPr>
        <w:t xml:space="preserve"> Syarien &amp; Samarah (2023) </w:t>
      </w:r>
      <w:r w:rsidRPr="00012BBF">
        <w:rPr>
          <w:rFonts w:ascii="Simplified Arabic" w:eastAsia="Times New Roman" w:hAnsi="Simplified Arabic" w:cs="Simplified Arabic"/>
          <w:color w:val="000000" w:themeColor="text1"/>
          <w:kern w:val="0"/>
          <w:sz w:val="28"/>
          <w:szCs w:val="28"/>
          <w:rtl/>
          <w14:ligatures w14:val="none"/>
        </w:rPr>
        <w:t>أنّ أهمية التنسيق تتعمّق في ظلّ تصاعد التعقيد المؤسسي وتشابك القضايا العابرة للقطاعات، حيث لا يُمكن لأيّ جهة منفردة معالجة هذه القضايا دون شراكة فاعلة مع نظيراتها. ويرى الباحث أنّ هذه الأهمية تتضاعف في سياق شركات الطاقة بمدينة الدمام، نظرًا لما يفرضه القطاع من تعدّد في الجهات الرقابية المعنية بالسلامة والبيئة والعمل والاستيراد والتصدير، وهو ما يجعل جودة التنسيق متغيرًا مفسّرًا جوهريًّا لقدرة هذه الشركات على الاحتفاظ بكفاءاتها وتوفير تجربة عمل سلسة لموظفيها</w:t>
      </w:r>
      <w:r w:rsidRPr="00012BBF">
        <w:rPr>
          <w:rFonts w:ascii="Simplified Arabic" w:eastAsia="Times New Roman" w:hAnsi="Simplified Arabic" w:cs="Simplified Arabic"/>
          <w:color w:val="000000" w:themeColor="text1"/>
          <w:kern w:val="0"/>
          <w:sz w:val="28"/>
          <w:szCs w:val="28"/>
          <w:lang w:bidi="ar-EG"/>
          <w14:ligatures w14:val="none"/>
        </w:rPr>
        <w:t>.</w:t>
      </w:r>
    </w:p>
    <w:p w14:paraId="6AE89C86" w14:textId="2E121839" w:rsidR="000D057A" w:rsidRPr="00012BBF" w:rsidRDefault="009F37DB" w:rsidP="009F37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4" w:name="_Toc233239797"/>
      <w:r w:rsidRPr="00012BBF">
        <w:rPr>
          <w:rFonts w:ascii="Simplified Arabic" w:eastAsia="Times New Roman" w:hAnsi="Simplified Arabic" w:cs="Simplified Arabic" w:hint="cs"/>
          <w:b/>
          <w:bCs/>
          <w:color w:val="000000" w:themeColor="text1"/>
          <w:kern w:val="0"/>
          <w:sz w:val="32"/>
          <w:szCs w:val="32"/>
          <w:rtl/>
          <w14:ligatures w14:val="none"/>
        </w:rPr>
        <w:t>4.1.2</w:t>
      </w:r>
      <w:r w:rsidR="000D057A" w:rsidRPr="00012BBF">
        <w:rPr>
          <w:rFonts w:ascii="Simplified Arabic" w:eastAsia="Times New Roman" w:hAnsi="Simplified Arabic" w:cs="Simplified Arabic"/>
          <w:b/>
          <w:bCs/>
          <w:color w:val="000000" w:themeColor="text1"/>
          <w:kern w:val="0"/>
          <w:sz w:val="32"/>
          <w:szCs w:val="32"/>
          <w:rtl/>
          <w14:ligatures w14:val="none"/>
        </w:rPr>
        <w:t xml:space="preserve"> أهداف جودة التنسيق مع الجهات الحكومية</w:t>
      </w:r>
      <w:bookmarkEnd w:id="34"/>
    </w:p>
    <w:p w14:paraId="78C9C2D4"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lastRenderedPageBreak/>
        <w:t>تتعدّد الأهداف التي يسعى التنسيق الجيّد مع الجهات الحكومية إلى تحقيقها، وتتشكّل هذه الأهداف في ضوء طبيعة العلاقة بين المنشأة ومحيطها المؤسسي ودرجة تعقيد البيئة التنظيمية التي تعمل ضمنها. وقد تناولت الأدبيات هذه الأهداف من زوايا مختلفة يُمكن استعراضها على النحو التالي</w:t>
      </w:r>
      <w:r w:rsidRPr="00012BBF">
        <w:rPr>
          <w:rFonts w:ascii="Simplified Arabic" w:eastAsia="Times New Roman" w:hAnsi="Simplified Arabic" w:cs="Simplified Arabic"/>
          <w:color w:val="000000" w:themeColor="text1"/>
          <w:kern w:val="0"/>
          <w:sz w:val="28"/>
          <w:szCs w:val="28"/>
          <w:lang w:bidi="ar-EG"/>
          <w14:ligatures w14:val="none"/>
        </w:rPr>
        <w:t>:</w:t>
      </w:r>
    </w:p>
    <w:p w14:paraId="6F442C7C"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يرى مطر وسعيد (٢٠٢١) أنّ التنسيق يسعى إلى تحقيق جملة من الأهداف الجوهرية، يُمكن إجمالها فيما يأتي</w:t>
      </w:r>
      <w:r w:rsidRPr="00012BBF">
        <w:rPr>
          <w:rFonts w:ascii="Simplified Arabic" w:eastAsia="Times New Roman" w:hAnsi="Simplified Arabic" w:cs="Simplified Arabic"/>
          <w:color w:val="000000" w:themeColor="text1"/>
          <w:kern w:val="0"/>
          <w:sz w:val="28"/>
          <w:szCs w:val="28"/>
          <w:lang w:bidi="ar-EG"/>
          <w14:ligatures w14:val="none"/>
        </w:rPr>
        <w:t>:</w:t>
      </w:r>
    </w:p>
    <w:p w14:paraId="256B796D" w14:textId="77777777" w:rsidR="000D057A" w:rsidRPr="00012BBF" w:rsidRDefault="000D057A" w:rsidP="00A84068">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ضمان انسجام السياسات بين المستويات الإدارية المختلفة بحيث لا تتعارض القرارات الصادرة عن جهة مع تلك الصادرة عن جهة أخرى</w:t>
      </w:r>
      <w:r w:rsidRPr="00012BBF">
        <w:rPr>
          <w:rFonts w:ascii="Simplified Arabic" w:eastAsia="Times New Roman" w:hAnsi="Simplified Arabic" w:cs="Simplified Arabic"/>
          <w:color w:val="000000" w:themeColor="text1"/>
          <w:kern w:val="0"/>
          <w:sz w:val="28"/>
          <w:szCs w:val="28"/>
          <w:lang w:bidi="ar-EG"/>
          <w14:ligatures w14:val="none"/>
        </w:rPr>
        <w:t>.</w:t>
      </w:r>
    </w:p>
    <w:p w14:paraId="271DFF20" w14:textId="77777777" w:rsidR="000D057A" w:rsidRPr="00012BBF" w:rsidRDefault="000D057A" w:rsidP="00A84068">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تحسين كفاءة استخدام الموارد العامة عبر تجنّب الازدواجية في المهام وتداخل الاختصاصات</w:t>
      </w:r>
      <w:r w:rsidRPr="00012BBF">
        <w:rPr>
          <w:rFonts w:ascii="Simplified Arabic" w:eastAsia="Times New Roman" w:hAnsi="Simplified Arabic" w:cs="Simplified Arabic"/>
          <w:color w:val="000000" w:themeColor="text1"/>
          <w:kern w:val="0"/>
          <w:sz w:val="28"/>
          <w:szCs w:val="28"/>
          <w:lang w:bidi="ar-EG"/>
          <w14:ligatures w14:val="none"/>
        </w:rPr>
        <w:t>.</w:t>
      </w:r>
    </w:p>
    <w:p w14:paraId="44D12EC3" w14:textId="77777777" w:rsidR="000D057A" w:rsidRPr="00012BBF" w:rsidRDefault="000D057A" w:rsidP="00A84068">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تعزيز قدرة الأجهزة على الاستجابة للتحدّيات المعقّدة التي تتجاوز نطاق اختصاص جهة منفردة</w:t>
      </w:r>
      <w:r w:rsidRPr="00012BBF">
        <w:rPr>
          <w:rFonts w:ascii="Simplified Arabic" w:eastAsia="Times New Roman" w:hAnsi="Simplified Arabic" w:cs="Simplified Arabic"/>
          <w:color w:val="000000" w:themeColor="text1"/>
          <w:kern w:val="0"/>
          <w:sz w:val="28"/>
          <w:szCs w:val="28"/>
          <w:lang w:bidi="ar-EG"/>
          <w14:ligatures w14:val="none"/>
        </w:rPr>
        <w:t>.</w:t>
      </w:r>
    </w:p>
    <w:p w14:paraId="27FBDB43"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ويُضيف الجمّل (بدون تاريخ) أنّ آليات التنسيق تستهدف تحقيق أهداف أعمق تتصل بـ</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04176CD0" w14:textId="77777777" w:rsidR="000D057A" w:rsidRPr="00012BBF" w:rsidRDefault="000D057A" w:rsidP="00A84068">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بناء وحدة الفعل الإداري الوطني مع الحفاظ على خصوصية الوحدات المحلية</w:t>
      </w:r>
      <w:r w:rsidRPr="00012BBF">
        <w:rPr>
          <w:rFonts w:ascii="Simplified Arabic" w:eastAsia="Times New Roman" w:hAnsi="Simplified Arabic" w:cs="Simplified Arabic"/>
          <w:color w:val="000000" w:themeColor="text1"/>
          <w:kern w:val="0"/>
          <w:sz w:val="28"/>
          <w:szCs w:val="28"/>
          <w:lang w:bidi="ar-EG"/>
          <w14:ligatures w14:val="none"/>
        </w:rPr>
        <w:t>.</w:t>
      </w:r>
    </w:p>
    <w:p w14:paraId="11B62861" w14:textId="77777777" w:rsidR="000D057A" w:rsidRPr="00012BBF" w:rsidRDefault="000D057A" w:rsidP="00A84068">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تجاوز ظاهرة التشظّي المؤسسي التي تُولّدها التخصّصية المفرطة في الهياكل الإدارية</w:t>
      </w:r>
      <w:r w:rsidRPr="00012BBF">
        <w:rPr>
          <w:rFonts w:ascii="Simplified Arabic" w:eastAsia="Times New Roman" w:hAnsi="Simplified Arabic" w:cs="Simplified Arabic"/>
          <w:color w:val="000000" w:themeColor="text1"/>
          <w:kern w:val="0"/>
          <w:sz w:val="28"/>
          <w:szCs w:val="28"/>
          <w:lang w:bidi="ar-EG"/>
          <w14:ligatures w14:val="none"/>
        </w:rPr>
        <w:t>.</w:t>
      </w:r>
    </w:p>
    <w:p w14:paraId="1437C94A" w14:textId="77777777" w:rsidR="000D057A" w:rsidRPr="00012BBF" w:rsidRDefault="000D057A" w:rsidP="00A84068">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تعزيز قدرة الحكومة المركزية على متابعة تنفيذ السياسات دون الانزلاق إلى المركزية المُفرطة المُعطّلة لروح اللامركزية</w:t>
      </w:r>
      <w:r w:rsidRPr="00012BBF">
        <w:rPr>
          <w:rFonts w:ascii="Simplified Arabic" w:eastAsia="Times New Roman" w:hAnsi="Simplified Arabic" w:cs="Simplified Arabic"/>
          <w:color w:val="000000" w:themeColor="text1"/>
          <w:kern w:val="0"/>
          <w:sz w:val="28"/>
          <w:szCs w:val="28"/>
          <w:lang w:bidi="ar-EG"/>
          <w14:ligatures w14:val="none"/>
        </w:rPr>
        <w:t>.</w:t>
      </w:r>
    </w:p>
    <w:p w14:paraId="3B31CA44"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ومن منظور عيسى والغربان (٢٠٢٢)، تتمحور أهداف التنسيق حول</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002956E4" w14:textId="77777777" w:rsidR="000D057A" w:rsidRPr="00012BBF" w:rsidRDefault="000D057A" w:rsidP="00A84068">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تحسين جودة المخرجات الفنية للوحدات المتخصّصة عبر إثراء المعلومات المتاحة لها</w:t>
      </w:r>
      <w:r w:rsidRPr="00012BBF">
        <w:rPr>
          <w:rFonts w:ascii="Simplified Arabic" w:eastAsia="Times New Roman" w:hAnsi="Simplified Arabic" w:cs="Simplified Arabic"/>
          <w:color w:val="000000" w:themeColor="text1"/>
          <w:kern w:val="0"/>
          <w:sz w:val="28"/>
          <w:szCs w:val="28"/>
          <w:lang w:bidi="ar-EG"/>
          <w14:ligatures w14:val="none"/>
        </w:rPr>
        <w:t>.</w:t>
      </w:r>
    </w:p>
    <w:p w14:paraId="4CF7278B" w14:textId="77777777" w:rsidR="000D057A" w:rsidRPr="00012BBF" w:rsidRDefault="000D057A" w:rsidP="00A84068">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رفع كفاءة الحكم المهني الذي يصدر عن المختصّين من خلال تزويدهم بصورة متكاملة عن الموقف</w:t>
      </w:r>
      <w:r w:rsidRPr="00012BBF">
        <w:rPr>
          <w:rFonts w:ascii="Simplified Arabic" w:eastAsia="Times New Roman" w:hAnsi="Simplified Arabic" w:cs="Simplified Arabic"/>
          <w:color w:val="000000" w:themeColor="text1"/>
          <w:kern w:val="0"/>
          <w:sz w:val="28"/>
          <w:szCs w:val="28"/>
          <w:lang w:bidi="ar-EG"/>
          <w14:ligatures w14:val="none"/>
        </w:rPr>
        <w:t>.</w:t>
      </w:r>
    </w:p>
    <w:p w14:paraId="40B4DA9C" w14:textId="77777777" w:rsidR="000D057A" w:rsidRPr="00012BBF" w:rsidRDefault="000D057A" w:rsidP="00A84068">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تقليص فجوات المعرفة بين الجهات المتعاملة في الملف الواحد</w:t>
      </w:r>
      <w:r w:rsidRPr="00012BBF">
        <w:rPr>
          <w:rFonts w:ascii="Simplified Arabic" w:eastAsia="Times New Roman" w:hAnsi="Simplified Arabic" w:cs="Simplified Arabic"/>
          <w:color w:val="000000" w:themeColor="text1"/>
          <w:kern w:val="0"/>
          <w:sz w:val="28"/>
          <w:szCs w:val="28"/>
          <w:lang w:bidi="ar-EG"/>
          <w14:ligatures w14:val="none"/>
        </w:rPr>
        <w:t>.</w:t>
      </w:r>
    </w:p>
    <w:p w14:paraId="75337619"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ويرى أبو نعموس وآخرون (٢٠٢١) أنّ التنسيق يستهدف</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52469EB5" w14:textId="77777777" w:rsidR="000D057A" w:rsidRPr="00012BBF" w:rsidRDefault="000D057A" w:rsidP="00A84068">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تحقيق الاستجابة المتزامنة للمواقف التي تتطلّب تدخّلًا سريعًا</w:t>
      </w:r>
      <w:r w:rsidRPr="00012BBF">
        <w:rPr>
          <w:rFonts w:ascii="Simplified Arabic" w:eastAsia="Times New Roman" w:hAnsi="Simplified Arabic" w:cs="Simplified Arabic"/>
          <w:color w:val="000000" w:themeColor="text1"/>
          <w:kern w:val="0"/>
          <w:sz w:val="28"/>
          <w:szCs w:val="28"/>
          <w:lang w:bidi="ar-EG"/>
          <w14:ligatures w14:val="none"/>
        </w:rPr>
        <w:t>.</w:t>
      </w:r>
    </w:p>
    <w:p w14:paraId="7A4368E1" w14:textId="77777777" w:rsidR="000D057A" w:rsidRPr="00012BBF" w:rsidRDefault="000D057A" w:rsidP="00A84068">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توحيد لغة العمل بين الفرق المنتمية إلى جهات مختلفة</w:t>
      </w:r>
      <w:r w:rsidRPr="00012BBF">
        <w:rPr>
          <w:rFonts w:ascii="Simplified Arabic" w:eastAsia="Times New Roman" w:hAnsi="Simplified Arabic" w:cs="Simplified Arabic"/>
          <w:color w:val="000000" w:themeColor="text1"/>
          <w:kern w:val="0"/>
          <w:sz w:val="28"/>
          <w:szCs w:val="28"/>
          <w:lang w:bidi="ar-EG"/>
          <w14:ligatures w14:val="none"/>
        </w:rPr>
        <w:t>.</w:t>
      </w:r>
    </w:p>
    <w:p w14:paraId="071B8BDC" w14:textId="77777777" w:rsidR="000D057A" w:rsidRPr="00012BBF" w:rsidRDefault="000D057A" w:rsidP="00A84068">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بناء ثقة متبادلة تُيسّر التعاون في المواقف المستقبلية</w:t>
      </w:r>
      <w:r w:rsidRPr="00012BBF">
        <w:rPr>
          <w:rFonts w:ascii="Simplified Arabic" w:eastAsia="Times New Roman" w:hAnsi="Simplified Arabic" w:cs="Simplified Arabic"/>
          <w:color w:val="000000" w:themeColor="text1"/>
          <w:kern w:val="0"/>
          <w:sz w:val="28"/>
          <w:szCs w:val="28"/>
          <w:lang w:bidi="ar-EG"/>
          <w14:ligatures w14:val="none"/>
        </w:rPr>
        <w:t>.</w:t>
      </w:r>
    </w:p>
    <w:p w14:paraId="46D11DCF"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lastRenderedPageBreak/>
        <w:t>وعلى المستوى الأجنبي، يُحدّد</w:t>
      </w:r>
      <w:r w:rsidRPr="00012BBF">
        <w:rPr>
          <w:rFonts w:ascii="Simplified Arabic" w:eastAsia="Times New Roman" w:hAnsi="Simplified Arabic" w:cs="Simplified Arabic"/>
          <w:b/>
          <w:bCs/>
          <w:color w:val="000000" w:themeColor="text1"/>
          <w:kern w:val="0"/>
          <w:sz w:val="28"/>
          <w:szCs w:val="28"/>
          <w:lang w:bidi="ar-EG"/>
          <w14:ligatures w14:val="none"/>
        </w:rPr>
        <w:t xml:space="preserve"> K</w:t>
      </w:r>
      <w:r w:rsidRPr="00012BBF">
        <w:rPr>
          <w:rFonts w:ascii="Cambria" w:eastAsia="Times New Roman" w:hAnsi="Cambria" w:cs="Cambria"/>
          <w:b/>
          <w:bCs/>
          <w:color w:val="000000" w:themeColor="text1"/>
          <w:kern w:val="0"/>
          <w:sz w:val="28"/>
          <w:szCs w:val="28"/>
          <w:lang w:bidi="ar-EG"/>
          <w14:ligatures w14:val="none"/>
        </w:rPr>
        <w:t>å</w:t>
      </w:r>
      <w:r w:rsidRPr="00012BBF">
        <w:rPr>
          <w:rFonts w:ascii="Simplified Arabic" w:eastAsia="Times New Roman" w:hAnsi="Simplified Arabic" w:cs="Simplified Arabic"/>
          <w:b/>
          <w:bCs/>
          <w:color w:val="000000" w:themeColor="text1"/>
          <w:kern w:val="0"/>
          <w:sz w:val="28"/>
          <w:szCs w:val="28"/>
          <w:lang w:bidi="ar-EG"/>
          <w14:ligatures w14:val="none"/>
        </w:rPr>
        <w:t xml:space="preserve">rtvedt (2024) </w:t>
      </w:r>
      <w:r w:rsidRPr="00012BBF">
        <w:rPr>
          <w:rFonts w:ascii="Simplified Arabic" w:eastAsia="Times New Roman" w:hAnsi="Simplified Arabic" w:cs="Simplified Arabic"/>
          <w:b/>
          <w:bCs/>
          <w:color w:val="000000" w:themeColor="text1"/>
          <w:kern w:val="0"/>
          <w:sz w:val="28"/>
          <w:szCs w:val="28"/>
          <w:rtl/>
          <w14:ligatures w14:val="none"/>
        </w:rPr>
        <w:t>أهدافًا أكثر دقّةً لجودة التنسيق، من أبرزها</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5F717274" w14:textId="77777777" w:rsidR="000D057A" w:rsidRPr="00012BBF" w:rsidRDefault="000D057A" w:rsidP="00A84068">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رفع جودة الخدمة المقدّمة للمستفيد النهائي عبر تقليص نقاط الاحتكاك بين الجهات</w:t>
      </w:r>
      <w:r w:rsidRPr="00012BBF">
        <w:rPr>
          <w:rFonts w:ascii="Simplified Arabic" w:eastAsia="Times New Roman" w:hAnsi="Simplified Arabic" w:cs="Simplified Arabic"/>
          <w:color w:val="000000" w:themeColor="text1"/>
          <w:kern w:val="0"/>
          <w:sz w:val="28"/>
          <w:szCs w:val="28"/>
          <w:lang w:bidi="ar-EG"/>
          <w14:ligatures w14:val="none"/>
        </w:rPr>
        <w:t>.</w:t>
      </w:r>
    </w:p>
    <w:p w14:paraId="1E40A755" w14:textId="77777777" w:rsidR="000D057A" w:rsidRPr="00012BBF" w:rsidRDefault="000D057A" w:rsidP="00A84068">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تخفيض كلفة المعاملات التنظيمية على المنشآت والأفراد</w:t>
      </w:r>
      <w:r w:rsidRPr="00012BBF">
        <w:rPr>
          <w:rFonts w:ascii="Simplified Arabic" w:eastAsia="Times New Roman" w:hAnsi="Simplified Arabic" w:cs="Simplified Arabic"/>
          <w:color w:val="000000" w:themeColor="text1"/>
          <w:kern w:val="0"/>
          <w:sz w:val="28"/>
          <w:szCs w:val="28"/>
          <w:lang w:bidi="ar-EG"/>
          <w14:ligatures w14:val="none"/>
        </w:rPr>
        <w:t>.</w:t>
      </w:r>
    </w:p>
    <w:p w14:paraId="31601D87" w14:textId="77777777" w:rsidR="000D057A" w:rsidRPr="00012BBF" w:rsidRDefault="000D057A" w:rsidP="00A84068">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تعزيز اتساق القرارات الصادرة عن الأجهزة المختلفة بما يدعم الثقة في المنظومة</w:t>
      </w:r>
      <w:r w:rsidRPr="00012BBF">
        <w:rPr>
          <w:rFonts w:ascii="Simplified Arabic" w:eastAsia="Times New Roman" w:hAnsi="Simplified Arabic" w:cs="Simplified Arabic"/>
          <w:color w:val="000000" w:themeColor="text1"/>
          <w:kern w:val="0"/>
          <w:sz w:val="28"/>
          <w:szCs w:val="28"/>
          <w:lang w:bidi="ar-EG"/>
          <w14:ligatures w14:val="none"/>
        </w:rPr>
        <w:t>.</w:t>
      </w:r>
    </w:p>
    <w:p w14:paraId="4F599FFB"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ويُبرز</w:t>
      </w:r>
      <w:r w:rsidRPr="00012BBF">
        <w:rPr>
          <w:rFonts w:ascii="Simplified Arabic" w:eastAsia="Times New Roman" w:hAnsi="Simplified Arabic" w:cs="Simplified Arabic"/>
          <w:b/>
          <w:bCs/>
          <w:color w:val="000000" w:themeColor="text1"/>
          <w:kern w:val="0"/>
          <w:sz w:val="28"/>
          <w:szCs w:val="28"/>
          <w:lang w:bidi="ar-EG"/>
          <w14:ligatures w14:val="none"/>
        </w:rPr>
        <w:t xml:space="preserve"> Syarien &amp; Samarah (2023) </w:t>
      </w:r>
      <w:r w:rsidRPr="00012BBF">
        <w:rPr>
          <w:rFonts w:ascii="Simplified Arabic" w:eastAsia="Times New Roman" w:hAnsi="Simplified Arabic" w:cs="Simplified Arabic"/>
          <w:b/>
          <w:bCs/>
          <w:color w:val="000000" w:themeColor="text1"/>
          <w:kern w:val="0"/>
          <w:sz w:val="28"/>
          <w:szCs w:val="28"/>
          <w:rtl/>
          <w14:ligatures w14:val="none"/>
        </w:rPr>
        <w:t>أهدافًا مكمّلة، تشمل</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3C5B3527" w14:textId="77777777" w:rsidR="000D057A" w:rsidRPr="00012BBF" w:rsidRDefault="000D057A" w:rsidP="00A84068">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توفير إطار مؤسسي يُمكّن من معالجة القضايا العابرة للقطاعات بكفاءة</w:t>
      </w:r>
      <w:r w:rsidRPr="00012BBF">
        <w:rPr>
          <w:rFonts w:ascii="Simplified Arabic" w:eastAsia="Times New Roman" w:hAnsi="Simplified Arabic" w:cs="Simplified Arabic"/>
          <w:color w:val="000000" w:themeColor="text1"/>
          <w:kern w:val="0"/>
          <w:sz w:val="28"/>
          <w:szCs w:val="28"/>
          <w:lang w:bidi="ar-EG"/>
          <w14:ligatures w14:val="none"/>
        </w:rPr>
        <w:t>.</w:t>
      </w:r>
    </w:p>
    <w:p w14:paraId="1212F243" w14:textId="77777777" w:rsidR="000D057A" w:rsidRPr="00012BBF" w:rsidRDefault="000D057A" w:rsidP="00A84068">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تطوير قدرات تعلّم تنظيمي مشترك بين الأجهزة المعنية</w:t>
      </w:r>
      <w:r w:rsidRPr="00012BBF">
        <w:rPr>
          <w:rFonts w:ascii="Simplified Arabic" w:eastAsia="Times New Roman" w:hAnsi="Simplified Arabic" w:cs="Simplified Arabic"/>
          <w:color w:val="000000" w:themeColor="text1"/>
          <w:kern w:val="0"/>
          <w:sz w:val="28"/>
          <w:szCs w:val="28"/>
          <w:lang w:bidi="ar-EG"/>
          <w14:ligatures w14:val="none"/>
        </w:rPr>
        <w:t>.</w:t>
      </w:r>
    </w:p>
    <w:p w14:paraId="7BE4A6B0" w14:textId="77777777" w:rsidR="000D057A" w:rsidRPr="00012BBF" w:rsidRDefault="000D057A" w:rsidP="00A84068">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بناء شبكات مؤسسية مرنة قادرة على التكيّف مع المتغيّرات</w:t>
      </w:r>
      <w:r w:rsidRPr="00012BBF">
        <w:rPr>
          <w:rFonts w:ascii="Simplified Arabic" w:eastAsia="Times New Roman" w:hAnsi="Simplified Arabic" w:cs="Simplified Arabic"/>
          <w:color w:val="000000" w:themeColor="text1"/>
          <w:kern w:val="0"/>
          <w:sz w:val="28"/>
          <w:szCs w:val="28"/>
          <w:lang w:bidi="ar-EG"/>
          <w14:ligatures w14:val="none"/>
        </w:rPr>
        <w:t>.</w:t>
      </w:r>
    </w:p>
    <w:p w14:paraId="0DDBB08A"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ويُضيف</w:t>
      </w:r>
      <w:r w:rsidRPr="00012BBF">
        <w:rPr>
          <w:rFonts w:ascii="Simplified Arabic" w:eastAsia="Times New Roman" w:hAnsi="Simplified Arabic" w:cs="Simplified Arabic"/>
          <w:color w:val="000000" w:themeColor="text1"/>
          <w:kern w:val="0"/>
          <w:sz w:val="28"/>
          <w:szCs w:val="28"/>
          <w:lang w:bidi="ar-EG"/>
          <w14:ligatures w14:val="none"/>
        </w:rPr>
        <w:t xml:space="preserve"> Mustaki &amp; Abdussamad (2025) </w:t>
      </w:r>
      <w:r w:rsidRPr="00012BBF">
        <w:rPr>
          <w:rFonts w:ascii="Simplified Arabic" w:eastAsia="Times New Roman" w:hAnsi="Simplified Arabic" w:cs="Simplified Arabic"/>
          <w:color w:val="000000" w:themeColor="text1"/>
          <w:kern w:val="0"/>
          <w:sz w:val="28"/>
          <w:szCs w:val="28"/>
          <w:rtl/>
          <w14:ligatures w14:val="none"/>
        </w:rPr>
        <w:t>بُعدًا متعلّقًا بالموارد البشرية حين يُشيران إلى أنّ التنسيق يستهدف</w:t>
      </w:r>
      <w:r w:rsidRPr="00012BBF">
        <w:rPr>
          <w:rFonts w:ascii="Simplified Arabic" w:eastAsia="Times New Roman" w:hAnsi="Simplified Arabic" w:cs="Simplified Arabic"/>
          <w:color w:val="000000" w:themeColor="text1"/>
          <w:kern w:val="0"/>
          <w:sz w:val="28"/>
          <w:szCs w:val="28"/>
          <w:lang w:bidi="ar-EG"/>
          <w14:ligatures w14:val="none"/>
        </w:rPr>
        <w:t>:</w:t>
      </w:r>
    </w:p>
    <w:p w14:paraId="401068B0" w14:textId="77777777" w:rsidR="000D057A" w:rsidRPr="00012BBF" w:rsidRDefault="000D057A" w:rsidP="00A84068">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تحسين فاعلية أداء العاملين عبر تخفيف الأعباء الإجرائية غير الضرورية</w:t>
      </w:r>
      <w:r w:rsidRPr="00012BBF">
        <w:rPr>
          <w:rFonts w:ascii="Simplified Arabic" w:eastAsia="Times New Roman" w:hAnsi="Simplified Arabic" w:cs="Simplified Arabic"/>
          <w:color w:val="000000" w:themeColor="text1"/>
          <w:kern w:val="0"/>
          <w:sz w:val="28"/>
          <w:szCs w:val="28"/>
          <w:lang w:bidi="ar-EG"/>
          <w14:ligatures w14:val="none"/>
        </w:rPr>
        <w:t>.</w:t>
      </w:r>
    </w:p>
    <w:p w14:paraId="508CF783" w14:textId="77777777" w:rsidR="000D057A" w:rsidRPr="00012BBF" w:rsidRDefault="000D057A" w:rsidP="00A84068">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تحرير الطاقات البشرية للتركيز على المهام ذات القيمة المضافة</w:t>
      </w:r>
      <w:r w:rsidRPr="00012BBF">
        <w:rPr>
          <w:rFonts w:ascii="Simplified Arabic" w:eastAsia="Times New Roman" w:hAnsi="Simplified Arabic" w:cs="Simplified Arabic"/>
          <w:color w:val="000000" w:themeColor="text1"/>
          <w:kern w:val="0"/>
          <w:sz w:val="28"/>
          <w:szCs w:val="28"/>
          <w:lang w:bidi="ar-EG"/>
          <w14:ligatures w14:val="none"/>
        </w:rPr>
        <w:t>.</w:t>
      </w:r>
    </w:p>
    <w:p w14:paraId="4B0032AF" w14:textId="77777777" w:rsidR="000D057A" w:rsidRPr="00012BBF" w:rsidRDefault="000D057A" w:rsidP="00A84068">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بناء بيئة عمل أقلّ توتّرًا من خلال تقليص حالات عدم اليقين التنظيمي</w:t>
      </w:r>
      <w:r w:rsidRPr="00012BBF">
        <w:rPr>
          <w:rFonts w:ascii="Simplified Arabic" w:eastAsia="Times New Roman" w:hAnsi="Simplified Arabic" w:cs="Simplified Arabic"/>
          <w:color w:val="000000" w:themeColor="text1"/>
          <w:kern w:val="0"/>
          <w:sz w:val="28"/>
          <w:szCs w:val="28"/>
          <w:lang w:bidi="ar-EG"/>
          <w14:ligatures w14:val="none"/>
        </w:rPr>
        <w:t>.</w:t>
      </w:r>
    </w:p>
    <w:p w14:paraId="61A53219"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ويرى الباحث أنّ هذه الأهداف، رغم تنوّع مصادرها، يُمكن استخلاص خيط ناظم لها يتمثّل في أنّ التنسيق الجيّد يستهدف تحويل العلاقة مع الجهات الحكومية من مصدر للضغط التنظيمي إلى مصدر للدعم المؤسسي، وهو ما ينعكس في النهاية على قدرة المنشأة على الحفاظ على رأسمالها البشري وتوفير تجربة عمل إيجابية لموظفيها</w:t>
      </w:r>
      <w:r w:rsidRPr="00012BBF">
        <w:rPr>
          <w:rFonts w:ascii="Simplified Arabic" w:eastAsia="Times New Roman" w:hAnsi="Simplified Arabic" w:cs="Simplified Arabic"/>
          <w:color w:val="000000" w:themeColor="text1"/>
          <w:kern w:val="0"/>
          <w:sz w:val="28"/>
          <w:szCs w:val="28"/>
          <w:lang w:bidi="ar-EG"/>
          <w14:ligatures w14:val="none"/>
        </w:rPr>
        <w:t>.</w:t>
      </w:r>
    </w:p>
    <w:p w14:paraId="197FD0B6" w14:textId="46070ABC" w:rsidR="000D057A" w:rsidRPr="00012BBF" w:rsidRDefault="009F37DB" w:rsidP="009F37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5" w:name="_Toc233239798"/>
      <w:r w:rsidRPr="00012BBF">
        <w:rPr>
          <w:rFonts w:ascii="Simplified Arabic" w:eastAsia="Times New Roman" w:hAnsi="Simplified Arabic" w:cs="Simplified Arabic" w:hint="cs"/>
          <w:b/>
          <w:bCs/>
          <w:color w:val="000000" w:themeColor="text1"/>
          <w:kern w:val="0"/>
          <w:sz w:val="32"/>
          <w:szCs w:val="32"/>
          <w:rtl/>
          <w14:ligatures w14:val="none"/>
        </w:rPr>
        <w:t>5.1.2</w:t>
      </w:r>
      <w:r w:rsidR="000D057A" w:rsidRPr="00012BBF">
        <w:rPr>
          <w:rFonts w:ascii="Simplified Arabic" w:eastAsia="Times New Roman" w:hAnsi="Simplified Arabic" w:cs="Simplified Arabic"/>
          <w:b/>
          <w:bCs/>
          <w:color w:val="000000" w:themeColor="text1"/>
          <w:kern w:val="0"/>
          <w:sz w:val="32"/>
          <w:szCs w:val="32"/>
          <w:rtl/>
          <w14:ligatures w14:val="none"/>
        </w:rPr>
        <w:t xml:space="preserve"> أبعاد جودة التنسيق مع الجهات الحكومية</w:t>
      </w:r>
      <w:bookmarkEnd w:id="35"/>
    </w:p>
    <w:p w14:paraId="5776919C"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تمّ تحديد أبعاد جودة التنسيق في هذه الدراسة بناءً على ما طرحه</w:t>
      </w:r>
      <w:r w:rsidRPr="00012BBF">
        <w:rPr>
          <w:rFonts w:ascii="Simplified Arabic" w:eastAsia="Times New Roman" w:hAnsi="Simplified Arabic" w:cs="Simplified Arabic"/>
          <w:color w:val="000000" w:themeColor="text1"/>
          <w:kern w:val="0"/>
          <w:sz w:val="28"/>
          <w:szCs w:val="28"/>
          <w:lang w:bidi="ar-EG"/>
          <w14:ligatures w14:val="none"/>
        </w:rPr>
        <w:t xml:space="preserve"> K</w:t>
      </w:r>
      <w:r w:rsidRPr="00012BBF">
        <w:rPr>
          <w:rFonts w:ascii="Cambria" w:eastAsia="Times New Roman" w:hAnsi="Cambria" w:cs="Cambria"/>
          <w:color w:val="000000" w:themeColor="text1"/>
          <w:kern w:val="0"/>
          <w:sz w:val="28"/>
          <w:szCs w:val="28"/>
          <w:lang w:bidi="ar-EG"/>
          <w14:ligatures w14:val="none"/>
        </w:rPr>
        <w:t>å</w:t>
      </w:r>
      <w:r w:rsidRPr="00012BBF">
        <w:rPr>
          <w:rFonts w:ascii="Simplified Arabic" w:eastAsia="Times New Roman" w:hAnsi="Simplified Arabic" w:cs="Simplified Arabic"/>
          <w:color w:val="000000" w:themeColor="text1"/>
          <w:kern w:val="0"/>
          <w:sz w:val="28"/>
          <w:szCs w:val="28"/>
          <w:lang w:bidi="ar-EG"/>
          <w14:ligatures w14:val="none"/>
        </w:rPr>
        <w:t xml:space="preserve">rtvedt (2024) </w:t>
      </w:r>
      <w:r w:rsidRPr="00012BBF">
        <w:rPr>
          <w:rFonts w:ascii="Simplified Arabic" w:eastAsia="Times New Roman" w:hAnsi="Simplified Arabic" w:cs="Simplified Arabic"/>
          <w:color w:val="000000" w:themeColor="text1"/>
          <w:kern w:val="0"/>
          <w:sz w:val="28"/>
          <w:szCs w:val="28"/>
          <w:rtl/>
          <w14:ligatures w14:val="none"/>
        </w:rPr>
        <w:t>في إطاره التفسيري لجودة التنسيق في تقديم الخدمات العامة، وما قدّمه</w:t>
      </w:r>
      <w:r w:rsidRPr="00012BBF">
        <w:rPr>
          <w:rFonts w:ascii="Simplified Arabic" w:eastAsia="Times New Roman" w:hAnsi="Simplified Arabic" w:cs="Simplified Arabic"/>
          <w:color w:val="000000" w:themeColor="text1"/>
          <w:kern w:val="0"/>
          <w:sz w:val="28"/>
          <w:szCs w:val="28"/>
          <w:lang w:bidi="ar-EG"/>
          <w14:ligatures w14:val="none"/>
        </w:rPr>
        <w:t xml:space="preserve"> Judijanto </w:t>
      </w:r>
      <w:r w:rsidRPr="00012BBF">
        <w:rPr>
          <w:rFonts w:ascii="Simplified Arabic" w:eastAsia="Times New Roman" w:hAnsi="Simplified Arabic" w:cs="Simplified Arabic"/>
          <w:color w:val="000000" w:themeColor="text1"/>
          <w:kern w:val="0"/>
          <w:sz w:val="28"/>
          <w:szCs w:val="28"/>
          <w:rtl/>
          <w14:ligatures w14:val="none"/>
        </w:rPr>
        <w:t xml:space="preserve">وآخرون (2024) من تحليل لمحدّدات فاعلية الخدمات العامة، مع الإفادة من الإسهامات التكميلية التي طرحها العبيدي (٢٠٢١) ومطر </w:t>
      </w:r>
      <w:r w:rsidRPr="00012BBF">
        <w:rPr>
          <w:rFonts w:ascii="Simplified Arabic" w:eastAsia="Times New Roman" w:hAnsi="Simplified Arabic" w:cs="Simplified Arabic"/>
          <w:color w:val="000000" w:themeColor="text1"/>
          <w:kern w:val="0"/>
          <w:sz w:val="28"/>
          <w:szCs w:val="28"/>
          <w:rtl/>
          <w14:ligatures w14:val="none"/>
        </w:rPr>
        <w:lastRenderedPageBreak/>
        <w:t>وسعيد (٢٠٢١) في السياق العربي. وتشمل هذه الأبعاد: وضوح الإجراءات التنظيمية، وفاعلية تبادل المعلومات، وكفاءة المتابعة والاستجابة، والتكامل بين الأنظمة والسياسات</w:t>
      </w:r>
      <w:r w:rsidRPr="00012BBF">
        <w:rPr>
          <w:rFonts w:ascii="Simplified Arabic" w:eastAsia="Times New Roman" w:hAnsi="Simplified Arabic" w:cs="Simplified Arabic"/>
          <w:color w:val="000000" w:themeColor="text1"/>
          <w:kern w:val="0"/>
          <w:sz w:val="28"/>
          <w:szCs w:val="28"/>
          <w:lang w:bidi="ar-EG"/>
          <w14:ligatures w14:val="none"/>
        </w:rPr>
        <w:t>.</w:t>
      </w:r>
    </w:p>
    <w:p w14:paraId="7ABCF00D"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البُعد الأول: وضوح الإجراءات التنظيمية</w:t>
      </w:r>
    </w:p>
    <w:p w14:paraId="3D520F85"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يُمثّل وضوح الإجراءات التنظيمية الركيزة الأساسية التي ترتكز عليها سائر أبعاد التنسيق، إذ يُشير إلى الدرجة التي تكون عندها متطلّبات التعامل مع الجهات الحكومية معروفة ومفهومة وقابلة للتنبّؤ من قِبل المنشآت المتعاملة. ويتجلّى هذا الوضوح في توفّر أدلّة إجرائية محدّثة، وتحديد دقيق للمستندات المطلوبة، وتوضيح للمدد الزمنية المتوقّعة لكلّ مرحلة، وتعيين واضح للمسؤوليات بين الجهات المتعدّدة. ويذهب</w:t>
      </w:r>
      <w:r w:rsidRPr="00012BBF">
        <w:rPr>
          <w:rFonts w:ascii="Simplified Arabic" w:eastAsia="Times New Roman" w:hAnsi="Simplified Arabic" w:cs="Simplified Arabic"/>
          <w:color w:val="000000" w:themeColor="text1"/>
          <w:kern w:val="0"/>
          <w:sz w:val="28"/>
          <w:szCs w:val="28"/>
          <w:lang w:bidi="ar-EG"/>
          <w14:ligatures w14:val="none"/>
        </w:rPr>
        <w:t xml:space="preserve"> K</w:t>
      </w:r>
      <w:r w:rsidRPr="00012BBF">
        <w:rPr>
          <w:rFonts w:ascii="Cambria" w:eastAsia="Times New Roman" w:hAnsi="Cambria" w:cs="Cambria"/>
          <w:color w:val="000000" w:themeColor="text1"/>
          <w:kern w:val="0"/>
          <w:sz w:val="28"/>
          <w:szCs w:val="28"/>
          <w:lang w:bidi="ar-EG"/>
          <w14:ligatures w14:val="none"/>
        </w:rPr>
        <w:t>å</w:t>
      </w:r>
      <w:r w:rsidRPr="00012BBF">
        <w:rPr>
          <w:rFonts w:ascii="Simplified Arabic" w:eastAsia="Times New Roman" w:hAnsi="Simplified Arabic" w:cs="Simplified Arabic"/>
          <w:color w:val="000000" w:themeColor="text1"/>
          <w:kern w:val="0"/>
          <w:sz w:val="28"/>
          <w:szCs w:val="28"/>
          <w:lang w:bidi="ar-EG"/>
          <w14:ligatures w14:val="none"/>
        </w:rPr>
        <w:t xml:space="preserve">rtvedt (2024) </w:t>
      </w:r>
      <w:r w:rsidRPr="00012BBF">
        <w:rPr>
          <w:rFonts w:ascii="Simplified Arabic" w:eastAsia="Times New Roman" w:hAnsi="Simplified Arabic" w:cs="Simplified Arabic"/>
          <w:color w:val="000000" w:themeColor="text1"/>
          <w:kern w:val="0"/>
          <w:sz w:val="28"/>
          <w:szCs w:val="28"/>
          <w:rtl/>
          <w14:ligatures w14:val="none"/>
        </w:rPr>
        <w:t>إلى أنّ غموض الإجراءات يُمثّل أحد أبرز مصادر تدنّي جودة التنسيق، إذ يُولّد حالة من عدم اليقين تُضعف ثقة المنشآت في المنظومة وتدفعها إلى تبنّي ممارسات دفاعية مكلفة كالإفراط في التوثيق أو تكرار الاستفسارات</w:t>
      </w:r>
      <w:r w:rsidRPr="00012BBF">
        <w:rPr>
          <w:rFonts w:ascii="Simplified Arabic" w:eastAsia="Times New Roman" w:hAnsi="Simplified Arabic" w:cs="Simplified Arabic"/>
          <w:color w:val="000000" w:themeColor="text1"/>
          <w:kern w:val="0"/>
          <w:sz w:val="28"/>
          <w:szCs w:val="28"/>
          <w:lang w:bidi="ar-EG"/>
          <w14:ligatures w14:val="none"/>
        </w:rPr>
        <w:t>.</w:t>
      </w:r>
    </w:p>
    <w:p w14:paraId="102A3145"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ويُضيف الجمّل (بدون تاريخ) أنّ وضوح الإجراءات يتجاوز مستوى التوثيق الشكلي إلى مستوى الفهم الفعلي المشترك بين الأطراف، إذ قد تتوفّر الأدلّة الإجرائية مكتوبةً دون أن يتحقّق وضوح حقيقي بسبب التعارض بين النصوص أو غموض المصطلحات أو تعدّد الاجتهادات التطبيقية. ويُكمل هذا الفهم</w:t>
      </w:r>
      <w:r w:rsidRPr="00012BBF">
        <w:rPr>
          <w:rFonts w:ascii="Simplified Arabic" w:eastAsia="Times New Roman" w:hAnsi="Simplified Arabic" w:cs="Simplified Arabic"/>
          <w:color w:val="000000" w:themeColor="text1"/>
          <w:kern w:val="0"/>
          <w:sz w:val="28"/>
          <w:szCs w:val="28"/>
          <w:lang w:bidi="ar-EG"/>
          <w14:ligatures w14:val="none"/>
        </w:rPr>
        <w:t xml:space="preserve"> Roberts &amp; Milman (2024) </w:t>
      </w:r>
      <w:r w:rsidRPr="00012BBF">
        <w:rPr>
          <w:rFonts w:ascii="Simplified Arabic" w:eastAsia="Times New Roman" w:hAnsi="Simplified Arabic" w:cs="Simplified Arabic"/>
          <w:color w:val="000000" w:themeColor="text1"/>
          <w:kern w:val="0"/>
          <w:sz w:val="28"/>
          <w:szCs w:val="28"/>
          <w:rtl/>
          <w14:ligatures w14:val="none"/>
        </w:rPr>
        <w:t>حين يُشيران إلى أنّ الوضوح الإجرائي يتطلّب اتساقًا بين النصوص التنظيمية الصادرة عن الجهات المختلفة، بحيث لا يجد المتعامل نفسه أمام متطلّبات متعارضة من جهات يُفترض أنّها تعمل ضمن منظومة موحّدة</w:t>
      </w:r>
      <w:r w:rsidRPr="00012BBF">
        <w:rPr>
          <w:rFonts w:ascii="Simplified Arabic" w:eastAsia="Times New Roman" w:hAnsi="Simplified Arabic" w:cs="Simplified Arabic"/>
          <w:color w:val="000000" w:themeColor="text1"/>
          <w:kern w:val="0"/>
          <w:sz w:val="28"/>
          <w:szCs w:val="28"/>
          <w:lang w:bidi="ar-EG"/>
          <w14:ligatures w14:val="none"/>
        </w:rPr>
        <w:t>.</w:t>
      </w:r>
    </w:p>
    <w:p w14:paraId="3DB0D046"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البُعد الثاني: فاعلية تبادل المعلومات</w:t>
      </w:r>
    </w:p>
    <w:p w14:paraId="4332EDB6"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يتعلّق هذا البُعد بقدرة الأطراف المعنية على تبادل المعلومات في الوقت المناسب وبالشكل الملائم والمحتوى الكافي، بحيث تستطيع كلّ جهة اتخاذ قراراتها على أساس صورة مكتملة للموقف. ويُشير</w:t>
      </w:r>
      <w:r w:rsidRPr="00012BBF">
        <w:rPr>
          <w:rFonts w:ascii="Simplified Arabic" w:eastAsia="Times New Roman" w:hAnsi="Simplified Arabic" w:cs="Simplified Arabic"/>
          <w:color w:val="000000" w:themeColor="text1"/>
          <w:kern w:val="0"/>
          <w:sz w:val="28"/>
          <w:szCs w:val="28"/>
          <w:lang w:bidi="ar-EG"/>
          <w14:ligatures w14:val="none"/>
        </w:rPr>
        <w:t xml:space="preserve"> Campaz-Landaz</w:t>
      </w:r>
      <w:r w:rsidRPr="00012BBF">
        <w:rPr>
          <w:rFonts w:ascii="Cambria" w:eastAsia="Times New Roman" w:hAnsi="Cambria" w:cs="Cambria"/>
          <w:color w:val="000000" w:themeColor="text1"/>
          <w:kern w:val="0"/>
          <w:sz w:val="28"/>
          <w:szCs w:val="28"/>
          <w:lang w:bidi="ar-EG"/>
          <w14:ligatures w14:val="none"/>
        </w:rPr>
        <w:t>á</w:t>
      </w:r>
      <w:r w:rsidRPr="00012BBF">
        <w:rPr>
          <w:rFonts w:ascii="Simplified Arabic" w:eastAsia="Times New Roman" w:hAnsi="Simplified Arabic" w:cs="Simplified Arabic"/>
          <w:color w:val="000000" w:themeColor="text1"/>
          <w:kern w:val="0"/>
          <w:sz w:val="28"/>
          <w:szCs w:val="28"/>
          <w:lang w:bidi="ar-EG"/>
          <w14:ligatures w14:val="none"/>
        </w:rPr>
        <w:t xml:space="preserve">bal </w:t>
      </w:r>
      <w:r w:rsidRPr="00012BBF">
        <w:rPr>
          <w:rFonts w:ascii="Simplified Arabic" w:eastAsia="Times New Roman" w:hAnsi="Simplified Arabic" w:cs="Simplified Arabic"/>
          <w:color w:val="000000" w:themeColor="text1"/>
          <w:kern w:val="0"/>
          <w:sz w:val="28"/>
          <w:szCs w:val="28"/>
          <w:rtl/>
          <w14:ligatures w14:val="none"/>
        </w:rPr>
        <w:t>وآخرون (2024) إلى أنّ تقنيات المعلومات والاتصالات أصبحت تُمثّل البنية التحتية الأساسية لفاعلية تبادل المعلومات بين المستويات الإدارية، إذ تُتيح تدفّقًا آنيًّا للبيانات وتُقلّص الحاجة إلى الوسائط الورقية البطيئة. غير أنّ فاعلية التبادل لا تُختزل في توفّر القنوات التقنية، بل تمتدّ إلى جودة المعلومات المتبادلة من حيث الدقّة والاكتمال والصلة بالموضوع</w:t>
      </w:r>
      <w:r w:rsidRPr="00012BBF">
        <w:rPr>
          <w:rFonts w:ascii="Simplified Arabic" w:eastAsia="Times New Roman" w:hAnsi="Simplified Arabic" w:cs="Simplified Arabic"/>
          <w:color w:val="000000" w:themeColor="text1"/>
          <w:kern w:val="0"/>
          <w:sz w:val="28"/>
          <w:szCs w:val="28"/>
          <w:lang w:bidi="ar-EG"/>
          <w14:ligatures w14:val="none"/>
        </w:rPr>
        <w:t>.</w:t>
      </w:r>
    </w:p>
    <w:p w14:paraId="13D6489F"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lastRenderedPageBreak/>
        <w:t>ويُبرز</w:t>
      </w:r>
      <w:r w:rsidRPr="00012BBF">
        <w:rPr>
          <w:rFonts w:ascii="Simplified Arabic" w:eastAsia="Times New Roman" w:hAnsi="Simplified Arabic" w:cs="Simplified Arabic"/>
          <w:color w:val="000000" w:themeColor="text1"/>
          <w:kern w:val="0"/>
          <w:sz w:val="28"/>
          <w:szCs w:val="28"/>
          <w:lang w:bidi="ar-EG"/>
          <w14:ligatures w14:val="none"/>
        </w:rPr>
        <w:t xml:space="preserve"> Musenze &amp; Mayende (2021) </w:t>
      </w:r>
      <w:r w:rsidRPr="00012BBF">
        <w:rPr>
          <w:rFonts w:ascii="Simplified Arabic" w:eastAsia="Times New Roman" w:hAnsi="Simplified Arabic" w:cs="Simplified Arabic"/>
          <w:color w:val="000000" w:themeColor="text1"/>
          <w:kern w:val="0"/>
          <w:sz w:val="28"/>
          <w:szCs w:val="28"/>
          <w:rtl/>
          <w14:ligatures w14:val="none"/>
        </w:rPr>
        <w:t>أنّ فاعلية تبادل المعلومات تتطلّب ثقافة تنظيمية تُشجّع على الشفافية ومشاركة المعرفة، إذ قد تتوفّر القنوات والأدوات دون أن يتحقّق التبادل الفعلي بسبب الحرص المفرط على احتكار المعلومة بوصفها مصدر نفوذ. ويُضيف</w:t>
      </w:r>
      <w:r w:rsidRPr="00012BBF">
        <w:rPr>
          <w:rFonts w:ascii="Simplified Arabic" w:eastAsia="Times New Roman" w:hAnsi="Simplified Arabic" w:cs="Simplified Arabic"/>
          <w:color w:val="000000" w:themeColor="text1"/>
          <w:kern w:val="0"/>
          <w:sz w:val="28"/>
          <w:szCs w:val="28"/>
          <w:lang w:bidi="ar-EG"/>
          <w14:ligatures w14:val="none"/>
        </w:rPr>
        <w:t xml:space="preserve"> Gustavsson (2023) </w:t>
      </w:r>
      <w:r w:rsidRPr="00012BBF">
        <w:rPr>
          <w:rFonts w:ascii="Simplified Arabic" w:eastAsia="Times New Roman" w:hAnsi="Simplified Arabic" w:cs="Simplified Arabic"/>
          <w:color w:val="000000" w:themeColor="text1"/>
          <w:kern w:val="0"/>
          <w:sz w:val="28"/>
          <w:szCs w:val="28"/>
          <w:rtl/>
          <w14:ligatures w14:val="none"/>
        </w:rPr>
        <w:t>بُعدًا تكيّفيًّا حين يُشير إلى أنّ التبادل الفاعل للمعلومات يتطلّب مرونة في القنوات والأشكال، بحيث يستجيب نمط التبادل لطبيعة الموقف ودرجة استعجاله، وهو ما يُحوّل التبادل من إجراء روتيني إلى ممارسة رشيقة قادرة على التكيّف</w:t>
      </w:r>
      <w:r w:rsidRPr="00012BBF">
        <w:rPr>
          <w:rFonts w:ascii="Simplified Arabic" w:eastAsia="Times New Roman" w:hAnsi="Simplified Arabic" w:cs="Simplified Arabic"/>
          <w:color w:val="000000" w:themeColor="text1"/>
          <w:kern w:val="0"/>
          <w:sz w:val="28"/>
          <w:szCs w:val="28"/>
          <w:lang w:bidi="ar-EG"/>
          <w14:ligatures w14:val="none"/>
        </w:rPr>
        <w:t>.</w:t>
      </w:r>
    </w:p>
    <w:p w14:paraId="1EACA5A6"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البُعد الثالث: كفاءة المتابعة والاستجابة</w:t>
      </w:r>
    </w:p>
    <w:p w14:paraId="605B9962"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يُشير هذا البُعد إلى قدرة الجهات الحكومية على متابعة الطلبات والمعاملات المقدّمة إليها والاستجابة لها في أوقات معقولة وبمستوى مناسب من العناية. ويرى</w:t>
      </w:r>
      <w:r w:rsidRPr="00012BBF">
        <w:rPr>
          <w:rFonts w:ascii="Simplified Arabic" w:eastAsia="Times New Roman" w:hAnsi="Simplified Arabic" w:cs="Simplified Arabic"/>
          <w:color w:val="000000" w:themeColor="text1"/>
          <w:kern w:val="0"/>
          <w:sz w:val="28"/>
          <w:szCs w:val="28"/>
          <w:lang w:bidi="ar-EG"/>
          <w14:ligatures w14:val="none"/>
        </w:rPr>
        <w:t xml:space="preserve"> Mustaki &amp; Abdussamad (2025) </w:t>
      </w:r>
      <w:r w:rsidRPr="00012BBF">
        <w:rPr>
          <w:rFonts w:ascii="Simplified Arabic" w:eastAsia="Times New Roman" w:hAnsi="Simplified Arabic" w:cs="Simplified Arabic"/>
          <w:color w:val="000000" w:themeColor="text1"/>
          <w:kern w:val="0"/>
          <w:sz w:val="28"/>
          <w:szCs w:val="28"/>
          <w:rtl/>
          <w14:ligatures w14:val="none"/>
        </w:rPr>
        <w:t>أنّ كفاءة الاستجابة تُمثّل العنصر الأكثر تأثيرًا في إدراك المتعاملين لجودة التنسيق، إذ إنّ التأخّر في الاستجابة أو عدم تناسب مستواها مع طبيعة الطلب يُولّد إحباطًا تنظيميًّا ينعكس مباشرةً على بيئة العمل الداخلية للمنشأة. ويُكمل أبو نعموس وآخرون (٢٠٢١) هذا الفهم حين يُؤكّدون أنّ كفاءة المتابعة تتطلّب وجود آليات مؤسّسية لتتبّع المعاملات وتصعيدها عند الحاجة، بدلًا من ترك ذلك للمبادرات الفردية أو الاعتماد على العلاقات الشخصية</w:t>
      </w:r>
      <w:r w:rsidRPr="00012BBF">
        <w:rPr>
          <w:rFonts w:ascii="Simplified Arabic" w:eastAsia="Times New Roman" w:hAnsi="Simplified Arabic" w:cs="Simplified Arabic"/>
          <w:color w:val="000000" w:themeColor="text1"/>
          <w:kern w:val="0"/>
          <w:sz w:val="28"/>
          <w:szCs w:val="28"/>
          <w:lang w:bidi="ar-EG"/>
          <w14:ligatures w14:val="none"/>
        </w:rPr>
        <w:t>.</w:t>
      </w:r>
    </w:p>
    <w:p w14:paraId="35183AC4"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ويُضيف عيسى والغربان (٢٠٢٢) أنّ كفاءة الاستجابة لا تُقاس فقط بسرعتها بل بجودتها، إذ قد تأتي الاستجابة سريعةً لكنها قاصرة عن معالجة جوهر الطلب، وهو ما يُولّد دورات إضافية من المراسلات والتوضيحات تُهدر الوقت والجهد. ويُبرز</w:t>
      </w:r>
      <w:r w:rsidRPr="00012BBF">
        <w:rPr>
          <w:rFonts w:ascii="Simplified Arabic" w:eastAsia="Times New Roman" w:hAnsi="Simplified Arabic" w:cs="Simplified Arabic"/>
          <w:color w:val="000000" w:themeColor="text1"/>
          <w:kern w:val="0"/>
          <w:sz w:val="28"/>
          <w:szCs w:val="28"/>
          <w:lang w:bidi="ar-EG"/>
          <w14:ligatures w14:val="none"/>
        </w:rPr>
        <w:t xml:space="preserve"> K</w:t>
      </w:r>
      <w:r w:rsidRPr="00012BBF">
        <w:rPr>
          <w:rFonts w:ascii="Cambria" w:eastAsia="Times New Roman" w:hAnsi="Cambria" w:cs="Cambria"/>
          <w:color w:val="000000" w:themeColor="text1"/>
          <w:kern w:val="0"/>
          <w:sz w:val="28"/>
          <w:szCs w:val="28"/>
          <w:lang w:bidi="ar-EG"/>
          <w14:ligatures w14:val="none"/>
        </w:rPr>
        <w:t>å</w:t>
      </w:r>
      <w:r w:rsidRPr="00012BBF">
        <w:rPr>
          <w:rFonts w:ascii="Simplified Arabic" w:eastAsia="Times New Roman" w:hAnsi="Simplified Arabic" w:cs="Simplified Arabic"/>
          <w:color w:val="000000" w:themeColor="text1"/>
          <w:kern w:val="0"/>
          <w:sz w:val="28"/>
          <w:szCs w:val="28"/>
          <w:lang w:bidi="ar-EG"/>
          <w14:ligatures w14:val="none"/>
        </w:rPr>
        <w:t xml:space="preserve">rtvedt (2024) </w:t>
      </w:r>
      <w:r w:rsidRPr="00012BBF">
        <w:rPr>
          <w:rFonts w:ascii="Simplified Arabic" w:eastAsia="Times New Roman" w:hAnsi="Simplified Arabic" w:cs="Simplified Arabic"/>
          <w:color w:val="000000" w:themeColor="text1"/>
          <w:kern w:val="0"/>
          <w:sz w:val="28"/>
          <w:szCs w:val="28"/>
          <w:rtl/>
          <w14:ligatures w14:val="none"/>
        </w:rPr>
        <w:t>أنّ كفاءة المتابعة تتطلّب نظامًا مؤسّسيًّا للتغذية الراجعة يُتيح للمتعاملين معرفة موقف معاملاتهم في كلّ مرحلة، ممّا يُقلّص حالة عدم اليقين ويُعزّز ثقتهم في المنظومة</w:t>
      </w:r>
      <w:r w:rsidRPr="00012BBF">
        <w:rPr>
          <w:rFonts w:ascii="Simplified Arabic" w:eastAsia="Times New Roman" w:hAnsi="Simplified Arabic" w:cs="Simplified Arabic"/>
          <w:color w:val="000000" w:themeColor="text1"/>
          <w:kern w:val="0"/>
          <w:sz w:val="28"/>
          <w:szCs w:val="28"/>
          <w:lang w:bidi="ar-EG"/>
          <w14:ligatures w14:val="none"/>
        </w:rPr>
        <w:t>.</w:t>
      </w:r>
    </w:p>
    <w:p w14:paraId="7D9335D6"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البُعد الرابع: التكامل بين الأنظمة والسياسات</w:t>
      </w:r>
    </w:p>
    <w:p w14:paraId="13853B45"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 xml:space="preserve">يتعلّق هذا البُعد بالدرجة التي تتحقّق عندها انسجامية الأنظمة والسياسات الصادرة عن الجهات الحكومية المختلفة، بحيث لا تتعارض متطلّبات جهة مع متطلّبات أخرى ولا تنشأ فجوات تنظيمية تُربك المتعاملين. ويرى العبيدي (٢٠٢١) أنّ التكامل بين الأنظمة يُمثّل التحدّي الأكبر في منظومات الإدارة المتعدّدة المستويات، إذ تنشأ التعارضات غالبًا ليس بسبب نيّة متعمّدة بل بسبب استقلالية الجهات في </w:t>
      </w:r>
      <w:r w:rsidRPr="00012BBF">
        <w:rPr>
          <w:rFonts w:ascii="Simplified Arabic" w:eastAsia="Times New Roman" w:hAnsi="Simplified Arabic" w:cs="Simplified Arabic"/>
          <w:color w:val="000000" w:themeColor="text1"/>
          <w:kern w:val="0"/>
          <w:sz w:val="28"/>
          <w:szCs w:val="28"/>
          <w:rtl/>
          <w14:ligatures w14:val="none"/>
        </w:rPr>
        <w:lastRenderedPageBreak/>
        <w:t>صياغة سياساتها دون تشاور كافٍ. ويُضيف</w:t>
      </w:r>
      <w:r w:rsidRPr="00012BBF">
        <w:rPr>
          <w:rFonts w:ascii="Simplified Arabic" w:eastAsia="Times New Roman" w:hAnsi="Simplified Arabic" w:cs="Simplified Arabic"/>
          <w:color w:val="000000" w:themeColor="text1"/>
          <w:kern w:val="0"/>
          <w:sz w:val="28"/>
          <w:szCs w:val="28"/>
          <w:lang w:bidi="ar-EG"/>
          <w14:ligatures w14:val="none"/>
        </w:rPr>
        <w:t xml:space="preserve"> Roberts &amp; Milman (2024) </w:t>
      </w:r>
      <w:r w:rsidRPr="00012BBF">
        <w:rPr>
          <w:rFonts w:ascii="Simplified Arabic" w:eastAsia="Times New Roman" w:hAnsi="Simplified Arabic" w:cs="Simplified Arabic"/>
          <w:color w:val="000000" w:themeColor="text1"/>
          <w:kern w:val="0"/>
          <w:sz w:val="28"/>
          <w:szCs w:val="28"/>
          <w:rtl/>
          <w14:ligatures w14:val="none"/>
        </w:rPr>
        <w:t>أنّ التكامل يتطلّب آليات مؤسّسية للتشاور المسبق بين الجهات قبل إصدار السياسات الجديدة، بحيث تُختبر هذه السياسات في ضوء الأنظمة القائمة قبل اعتمادها</w:t>
      </w:r>
      <w:r w:rsidRPr="00012BBF">
        <w:rPr>
          <w:rFonts w:ascii="Simplified Arabic" w:eastAsia="Times New Roman" w:hAnsi="Simplified Arabic" w:cs="Simplified Arabic"/>
          <w:color w:val="000000" w:themeColor="text1"/>
          <w:kern w:val="0"/>
          <w:sz w:val="28"/>
          <w:szCs w:val="28"/>
          <w:lang w:bidi="ar-EG"/>
          <w14:ligatures w14:val="none"/>
        </w:rPr>
        <w:t>.</w:t>
      </w:r>
    </w:p>
    <w:p w14:paraId="793F8886"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ويُبرز</w:t>
      </w:r>
      <w:r w:rsidRPr="00012BBF">
        <w:rPr>
          <w:rFonts w:ascii="Simplified Arabic" w:eastAsia="Times New Roman" w:hAnsi="Simplified Arabic" w:cs="Simplified Arabic"/>
          <w:color w:val="000000" w:themeColor="text1"/>
          <w:kern w:val="0"/>
          <w:sz w:val="28"/>
          <w:szCs w:val="28"/>
          <w:lang w:bidi="ar-EG"/>
          <w14:ligatures w14:val="none"/>
        </w:rPr>
        <w:t xml:space="preserve"> Judijanto </w:t>
      </w:r>
      <w:r w:rsidRPr="00012BBF">
        <w:rPr>
          <w:rFonts w:ascii="Simplified Arabic" w:eastAsia="Times New Roman" w:hAnsi="Simplified Arabic" w:cs="Simplified Arabic"/>
          <w:color w:val="000000" w:themeColor="text1"/>
          <w:kern w:val="0"/>
          <w:sz w:val="28"/>
          <w:szCs w:val="28"/>
          <w:rtl/>
          <w14:ligatures w14:val="none"/>
        </w:rPr>
        <w:t>وآخرون (2024) أنّ التكامل بين الأنظمة والسياسات يُشكّل أحد المحدّدات الجوهرية لفاعلية الخدمات العامة، إذ إنّ التشظّي التنظيمي يُولّد كلفة التزام مرتفعة على المتعاملين تنعكس سلبًا على بيئة الأعمال بمجملها. ويُكمل</w:t>
      </w:r>
      <w:r w:rsidRPr="00012BBF">
        <w:rPr>
          <w:rFonts w:ascii="Simplified Arabic" w:eastAsia="Times New Roman" w:hAnsi="Simplified Arabic" w:cs="Simplified Arabic"/>
          <w:color w:val="000000" w:themeColor="text1"/>
          <w:kern w:val="0"/>
          <w:sz w:val="28"/>
          <w:szCs w:val="28"/>
          <w:lang w:bidi="ar-EG"/>
          <w14:ligatures w14:val="none"/>
        </w:rPr>
        <w:t xml:space="preserve"> Syarien &amp; Samarah (2023) </w:t>
      </w:r>
      <w:r w:rsidRPr="00012BBF">
        <w:rPr>
          <w:rFonts w:ascii="Simplified Arabic" w:eastAsia="Times New Roman" w:hAnsi="Simplified Arabic" w:cs="Simplified Arabic"/>
          <w:color w:val="000000" w:themeColor="text1"/>
          <w:kern w:val="0"/>
          <w:sz w:val="28"/>
          <w:szCs w:val="28"/>
          <w:rtl/>
          <w14:ligatures w14:val="none"/>
        </w:rPr>
        <w:t>هذا الفهم حين يُشيران إلى أنّ التكامل يتجاوز التوافق النصّي بين الأنظمة إلى التوافق التطبيقي، بحيث تتشارك الجهات تفسيرات متقاربة للنصوص وتطبّقها بصورة منسّقة على الحالات المماثلة</w:t>
      </w:r>
      <w:r w:rsidRPr="00012BBF">
        <w:rPr>
          <w:rFonts w:ascii="Simplified Arabic" w:eastAsia="Times New Roman" w:hAnsi="Simplified Arabic" w:cs="Simplified Arabic"/>
          <w:color w:val="000000" w:themeColor="text1"/>
          <w:kern w:val="0"/>
          <w:sz w:val="28"/>
          <w:szCs w:val="28"/>
          <w:lang w:bidi="ar-EG"/>
          <w14:ligatures w14:val="none"/>
        </w:rPr>
        <w:t>.</w:t>
      </w:r>
    </w:p>
    <w:p w14:paraId="1565814E" w14:textId="29F6591A" w:rsidR="000D057A" w:rsidRPr="00012BBF" w:rsidRDefault="009F37DB" w:rsidP="009F37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6" w:name="_Toc233239799"/>
      <w:r w:rsidRPr="00012BBF">
        <w:rPr>
          <w:rFonts w:ascii="Simplified Arabic" w:eastAsia="Times New Roman" w:hAnsi="Simplified Arabic" w:cs="Simplified Arabic" w:hint="cs"/>
          <w:b/>
          <w:bCs/>
          <w:color w:val="000000" w:themeColor="text1"/>
          <w:kern w:val="0"/>
          <w:sz w:val="32"/>
          <w:szCs w:val="32"/>
          <w:rtl/>
          <w14:ligatures w14:val="none"/>
        </w:rPr>
        <w:t>6.1.2</w:t>
      </w:r>
      <w:r w:rsidR="000D057A" w:rsidRPr="00012BBF">
        <w:rPr>
          <w:rFonts w:ascii="Simplified Arabic" w:eastAsia="Times New Roman" w:hAnsi="Simplified Arabic" w:cs="Simplified Arabic"/>
          <w:b/>
          <w:bCs/>
          <w:color w:val="000000" w:themeColor="text1"/>
          <w:kern w:val="0"/>
          <w:sz w:val="32"/>
          <w:szCs w:val="32"/>
          <w:rtl/>
          <w14:ligatures w14:val="none"/>
        </w:rPr>
        <w:t xml:space="preserve"> استراتيجيات تعزيز جودة التنسيق مع الجهات الحكومية</w:t>
      </w:r>
      <w:bookmarkEnd w:id="36"/>
    </w:p>
    <w:p w14:paraId="721E544A"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تتبنّى المنشآت والأجهزة استراتيجيات متعدّدة لتعزيز جودة التنسيق فيما بينها، وتتراوح هذه الاستراتيجيات بين المداخل الهيكلية القائمة على إعادة تصميم العلاقات المؤسّسية، والمداخل العملياتية القائمة على تطوير الممارسات والأدوات، والمداخل الثقافية الساعية إلى بناء قيم مشتركة بين الفاعلين. ويُقدّم</w:t>
      </w:r>
      <w:r w:rsidRPr="00012BBF">
        <w:rPr>
          <w:rFonts w:ascii="Simplified Arabic" w:eastAsia="Times New Roman" w:hAnsi="Simplified Arabic" w:cs="Simplified Arabic"/>
          <w:color w:val="000000" w:themeColor="text1"/>
          <w:kern w:val="0"/>
          <w:sz w:val="28"/>
          <w:szCs w:val="28"/>
          <w:lang w:bidi="ar-EG"/>
          <w14:ligatures w14:val="none"/>
        </w:rPr>
        <w:t xml:space="preserve"> Gustavsson (2023) </w:t>
      </w:r>
      <w:r w:rsidRPr="00012BBF">
        <w:rPr>
          <w:rFonts w:ascii="Simplified Arabic" w:eastAsia="Times New Roman" w:hAnsi="Simplified Arabic" w:cs="Simplified Arabic"/>
          <w:color w:val="000000" w:themeColor="text1"/>
          <w:kern w:val="0"/>
          <w:sz w:val="28"/>
          <w:szCs w:val="28"/>
          <w:rtl/>
          <w14:ligatures w14:val="none"/>
        </w:rPr>
        <w:t>مدخل الممارسات الرشيقة بوصفه استراتيجية واعدة لتعزيز جودة التنسيق، إذ يُركّز على بناء قدرات تكيّفية تُتيح للأطراف التعديل المستمر لأنماط تعاونها استجابةً للمتغيّرات، بدلًا من الالتزام بترتيبات جامدة سرعان ما تتقادم</w:t>
      </w:r>
      <w:r w:rsidRPr="00012BBF">
        <w:rPr>
          <w:rFonts w:ascii="Simplified Arabic" w:eastAsia="Times New Roman" w:hAnsi="Simplified Arabic" w:cs="Simplified Arabic"/>
          <w:color w:val="000000" w:themeColor="text1"/>
          <w:kern w:val="0"/>
          <w:sz w:val="28"/>
          <w:szCs w:val="28"/>
          <w:lang w:bidi="ar-EG"/>
          <w14:ligatures w14:val="none"/>
        </w:rPr>
        <w:t>.</w:t>
      </w:r>
    </w:p>
    <w:p w14:paraId="10949B9D"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ومن منظور تقني، يُبرز</w:t>
      </w:r>
      <w:r w:rsidRPr="00012BBF">
        <w:rPr>
          <w:rFonts w:ascii="Simplified Arabic" w:eastAsia="Times New Roman" w:hAnsi="Simplified Arabic" w:cs="Simplified Arabic"/>
          <w:color w:val="000000" w:themeColor="text1"/>
          <w:kern w:val="0"/>
          <w:sz w:val="28"/>
          <w:szCs w:val="28"/>
          <w:lang w:bidi="ar-EG"/>
          <w14:ligatures w14:val="none"/>
        </w:rPr>
        <w:t xml:space="preserve"> Campaz-Landaz</w:t>
      </w:r>
      <w:r w:rsidRPr="00012BBF">
        <w:rPr>
          <w:rFonts w:ascii="Cambria" w:eastAsia="Times New Roman" w:hAnsi="Cambria" w:cs="Cambria"/>
          <w:color w:val="000000" w:themeColor="text1"/>
          <w:kern w:val="0"/>
          <w:sz w:val="28"/>
          <w:szCs w:val="28"/>
          <w:lang w:bidi="ar-EG"/>
          <w14:ligatures w14:val="none"/>
        </w:rPr>
        <w:t>á</w:t>
      </w:r>
      <w:r w:rsidRPr="00012BBF">
        <w:rPr>
          <w:rFonts w:ascii="Simplified Arabic" w:eastAsia="Times New Roman" w:hAnsi="Simplified Arabic" w:cs="Simplified Arabic"/>
          <w:color w:val="000000" w:themeColor="text1"/>
          <w:kern w:val="0"/>
          <w:sz w:val="28"/>
          <w:szCs w:val="28"/>
          <w:lang w:bidi="ar-EG"/>
          <w14:ligatures w14:val="none"/>
        </w:rPr>
        <w:t xml:space="preserve">bal </w:t>
      </w:r>
      <w:r w:rsidRPr="00012BBF">
        <w:rPr>
          <w:rFonts w:ascii="Simplified Arabic" w:eastAsia="Times New Roman" w:hAnsi="Simplified Arabic" w:cs="Simplified Arabic"/>
          <w:color w:val="000000" w:themeColor="text1"/>
          <w:kern w:val="0"/>
          <w:sz w:val="28"/>
          <w:szCs w:val="28"/>
          <w:rtl/>
          <w14:ligatures w14:val="none"/>
        </w:rPr>
        <w:t>وآخرون (2024) استراتيجية التحوّل الرقمي بوصفها رافعةً جوهريةً لجودة التنسيق، إذ تُتيح المنصّات الرقمية الموحّدة تجاوز كثير من اختناقات التنسيق التقليدية المرتبطة بالتفاوت في سرعة المعالجة بين الجهات أو تعدّد قنوات التواصل. ويُكمل هذا المدخل ما يطرحه</w:t>
      </w:r>
      <w:r w:rsidRPr="00012BBF">
        <w:rPr>
          <w:rFonts w:ascii="Simplified Arabic" w:eastAsia="Times New Roman" w:hAnsi="Simplified Arabic" w:cs="Simplified Arabic"/>
          <w:color w:val="000000" w:themeColor="text1"/>
          <w:kern w:val="0"/>
          <w:sz w:val="28"/>
          <w:szCs w:val="28"/>
          <w:lang w:bidi="ar-EG"/>
          <w14:ligatures w14:val="none"/>
        </w:rPr>
        <w:t xml:space="preserve"> Syarien &amp; Samarah (2023) </w:t>
      </w:r>
      <w:r w:rsidRPr="00012BBF">
        <w:rPr>
          <w:rFonts w:ascii="Simplified Arabic" w:eastAsia="Times New Roman" w:hAnsi="Simplified Arabic" w:cs="Simplified Arabic"/>
          <w:color w:val="000000" w:themeColor="text1"/>
          <w:kern w:val="0"/>
          <w:sz w:val="28"/>
          <w:szCs w:val="28"/>
          <w:rtl/>
          <w14:ligatures w14:val="none"/>
        </w:rPr>
        <w:t>من استراتيجية بناء أدوات التنسيق المؤسّسية كاللجان المشتركة وفرق العمل البينية ومذكّرات التفاهم، التي تُوفّر منصّات مستدامة للحوار والتعاون بين الجهات</w:t>
      </w:r>
      <w:r w:rsidRPr="00012BBF">
        <w:rPr>
          <w:rFonts w:ascii="Simplified Arabic" w:eastAsia="Times New Roman" w:hAnsi="Simplified Arabic" w:cs="Simplified Arabic"/>
          <w:color w:val="000000" w:themeColor="text1"/>
          <w:kern w:val="0"/>
          <w:sz w:val="28"/>
          <w:szCs w:val="28"/>
          <w:lang w:bidi="ar-EG"/>
          <w14:ligatures w14:val="none"/>
        </w:rPr>
        <w:t>.</w:t>
      </w:r>
    </w:p>
    <w:p w14:paraId="30228BE9"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ومن منظور القدرات، يُشير</w:t>
      </w:r>
      <w:r w:rsidRPr="00012BBF">
        <w:rPr>
          <w:rFonts w:ascii="Simplified Arabic" w:eastAsia="Times New Roman" w:hAnsi="Simplified Arabic" w:cs="Simplified Arabic"/>
          <w:color w:val="000000" w:themeColor="text1"/>
          <w:kern w:val="0"/>
          <w:sz w:val="28"/>
          <w:szCs w:val="28"/>
          <w:lang w:bidi="ar-EG"/>
          <w14:ligatures w14:val="none"/>
        </w:rPr>
        <w:t xml:space="preserve"> Judijanto </w:t>
      </w:r>
      <w:r w:rsidRPr="00012BBF">
        <w:rPr>
          <w:rFonts w:ascii="Simplified Arabic" w:eastAsia="Times New Roman" w:hAnsi="Simplified Arabic" w:cs="Simplified Arabic"/>
          <w:color w:val="000000" w:themeColor="text1"/>
          <w:kern w:val="0"/>
          <w:sz w:val="28"/>
          <w:szCs w:val="28"/>
          <w:rtl/>
          <w14:ligatures w14:val="none"/>
        </w:rPr>
        <w:t>وآخرون (2024) إلى استراتيجية تعزيز القدرة المؤسّسية لكلّ من الأطراف المعنية بوصفها شرطًا أساسيًّا لجودة التنسيق، إذ إنّ التنسيق بين أطراف ضعيفة القدرات لا يُنتج جودة بل يُضاعف الضعف. ويُبرز</w:t>
      </w:r>
      <w:r w:rsidRPr="00012BBF">
        <w:rPr>
          <w:rFonts w:ascii="Simplified Arabic" w:eastAsia="Times New Roman" w:hAnsi="Simplified Arabic" w:cs="Simplified Arabic"/>
          <w:color w:val="000000" w:themeColor="text1"/>
          <w:kern w:val="0"/>
          <w:sz w:val="28"/>
          <w:szCs w:val="28"/>
          <w:lang w:bidi="ar-EG"/>
          <w14:ligatures w14:val="none"/>
        </w:rPr>
        <w:t xml:space="preserve"> Roberts &amp; Milman (2024) </w:t>
      </w:r>
      <w:r w:rsidRPr="00012BBF">
        <w:rPr>
          <w:rFonts w:ascii="Simplified Arabic" w:eastAsia="Times New Roman" w:hAnsi="Simplified Arabic" w:cs="Simplified Arabic"/>
          <w:color w:val="000000" w:themeColor="text1"/>
          <w:kern w:val="0"/>
          <w:sz w:val="28"/>
          <w:szCs w:val="28"/>
          <w:rtl/>
          <w14:ligatures w14:val="none"/>
        </w:rPr>
        <w:t xml:space="preserve">استراتيجية التصميم التكويني للعلاقات، التي تنطلق من فكرة أنّ جودة التنسيق تتحقّق عبر مزيج معيّن من الترتيبات وليس عبر ترتيب </w:t>
      </w:r>
      <w:r w:rsidRPr="00012BBF">
        <w:rPr>
          <w:rFonts w:ascii="Simplified Arabic" w:eastAsia="Times New Roman" w:hAnsi="Simplified Arabic" w:cs="Simplified Arabic"/>
          <w:color w:val="000000" w:themeColor="text1"/>
          <w:kern w:val="0"/>
          <w:sz w:val="28"/>
          <w:szCs w:val="28"/>
          <w:rtl/>
          <w14:ligatures w14:val="none"/>
        </w:rPr>
        <w:lastRenderedPageBreak/>
        <w:t>منفرد، وأنّ المهمّة الاستراتيجية تكمن في تحديد المزيج المناسب لكلّ سياق. ويرى</w:t>
      </w:r>
      <w:r w:rsidRPr="00012BBF">
        <w:rPr>
          <w:rFonts w:ascii="Simplified Arabic" w:eastAsia="Times New Roman" w:hAnsi="Simplified Arabic" w:cs="Simplified Arabic"/>
          <w:color w:val="000000" w:themeColor="text1"/>
          <w:kern w:val="0"/>
          <w:sz w:val="28"/>
          <w:szCs w:val="28"/>
          <w:lang w:bidi="ar-EG"/>
          <w14:ligatures w14:val="none"/>
        </w:rPr>
        <w:t xml:space="preserve"> K</w:t>
      </w:r>
      <w:r w:rsidRPr="00012BBF">
        <w:rPr>
          <w:rFonts w:ascii="Cambria" w:eastAsia="Times New Roman" w:hAnsi="Cambria" w:cs="Cambria"/>
          <w:color w:val="000000" w:themeColor="text1"/>
          <w:kern w:val="0"/>
          <w:sz w:val="28"/>
          <w:szCs w:val="28"/>
          <w:lang w:bidi="ar-EG"/>
          <w14:ligatures w14:val="none"/>
        </w:rPr>
        <w:t>å</w:t>
      </w:r>
      <w:r w:rsidRPr="00012BBF">
        <w:rPr>
          <w:rFonts w:ascii="Simplified Arabic" w:eastAsia="Times New Roman" w:hAnsi="Simplified Arabic" w:cs="Simplified Arabic"/>
          <w:color w:val="000000" w:themeColor="text1"/>
          <w:kern w:val="0"/>
          <w:sz w:val="28"/>
          <w:szCs w:val="28"/>
          <w:lang w:bidi="ar-EG"/>
          <w14:ligatures w14:val="none"/>
        </w:rPr>
        <w:t xml:space="preserve">rtvedt (2024) </w:t>
      </w:r>
      <w:r w:rsidRPr="00012BBF">
        <w:rPr>
          <w:rFonts w:ascii="Simplified Arabic" w:eastAsia="Times New Roman" w:hAnsi="Simplified Arabic" w:cs="Simplified Arabic"/>
          <w:color w:val="000000" w:themeColor="text1"/>
          <w:kern w:val="0"/>
          <w:sz w:val="28"/>
          <w:szCs w:val="28"/>
          <w:rtl/>
          <w14:ligatures w14:val="none"/>
        </w:rPr>
        <w:t>أنّ استراتيجية بناء آليات المساءلة المشتركة تُمثّل رافعةً مهمّةً، إذ تُحوّل التنسيق من خيار إلى التزام مؤسّسي يخضع للقياس والمتابعة، وهو ما يضمن استدامته بمعزل عن الإرادات الفردية</w:t>
      </w:r>
      <w:r w:rsidRPr="00012BBF">
        <w:rPr>
          <w:rFonts w:ascii="Simplified Arabic" w:eastAsia="Times New Roman" w:hAnsi="Simplified Arabic" w:cs="Simplified Arabic"/>
          <w:color w:val="000000" w:themeColor="text1"/>
          <w:kern w:val="0"/>
          <w:sz w:val="28"/>
          <w:szCs w:val="28"/>
          <w:lang w:bidi="ar-EG"/>
          <w14:ligatures w14:val="none"/>
        </w:rPr>
        <w:t>.</w:t>
      </w:r>
    </w:p>
    <w:p w14:paraId="26CB49A6" w14:textId="39AF47DB" w:rsidR="000D057A" w:rsidRPr="00012BBF" w:rsidRDefault="009F37DB" w:rsidP="009F37DB">
      <w:pPr>
        <w:jc w:val="center"/>
        <w:outlineLvl w:val="1"/>
        <w:rPr>
          <w:rFonts w:ascii="Simplified Arabic" w:eastAsia="Times New Roman" w:hAnsi="Simplified Arabic" w:cs="Simplified Arabic"/>
          <w:b/>
          <w:bCs/>
          <w:color w:val="000000" w:themeColor="text1"/>
          <w:kern w:val="0"/>
          <w:sz w:val="36"/>
          <w:szCs w:val="36"/>
          <w:lang w:bidi="ar-EG"/>
          <w14:ligatures w14:val="none"/>
        </w:rPr>
      </w:pPr>
      <w:r w:rsidRPr="00012BBF">
        <w:rPr>
          <w:rFonts w:ascii="Simplified Arabic" w:eastAsia="Times New Roman" w:hAnsi="Simplified Arabic" w:cs="Simplified Arabic"/>
          <w:b/>
          <w:bCs/>
          <w:color w:val="000000" w:themeColor="text1"/>
          <w:kern w:val="0"/>
          <w:sz w:val="36"/>
          <w:szCs w:val="36"/>
          <w:rtl/>
          <w14:ligatures w14:val="none"/>
        </w:rPr>
        <w:br w:type="page"/>
      </w:r>
      <w:bookmarkStart w:id="37" w:name="_Toc233239800"/>
      <w:r w:rsidR="000D057A" w:rsidRPr="00012BBF">
        <w:rPr>
          <w:rFonts w:ascii="Simplified Arabic" w:eastAsia="Times New Roman" w:hAnsi="Simplified Arabic" w:cs="Simplified Arabic"/>
          <w:b/>
          <w:bCs/>
          <w:color w:val="000000" w:themeColor="text1"/>
          <w:kern w:val="0"/>
          <w:sz w:val="36"/>
          <w:szCs w:val="36"/>
          <w:rtl/>
          <w14:ligatures w14:val="none"/>
        </w:rPr>
        <w:lastRenderedPageBreak/>
        <w:t>المبحث الثاني: تجربة الموظف والاحتفاظ بالكفاءات</w:t>
      </w:r>
      <w:bookmarkEnd w:id="37"/>
    </w:p>
    <w:p w14:paraId="5FD53374" w14:textId="709F0AC3" w:rsidR="000D057A" w:rsidRPr="00012BBF" w:rsidRDefault="009F37DB" w:rsidP="009F37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8" w:name="_Toc233239801"/>
      <w:r w:rsidRPr="00012BBF">
        <w:rPr>
          <w:rFonts w:ascii="Simplified Arabic" w:eastAsia="Times New Roman" w:hAnsi="Simplified Arabic" w:cs="Simplified Arabic" w:hint="cs"/>
          <w:b/>
          <w:bCs/>
          <w:color w:val="000000" w:themeColor="text1"/>
          <w:kern w:val="0"/>
          <w:sz w:val="32"/>
          <w:szCs w:val="32"/>
          <w:rtl/>
          <w14:ligatures w14:val="none"/>
        </w:rPr>
        <w:t xml:space="preserve">1.2.2 </w:t>
      </w:r>
      <w:r w:rsidR="000D057A" w:rsidRPr="00012BBF">
        <w:rPr>
          <w:rFonts w:ascii="Simplified Arabic" w:eastAsia="Times New Roman" w:hAnsi="Simplified Arabic" w:cs="Simplified Arabic"/>
          <w:b/>
          <w:bCs/>
          <w:color w:val="000000" w:themeColor="text1"/>
          <w:kern w:val="0"/>
          <w:sz w:val="32"/>
          <w:szCs w:val="32"/>
          <w:rtl/>
          <w14:ligatures w14:val="none"/>
        </w:rPr>
        <w:t>تمهيد</w:t>
      </w:r>
      <w:bookmarkEnd w:id="38"/>
    </w:p>
    <w:p w14:paraId="1123D44B"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أحدثت التحوّلات المتسارعة في بيئة الأعمال المعاصرة نقلةً نوعيةً في طريقة تفكير المنظمات في علاقتها بمواردها البشرية، إذ لم تعد المقاربات التقليدية القائمة على إدارة شؤون الموظفين أو حتى إدارة الموارد البشرية الاستراتيجية كافيةً لاستيعاب التعقيد المتزايد في توقّعات العاملين ومستويات تطلّعاتهم. وفي هذا السياق برز مفهوم تجربة الموظف بوصفه إطارًا متكاملًا يستوعب كافة نقاط التفاعل بين الفرد والمنظمة عبر دورة حياته الوظيفية، ويربط بين هذه التجربة وبين مخرجات استراتيجية مهمّة في مقدّمتها الاحتفاظ بالكفاءات</w:t>
      </w:r>
      <w:r w:rsidRPr="00012BBF">
        <w:rPr>
          <w:rFonts w:ascii="Simplified Arabic" w:eastAsia="Times New Roman" w:hAnsi="Simplified Arabic" w:cs="Simplified Arabic"/>
          <w:color w:val="000000" w:themeColor="text1"/>
          <w:kern w:val="0"/>
          <w:sz w:val="28"/>
          <w:szCs w:val="28"/>
          <w:lang w:bidi="ar-EG"/>
          <w14:ligatures w14:val="none"/>
        </w:rPr>
        <w:t>.</w:t>
      </w:r>
    </w:p>
    <w:p w14:paraId="2693EAFC"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وتكتسب هذه المقاربة أهمية مضاعفة في بيئات العمل عالية المخاطر كقطاع الطاقة، حيث تتشكّل الكفاءات عبر سنوات من التدريب المتخصّص وتراكم الخبرة الميدانية، ممّا يجعل فقدانها مكلفًا بدرجة قد تتجاوز الكلفة المالية المباشرة لتشمل المخاطر التشغيلية والأمنية. ومن ثمّ، باتت تجربة الموظف تُمثّل في الفكر الإداري المعاصر متغيرًا استراتيجيًّا يُحدّد قدرة المنظمة على البقاء في سباق استقطاب الكفاءات والاحتفاظ بها، خاصّةً في ظلّ تنامي خيارات التنقّل الوظيفي وتراجع ثقافة الولاء التقليدي للمنظمة الواحدة. وتتناول الفقرات التالية مفهوم تجربة الموظف والاحتفاظ بالكفاءات وأهميته وأهدافه وأبعاده واستراتيجياته، من خلال قراءة في الإسهامات النظرية الحديثة التي تناولت هذا الحقل بوصفه ميدانًا متعدّد الزوايا</w:t>
      </w:r>
      <w:r w:rsidRPr="00012BBF">
        <w:rPr>
          <w:rFonts w:ascii="Simplified Arabic" w:eastAsia="Times New Roman" w:hAnsi="Simplified Arabic" w:cs="Simplified Arabic"/>
          <w:color w:val="000000" w:themeColor="text1"/>
          <w:kern w:val="0"/>
          <w:sz w:val="28"/>
          <w:szCs w:val="28"/>
          <w:lang w:bidi="ar-EG"/>
          <w14:ligatures w14:val="none"/>
        </w:rPr>
        <w:t>.</w:t>
      </w:r>
    </w:p>
    <w:p w14:paraId="13AA7FB2" w14:textId="01599E2B" w:rsidR="000D057A" w:rsidRPr="00012BBF" w:rsidRDefault="009F37DB" w:rsidP="009F37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9" w:name="_Toc233239802"/>
      <w:r w:rsidRPr="00012BBF">
        <w:rPr>
          <w:rFonts w:ascii="Simplified Arabic" w:eastAsia="Times New Roman" w:hAnsi="Simplified Arabic" w:cs="Simplified Arabic" w:hint="cs"/>
          <w:b/>
          <w:bCs/>
          <w:color w:val="000000" w:themeColor="text1"/>
          <w:kern w:val="0"/>
          <w:sz w:val="32"/>
          <w:szCs w:val="32"/>
          <w:rtl/>
          <w14:ligatures w14:val="none"/>
        </w:rPr>
        <w:t>2.2.2</w:t>
      </w:r>
      <w:r w:rsidR="000D057A" w:rsidRPr="00012BBF">
        <w:rPr>
          <w:rFonts w:ascii="Simplified Arabic" w:eastAsia="Times New Roman" w:hAnsi="Simplified Arabic" w:cs="Simplified Arabic"/>
          <w:b/>
          <w:bCs/>
          <w:color w:val="000000" w:themeColor="text1"/>
          <w:kern w:val="0"/>
          <w:sz w:val="32"/>
          <w:szCs w:val="32"/>
          <w:rtl/>
          <w14:ligatures w14:val="none"/>
        </w:rPr>
        <w:t xml:space="preserve"> مفهوم تجربة الموظف والاحتفاظ بالكفاءات</w:t>
      </w:r>
      <w:bookmarkEnd w:id="39"/>
    </w:p>
    <w:p w14:paraId="0EF18158"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تعدّدت مقاربات الباحثين لمفهوم تجربة الموظف، وتنوّعت زوايا النظر إليه بين من يراه إطارًا إدراكيًّا يصف تصوّرات العاملين لمختلف نقاط تفاعلهم مع المنظمة، ومن يراه منظومةً متكاملةً من الممارسات الإدارية التي تستهدف تشكيل هذه التصوّرات. ويُعرّف حسن (٢٠٢٤) تجربة الموظف بأنّها مجموع الإدراكات التي يُكوّنها الفرد حول رحلته في المنظمة منذ لحظة الاستقطاب وحتى الانفصال الوظيفي، وما يتخلّل ذلك من تفاعلات مع البيئة المادية والثقافية والتقنية. ومن منظور أوسع، يرى البحيري والغامدي (٢٠٢٦) أنّ إدارة تجربة الموظف تُمثّل مدخلًا حديثًا لتطوير الموارد البشرية يقوم على إعادة تصميم رحلة الموظف بحيث تتحوّل من سلسلة من التفاعلات المتناثرة إلى تجربة متّسقة ذات معنى</w:t>
      </w:r>
      <w:r w:rsidRPr="00012BBF">
        <w:rPr>
          <w:rFonts w:ascii="Simplified Arabic" w:eastAsia="Times New Roman" w:hAnsi="Simplified Arabic" w:cs="Simplified Arabic"/>
          <w:color w:val="000000" w:themeColor="text1"/>
          <w:kern w:val="0"/>
          <w:sz w:val="28"/>
          <w:szCs w:val="28"/>
          <w:lang w:bidi="ar-EG"/>
          <w14:ligatures w14:val="none"/>
        </w:rPr>
        <w:t>.</w:t>
      </w:r>
    </w:p>
    <w:p w14:paraId="61FBD0DA"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lastRenderedPageBreak/>
        <w:t>وفي اتجاه مكمّل، يُقدّم القحطاني (٢٠٢٥) قراءةً تربط بين إدارة تجربة الموظف وتحقيق السعادة المؤسّسية، مُعتبرًا التجربة بوصفها بناءً متعدّد الطبقات يشمل البُعد الوظيفي والبُعد العلائقي والبُعد المعنوي، وأنّ جودتها تتحدّد بمدى تحقّق التوافق بين هذه الطبقات. ويُوسّع</w:t>
      </w:r>
      <w:r w:rsidRPr="00012BBF">
        <w:rPr>
          <w:rFonts w:ascii="Simplified Arabic" w:eastAsia="Times New Roman" w:hAnsi="Simplified Arabic" w:cs="Simplified Arabic"/>
          <w:color w:val="000000" w:themeColor="text1"/>
          <w:kern w:val="0"/>
          <w:sz w:val="28"/>
          <w:szCs w:val="28"/>
          <w:lang w:bidi="ar-EG"/>
          <w14:ligatures w14:val="none"/>
        </w:rPr>
        <w:t xml:space="preserve"> Batat (2022) </w:t>
      </w:r>
      <w:r w:rsidRPr="00012BBF">
        <w:rPr>
          <w:rFonts w:ascii="Simplified Arabic" w:eastAsia="Times New Roman" w:hAnsi="Simplified Arabic" w:cs="Simplified Arabic"/>
          <w:color w:val="000000" w:themeColor="text1"/>
          <w:kern w:val="0"/>
          <w:sz w:val="28"/>
          <w:szCs w:val="28"/>
          <w:rtl/>
          <w14:ligatures w14:val="none"/>
        </w:rPr>
        <w:t>هذا الفهم حين يُقدّم إطارًا متكاملًا لتجربة الموظف يربطها بالرفاه، مؤكّدًا أنّ التجربة ليست مجرد سلسلة من اللحظات الإيجابية، بل بناء استراتيجي يستهدف تعزيز رفاه الموظف بمعناه الشامل، بما يتضمّن الرفاه المعرفي والعاطفي والاجتماعي والمهني</w:t>
      </w:r>
      <w:r w:rsidRPr="00012BBF">
        <w:rPr>
          <w:rFonts w:ascii="Simplified Arabic" w:eastAsia="Times New Roman" w:hAnsi="Simplified Arabic" w:cs="Simplified Arabic"/>
          <w:color w:val="000000" w:themeColor="text1"/>
          <w:kern w:val="0"/>
          <w:sz w:val="28"/>
          <w:szCs w:val="28"/>
          <w:lang w:bidi="ar-EG"/>
          <w14:ligatures w14:val="none"/>
        </w:rPr>
        <w:t>.</w:t>
      </w:r>
    </w:p>
    <w:p w14:paraId="14882AC4"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ومن منظور مؤسّسي، يُعرّف</w:t>
      </w:r>
      <w:r w:rsidRPr="00012BBF">
        <w:rPr>
          <w:rFonts w:ascii="Simplified Arabic" w:eastAsia="Times New Roman" w:hAnsi="Simplified Arabic" w:cs="Simplified Arabic"/>
          <w:color w:val="000000" w:themeColor="text1"/>
          <w:kern w:val="0"/>
          <w:sz w:val="28"/>
          <w:szCs w:val="28"/>
          <w:lang w:bidi="ar-EG"/>
          <w14:ligatures w14:val="none"/>
        </w:rPr>
        <w:t xml:space="preserve"> Adhikersa </w:t>
      </w:r>
      <w:r w:rsidRPr="00012BBF">
        <w:rPr>
          <w:rFonts w:ascii="Simplified Arabic" w:eastAsia="Times New Roman" w:hAnsi="Simplified Arabic" w:cs="Simplified Arabic"/>
          <w:color w:val="000000" w:themeColor="text1"/>
          <w:kern w:val="0"/>
          <w:sz w:val="28"/>
          <w:szCs w:val="28"/>
          <w:rtl/>
          <w14:ligatures w14:val="none"/>
        </w:rPr>
        <w:t>وآخرون (2022) تجربة الموظف بأنّها محصّلة التفاعل بين خصائص المنظمة الرشيقة وأنماط القيادة المعتمدة، مُشيرين إلى أنّ التجربة تتشكّل في فضاء العلاقة بين الفرد والمنظمة وليس داخل أيٍّ منهما منفردًا. ويُقدّم</w:t>
      </w:r>
      <w:r w:rsidRPr="00012BBF">
        <w:rPr>
          <w:rFonts w:ascii="Simplified Arabic" w:eastAsia="Times New Roman" w:hAnsi="Simplified Arabic" w:cs="Simplified Arabic"/>
          <w:color w:val="000000" w:themeColor="text1"/>
          <w:kern w:val="0"/>
          <w:sz w:val="28"/>
          <w:szCs w:val="28"/>
          <w:lang w:bidi="ar-EG"/>
          <w14:ligatures w14:val="none"/>
        </w:rPr>
        <w:t xml:space="preserve"> Lee &amp; Kim (2023) </w:t>
      </w:r>
      <w:r w:rsidRPr="00012BBF">
        <w:rPr>
          <w:rFonts w:ascii="Simplified Arabic" w:eastAsia="Times New Roman" w:hAnsi="Simplified Arabic" w:cs="Simplified Arabic"/>
          <w:color w:val="000000" w:themeColor="text1"/>
          <w:kern w:val="0"/>
          <w:sz w:val="28"/>
          <w:szCs w:val="28"/>
          <w:rtl/>
          <w14:ligatures w14:val="none"/>
        </w:rPr>
        <w:t>تعريفًا وظيفيًّا حين يصفان تجربة الموظف بأنّها الإطار الذي تتشكّل عبره الالتزامات التنظيمية للفرد، وأنّ جودتها تُحدّد طبيعة هذا الالتزام وعمقه. ويُضيف</w:t>
      </w:r>
      <w:r w:rsidRPr="00012BBF">
        <w:rPr>
          <w:rFonts w:ascii="Simplified Arabic" w:eastAsia="Times New Roman" w:hAnsi="Simplified Arabic" w:cs="Simplified Arabic"/>
          <w:color w:val="000000" w:themeColor="text1"/>
          <w:kern w:val="0"/>
          <w:sz w:val="28"/>
          <w:szCs w:val="28"/>
          <w:lang w:bidi="ar-EG"/>
          <w14:ligatures w14:val="none"/>
        </w:rPr>
        <w:t xml:space="preserve"> Kimonyo (2024) </w:t>
      </w:r>
      <w:r w:rsidRPr="00012BBF">
        <w:rPr>
          <w:rFonts w:ascii="Simplified Arabic" w:eastAsia="Times New Roman" w:hAnsi="Simplified Arabic" w:cs="Simplified Arabic"/>
          <w:color w:val="000000" w:themeColor="text1"/>
          <w:kern w:val="0"/>
          <w:sz w:val="28"/>
          <w:szCs w:val="28"/>
          <w:rtl/>
          <w14:ligatures w14:val="none"/>
        </w:rPr>
        <w:t>بُعدًا نتائجيًّا حين يربط تجربة الموظف بمحرّكات الابتكار والاندماج ورضا العملاء، مُشيرًا إلى أنّ التجربة بوصفها مدخلًا لا تكتسب قيمتها من ذاتها بل من قدرتها على إنتاج هذه المخرجات</w:t>
      </w:r>
      <w:r w:rsidRPr="00012BBF">
        <w:rPr>
          <w:rFonts w:ascii="Simplified Arabic" w:eastAsia="Times New Roman" w:hAnsi="Simplified Arabic" w:cs="Simplified Arabic"/>
          <w:color w:val="000000" w:themeColor="text1"/>
          <w:kern w:val="0"/>
          <w:sz w:val="28"/>
          <w:szCs w:val="28"/>
          <w:lang w:bidi="ar-EG"/>
          <w14:ligatures w14:val="none"/>
        </w:rPr>
        <w:t>.</w:t>
      </w:r>
    </w:p>
    <w:p w14:paraId="46DD6670"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أمّا الاحتفاظ بالكفاءات، فيُمثّل المخرج الاستراتيجي الذي تستهدفه إدارة تجربة الموظف، ويُعرّف بأنّه قدرة المنظمة على الاستمرار في استقطاب طاقات موظفيها المتميّزين والحدّ من نزوعهم إلى التحوّل إلى منظمات أخرى. ويُشير</w:t>
      </w:r>
      <w:r w:rsidRPr="00012BBF">
        <w:rPr>
          <w:rFonts w:ascii="Simplified Arabic" w:eastAsia="Times New Roman" w:hAnsi="Simplified Arabic" w:cs="Simplified Arabic"/>
          <w:color w:val="000000" w:themeColor="text1"/>
          <w:kern w:val="0"/>
          <w:sz w:val="28"/>
          <w:szCs w:val="28"/>
          <w:lang w:bidi="ar-EG"/>
          <w14:ligatures w14:val="none"/>
        </w:rPr>
        <w:t xml:space="preserve"> Jo &amp; Shin (2025) </w:t>
      </w:r>
      <w:r w:rsidRPr="00012BBF">
        <w:rPr>
          <w:rFonts w:ascii="Simplified Arabic" w:eastAsia="Times New Roman" w:hAnsi="Simplified Arabic" w:cs="Simplified Arabic"/>
          <w:color w:val="000000" w:themeColor="text1"/>
          <w:kern w:val="0"/>
          <w:sz w:val="28"/>
          <w:szCs w:val="28"/>
          <w:rtl/>
          <w14:ligatures w14:val="none"/>
        </w:rPr>
        <w:t>إلى أنّ الاحتفاظ بالكفاءات لا يتحقّق بالأدوات المالية وحدها، بل يتطلّب منظومةً متكاملةً من التقدير والعدالة والقيادة الفاعلة، وهو ما يُحوّله من مسألة تعويضية إلى مسألة تجريبية ترتبط بنوعية ما يعيشه الموظف داخل المنظمة</w:t>
      </w:r>
      <w:r w:rsidRPr="00012BBF">
        <w:rPr>
          <w:rFonts w:ascii="Simplified Arabic" w:eastAsia="Times New Roman" w:hAnsi="Simplified Arabic" w:cs="Simplified Arabic"/>
          <w:color w:val="000000" w:themeColor="text1"/>
          <w:kern w:val="0"/>
          <w:sz w:val="28"/>
          <w:szCs w:val="28"/>
          <w:lang w:bidi="ar-EG"/>
          <w14:ligatures w14:val="none"/>
        </w:rPr>
        <w:t>.</w:t>
      </w:r>
    </w:p>
    <w:p w14:paraId="36AFAA3C"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ويرى الباحث أنّ تجربة الموظف والاحتفاظ بالكفاءات يُمكن تعريفهما إجرائيًّا، في سياق هذه الدراسة، بأنّهما: “محصّلة الإدراكات التي يُكوّنها الموظف حول جودة رحلته الوظيفية في المنظمة من حيث البيئة المادية والعلاقات الإنسانية والممارسات الإدارية وفرص النموّ، ومدى انعكاس ذلك على رغبته في الاستمرار والإسهام والانتماء، خاصّةً في بيئات العمل عالية المخاطر التي تتطلّب استقرارًا وظيفيًّا طويل الأمد”. ويُلاحظ الباحث أنّ التعريفات السابقة تتقاطع عند فكرة جوهرية مفادها أنّ تجربة الموظف ليست متغيرًا إجرائيًّا يُمكن إنجازه عبر مبادرات معزولة، بل بناء استراتيجي يتطلّب اتساقًا بين مختلف ممارسات المنظمة، وأنّ الاحتفاظ بالكفاءات يُمثّل المؤشّر الأكثر دلالةً على نضج هذا البناء</w:t>
      </w:r>
      <w:r w:rsidRPr="00012BBF">
        <w:rPr>
          <w:rFonts w:ascii="Simplified Arabic" w:eastAsia="Times New Roman" w:hAnsi="Simplified Arabic" w:cs="Simplified Arabic"/>
          <w:color w:val="000000" w:themeColor="text1"/>
          <w:kern w:val="0"/>
          <w:sz w:val="28"/>
          <w:szCs w:val="28"/>
          <w:lang w:bidi="ar-EG"/>
          <w14:ligatures w14:val="none"/>
        </w:rPr>
        <w:t>.</w:t>
      </w:r>
    </w:p>
    <w:p w14:paraId="0C228795" w14:textId="07AD1093" w:rsidR="000D057A" w:rsidRPr="00012BBF" w:rsidRDefault="009F37DB" w:rsidP="009F37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0" w:name="_Toc233239803"/>
      <w:r w:rsidRPr="00012BBF">
        <w:rPr>
          <w:rFonts w:ascii="Simplified Arabic" w:eastAsia="Times New Roman" w:hAnsi="Simplified Arabic" w:cs="Simplified Arabic" w:hint="cs"/>
          <w:b/>
          <w:bCs/>
          <w:color w:val="000000" w:themeColor="text1"/>
          <w:kern w:val="0"/>
          <w:sz w:val="32"/>
          <w:szCs w:val="32"/>
          <w:rtl/>
          <w14:ligatures w14:val="none"/>
        </w:rPr>
        <w:lastRenderedPageBreak/>
        <w:t>3.2.2</w:t>
      </w:r>
      <w:r w:rsidR="000D057A" w:rsidRPr="00012BBF">
        <w:rPr>
          <w:rFonts w:ascii="Simplified Arabic" w:eastAsia="Times New Roman" w:hAnsi="Simplified Arabic" w:cs="Simplified Arabic"/>
          <w:b/>
          <w:bCs/>
          <w:color w:val="000000" w:themeColor="text1"/>
          <w:kern w:val="0"/>
          <w:sz w:val="32"/>
          <w:szCs w:val="32"/>
          <w:rtl/>
          <w14:ligatures w14:val="none"/>
        </w:rPr>
        <w:t xml:space="preserve"> أهمية تجربة الموظف والاحتفاظ بالكفاءات</w:t>
      </w:r>
      <w:bookmarkEnd w:id="40"/>
    </w:p>
    <w:p w14:paraId="23B8130E"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تستمد تجربة الموظف أهميتها من موقعها بوصفها الإطار المرجعي الذي تتشكّل عبره علاقة الفرد بمنظمته، إذ لم يعد ينظر إلى هذه العلاقة بوصفها صفقة تبادلية بسيطة بين جهد مبذول ومقابل مدفوع، بل أصبحت تُفهم باعتبارها تجربة ممتدّة تتراكم عبرها انطباعات عميقة تُحدّد مستوى الانخراط والولاء والاستمرارية. وتتعمّق هذه الأهمية في ظلّ التحوّلات التي أحدثتها العولمة وتقنيات المعلومات في سوق العمل، إذ باتت المنظمات تتنافس على الكفاءات في فضاء مفتوح يُتيح للموظفين خيارات لم تكن متاحة في الماضي</w:t>
      </w:r>
      <w:r w:rsidRPr="00012BBF">
        <w:rPr>
          <w:rFonts w:ascii="Simplified Arabic" w:eastAsia="Times New Roman" w:hAnsi="Simplified Arabic" w:cs="Simplified Arabic"/>
          <w:color w:val="000000" w:themeColor="text1"/>
          <w:kern w:val="0"/>
          <w:sz w:val="28"/>
          <w:szCs w:val="28"/>
          <w:lang w:bidi="ar-EG"/>
          <w14:ligatures w14:val="none"/>
        </w:rPr>
        <w:t>.</w:t>
      </w:r>
    </w:p>
    <w:p w14:paraId="67BFD534"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ويُشير حسن (٢٠٢٤) إلى أنّ أهمية تجربة الموظف تتجلّى في عدّة محاور، يُمكن إجمالها في الآتي</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456312EB" w14:textId="77777777" w:rsidR="000D057A" w:rsidRPr="00012BBF" w:rsidRDefault="000D057A" w:rsidP="00A8406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إسهامها في تشكيل رأس المال النفسي للموظفين بوصفه موردًا داخليًّا يُعزّز قدرتهم على التعامل مع ضغوط العمل</w:t>
      </w:r>
      <w:r w:rsidRPr="00012BBF">
        <w:rPr>
          <w:rFonts w:ascii="Simplified Arabic" w:eastAsia="Times New Roman" w:hAnsi="Simplified Arabic" w:cs="Simplified Arabic"/>
          <w:color w:val="000000" w:themeColor="text1"/>
          <w:kern w:val="0"/>
          <w:sz w:val="28"/>
          <w:szCs w:val="28"/>
          <w:lang w:bidi="ar-EG"/>
          <w14:ligatures w14:val="none"/>
        </w:rPr>
        <w:t>.</w:t>
      </w:r>
    </w:p>
    <w:p w14:paraId="04D991D9" w14:textId="77777777" w:rsidR="000D057A" w:rsidRPr="00012BBF" w:rsidRDefault="000D057A" w:rsidP="00A8406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دورها في تعزيز الازدهار في مكان العمل عبر توفير بيئة تُتيح للأفراد إطلاق طاقاتهم</w:t>
      </w:r>
      <w:r w:rsidRPr="00012BBF">
        <w:rPr>
          <w:rFonts w:ascii="Simplified Arabic" w:eastAsia="Times New Roman" w:hAnsi="Simplified Arabic" w:cs="Simplified Arabic"/>
          <w:color w:val="000000" w:themeColor="text1"/>
          <w:kern w:val="0"/>
          <w:sz w:val="28"/>
          <w:szCs w:val="28"/>
          <w:lang w:bidi="ar-EG"/>
          <w14:ligatures w14:val="none"/>
        </w:rPr>
        <w:t>.</w:t>
      </w:r>
    </w:p>
    <w:p w14:paraId="29BCE875" w14:textId="77777777" w:rsidR="000D057A" w:rsidRPr="00012BBF" w:rsidRDefault="000D057A" w:rsidP="00A8406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إسهامها في بناء علاقة عميقة بين الفرد والمنظمة تتجاوز التعاقد الشكلي</w:t>
      </w:r>
      <w:r w:rsidRPr="00012BBF">
        <w:rPr>
          <w:rFonts w:ascii="Simplified Arabic" w:eastAsia="Times New Roman" w:hAnsi="Simplified Arabic" w:cs="Simplified Arabic"/>
          <w:color w:val="000000" w:themeColor="text1"/>
          <w:kern w:val="0"/>
          <w:sz w:val="28"/>
          <w:szCs w:val="28"/>
          <w:lang w:bidi="ar-EG"/>
          <w14:ligatures w14:val="none"/>
        </w:rPr>
        <w:t>.</w:t>
      </w:r>
    </w:p>
    <w:p w14:paraId="4F2E93F0"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ويرى البحيري والغامدي (٢٠٢٦) أنّ أهمية إدارة تجربة الموظف تتمظهر في أنّها</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48EE4A4F" w14:textId="77777777" w:rsidR="000D057A" w:rsidRPr="00012BBF" w:rsidRDefault="000D057A" w:rsidP="00A8406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تُمثّل مدخلًا حديثًا لتطوير الموارد البشرية يتجاوز المقاربات التقليدية القائمة على التدريب والتعويض</w:t>
      </w:r>
      <w:r w:rsidRPr="00012BBF">
        <w:rPr>
          <w:rFonts w:ascii="Simplified Arabic" w:eastAsia="Times New Roman" w:hAnsi="Simplified Arabic" w:cs="Simplified Arabic"/>
          <w:color w:val="000000" w:themeColor="text1"/>
          <w:kern w:val="0"/>
          <w:sz w:val="28"/>
          <w:szCs w:val="28"/>
          <w:lang w:bidi="ar-EG"/>
          <w14:ligatures w14:val="none"/>
        </w:rPr>
        <w:t>.</w:t>
      </w:r>
    </w:p>
    <w:p w14:paraId="78A596A8" w14:textId="77777777" w:rsidR="000D057A" w:rsidRPr="00012BBF" w:rsidRDefault="000D057A" w:rsidP="00A8406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تُسهم في رفع كفاءة الإنفاق على رأس المال البشري عبر التركيز على نقاط التفاعل ذات الأثر الأعلى</w:t>
      </w:r>
      <w:r w:rsidRPr="00012BBF">
        <w:rPr>
          <w:rFonts w:ascii="Simplified Arabic" w:eastAsia="Times New Roman" w:hAnsi="Simplified Arabic" w:cs="Simplified Arabic"/>
          <w:color w:val="000000" w:themeColor="text1"/>
          <w:kern w:val="0"/>
          <w:sz w:val="28"/>
          <w:szCs w:val="28"/>
          <w:lang w:bidi="ar-EG"/>
          <w14:ligatures w14:val="none"/>
        </w:rPr>
        <w:t>.</w:t>
      </w:r>
    </w:p>
    <w:p w14:paraId="0391A2B2" w14:textId="77777777" w:rsidR="000D057A" w:rsidRPr="00012BBF" w:rsidRDefault="000D057A" w:rsidP="00A8406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تُساعد المنظمات على بناء هويتها بوصفها صاحبة عمل مفضّلة في سوق العمل</w:t>
      </w:r>
      <w:r w:rsidRPr="00012BBF">
        <w:rPr>
          <w:rFonts w:ascii="Simplified Arabic" w:eastAsia="Times New Roman" w:hAnsi="Simplified Arabic" w:cs="Simplified Arabic"/>
          <w:color w:val="000000" w:themeColor="text1"/>
          <w:kern w:val="0"/>
          <w:sz w:val="28"/>
          <w:szCs w:val="28"/>
          <w:lang w:bidi="ar-EG"/>
          <w14:ligatures w14:val="none"/>
        </w:rPr>
        <w:t>.</w:t>
      </w:r>
    </w:p>
    <w:p w14:paraId="051B3D4A"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ويُضيف القحطاني (٢٠٢٥) أنّ أهمية إدارة تجربة الموظف تتجاوز ذلك إلى</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010B0353" w14:textId="77777777" w:rsidR="000D057A" w:rsidRPr="00012BBF" w:rsidRDefault="000D057A" w:rsidP="00A8406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تحقيق السعادة المؤسّسية بوصفها مدخلًا لاستدامة الأداء</w:t>
      </w:r>
      <w:r w:rsidRPr="00012BBF">
        <w:rPr>
          <w:rFonts w:ascii="Simplified Arabic" w:eastAsia="Times New Roman" w:hAnsi="Simplified Arabic" w:cs="Simplified Arabic"/>
          <w:color w:val="000000" w:themeColor="text1"/>
          <w:kern w:val="0"/>
          <w:sz w:val="28"/>
          <w:szCs w:val="28"/>
          <w:lang w:bidi="ar-EG"/>
          <w14:ligatures w14:val="none"/>
        </w:rPr>
        <w:t>.</w:t>
      </w:r>
    </w:p>
    <w:p w14:paraId="1E8B268D" w14:textId="77777777" w:rsidR="000D057A" w:rsidRPr="00012BBF" w:rsidRDefault="000D057A" w:rsidP="00A8406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بناء بيئة عمل قادرة على استقطاب الجيل الجديد من العاملين الذي يُولي اعتبارًا متزايدًا لمعنى العمل وجودة التجربة لا لمقابلها المادي فقط</w:t>
      </w:r>
      <w:r w:rsidRPr="00012BBF">
        <w:rPr>
          <w:rFonts w:ascii="Simplified Arabic" w:eastAsia="Times New Roman" w:hAnsi="Simplified Arabic" w:cs="Simplified Arabic"/>
          <w:color w:val="000000" w:themeColor="text1"/>
          <w:kern w:val="0"/>
          <w:sz w:val="28"/>
          <w:szCs w:val="28"/>
          <w:lang w:bidi="ar-EG"/>
          <w14:ligatures w14:val="none"/>
        </w:rPr>
        <w:t>.</w:t>
      </w:r>
    </w:p>
    <w:p w14:paraId="5B52A6D2" w14:textId="77777777" w:rsidR="000D057A" w:rsidRPr="00012BBF" w:rsidRDefault="000D057A" w:rsidP="00A8406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تعزيز قدرة المنظمة على التكيّف مع التحدّيات عبر تكوين قاعدة بشرية متماسكة</w:t>
      </w:r>
      <w:r w:rsidRPr="00012BBF">
        <w:rPr>
          <w:rFonts w:ascii="Simplified Arabic" w:eastAsia="Times New Roman" w:hAnsi="Simplified Arabic" w:cs="Simplified Arabic"/>
          <w:color w:val="000000" w:themeColor="text1"/>
          <w:kern w:val="0"/>
          <w:sz w:val="28"/>
          <w:szCs w:val="28"/>
          <w:lang w:bidi="ar-EG"/>
          <w14:ligatures w14:val="none"/>
        </w:rPr>
        <w:t>.</w:t>
      </w:r>
    </w:p>
    <w:p w14:paraId="0CD6A317"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lastRenderedPageBreak/>
        <w:t>ومن منظور تكميلي، يُبرز</w:t>
      </w:r>
      <w:r w:rsidRPr="00012BBF">
        <w:rPr>
          <w:rFonts w:ascii="Simplified Arabic" w:eastAsia="Times New Roman" w:hAnsi="Simplified Arabic" w:cs="Simplified Arabic"/>
          <w:b/>
          <w:bCs/>
          <w:color w:val="000000" w:themeColor="text1"/>
          <w:kern w:val="0"/>
          <w:sz w:val="28"/>
          <w:szCs w:val="28"/>
          <w:lang w:bidi="ar-EG"/>
          <w14:ligatures w14:val="none"/>
        </w:rPr>
        <w:t xml:space="preserve"> Batat (2022) </w:t>
      </w:r>
      <w:r w:rsidRPr="00012BBF">
        <w:rPr>
          <w:rFonts w:ascii="Simplified Arabic" w:eastAsia="Times New Roman" w:hAnsi="Simplified Arabic" w:cs="Simplified Arabic"/>
          <w:b/>
          <w:bCs/>
          <w:color w:val="000000" w:themeColor="text1"/>
          <w:kern w:val="0"/>
          <w:sz w:val="28"/>
          <w:szCs w:val="28"/>
          <w:rtl/>
          <w14:ligatures w14:val="none"/>
        </w:rPr>
        <w:t>أنّ أهمية تجربة الموظف تكمن في</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213B6E97" w14:textId="77777777" w:rsidR="000D057A" w:rsidRPr="00012BBF" w:rsidRDefault="000D057A" w:rsidP="00A84068">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ربطها برفاه الموظف بوصفه غاية بحدّ ذاته وليس مجرد وسيلة للأداء</w:t>
      </w:r>
      <w:r w:rsidRPr="00012BBF">
        <w:rPr>
          <w:rFonts w:ascii="Simplified Arabic" w:eastAsia="Times New Roman" w:hAnsi="Simplified Arabic" w:cs="Simplified Arabic"/>
          <w:color w:val="000000" w:themeColor="text1"/>
          <w:kern w:val="0"/>
          <w:sz w:val="28"/>
          <w:szCs w:val="28"/>
          <w:lang w:bidi="ar-EG"/>
          <w14:ligatures w14:val="none"/>
        </w:rPr>
        <w:t>.</w:t>
      </w:r>
    </w:p>
    <w:p w14:paraId="000E6A68" w14:textId="77777777" w:rsidR="000D057A" w:rsidRPr="00012BBF" w:rsidRDefault="000D057A" w:rsidP="00A84068">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توفيرها إطارًا متكاملًا يستوعب التحدّيات المعاصرة المتعلّقة بالصحة النفسية في مكان العمل</w:t>
      </w:r>
      <w:r w:rsidRPr="00012BBF">
        <w:rPr>
          <w:rFonts w:ascii="Simplified Arabic" w:eastAsia="Times New Roman" w:hAnsi="Simplified Arabic" w:cs="Simplified Arabic"/>
          <w:color w:val="000000" w:themeColor="text1"/>
          <w:kern w:val="0"/>
          <w:sz w:val="28"/>
          <w:szCs w:val="28"/>
          <w:lang w:bidi="ar-EG"/>
          <w14:ligatures w14:val="none"/>
        </w:rPr>
        <w:t>.</w:t>
      </w:r>
    </w:p>
    <w:p w14:paraId="4414B933" w14:textId="77777777" w:rsidR="000D057A" w:rsidRPr="00012BBF" w:rsidRDefault="000D057A" w:rsidP="00A84068">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تجاوزها للمقاربة الأداتية التي تنظر إلى الموظف بوصفه مدخلًا إنتاجيًّا فقط</w:t>
      </w:r>
      <w:r w:rsidRPr="00012BBF">
        <w:rPr>
          <w:rFonts w:ascii="Simplified Arabic" w:eastAsia="Times New Roman" w:hAnsi="Simplified Arabic" w:cs="Simplified Arabic"/>
          <w:color w:val="000000" w:themeColor="text1"/>
          <w:kern w:val="0"/>
          <w:sz w:val="28"/>
          <w:szCs w:val="28"/>
          <w:lang w:bidi="ar-EG"/>
          <w14:ligatures w14:val="none"/>
        </w:rPr>
        <w:t>.</w:t>
      </w:r>
    </w:p>
    <w:p w14:paraId="6A11B3D1"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ويرى</w:t>
      </w:r>
      <w:r w:rsidRPr="00012BBF">
        <w:rPr>
          <w:rFonts w:ascii="Simplified Arabic" w:eastAsia="Times New Roman" w:hAnsi="Simplified Arabic" w:cs="Simplified Arabic"/>
          <w:b/>
          <w:bCs/>
          <w:color w:val="000000" w:themeColor="text1"/>
          <w:kern w:val="0"/>
          <w:sz w:val="28"/>
          <w:szCs w:val="28"/>
          <w:lang w:bidi="ar-EG"/>
          <w14:ligatures w14:val="none"/>
        </w:rPr>
        <w:t xml:space="preserve"> Kimonyo (2024) </w:t>
      </w:r>
      <w:r w:rsidRPr="00012BBF">
        <w:rPr>
          <w:rFonts w:ascii="Simplified Arabic" w:eastAsia="Times New Roman" w:hAnsi="Simplified Arabic" w:cs="Simplified Arabic"/>
          <w:b/>
          <w:bCs/>
          <w:color w:val="000000" w:themeColor="text1"/>
          <w:kern w:val="0"/>
          <w:sz w:val="28"/>
          <w:szCs w:val="28"/>
          <w:rtl/>
          <w14:ligatures w14:val="none"/>
        </w:rPr>
        <w:t>أنّ أهمية تجربة الموظف تتجلّى في انعكاسها على</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442C3BAE" w14:textId="77777777" w:rsidR="000D057A" w:rsidRPr="00012BBF" w:rsidRDefault="000D057A" w:rsidP="00A84068">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مستوى الابتكار في المنظمة، إذ إنّ التجربة الإيجابية تُحرّر الطاقات الإبداعية للأفراد</w:t>
      </w:r>
      <w:r w:rsidRPr="00012BBF">
        <w:rPr>
          <w:rFonts w:ascii="Simplified Arabic" w:eastAsia="Times New Roman" w:hAnsi="Simplified Arabic" w:cs="Simplified Arabic"/>
          <w:color w:val="000000" w:themeColor="text1"/>
          <w:kern w:val="0"/>
          <w:sz w:val="28"/>
          <w:szCs w:val="28"/>
          <w:lang w:bidi="ar-EG"/>
          <w14:ligatures w14:val="none"/>
        </w:rPr>
        <w:t>.</w:t>
      </w:r>
    </w:p>
    <w:p w14:paraId="6FFA6B7C" w14:textId="77777777" w:rsidR="000D057A" w:rsidRPr="00012BBF" w:rsidRDefault="000D057A" w:rsidP="00A84068">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درجة اندماج الموظفين في عملهم وارتباطهم بأهداف المنظمة</w:t>
      </w:r>
      <w:r w:rsidRPr="00012BBF">
        <w:rPr>
          <w:rFonts w:ascii="Simplified Arabic" w:eastAsia="Times New Roman" w:hAnsi="Simplified Arabic" w:cs="Simplified Arabic"/>
          <w:color w:val="000000" w:themeColor="text1"/>
          <w:kern w:val="0"/>
          <w:sz w:val="28"/>
          <w:szCs w:val="28"/>
          <w:lang w:bidi="ar-EG"/>
          <w14:ligatures w14:val="none"/>
        </w:rPr>
        <w:t>.</w:t>
      </w:r>
    </w:p>
    <w:p w14:paraId="74FA55C0" w14:textId="77777777" w:rsidR="000D057A" w:rsidRPr="00012BBF" w:rsidRDefault="000D057A" w:rsidP="00A84068">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جودة الخدمة المقدّمة للعملاء بوصفها انعكاسًا طبيعيًّا لجودة التجربة الداخلية للعاملين</w:t>
      </w:r>
      <w:r w:rsidRPr="00012BBF">
        <w:rPr>
          <w:rFonts w:ascii="Simplified Arabic" w:eastAsia="Times New Roman" w:hAnsi="Simplified Arabic" w:cs="Simplified Arabic"/>
          <w:color w:val="000000" w:themeColor="text1"/>
          <w:kern w:val="0"/>
          <w:sz w:val="28"/>
          <w:szCs w:val="28"/>
          <w:lang w:bidi="ar-EG"/>
          <w14:ligatures w14:val="none"/>
        </w:rPr>
        <w:t>.</w:t>
      </w:r>
    </w:p>
    <w:p w14:paraId="42B8A18F"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ويُضيف</w:t>
      </w:r>
      <w:r w:rsidRPr="00012BBF">
        <w:rPr>
          <w:rFonts w:ascii="Simplified Arabic" w:eastAsia="Times New Roman" w:hAnsi="Simplified Arabic" w:cs="Simplified Arabic"/>
          <w:color w:val="000000" w:themeColor="text1"/>
          <w:kern w:val="0"/>
          <w:sz w:val="28"/>
          <w:szCs w:val="28"/>
          <w:lang w:bidi="ar-EG"/>
          <w14:ligatures w14:val="none"/>
        </w:rPr>
        <w:t xml:space="preserve"> Lee &amp; Kim (2023) </w:t>
      </w:r>
      <w:r w:rsidRPr="00012BBF">
        <w:rPr>
          <w:rFonts w:ascii="Simplified Arabic" w:eastAsia="Times New Roman" w:hAnsi="Simplified Arabic" w:cs="Simplified Arabic"/>
          <w:color w:val="000000" w:themeColor="text1"/>
          <w:kern w:val="0"/>
          <w:sz w:val="28"/>
          <w:szCs w:val="28"/>
          <w:rtl/>
          <w14:ligatures w14:val="none"/>
        </w:rPr>
        <w:t>أنّ تجربة الموظف تكتسب أهميتها من دورها في تشكيل الالتزام التنظيمي، الذي يُعدّ المحرّك الجوهري لقرارات البقاء أو الانفصال الوظيفي. ويُبرز</w:t>
      </w:r>
      <w:r w:rsidRPr="00012BBF">
        <w:rPr>
          <w:rFonts w:ascii="Simplified Arabic" w:eastAsia="Times New Roman" w:hAnsi="Simplified Arabic" w:cs="Simplified Arabic"/>
          <w:color w:val="000000" w:themeColor="text1"/>
          <w:kern w:val="0"/>
          <w:sz w:val="28"/>
          <w:szCs w:val="28"/>
          <w:lang w:bidi="ar-EG"/>
          <w14:ligatures w14:val="none"/>
        </w:rPr>
        <w:t xml:space="preserve"> Jo &amp; Shin (2025) </w:t>
      </w:r>
      <w:r w:rsidRPr="00012BBF">
        <w:rPr>
          <w:rFonts w:ascii="Simplified Arabic" w:eastAsia="Times New Roman" w:hAnsi="Simplified Arabic" w:cs="Simplified Arabic"/>
          <w:color w:val="000000" w:themeColor="text1"/>
          <w:kern w:val="0"/>
          <w:sz w:val="28"/>
          <w:szCs w:val="28"/>
          <w:rtl/>
          <w14:ligatures w14:val="none"/>
        </w:rPr>
        <w:t>أنّ منظومة التقدير والعدالة والقيادة، بوصفها مكوّنات جوهرية للتجربة، تُمثّل المحدّدات الأهمّ لمخرجات الموظفين على مختلف المستويات</w:t>
      </w:r>
      <w:r w:rsidRPr="00012BBF">
        <w:rPr>
          <w:rFonts w:ascii="Simplified Arabic" w:eastAsia="Times New Roman" w:hAnsi="Simplified Arabic" w:cs="Simplified Arabic"/>
          <w:color w:val="000000" w:themeColor="text1"/>
          <w:kern w:val="0"/>
          <w:sz w:val="28"/>
          <w:szCs w:val="28"/>
          <w:lang w:bidi="ar-EG"/>
          <w14:ligatures w14:val="none"/>
        </w:rPr>
        <w:t>.</w:t>
      </w:r>
    </w:p>
    <w:p w14:paraId="401AB9B3"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أمّا أهمية الاحتفاظ بالكفاءات، فتتجلّى من منظور</w:t>
      </w:r>
      <w:r w:rsidRPr="00012BBF">
        <w:rPr>
          <w:rFonts w:ascii="Simplified Arabic" w:eastAsia="Times New Roman" w:hAnsi="Simplified Arabic" w:cs="Simplified Arabic"/>
          <w:b/>
          <w:bCs/>
          <w:color w:val="000000" w:themeColor="text1"/>
          <w:kern w:val="0"/>
          <w:sz w:val="28"/>
          <w:szCs w:val="28"/>
          <w:lang w:bidi="ar-EG"/>
          <w14:ligatures w14:val="none"/>
        </w:rPr>
        <w:t xml:space="preserve"> Adhikersa </w:t>
      </w:r>
      <w:r w:rsidRPr="00012BBF">
        <w:rPr>
          <w:rFonts w:ascii="Simplified Arabic" w:eastAsia="Times New Roman" w:hAnsi="Simplified Arabic" w:cs="Simplified Arabic"/>
          <w:b/>
          <w:bCs/>
          <w:color w:val="000000" w:themeColor="text1"/>
          <w:kern w:val="0"/>
          <w:sz w:val="28"/>
          <w:szCs w:val="28"/>
          <w:rtl/>
          <w14:ligatures w14:val="none"/>
        </w:rPr>
        <w:t>وآخرون (2022) في كونها</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5C52DE32" w14:textId="77777777" w:rsidR="000D057A" w:rsidRPr="00012BBF" w:rsidRDefault="000D057A" w:rsidP="00A8406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مؤشّرًا على نضج المنظمة الرشيقة وقدرتها على بناء بيئة جاذبة</w:t>
      </w:r>
      <w:r w:rsidRPr="00012BBF">
        <w:rPr>
          <w:rFonts w:ascii="Simplified Arabic" w:eastAsia="Times New Roman" w:hAnsi="Simplified Arabic" w:cs="Simplified Arabic"/>
          <w:color w:val="000000" w:themeColor="text1"/>
          <w:kern w:val="0"/>
          <w:sz w:val="28"/>
          <w:szCs w:val="28"/>
          <w:lang w:bidi="ar-EG"/>
          <w14:ligatures w14:val="none"/>
        </w:rPr>
        <w:t>.</w:t>
      </w:r>
    </w:p>
    <w:p w14:paraId="7222F9A8" w14:textId="77777777" w:rsidR="000D057A" w:rsidRPr="00012BBF" w:rsidRDefault="000D057A" w:rsidP="00A8406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عاملًا مفسّرًا لقدرة المنظمة على الحفاظ على ذاكرتها التنظيمية ورأس مالها المعرفي</w:t>
      </w:r>
      <w:r w:rsidRPr="00012BBF">
        <w:rPr>
          <w:rFonts w:ascii="Simplified Arabic" w:eastAsia="Times New Roman" w:hAnsi="Simplified Arabic" w:cs="Simplified Arabic"/>
          <w:color w:val="000000" w:themeColor="text1"/>
          <w:kern w:val="0"/>
          <w:sz w:val="28"/>
          <w:szCs w:val="28"/>
          <w:lang w:bidi="ar-EG"/>
          <w14:ligatures w14:val="none"/>
        </w:rPr>
        <w:t>.</w:t>
      </w:r>
    </w:p>
    <w:p w14:paraId="42D08589" w14:textId="77777777" w:rsidR="000D057A" w:rsidRPr="00012BBF" w:rsidRDefault="000D057A" w:rsidP="00A8406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محدّدًا لكلفة التشغيل، إذ إنّ ارتفاع معدّلات الدوران الوظيفي يُولّد أعباءً مالية وإدارية كبيرة</w:t>
      </w:r>
      <w:r w:rsidRPr="00012BBF">
        <w:rPr>
          <w:rFonts w:ascii="Simplified Arabic" w:eastAsia="Times New Roman" w:hAnsi="Simplified Arabic" w:cs="Simplified Arabic"/>
          <w:color w:val="000000" w:themeColor="text1"/>
          <w:kern w:val="0"/>
          <w:sz w:val="28"/>
          <w:szCs w:val="28"/>
          <w:lang w:bidi="ar-EG"/>
          <w14:ligatures w14:val="none"/>
        </w:rPr>
        <w:t>.</w:t>
      </w:r>
    </w:p>
    <w:p w14:paraId="549FBB00"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ويرى الباحث أنّ هذه الأهمية تتضاعف في سياق شركات الطاقة بمدينة الدمام، حيث تستثمر المنشآت موارد ضخمة في تأهيل كفاءاتها المتخصّصة، ويُمثّل فقدان هذه الكفاءات مخاطرة تشغيلية مزدوجة تشمل فقدان المعرفة المتراكمة وانكشاف العمليات أمام مخاطر السلامة، ممّا يجعل الاستثمار في جودة تجربة الموظف استثمارًا استراتيجيًّا لا تكتيكيًّا</w:t>
      </w:r>
      <w:r w:rsidRPr="00012BBF">
        <w:rPr>
          <w:rFonts w:ascii="Simplified Arabic" w:eastAsia="Times New Roman" w:hAnsi="Simplified Arabic" w:cs="Simplified Arabic"/>
          <w:color w:val="000000" w:themeColor="text1"/>
          <w:kern w:val="0"/>
          <w:sz w:val="28"/>
          <w:szCs w:val="28"/>
          <w:lang w:bidi="ar-EG"/>
          <w14:ligatures w14:val="none"/>
        </w:rPr>
        <w:t>.</w:t>
      </w:r>
    </w:p>
    <w:p w14:paraId="0ED5CDDD" w14:textId="2E51B011" w:rsidR="000D057A" w:rsidRPr="00012BBF" w:rsidRDefault="009F37DB" w:rsidP="009F37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1" w:name="_Toc233239804"/>
      <w:r w:rsidRPr="00012BBF">
        <w:rPr>
          <w:rFonts w:ascii="Simplified Arabic" w:eastAsia="Times New Roman" w:hAnsi="Simplified Arabic" w:cs="Simplified Arabic" w:hint="cs"/>
          <w:b/>
          <w:bCs/>
          <w:color w:val="000000" w:themeColor="text1"/>
          <w:kern w:val="0"/>
          <w:sz w:val="32"/>
          <w:szCs w:val="32"/>
          <w:rtl/>
          <w14:ligatures w14:val="none"/>
        </w:rPr>
        <w:t>4.2.2</w:t>
      </w:r>
      <w:r w:rsidR="000D057A" w:rsidRPr="00012BBF">
        <w:rPr>
          <w:rFonts w:ascii="Simplified Arabic" w:eastAsia="Times New Roman" w:hAnsi="Simplified Arabic" w:cs="Simplified Arabic"/>
          <w:b/>
          <w:bCs/>
          <w:color w:val="000000" w:themeColor="text1"/>
          <w:kern w:val="0"/>
          <w:sz w:val="32"/>
          <w:szCs w:val="32"/>
          <w:rtl/>
          <w14:ligatures w14:val="none"/>
        </w:rPr>
        <w:t xml:space="preserve"> أهداف إدارة تجربة الموظف والاحتفاظ بالكفاءات</w:t>
      </w:r>
      <w:bookmarkEnd w:id="41"/>
    </w:p>
    <w:p w14:paraId="3B47491D"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lastRenderedPageBreak/>
        <w:t>تتعدّد الأهداف التي تسعى إدارة تجربة الموظف إلى تحقيقها، وتتشكّل هذه الأهداف وفق الفلسفة التي تتبنّاها المنظمة في علاقتها بمواردها البشرية ودرجة نضج ممارساتها في هذا الميدان. ويُمكن استعراض هذه الأهداف من خلال زوايا الباحثين المختلفة على النحو التالي</w:t>
      </w:r>
      <w:r w:rsidRPr="00012BBF">
        <w:rPr>
          <w:rFonts w:ascii="Simplified Arabic" w:eastAsia="Times New Roman" w:hAnsi="Simplified Arabic" w:cs="Simplified Arabic"/>
          <w:color w:val="000000" w:themeColor="text1"/>
          <w:kern w:val="0"/>
          <w:sz w:val="28"/>
          <w:szCs w:val="28"/>
          <w:lang w:bidi="ar-EG"/>
          <w14:ligatures w14:val="none"/>
        </w:rPr>
        <w:t>:</w:t>
      </w:r>
    </w:p>
    <w:p w14:paraId="38CCAF5C"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يُحدّد القحطاني (٢٠٢٥) جملةً من الأهداف الجوهرية لإدارة تجربة الموظف، تشمل</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1F701D63" w14:textId="77777777" w:rsidR="000D057A" w:rsidRPr="00012BBF" w:rsidRDefault="000D057A" w:rsidP="00A8406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تحقيق السعادة المؤسّسية بوصفها هدفًا غائيًّا يتجاوز مجرّد تحقيق الرضا الوظيفي</w:t>
      </w:r>
      <w:r w:rsidRPr="00012BBF">
        <w:rPr>
          <w:rFonts w:ascii="Simplified Arabic" w:eastAsia="Times New Roman" w:hAnsi="Simplified Arabic" w:cs="Simplified Arabic"/>
          <w:color w:val="000000" w:themeColor="text1"/>
          <w:kern w:val="0"/>
          <w:sz w:val="28"/>
          <w:szCs w:val="28"/>
          <w:lang w:bidi="ar-EG"/>
          <w14:ligatures w14:val="none"/>
        </w:rPr>
        <w:t>.</w:t>
      </w:r>
    </w:p>
    <w:p w14:paraId="2B2424F3" w14:textId="77777777" w:rsidR="000D057A" w:rsidRPr="00012BBF" w:rsidRDefault="000D057A" w:rsidP="00A8406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بناء استراتيجية متكاملة لتطوير علاقة الموظف بمنظمته في ضوء أفضل الممارسات العالمية</w:t>
      </w:r>
      <w:r w:rsidRPr="00012BBF">
        <w:rPr>
          <w:rFonts w:ascii="Simplified Arabic" w:eastAsia="Times New Roman" w:hAnsi="Simplified Arabic" w:cs="Simplified Arabic"/>
          <w:color w:val="000000" w:themeColor="text1"/>
          <w:kern w:val="0"/>
          <w:sz w:val="28"/>
          <w:szCs w:val="28"/>
          <w:lang w:bidi="ar-EG"/>
          <w14:ligatures w14:val="none"/>
        </w:rPr>
        <w:t>.</w:t>
      </w:r>
    </w:p>
    <w:p w14:paraId="24AA4AC8" w14:textId="77777777" w:rsidR="000D057A" w:rsidRPr="00012BBF" w:rsidRDefault="000D057A" w:rsidP="00A8406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تحويل بيئة العمل إلى فضاء يستثمر طاقات الأفراد ويُحفّز إبداعهم</w:t>
      </w:r>
      <w:r w:rsidRPr="00012BBF">
        <w:rPr>
          <w:rFonts w:ascii="Simplified Arabic" w:eastAsia="Times New Roman" w:hAnsi="Simplified Arabic" w:cs="Simplified Arabic"/>
          <w:color w:val="000000" w:themeColor="text1"/>
          <w:kern w:val="0"/>
          <w:sz w:val="28"/>
          <w:szCs w:val="28"/>
          <w:lang w:bidi="ar-EG"/>
          <w14:ligatures w14:val="none"/>
        </w:rPr>
        <w:t>.</w:t>
      </w:r>
    </w:p>
    <w:p w14:paraId="34039F97"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ويرى البحيري والغامدي (٢٠٢٦) أنّ إدارة تجربة الموظف تستهدف</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0A0E41E5" w14:textId="77777777" w:rsidR="000D057A" w:rsidRPr="00012BBF" w:rsidRDefault="000D057A" w:rsidP="00A8406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تطوير الموارد البشرية الإدارية عبر مدخل تجريبي يُركّز على رحلة الموظف بكاملها</w:t>
      </w:r>
      <w:r w:rsidRPr="00012BBF">
        <w:rPr>
          <w:rFonts w:ascii="Simplified Arabic" w:eastAsia="Times New Roman" w:hAnsi="Simplified Arabic" w:cs="Simplified Arabic"/>
          <w:color w:val="000000" w:themeColor="text1"/>
          <w:kern w:val="0"/>
          <w:sz w:val="28"/>
          <w:szCs w:val="28"/>
          <w:lang w:bidi="ar-EG"/>
          <w14:ligatures w14:val="none"/>
        </w:rPr>
        <w:t>.</w:t>
      </w:r>
    </w:p>
    <w:p w14:paraId="6002A018" w14:textId="77777777" w:rsidR="000D057A" w:rsidRPr="00012BBF" w:rsidRDefault="000D057A" w:rsidP="00A8406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الاستفادة من الخبرات الأجنبية في تصميم بيئات عمل قادرة على المنافسة عالميًّا</w:t>
      </w:r>
      <w:r w:rsidRPr="00012BBF">
        <w:rPr>
          <w:rFonts w:ascii="Simplified Arabic" w:eastAsia="Times New Roman" w:hAnsi="Simplified Arabic" w:cs="Simplified Arabic"/>
          <w:color w:val="000000" w:themeColor="text1"/>
          <w:kern w:val="0"/>
          <w:sz w:val="28"/>
          <w:szCs w:val="28"/>
          <w:lang w:bidi="ar-EG"/>
          <w14:ligatures w14:val="none"/>
        </w:rPr>
        <w:t>.</w:t>
      </w:r>
    </w:p>
    <w:p w14:paraId="5FC49182" w14:textId="77777777" w:rsidR="000D057A" w:rsidRPr="00012BBF" w:rsidRDefault="000D057A" w:rsidP="00A8406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بناء قدرات قيادية قادرة على التعامل مع التوقّعات المتغيّرة للعاملين</w:t>
      </w:r>
      <w:r w:rsidRPr="00012BBF">
        <w:rPr>
          <w:rFonts w:ascii="Simplified Arabic" w:eastAsia="Times New Roman" w:hAnsi="Simplified Arabic" w:cs="Simplified Arabic"/>
          <w:color w:val="000000" w:themeColor="text1"/>
          <w:kern w:val="0"/>
          <w:sz w:val="28"/>
          <w:szCs w:val="28"/>
          <w:lang w:bidi="ar-EG"/>
          <w14:ligatures w14:val="none"/>
        </w:rPr>
        <w:t>.</w:t>
      </w:r>
    </w:p>
    <w:p w14:paraId="130F0B6F"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ويُضيف حسن (٢٠٢٤) أهدافًا متعلّقة بـ</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433667AF" w14:textId="77777777" w:rsidR="000D057A" w:rsidRPr="00012BBF" w:rsidRDefault="000D057A" w:rsidP="00A8406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تنمية رأس المال النفسي للموظفين بوصفه موردًا داخليًّا قابلًا للتطوير</w:t>
      </w:r>
      <w:r w:rsidRPr="00012BBF">
        <w:rPr>
          <w:rFonts w:ascii="Simplified Arabic" w:eastAsia="Times New Roman" w:hAnsi="Simplified Arabic" w:cs="Simplified Arabic"/>
          <w:color w:val="000000" w:themeColor="text1"/>
          <w:kern w:val="0"/>
          <w:sz w:val="28"/>
          <w:szCs w:val="28"/>
          <w:lang w:bidi="ar-EG"/>
          <w14:ligatures w14:val="none"/>
        </w:rPr>
        <w:t>.</w:t>
      </w:r>
    </w:p>
    <w:p w14:paraId="19346D8F" w14:textId="77777777" w:rsidR="000D057A" w:rsidRPr="00012BBF" w:rsidRDefault="000D057A" w:rsidP="00A8406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تحقيق ازدهار حقيقي في مكان العمل يتجاوز مظاهر الرضا السطحية</w:t>
      </w:r>
      <w:r w:rsidRPr="00012BBF">
        <w:rPr>
          <w:rFonts w:ascii="Simplified Arabic" w:eastAsia="Times New Roman" w:hAnsi="Simplified Arabic" w:cs="Simplified Arabic"/>
          <w:color w:val="000000" w:themeColor="text1"/>
          <w:kern w:val="0"/>
          <w:sz w:val="28"/>
          <w:szCs w:val="28"/>
          <w:lang w:bidi="ar-EG"/>
          <w14:ligatures w14:val="none"/>
        </w:rPr>
        <w:t>.</w:t>
      </w:r>
    </w:p>
    <w:p w14:paraId="0B5BB748" w14:textId="77777777" w:rsidR="000D057A" w:rsidRPr="00012BBF" w:rsidRDefault="000D057A" w:rsidP="00A8406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بناء علاقات وساطة إيجابية بين ممارسات المنظمة ومخرجات العمل</w:t>
      </w:r>
      <w:r w:rsidRPr="00012BBF">
        <w:rPr>
          <w:rFonts w:ascii="Simplified Arabic" w:eastAsia="Times New Roman" w:hAnsi="Simplified Arabic" w:cs="Simplified Arabic"/>
          <w:color w:val="000000" w:themeColor="text1"/>
          <w:kern w:val="0"/>
          <w:sz w:val="28"/>
          <w:szCs w:val="28"/>
          <w:lang w:bidi="ar-EG"/>
          <w14:ligatures w14:val="none"/>
        </w:rPr>
        <w:t>.</w:t>
      </w:r>
    </w:p>
    <w:p w14:paraId="5892FEB3"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ومن منظور</w:t>
      </w:r>
      <w:r w:rsidRPr="00012BBF">
        <w:rPr>
          <w:rFonts w:ascii="Simplified Arabic" w:eastAsia="Times New Roman" w:hAnsi="Simplified Arabic" w:cs="Simplified Arabic"/>
          <w:b/>
          <w:bCs/>
          <w:color w:val="000000" w:themeColor="text1"/>
          <w:kern w:val="0"/>
          <w:sz w:val="28"/>
          <w:szCs w:val="28"/>
          <w:lang w:bidi="ar-EG"/>
          <w14:ligatures w14:val="none"/>
        </w:rPr>
        <w:t xml:space="preserve"> Batat (2022)</w:t>
      </w:r>
      <w:r w:rsidRPr="00012BBF">
        <w:rPr>
          <w:rFonts w:ascii="Simplified Arabic" w:eastAsia="Times New Roman" w:hAnsi="Simplified Arabic" w:cs="Simplified Arabic"/>
          <w:b/>
          <w:bCs/>
          <w:color w:val="000000" w:themeColor="text1"/>
          <w:kern w:val="0"/>
          <w:sz w:val="28"/>
          <w:szCs w:val="28"/>
          <w:rtl/>
          <w14:ligatures w14:val="none"/>
        </w:rPr>
        <w:t>، تتمحور أهداف إدارة تجربة الموظف حول</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1A42060D" w14:textId="77777777" w:rsidR="000D057A" w:rsidRPr="00012BBF" w:rsidRDefault="000D057A" w:rsidP="00A8406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تعزيز رفاه الموظف بمعناه الشامل المتعدّد الأبعاد</w:t>
      </w:r>
      <w:r w:rsidRPr="00012BBF">
        <w:rPr>
          <w:rFonts w:ascii="Simplified Arabic" w:eastAsia="Times New Roman" w:hAnsi="Simplified Arabic" w:cs="Simplified Arabic"/>
          <w:color w:val="000000" w:themeColor="text1"/>
          <w:kern w:val="0"/>
          <w:sz w:val="28"/>
          <w:szCs w:val="28"/>
          <w:lang w:bidi="ar-EG"/>
          <w14:ligatures w14:val="none"/>
        </w:rPr>
        <w:t>.</w:t>
      </w:r>
    </w:p>
    <w:p w14:paraId="71EEDF36" w14:textId="77777777" w:rsidR="000D057A" w:rsidRPr="00012BBF" w:rsidRDefault="000D057A" w:rsidP="00A8406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بناء أجندة مستقبلية للممارسات الإدارية تستجيب للتحدّيات المعاصرة</w:t>
      </w:r>
      <w:r w:rsidRPr="00012BBF">
        <w:rPr>
          <w:rFonts w:ascii="Simplified Arabic" w:eastAsia="Times New Roman" w:hAnsi="Simplified Arabic" w:cs="Simplified Arabic"/>
          <w:color w:val="000000" w:themeColor="text1"/>
          <w:kern w:val="0"/>
          <w:sz w:val="28"/>
          <w:szCs w:val="28"/>
          <w:lang w:bidi="ar-EG"/>
          <w14:ligatures w14:val="none"/>
        </w:rPr>
        <w:t>.</w:t>
      </w:r>
    </w:p>
    <w:p w14:paraId="73F6072F" w14:textId="77777777" w:rsidR="000D057A" w:rsidRPr="00012BBF" w:rsidRDefault="000D057A" w:rsidP="00A8406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إعادة تصور علاقة المنظمة بموظفيها على أسس أكثر إنسانية واستدامة</w:t>
      </w:r>
      <w:r w:rsidRPr="00012BBF">
        <w:rPr>
          <w:rFonts w:ascii="Simplified Arabic" w:eastAsia="Times New Roman" w:hAnsi="Simplified Arabic" w:cs="Simplified Arabic"/>
          <w:color w:val="000000" w:themeColor="text1"/>
          <w:kern w:val="0"/>
          <w:sz w:val="28"/>
          <w:szCs w:val="28"/>
          <w:lang w:bidi="ar-EG"/>
          <w14:ligatures w14:val="none"/>
        </w:rPr>
        <w:t>.</w:t>
      </w:r>
    </w:p>
    <w:p w14:paraId="407E9DEB"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ويُبرز</w:t>
      </w:r>
      <w:r w:rsidRPr="00012BBF">
        <w:rPr>
          <w:rFonts w:ascii="Simplified Arabic" w:eastAsia="Times New Roman" w:hAnsi="Simplified Arabic" w:cs="Simplified Arabic"/>
          <w:b/>
          <w:bCs/>
          <w:color w:val="000000" w:themeColor="text1"/>
          <w:kern w:val="0"/>
          <w:sz w:val="28"/>
          <w:szCs w:val="28"/>
          <w:lang w:bidi="ar-EG"/>
          <w14:ligatures w14:val="none"/>
        </w:rPr>
        <w:t xml:space="preserve"> Lee &amp; Kim (2023) </w:t>
      </w:r>
      <w:r w:rsidRPr="00012BBF">
        <w:rPr>
          <w:rFonts w:ascii="Simplified Arabic" w:eastAsia="Times New Roman" w:hAnsi="Simplified Arabic" w:cs="Simplified Arabic"/>
          <w:b/>
          <w:bCs/>
          <w:color w:val="000000" w:themeColor="text1"/>
          <w:kern w:val="0"/>
          <w:sz w:val="28"/>
          <w:szCs w:val="28"/>
          <w:rtl/>
          <w14:ligatures w14:val="none"/>
        </w:rPr>
        <w:t>أهدافًا تتعلّق بـ</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547D2659" w14:textId="77777777" w:rsidR="000D057A" w:rsidRPr="00012BBF" w:rsidRDefault="000D057A" w:rsidP="00A8406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تعميق الالتزام التنظيمي للعاملين بوصفه أساسًا لقرارات البقاء</w:t>
      </w:r>
      <w:r w:rsidRPr="00012BBF">
        <w:rPr>
          <w:rFonts w:ascii="Simplified Arabic" w:eastAsia="Times New Roman" w:hAnsi="Simplified Arabic" w:cs="Simplified Arabic"/>
          <w:color w:val="000000" w:themeColor="text1"/>
          <w:kern w:val="0"/>
          <w:sz w:val="28"/>
          <w:szCs w:val="28"/>
          <w:lang w:bidi="ar-EG"/>
          <w14:ligatures w14:val="none"/>
        </w:rPr>
        <w:t>.</w:t>
      </w:r>
    </w:p>
    <w:p w14:paraId="60350656" w14:textId="77777777" w:rsidR="000D057A" w:rsidRPr="00012BBF" w:rsidRDefault="000D057A" w:rsidP="00A8406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lastRenderedPageBreak/>
        <w:t>بناء علاقة طويلة الأمد بين الموظف والمنظمة تتجاوز التعاقد القانوني</w:t>
      </w:r>
      <w:r w:rsidRPr="00012BBF">
        <w:rPr>
          <w:rFonts w:ascii="Simplified Arabic" w:eastAsia="Times New Roman" w:hAnsi="Simplified Arabic" w:cs="Simplified Arabic"/>
          <w:color w:val="000000" w:themeColor="text1"/>
          <w:kern w:val="0"/>
          <w:sz w:val="28"/>
          <w:szCs w:val="28"/>
          <w:lang w:bidi="ar-EG"/>
          <w14:ligatures w14:val="none"/>
        </w:rPr>
        <w:t>.</w:t>
      </w:r>
    </w:p>
    <w:p w14:paraId="6D41018F" w14:textId="77777777" w:rsidR="000D057A" w:rsidRPr="00012BBF" w:rsidRDefault="000D057A" w:rsidP="00A8406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تحقيق التوافق بين التطلّعات الفردية والأهداف التنظيمية</w:t>
      </w:r>
      <w:r w:rsidRPr="00012BBF">
        <w:rPr>
          <w:rFonts w:ascii="Simplified Arabic" w:eastAsia="Times New Roman" w:hAnsi="Simplified Arabic" w:cs="Simplified Arabic"/>
          <w:color w:val="000000" w:themeColor="text1"/>
          <w:kern w:val="0"/>
          <w:sz w:val="28"/>
          <w:szCs w:val="28"/>
          <w:lang w:bidi="ar-EG"/>
          <w14:ligatures w14:val="none"/>
        </w:rPr>
        <w:t>.</w:t>
      </w:r>
    </w:p>
    <w:p w14:paraId="71E5AF80"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ويُحدّد</w:t>
      </w:r>
      <w:r w:rsidRPr="00012BBF">
        <w:rPr>
          <w:rFonts w:ascii="Simplified Arabic" w:eastAsia="Times New Roman" w:hAnsi="Simplified Arabic" w:cs="Simplified Arabic"/>
          <w:b/>
          <w:bCs/>
          <w:color w:val="000000" w:themeColor="text1"/>
          <w:kern w:val="0"/>
          <w:sz w:val="28"/>
          <w:szCs w:val="28"/>
          <w:lang w:bidi="ar-EG"/>
          <w14:ligatures w14:val="none"/>
        </w:rPr>
        <w:t xml:space="preserve"> Kimonyo (2024) </w:t>
      </w:r>
      <w:r w:rsidRPr="00012BBF">
        <w:rPr>
          <w:rFonts w:ascii="Simplified Arabic" w:eastAsia="Times New Roman" w:hAnsi="Simplified Arabic" w:cs="Simplified Arabic"/>
          <w:b/>
          <w:bCs/>
          <w:color w:val="000000" w:themeColor="text1"/>
          <w:kern w:val="0"/>
          <w:sz w:val="28"/>
          <w:szCs w:val="28"/>
          <w:rtl/>
          <w14:ligatures w14:val="none"/>
        </w:rPr>
        <w:t>أهدافًا أكثر اتصالًا بالأداء التنظيمي، تشمل</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138AB8B7" w14:textId="77777777" w:rsidR="000D057A" w:rsidRPr="00012BBF" w:rsidRDefault="000D057A" w:rsidP="00A8406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تحفيز الابتكار عبر تحرير الطاقات الإبداعية للأفراد</w:t>
      </w:r>
      <w:r w:rsidRPr="00012BBF">
        <w:rPr>
          <w:rFonts w:ascii="Simplified Arabic" w:eastAsia="Times New Roman" w:hAnsi="Simplified Arabic" w:cs="Simplified Arabic"/>
          <w:color w:val="000000" w:themeColor="text1"/>
          <w:kern w:val="0"/>
          <w:sz w:val="28"/>
          <w:szCs w:val="28"/>
          <w:lang w:bidi="ar-EG"/>
          <w14:ligatures w14:val="none"/>
        </w:rPr>
        <w:t>.</w:t>
      </w:r>
    </w:p>
    <w:p w14:paraId="4BDCF7A8" w14:textId="77777777" w:rsidR="000D057A" w:rsidRPr="00012BBF" w:rsidRDefault="000D057A" w:rsidP="00A8406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رفع مستوى الاندماج الوظيفي بوصفه محرّكًا للأداء</w:t>
      </w:r>
      <w:r w:rsidRPr="00012BBF">
        <w:rPr>
          <w:rFonts w:ascii="Simplified Arabic" w:eastAsia="Times New Roman" w:hAnsi="Simplified Arabic" w:cs="Simplified Arabic"/>
          <w:color w:val="000000" w:themeColor="text1"/>
          <w:kern w:val="0"/>
          <w:sz w:val="28"/>
          <w:szCs w:val="28"/>
          <w:lang w:bidi="ar-EG"/>
          <w14:ligatures w14:val="none"/>
        </w:rPr>
        <w:t>.</w:t>
      </w:r>
    </w:p>
    <w:p w14:paraId="7715C431" w14:textId="77777777" w:rsidR="000D057A" w:rsidRPr="00012BBF" w:rsidRDefault="000D057A" w:rsidP="00A8406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تحسين رضا العملاء بوصفه انعكاسًا لجودة التجربة الداخلية</w:t>
      </w:r>
      <w:r w:rsidRPr="00012BBF">
        <w:rPr>
          <w:rFonts w:ascii="Simplified Arabic" w:eastAsia="Times New Roman" w:hAnsi="Simplified Arabic" w:cs="Simplified Arabic"/>
          <w:color w:val="000000" w:themeColor="text1"/>
          <w:kern w:val="0"/>
          <w:sz w:val="28"/>
          <w:szCs w:val="28"/>
          <w:lang w:bidi="ar-EG"/>
          <w14:ligatures w14:val="none"/>
        </w:rPr>
        <w:t>.</w:t>
      </w:r>
    </w:p>
    <w:p w14:paraId="191475AD"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ويُضيف</w:t>
      </w:r>
      <w:r w:rsidRPr="00012BBF">
        <w:rPr>
          <w:rFonts w:ascii="Simplified Arabic" w:eastAsia="Times New Roman" w:hAnsi="Simplified Arabic" w:cs="Simplified Arabic"/>
          <w:b/>
          <w:bCs/>
          <w:color w:val="000000" w:themeColor="text1"/>
          <w:kern w:val="0"/>
          <w:sz w:val="28"/>
          <w:szCs w:val="28"/>
          <w:lang w:bidi="ar-EG"/>
          <w14:ligatures w14:val="none"/>
        </w:rPr>
        <w:t xml:space="preserve"> Jo &amp; Shin (2025) </w:t>
      </w:r>
      <w:r w:rsidRPr="00012BBF">
        <w:rPr>
          <w:rFonts w:ascii="Simplified Arabic" w:eastAsia="Times New Roman" w:hAnsi="Simplified Arabic" w:cs="Simplified Arabic"/>
          <w:b/>
          <w:bCs/>
          <w:color w:val="000000" w:themeColor="text1"/>
          <w:kern w:val="0"/>
          <w:sz w:val="28"/>
          <w:szCs w:val="28"/>
          <w:rtl/>
          <w14:ligatures w14:val="none"/>
        </w:rPr>
        <w:t>أهدافًا متعلّقة بمنظومة الإدراكات التنظيمية، تشمل</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40F33AA6" w14:textId="77777777" w:rsidR="000D057A" w:rsidRPr="00012BBF" w:rsidRDefault="000D057A" w:rsidP="00A8406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تعزيز إدراكات التقدير لدى العاملين بما يُعزّز شعورهم بالقيمة</w:t>
      </w:r>
      <w:r w:rsidRPr="00012BBF">
        <w:rPr>
          <w:rFonts w:ascii="Simplified Arabic" w:eastAsia="Times New Roman" w:hAnsi="Simplified Arabic" w:cs="Simplified Arabic"/>
          <w:color w:val="000000" w:themeColor="text1"/>
          <w:kern w:val="0"/>
          <w:sz w:val="28"/>
          <w:szCs w:val="28"/>
          <w:lang w:bidi="ar-EG"/>
          <w14:ligatures w14:val="none"/>
        </w:rPr>
        <w:t>.</w:t>
      </w:r>
    </w:p>
    <w:p w14:paraId="4E1DD31D" w14:textId="77777777" w:rsidR="000D057A" w:rsidRPr="00012BBF" w:rsidRDefault="000D057A" w:rsidP="00A8406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بناء إدراكات العدالة بوصفها أساسًا للثقة في المنظمة</w:t>
      </w:r>
      <w:r w:rsidRPr="00012BBF">
        <w:rPr>
          <w:rFonts w:ascii="Simplified Arabic" w:eastAsia="Times New Roman" w:hAnsi="Simplified Arabic" w:cs="Simplified Arabic"/>
          <w:color w:val="000000" w:themeColor="text1"/>
          <w:kern w:val="0"/>
          <w:sz w:val="28"/>
          <w:szCs w:val="28"/>
          <w:lang w:bidi="ar-EG"/>
          <w14:ligatures w14:val="none"/>
        </w:rPr>
        <w:t>.</w:t>
      </w:r>
    </w:p>
    <w:p w14:paraId="6938CD15" w14:textId="77777777" w:rsidR="000D057A" w:rsidRPr="00012BBF" w:rsidRDefault="000D057A" w:rsidP="00A8406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تطوير ممارسات القيادة بحيث تنعكس إيجابًا على مخرجات العاملين على المستويات المختلفة</w:t>
      </w:r>
      <w:r w:rsidRPr="00012BBF">
        <w:rPr>
          <w:rFonts w:ascii="Simplified Arabic" w:eastAsia="Times New Roman" w:hAnsi="Simplified Arabic" w:cs="Simplified Arabic"/>
          <w:color w:val="000000" w:themeColor="text1"/>
          <w:kern w:val="0"/>
          <w:sz w:val="28"/>
          <w:szCs w:val="28"/>
          <w:lang w:bidi="ar-EG"/>
          <w14:ligatures w14:val="none"/>
        </w:rPr>
        <w:t>.</w:t>
      </w:r>
    </w:p>
    <w:p w14:paraId="43209EC2" w14:textId="77777777" w:rsidR="000D057A" w:rsidRPr="00012BBF" w:rsidRDefault="000D057A" w:rsidP="00934D4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2BBF">
        <w:rPr>
          <w:rFonts w:ascii="Simplified Arabic" w:eastAsia="Times New Roman" w:hAnsi="Simplified Arabic" w:cs="Simplified Arabic"/>
          <w:b/>
          <w:bCs/>
          <w:color w:val="000000" w:themeColor="text1"/>
          <w:kern w:val="0"/>
          <w:sz w:val="28"/>
          <w:szCs w:val="28"/>
          <w:rtl/>
          <w14:ligatures w14:val="none"/>
        </w:rPr>
        <w:t>ويرى</w:t>
      </w:r>
      <w:r w:rsidRPr="00012BBF">
        <w:rPr>
          <w:rFonts w:ascii="Simplified Arabic" w:eastAsia="Times New Roman" w:hAnsi="Simplified Arabic" w:cs="Simplified Arabic"/>
          <w:b/>
          <w:bCs/>
          <w:color w:val="000000" w:themeColor="text1"/>
          <w:kern w:val="0"/>
          <w:sz w:val="28"/>
          <w:szCs w:val="28"/>
          <w:lang w:bidi="ar-EG"/>
          <w14:ligatures w14:val="none"/>
        </w:rPr>
        <w:t xml:space="preserve"> Adhikersa </w:t>
      </w:r>
      <w:r w:rsidRPr="00012BBF">
        <w:rPr>
          <w:rFonts w:ascii="Simplified Arabic" w:eastAsia="Times New Roman" w:hAnsi="Simplified Arabic" w:cs="Simplified Arabic"/>
          <w:b/>
          <w:bCs/>
          <w:color w:val="000000" w:themeColor="text1"/>
          <w:kern w:val="0"/>
          <w:sz w:val="28"/>
          <w:szCs w:val="28"/>
          <w:rtl/>
          <w14:ligatures w14:val="none"/>
        </w:rPr>
        <w:t>وآخرون (2022) أنّ إدارة تجربة الموظف تستهدف</w:t>
      </w:r>
      <w:r w:rsidRPr="00012BBF">
        <w:rPr>
          <w:rFonts w:ascii="Simplified Arabic" w:eastAsia="Times New Roman" w:hAnsi="Simplified Arabic" w:cs="Simplified Arabic"/>
          <w:b/>
          <w:bCs/>
          <w:color w:val="000000" w:themeColor="text1"/>
          <w:kern w:val="0"/>
          <w:sz w:val="28"/>
          <w:szCs w:val="28"/>
          <w:lang w:bidi="ar-EG"/>
          <w14:ligatures w14:val="none"/>
        </w:rPr>
        <w:t>:</w:t>
      </w:r>
    </w:p>
    <w:p w14:paraId="5577432E" w14:textId="77777777" w:rsidR="000D057A" w:rsidRPr="00012BBF" w:rsidRDefault="000D057A" w:rsidP="00A84068">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بناء منظمة رشيقة قادرة على التكيّف مع المتغيّرات</w:t>
      </w:r>
      <w:r w:rsidRPr="00012BBF">
        <w:rPr>
          <w:rFonts w:ascii="Simplified Arabic" w:eastAsia="Times New Roman" w:hAnsi="Simplified Arabic" w:cs="Simplified Arabic"/>
          <w:color w:val="000000" w:themeColor="text1"/>
          <w:kern w:val="0"/>
          <w:sz w:val="28"/>
          <w:szCs w:val="28"/>
          <w:lang w:bidi="ar-EG"/>
          <w14:ligatures w14:val="none"/>
        </w:rPr>
        <w:t>.</w:t>
      </w:r>
    </w:p>
    <w:p w14:paraId="5B591938" w14:textId="77777777" w:rsidR="000D057A" w:rsidRPr="00012BBF" w:rsidRDefault="000D057A" w:rsidP="00A84068">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تطوير قدرات قيادية تستجيب للتوقّعات المعاصرة</w:t>
      </w:r>
      <w:r w:rsidRPr="00012BBF">
        <w:rPr>
          <w:rFonts w:ascii="Simplified Arabic" w:eastAsia="Times New Roman" w:hAnsi="Simplified Arabic" w:cs="Simplified Arabic"/>
          <w:color w:val="000000" w:themeColor="text1"/>
          <w:kern w:val="0"/>
          <w:sz w:val="28"/>
          <w:szCs w:val="28"/>
          <w:lang w:bidi="ar-EG"/>
          <w14:ligatures w14:val="none"/>
        </w:rPr>
        <w:t>.</w:t>
      </w:r>
    </w:p>
    <w:p w14:paraId="04296D90" w14:textId="77777777" w:rsidR="000D057A" w:rsidRPr="00012BBF" w:rsidRDefault="000D057A" w:rsidP="00A84068">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توظيف التحوّل الرقمي لتعزيز جودة التجربة</w:t>
      </w:r>
      <w:r w:rsidRPr="00012BBF">
        <w:rPr>
          <w:rFonts w:ascii="Simplified Arabic" w:eastAsia="Times New Roman" w:hAnsi="Simplified Arabic" w:cs="Simplified Arabic"/>
          <w:color w:val="000000" w:themeColor="text1"/>
          <w:kern w:val="0"/>
          <w:sz w:val="28"/>
          <w:szCs w:val="28"/>
          <w:lang w:bidi="ar-EG"/>
          <w14:ligatures w14:val="none"/>
        </w:rPr>
        <w:t>.</w:t>
      </w:r>
    </w:p>
    <w:p w14:paraId="445CD639"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ويرى الباحث أنّ الخيط الناظم لهذه الأهداف يتمثّل في الانتقال من نظرة أداتية للموظف إلى نظرة تكاملية تنظر إليه باعتباره شريكًا في صناعة قيمة المنظمة، وأنّ الاحتفاظ بالكفاءات يُمثّل النتيجة الطبيعية لتحقّق هذه الأهداف وليس هدفًا مستقلًّا بحدّ ذاته</w:t>
      </w:r>
      <w:r w:rsidRPr="00012BBF">
        <w:rPr>
          <w:rFonts w:ascii="Simplified Arabic" w:eastAsia="Times New Roman" w:hAnsi="Simplified Arabic" w:cs="Simplified Arabic"/>
          <w:color w:val="000000" w:themeColor="text1"/>
          <w:kern w:val="0"/>
          <w:sz w:val="28"/>
          <w:szCs w:val="28"/>
          <w:lang w:bidi="ar-EG"/>
          <w14:ligatures w14:val="none"/>
        </w:rPr>
        <w:t>.</w:t>
      </w:r>
    </w:p>
    <w:p w14:paraId="3893294A" w14:textId="1B157CC1" w:rsidR="000D057A" w:rsidRPr="00012BBF" w:rsidRDefault="009F37DB" w:rsidP="009F37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2" w:name="_Toc233239805"/>
      <w:r w:rsidRPr="00012BBF">
        <w:rPr>
          <w:rFonts w:ascii="Simplified Arabic" w:eastAsia="Times New Roman" w:hAnsi="Simplified Arabic" w:cs="Simplified Arabic" w:hint="cs"/>
          <w:b/>
          <w:bCs/>
          <w:color w:val="000000" w:themeColor="text1"/>
          <w:kern w:val="0"/>
          <w:sz w:val="32"/>
          <w:szCs w:val="32"/>
          <w:rtl/>
          <w14:ligatures w14:val="none"/>
        </w:rPr>
        <w:t>5.2.2</w:t>
      </w:r>
      <w:r w:rsidR="000D057A" w:rsidRPr="00012BBF">
        <w:rPr>
          <w:rFonts w:ascii="Simplified Arabic" w:eastAsia="Times New Roman" w:hAnsi="Simplified Arabic" w:cs="Simplified Arabic"/>
          <w:b/>
          <w:bCs/>
          <w:color w:val="000000" w:themeColor="text1"/>
          <w:kern w:val="0"/>
          <w:sz w:val="32"/>
          <w:szCs w:val="32"/>
          <w:rtl/>
          <w14:ligatures w14:val="none"/>
        </w:rPr>
        <w:t xml:space="preserve"> أبعاد تجربة الموظف والاحتفاظ بالكفاءات</w:t>
      </w:r>
      <w:bookmarkEnd w:id="42"/>
    </w:p>
    <w:p w14:paraId="00A3DAE5"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تمّ تحديد محاور تجربة الموظف والاحتفاظ بالكفاءات في هذه الدراسة بوصفها متغيرًا أحاديّ المحور، استنادًا إلى الإطار الذي طرحه</w:t>
      </w:r>
      <w:r w:rsidRPr="00012BBF">
        <w:rPr>
          <w:rFonts w:ascii="Simplified Arabic" w:eastAsia="Times New Roman" w:hAnsi="Simplified Arabic" w:cs="Simplified Arabic"/>
          <w:color w:val="000000" w:themeColor="text1"/>
          <w:kern w:val="0"/>
          <w:sz w:val="28"/>
          <w:szCs w:val="28"/>
          <w:lang w:bidi="ar-EG"/>
          <w14:ligatures w14:val="none"/>
        </w:rPr>
        <w:t xml:space="preserve"> Batat (2022) </w:t>
      </w:r>
      <w:r w:rsidRPr="00012BBF">
        <w:rPr>
          <w:rFonts w:ascii="Simplified Arabic" w:eastAsia="Times New Roman" w:hAnsi="Simplified Arabic" w:cs="Simplified Arabic"/>
          <w:color w:val="000000" w:themeColor="text1"/>
          <w:kern w:val="0"/>
          <w:sz w:val="28"/>
          <w:szCs w:val="28"/>
          <w:rtl/>
          <w14:ligatures w14:val="none"/>
        </w:rPr>
        <w:t xml:space="preserve">لتجربة الموظف القائمة على الرفاه، وما قدّمه حسن (٢٠٢٤) في تناوله للتجربة بوصفها بناءً مرتبطًا بالازدهار في مكان العمل، مع الإفادة من الإسهامات التكميلية لكلّ من البحيري والغامدي (٢٠٢٦) والقحطاني (٢٠٢٥) في تطوير المؤشّرات الإجرائية للتجربة. </w:t>
      </w:r>
      <w:r w:rsidRPr="00012BBF">
        <w:rPr>
          <w:rFonts w:ascii="Simplified Arabic" w:eastAsia="Times New Roman" w:hAnsi="Simplified Arabic" w:cs="Simplified Arabic"/>
          <w:color w:val="000000" w:themeColor="text1"/>
          <w:kern w:val="0"/>
          <w:sz w:val="28"/>
          <w:szCs w:val="28"/>
          <w:rtl/>
          <w14:ligatures w14:val="none"/>
        </w:rPr>
        <w:lastRenderedPageBreak/>
        <w:t>وتنتظم العناصر التي يُقاس عبرها هذا المحور حول أربع زوايا رئيسة تتشكّل منها التجربة وتنعكس على مدى الاحتفاظ بالكفاءات</w:t>
      </w:r>
      <w:r w:rsidRPr="00012BBF">
        <w:rPr>
          <w:rFonts w:ascii="Simplified Arabic" w:eastAsia="Times New Roman" w:hAnsi="Simplified Arabic" w:cs="Simplified Arabic"/>
          <w:color w:val="000000" w:themeColor="text1"/>
          <w:kern w:val="0"/>
          <w:sz w:val="28"/>
          <w:szCs w:val="28"/>
          <w:lang w:bidi="ar-EG"/>
          <w14:ligatures w14:val="none"/>
        </w:rPr>
        <w:t>.</w:t>
      </w:r>
    </w:p>
    <w:p w14:paraId="291142F5"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تتمثّل الزاوية الأولى في البُعد المادي والتقني لبيئة العمل، الذي يُشير إلى الخصائص الملموسة لفضاء العمل بما يشمله من تجهيزات وتقنيات وأدوات تدعم أداء المهامّ. ويرى</w:t>
      </w:r>
      <w:r w:rsidRPr="00012BBF">
        <w:rPr>
          <w:rFonts w:ascii="Simplified Arabic" w:eastAsia="Times New Roman" w:hAnsi="Simplified Arabic" w:cs="Simplified Arabic"/>
          <w:color w:val="000000" w:themeColor="text1"/>
          <w:kern w:val="0"/>
          <w:sz w:val="28"/>
          <w:szCs w:val="28"/>
          <w:lang w:bidi="ar-EG"/>
          <w14:ligatures w14:val="none"/>
        </w:rPr>
        <w:t xml:space="preserve"> Adhikersa </w:t>
      </w:r>
      <w:r w:rsidRPr="00012BBF">
        <w:rPr>
          <w:rFonts w:ascii="Simplified Arabic" w:eastAsia="Times New Roman" w:hAnsi="Simplified Arabic" w:cs="Simplified Arabic"/>
          <w:color w:val="000000" w:themeColor="text1"/>
          <w:kern w:val="0"/>
          <w:sz w:val="28"/>
          <w:szCs w:val="28"/>
          <w:rtl/>
          <w14:ligatures w14:val="none"/>
        </w:rPr>
        <w:t>وآخرون (2022) أنّ هذا البُعد يكتسب أهمية مضاعفة في ظلّ التحوّل الرقمي، إذ لم تعد بيئة العمل مجرد فضاء مادّي بل منظومة هجينة تجمع بين العناصر المادية والافتراضية، وأنّ جودة هذه المنظومة تنعكس مباشرةً على إدراك الموظف لمستوى استثمار المنظمة فيه. ويُكمل البحيري والغامدي (٢٠٢٦) هذا الفهم بالإشارة إلى أنّ البيئة المادية والتقنية تُمثّل الواجهة الأكثر مباشرةً لاستيعاب الموظف لمكانته في المنظمة، وأنّ القصور فيها يُولّد رسائل ضمنية سلبية تتجاوز أثرها المباشر على الأداء</w:t>
      </w:r>
      <w:r w:rsidRPr="00012BBF">
        <w:rPr>
          <w:rFonts w:ascii="Simplified Arabic" w:eastAsia="Times New Roman" w:hAnsi="Simplified Arabic" w:cs="Simplified Arabic"/>
          <w:color w:val="000000" w:themeColor="text1"/>
          <w:kern w:val="0"/>
          <w:sz w:val="28"/>
          <w:szCs w:val="28"/>
          <w:lang w:bidi="ar-EG"/>
          <w14:ligatures w14:val="none"/>
        </w:rPr>
        <w:t>.</w:t>
      </w:r>
    </w:p>
    <w:p w14:paraId="16427A96"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أمّا الزاوية الثانية فتتمثّل في البُعد العلائقي والاجتماعي، الذي يُشير إلى نوعية العلاقات التي يُكوّنها الموظف مع زملائه ومشرفيه والقيادة العليا. ويُبرز</w:t>
      </w:r>
      <w:r w:rsidRPr="00012BBF">
        <w:rPr>
          <w:rFonts w:ascii="Simplified Arabic" w:eastAsia="Times New Roman" w:hAnsi="Simplified Arabic" w:cs="Simplified Arabic"/>
          <w:color w:val="000000" w:themeColor="text1"/>
          <w:kern w:val="0"/>
          <w:sz w:val="28"/>
          <w:szCs w:val="28"/>
          <w:lang w:bidi="ar-EG"/>
          <w14:ligatures w14:val="none"/>
        </w:rPr>
        <w:t xml:space="preserve"> Jo &amp; Shin (2025) </w:t>
      </w:r>
      <w:r w:rsidRPr="00012BBF">
        <w:rPr>
          <w:rFonts w:ascii="Simplified Arabic" w:eastAsia="Times New Roman" w:hAnsi="Simplified Arabic" w:cs="Simplified Arabic"/>
          <w:color w:val="000000" w:themeColor="text1"/>
          <w:kern w:val="0"/>
          <w:sz w:val="28"/>
          <w:szCs w:val="28"/>
          <w:rtl/>
          <w14:ligatures w14:val="none"/>
        </w:rPr>
        <w:t>أنّ هذا البُعد يتشكّل عبر ثلاث ركائز أساسية هي التقدير الذي يلقاه الموظف من المنظمة، والعدالة التي يُدركها في توزيع الفرص والأعباء، وجودة الممارسات القيادية التي يتعرّض لها. ويُضيف القحطاني (٢٠٢٥) أنّ البُعد العلائقي يُمثّل قلب تجربة الموظف، إذ إنّ كثيرًا من قرارات البقاء أو الانفصال تتشكّل في الفضاء العلائقي وليس في الفضاء التعاقدي، وأنّ الاستثمار في بناء علاقات داعمة يُمثّل من أعلى الاستثمارات مردودًا</w:t>
      </w:r>
      <w:r w:rsidRPr="00012BBF">
        <w:rPr>
          <w:rFonts w:ascii="Simplified Arabic" w:eastAsia="Times New Roman" w:hAnsi="Simplified Arabic" w:cs="Simplified Arabic"/>
          <w:color w:val="000000" w:themeColor="text1"/>
          <w:kern w:val="0"/>
          <w:sz w:val="28"/>
          <w:szCs w:val="28"/>
          <w:lang w:bidi="ar-EG"/>
          <w14:ligatures w14:val="none"/>
        </w:rPr>
        <w:t>.</w:t>
      </w:r>
    </w:p>
    <w:p w14:paraId="0F6599B6"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وتتعلّق الزاوية الثالثة بـالبُعد النفسي والمعنوي، الذي يُشير إلى مستوى الرفاه النفسي والمعنى الذي يجده الموظف في عمله. ويرى</w:t>
      </w:r>
      <w:r w:rsidRPr="00012BBF">
        <w:rPr>
          <w:rFonts w:ascii="Simplified Arabic" w:eastAsia="Times New Roman" w:hAnsi="Simplified Arabic" w:cs="Simplified Arabic"/>
          <w:color w:val="000000" w:themeColor="text1"/>
          <w:kern w:val="0"/>
          <w:sz w:val="28"/>
          <w:szCs w:val="28"/>
          <w:lang w:bidi="ar-EG"/>
          <w14:ligatures w14:val="none"/>
        </w:rPr>
        <w:t xml:space="preserve"> Batat (2022) </w:t>
      </w:r>
      <w:r w:rsidRPr="00012BBF">
        <w:rPr>
          <w:rFonts w:ascii="Simplified Arabic" w:eastAsia="Times New Roman" w:hAnsi="Simplified Arabic" w:cs="Simplified Arabic"/>
          <w:color w:val="000000" w:themeColor="text1"/>
          <w:kern w:val="0"/>
          <w:sz w:val="28"/>
          <w:szCs w:val="28"/>
          <w:rtl/>
          <w14:ligatures w14:val="none"/>
        </w:rPr>
        <w:t>أنّ هذا البُعد يتجاوز تجنّب الضغوط والإرهاق إلى تحقيق حالة من الرفاه الإيجابي تشمل الشعور بالكفاءة والاستقلالية والانتماء. ويُكمل حسن (٢٠٢٤) هذا الفهم بالإشارة إلى أنّ البُعد النفسي يتشكّل عبر تنمية رأس المال النفسي للأفراد، الذي يشمل التفاؤل والأمل والمرونة والكفاءة الذاتية، وأنّ المنظمات التي تستثمر في هذا البُعد تُحقّق ازدهارًا حقيقيًّا يتجاوز الإنجازات الكمية إلى تحوّلات نوعية في علاقة الموظف بعمله</w:t>
      </w:r>
      <w:r w:rsidRPr="00012BBF">
        <w:rPr>
          <w:rFonts w:ascii="Simplified Arabic" w:eastAsia="Times New Roman" w:hAnsi="Simplified Arabic" w:cs="Simplified Arabic"/>
          <w:color w:val="000000" w:themeColor="text1"/>
          <w:kern w:val="0"/>
          <w:sz w:val="28"/>
          <w:szCs w:val="28"/>
          <w:lang w:bidi="ar-EG"/>
          <w14:ligatures w14:val="none"/>
        </w:rPr>
        <w:t>.</w:t>
      </w:r>
    </w:p>
    <w:p w14:paraId="47C68258"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وتتمثّل الزاوية الرابعة في البُعد التطويري والمستقبلي، الذي يُشير إلى الفرص المتاحة للموظف لتنمية قدراته وبناء مساره المهني داخل المنظمة. ويُبرز</w:t>
      </w:r>
      <w:r w:rsidRPr="00012BBF">
        <w:rPr>
          <w:rFonts w:ascii="Simplified Arabic" w:eastAsia="Times New Roman" w:hAnsi="Simplified Arabic" w:cs="Simplified Arabic"/>
          <w:color w:val="000000" w:themeColor="text1"/>
          <w:kern w:val="0"/>
          <w:sz w:val="28"/>
          <w:szCs w:val="28"/>
          <w:lang w:bidi="ar-EG"/>
          <w14:ligatures w14:val="none"/>
        </w:rPr>
        <w:t xml:space="preserve"> Kimonyo (2024) </w:t>
      </w:r>
      <w:r w:rsidRPr="00012BBF">
        <w:rPr>
          <w:rFonts w:ascii="Simplified Arabic" w:eastAsia="Times New Roman" w:hAnsi="Simplified Arabic" w:cs="Simplified Arabic"/>
          <w:color w:val="000000" w:themeColor="text1"/>
          <w:kern w:val="0"/>
          <w:sz w:val="28"/>
          <w:szCs w:val="28"/>
          <w:rtl/>
          <w14:ligatures w14:val="none"/>
        </w:rPr>
        <w:t xml:space="preserve">أنّ هذا البُعد يُمثّل المحرّك الجوهري للاحتفاظ بالكفاءات، إذ إنّ غياب آفاق التطوّر يُحوّل المنظمة من نقطة استقرار إلى محطّة عبور في رحلة </w:t>
      </w:r>
      <w:r w:rsidRPr="00012BBF">
        <w:rPr>
          <w:rFonts w:ascii="Simplified Arabic" w:eastAsia="Times New Roman" w:hAnsi="Simplified Arabic" w:cs="Simplified Arabic"/>
          <w:color w:val="000000" w:themeColor="text1"/>
          <w:kern w:val="0"/>
          <w:sz w:val="28"/>
          <w:szCs w:val="28"/>
          <w:rtl/>
          <w14:ligatures w14:val="none"/>
        </w:rPr>
        <w:lastRenderedPageBreak/>
        <w:t>الموظف المهنية. ويُكمل</w:t>
      </w:r>
      <w:r w:rsidRPr="00012BBF">
        <w:rPr>
          <w:rFonts w:ascii="Simplified Arabic" w:eastAsia="Times New Roman" w:hAnsi="Simplified Arabic" w:cs="Simplified Arabic"/>
          <w:color w:val="000000" w:themeColor="text1"/>
          <w:kern w:val="0"/>
          <w:sz w:val="28"/>
          <w:szCs w:val="28"/>
          <w:lang w:bidi="ar-EG"/>
          <w14:ligatures w14:val="none"/>
        </w:rPr>
        <w:t xml:space="preserve"> Lee &amp; Kim (2023) </w:t>
      </w:r>
      <w:r w:rsidRPr="00012BBF">
        <w:rPr>
          <w:rFonts w:ascii="Simplified Arabic" w:eastAsia="Times New Roman" w:hAnsi="Simplified Arabic" w:cs="Simplified Arabic"/>
          <w:color w:val="000000" w:themeColor="text1"/>
          <w:kern w:val="0"/>
          <w:sz w:val="28"/>
          <w:szCs w:val="28"/>
          <w:rtl/>
          <w14:ligatures w14:val="none"/>
        </w:rPr>
        <w:t>هذا الفهم بالإشارة إلى أنّ الالتزام التنظيمي يتشكّل في كثير من جوانبه عبر إدراك الموظف لاستثمار المنظمة في مستقبله، وأنّ هذا الاستثمار يُمثّل تعبيرًا عمليًّا عن النظرة طويلة الأمد للعلاقة. ويُضيف القحطاني (٢٠٢٥) أنّ البُعد التطويري يتطلّب توافقًا بين تطلّعات الفرد ومسارات النموّ التي تُتيحها المنظمة، وأنّ الفجوة بينهما تُمثّل من أبرز محرّكات الانفصال الوظيفي للكفاءات</w:t>
      </w:r>
      <w:r w:rsidRPr="00012BBF">
        <w:rPr>
          <w:rFonts w:ascii="Simplified Arabic" w:eastAsia="Times New Roman" w:hAnsi="Simplified Arabic" w:cs="Simplified Arabic"/>
          <w:color w:val="000000" w:themeColor="text1"/>
          <w:kern w:val="0"/>
          <w:sz w:val="28"/>
          <w:szCs w:val="28"/>
          <w:lang w:bidi="ar-EG"/>
          <w14:ligatures w14:val="none"/>
        </w:rPr>
        <w:t>.</w:t>
      </w:r>
    </w:p>
    <w:p w14:paraId="2583340A"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وتتقاطع هذه الزوايا الأربع في تشكيل المحور الأحادي لتجربة الموظف والاحتفاظ بالكفاءات، إذ يُقاس هذا المحور عبر مؤشّرات تستوعب جميع هذه الزوايا في بناء متكامل يعكس جودة التجربة الكلية ومدى انعكاسها على رغبة الموظف في الاستمرار</w:t>
      </w:r>
      <w:r w:rsidRPr="00012BBF">
        <w:rPr>
          <w:rFonts w:ascii="Simplified Arabic" w:eastAsia="Times New Roman" w:hAnsi="Simplified Arabic" w:cs="Simplified Arabic"/>
          <w:color w:val="000000" w:themeColor="text1"/>
          <w:kern w:val="0"/>
          <w:sz w:val="28"/>
          <w:szCs w:val="28"/>
          <w:lang w:bidi="ar-EG"/>
          <w14:ligatures w14:val="none"/>
        </w:rPr>
        <w:t>.</w:t>
      </w:r>
    </w:p>
    <w:p w14:paraId="35701922" w14:textId="25D46760" w:rsidR="000D057A" w:rsidRPr="00012BBF" w:rsidRDefault="009F37DB" w:rsidP="009F37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3" w:name="_Toc233239806"/>
      <w:r w:rsidRPr="00012BBF">
        <w:rPr>
          <w:rFonts w:ascii="Simplified Arabic" w:eastAsia="Times New Roman" w:hAnsi="Simplified Arabic" w:cs="Simplified Arabic" w:hint="cs"/>
          <w:b/>
          <w:bCs/>
          <w:color w:val="000000" w:themeColor="text1"/>
          <w:kern w:val="0"/>
          <w:sz w:val="32"/>
          <w:szCs w:val="32"/>
          <w:rtl/>
          <w14:ligatures w14:val="none"/>
        </w:rPr>
        <w:t>6.2.2</w:t>
      </w:r>
      <w:r w:rsidR="000D057A" w:rsidRPr="00012BBF">
        <w:rPr>
          <w:rFonts w:ascii="Simplified Arabic" w:eastAsia="Times New Roman" w:hAnsi="Simplified Arabic" w:cs="Simplified Arabic"/>
          <w:b/>
          <w:bCs/>
          <w:color w:val="000000" w:themeColor="text1"/>
          <w:kern w:val="0"/>
          <w:sz w:val="32"/>
          <w:szCs w:val="32"/>
          <w:rtl/>
          <w14:ligatures w14:val="none"/>
        </w:rPr>
        <w:t xml:space="preserve"> استراتيجيات تعزيز تجربة الموظف والاحتفاظ بالكفاءات</w:t>
      </w:r>
      <w:bookmarkEnd w:id="43"/>
    </w:p>
    <w:p w14:paraId="2880FB5B"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تتبنّى المنظمات استراتيجيات متعدّدة لتعزيز تجربة الموظف والاحتفاظ بالكفاءات، تتنوّع بين المداخل التصميمية القائمة على إعادة هندسة رحلة الموظف، والمداخل الثقافية الساعية إلى بناء قيم داعمة، والمداخل التقنية الموظِّفة للأدوات الرقمية الحديثة. ويُقدّم القحطاني (٢٠٢٥) استراتيجية مقترحة قائمة على الاستفادة من الخبرات العالمية المعاصرة في إدارة تجربة الموظف، ترتكز على تشخيص الفجوات الراهنة في رحلة الموظف وتصميم تدخّلات منهجية لمعالجتها، مع الحرص على ملاءمة هذه التدخّلات للسياق المؤسّسي الخاص</w:t>
      </w:r>
      <w:r w:rsidRPr="00012BBF">
        <w:rPr>
          <w:rFonts w:ascii="Simplified Arabic" w:eastAsia="Times New Roman" w:hAnsi="Simplified Arabic" w:cs="Simplified Arabic"/>
          <w:color w:val="000000" w:themeColor="text1"/>
          <w:kern w:val="0"/>
          <w:sz w:val="28"/>
          <w:szCs w:val="28"/>
          <w:lang w:bidi="ar-EG"/>
          <w14:ligatures w14:val="none"/>
        </w:rPr>
        <w:t>.</w:t>
      </w:r>
    </w:p>
    <w:p w14:paraId="773788E7"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ومن منظور تطويري، يُبرز البحيري والغامدي (٢٠٢٦) استراتيجية الإفادة من الخبرات الأجنبية في إعادة تصميم ممارسات الموارد البشرية، بحيث تنتقل من نموذج الإدارة الإجرائية إلى نموذج الإدارة التجريبية الذي يُركّز على نقاط التفاعل ذات الأثر الأعلى في تشكيل إدراكات الموظفين. ويُضيف</w:t>
      </w:r>
      <w:r w:rsidRPr="00012BBF">
        <w:rPr>
          <w:rFonts w:ascii="Simplified Arabic" w:eastAsia="Times New Roman" w:hAnsi="Simplified Arabic" w:cs="Simplified Arabic"/>
          <w:color w:val="000000" w:themeColor="text1"/>
          <w:kern w:val="0"/>
          <w:sz w:val="28"/>
          <w:szCs w:val="28"/>
          <w:lang w:bidi="ar-EG"/>
          <w14:ligatures w14:val="none"/>
        </w:rPr>
        <w:t xml:space="preserve"> Batat (2022) </w:t>
      </w:r>
      <w:r w:rsidRPr="00012BBF">
        <w:rPr>
          <w:rFonts w:ascii="Simplified Arabic" w:eastAsia="Times New Roman" w:hAnsi="Simplified Arabic" w:cs="Simplified Arabic"/>
          <w:color w:val="000000" w:themeColor="text1"/>
          <w:kern w:val="0"/>
          <w:sz w:val="28"/>
          <w:szCs w:val="28"/>
          <w:rtl/>
          <w14:ligatures w14:val="none"/>
        </w:rPr>
        <w:t>استراتيجية بناء أجندة الرفاه بوصفها مدخلًا شاملًا لتجربة الموظف، ترتكز على دمج اعتبارات الرفاه في كلّ ممارسة من ممارسات المنظمة، بحيث يتحوّل الرفاه من مبادرات معزولة إلى فلسفة ناظمة</w:t>
      </w:r>
      <w:r w:rsidRPr="00012BBF">
        <w:rPr>
          <w:rFonts w:ascii="Simplified Arabic" w:eastAsia="Times New Roman" w:hAnsi="Simplified Arabic" w:cs="Simplified Arabic"/>
          <w:color w:val="000000" w:themeColor="text1"/>
          <w:kern w:val="0"/>
          <w:sz w:val="28"/>
          <w:szCs w:val="28"/>
          <w:lang w:bidi="ar-EG"/>
          <w14:ligatures w14:val="none"/>
        </w:rPr>
        <w:t>.</w:t>
      </w:r>
    </w:p>
    <w:p w14:paraId="288C04A0"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ومن منظور القدرات النفسية، يُقدّم حسن (٢٠٢٤) استراتيجية تنمية رأس المال النفسي للأفراد بوصفها رافعةً جوهريةً لجودة التجربة، إذ يُمثّل رأس المال النفسي موردًا داخليًّا يُمكّن الأفراد من التعامل بمرونة مع التحدّيات وتحقيق الازدهار في مكان العمل. ويُكمل</w:t>
      </w:r>
      <w:r w:rsidRPr="00012BBF">
        <w:rPr>
          <w:rFonts w:ascii="Simplified Arabic" w:eastAsia="Times New Roman" w:hAnsi="Simplified Arabic" w:cs="Simplified Arabic"/>
          <w:color w:val="000000" w:themeColor="text1"/>
          <w:kern w:val="0"/>
          <w:sz w:val="28"/>
          <w:szCs w:val="28"/>
          <w:lang w:bidi="ar-EG"/>
          <w14:ligatures w14:val="none"/>
        </w:rPr>
        <w:t xml:space="preserve"> Lee &amp; Kim (2023) </w:t>
      </w:r>
      <w:r w:rsidRPr="00012BBF">
        <w:rPr>
          <w:rFonts w:ascii="Simplified Arabic" w:eastAsia="Times New Roman" w:hAnsi="Simplified Arabic" w:cs="Simplified Arabic"/>
          <w:color w:val="000000" w:themeColor="text1"/>
          <w:kern w:val="0"/>
          <w:sz w:val="28"/>
          <w:szCs w:val="28"/>
          <w:rtl/>
          <w14:ligatures w14:val="none"/>
        </w:rPr>
        <w:t xml:space="preserve">هذا المدخل باستراتيجية بناء </w:t>
      </w:r>
      <w:r w:rsidRPr="00012BBF">
        <w:rPr>
          <w:rFonts w:ascii="Simplified Arabic" w:eastAsia="Times New Roman" w:hAnsi="Simplified Arabic" w:cs="Simplified Arabic"/>
          <w:color w:val="000000" w:themeColor="text1"/>
          <w:kern w:val="0"/>
          <w:sz w:val="28"/>
          <w:szCs w:val="28"/>
          <w:rtl/>
          <w14:ligatures w14:val="none"/>
        </w:rPr>
        <w:lastRenderedPageBreak/>
        <w:t>الالتزام التنظيمي عبر تجربة موظف متّسقة، ترتكز على تحقيق التوافق بين خطاب المنظمة وممارساتها الفعلية، إذ إنّ الفجوة بين الخطاب والممارسة تُمثّل من أبرز مصادر تآكل الالتزام</w:t>
      </w:r>
      <w:r w:rsidRPr="00012BBF">
        <w:rPr>
          <w:rFonts w:ascii="Simplified Arabic" w:eastAsia="Times New Roman" w:hAnsi="Simplified Arabic" w:cs="Simplified Arabic"/>
          <w:color w:val="000000" w:themeColor="text1"/>
          <w:kern w:val="0"/>
          <w:sz w:val="28"/>
          <w:szCs w:val="28"/>
          <w:lang w:bidi="ar-EG"/>
          <w14:ligatures w14:val="none"/>
        </w:rPr>
        <w:t>.</w:t>
      </w:r>
    </w:p>
    <w:p w14:paraId="1E9A2799"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ومن منظور القيادة، يُبرز</w:t>
      </w:r>
      <w:r w:rsidRPr="00012BBF">
        <w:rPr>
          <w:rFonts w:ascii="Simplified Arabic" w:eastAsia="Times New Roman" w:hAnsi="Simplified Arabic" w:cs="Simplified Arabic"/>
          <w:color w:val="000000" w:themeColor="text1"/>
          <w:kern w:val="0"/>
          <w:sz w:val="28"/>
          <w:szCs w:val="28"/>
          <w:lang w:bidi="ar-EG"/>
          <w14:ligatures w14:val="none"/>
        </w:rPr>
        <w:t xml:space="preserve"> Jo &amp; Shin (2025) </w:t>
      </w:r>
      <w:r w:rsidRPr="00012BBF">
        <w:rPr>
          <w:rFonts w:ascii="Simplified Arabic" w:eastAsia="Times New Roman" w:hAnsi="Simplified Arabic" w:cs="Simplified Arabic"/>
          <w:color w:val="000000" w:themeColor="text1"/>
          <w:kern w:val="0"/>
          <w:sz w:val="28"/>
          <w:szCs w:val="28"/>
          <w:rtl/>
          <w14:ligatures w14:val="none"/>
        </w:rPr>
        <w:t>استراتيجية تطوير منظومة التقدير والعدالة والقيادة بوصفها رافعةً مركّبةً، ترتكز على بناء قدرات القادة في تقديم التقدير الهادف وضمان العدالة الإجرائية والتوزيعية وممارسة قيادة فاعلة تستجيب لاحتياجات الأفراد المختلفة. ويُكمل</w:t>
      </w:r>
      <w:r w:rsidRPr="00012BBF">
        <w:rPr>
          <w:rFonts w:ascii="Simplified Arabic" w:eastAsia="Times New Roman" w:hAnsi="Simplified Arabic" w:cs="Simplified Arabic"/>
          <w:color w:val="000000" w:themeColor="text1"/>
          <w:kern w:val="0"/>
          <w:sz w:val="28"/>
          <w:szCs w:val="28"/>
          <w:lang w:bidi="ar-EG"/>
          <w14:ligatures w14:val="none"/>
        </w:rPr>
        <w:t xml:space="preserve"> Adhikersa </w:t>
      </w:r>
      <w:r w:rsidRPr="00012BBF">
        <w:rPr>
          <w:rFonts w:ascii="Simplified Arabic" w:eastAsia="Times New Roman" w:hAnsi="Simplified Arabic" w:cs="Simplified Arabic"/>
          <w:color w:val="000000" w:themeColor="text1"/>
          <w:kern w:val="0"/>
          <w:sz w:val="28"/>
          <w:szCs w:val="28"/>
          <w:rtl/>
          <w14:ligatures w14:val="none"/>
        </w:rPr>
        <w:t>وآخرون (2022) هذا المدخل باستراتيجية بناء المنظمة الرشيقة، التي ترى أنّ جودة تجربة الموظف ترتبط بجودة الهيكل التنظيمي والقيادة المرافقة له، وأنّ المنظمات التي تتبنّى الرشاقة تُوفّر بيئة أكثر تحفيزًا للأفراد</w:t>
      </w:r>
      <w:r w:rsidRPr="00012BBF">
        <w:rPr>
          <w:rFonts w:ascii="Simplified Arabic" w:eastAsia="Times New Roman" w:hAnsi="Simplified Arabic" w:cs="Simplified Arabic"/>
          <w:color w:val="000000" w:themeColor="text1"/>
          <w:kern w:val="0"/>
          <w:sz w:val="28"/>
          <w:szCs w:val="28"/>
          <w:lang w:bidi="ar-EG"/>
          <w14:ligatures w14:val="none"/>
        </w:rPr>
        <w:t>.</w:t>
      </w:r>
    </w:p>
    <w:p w14:paraId="1AEDD846" w14:textId="77777777" w:rsidR="000D057A" w:rsidRPr="00012BBF" w:rsidRDefault="000D057A" w:rsidP="009F37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2BBF">
        <w:rPr>
          <w:rFonts w:ascii="Simplified Arabic" w:eastAsia="Times New Roman" w:hAnsi="Simplified Arabic" w:cs="Simplified Arabic"/>
          <w:color w:val="000000" w:themeColor="text1"/>
          <w:kern w:val="0"/>
          <w:sz w:val="28"/>
          <w:szCs w:val="28"/>
          <w:rtl/>
          <w14:ligatures w14:val="none"/>
        </w:rPr>
        <w:t>ومن منظور المخرجات الاستراتيجية، يطرح</w:t>
      </w:r>
      <w:r w:rsidRPr="00012BBF">
        <w:rPr>
          <w:rFonts w:ascii="Simplified Arabic" w:eastAsia="Times New Roman" w:hAnsi="Simplified Arabic" w:cs="Simplified Arabic"/>
          <w:color w:val="000000" w:themeColor="text1"/>
          <w:kern w:val="0"/>
          <w:sz w:val="28"/>
          <w:szCs w:val="28"/>
          <w:lang w:bidi="ar-EG"/>
          <w14:ligatures w14:val="none"/>
        </w:rPr>
        <w:t xml:space="preserve"> Kimonyo (2024) </w:t>
      </w:r>
      <w:r w:rsidRPr="00012BBF">
        <w:rPr>
          <w:rFonts w:ascii="Simplified Arabic" w:eastAsia="Times New Roman" w:hAnsi="Simplified Arabic" w:cs="Simplified Arabic"/>
          <w:color w:val="000000" w:themeColor="text1"/>
          <w:kern w:val="0"/>
          <w:sz w:val="28"/>
          <w:szCs w:val="28"/>
          <w:rtl/>
          <w14:ligatures w14:val="none"/>
        </w:rPr>
        <w:t>استراتيجية ربط تجربة الموظف بمحرّكات الأداء التنظيمي، ترتكز على بناء حلقات تغذية راجعة بين جودة التجربة ومخرجات الابتكار والاندماج ورضا العملاء، بحيث تُصبح التجربة محورًا للقياس المؤسّسي المنتظم وليس مبادرةً موسميةً. ويرى الباحث أنّ هذه الاستراتيجيات، رغم تنوّعها، تتقاطع عند فكرة جوهرية مفادها أنّ الاحتفاظ بالكفاءات لا يتحقّق عبر مبادرات منعزلة، بل عبر تحوّل ثقافي وممارساتي شامل يجعل تجربة الموظف مرتكزًا للقرارات الإدارية على مختلف المستويات، خاصّةً في البيئات التشغيلية المعقّدة كقطاع الطاقة، حيث يُمثّل الاستقرار الوظيفي للكفاءات شرطًا أساسيًّا لجودة الأداء واستدامته</w:t>
      </w:r>
      <w:r w:rsidRPr="00012BBF">
        <w:rPr>
          <w:rFonts w:ascii="Simplified Arabic" w:eastAsia="Times New Roman" w:hAnsi="Simplified Arabic" w:cs="Simplified Arabic"/>
          <w:color w:val="000000" w:themeColor="text1"/>
          <w:kern w:val="0"/>
          <w:sz w:val="28"/>
          <w:szCs w:val="28"/>
          <w:lang w:bidi="ar-EG"/>
          <w14:ligatures w14:val="none"/>
        </w:rPr>
        <w:t>.</w:t>
      </w:r>
    </w:p>
    <w:p w14:paraId="0ADD3F33" w14:textId="324CC475" w:rsidR="00012BBF" w:rsidRPr="00012BBF" w:rsidRDefault="009F37DB" w:rsidP="0003436A">
      <w:pPr>
        <w:jc w:val="center"/>
        <w:outlineLvl w:val="0"/>
        <w:rPr>
          <w:rFonts w:ascii="Simplified Arabic" w:hAnsi="Simplified Arabic" w:cs="Simplified Arabic"/>
          <w:b/>
          <w:bCs/>
          <w:color w:val="000000" w:themeColor="text1"/>
          <w:szCs w:val="28"/>
          <w:rtl/>
        </w:rPr>
        <w:sectPr w:rsidR="00012BBF" w:rsidRPr="00012BBF" w:rsidSect="0053470A">
          <w:footerReference w:type="default" r:id="rId11"/>
          <w:pgSz w:w="11906" w:h="16838" w:code="9"/>
          <w:pgMar w:top="1134" w:right="1701" w:bottom="1134" w:left="1134" w:header="720" w:footer="720" w:gutter="0"/>
          <w:pgNumType w:start="1"/>
          <w:cols w:space="708"/>
          <w:bidi/>
          <w:rtlGutter/>
          <w:docGrid w:linePitch="360"/>
        </w:sectPr>
      </w:pPr>
      <w:r w:rsidRPr="00012BBF">
        <w:rPr>
          <w:rFonts w:ascii="Simplified Arabic" w:eastAsia="Times New Roman" w:hAnsi="Simplified Arabic" w:cs="Simplified Arabic"/>
          <w:b/>
          <w:bCs/>
          <w:color w:val="000000" w:themeColor="text1"/>
          <w:kern w:val="0"/>
          <w:sz w:val="40"/>
          <w:szCs w:val="40"/>
          <w:rtl/>
          <w14:ligatures w14:val="none"/>
        </w:rPr>
        <w:br w:type="page"/>
      </w:r>
      <w:bookmarkStart w:id="44" w:name="_GoBack"/>
      <w:bookmarkEnd w:id="44"/>
    </w:p>
    <w:p w14:paraId="29D4231B" w14:textId="12A9E691" w:rsidR="0081623B" w:rsidRPr="00012BBF" w:rsidRDefault="0081623B" w:rsidP="00934D4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12BBF">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000EE0C4">
            <wp:simplePos x="0" y="0"/>
            <wp:positionH relativeFrom="column">
              <wp:posOffset>3851910</wp:posOffset>
            </wp:positionH>
            <wp:positionV relativeFrom="paragraph">
              <wp:posOffset>0</wp:posOffset>
            </wp:positionV>
            <wp:extent cx="1491615" cy="1381125"/>
            <wp:effectExtent l="0" t="0" r="0" b="9525"/>
            <wp:wrapTight wrapText="bothSides">
              <wp:wrapPolygon edited="0">
                <wp:start x="0" y="0"/>
                <wp:lineTo x="0" y="21451"/>
                <wp:lineTo x="21241" y="21451"/>
                <wp:lineTo x="2124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1615" cy="1381125"/>
                    </a:xfrm>
                    <a:prstGeom prst="rect">
                      <a:avLst/>
                    </a:prstGeom>
                    <a:noFill/>
                  </pic:spPr>
                </pic:pic>
              </a:graphicData>
            </a:graphic>
            <wp14:sizeRelH relativeFrom="margin">
              <wp14:pctWidth>0</wp14:pctWidth>
            </wp14:sizeRelH>
            <wp14:sizeRelV relativeFrom="margin">
              <wp14:pctHeight>0</wp14:pctHeight>
            </wp14:sizeRelV>
          </wp:anchor>
        </w:drawing>
      </w:r>
      <w:r w:rsidRPr="00012BBF">
        <w:rPr>
          <w:rFonts w:asciiTheme="majorBidi" w:eastAsia="Calibri" w:hAnsiTheme="majorBidi" w:cstheme="majorBidi"/>
          <w:b/>
          <w:bCs/>
          <w:color w:val="000000" w:themeColor="text1"/>
          <w:kern w:val="0"/>
          <w:sz w:val="32"/>
          <w:szCs w:val="32"/>
          <w:lang w:bidi="ar-EG"/>
          <w14:ligatures w14:val="none"/>
        </w:rPr>
        <w:t>Mid</w:t>
      </w:r>
      <w:r w:rsidR="000D353F" w:rsidRPr="00012BBF">
        <w:rPr>
          <w:rFonts w:asciiTheme="majorBidi" w:eastAsia="Calibri" w:hAnsiTheme="majorBidi" w:cstheme="majorBidi"/>
          <w:b/>
          <w:bCs/>
          <w:color w:val="000000" w:themeColor="text1"/>
          <w:kern w:val="0"/>
          <w:sz w:val="32"/>
          <w:szCs w:val="32"/>
          <w:lang w:bidi="ar-EG"/>
          <w14:ligatures w14:val="none"/>
        </w:rPr>
        <w:t xml:space="preserve"> </w:t>
      </w:r>
      <w:r w:rsidRPr="00012BBF">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012BBF" w:rsidRDefault="0081623B" w:rsidP="00934D4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12BBF">
        <w:rPr>
          <w:rFonts w:asciiTheme="majorBidi" w:eastAsia="Calibri" w:hAnsiTheme="majorBidi" w:cstheme="majorBidi"/>
          <w:b/>
          <w:bCs/>
          <w:color w:val="000000" w:themeColor="text1"/>
          <w:kern w:val="0"/>
          <w:sz w:val="32"/>
          <w:szCs w:val="32"/>
          <w:lang w:bidi="ar-EG"/>
          <w14:ligatures w14:val="none"/>
        </w:rPr>
        <w:t>College of Management</w:t>
      </w:r>
    </w:p>
    <w:p w14:paraId="39DFF69C" w14:textId="1A85D665" w:rsidR="00A23F0B" w:rsidRPr="00012BBF" w:rsidRDefault="00295BBE" w:rsidP="00934D4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012BBF">
        <w:rPr>
          <w:rFonts w:asciiTheme="majorBidi" w:eastAsia="Calibri" w:hAnsiTheme="majorBidi" w:cstheme="majorBidi"/>
          <w:b/>
          <w:bCs/>
          <w:color w:val="000000" w:themeColor="text1"/>
          <w:kern w:val="0"/>
          <w:sz w:val="32"/>
          <w:szCs w:val="32"/>
          <w:lang w:bidi="ar-EG"/>
          <w14:ligatures w14:val="none"/>
        </w:rPr>
        <w:t xml:space="preserve">Master of </w:t>
      </w:r>
      <w:r w:rsidR="00E67776" w:rsidRPr="00012BBF">
        <w:rPr>
          <w:rFonts w:asciiTheme="majorBidi" w:eastAsia="Calibri" w:hAnsiTheme="majorBidi" w:cstheme="majorBidi"/>
          <w:b/>
          <w:bCs/>
          <w:color w:val="000000" w:themeColor="text1"/>
          <w:kern w:val="0"/>
          <w:sz w:val="32"/>
          <w:szCs w:val="32"/>
          <w14:ligatures w14:val="none"/>
        </w:rPr>
        <w:t>human resources</w:t>
      </w:r>
    </w:p>
    <w:p w14:paraId="17372067" w14:textId="77777777" w:rsidR="00534DA5" w:rsidRPr="00012BBF" w:rsidRDefault="00534DA5" w:rsidP="00934D43">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26CDC80C" w14:textId="77777777" w:rsidR="00616729" w:rsidRPr="00012BBF" w:rsidRDefault="00616729" w:rsidP="00012BBF">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012BBF">
        <w:rPr>
          <w:rFonts w:asciiTheme="majorBidi" w:eastAsia="Calibri" w:hAnsiTheme="majorBidi" w:cstheme="majorBidi"/>
          <w:b/>
          <w:bCs/>
          <w:color w:val="000000" w:themeColor="text1"/>
          <w:kern w:val="0"/>
          <w:sz w:val="40"/>
          <w:szCs w:val="40"/>
          <w:lang w:bidi="ar-EG"/>
          <w14:ligatures w14:val="none"/>
        </w:rPr>
        <w:t>The impact of the quality of coordination with government agencies on employee experience and retention of competencies in high-risk work environments: a field study on energy companies in the city of Dammam.</w:t>
      </w:r>
    </w:p>
    <w:p w14:paraId="6228A69A" w14:textId="77777777" w:rsidR="00012BBF" w:rsidRPr="00012BBF" w:rsidRDefault="00012BBF" w:rsidP="00012BB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38AED929" w:rsidR="000D353F" w:rsidRPr="00012BBF" w:rsidRDefault="000D353F" w:rsidP="00012BB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12BBF">
        <w:rPr>
          <w:rFonts w:asciiTheme="majorBidi" w:eastAsia="Calibri" w:hAnsiTheme="majorBidi" w:cstheme="majorBidi"/>
          <w:b/>
          <w:bCs/>
          <w:color w:val="000000" w:themeColor="text1"/>
          <w:kern w:val="0"/>
          <w:sz w:val="36"/>
          <w:szCs w:val="36"/>
          <w:lang w:bidi="ar-EG"/>
          <w14:ligatures w14:val="none"/>
        </w:rPr>
        <w:t>Prepared by:</w:t>
      </w:r>
    </w:p>
    <w:p w14:paraId="4BD29384" w14:textId="77777777" w:rsidR="00616729" w:rsidRPr="00012BBF" w:rsidRDefault="00616729" w:rsidP="00012BB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012BBF">
        <w:rPr>
          <w:rFonts w:asciiTheme="majorBidi" w:eastAsia="Calibri" w:hAnsiTheme="majorBidi" w:cstheme="majorBidi"/>
          <w:color w:val="000000" w:themeColor="text1"/>
          <w:kern w:val="0"/>
          <w:sz w:val="36"/>
          <w:szCs w:val="36"/>
          <w:lang w:bidi="ar-EG"/>
          <w14:ligatures w14:val="none"/>
        </w:rPr>
        <w:t>Omar Azzam Alrohaimi</w:t>
      </w:r>
    </w:p>
    <w:p w14:paraId="351D108A" w14:textId="7BCAAE44" w:rsidR="00616729" w:rsidRPr="00012BBF" w:rsidRDefault="00616729" w:rsidP="00012BB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012BBF">
        <w:rPr>
          <w:rFonts w:asciiTheme="majorBidi" w:eastAsia="Calibri" w:hAnsiTheme="majorBidi" w:cstheme="majorBidi"/>
          <w:color w:val="000000" w:themeColor="text1"/>
          <w:kern w:val="0"/>
          <w:sz w:val="36"/>
          <w:szCs w:val="36"/>
          <w:lang w:bidi="ar-EG"/>
          <w14:ligatures w14:val="none"/>
        </w:rPr>
        <w:t>253002521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12BBF" w:rsidRPr="00012BBF" w14:paraId="46C927C7" w14:textId="77777777" w:rsidTr="00573FA2">
        <w:tc>
          <w:tcPr>
            <w:tcW w:w="4530" w:type="dxa"/>
          </w:tcPr>
          <w:p w14:paraId="136D419E" w14:textId="77777777" w:rsidR="00012BBF" w:rsidRPr="00012BBF" w:rsidRDefault="00012BBF" w:rsidP="00573FA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12BBF">
              <w:rPr>
                <w:rFonts w:asciiTheme="majorBidi" w:eastAsia="Calibri" w:hAnsiTheme="majorBidi" w:cstheme="majorBidi"/>
                <w:b/>
                <w:bCs/>
                <w:color w:val="000000" w:themeColor="text1"/>
                <w:kern w:val="0"/>
                <w:sz w:val="36"/>
                <w:szCs w:val="36"/>
                <w:lang w:bidi="ar-EG"/>
                <w14:ligatures w14:val="none"/>
              </w:rPr>
              <w:t>Main supervisor</w:t>
            </w:r>
            <w:r w:rsidRPr="00012BBF">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17B0058" w14:textId="77777777" w:rsidR="00012BBF" w:rsidRPr="00012BBF" w:rsidRDefault="00012BBF" w:rsidP="00573FA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12BBF">
              <w:rPr>
                <w:rFonts w:asciiTheme="majorBidi" w:eastAsia="Calibri" w:hAnsiTheme="majorBidi" w:cstheme="majorBidi"/>
                <w:b/>
                <w:bCs/>
                <w:color w:val="000000" w:themeColor="text1"/>
                <w:kern w:val="0"/>
                <w:sz w:val="36"/>
                <w:szCs w:val="36"/>
                <w:lang w:bidi="ar-EG"/>
                <w14:ligatures w14:val="none"/>
              </w:rPr>
              <w:t>Second supervisor</w:t>
            </w:r>
            <w:r w:rsidRPr="00012BBF">
              <w:rPr>
                <w:rFonts w:asciiTheme="majorBidi" w:eastAsia="Calibri" w:hAnsiTheme="majorBidi" w:cstheme="majorBidi"/>
                <w:b/>
                <w:bCs/>
                <w:color w:val="000000" w:themeColor="text1"/>
                <w:kern w:val="0"/>
                <w:sz w:val="36"/>
                <w:szCs w:val="36"/>
                <w:rtl/>
                <w:lang w:bidi="ar-EG"/>
                <w14:ligatures w14:val="none"/>
              </w:rPr>
              <w:t>/</w:t>
            </w:r>
          </w:p>
        </w:tc>
      </w:tr>
      <w:tr w:rsidR="00012BBF" w:rsidRPr="00012BBF" w14:paraId="389E75C0" w14:textId="77777777" w:rsidTr="00573FA2">
        <w:tc>
          <w:tcPr>
            <w:tcW w:w="4530" w:type="dxa"/>
          </w:tcPr>
          <w:p w14:paraId="2E07E824" w14:textId="77777777" w:rsidR="00012BBF" w:rsidRPr="00012BBF" w:rsidRDefault="00012BBF" w:rsidP="00573FA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12BBF">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06187AC" w14:textId="77777777" w:rsidR="00012BBF" w:rsidRPr="00012BBF" w:rsidRDefault="00012BBF" w:rsidP="00573FA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12BBF">
              <w:rPr>
                <w:rFonts w:asciiTheme="majorBidi" w:eastAsia="Calibri" w:hAnsiTheme="majorBidi" w:cstheme="majorBidi"/>
                <w:color w:val="000000" w:themeColor="text1"/>
                <w:kern w:val="0"/>
                <w:sz w:val="36"/>
                <w:szCs w:val="36"/>
                <w:lang w:bidi="ar-EG"/>
                <w14:ligatures w14:val="none"/>
              </w:rPr>
              <w:t>Dr. Fayez Jarad</w:t>
            </w:r>
          </w:p>
        </w:tc>
      </w:tr>
    </w:tbl>
    <w:p w14:paraId="32181D4B" w14:textId="77777777" w:rsidR="00012BBF" w:rsidRPr="00012BBF" w:rsidRDefault="00012BBF" w:rsidP="00012BBF">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012BBF">
        <w:rPr>
          <w:rFonts w:asciiTheme="majorBidi" w:eastAsia="Calibri" w:hAnsiTheme="majorBidi" w:cstheme="majorBidi"/>
          <w:color w:val="000000" w:themeColor="text1"/>
          <w:kern w:val="0"/>
          <w:sz w:val="36"/>
          <w:szCs w:val="36"/>
          <w:rtl/>
          <w:lang w:bidi="ar-EG"/>
          <w14:ligatures w14:val="none"/>
        </w:rPr>
        <w:t>1448 – 2026</w:t>
      </w:r>
    </w:p>
    <w:p w14:paraId="5622E30D" w14:textId="77777777" w:rsidR="00012BBF" w:rsidRPr="00012BBF" w:rsidRDefault="00012BBF" w:rsidP="00012BB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7923B1F6" w14:textId="77777777" w:rsidR="00D253EF" w:rsidRPr="00012BBF" w:rsidRDefault="00D253EF" w:rsidP="00934D4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061D44" w14:textId="77777777" w:rsidR="00D253EF" w:rsidRPr="00012BBF" w:rsidRDefault="00D253EF" w:rsidP="00934D4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31D970E" w14:textId="77777777" w:rsidR="00D253EF" w:rsidRPr="00012BBF" w:rsidRDefault="00D253EF" w:rsidP="00934D4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0F81B5D1" w:rsidR="009125CE" w:rsidRPr="00012BBF" w:rsidRDefault="009125CE" w:rsidP="00934D43">
      <w:pPr>
        <w:bidi w:val="0"/>
        <w:spacing w:before="100" w:beforeAutospacing="1" w:after="100" w:afterAutospacing="1" w:line="276" w:lineRule="auto"/>
        <w:jc w:val="both"/>
        <w:rPr>
          <w:rFonts w:ascii="Simplified Arabic" w:hAnsi="Simplified Arabic" w:cs="Simplified Arabic"/>
          <w:color w:val="000000" w:themeColor="text1"/>
          <w:sz w:val="28"/>
          <w:szCs w:val="28"/>
          <w:u w:val="single"/>
          <w:rtl/>
        </w:rPr>
      </w:pPr>
    </w:p>
    <w:sectPr w:rsidR="009125CE" w:rsidRPr="00012BBF" w:rsidSect="0053470A">
      <w:footerReference w:type="default" r:id="rId13"/>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5ABC6D" w14:textId="77777777" w:rsidR="00A84068" w:rsidRDefault="00A84068" w:rsidP="009125CE">
      <w:pPr>
        <w:spacing w:after="0" w:line="240" w:lineRule="auto"/>
      </w:pPr>
      <w:r>
        <w:separator/>
      </w:r>
    </w:p>
  </w:endnote>
  <w:endnote w:type="continuationSeparator" w:id="0">
    <w:p w14:paraId="0CCBDA9F" w14:textId="77777777" w:rsidR="00A84068" w:rsidRDefault="00A8406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4F2835" w14:textId="7520E19F" w:rsidR="0053470A" w:rsidRPr="009F789D" w:rsidRDefault="0053470A" w:rsidP="0053470A">
    <w:pPr>
      <w:pStyle w:val="Footer"/>
      <w:tabs>
        <w:tab w:val="left" w:pos="4343"/>
        <w:tab w:val="center" w:pos="4535"/>
      </w:tabs>
      <w:rPr>
        <w:rFonts w:ascii="Simplified Arabic" w:hAnsi="Simplified Arabic" w:cs="Simplified Arabic"/>
        <w:b/>
        <w:bCs/>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22815317"/>
      <w:docPartObj>
        <w:docPartGallery w:val="Page Numbers (Bottom of Page)"/>
        <w:docPartUnique/>
      </w:docPartObj>
    </w:sdtPr>
    <w:sdtEndPr>
      <w:rPr>
        <w:rFonts w:ascii="Simplified Arabic" w:hAnsi="Simplified Arabic" w:cs="Simplified Arabic"/>
        <w:b/>
        <w:bCs/>
        <w:noProof/>
        <w:sz w:val="24"/>
        <w:szCs w:val="24"/>
      </w:rPr>
    </w:sdtEndPr>
    <w:sdtContent>
      <w:p w14:paraId="736FF5D1" w14:textId="7E52746B" w:rsidR="0053470A" w:rsidRDefault="0053470A">
        <w:pPr>
          <w:pStyle w:val="Footer"/>
          <w:jc w:val="center"/>
        </w:pPr>
        <w:r>
          <w:rPr>
            <w:noProof/>
          </w:rPr>
          <mc:AlternateContent>
            <mc:Choice Requires="wps">
              <w:drawing>
                <wp:inline distT="0" distB="0" distL="0" distR="0" wp14:anchorId="290E8208" wp14:editId="4B1F55EA">
                  <wp:extent cx="5467350" cy="54610"/>
                  <wp:effectExtent l="9525" t="19050" r="9525" b="12065"/>
                  <wp:docPr id="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A18F608"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" fillcolor="black">
                  <w10:anchorlock/>
                </v:shape>
              </w:pict>
            </mc:Fallback>
          </mc:AlternateContent>
        </w:r>
      </w:p>
      <w:p w14:paraId="13047AE1" w14:textId="097C7997" w:rsidR="0053470A" w:rsidRPr="0053470A" w:rsidRDefault="0053470A" w:rsidP="0053470A">
        <w:pPr>
          <w:pStyle w:val="Footer"/>
          <w:jc w:val="center"/>
          <w:rPr>
            <w:rFonts w:ascii="Simplified Arabic" w:hAnsi="Simplified Arabic" w:cs="Simplified Arabic"/>
            <w:b/>
            <w:bCs/>
            <w:sz w:val="24"/>
            <w:szCs w:val="24"/>
          </w:rPr>
        </w:pPr>
        <w:r w:rsidRPr="0053470A">
          <w:rPr>
            <w:rFonts w:ascii="Simplified Arabic" w:hAnsi="Simplified Arabic" w:cs="Simplified Arabic"/>
            <w:b/>
            <w:bCs/>
            <w:sz w:val="24"/>
            <w:szCs w:val="24"/>
          </w:rPr>
          <w:fldChar w:fldCharType="begin"/>
        </w:r>
        <w:r w:rsidRPr="0053470A">
          <w:rPr>
            <w:rFonts w:ascii="Simplified Arabic" w:hAnsi="Simplified Arabic" w:cs="Simplified Arabic"/>
            <w:b/>
            <w:bCs/>
            <w:sz w:val="24"/>
            <w:szCs w:val="24"/>
          </w:rPr>
          <w:instrText xml:space="preserve"> PAGE    \* MERGEFORMAT </w:instrText>
        </w:r>
        <w:r w:rsidRPr="0053470A">
          <w:rPr>
            <w:rFonts w:ascii="Simplified Arabic" w:hAnsi="Simplified Arabic" w:cs="Simplified Arabic"/>
            <w:b/>
            <w:bCs/>
            <w:sz w:val="24"/>
            <w:szCs w:val="24"/>
          </w:rPr>
          <w:fldChar w:fldCharType="separate"/>
        </w:r>
        <w:r w:rsidR="0003436A">
          <w:rPr>
            <w:rFonts w:ascii="Simplified Arabic" w:hAnsi="Simplified Arabic" w:cs="Simplified Arabic" w:hint="eastAsia"/>
            <w:b/>
            <w:bCs/>
            <w:noProof/>
            <w:sz w:val="24"/>
            <w:szCs w:val="24"/>
            <w:rtl/>
          </w:rPr>
          <w:t>‌ي</w:t>
        </w:r>
        <w:r w:rsidRPr="0053470A">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20736841"/>
      <w:docPartObj>
        <w:docPartGallery w:val="Page Numbers (Bottom of Page)"/>
        <w:docPartUnique/>
      </w:docPartObj>
    </w:sdtPr>
    <w:sdtEndPr>
      <w:rPr>
        <w:rFonts w:ascii="Simplified Arabic" w:hAnsi="Simplified Arabic" w:cs="Simplified Arabic"/>
        <w:b/>
        <w:bCs/>
        <w:noProof/>
        <w:sz w:val="24"/>
        <w:szCs w:val="24"/>
      </w:rPr>
    </w:sdtEndPr>
    <w:sdtContent>
      <w:p w14:paraId="3A5E668F" w14:textId="77777777" w:rsidR="0053470A" w:rsidRDefault="0053470A">
        <w:pPr>
          <w:pStyle w:val="Footer"/>
          <w:jc w:val="center"/>
        </w:pPr>
        <w:r>
          <w:rPr>
            <w:noProof/>
          </w:rPr>
          <mc:AlternateContent>
            <mc:Choice Requires="wps">
              <w:drawing>
                <wp:inline distT="0" distB="0" distL="0" distR="0" wp14:anchorId="2A3F12F5" wp14:editId="50C70137">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0404FB4"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CPtXeigCAABSBAAADgAAAAAAAAAAAAAAAAAuAgAAZHJzL2Uyb0RvYy54&#10;bWxQSwECLQAUAAYACAAAACEAIuX8+dkAAAADAQAADwAAAAAAAAAAAAAAAACCBAAAZHJzL2Rvd25y&#10;ZXYueG1sUEsFBgAAAAAEAAQA8wAAAIgFAAAAAA==&#10;" fillcolor="black">
                  <w10:anchorlock/>
                </v:shape>
              </w:pict>
            </mc:Fallback>
          </mc:AlternateContent>
        </w:r>
      </w:p>
      <w:p w14:paraId="52914634" w14:textId="77777777" w:rsidR="0053470A" w:rsidRPr="0053470A" w:rsidRDefault="0053470A" w:rsidP="0053470A">
        <w:pPr>
          <w:pStyle w:val="Footer"/>
          <w:jc w:val="center"/>
          <w:rPr>
            <w:rFonts w:ascii="Simplified Arabic" w:hAnsi="Simplified Arabic" w:cs="Simplified Arabic"/>
            <w:b/>
            <w:bCs/>
            <w:sz w:val="24"/>
            <w:szCs w:val="24"/>
          </w:rPr>
        </w:pPr>
        <w:r w:rsidRPr="0053470A">
          <w:rPr>
            <w:rFonts w:ascii="Simplified Arabic" w:hAnsi="Simplified Arabic" w:cs="Simplified Arabic"/>
            <w:b/>
            <w:bCs/>
            <w:sz w:val="24"/>
            <w:szCs w:val="24"/>
          </w:rPr>
          <w:fldChar w:fldCharType="begin"/>
        </w:r>
        <w:r w:rsidRPr="0053470A">
          <w:rPr>
            <w:rFonts w:ascii="Simplified Arabic" w:hAnsi="Simplified Arabic" w:cs="Simplified Arabic"/>
            <w:b/>
            <w:bCs/>
            <w:sz w:val="24"/>
            <w:szCs w:val="24"/>
          </w:rPr>
          <w:instrText xml:space="preserve"> PAGE    \* MERGEFORMAT </w:instrText>
        </w:r>
        <w:r w:rsidRPr="0053470A">
          <w:rPr>
            <w:rFonts w:ascii="Simplified Arabic" w:hAnsi="Simplified Arabic" w:cs="Simplified Arabic"/>
            <w:b/>
            <w:bCs/>
            <w:sz w:val="24"/>
            <w:szCs w:val="24"/>
          </w:rPr>
          <w:fldChar w:fldCharType="separate"/>
        </w:r>
        <w:r w:rsidR="0003436A">
          <w:rPr>
            <w:rFonts w:ascii="Simplified Arabic" w:hAnsi="Simplified Arabic" w:cs="Simplified Arabic"/>
            <w:b/>
            <w:bCs/>
            <w:noProof/>
            <w:sz w:val="24"/>
            <w:szCs w:val="24"/>
            <w:rtl/>
          </w:rPr>
          <w:t>41</w:t>
        </w:r>
        <w:r w:rsidRPr="0053470A">
          <w:rPr>
            <w:rFonts w:ascii="Simplified Arabic" w:hAnsi="Simplified Arabic" w:cs="Simplified Arabic"/>
            <w:b/>
            <w:bCs/>
            <w:noProof/>
            <w:sz w:val="24"/>
            <w:szCs w:val="24"/>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2695BE" w14:textId="7E5B4C0E" w:rsidR="00012BBF" w:rsidRPr="0053470A" w:rsidRDefault="00012BBF" w:rsidP="00012BBF">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B5E5D8" w14:textId="77777777" w:rsidR="00A84068" w:rsidRDefault="00A84068" w:rsidP="009125CE">
      <w:pPr>
        <w:spacing w:after="0" w:line="240" w:lineRule="auto"/>
      </w:pPr>
      <w:r>
        <w:separator/>
      </w:r>
    </w:p>
  </w:footnote>
  <w:footnote w:type="continuationSeparator" w:id="0">
    <w:p w14:paraId="04A1256E" w14:textId="77777777" w:rsidR="00A84068" w:rsidRDefault="00A8406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3" type="#_x0000_t75" style="width:11.4pt;height:11.4pt" o:bullet="t">
        <v:imagedata r:id="rId1" o:title="mso9A31"/>
      </v:shape>
    </w:pict>
  </w:numPicBullet>
  <w:abstractNum w:abstractNumId="0">
    <w:nsid w:val="03F15DAE"/>
    <w:multiLevelType w:val="hybridMultilevel"/>
    <w:tmpl w:val="556464E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442C65"/>
    <w:multiLevelType w:val="hybridMultilevel"/>
    <w:tmpl w:val="C68A3A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64B28AB"/>
    <w:multiLevelType w:val="hybridMultilevel"/>
    <w:tmpl w:val="E834C5E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F5845A7"/>
    <w:multiLevelType w:val="multilevel"/>
    <w:tmpl w:val="9C1A2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C33B3D"/>
    <w:multiLevelType w:val="hybridMultilevel"/>
    <w:tmpl w:val="847061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751124"/>
    <w:multiLevelType w:val="hybridMultilevel"/>
    <w:tmpl w:val="725C9CB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B4C659A"/>
    <w:multiLevelType w:val="hybridMultilevel"/>
    <w:tmpl w:val="31B0A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AC3A49"/>
    <w:multiLevelType w:val="hybridMultilevel"/>
    <w:tmpl w:val="6752391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3CF79A7"/>
    <w:multiLevelType w:val="hybridMultilevel"/>
    <w:tmpl w:val="9CA6F3E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D002538"/>
    <w:multiLevelType w:val="hybridMultilevel"/>
    <w:tmpl w:val="4852C03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181573"/>
    <w:multiLevelType w:val="multilevel"/>
    <w:tmpl w:val="15826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8170638"/>
    <w:multiLevelType w:val="multilevel"/>
    <w:tmpl w:val="A8CE81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CC1050A"/>
    <w:multiLevelType w:val="hybridMultilevel"/>
    <w:tmpl w:val="06E4C19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047C87"/>
    <w:multiLevelType w:val="hybridMultilevel"/>
    <w:tmpl w:val="54221F8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5B574FA"/>
    <w:multiLevelType w:val="hybridMultilevel"/>
    <w:tmpl w:val="EF427FE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77761B1"/>
    <w:multiLevelType w:val="hybridMultilevel"/>
    <w:tmpl w:val="279E3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5F662DE"/>
    <w:multiLevelType w:val="hybridMultilevel"/>
    <w:tmpl w:val="5F88518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6531CFC"/>
    <w:multiLevelType w:val="hybridMultilevel"/>
    <w:tmpl w:val="4218EA2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0"/>
  </w:num>
  <w:num w:numId="3">
    <w:abstractNumId w:val="11"/>
  </w:num>
  <w:num w:numId="4">
    <w:abstractNumId w:val="15"/>
  </w:num>
  <w:num w:numId="5">
    <w:abstractNumId w:val="6"/>
  </w:num>
  <w:num w:numId="6">
    <w:abstractNumId w:val="1"/>
  </w:num>
  <w:num w:numId="7">
    <w:abstractNumId w:val="9"/>
  </w:num>
  <w:num w:numId="8">
    <w:abstractNumId w:val="0"/>
  </w:num>
  <w:num w:numId="9">
    <w:abstractNumId w:val="4"/>
  </w:num>
  <w:num w:numId="10">
    <w:abstractNumId w:val="13"/>
  </w:num>
  <w:num w:numId="11">
    <w:abstractNumId w:val="8"/>
  </w:num>
  <w:num w:numId="12">
    <w:abstractNumId w:val="12"/>
  </w:num>
  <w:num w:numId="13">
    <w:abstractNumId w:val="7"/>
  </w:num>
  <w:num w:numId="14">
    <w:abstractNumId w:val="14"/>
  </w:num>
  <w:num w:numId="15">
    <w:abstractNumId w:val="2"/>
  </w:num>
  <w:num w:numId="16">
    <w:abstractNumId w:val="5"/>
  </w:num>
  <w:num w:numId="17">
    <w:abstractNumId w:val="16"/>
  </w:num>
  <w:num w:numId="1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5C0"/>
    <w:rsid w:val="00003B61"/>
    <w:rsid w:val="00011F23"/>
    <w:rsid w:val="000125CD"/>
    <w:rsid w:val="00012629"/>
    <w:rsid w:val="00012BBF"/>
    <w:rsid w:val="000146E6"/>
    <w:rsid w:val="000204A8"/>
    <w:rsid w:val="00020F7B"/>
    <w:rsid w:val="00022B3A"/>
    <w:rsid w:val="000318AB"/>
    <w:rsid w:val="0003436A"/>
    <w:rsid w:val="0004554E"/>
    <w:rsid w:val="00051305"/>
    <w:rsid w:val="00052AB0"/>
    <w:rsid w:val="00053122"/>
    <w:rsid w:val="00053F10"/>
    <w:rsid w:val="000543EF"/>
    <w:rsid w:val="000602CA"/>
    <w:rsid w:val="000610C9"/>
    <w:rsid w:val="00061FA2"/>
    <w:rsid w:val="00062B91"/>
    <w:rsid w:val="00062D0A"/>
    <w:rsid w:val="00064FF1"/>
    <w:rsid w:val="00067938"/>
    <w:rsid w:val="0007370A"/>
    <w:rsid w:val="0007670B"/>
    <w:rsid w:val="000769E1"/>
    <w:rsid w:val="000842EB"/>
    <w:rsid w:val="00093973"/>
    <w:rsid w:val="00094E98"/>
    <w:rsid w:val="000A06E6"/>
    <w:rsid w:val="000A2ED4"/>
    <w:rsid w:val="000A4AC3"/>
    <w:rsid w:val="000A4D31"/>
    <w:rsid w:val="000A4DAE"/>
    <w:rsid w:val="000A6930"/>
    <w:rsid w:val="000C4130"/>
    <w:rsid w:val="000C46EE"/>
    <w:rsid w:val="000C5F74"/>
    <w:rsid w:val="000C6F6B"/>
    <w:rsid w:val="000D03ED"/>
    <w:rsid w:val="000D057A"/>
    <w:rsid w:val="000D2E22"/>
    <w:rsid w:val="000D353F"/>
    <w:rsid w:val="000D50DE"/>
    <w:rsid w:val="000D7A52"/>
    <w:rsid w:val="000D7D9D"/>
    <w:rsid w:val="000E0212"/>
    <w:rsid w:val="000E2A00"/>
    <w:rsid w:val="000E3680"/>
    <w:rsid w:val="000E503B"/>
    <w:rsid w:val="000F44B4"/>
    <w:rsid w:val="00110487"/>
    <w:rsid w:val="0011209C"/>
    <w:rsid w:val="0011321B"/>
    <w:rsid w:val="0012342D"/>
    <w:rsid w:val="001263DD"/>
    <w:rsid w:val="001306F3"/>
    <w:rsid w:val="00131E44"/>
    <w:rsid w:val="0013510B"/>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5B04"/>
    <w:rsid w:val="001B6D18"/>
    <w:rsid w:val="001B7151"/>
    <w:rsid w:val="001C2162"/>
    <w:rsid w:val="001C42F9"/>
    <w:rsid w:val="001C5CE6"/>
    <w:rsid w:val="001D4406"/>
    <w:rsid w:val="001D5ED4"/>
    <w:rsid w:val="001E15E1"/>
    <w:rsid w:val="001E7B16"/>
    <w:rsid w:val="001F0034"/>
    <w:rsid w:val="001F159D"/>
    <w:rsid w:val="001F46A5"/>
    <w:rsid w:val="001F4DC3"/>
    <w:rsid w:val="00210FD2"/>
    <w:rsid w:val="00211082"/>
    <w:rsid w:val="002133A6"/>
    <w:rsid w:val="0021390B"/>
    <w:rsid w:val="00214898"/>
    <w:rsid w:val="0021718D"/>
    <w:rsid w:val="00217ADA"/>
    <w:rsid w:val="00220735"/>
    <w:rsid w:val="00223AE0"/>
    <w:rsid w:val="002304C2"/>
    <w:rsid w:val="00234450"/>
    <w:rsid w:val="00236E03"/>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C0C"/>
    <w:rsid w:val="002E36BC"/>
    <w:rsid w:val="002E4629"/>
    <w:rsid w:val="002F086B"/>
    <w:rsid w:val="002F5FA3"/>
    <w:rsid w:val="00301731"/>
    <w:rsid w:val="00303BF8"/>
    <w:rsid w:val="00304304"/>
    <w:rsid w:val="0031075C"/>
    <w:rsid w:val="00310B47"/>
    <w:rsid w:val="00311651"/>
    <w:rsid w:val="00323FD3"/>
    <w:rsid w:val="00325EA6"/>
    <w:rsid w:val="00333A26"/>
    <w:rsid w:val="0033775D"/>
    <w:rsid w:val="00341565"/>
    <w:rsid w:val="0034173E"/>
    <w:rsid w:val="00341900"/>
    <w:rsid w:val="00343EE8"/>
    <w:rsid w:val="0035257D"/>
    <w:rsid w:val="00357BB1"/>
    <w:rsid w:val="00357CD0"/>
    <w:rsid w:val="00360FBA"/>
    <w:rsid w:val="003620C0"/>
    <w:rsid w:val="0036348A"/>
    <w:rsid w:val="00364745"/>
    <w:rsid w:val="0036476A"/>
    <w:rsid w:val="00370FDA"/>
    <w:rsid w:val="0037141D"/>
    <w:rsid w:val="003744EF"/>
    <w:rsid w:val="00375544"/>
    <w:rsid w:val="00375565"/>
    <w:rsid w:val="003773DF"/>
    <w:rsid w:val="00377D51"/>
    <w:rsid w:val="00377DD2"/>
    <w:rsid w:val="0038357B"/>
    <w:rsid w:val="00384D34"/>
    <w:rsid w:val="003873E8"/>
    <w:rsid w:val="00387B1E"/>
    <w:rsid w:val="00396510"/>
    <w:rsid w:val="003A5136"/>
    <w:rsid w:val="003A5312"/>
    <w:rsid w:val="003A6E3A"/>
    <w:rsid w:val="003A757C"/>
    <w:rsid w:val="003B30A9"/>
    <w:rsid w:val="003B48BD"/>
    <w:rsid w:val="003B51C3"/>
    <w:rsid w:val="003C2495"/>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2CA8"/>
    <w:rsid w:val="00446D28"/>
    <w:rsid w:val="00446ED1"/>
    <w:rsid w:val="004613E8"/>
    <w:rsid w:val="00461DB2"/>
    <w:rsid w:val="004636CE"/>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4F54F9"/>
    <w:rsid w:val="00513B3A"/>
    <w:rsid w:val="005146DA"/>
    <w:rsid w:val="0051585E"/>
    <w:rsid w:val="00522010"/>
    <w:rsid w:val="0052581D"/>
    <w:rsid w:val="0053470A"/>
    <w:rsid w:val="00534DA5"/>
    <w:rsid w:val="005423FA"/>
    <w:rsid w:val="00544E3F"/>
    <w:rsid w:val="005459E0"/>
    <w:rsid w:val="00545E45"/>
    <w:rsid w:val="00550EC8"/>
    <w:rsid w:val="005527F0"/>
    <w:rsid w:val="00552D1D"/>
    <w:rsid w:val="00557A05"/>
    <w:rsid w:val="00557B85"/>
    <w:rsid w:val="005663EA"/>
    <w:rsid w:val="00566BCE"/>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101D"/>
    <w:rsid w:val="006020A6"/>
    <w:rsid w:val="006044AD"/>
    <w:rsid w:val="006068BC"/>
    <w:rsid w:val="006109F7"/>
    <w:rsid w:val="006112DD"/>
    <w:rsid w:val="0061146E"/>
    <w:rsid w:val="00616094"/>
    <w:rsid w:val="00616729"/>
    <w:rsid w:val="00617C5B"/>
    <w:rsid w:val="00622B53"/>
    <w:rsid w:val="00625CAD"/>
    <w:rsid w:val="0062761F"/>
    <w:rsid w:val="00630398"/>
    <w:rsid w:val="00633F50"/>
    <w:rsid w:val="006344B4"/>
    <w:rsid w:val="00635C6D"/>
    <w:rsid w:val="00642229"/>
    <w:rsid w:val="006450DB"/>
    <w:rsid w:val="00647482"/>
    <w:rsid w:val="0066191A"/>
    <w:rsid w:val="00663FD3"/>
    <w:rsid w:val="00666183"/>
    <w:rsid w:val="00667140"/>
    <w:rsid w:val="006716C2"/>
    <w:rsid w:val="00677A58"/>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1DF5"/>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617"/>
    <w:rsid w:val="00757802"/>
    <w:rsid w:val="00760A35"/>
    <w:rsid w:val="00766D40"/>
    <w:rsid w:val="007739B3"/>
    <w:rsid w:val="007753A5"/>
    <w:rsid w:val="00775634"/>
    <w:rsid w:val="00780E8F"/>
    <w:rsid w:val="0078440D"/>
    <w:rsid w:val="00784937"/>
    <w:rsid w:val="007874FA"/>
    <w:rsid w:val="0079013B"/>
    <w:rsid w:val="00791E1F"/>
    <w:rsid w:val="00792A28"/>
    <w:rsid w:val="007A2A56"/>
    <w:rsid w:val="007A7A94"/>
    <w:rsid w:val="007B0E54"/>
    <w:rsid w:val="007B2139"/>
    <w:rsid w:val="007B51D9"/>
    <w:rsid w:val="007C06CD"/>
    <w:rsid w:val="007C170D"/>
    <w:rsid w:val="007C3859"/>
    <w:rsid w:val="007C3D97"/>
    <w:rsid w:val="007C6908"/>
    <w:rsid w:val="007D2C05"/>
    <w:rsid w:val="007D443E"/>
    <w:rsid w:val="007E0AD8"/>
    <w:rsid w:val="007E1EBB"/>
    <w:rsid w:val="007E399D"/>
    <w:rsid w:val="007E3A20"/>
    <w:rsid w:val="007E6564"/>
    <w:rsid w:val="007F1674"/>
    <w:rsid w:val="007F1855"/>
    <w:rsid w:val="007F2AAC"/>
    <w:rsid w:val="007F6F3A"/>
    <w:rsid w:val="00801016"/>
    <w:rsid w:val="00806716"/>
    <w:rsid w:val="00807477"/>
    <w:rsid w:val="00811E32"/>
    <w:rsid w:val="008156EA"/>
    <w:rsid w:val="0081623B"/>
    <w:rsid w:val="00821534"/>
    <w:rsid w:val="0083081C"/>
    <w:rsid w:val="00831F14"/>
    <w:rsid w:val="008332E4"/>
    <w:rsid w:val="00835621"/>
    <w:rsid w:val="0083662A"/>
    <w:rsid w:val="0084024D"/>
    <w:rsid w:val="00847D52"/>
    <w:rsid w:val="00850760"/>
    <w:rsid w:val="0085226F"/>
    <w:rsid w:val="0085346A"/>
    <w:rsid w:val="00854A80"/>
    <w:rsid w:val="00854D73"/>
    <w:rsid w:val="00857739"/>
    <w:rsid w:val="00871660"/>
    <w:rsid w:val="00874CD5"/>
    <w:rsid w:val="00874D2F"/>
    <w:rsid w:val="008756CE"/>
    <w:rsid w:val="008765A7"/>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6EEA"/>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3CA"/>
    <w:rsid w:val="0092088B"/>
    <w:rsid w:val="009216A4"/>
    <w:rsid w:val="00924834"/>
    <w:rsid w:val="00926B7C"/>
    <w:rsid w:val="00927901"/>
    <w:rsid w:val="009307B0"/>
    <w:rsid w:val="00930A79"/>
    <w:rsid w:val="00932A89"/>
    <w:rsid w:val="00934D43"/>
    <w:rsid w:val="00937CA3"/>
    <w:rsid w:val="00951760"/>
    <w:rsid w:val="00951F48"/>
    <w:rsid w:val="00956AAB"/>
    <w:rsid w:val="0096099D"/>
    <w:rsid w:val="00962485"/>
    <w:rsid w:val="009638CB"/>
    <w:rsid w:val="00963942"/>
    <w:rsid w:val="00963C6C"/>
    <w:rsid w:val="00964E82"/>
    <w:rsid w:val="00970F41"/>
    <w:rsid w:val="00971033"/>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37DB"/>
    <w:rsid w:val="009F47B9"/>
    <w:rsid w:val="009F5AB0"/>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7075F"/>
    <w:rsid w:val="00A71BCE"/>
    <w:rsid w:val="00A74F76"/>
    <w:rsid w:val="00A81B3B"/>
    <w:rsid w:val="00A829D7"/>
    <w:rsid w:val="00A84068"/>
    <w:rsid w:val="00A840CF"/>
    <w:rsid w:val="00A86E11"/>
    <w:rsid w:val="00A91E4A"/>
    <w:rsid w:val="00A97576"/>
    <w:rsid w:val="00AA005F"/>
    <w:rsid w:val="00AA79E9"/>
    <w:rsid w:val="00AB0A70"/>
    <w:rsid w:val="00AB3E18"/>
    <w:rsid w:val="00AB41F1"/>
    <w:rsid w:val="00AB5A3B"/>
    <w:rsid w:val="00AB6A7C"/>
    <w:rsid w:val="00AC12F8"/>
    <w:rsid w:val="00AC2C5E"/>
    <w:rsid w:val="00AD722B"/>
    <w:rsid w:val="00AE1CBF"/>
    <w:rsid w:val="00AE2C83"/>
    <w:rsid w:val="00AE3C7A"/>
    <w:rsid w:val="00AF24F6"/>
    <w:rsid w:val="00AF31BE"/>
    <w:rsid w:val="00AF46DF"/>
    <w:rsid w:val="00B04BD9"/>
    <w:rsid w:val="00B05F9C"/>
    <w:rsid w:val="00B134E7"/>
    <w:rsid w:val="00B1512C"/>
    <w:rsid w:val="00B15A9E"/>
    <w:rsid w:val="00B226CF"/>
    <w:rsid w:val="00B26888"/>
    <w:rsid w:val="00B346DF"/>
    <w:rsid w:val="00B36FBC"/>
    <w:rsid w:val="00B4269F"/>
    <w:rsid w:val="00B42C4C"/>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77FD7"/>
    <w:rsid w:val="00B801FA"/>
    <w:rsid w:val="00B80AAF"/>
    <w:rsid w:val="00B9286F"/>
    <w:rsid w:val="00BA0E1B"/>
    <w:rsid w:val="00BA1572"/>
    <w:rsid w:val="00BA3D6A"/>
    <w:rsid w:val="00BA5817"/>
    <w:rsid w:val="00BB1144"/>
    <w:rsid w:val="00BB3514"/>
    <w:rsid w:val="00BC24EE"/>
    <w:rsid w:val="00BC454D"/>
    <w:rsid w:val="00BD03D1"/>
    <w:rsid w:val="00BD590D"/>
    <w:rsid w:val="00BE03ED"/>
    <w:rsid w:val="00BE2024"/>
    <w:rsid w:val="00BE3637"/>
    <w:rsid w:val="00BF35D5"/>
    <w:rsid w:val="00C01C2B"/>
    <w:rsid w:val="00C06CA4"/>
    <w:rsid w:val="00C07A82"/>
    <w:rsid w:val="00C1175F"/>
    <w:rsid w:val="00C16272"/>
    <w:rsid w:val="00C16713"/>
    <w:rsid w:val="00C16D65"/>
    <w:rsid w:val="00C20A1C"/>
    <w:rsid w:val="00C23616"/>
    <w:rsid w:val="00C23A70"/>
    <w:rsid w:val="00C31D5A"/>
    <w:rsid w:val="00C32E49"/>
    <w:rsid w:val="00C3302B"/>
    <w:rsid w:val="00C345DD"/>
    <w:rsid w:val="00C35B07"/>
    <w:rsid w:val="00C35BBA"/>
    <w:rsid w:val="00C36B5E"/>
    <w:rsid w:val="00C43D61"/>
    <w:rsid w:val="00C45767"/>
    <w:rsid w:val="00C46354"/>
    <w:rsid w:val="00C62935"/>
    <w:rsid w:val="00C63BBE"/>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1CDB"/>
    <w:rsid w:val="00CB2A94"/>
    <w:rsid w:val="00CB4A76"/>
    <w:rsid w:val="00CC4484"/>
    <w:rsid w:val="00CC6705"/>
    <w:rsid w:val="00CC7877"/>
    <w:rsid w:val="00CD105C"/>
    <w:rsid w:val="00CD1331"/>
    <w:rsid w:val="00CF1F0B"/>
    <w:rsid w:val="00CF4901"/>
    <w:rsid w:val="00CF552E"/>
    <w:rsid w:val="00CF5B9E"/>
    <w:rsid w:val="00CF6385"/>
    <w:rsid w:val="00CF68AE"/>
    <w:rsid w:val="00CF6CEC"/>
    <w:rsid w:val="00D02EDA"/>
    <w:rsid w:val="00D043D4"/>
    <w:rsid w:val="00D1053F"/>
    <w:rsid w:val="00D10F38"/>
    <w:rsid w:val="00D1454F"/>
    <w:rsid w:val="00D177CA"/>
    <w:rsid w:val="00D216C5"/>
    <w:rsid w:val="00D22171"/>
    <w:rsid w:val="00D253EF"/>
    <w:rsid w:val="00D274B5"/>
    <w:rsid w:val="00D27AED"/>
    <w:rsid w:val="00D30845"/>
    <w:rsid w:val="00D3210F"/>
    <w:rsid w:val="00D32470"/>
    <w:rsid w:val="00D4045B"/>
    <w:rsid w:val="00D417B5"/>
    <w:rsid w:val="00D5653F"/>
    <w:rsid w:val="00D60743"/>
    <w:rsid w:val="00D7196E"/>
    <w:rsid w:val="00D76CFA"/>
    <w:rsid w:val="00D7719C"/>
    <w:rsid w:val="00D81039"/>
    <w:rsid w:val="00D8165E"/>
    <w:rsid w:val="00D82A72"/>
    <w:rsid w:val="00D92BC0"/>
    <w:rsid w:val="00D92F77"/>
    <w:rsid w:val="00D965B5"/>
    <w:rsid w:val="00DA0EBA"/>
    <w:rsid w:val="00DA1C1B"/>
    <w:rsid w:val="00DA3C05"/>
    <w:rsid w:val="00DA4EAA"/>
    <w:rsid w:val="00DB1F25"/>
    <w:rsid w:val="00DB43B3"/>
    <w:rsid w:val="00DB4D43"/>
    <w:rsid w:val="00DC10F4"/>
    <w:rsid w:val="00DC40DA"/>
    <w:rsid w:val="00DC6851"/>
    <w:rsid w:val="00DC7F13"/>
    <w:rsid w:val="00DD0457"/>
    <w:rsid w:val="00DD0EB8"/>
    <w:rsid w:val="00DD0F8E"/>
    <w:rsid w:val="00DD227E"/>
    <w:rsid w:val="00DD2F23"/>
    <w:rsid w:val="00DD55A9"/>
    <w:rsid w:val="00DD6BEA"/>
    <w:rsid w:val="00DD7793"/>
    <w:rsid w:val="00DE50C4"/>
    <w:rsid w:val="00DE5DD0"/>
    <w:rsid w:val="00DE6A61"/>
    <w:rsid w:val="00DF232F"/>
    <w:rsid w:val="00DF6486"/>
    <w:rsid w:val="00DF6D7E"/>
    <w:rsid w:val="00E0124F"/>
    <w:rsid w:val="00E01CE8"/>
    <w:rsid w:val="00E042AB"/>
    <w:rsid w:val="00E047D7"/>
    <w:rsid w:val="00E04D94"/>
    <w:rsid w:val="00E0736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56256"/>
    <w:rsid w:val="00E640C5"/>
    <w:rsid w:val="00E64188"/>
    <w:rsid w:val="00E65173"/>
    <w:rsid w:val="00E6570B"/>
    <w:rsid w:val="00E663FA"/>
    <w:rsid w:val="00E67776"/>
    <w:rsid w:val="00E67CA1"/>
    <w:rsid w:val="00E71C79"/>
    <w:rsid w:val="00E7565E"/>
    <w:rsid w:val="00E76742"/>
    <w:rsid w:val="00E76A3D"/>
    <w:rsid w:val="00E76DB1"/>
    <w:rsid w:val="00E802F2"/>
    <w:rsid w:val="00E82DAD"/>
    <w:rsid w:val="00E83504"/>
    <w:rsid w:val="00E86613"/>
    <w:rsid w:val="00E877B0"/>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5AB4"/>
    <w:rsid w:val="00F30BD7"/>
    <w:rsid w:val="00F310F2"/>
    <w:rsid w:val="00F33937"/>
    <w:rsid w:val="00F3442D"/>
    <w:rsid w:val="00F42712"/>
    <w:rsid w:val="00F450D5"/>
    <w:rsid w:val="00F46174"/>
    <w:rsid w:val="00F470D4"/>
    <w:rsid w:val="00F540A1"/>
    <w:rsid w:val="00F546CE"/>
    <w:rsid w:val="00F563E2"/>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0D057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4">
    <w:name w:val="Grid Table 4 Accent 4"/>
    <w:basedOn w:val="TableNormal"/>
    <w:uiPriority w:val="49"/>
    <w:rsid w:val="0053470A"/>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3">
    <w:name w:val="Grid Table 6 Colorful Accent 3"/>
    <w:basedOn w:val="TableNormal"/>
    <w:uiPriority w:val="51"/>
    <w:rsid w:val="00012BBF"/>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012BBF"/>
    <w:pPr>
      <w:spacing w:after="0" w:line="240" w:lineRule="auto"/>
    </w:pPr>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4581703">
      <w:bodyDiv w:val="1"/>
      <w:marLeft w:val="0"/>
      <w:marRight w:val="0"/>
      <w:marTop w:val="0"/>
      <w:marBottom w:val="0"/>
      <w:divBdr>
        <w:top w:val="none" w:sz="0" w:space="0" w:color="auto"/>
        <w:left w:val="none" w:sz="0" w:space="0" w:color="auto"/>
        <w:bottom w:val="none" w:sz="0" w:space="0" w:color="auto"/>
        <w:right w:val="none" w:sz="0" w:space="0" w:color="auto"/>
      </w:divBdr>
      <w:divsChild>
        <w:div w:id="1031151495">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4619325">
      <w:bodyDiv w:val="1"/>
      <w:marLeft w:val="0"/>
      <w:marRight w:val="0"/>
      <w:marTop w:val="0"/>
      <w:marBottom w:val="0"/>
      <w:divBdr>
        <w:top w:val="none" w:sz="0" w:space="0" w:color="auto"/>
        <w:left w:val="none" w:sz="0" w:space="0" w:color="auto"/>
        <w:bottom w:val="none" w:sz="0" w:space="0" w:color="auto"/>
        <w:right w:val="none" w:sz="0" w:space="0" w:color="auto"/>
      </w:divBdr>
      <w:divsChild>
        <w:div w:id="1812744384">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1337827">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7450930">
      <w:bodyDiv w:val="1"/>
      <w:marLeft w:val="0"/>
      <w:marRight w:val="0"/>
      <w:marTop w:val="0"/>
      <w:marBottom w:val="0"/>
      <w:divBdr>
        <w:top w:val="none" w:sz="0" w:space="0" w:color="auto"/>
        <w:left w:val="none" w:sz="0" w:space="0" w:color="auto"/>
        <w:bottom w:val="none" w:sz="0" w:space="0" w:color="auto"/>
        <w:right w:val="none" w:sz="0" w:space="0" w:color="auto"/>
      </w:divBdr>
      <w:divsChild>
        <w:div w:id="771246045">
          <w:marLeft w:val="0"/>
          <w:marRight w:val="0"/>
          <w:marTop w:val="0"/>
          <w:marBottom w:val="0"/>
          <w:divBdr>
            <w:top w:val="none" w:sz="0" w:space="0" w:color="auto"/>
            <w:left w:val="none" w:sz="0" w:space="0" w:color="auto"/>
            <w:bottom w:val="none" w:sz="0" w:space="0" w:color="auto"/>
            <w:right w:val="none" w:sz="0" w:space="0" w:color="auto"/>
          </w:divBdr>
          <w:divsChild>
            <w:div w:id="1456563812">
              <w:marLeft w:val="0"/>
              <w:marRight w:val="0"/>
              <w:marTop w:val="0"/>
              <w:marBottom w:val="0"/>
              <w:divBdr>
                <w:top w:val="none" w:sz="0" w:space="0" w:color="auto"/>
                <w:left w:val="none" w:sz="0" w:space="0" w:color="auto"/>
                <w:bottom w:val="none" w:sz="0" w:space="0" w:color="auto"/>
                <w:right w:val="none" w:sz="0" w:space="0" w:color="auto"/>
              </w:divBdr>
              <w:divsChild>
                <w:div w:id="1389377015">
                  <w:marLeft w:val="0"/>
                  <w:marRight w:val="0"/>
                  <w:marTop w:val="0"/>
                  <w:marBottom w:val="0"/>
                  <w:divBdr>
                    <w:top w:val="none" w:sz="0" w:space="0" w:color="auto"/>
                    <w:left w:val="none" w:sz="0" w:space="0" w:color="auto"/>
                    <w:bottom w:val="none" w:sz="0" w:space="0" w:color="auto"/>
                    <w:right w:val="none" w:sz="0" w:space="0" w:color="auto"/>
                  </w:divBdr>
                  <w:divsChild>
                    <w:div w:id="494417639">
                      <w:marLeft w:val="0"/>
                      <w:marRight w:val="0"/>
                      <w:marTop w:val="0"/>
                      <w:marBottom w:val="0"/>
                      <w:divBdr>
                        <w:top w:val="none" w:sz="0" w:space="0" w:color="auto"/>
                        <w:left w:val="none" w:sz="0" w:space="0" w:color="auto"/>
                        <w:bottom w:val="none" w:sz="0" w:space="0" w:color="auto"/>
                        <w:right w:val="none" w:sz="0" w:space="0" w:color="auto"/>
                      </w:divBdr>
                      <w:divsChild>
                        <w:div w:id="1712224956">
                          <w:marLeft w:val="0"/>
                          <w:marRight w:val="0"/>
                          <w:marTop w:val="0"/>
                          <w:marBottom w:val="0"/>
                          <w:divBdr>
                            <w:top w:val="none" w:sz="0" w:space="0" w:color="auto"/>
                            <w:left w:val="none" w:sz="0" w:space="0" w:color="auto"/>
                            <w:bottom w:val="none" w:sz="0" w:space="0" w:color="auto"/>
                            <w:right w:val="none" w:sz="0" w:space="0" w:color="auto"/>
                          </w:divBdr>
                          <w:divsChild>
                            <w:div w:id="6075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3080299">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5365917">
      <w:bodyDiv w:val="1"/>
      <w:marLeft w:val="0"/>
      <w:marRight w:val="0"/>
      <w:marTop w:val="0"/>
      <w:marBottom w:val="0"/>
      <w:divBdr>
        <w:top w:val="none" w:sz="0" w:space="0" w:color="auto"/>
        <w:left w:val="none" w:sz="0" w:space="0" w:color="auto"/>
        <w:bottom w:val="none" w:sz="0" w:space="0" w:color="auto"/>
        <w:right w:val="none" w:sz="0" w:space="0" w:color="auto"/>
      </w:divBdr>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2025714">
      <w:bodyDiv w:val="1"/>
      <w:marLeft w:val="0"/>
      <w:marRight w:val="0"/>
      <w:marTop w:val="0"/>
      <w:marBottom w:val="0"/>
      <w:divBdr>
        <w:top w:val="none" w:sz="0" w:space="0" w:color="auto"/>
        <w:left w:val="none" w:sz="0" w:space="0" w:color="auto"/>
        <w:bottom w:val="none" w:sz="0" w:space="0" w:color="auto"/>
        <w:right w:val="none" w:sz="0" w:space="0" w:color="auto"/>
      </w:divBdr>
      <w:divsChild>
        <w:div w:id="1581677821">
          <w:marLeft w:val="0"/>
          <w:marRight w:val="0"/>
          <w:marTop w:val="0"/>
          <w:marBottom w:val="0"/>
          <w:divBdr>
            <w:top w:val="none" w:sz="0" w:space="0" w:color="auto"/>
            <w:left w:val="none" w:sz="0" w:space="0" w:color="auto"/>
            <w:bottom w:val="none" w:sz="0" w:space="0" w:color="auto"/>
            <w:right w:val="none" w:sz="0" w:space="0" w:color="auto"/>
          </w:divBdr>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398331892">
      <w:bodyDiv w:val="1"/>
      <w:marLeft w:val="0"/>
      <w:marRight w:val="0"/>
      <w:marTop w:val="0"/>
      <w:marBottom w:val="0"/>
      <w:divBdr>
        <w:top w:val="none" w:sz="0" w:space="0" w:color="auto"/>
        <w:left w:val="none" w:sz="0" w:space="0" w:color="auto"/>
        <w:bottom w:val="none" w:sz="0" w:space="0" w:color="auto"/>
        <w:right w:val="none" w:sz="0" w:space="0" w:color="auto"/>
      </w:divBdr>
      <w:divsChild>
        <w:div w:id="261424959">
          <w:marLeft w:val="0"/>
          <w:marRight w:val="0"/>
          <w:marTop w:val="0"/>
          <w:marBottom w:val="0"/>
          <w:divBdr>
            <w:top w:val="none" w:sz="0" w:space="0" w:color="auto"/>
            <w:left w:val="none" w:sz="0" w:space="0" w:color="auto"/>
            <w:bottom w:val="none" w:sz="0" w:space="0" w:color="auto"/>
            <w:right w:val="none" w:sz="0" w:space="0" w:color="auto"/>
          </w:divBdr>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8645897">
      <w:bodyDiv w:val="1"/>
      <w:marLeft w:val="0"/>
      <w:marRight w:val="0"/>
      <w:marTop w:val="0"/>
      <w:marBottom w:val="0"/>
      <w:divBdr>
        <w:top w:val="none" w:sz="0" w:space="0" w:color="auto"/>
        <w:left w:val="none" w:sz="0" w:space="0" w:color="auto"/>
        <w:bottom w:val="none" w:sz="0" w:space="0" w:color="auto"/>
        <w:right w:val="none" w:sz="0" w:space="0" w:color="auto"/>
      </w:divBdr>
    </w:div>
    <w:div w:id="425811125">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342471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59438043">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593236">
      <w:bodyDiv w:val="1"/>
      <w:marLeft w:val="0"/>
      <w:marRight w:val="0"/>
      <w:marTop w:val="0"/>
      <w:marBottom w:val="0"/>
      <w:divBdr>
        <w:top w:val="none" w:sz="0" w:space="0" w:color="auto"/>
        <w:left w:val="none" w:sz="0" w:space="0" w:color="auto"/>
        <w:bottom w:val="none" w:sz="0" w:space="0" w:color="auto"/>
        <w:right w:val="none" w:sz="0" w:space="0" w:color="auto"/>
      </w:divBdr>
      <w:divsChild>
        <w:div w:id="1028142184">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9987900">
      <w:bodyDiv w:val="1"/>
      <w:marLeft w:val="0"/>
      <w:marRight w:val="0"/>
      <w:marTop w:val="0"/>
      <w:marBottom w:val="0"/>
      <w:divBdr>
        <w:top w:val="none" w:sz="0" w:space="0" w:color="auto"/>
        <w:left w:val="none" w:sz="0" w:space="0" w:color="auto"/>
        <w:bottom w:val="none" w:sz="0" w:space="0" w:color="auto"/>
        <w:right w:val="none" w:sz="0" w:space="0" w:color="auto"/>
      </w:divBdr>
    </w:div>
    <w:div w:id="671765630">
      <w:bodyDiv w:val="1"/>
      <w:marLeft w:val="0"/>
      <w:marRight w:val="0"/>
      <w:marTop w:val="0"/>
      <w:marBottom w:val="0"/>
      <w:divBdr>
        <w:top w:val="none" w:sz="0" w:space="0" w:color="auto"/>
        <w:left w:val="none" w:sz="0" w:space="0" w:color="auto"/>
        <w:bottom w:val="none" w:sz="0" w:space="0" w:color="auto"/>
        <w:right w:val="none" w:sz="0" w:space="0" w:color="auto"/>
      </w:divBdr>
      <w:divsChild>
        <w:div w:id="739979458">
          <w:marLeft w:val="0"/>
          <w:marRight w:val="0"/>
          <w:marTop w:val="0"/>
          <w:marBottom w:val="0"/>
          <w:divBdr>
            <w:top w:val="none" w:sz="0" w:space="0" w:color="auto"/>
            <w:left w:val="none" w:sz="0" w:space="0" w:color="auto"/>
            <w:bottom w:val="none" w:sz="0" w:space="0" w:color="auto"/>
            <w:right w:val="none" w:sz="0" w:space="0" w:color="auto"/>
          </w:divBdr>
          <w:divsChild>
            <w:div w:id="272324265">
              <w:marLeft w:val="0"/>
              <w:marRight w:val="0"/>
              <w:marTop w:val="0"/>
              <w:marBottom w:val="0"/>
              <w:divBdr>
                <w:top w:val="none" w:sz="0" w:space="0" w:color="auto"/>
                <w:left w:val="none" w:sz="0" w:space="0" w:color="auto"/>
                <w:bottom w:val="none" w:sz="0" w:space="0" w:color="auto"/>
                <w:right w:val="none" w:sz="0" w:space="0" w:color="auto"/>
              </w:divBdr>
              <w:divsChild>
                <w:div w:id="1293638656">
                  <w:marLeft w:val="0"/>
                  <w:marRight w:val="0"/>
                  <w:marTop w:val="0"/>
                  <w:marBottom w:val="0"/>
                  <w:divBdr>
                    <w:top w:val="none" w:sz="0" w:space="0" w:color="auto"/>
                    <w:left w:val="none" w:sz="0" w:space="0" w:color="auto"/>
                    <w:bottom w:val="none" w:sz="0" w:space="0" w:color="auto"/>
                    <w:right w:val="none" w:sz="0" w:space="0" w:color="auto"/>
                  </w:divBdr>
                  <w:divsChild>
                    <w:div w:id="22363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7473593">
      <w:bodyDiv w:val="1"/>
      <w:marLeft w:val="0"/>
      <w:marRight w:val="0"/>
      <w:marTop w:val="0"/>
      <w:marBottom w:val="0"/>
      <w:divBdr>
        <w:top w:val="none" w:sz="0" w:space="0" w:color="auto"/>
        <w:left w:val="none" w:sz="0" w:space="0" w:color="auto"/>
        <w:bottom w:val="none" w:sz="0" w:space="0" w:color="auto"/>
        <w:right w:val="none" w:sz="0" w:space="0" w:color="auto"/>
      </w:divBdr>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053424">
      <w:bodyDiv w:val="1"/>
      <w:marLeft w:val="0"/>
      <w:marRight w:val="0"/>
      <w:marTop w:val="0"/>
      <w:marBottom w:val="0"/>
      <w:divBdr>
        <w:top w:val="none" w:sz="0" w:space="0" w:color="auto"/>
        <w:left w:val="none" w:sz="0" w:space="0" w:color="auto"/>
        <w:bottom w:val="none" w:sz="0" w:space="0" w:color="auto"/>
        <w:right w:val="none" w:sz="0" w:space="0" w:color="auto"/>
      </w:divBdr>
      <w:divsChild>
        <w:div w:id="230820636">
          <w:marLeft w:val="0"/>
          <w:marRight w:val="0"/>
          <w:marTop w:val="0"/>
          <w:marBottom w:val="0"/>
          <w:divBdr>
            <w:top w:val="none" w:sz="0" w:space="0" w:color="auto"/>
            <w:left w:val="none" w:sz="0" w:space="0" w:color="auto"/>
            <w:bottom w:val="none" w:sz="0" w:space="0" w:color="auto"/>
            <w:right w:val="none" w:sz="0" w:space="0" w:color="auto"/>
          </w:divBdr>
        </w:div>
      </w:divsChild>
    </w:div>
    <w:div w:id="86344540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279935">
      <w:bodyDiv w:val="1"/>
      <w:marLeft w:val="0"/>
      <w:marRight w:val="0"/>
      <w:marTop w:val="0"/>
      <w:marBottom w:val="0"/>
      <w:divBdr>
        <w:top w:val="none" w:sz="0" w:space="0" w:color="auto"/>
        <w:left w:val="none" w:sz="0" w:space="0" w:color="auto"/>
        <w:bottom w:val="none" w:sz="0" w:space="0" w:color="auto"/>
        <w:right w:val="none" w:sz="0" w:space="0" w:color="auto"/>
      </w:divBdr>
      <w:divsChild>
        <w:div w:id="1508710156">
          <w:marLeft w:val="0"/>
          <w:marRight w:val="0"/>
          <w:marTop w:val="0"/>
          <w:marBottom w:val="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2561300">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3117402">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9190494">
      <w:bodyDiv w:val="1"/>
      <w:marLeft w:val="0"/>
      <w:marRight w:val="0"/>
      <w:marTop w:val="0"/>
      <w:marBottom w:val="0"/>
      <w:divBdr>
        <w:top w:val="none" w:sz="0" w:space="0" w:color="auto"/>
        <w:left w:val="none" w:sz="0" w:space="0" w:color="auto"/>
        <w:bottom w:val="none" w:sz="0" w:space="0" w:color="auto"/>
        <w:right w:val="none" w:sz="0" w:space="0" w:color="auto"/>
      </w:divBdr>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7900696">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8378575">
      <w:bodyDiv w:val="1"/>
      <w:marLeft w:val="0"/>
      <w:marRight w:val="0"/>
      <w:marTop w:val="0"/>
      <w:marBottom w:val="0"/>
      <w:divBdr>
        <w:top w:val="none" w:sz="0" w:space="0" w:color="auto"/>
        <w:left w:val="none" w:sz="0" w:space="0" w:color="auto"/>
        <w:bottom w:val="none" w:sz="0" w:space="0" w:color="auto"/>
        <w:right w:val="none" w:sz="0" w:space="0" w:color="auto"/>
      </w:divBdr>
      <w:divsChild>
        <w:div w:id="159771330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9955685">
      <w:bodyDiv w:val="1"/>
      <w:marLeft w:val="0"/>
      <w:marRight w:val="0"/>
      <w:marTop w:val="0"/>
      <w:marBottom w:val="0"/>
      <w:divBdr>
        <w:top w:val="none" w:sz="0" w:space="0" w:color="auto"/>
        <w:left w:val="none" w:sz="0" w:space="0" w:color="auto"/>
        <w:bottom w:val="none" w:sz="0" w:space="0" w:color="auto"/>
        <w:right w:val="none" w:sz="0" w:space="0" w:color="auto"/>
      </w:divBdr>
      <w:divsChild>
        <w:div w:id="1975938384">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5869393">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523915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1327042">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2980204">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1856139">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30810742">
      <w:bodyDiv w:val="1"/>
      <w:marLeft w:val="0"/>
      <w:marRight w:val="0"/>
      <w:marTop w:val="0"/>
      <w:marBottom w:val="0"/>
      <w:divBdr>
        <w:top w:val="none" w:sz="0" w:space="0" w:color="auto"/>
        <w:left w:val="none" w:sz="0" w:space="0" w:color="auto"/>
        <w:bottom w:val="none" w:sz="0" w:space="0" w:color="auto"/>
        <w:right w:val="none" w:sz="0" w:space="0" w:color="auto"/>
      </w:divBdr>
      <w:divsChild>
        <w:div w:id="2079671059">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0922633">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7713733">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8681269">
      <w:bodyDiv w:val="1"/>
      <w:marLeft w:val="0"/>
      <w:marRight w:val="0"/>
      <w:marTop w:val="0"/>
      <w:marBottom w:val="0"/>
      <w:divBdr>
        <w:top w:val="none" w:sz="0" w:space="0" w:color="auto"/>
        <w:left w:val="none" w:sz="0" w:space="0" w:color="auto"/>
        <w:bottom w:val="none" w:sz="0" w:space="0" w:color="auto"/>
        <w:right w:val="none" w:sz="0" w:space="0" w:color="auto"/>
      </w:divBdr>
      <w:divsChild>
        <w:div w:id="1590312363">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816804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4095238">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2091382">
      <w:bodyDiv w:val="1"/>
      <w:marLeft w:val="0"/>
      <w:marRight w:val="0"/>
      <w:marTop w:val="0"/>
      <w:marBottom w:val="0"/>
      <w:divBdr>
        <w:top w:val="none" w:sz="0" w:space="0" w:color="auto"/>
        <w:left w:val="none" w:sz="0" w:space="0" w:color="auto"/>
        <w:bottom w:val="none" w:sz="0" w:space="0" w:color="auto"/>
        <w:right w:val="none" w:sz="0" w:space="0" w:color="auto"/>
      </w:divBdr>
      <w:divsChild>
        <w:div w:id="1960263734">
          <w:marLeft w:val="0"/>
          <w:marRight w:val="0"/>
          <w:marTop w:val="0"/>
          <w:marBottom w:val="0"/>
          <w:divBdr>
            <w:top w:val="none" w:sz="0" w:space="0" w:color="auto"/>
            <w:left w:val="none" w:sz="0" w:space="0" w:color="auto"/>
            <w:bottom w:val="none" w:sz="0" w:space="0" w:color="auto"/>
            <w:right w:val="none" w:sz="0" w:space="0" w:color="auto"/>
          </w:divBdr>
        </w:div>
      </w:divsChild>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4702230">
      <w:bodyDiv w:val="1"/>
      <w:marLeft w:val="0"/>
      <w:marRight w:val="0"/>
      <w:marTop w:val="0"/>
      <w:marBottom w:val="0"/>
      <w:divBdr>
        <w:top w:val="none" w:sz="0" w:space="0" w:color="auto"/>
        <w:left w:val="none" w:sz="0" w:space="0" w:color="auto"/>
        <w:bottom w:val="none" w:sz="0" w:space="0" w:color="auto"/>
        <w:right w:val="none" w:sz="0" w:space="0" w:color="auto"/>
      </w:divBdr>
      <w:divsChild>
        <w:div w:id="782771202">
          <w:marLeft w:val="0"/>
          <w:marRight w:val="0"/>
          <w:marTop w:val="0"/>
          <w:marBottom w:val="0"/>
          <w:divBdr>
            <w:top w:val="none" w:sz="0" w:space="0" w:color="auto"/>
            <w:left w:val="none" w:sz="0" w:space="0" w:color="auto"/>
            <w:bottom w:val="none" w:sz="0" w:space="0" w:color="auto"/>
            <w:right w:val="none" w:sz="0" w:space="0" w:color="auto"/>
          </w:divBdr>
        </w:div>
      </w:divsChild>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708283">
      <w:bodyDiv w:val="1"/>
      <w:marLeft w:val="0"/>
      <w:marRight w:val="0"/>
      <w:marTop w:val="0"/>
      <w:marBottom w:val="0"/>
      <w:divBdr>
        <w:top w:val="none" w:sz="0" w:space="0" w:color="auto"/>
        <w:left w:val="none" w:sz="0" w:space="0" w:color="auto"/>
        <w:bottom w:val="none" w:sz="0" w:space="0" w:color="auto"/>
        <w:right w:val="none" w:sz="0" w:space="0" w:color="auto"/>
      </w:divBdr>
    </w:div>
    <w:div w:id="1927112474">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3296211">
      <w:bodyDiv w:val="1"/>
      <w:marLeft w:val="0"/>
      <w:marRight w:val="0"/>
      <w:marTop w:val="0"/>
      <w:marBottom w:val="0"/>
      <w:divBdr>
        <w:top w:val="none" w:sz="0" w:space="0" w:color="auto"/>
        <w:left w:val="none" w:sz="0" w:space="0" w:color="auto"/>
        <w:bottom w:val="none" w:sz="0" w:space="0" w:color="auto"/>
        <w:right w:val="none" w:sz="0" w:space="0" w:color="auto"/>
      </w:divBdr>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4950373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94599371">
      <w:bodyDiv w:val="1"/>
      <w:marLeft w:val="0"/>
      <w:marRight w:val="0"/>
      <w:marTop w:val="0"/>
      <w:marBottom w:val="0"/>
      <w:divBdr>
        <w:top w:val="none" w:sz="0" w:space="0" w:color="auto"/>
        <w:left w:val="none" w:sz="0" w:space="0" w:color="auto"/>
        <w:bottom w:val="none" w:sz="0" w:space="0" w:color="auto"/>
        <w:right w:val="none" w:sz="0" w:space="0" w:color="auto"/>
      </w:divBdr>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2142679">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56853234">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7922379">
      <w:bodyDiv w:val="1"/>
      <w:marLeft w:val="0"/>
      <w:marRight w:val="0"/>
      <w:marTop w:val="0"/>
      <w:marBottom w:val="0"/>
      <w:divBdr>
        <w:top w:val="none" w:sz="0" w:space="0" w:color="auto"/>
        <w:left w:val="none" w:sz="0" w:space="0" w:color="auto"/>
        <w:bottom w:val="none" w:sz="0" w:space="0" w:color="auto"/>
        <w:right w:val="none" w:sz="0" w:space="0" w:color="auto"/>
      </w:divBdr>
      <w:divsChild>
        <w:div w:id="1747418204">
          <w:marLeft w:val="0"/>
          <w:marRight w:val="0"/>
          <w:marTop w:val="0"/>
          <w:marBottom w:val="0"/>
          <w:divBdr>
            <w:top w:val="none" w:sz="0" w:space="0" w:color="auto"/>
            <w:left w:val="none" w:sz="0" w:space="0" w:color="auto"/>
            <w:bottom w:val="none" w:sz="0" w:space="0" w:color="auto"/>
            <w:right w:val="none" w:sz="0" w:space="0" w:color="auto"/>
          </w:divBdr>
        </w:div>
      </w:divsChild>
    </w:div>
    <w:div w:id="2097745377">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5029331">
      <w:bodyDiv w:val="1"/>
      <w:marLeft w:val="0"/>
      <w:marRight w:val="0"/>
      <w:marTop w:val="0"/>
      <w:marBottom w:val="0"/>
      <w:divBdr>
        <w:top w:val="none" w:sz="0" w:space="0" w:color="auto"/>
        <w:left w:val="none" w:sz="0" w:space="0" w:color="auto"/>
        <w:bottom w:val="none" w:sz="0" w:space="0" w:color="auto"/>
        <w:right w:val="none" w:sz="0" w:space="0" w:color="auto"/>
      </w:divBdr>
    </w:div>
    <w:div w:id="2127852033">
      <w:bodyDiv w:val="1"/>
      <w:marLeft w:val="0"/>
      <w:marRight w:val="0"/>
      <w:marTop w:val="0"/>
      <w:marBottom w:val="0"/>
      <w:divBdr>
        <w:top w:val="none" w:sz="0" w:space="0" w:color="auto"/>
        <w:left w:val="none" w:sz="0" w:space="0" w:color="auto"/>
        <w:bottom w:val="none" w:sz="0" w:space="0" w:color="auto"/>
        <w:right w:val="none" w:sz="0" w:space="0" w:color="auto"/>
      </w:divBdr>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43051">
      <w:bodyDiv w:val="1"/>
      <w:marLeft w:val="0"/>
      <w:marRight w:val="0"/>
      <w:marTop w:val="0"/>
      <w:marBottom w:val="0"/>
      <w:divBdr>
        <w:top w:val="none" w:sz="0" w:space="0" w:color="auto"/>
        <w:left w:val="none" w:sz="0" w:space="0" w:color="auto"/>
        <w:bottom w:val="none" w:sz="0" w:space="0" w:color="auto"/>
        <w:right w:val="none" w:sz="0" w:space="0" w:color="auto"/>
      </w:divBdr>
    </w:div>
    <w:div w:id="21438453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10FFDA-D63C-47B8-B11B-12279D042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10799</Words>
  <Characters>61559</Characters>
  <Application>Microsoft Office Word</Application>
  <DocSecurity>0</DocSecurity>
  <Lines>512</Lines>
  <Paragraphs>144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72214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2026-06-24T21:34:00Z</cp:lastPrinted>
  <dcterms:created xsi:type="dcterms:W3CDTF">2026-06-24T21:32:00Z</dcterms:created>
  <dcterms:modified xsi:type="dcterms:W3CDTF">2026-06-24T21:35:00Z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