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sidRPr="00100C7F">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Emphasis"/>
          <w:rFonts w:ascii="Traditional Arabic" w:eastAsiaTheme="majorEastAsia" w:hAnsi="Traditional Arabic" w:cs="Traditional Arabic"/>
          <w:i w:val="0"/>
          <w:iCs w:val="0"/>
          <w:sz w:val="28"/>
          <w:szCs w:val="28"/>
          <w:rtl/>
        </w:rPr>
        <w:t>(</w:t>
      </w:r>
      <w:r w:rsidRPr="00100C7F">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Emphasis"/>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NormalWe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NormalWe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r w:rsidR="00D46654">
        <w:rPr>
          <w:rFonts w:asciiTheme="majorBidi" w:eastAsia="Times New Roman" w:hAnsiTheme="majorBidi" w:cstheme="majorBidi"/>
          <w:b/>
          <w:bCs/>
          <w:sz w:val="16"/>
          <w:szCs w:val="16"/>
        </w:rPr>
        <w:t>AlHilal</w:t>
      </w:r>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r w:rsidRPr="009B3E68">
        <w:rPr>
          <w:rFonts w:ascii="Traditional Arabic" w:hAnsi="Traditional Arabic" w:cs="Traditional Arabic"/>
          <w:sz w:val="36"/>
          <w:szCs w:val="36"/>
        </w:rPr>
        <w:lastRenderedPageBreak/>
        <w:t>الملخص</w:t>
      </w:r>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Heading1"/>
            <w:bidi/>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sidR="0020169F" w:rsidRPr="008A141F">
              <w:rPr>
                <w:rStyle w:val="Hyperlink"/>
                <w:rFonts w:ascii="Traditional Arabic" w:hAnsi="Traditional Arabic" w:cs="Traditional Arabic"/>
                <w:b/>
                <w:bCs/>
                <w:noProof/>
                <w:rtl/>
              </w:rPr>
              <w:t>الفصل الأول: الإطار العام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28B1530A" w14:textId="4B33238B" w:rsidR="0020169F" w:rsidRDefault="0020169F">
          <w:pPr>
            <w:pStyle w:val="TOC1"/>
            <w:tabs>
              <w:tab w:val="right" w:leader="dot" w:pos="9204"/>
            </w:tabs>
            <w:bidi/>
            <w:rPr>
              <w:rFonts w:eastAsiaTheme="minorEastAsia"/>
              <w:noProof/>
              <w:rtl/>
            </w:rPr>
          </w:pPr>
          <w:hyperlink w:anchor="_Toc218160612" w:history="1">
            <w:r w:rsidRPr="008A141F">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CB70D0" w14:textId="1C52BBDC" w:rsidR="0020169F" w:rsidRDefault="0020169F">
          <w:pPr>
            <w:pStyle w:val="TOC1"/>
            <w:tabs>
              <w:tab w:val="right" w:leader="dot" w:pos="9204"/>
            </w:tabs>
            <w:bidi/>
            <w:rPr>
              <w:rFonts w:eastAsiaTheme="minorEastAsia"/>
              <w:noProof/>
              <w:rtl/>
            </w:rPr>
          </w:pPr>
          <w:hyperlink w:anchor="_Toc218160613" w:history="1">
            <w:r w:rsidRPr="008A141F">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8B3AEA8" w14:textId="5AC09464" w:rsidR="0020169F" w:rsidRDefault="0020169F">
          <w:pPr>
            <w:pStyle w:val="TOC1"/>
            <w:tabs>
              <w:tab w:val="right" w:leader="dot" w:pos="9204"/>
            </w:tabs>
            <w:bidi/>
            <w:rPr>
              <w:rFonts w:eastAsiaTheme="minorEastAsia"/>
              <w:noProof/>
              <w:rtl/>
            </w:rPr>
          </w:pPr>
          <w:hyperlink w:anchor="_Toc218160614" w:history="1">
            <w:r w:rsidRPr="008A141F">
              <w:rPr>
                <w:rStyle w:val="Hyperlink"/>
                <w:rFonts w:ascii="Traditional Arabic" w:hAnsi="Traditional Arabic" w:cs="Traditional Arabic"/>
                <w:b/>
                <w:bCs/>
                <w:noProof/>
                <w:rtl/>
              </w:rPr>
              <w:t>أسئلة الدراسة</w:t>
            </w:r>
            <w:r w:rsidRPr="008A141F">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404DBC" w14:textId="1F648F47" w:rsidR="0020169F" w:rsidRDefault="0020169F">
          <w:pPr>
            <w:pStyle w:val="TOC2"/>
            <w:tabs>
              <w:tab w:val="right" w:leader="dot" w:pos="9204"/>
            </w:tabs>
            <w:bidi/>
            <w:rPr>
              <w:rFonts w:eastAsiaTheme="minorEastAsia"/>
              <w:noProof/>
              <w:rtl/>
            </w:rPr>
          </w:pPr>
          <w:hyperlink w:anchor="_Toc218160615" w:history="1">
            <w:r w:rsidRPr="008A141F">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DF2CB96" w14:textId="361EE0B5" w:rsidR="0020169F" w:rsidRDefault="0020169F">
          <w:pPr>
            <w:pStyle w:val="TOC2"/>
            <w:tabs>
              <w:tab w:val="right" w:leader="dot" w:pos="9204"/>
            </w:tabs>
            <w:bidi/>
            <w:rPr>
              <w:rFonts w:eastAsiaTheme="minorEastAsia"/>
              <w:noProof/>
              <w:rtl/>
            </w:rPr>
          </w:pPr>
          <w:hyperlink w:anchor="_Toc218160616" w:history="1">
            <w:r w:rsidRPr="008A141F">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790C5E" w14:textId="5ABC2923" w:rsidR="0020169F" w:rsidRDefault="0020169F">
          <w:pPr>
            <w:pStyle w:val="TOC2"/>
            <w:tabs>
              <w:tab w:val="right" w:leader="dot" w:pos="9204"/>
            </w:tabs>
            <w:bidi/>
            <w:rPr>
              <w:rFonts w:eastAsiaTheme="minorEastAsia"/>
              <w:noProof/>
              <w:rtl/>
            </w:rPr>
          </w:pPr>
          <w:hyperlink w:anchor="_Toc218160617" w:history="1">
            <w:r w:rsidRPr="008A141F">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CDC2FF8" w14:textId="7F9AD34A" w:rsidR="0020169F" w:rsidRDefault="0020169F">
          <w:pPr>
            <w:pStyle w:val="TOC2"/>
            <w:tabs>
              <w:tab w:val="right" w:leader="dot" w:pos="9204"/>
            </w:tabs>
            <w:bidi/>
            <w:rPr>
              <w:rFonts w:eastAsiaTheme="minorEastAsia"/>
              <w:noProof/>
              <w:rtl/>
            </w:rPr>
          </w:pPr>
          <w:hyperlink w:anchor="_Toc218160618" w:history="1">
            <w:r w:rsidRPr="008A141F">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628EAF2" w14:textId="28099962" w:rsidR="0020169F" w:rsidRDefault="0020169F">
          <w:pPr>
            <w:pStyle w:val="TOC2"/>
            <w:tabs>
              <w:tab w:val="right" w:leader="dot" w:pos="9204"/>
            </w:tabs>
            <w:bidi/>
            <w:rPr>
              <w:rFonts w:eastAsiaTheme="minorEastAsia"/>
              <w:noProof/>
              <w:rtl/>
            </w:rPr>
          </w:pPr>
          <w:hyperlink w:anchor="_Toc218160619" w:history="1">
            <w:r w:rsidRPr="008A141F">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CA4C6A" w14:textId="78AB7B4F" w:rsidR="0020169F" w:rsidRDefault="0020169F">
          <w:pPr>
            <w:pStyle w:val="TOC2"/>
            <w:tabs>
              <w:tab w:val="right" w:leader="dot" w:pos="9204"/>
            </w:tabs>
            <w:bidi/>
            <w:rPr>
              <w:rFonts w:eastAsiaTheme="minorEastAsia"/>
              <w:noProof/>
              <w:rtl/>
            </w:rPr>
          </w:pPr>
          <w:hyperlink w:anchor="_Toc218160620" w:history="1">
            <w:r w:rsidRPr="008A141F">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DE233C8" w14:textId="447CE94B" w:rsidR="0020169F" w:rsidRDefault="0020169F">
          <w:pPr>
            <w:pStyle w:val="TOC1"/>
            <w:tabs>
              <w:tab w:val="right" w:leader="dot" w:pos="9204"/>
            </w:tabs>
            <w:bidi/>
            <w:rPr>
              <w:rFonts w:eastAsiaTheme="minorEastAsia"/>
              <w:noProof/>
              <w:rtl/>
            </w:rPr>
          </w:pPr>
          <w:hyperlink w:anchor="_Toc218160621" w:history="1">
            <w:r w:rsidRPr="008A141F">
              <w:rPr>
                <w:rStyle w:val="Hyperlink"/>
                <w:rFonts w:ascii="Traditional Arabic" w:hAnsi="Traditional Arabic" w:cs="Traditional Arabic"/>
                <w:b/>
                <w:bCs/>
                <w:noProof/>
                <w:rtl/>
              </w:rPr>
              <w:t>نموذج الدراسة (النموذج المفاهيمي والعلاقات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E95F1D" w14:textId="134F51B3" w:rsidR="0020169F" w:rsidRDefault="0020169F">
          <w:pPr>
            <w:pStyle w:val="TOC2"/>
            <w:tabs>
              <w:tab w:val="right" w:leader="dot" w:pos="9204"/>
            </w:tabs>
            <w:bidi/>
            <w:rPr>
              <w:rFonts w:eastAsiaTheme="minorEastAsia"/>
              <w:noProof/>
              <w:rtl/>
            </w:rPr>
          </w:pPr>
          <w:hyperlink w:anchor="_Toc218160622" w:history="1">
            <w:r w:rsidRPr="008A141F">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F2C51D" w14:textId="54CF1319" w:rsidR="0020169F" w:rsidRDefault="0020169F">
          <w:pPr>
            <w:pStyle w:val="TOC2"/>
            <w:tabs>
              <w:tab w:val="right" w:leader="dot" w:pos="9204"/>
            </w:tabs>
            <w:bidi/>
            <w:rPr>
              <w:rFonts w:eastAsiaTheme="minorEastAsia"/>
              <w:noProof/>
              <w:rtl/>
            </w:rPr>
          </w:pPr>
          <w:hyperlink w:anchor="_Toc218160623" w:history="1">
            <w:r w:rsidRPr="008A141F">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809A64" w14:textId="362413D6" w:rsidR="0020169F" w:rsidRDefault="0020169F">
          <w:pPr>
            <w:pStyle w:val="TOC2"/>
            <w:tabs>
              <w:tab w:val="right" w:leader="dot" w:pos="9204"/>
            </w:tabs>
            <w:bidi/>
            <w:rPr>
              <w:rFonts w:eastAsiaTheme="minorEastAsia"/>
              <w:noProof/>
              <w:rtl/>
            </w:rPr>
          </w:pPr>
          <w:hyperlink w:anchor="_Toc218160624" w:history="1">
            <w:r w:rsidRPr="008A141F">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4AFB24A" w14:textId="1542CFA7" w:rsidR="0020169F" w:rsidRDefault="0020169F">
          <w:pPr>
            <w:pStyle w:val="TOC1"/>
            <w:tabs>
              <w:tab w:val="right" w:leader="dot" w:pos="9204"/>
            </w:tabs>
            <w:bidi/>
            <w:rPr>
              <w:rFonts w:eastAsiaTheme="minorEastAsia"/>
              <w:noProof/>
              <w:rtl/>
            </w:rPr>
          </w:pPr>
          <w:hyperlink w:anchor="_Toc218160625" w:history="1">
            <w:r w:rsidRPr="008A141F">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357910F" w14:textId="770DC56B" w:rsidR="0020169F" w:rsidRDefault="0020169F">
          <w:pPr>
            <w:pStyle w:val="TOC1"/>
            <w:tabs>
              <w:tab w:val="right" w:leader="dot" w:pos="9204"/>
            </w:tabs>
            <w:bidi/>
            <w:rPr>
              <w:rFonts w:eastAsiaTheme="minorEastAsia"/>
              <w:noProof/>
              <w:rtl/>
            </w:rPr>
          </w:pPr>
          <w:hyperlink w:anchor="_Toc218160626" w:history="1">
            <w:r w:rsidRPr="008A141F">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64AD8F" w14:textId="38B2B61E" w:rsidR="0020169F" w:rsidRDefault="0020169F">
          <w:pPr>
            <w:pStyle w:val="TOC1"/>
            <w:tabs>
              <w:tab w:val="right" w:leader="dot" w:pos="9204"/>
            </w:tabs>
            <w:bidi/>
            <w:rPr>
              <w:rFonts w:eastAsiaTheme="minorEastAsia"/>
              <w:noProof/>
              <w:rtl/>
            </w:rPr>
          </w:pPr>
          <w:hyperlink w:anchor="_Toc218160627" w:history="1">
            <w:r w:rsidRPr="008A141F">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E63413C" w14:textId="046300F7" w:rsidR="0020169F" w:rsidRDefault="0020169F">
          <w:pPr>
            <w:pStyle w:val="TOC1"/>
            <w:tabs>
              <w:tab w:val="right" w:leader="dot" w:pos="9204"/>
            </w:tabs>
            <w:bidi/>
            <w:rPr>
              <w:rFonts w:eastAsiaTheme="minorEastAsia"/>
              <w:noProof/>
              <w:rtl/>
            </w:rPr>
          </w:pPr>
          <w:hyperlink w:anchor="_Toc218160628" w:history="1">
            <w:r w:rsidRPr="008A141F">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CA5F10" w14:textId="616317CC" w:rsidR="0020169F" w:rsidRDefault="0020169F">
          <w:pPr>
            <w:pStyle w:val="TOC1"/>
            <w:tabs>
              <w:tab w:val="right" w:leader="dot" w:pos="9204"/>
            </w:tabs>
            <w:bidi/>
            <w:rPr>
              <w:rFonts w:eastAsiaTheme="minorEastAsia"/>
              <w:noProof/>
              <w:rtl/>
            </w:rPr>
          </w:pPr>
          <w:hyperlink w:anchor="_Toc218160629" w:history="1">
            <w:r w:rsidRPr="008A141F">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EAD8821" w14:textId="166C5916" w:rsidR="0020169F" w:rsidRDefault="0020169F">
          <w:pPr>
            <w:pStyle w:val="TOC1"/>
            <w:tabs>
              <w:tab w:val="right" w:leader="dot" w:pos="9204"/>
            </w:tabs>
            <w:bidi/>
            <w:rPr>
              <w:rFonts w:eastAsiaTheme="minorEastAsia"/>
              <w:noProof/>
              <w:rtl/>
            </w:rPr>
          </w:pPr>
          <w:hyperlink w:anchor="_Toc218160630" w:history="1">
            <w:r w:rsidRPr="008A141F">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24C5759" w14:textId="46A4F29D" w:rsidR="0020169F" w:rsidRDefault="0020169F">
          <w:pPr>
            <w:pStyle w:val="TOC1"/>
            <w:tabs>
              <w:tab w:val="right" w:leader="dot" w:pos="9204"/>
            </w:tabs>
            <w:bidi/>
            <w:rPr>
              <w:rFonts w:eastAsiaTheme="minorEastAsia"/>
              <w:noProof/>
              <w:rtl/>
            </w:rPr>
          </w:pPr>
          <w:hyperlink w:anchor="_Toc218160631" w:history="1">
            <w:r w:rsidRPr="008A141F">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sidRPr="00056C52">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sidRPr="00555593">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sidRPr="00555593">
        <w:rPr>
          <w:rFonts w:ascii="Traditional Arabic" w:eastAsia="Times New Roman" w:hAnsi="Traditional Arabic" w:cs="Traditional Arabic"/>
          <w:color w:val="000000" w:themeColor="text1"/>
          <w:sz w:val="28"/>
          <w:szCs w:val="28"/>
        </w:rPr>
        <w:t xml:space="preserve"> (Aiyetan,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2023)</w:t>
      </w:r>
      <w:r w:rsidR="006049B7">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sidRPr="00621286">
        <w:rPr>
          <w:rFonts w:ascii="Traditional Arabic" w:eastAsia="Times New Roman" w:hAnsi="Traditional Arabic" w:cs="Traditional Arabic"/>
          <w:color w:val="000000" w:themeColor="text1"/>
          <w:sz w:val="28"/>
          <w:szCs w:val="28"/>
        </w:rPr>
        <w:t xml:space="preserve"> (ISO 55000, 2021)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sidRPr="00BB170B">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Pr>
        <w:t xml:space="preserve"> SCADA</w:t>
      </w:r>
      <w:r w:rsidRPr="00BB170B">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sidRPr="00BB170B">
        <w:rPr>
          <w:rFonts w:ascii="Traditional Arabic" w:eastAsia="Times New Roman" w:hAnsi="Traditional Arabic" w:cs="Traditional Arabic"/>
          <w:color w:val="000000" w:themeColor="text1"/>
          <w:sz w:val="28"/>
          <w:szCs w:val="28"/>
        </w:rPr>
        <w:t xml:space="preserve"> (Vial, 2019; Verhoef et al., 2021; Janssen et al., 20</w:t>
      </w:r>
      <w:r w:rsidR="000812A1">
        <w:rPr>
          <w:rFonts w:ascii="Traditional Arabic" w:eastAsia="Times New Roman" w:hAnsi="Traditional Arabic" w:cs="Traditional Arabic"/>
          <w:color w:val="000000" w:themeColor="text1"/>
          <w:sz w:val="28"/>
          <w:szCs w:val="28"/>
        </w:rPr>
        <w:t>17</w:t>
      </w:r>
      <w:r w:rsidRPr="00BB170B">
        <w:rPr>
          <w:rFonts w:ascii="Traditional Arabic" w:eastAsia="Times New Roman" w:hAnsi="Traditional Arabic" w:cs="Traditional Arabic"/>
          <w:color w:val="000000" w:themeColor="text1"/>
          <w:sz w:val="28"/>
          <w:szCs w:val="28"/>
        </w:rPr>
        <w:t>).</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sidRPr="00D027C3">
        <w:rPr>
          <w:rFonts w:ascii="Traditional Arabic" w:hAnsi="Traditional Arabic" w:cs="Traditional Arabic"/>
          <w:b/>
          <w:bCs/>
          <w:sz w:val="36"/>
          <w:szCs w:val="36"/>
          <w:rtl/>
        </w:rPr>
        <w:lastRenderedPageBreak/>
        <w:t>مشكلة الدراسة وأسئلتها:</w:t>
      </w:r>
      <w:bookmarkEnd w:id="2"/>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sidRPr="00BB170B">
        <w:rPr>
          <w:rFonts w:ascii="Traditional Arabic" w:eastAsia="Times New Roman" w:hAnsi="Traditional Arabic" w:cs="Traditional Arabic"/>
          <w:color w:val="000000" w:themeColor="text1"/>
          <w:sz w:val="28"/>
          <w:szCs w:val="28"/>
          <w:rtl/>
        </w:rPr>
        <w:t>تشير الأدبيات الحديثة في مجال إدارة الأصول والبنية التحتية إلى تزايد الاهتمام بتطبيق مبادئ الحوكمة والرقمنة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sidRPr="00BB170B">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sidRPr="008F3BF7">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sidRPr="008F3BF7">
        <w:rPr>
          <w:rFonts w:ascii="Traditional Arabic" w:eastAsia="Times New Roman" w:hAnsi="Traditional Arabic" w:cs="Traditional Arabic"/>
          <w:color w:val="000000" w:themeColor="text1"/>
          <w:sz w:val="28"/>
          <w:szCs w:val="28"/>
        </w:rPr>
        <w:t xml:space="preserve"> (Ministry of Environment, Water and Agriculture [MEWA], 2023). </w:t>
      </w:r>
      <w:r w:rsidRPr="008F3BF7">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sidRPr="008F3BF7">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sidRPr="00F03AFB">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sidRPr="00F03AFB">
        <w:rPr>
          <w:rFonts w:ascii="Traditional Arabic" w:eastAsia="Times New Roman" w:hAnsi="Traditional Arabic" w:cs="Traditional Arabic"/>
          <w:color w:val="000000" w:themeColor="text1"/>
          <w:sz w:val="28"/>
          <w:szCs w:val="28"/>
        </w:rPr>
        <w:t xml:space="preserve"> (Meijer &amp; Bolívar, 2016; Gil-Garcia et al., 2018; Janssen et al., 20</w:t>
      </w:r>
      <w:r w:rsidR="000812A1">
        <w:rPr>
          <w:rFonts w:ascii="Traditional Arabic" w:eastAsia="Times New Roman" w:hAnsi="Traditional Arabic" w:cs="Traditional Arabic"/>
          <w:color w:val="000000" w:themeColor="text1"/>
          <w:sz w:val="28"/>
          <w:szCs w:val="28"/>
        </w:rPr>
        <w:t>17</w:t>
      </w:r>
      <w:r w:rsidRPr="00F03AFB">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sidRPr="00F03AFB">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sidRPr="00F03AFB">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sidRPr="00D027C3">
        <w:rPr>
          <w:rFonts w:ascii="Traditional Arabic" w:hAnsi="Traditional Arabic" w:cs="Traditional Arabic"/>
          <w:b/>
          <w:bCs/>
          <w:sz w:val="36"/>
          <w:szCs w:val="36"/>
          <w:rtl/>
        </w:rPr>
        <w:lastRenderedPageBreak/>
        <w:t>أسئلة الدراسة</w:t>
      </w:r>
      <w:r w:rsidRPr="00D027C3">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4" w:name="_Toc218160615"/>
      <w:r w:rsidRPr="000D327A">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5" w:name="_Toc218160616"/>
      <w:r w:rsidRPr="000D327A">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6" w:name="_Toc218160617"/>
      <w:r w:rsidRPr="000D327A">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7" w:name="_Toc218160618"/>
      <w:r w:rsidRPr="000D327A">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8" w:name="_Toc218160619"/>
      <w:r w:rsidRPr="007B6D22">
        <w:rPr>
          <w:rFonts w:ascii="Traditional Arabic" w:eastAsia="Times New Roman" w:hAnsi="Traditional Arabic" w:cs="Traditional Arabic"/>
          <w:b/>
          <w:bCs/>
          <w:sz w:val="36"/>
          <w:szCs w:val="36"/>
          <w:rtl/>
        </w:rPr>
        <w:lastRenderedPageBreak/>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sidRPr="002D46EB">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sidR="001F16AB">
        <w:rPr>
          <w:rFonts w:ascii="Traditional Arabic" w:eastAsia="Times New Roman" w:hAnsi="Traditional Arabic" w:cs="Traditional Arabic" w:hint="cs"/>
          <w:color w:val="000000" w:themeColor="text1"/>
          <w:sz w:val="28"/>
          <w:szCs w:val="28"/>
          <w:rtl/>
        </w:rPr>
        <w:t xml:space="preserve"> </w:t>
      </w:r>
      <w:r w:rsidRPr="002D46EB">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sidRPr="002D46EB">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sidRPr="002D46EB">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sidRPr="002D46EB">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sidRPr="002D46EB">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9" w:name="_Toc218160621"/>
      <w:r w:rsidRPr="001142D3">
        <w:rPr>
          <w:rFonts w:ascii="Traditional Arabic" w:hAnsi="Traditional Arabic" w:cs="Traditional Arabic"/>
          <w:b/>
          <w:bCs/>
          <w:sz w:val="36"/>
          <w:szCs w:val="36"/>
          <w:rtl/>
        </w:rPr>
        <w:lastRenderedPageBreak/>
        <w:t xml:space="preserve">نموذج الدراسة </w:t>
      </w:r>
      <w:r w:rsidR="000E07B7" w:rsidRPr="001142D3">
        <w:rPr>
          <w:rFonts w:ascii="Traditional Arabic" w:hAnsi="Traditional Arabic" w:cs="Traditional Arabic" w:hint="cs"/>
          <w:b/>
          <w:bCs/>
          <w:sz w:val="36"/>
          <w:szCs w:val="36"/>
          <w:rtl/>
        </w:rPr>
        <w:t>(</w:t>
      </w:r>
      <w:r w:rsidRPr="001142D3">
        <w:rPr>
          <w:rFonts w:ascii="Traditional Arabic" w:hAnsi="Traditional Arabic" w:cs="Traditional Arabic"/>
          <w:b/>
          <w:bCs/>
          <w:sz w:val="36"/>
          <w:szCs w:val="36"/>
          <w:rtl/>
        </w:rPr>
        <w:t>النموذج المفاهيمي</w:t>
      </w:r>
      <w:r w:rsidR="000E07B7" w:rsidRPr="001142D3">
        <w:rPr>
          <w:rFonts w:ascii="Traditional Arabic" w:hAnsi="Traditional Arabic" w:cs="Traditional Arabic"/>
          <w:b/>
          <w:bCs/>
          <w:sz w:val="36"/>
          <w:szCs w:val="36"/>
          <w:rtl/>
        </w:rPr>
        <w:t xml:space="preserve"> والعلاقات بين المتغيرات</w:t>
      </w:r>
      <w:r w:rsidR="000E07B7" w:rsidRPr="001142D3">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sidRPr="0044146F">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sidRPr="0044146F">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sidRPr="0044146F">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التحول الرقمي</w:t>
      </w:r>
      <w:r w:rsidRPr="00537F4D">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sidRPr="003E662B">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sidRPr="003E662B">
        <w:rPr>
          <w:rFonts w:ascii="Traditional Arabic" w:hAnsi="Traditional Arabic" w:cs="Traditional Arabic"/>
          <w:sz w:val="28"/>
          <w:szCs w:val="28"/>
        </w:rPr>
        <w:t>.</w:t>
      </w:r>
    </w:p>
    <w:p w14:paraId="4E910D31" w14:textId="418FA649"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الاستدامة المؤسسية</w:t>
      </w:r>
      <w:r w:rsidRPr="00537F4D">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sidRPr="006B126E">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sidRPr="006B126E">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 xml:space="preserve">ثانيًا: </w:t>
      </w:r>
      <w:r w:rsidR="002E6F1E" w:rsidRPr="002E6F1E">
        <w:rPr>
          <w:rFonts w:ascii="Traditional Arabic" w:hAnsi="Traditional Arabic" w:cs="Traditional Arabic"/>
          <w:b/>
          <w:bCs/>
          <w:sz w:val="28"/>
          <w:szCs w:val="28"/>
          <w:rtl/>
        </w:rPr>
        <w:t>إطار الحوكمة الذكية (</w:t>
      </w:r>
      <w:r w:rsidR="0020169F">
        <w:rPr>
          <w:rFonts w:ascii="Traditional Arabic" w:hAnsi="Traditional Arabic" w:cs="Traditional Arabic"/>
          <w:b/>
          <w:bCs/>
          <w:sz w:val="28"/>
          <w:szCs w:val="28"/>
        </w:rPr>
        <w:t xml:space="preserve"> </w:t>
      </w:r>
      <w:r w:rsidR="0020169F">
        <w:rPr>
          <w:rFonts w:ascii="Traditional Arabic" w:hAnsi="Traditional Arabic" w:cs="Traditional Arabic" w:hint="cs"/>
          <w:b/>
          <w:bCs/>
          <w:sz w:val="28"/>
          <w:szCs w:val="28"/>
          <w:rtl/>
        </w:rPr>
        <w:t xml:space="preserve">المتغير الوسيط </w:t>
      </w:r>
      <w:r w:rsidR="002E6F1E" w:rsidRPr="002E6F1E">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sidRPr="0020169F">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sidRPr="0020169F">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sidRPr="0020169F">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sidRPr="007B684F">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sidRPr="007B684F">
        <w:rPr>
          <w:rFonts w:ascii="Traditional Arabic" w:hAnsi="Traditional Arabic" w:cs="Traditional Arabic"/>
          <w:sz w:val="28"/>
          <w:szCs w:val="28"/>
        </w:rPr>
        <w:t>.</w:t>
      </w:r>
    </w:p>
    <w:p w14:paraId="1D64077C" w14:textId="39AD6369"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sidRPr="00AF7D89">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sidRPr="00AF7D89">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sidRPr="00777BCB">
        <w:rPr>
          <w:rFonts w:ascii="Traditional Arabic" w:hAnsi="Traditional Arabic" w:cs="Traditional Arabic"/>
          <w:sz w:val="28"/>
          <w:szCs w:val="28"/>
          <w:rtl/>
        </w:rPr>
        <w:t>استنادًا إلى الإطار المفاهيمي المقترح، تختبر الدراسة العلاقات السببية الآتية</w:t>
      </w:r>
      <w:r w:rsidRPr="00777BCB">
        <w:rPr>
          <w:rFonts w:ascii="Traditional Arabic" w:hAnsi="Traditional Arabic" w:cs="Traditional Arabic"/>
          <w:sz w:val="28"/>
          <w:szCs w:val="28"/>
        </w:rPr>
        <w:t>:</w:t>
      </w:r>
    </w:p>
    <w:p w14:paraId="7C72FDC7" w14:textId="77777777" w:rsidR="00777BCB" w:rsidRPr="00777BCB" w:rsidRDefault="00777BCB" w:rsidP="00B7711D">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sidRPr="00777BCB">
        <w:rPr>
          <w:rFonts w:ascii="Traditional Arabic" w:hAnsi="Traditional Arabic" w:cs="Traditional Arabic"/>
          <w:sz w:val="28"/>
          <w:szCs w:val="28"/>
        </w:rPr>
        <w:t>.</w:t>
      </w:r>
    </w:p>
    <w:p w14:paraId="627EC77B" w14:textId="77777777" w:rsidR="00777BCB" w:rsidRPr="00777BCB" w:rsidRDefault="00777BCB" w:rsidP="00B7711D">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sidRPr="00777BCB">
        <w:rPr>
          <w:rFonts w:ascii="Traditional Arabic" w:hAnsi="Traditional Arabic" w:cs="Traditional Arabic"/>
          <w:sz w:val="28"/>
          <w:szCs w:val="28"/>
        </w:rPr>
        <w:t>.</w:t>
      </w:r>
    </w:p>
    <w:p w14:paraId="34B7B431" w14:textId="77777777" w:rsidR="00777BCB" w:rsidRPr="00777BCB" w:rsidRDefault="00777BCB" w:rsidP="00B7711D">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sidRPr="00777BCB">
        <w:rPr>
          <w:rFonts w:ascii="Traditional Arabic" w:hAnsi="Traditional Arabic" w:cs="Traditional Arabic"/>
          <w:sz w:val="28"/>
          <w:szCs w:val="28"/>
        </w:rPr>
        <w:t>.</w:t>
      </w:r>
    </w:p>
    <w:p w14:paraId="068894F8" w14:textId="77777777" w:rsidR="00777BCB" w:rsidRPr="00777BCB" w:rsidRDefault="00777BCB" w:rsidP="00B7711D">
      <w:pPr>
        <w:numPr>
          <w:ilvl w:val="0"/>
          <w:numId w:val="9"/>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sidRPr="00777BCB">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sidRPr="00A31AF3">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sidR="00FC2A64">
        <w:rPr>
          <w:rFonts w:ascii="Traditional Arabic" w:hAnsi="Traditional Arabic" w:cs="Traditional Arabic" w:hint="cs"/>
          <w:sz w:val="28"/>
          <w:szCs w:val="28"/>
          <w:rtl/>
        </w:rPr>
        <w:t xml:space="preserve"> </w:t>
      </w:r>
      <w:r w:rsidRPr="00A31AF3">
        <w:rPr>
          <w:rFonts w:ascii="Traditional Arabic" w:hAnsi="Traditional Arabic" w:cs="Traditional Arabic"/>
          <w:sz w:val="28"/>
          <w:szCs w:val="28"/>
        </w:rPr>
        <w:t>(SEM)</w:t>
      </w:r>
      <w:r w:rsidRPr="00A31AF3">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sidRPr="00A31AF3">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0" w:name="_Toc218160622"/>
      <w:r w:rsidRPr="00537F4D">
        <w:rPr>
          <w:rFonts w:ascii="Traditional Arabic" w:eastAsia="Times New Roman" w:hAnsi="Traditional Arabic" w:cs="Traditional Arabic"/>
          <w:b/>
          <w:bCs/>
          <w:sz w:val="36"/>
          <w:szCs w:val="36"/>
          <w:rtl/>
        </w:rPr>
        <w:lastRenderedPageBreak/>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sidRPr="00537F4D">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sidRPr="00537F4D">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sidRPr="00537F4D">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sidRPr="00537F4D">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sidRPr="00537F4D">
        <w:rPr>
          <w:rFonts w:ascii="Traditional Arabic" w:eastAsia="Times New Roman" w:hAnsi="Traditional Arabic" w:cs="Traditional Arabic"/>
          <w:color w:val="000000" w:themeColor="text1"/>
          <w:sz w:val="28"/>
          <w:szCs w:val="28"/>
        </w:rPr>
        <w:t>SEM</w:t>
      </w:r>
      <w:r w:rsidRPr="00537F4D">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sidRPr="00B550C9">
        <w:rPr>
          <w:rFonts w:ascii="Traditional Arabic" w:hAnsi="Traditional Arabic" w:cs="Traditional Arabic"/>
          <w:b/>
          <w:bCs/>
          <w:color w:val="000000" w:themeColor="text1"/>
          <w:kern w:val="24"/>
          <w:sz w:val="28"/>
          <w:szCs w:val="28"/>
          <w:rtl/>
        </w:rPr>
        <w:lastRenderedPageBreak/>
        <w:t>يوضح الشكل التالي النموذج المفاهيمي للدراسة</w:t>
      </w:r>
      <w:r w:rsidRPr="00B550C9">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sidRPr="00323275">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sidRPr="0072496D">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w:t>
                            </w:r>
                            <w:r w:rsidR="008629C3" w:rsidRPr="008629C3">
                              <w:rPr>
                                <w:rFonts w:ascii="Traditional Arabic" w:hAnsi="Traditional Arabic" w:cs="Traditional Arabic"/>
                                <w:b/>
                                <w:bCs/>
                                <w:color w:val="000000" w:themeColor="text1"/>
                                <w:kern w:val="24"/>
                                <w:sz w:val="28"/>
                                <w:szCs w:val="28"/>
                                <w:rtl/>
                              </w:rPr>
                              <w:t>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VdgEAAN4CAAAOAAAAZHJzL2Uyb0RvYy54bWysUstOwzAQvCPxD5bvNG2giEZNEQjBBQES&#10;8AGuYzeWYq/xuk3696zd0iK4IS4bex/j2ZnMrwfbsY0KaMDVfDIac6achMa4Vc3f3+7PrjjDKFwj&#10;OnCq5luF/HpxejLvfaVKaKFrVGAE4rDqfc3bGH1VFChbZQWOwCtHRQ3BikjXsCqaIHpCt11RjseX&#10;RQ+h8QGkQqTs3a7IFxlfayXjs9aoIutqTtxijiHHZYrFYi6qVRC+NXJPQ/yBhRXG0aMHqDsRBVsH&#10;8wvKGhkAQceRBFuA1kaqvANtMxn/2Oa1FV7lXUgc9AeZ8P9g5dPm1b8EFodbGMjAJEjvsUJKpn0G&#10;HWz6ElNGdZJwe5BNDZFJSpbns1k5LTmTVDufXswupwmmOE77gPFBgWXpUPNAtmS1xOYR4671qyU9&#10;5uDedF3KH6mkUxyWw57fEpot0e7JuZrjx1qEJFQavVlH0Cajppld4x6KRMy89oYnl77fc9fxt1x8&#10;AgAA//8DAFBLAwQUAAYACAAAACEAYK2FGtsAAAAGAQAADwAAAGRycy9kb3ducmV2LnhtbEyPS0/D&#10;MBCE70j8B2uRuFEb+iIhmwqBuIJaHhI3N94mEfE6it0m/HuWExxHM5r5pthMvlMnGmIbGOF6ZkAR&#10;V8G1XCO8vT5d3YKKybKzXWBC+KYIm/L8rLC5CyNv6bRLtZISjrlFaFLqc61j1ZC3cRZ6YvEOYfA2&#10;iRxq7QY7Srnv9I0xK+1ty7LQ2J4eGqq+dkeP8P58+PxYmJf60S/7MUxGs8804uXFdH8HKtGU/sLw&#10;iy/oUArTPhzZRdUhyJGEsJivQIk7X6/lyB4hy5agy0L/xy9/AAAA//8DAFBLAQItABQABgAIAAAA&#10;IQC2gziS/gAAAOEBAAATAAAAAAAAAAAAAAAAAAAAAABbQ29udGVudF9UeXBlc10ueG1sUEsBAi0A&#10;FAAGAAgAAAAhADj9If/WAAAAlAEAAAsAAAAAAAAAAAAAAAAALwEAAF9yZWxzLy5yZWxzUEsBAi0A&#10;FAAGAAgAAAAhAD6coJV2AQAA3gIAAA4AAAAAAAAAAAAAAAAALgIAAGRycy9lMm9Eb2MueG1sUEsB&#10;Ai0AFAAGAAgAAAAhAGCthRrbAAAABgEAAA8AAAAAAAAAAAAAAAAA0AMAAGRycy9kb3ducmV2Lnht&#10;bFBLBQYAAAAABAAEAPMAAADYBAAAAAA=&#10;" filled="f" stroked="f">
                <v:textbo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w:t>
                      </w:r>
                      <w:r w:rsidR="008629C3" w:rsidRPr="008629C3">
                        <w:rPr>
                          <w:rFonts w:ascii="Traditional Arabic" w:hAnsi="Traditional Arabic" w:cs="Traditional Arabic"/>
                          <w:b/>
                          <w:bCs/>
                          <w:color w:val="000000" w:themeColor="text1"/>
                          <w:kern w:val="24"/>
                          <w:sz w:val="28"/>
                          <w:szCs w:val="28"/>
                          <w:rtl/>
                        </w:rPr>
                        <w:t>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sidRPr="00763AA6">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sidRPr="00763AA6">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sidRPr="00763AA6">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sidRPr="00763AA6">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1" w:name="_Toc218160623"/>
      <w:r w:rsidRPr="008C638A">
        <w:rPr>
          <w:rFonts w:ascii="Traditional Arabic" w:eastAsia="Times New Roman" w:hAnsi="Traditional Arabic" w:cs="Traditional Arabic"/>
          <w:b/>
          <w:bCs/>
          <w:sz w:val="36"/>
          <w:szCs w:val="36"/>
          <w:rtl/>
        </w:rPr>
        <w:lastRenderedPageBreak/>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w:t>
      </w:r>
      <w:r w:rsidR="00527ED7">
        <w:rPr>
          <w:rFonts w:ascii="Traditional Arabic" w:eastAsia="Times New Roman" w:hAnsi="Traditional Arabic" w:cs="Traditional Arabic" w:hint="cs"/>
          <w:color w:val="000000" w:themeColor="text1"/>
          <w:sz w:val="28"/>
          <w:szCs w:val="28"/>
          <w:rtl/>
        </w:rPr>
        <w:t xml:space="preserve"> </w:t>
      </w:r>
      <w:r w:rsidR="003522B4" w:rsidRPr="003522B4">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sidR="003522B4" w:rsidRPr="003522B4">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sidR="00527ED7">
        <w:rPr>
          <w:rFonts w:ascii="Traditional Arabic" w:eastAsia="Times New Roman" w:hAnsi="Traditional Arabic" w:cs="Traditional Arabic"/>
          <w:color w:val="000000" w:themeColor="text1"/>
          <w:sz w:val="28"/>
          <w:szCs w:val="28"/>
        </w:rPr>
        <w:t xml:space="preserve"> </w:t>
      </w:r>
      <w:r w:rsidRPr="003522B4">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sidRPr="003522B4">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sidR="00527ED7">
        <w:rPr>
          <w:rFonts w:ascii="Traditional Arabic" w:eastAsia="Times New Roman" w:hAnsi="Traditional Arabic" w:cs="Traditional Arabic" w:hint="cs"/>
          <w:color w:val="000000" w:themeColor="text1"/>
          <w:sz w:val="28"/>
          <w:szCs w:val="28"/>
          <w:rtl/>
        </w:rPr>
        <w:t xml:space="preserve"> </w:t>
      </w:r>
      <w:r w:rsidRPr="003522B4">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sidRPr="003522B4">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sidR="00527ED7">
        <w:rPr>
          <w:rFonts w:ascii="Traditional Arabic" w:eastAsia="Times New Roman" w:hAnsi="Traditional Arabic" w:cs="Traditional Arabic" w:hint="cs"/>
          <w:color w:val="000000" w:themeColor="text1"/>
          <w:sz w:val="28"/>
          <w:szCs w:val="28"/>
          <w:rtl/>
        </w:rPr>
        <w:t xml:space="preserve"> </w:t>
      </w:r>
      <w:r w:rsidR="003522B4" w:rsidRPr="003522B4">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sidR="003522B4" w:rsidRPr="003522B4">
        <w:rPr>
          <w:rFonts w:ascii="Traditional Arabic" w:eastAsia="Times New Roman" w:hAnsi="Traditional Arabic" w:cs="Traditional Arabic"/>
          <w:color w:val="000000" w:themeColor="text1"/>
          <w:sz w:val="28"/>
          <w:szCs w:val="28"/>
        </w:rPr>
        <w:t>.</w:t>
      </w:r>
      <w:r w:rsidR="00527ED7">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sidRPr="00D33E0C">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2" w:name="_Toc218160624"/>
      <w:r w:rsidRPr="00A67433">
        <w:rPr>
          <w:rFonts w:ascii="Traditional Arabic" w:eastAsia="Times New Roman" w:hAnsi="Traditional Arabic" w:cs="Traditional Arabic"/>
          <w:b/>
          <w:bCs/>
          <w:sz w:val="36"/>
          <w:szCs w:val="36"/>
          <w:rtl/>
        </w:rPr>
        <w:t>نوع الدراسة وطرق الحصول على البيانات</w:t>
      </w:r>
      <w:bookmarkEnd w:id="12"/>
      <w:r w:rsidRPr="00A67433">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lastRenderedPageBreak/>
        <w:t>التحول الرقمي</w:t>
      </w:r>
    </w:p>
    <w:p w14:paraId="57C1F833" w14:textId="6333C8D0"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sidRPr="002C01EA">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sidRPr="002C01EA">
        <w:rPr>
          <w:rFonts w:ascii="Traditional Arabic" w:eastAsia="Times New Roman" w:hAnsi="Traditional Arabic" w:cs="Traditional Arabic"/>
          <w:color w:val="000000" w:themeColor="text1"/>
          <w:sz w:val="28"/>
          <w:szCs w:val="28"/>
        </w:rPr>
        <w:t xml:space="preserve"> Sekaran &amp; Bougie (2016) </w:t>
      </w:r>
      <w:r w:rsidRPr="002C01EA">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sidRPr="002C01EA">
        <w:rPr>
          <w:rFonts w:ascii="Traditional Arabic" w:eastAsia="Times New Roman" w:hAnsi="Traditional Arabic" w:cs="Traditional Arabic"/>
          <w:color w:val="000000" w:themeColor="text1"/>
          <w:sz w:val="28"/>
          <w:szCs w:val="28"/>
        </w:rPr>
        <w:t xml:space="preserve"> (PLS-SEM) </w:t>
      </w:r>
      <w:r w:rsidRPr="002C01EA">
        <w:rPr>
          <w:rFonts w:ascii="Traditional Arabic" w:eastAsia="Times New Roman" w:hAnsi="Traditional Arabic" w:cs="Traditional Arabic"/>
          <w:color w:val="000000" w:themeColor="text1"/>
          <w:sz w:val="28"/>
          <w:szCs w:val="28"/>
          <w:rtl/>
        </w:rPr>
        <w:t>وفق توصيات</w:t>
      </w:r>
      <w:r w:rsidRPr="002C01EA">
        <w:rPr>
          <w:rFonts w:ascii="Traditional Arabic" w:eastAsia="Times New Roman" w:hAnsi="Traditional Arabic" w:cs="Traditional Arabic"/>
          <w:color w:val="000000" w:themeColor="text1"/>
          <w:sz w:val="28"/>
          <w:szCs w:val="28"/>
        </w:rPr>
        <w:t xml:space="preserve"> Hair et al. (2017)</w:t>
      </w:r>
      <w:r w:rsidR="00617052">
        <w:rPr>
          <w:rFonts w:ascii="Traditional Arabic" w:eastAsia="Times New Roman" w:hAnsi="Traditional Arabic" w:cs="Traditional Arabic"/>
          <w:color w:val="000000" w:themeColor="text1"/>
          <w:sz w:val="28"/>
          <w:szCs w:val="28"/>
        </w:rPr>
        <w:t xml:space="preserve"> </w:t>
      </w:r>
      <w:r w:rsidRPr="002C01EA">
        <w:rPr>
          <w:rFonts w:ascii="Traditional Arabic" w:eastAsia="Times New Roman" w:hAnsi="Traditional Arabic" w:cs="Traditional Arabic"/>
          <w:color w:val="000000" w:themeColor="text1"/>
          <w:sz w:val="28"/>
          <w:szCs w:val="28"/>
          <w:rtl/>
        </w:rPr>
        <w:t>، مما يعزز موثوقية النتائج ودقتها الإحصائية</w:t>
      </w:r>
      <w:r w:rsidRPr="002C01EA">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580DF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lZILZdEBAACUBAAAEAAAAGRycy9pbmsvaW5rMS54bWy0k1Fr&#10;2zAQx98L+w5CfehLY8t2kzimThmjgUELY+lge3RtNRa1pCDJcfLte5YVxaXpy9gwGOtk/e/ud3/d&#10;3u15g3ZUaSZFjqOAYERFKSsmNjn+9bSapBhpU4iqaKSgOT5Qje+WXy5umXjlTQZvBApC91+8yXFt&#10;zDYLw67rgi4JpNqEMSFJ+F28Pj7gpTtV0RcmmIGU+hgqpTB0b3qxjFU5Ls2e+P9Bey1bVVK/3UdU&#10;efrDqKKkK6l4YbxiXQhBGyQKDnX/xsgctvDBIM+GKow4g4YncRDdzG/S+wUEin2OR+sWStRQCcfh&#10;ec0//0Fz9VGzLyuJ57M5Rq6kiu76mkLLPPu89x9KbqkyjJ4wD1DcxgGVw9ryGUApqmXT9rPBaFc0&#10;LSCLCAFbuNxReAbIRz1g80/1gMuneuPi3qNx7Y05OGjeUsfRGsYpGJ1vvceMBuE+vDbKXoeYxLMJ&#10;iSfR4ilaZNNFFqVBOk9Go3AuPmo+q1bXXu9Znfxqdzy1obOOVab20EkQeeZj4udO1pRtavNXR0vZ&#10;SLgMbtKXhKTfkq+jjmw6b7UzF9e6D7nGf9KXHF/au4vsySFgOyeIoNl0mlxfkf55516fAMayfAMA&#10;AP//AwBQSwMEFAAGAAgAAAAhAFWzZwXhAAAACwEAAA8AAABkcnMvZG93bnJldi54bWxMj8FKAzEQ&#10;hu+C7xBG8GaTtmtt180WEQQRBK2C13ST7q5NJmGTtGuf3ulJjz/zzT/fVOvRWXYwQ+w9SphOBDCD&#10;jdc9thI+P55ulsBiUqiV9Wgk/JgI6/ryolKl9kd8N4dNahmVYCyVhC6lUHIem844FSc+GKTZzg9O&#10;JYpDy/WgjlTuLJ8JseBO9UgXOhXMY2ea/SY70vhavT7vQp6f8v4U7NuYu5fvLOX11fhwDyyZMf3B&#10;cNanHajJaesz6sgsZVGIglgJd6s5sDMhisUM2FbC8nYKvK74/x/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atOVaAEAAAcDAAAOAAAAAAAAAAAAAAAA&#10;ADwCAABkcnMvZTJvRG9jLnhtbFBLAQItABQABgAIAAAAIQCVkgtl0QEAAJQEAAAQAAAAAAAAAAAA&#10;AAAAANADAABkcnMvaW5rL2luazEueG1sUEsBAi0AFAAGAAgAAAAhAFWzZwXhAAAACwEAAA8AAAAA&#10;AAAAAAAAAAAAzwUAAGRycy9kb3ducmV2LnhtbFBLAQItABQABgAIAAAAIQB5GLydvwAAACEBAAAZ&#10;AAAAAAAAAAAAAAAAAN0GAABkcnMvX3JlbHMvZTJvRG9jLnhtbC5yZWxzUEsFBgAAAAAGAAYAeAEA&#10;ANMHAAAAAA==&#10;">
                <v:imagedata r:id="rId11" o:title=""/>
              </v:shape>
            </w:pict>
          </mc:Fallback>
        </mc:AlternateContent>
      </w:r>
      <w:r w:rsidR="002E5806" w:rsidRPr="00931B85">
        <w:rPr>
          <w:rFonts w:ascii="Traditional Arabic" w:eastAsia="Times New Roman" w:hAnsi="Traditional Arabic" w:cs="Traditional Arabic"/>
          <w:b/>
          <w:bCs/>
          <w:color w:val="000000" w:themeColor="text1"/>
          <w:sz w:val="28"/>
          <w:szCs w:val="28"/>
          <w:rtl/>
        </w:rPr>
        <w:t>تعتمد الدراسة على طريقتين رئيسيتين</w:t>
      </w:r>
      <w:r w:rsidR="002E5806" w:rsidRPr="00931B85">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الاستبيان الإلكتروني</w:t>
      </w:r>
      <w:r w:rsidRPr="00931B85">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sidRPr="00931B85">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المقابلات شبه المهيكلة</w:t>
      </w:r>
      <w:r w:rsidRPr="00931B85">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2E5806">
        <w:rPr>
          <w:rFonts w:ascii="Traditional Arabic" w:eastAsia="Times New Roman" w:hAnsi="Traditional Arabic" w:cs="Traditional Arabic"/>
          <w:color w:val="000000" w:themeColor="text1"/>
          <w:sz w:val="28"/>
          <w:szCs w:val="28"/>
        </w:rPr>
        <w:t>.</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Heading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lastRenderedPageBreak/>
        <w:t>الفصل الثاني</w:t>
      </w:r>
    </w:p>
    <w:p w14:paraId="7EF213E7" w14:textId="77777777" w:rsidR="00BD0159" w:rsidRPr="00BD0159" w:rsidRDefault="00BD0159" w:rsidP="00B2746E">
      <w:pPr>
        <w:pStyle w:val="Heading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Heading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sidRPr="00BD0159">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sidRPr="00BD0159">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sidRPr="00BD0159">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sidRPr="00BD0159">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sidRPr="00DC22F6">
        <w:rPr>
          <w:rFonts w:ascii="Traditional Arabic" w:eastAsia="Times New Roman" w:hAnsi="Traditional Arabic" w:cs="Traditional Arabic"/>
          <w:color w:val="000000" w:themeColor="text1"/>
          <w:sz w:val="28"/>
          <w:szCs w:val="28"/>
          <w:rtl/>
        </w:rPr>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sidRPr="00DC22F6">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sidRPr="00BD0159">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sidRPr="00BD0159">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Heading2"/>
        <w:bidi/>
        <w:rPr>
          <w:rFonts w:ascii="Traditional Arabic" w:hAnsi="Traditional Arabic" w:cs="Traditional Arabic"/>
          <w:b/>
          <w:bCs/>
          <w:sz w:val="36"/>
          <w:szCs w:val="36"/>
        </w:rPr>
      </w:pPr>
      <w:r w:rsidRPr="00ED3AE7">
        <w:rPr>
          <w:rFonts w:ascii="Traditional Arabic" w:hAnsi="Traditional Arabic" w:cs="Traditional Arabic"/>
          <w:b/>
          <w:bCs/>
          <w:sz w:val="36"/>
          <w:szCs w:val="36"/>
          <w:rtl/>
        </w:rPr>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ومن أبرز النظريات التي تستند إليها الدراسة</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sidRPr="00ED3AE7">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t>أولًا</w:t>
      </w:r>
      <w:r w:rsidRPr="00ED3AE7">
        <w:rPr>
          <w:rFonts w:ascii="Traditional Arabic" w:eastAsiaTheme="majorEastAsia" w:hAnsi="Traditional Arabic" w:cs="Traditional Arabic"/>
          <w:b/>
          <w:bCs/>
          <w:color w:val="2F5496" w:themeColor="accent1" w:themeShade="BF"/>
          <w:sz w:val="36"/>
          <w:szCs w:val="36"/>
        </w:rPr>
        <w:t xml:space="preserve">: </w:t>
      </w:r>
      <w:r w:rsidRPr="00ED3AE7">
        <w:rPr>
          <w:rFonts w:ascii="Traditional Arabic" w:eastAsiaTheme="majorEastAsia" w:hAnsi="Traditional Arabic" w:cs="Traditional Arabic"/>
          <w:b/>
          <w:bCs/>
          <w:color w:val="2F5496" w:themeColor="accent1" w:themeShade="BF"/>
          <w:sz w:val="36"/>
          <w:szCs w:val="36"/>
          <w:rtl/>
        </w:rPr>
        <w:t>نظرية التحول الرقمي</w:t>
      </w:r>
      <w:r w:rsidRPr="00ED3AE7">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lastRenderedPageBreak/>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ويشير</w:t>
      </w:r>
      <w:r w:rsidRPr="00ED3AE7">
        <w:rPr>
          <w:rFonts w:ascii="Traditional Arabic" w:eastAsia="Times New Roman" w:hAnsi="Traditional Arabic" w:cs="Traditional Arabic"/>
          <w:color w:val="000000" w:themeColor="text1"/>
          <w:sz w:val="28"/>
          <w:szCs w:val="28"/>
        </w:rPr>
        <w:t xml:space="preserve"> (Vial, 2019) </w:t>
      </w:r>
      <w:r w:rsidRPr="00ED3AE7">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sidRPr="00ED3AE7">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t>ثانيًا</w:t>
      </w:r>
      <w:r w:rsidRPr="00ED3AE7">
        <w:rPr>
          <w:rFonts w:ascii="Traditional Arabic" w:eastAsiaTheme="majorEastAsia" w:hAnsi="Traditional Arabic" w:cs="Traditional Arabic"/>
          <w:b/>
          <w:bCs/>
          <w:color w:val="2F5496" w:themeColor="accent1" w:themeShade="BF"/>
          <w:sz w:val="36"/>
          <w:szCs w:val="36"/>
        </w:rPr>
        <w:t xml:space="preserve">: </w:t>
      </w:r>
      <w:r w:rsidRPr="00ED3AE7">
        <w:rPr>
          <w:rFonts w:ascii="Traditional Arabic" w:eastAsiaTheme="majorEastAsia" w:hAnsi="Traditional Arabic" w:cs="Traditional Arabic"/>
          <w:b/>
          <w:bCs/>
          <w:color w:val="2F5496" w:themeColor="accent1" w:themeShade="BF"/>
          <w:sz w:val="36"/>
          <w:szCs w:val="36"/>
          <w:rtl/>
        </w:rPr>
        <w:t>النظرية المؤسسية</w:t>
      </w:r>
      <w:r w:rsidRPr="00ED3AE7">
        <w:rPr>
          <w:rFonts w:ascii="Traditional Arabic" w:eastAsiaTheme="majorEastAsia" w:hAnsi="Traditional Arabic" w:cs="Traditional Arabic"/>
          <w:b/>
          <w:bCs/>
          <w:color w:val="2F5496" w:themeColor="accent1" w:themeShade="BF"/>
          <w:sz w:val="36"/>
          <w:szCs w:val="36"/>
        </w:rPr>
        <w:t xml:space="preserve"> (Institutional Theory)</w:t>
      </w:r>
    </w:p>
    <w:p w14:paraId="58CE277F"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التنظيمية والتشريعية والاجتماعية التي تواجهها</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وتشير هذه النظرية إلى أن المؤسسات تسعى إلى تحقيق الشرعية المؤسسية من خلال التوافق مع المعايير التنظيمية والبيئية السائدة</w:t>
      </w:r>
      <w:r w:rsidRPr="00ED3AE7">
        <w:rPr>
          <w:rFonts w:ascii="Traditional Arabic" w:eastAsia="Times New Roman" w:hAnsi="Traditional Arabic" w:cs="Traditional Arabic"/>
          <w:color w:val="000000" w:themeColor="text1"/>
          <w:sz w:val="28"/>
          <w:szCs w:val="28"/>
        </w:rPr>
        <w:t xml:space="preserve"> (DiMaggio &amp; Powell, 1983). </w:t>
      </w:r>
      <w:r w:rsidRPr="00ED3AE7">
        <w:rPr>
          <w:rFonts w:ascii="Traditional Arabic" w:eastAsia="Times New Roman" w:hAnsi="Traditional Arabic" w:cs="Traditional Arabic"/>
          <w:color w:val="000000" w:themeColor="text1"/>
          <w:sz w:val="28"/>
          <w:szCs w:val="28"/>
          <w:rtl/>
        </w:rPr>
        <w:t>وفي سياق التحول الرقمي والحوكمة في قطاع المياه، تساعد هذه النظرية في تفسير توجه المؤسسات نحو تبني ممارسات الحوكمة الرقمية وتعزيز الاستدامة المؤسسية، استجابة للتوجهات العالمية والمتطلبات التنظيمية المرتبطة بإدارة الموارد والبنية التحتية الحيوية</w:t>
      </w:r>
      <w:r w:rsidRPr="00ED3AE7">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t>ثالثًا</w:t>
      </w:r>
      <w:r w:rsidRPr="00ED3AE7">
        <w:rPr>
          <w:rFonts w:ascii="Traditional Arabic" w:eastAsiaTheme="majorEastAsia" w:hAnsi="Traditional Arabic" w:cs="Traditional Arabic"/>
          <w:b/>
          <w:bCs/>
          <w:color w:val="2F5496" w:themeColor="accent1" w:themeShade="BF"/>
          <w:sz w:val="36"/>
          <w:szCs w:val="36"/>
        </w:rPr>
        <w:t xml:space="preserve">: </w:t>
      </w:r>
      <w:r w:rsidRPr="00ED3AE7">
        <w:rPr>
          <w:rFonts w:ascii="Traditional Arabic" w:eastAsiaTheme="majorEastAsia" w:hAnsi="Traditional Arabic" w:cs="Traditional Arabic"/>
          <w:b/>
          <w:bCs/>
          <w:color w:val="2F5496" w:themeColor="accent1" w:themeShade="BF"/>
          <w:sz w:val="36"/>
          <w:szCs w:val="36"/>
          <w:rtl/>
        </w:rPr>
        <w:t>نظرية الحوكمة</w:t>
      </w:r>
      <w:r w:rsidRPr="00ED3AE7">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sidRPr="00ED3AE7">
        <w:rPr>
          <w:rFonts w:ascii="Traditional Arabic" w:eastAsia="Times New Roman" w:hAnsi="Traditional Arabic" w:cs="Traditional Arabic"/>
          <w:color w:val="000000" w:themeColor="text1"/>
          <w:sz w:val="28"/>
          <w:szCs w:val="28"/>
          <w:rtl/>
        </w:rPr>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sidRPr="00ED3AE7">
        <w:rPr>
          <w:rFonts w:ascii="Traditional Arabic" w:eastAsia="Times New Roman" w:hAnsi="Traditional Arabic" w:cs="Traditional Arabic"/>
          <w:color w:val="000000" w:themeColor="text1"/>
          <w:sz w:val="28"/>
          <w:szCs w:val="28"/>
        </w:rPr>
        <w:t xml:space="preserve"> (Janssen et al., 20</w:t>
      </w:r>
      <w:r w:rsidR="000812A1">
        <w:rPr>
          <w:rFonts w:ascii="Traditional Arabic" w:eastAsia="Times New Roman" w:hAnsi="Traditional Arabic" w:cs="Traditional Arabic"/>
          <w:color w:val="000000" w:themeColor="text1"/>
          <w:sz w:val="28"/>
          <w:szCs w:val="28"/>
        </w:rPr>
        <w:t>17</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sidRPr="00ED3AE7">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sidRPr="00ED3AE7">
        <w:rPr>
          <w:rFonts w:ascii="Traditional Arabic" w:eastAsiaTheme="majorEastAsia" w:hAnsi="Traditional Arabic" w:cs="Traditional Arabic"/>
          <w:b/>
          <w:bCs/>
          <w:color w:val="2F5496" w:themeColor="accent1" w:themeShade="BF"/>
          <w:sz w:val="36"/>
          <w:szCs w:val="36"/>
          <w:rtl/>
        </w:rPr>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sidRPr="00ED3AE7">
        <w:rPr>
          <w:rFonts w:ascii="Traditional Arabic" w:eastAsia="Times New Roman" w:hAnsi="Traditional Arabic" w:cs="Traditional Arabic"/>
          <w:color w:val="000000" w:themeColor="text1"/>
          <w:sz w:val="28"/>
          <w:szCs w:val="28"/>
          <w:rtl/>
        </w:rPr>
        <w:t xml:space="preserve">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w:t>
      </w:r>
      <w:r w:rsidRPr="00ED3AE7">
        <w:rPr>
          <w:rFonts w:ascii="Traditional Arabic" w:eastAsia="Times New Roman" w:hAnsi="Traditional Arabic" w:cs="Traditional Arabic"/>
          <w:color w:val="000000" w:themeColor="text1"/>
          <w:sz w:val="28"/>
          <w:szCs w:val="28"/>
          <w:rtl/>
        </w:rPr>
        <w:lastRenderedPageBreak/>
        <w:t>سلامة الأصول وتحسين الأداء المؤسسي</w:t>
      </w:r>
      <w:r w:rsidRPr="00ED3AE7">
        <w:rPr>
          <w:rFonts w:ascii="Traditional Arabic" w:eastAsia="Times New Roman" w:hAnsi="Traditional Arabic" w:cs="Traditional Arabic"/>
          <w:color w:val="000000" w:themeColor="text1"/>
          <w:sz w:val="28"/>
          <w:szCs w:val="28"/>
        </w:rPr>
        <w:t xml:space="preserve">. </w:t>
      </w:r>
      <w:r w:rsidRPr="00ED3AE7">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sidRPr="00ED3AE7">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Heading2"/>
        <w:bidi/>
        <w:rPr>
          <w:rFonts w:ascii="Traditional Arabic" w:hAnsi="Traditional Arabic" w:cs="Traditional Arabic"/>
          <w:b/>
          <w:bCs/>
          <w:sz w:val="36"/>
          <w:szCs w:val="36"/>
          <w:rtl/>
        </w:rPr>
      </w:pPr>
      <w:r w:rsidRPr="00BD0159">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7711D">
      <w:pPr>
        <w:pStyle w:val="Heading2"/>
        <w:numPr>
          <w:ilvl w:val="0"/>
          <w:numId w:val="18"/>
        </w:numPr>
        <w:bidi/>
        <w:rPr>
          <w:rFonts w:ascii="Traditional Arabic" w:hAnsi="Traditional Arabic" w:cs="Traditional Arabic"/>
          <w:b/>
          <w:bCs/>
          <w:sz w:val="36"/>
          <w:szCs w:val="36"/>
          <w:rtl/>
        </w:rPr>
      </w:pPr>
      <w:r w:rsidRPr="00BD0159">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sidRPr="00AE77C1">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sidRPr="00AE77C1">
        <w:rPr>
          <w:rFonts w:ascii="Traditional Arabic" w:eastAsia="Times New Roman" w:hAnsi="Traditional Arabic" w:cs="Traditional Arabic"/>
          <w:color w:val="000000" w:themeColor="text1"/>
          <w:sz w:val="28"/>
          <w:szCs w:val="28"/>
        </w:rPr>
        <w:t xml:space="preserve"> (Vial, 2019). </w:t>
      </w:r>
      <w:r w:rsidRPr="00AE77C1">
        <w:rPr>
          <w:rFonts w:ascii="Traditional Arabic" w:eastAsia="Times New Roman" w:hAnsi="Traditional Arabic" w:cs="Traditional Arabic"/>
          <w:color w:val="000000" w:themeColor="text1"/>
          <w:sz w:val="28"/>
          <w:szCs w:val="28"/>
          <w:rtl/>
        </w:rPr>
        <w:t>كما يؤكد منظور التحول المؤسسي 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sidRPr="00AE77C1">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sidRPr="00AE77C1">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6F8F0F0C"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sidRPr="00AE77C1">
        <w:rPr>
          <w:rFonts w:ascii="Traditional Arabic" w:eastAsia="Times New Roman" w:hAnsi="Traditional Arabic" w:cs="Traditional Arabic"/>
          <w:color w:val="000000" w:themeColor="text1"/>
          <w:sz w:val="28"/>
          <w:szCs w:val="28"/>
        </w:rPr>
        <w:t xml:space="preserve"> (Janssen et al., 20</w:t>
      </w:r>
      <w:r w:rsidR="000812A1">
        <w:rPr>
          <w:rFonts w:ascii="Traditional Arabic" w:eastAsia="Times New Roman" w:hAnsi="Traditional Arabic" w:cs="Traditional Arabic"/>
          <w:color w:val="000000" w:themeColor="text1"/>
          <w:sz w:val="28"/>
          <w:szCs w:val="28"/>
        </w:rPr>
        <w:t>17</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sidRPr="00AE77C1">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sidRPr="00AE77C1">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sidR="00FD34FA" w:rsidRPr="00FD34FA">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sidRPr="00AE77C1">
        <w:rPr>
          <w:rtl/>
        </w:rPr>
        <w:t>يستند تفسير التحول الرقمي في هذه الدراسة إلى ثلاثة مداخل نظرية متكاملة</w:t>
      </w:r>
      <w:r w:rsidRPr="00AE77C1">
        <w:t>:</w:t>
      </w:r>
    </w:p>
    <w:p w14:paraId="79EA955B" w14:textId="77777777" w:rsidR="00AE77C1" w:rsidRPr="00AE77C1" w:rsidRDefault="00AE77C1" w:rsidP="00B7711D">
      <w:pPr>
        <w:numPr>
          <w:ilvl w:val="0"/>
          <w:numId w:val="1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الموارد والقدرات</w:t>
      </w:r>
      <w:r w:rsidRPr="00AE77C1">
        <w:rPr>
          <w:rFonts w:ascii="Traditional Arabic" w:hAnsi="Traditional Arabic" w:cs="Traditional Arabic"/>
          <w:b/>
          <w:bCs/>
          <w:sz w:val="28"/>
          <w:szCs w:val="28"/>
        </w:rPr>
        <w:t xml:space="preserve"> (RBV):</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sidRPr="00AE77C1">
        <w:rPr>
          <w:rFonts w:ascii="Traditional Arabic" w:hAnsi="Traditional Arabic" w:cs="Traditional Arabic"/>
          <w:sz w:val="28"/>
          <w:szCs w:val="28"/>
        </w:rPr>
        <w:t>.</w:t>
      </w:r>
    </w:p>
    <w:p w14:paraId="3770B8A6" w14:textId="77777777" w:rsidR="00AE77C1" w:rsidRPr="00AE77C1" w:rsidRDefault="00AE77C1" w:rsidP="00B7711D">
      <w:pPr>
        <w:numPr>
          <w:ilvl w:val="0"/>
          <w:numId w:val="1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التحول التنظيمي</w:t>
      </w:r>
      <w:r w:rsidRPr="00AE77C1">
        <w:rPr>
          <w:rFonts w:ascii="Traditional Arabic" w:hAnsi="Traditional Arabic" w:cs="Traditional Arabic"/>
          <w:b/>
          <w:bCs/>
          <w:sz w:val="28"/>
          <w:szCs w:val="28"/>
        </w:rPr>
        <w:t>:</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sidRPr="00AE77C1">
        <w:rPr>
          <w:rFonts w:ascii="Traditional Arabic" w:hAnsi="Traditional Arabic" w:cs="Traditional Arabic"/>
          <w:sz w:val="28"/>
          <w:szCs w:val="28"/>
        </w:rPr>
        <w:t>.</w:t>
      </w:r>
    </w:p>
    <w:p w14:paraId="7A68840E" w14:textId="77777777" w:rsidR="00AE77C1" w:rsidRPr="00AE77C1" w:rsidRDefault="00AE77C1" w:rsidP="00B7711D">
      <w:pPr>
        <w:numPr>
          <w:ilvl w:val="0"/>
          <w:numId w:val="1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lastRenderedPageBreak/>
        <w:t>نظرية النظم</w:t>
      </w:r>
      <w:r w:rsidRPr="00AE77C1">
        <w:rPr>
          <w:rFonts w:ascii="Traditional Arabic" w:hAnsi="Traditional Arabic" w:cs="Traditional Arabic"/>
          <w:b/>
          <w:bCs/>
          <w:sz w:val="28"/>
          <w:szCs w:val="28"/>
        </w:rPr>
        <w:t>:</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sidRPr="00AE77C1">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ويُستفاد من هذه المداخل في دعم منطق الدراسة</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sidRPr="00AE77C1">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1-4 </w:t>
      </w:r>
      <w:r w:rsidRPr="00AE77C1">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sidRPr="00AE77C1">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التقني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sidRPr="00AE77C1">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التنظيمي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sidRPr="00AE77C1">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البشري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sidRPr="00AE77C1">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الاستراتيجي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sidRPr="00AE77C1">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sidRPr="00AE77C1">
        <w:rPr>
          <w:rFonts w:ascii="Traditional Arabic" w:eastAsia="Times New Roman" w:hAnsi="Traditional Arabic" w:cs="Traditional Arabic"/>
          <w:b/>
          <w:bCs/>
          <w:color w:val="000000" w:themeColor="text1"/>
          <w:sz w:val="28"/>
          <w:szCs w:val="28"/>
        </w:rPr>
        <w:t>1-5</w:t>
      </w:r>
      <w:r w:rsidRPr="00AE77C1">
        <w:rPr>
          <w:b/>
          <w:bCs/>
        </w:rPr>
        <w:t xml:space="preserve">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sidRPr="00AE77C1">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sidRPr="00AE77C1">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1-6 </w:t>
      </w:r>
      <w:r w:rsidRPr="00AE77C1">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sidRPr="00AE77C1">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sidRPr="00AE77C1">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خلاصة المبحث</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sidRPr="00AE77C1">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B7711D">
      <w:pPr>
        <w:pStyle w:val="Heading2"/>
        <w:numPr>
          <w:ilvl w:val="0"/>
          <w:numId w:val="18"/>
        </w:numPr>
        <w:bidi/>
        <w:rPr>
          <w:rFonts w:ascii="Traditional Arabic" w:hAnsi="Traditional Arabic" w:cs="Traditional Arabic"/>
          <w:b/>
          <w:bCs/>
          <w:sz w:val="36"/>
          <w:szCs w:val="36"/>
        </w:rPr>
      </w:pPr>
      <w:r w:rsidRPr="00AE77C1">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2-1 </w:t>
      </w:r>
      <w:r w:rsidR="001D6F1F" w:rsidRPr="001D6F1F">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4FF99F39"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lastRenderedPageBreak/>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sidR="001D6F1F">
        <w:rPr>
          <w:rFonts w:ascii="Traditional Arabic" w:eastAsia="Times New Roman" w:hAnsi="Traditional Arabic" w:cs="Traditional Arabic" w:hint="cs"/>
          <w:color w:val="000000" w:themeColor="text1"/>
          <w:sz w:val="28"/>
          <w:szCs w:val="28"/>
          <w:rtl/>
        </w:rPr>
        <w:t xml:space="preserve"> (</w:t>
      </w:r>
      <w:r w:rsidR="001D6F1F">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OECD, 2020 Janssen et al., 20</w:t>
      </w:r>
      <w:r w:rsidR="008E35A9">
        <w:rPr>
          <w:rFonts w:ascii="Traditional Arabic" w:eastAsia="Times New Roman" w:hAnsi="Traditional Arabic" w:cs="Traditional Arabic"/>
          <w:color w:val="000000" w:themeColor="text1"/>
          <w:sz w:val="28"/>
          <w:szCs w:val="28"/>
        </w:rPr>
        <w:t>17</w:t>
      </w:r>
      <w:r w:rsidR="001D6F1F">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وعليه، تُعرّف الحوكمة الذكية في هذه الدراسة بأنها</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sidRPr="00AE77C1">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sidRPr="00AE77C1">
        <w:rPr>
          <w:rFonts w:ascii="Traditional Arabic" w:eastAsia="Times New Roman" w:hAnsi="Traditional Arabic" w:cs="Traditional Arabic"/>
          <w:b/>
          <w:bCs/>
          <w:color w:val="000000" w:themeColor="text1"/>
          <w:sz w:val="28"/>
          <w:szCs w:val="28"/>
        </w:rPr>
        <w:t xml:space="preserve">2-2 </w:t>
      </w:r>
      <w:r w:rsidR="001D6F1F">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sidRPr="00AE77C1">
        <w:rPr>
          <w:rFonts w:ascii="Traditional Arabic" w:eastAsia="Times New Roman" w:hAnsi="Traditional Arabic" w:cs="Traditional Arabic"/>
          <w:color w:val="000000" w:themeColor="text1"/>
          <w:sz w:val="28"/>
          <w:szCs w:val="28"/>
        </w:rPr>
        <w:t>:</w:t>
      </w:r>
    </w:p>
    <w:p w14:paraId="53DA29EB" w14:textId="7BA5A283"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تقليدية (امتثال/رقابة)</w:t>
      </w:r>
      <w:r w:rsidR="001D6F1F">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مؤسسية (أصحاب مصلحة/شفافية</w:t>
      </w:r>
      <w:r w:rsidR="001D6F1F">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رقمية (أتمتة/بيانات)</w:t>
      </w:r>
      <w:r w:rsidR="001D6F1F">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على البيانات بما يعزز المرونة وسرعة الاستجابة</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Pr>
        <w:t xml:space="preserve"> </w:t>
      </w:r>
      <w:r w:rsidR="001D6F1F">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(Mergel et al., 2019)</w:t>
      </w:r>
      <w:r w:rsidR="001D6F1F">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2-3 </w:t>
      </w:r>
      <w:r w:rsidR="00FD34FA" w:rsidRPr="00FD34FA">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الوكالة</w:t>
      </w:r>
      <w:r w:rsidRPr="00AE77C1">
        <w:rPr>
          <w:rFonts w:ascii="Traditional Arabic" w:eastAsia="Times New Roman" w:hAnsi="Traditional Arabic" w:cs="Traditional Arabic"/>
          <w:b/>
          <w:bCs/>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sidRPr="00AE77C1">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أصحاب المصلحة</w:t>
      </w:r>
      <w:r w:rsidRPr="00AE77C1">
        <w:rPr>
          <w:rFonts w:ascii="Traditional Arabic" w:eastAsia="Times New Roman" w:hAnsi="Traditional Arabic" w:cs="Traditional Arabic"/>
          <w:b/>
          <w:bCs/>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sidRPr="00AE77C1">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الحوكمة المؤسسية/الرقمي</w:t>
      </w:r>
      <w:r w:rsidR="002F5E16" w:rsidRPr="002F5E16">
        <w:rPr>
          <w:rFonts w:ascii="Traditional Arabic" w:eastAsia="Times New Roman" w:hAnsi="Traditional Arabic" w:cs="Traditional Arabic" w:hint="cs"/>
          <w:b/>
          <w:bCs/>
          <w:color w:val="000000" w:themeColor="text1"/>
          <w:sz w:val="28"/>
          <w:szCs w:val="28"/>
          <w:rtl/>
        </w:rPr>
        <w:t>ة:</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sidRPr="00AE77C1">
        <w:rPr>
          <w:rFonts w:ascii="Traditional Arabic" w:eastAsia="Times New Roman" w:hAnsi="Traditional Arabic" w:cs="Traditional Arabic"/>
          <w:color w:val="000000" w:themeColor="text1"/>
          <w:sz w:val="28"/>
          <w:szCs w:val="28"/>
        </w:rPr>
        <w:t xml:space="preserve"> (OECD, 2020)</w:t>
      </w:r>
      <w:r w:rsidR="002F5E16">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2-4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sidRPr="00AE77C1">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تعزيز الامتثال والمعايير،</w:t>
      </w:r>
    </w:p>
    <w:p w14:paraId="2C0F6B2D"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رفع موثوقية القرار الاستثماري والتشغيلي</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sidRPr="00AE77C1">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sidRPr="00AE77C1">
        <w:rPr>
          <w:rFonts w:ascii="Traditional Arabic" w:eastAsia="Times New Roman" w:hAnsi="Traditional Arabic" w:cs="Traditional Arabic"/>
          <w:b/>
          <w:bCs/>
          <w:color w:val="000000" w:themeColor="text1"/>
          <w:sz w:val="28"/>
          <w:szCs w:val="28"/>
        </w:rPr>
        <w:t xml:space="preserve">2-5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sidRPr="00AE77C1">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الامتثال والمعايير التنظيمية</w:t>
      </w:r>
      <w:r w:rsidRPr="00AE77C1">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2-6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sidRPr="00AE77C1">
        <w:rPr>
          <w:rFonts w:ascii="Traditional Arabic" w:eastAsia="Times New Roman" w:hAnsi="Traditional Arabic" w:cs="Traditional Arabic"/>
          <w:color w:val="000000" w:themeColor="text1"/>
          <w:sz w:val="28"/>
          <w:szCs w:val="28"/>
        </w:rPr>
        <w:t xml:space="preserve"> (Janssen et al., 20</w:t>
      </w:r>
      <w:r w:rsidR="008E35A9">
        <w:rPr>
          <w:rFonts w:ascii="Traditional Arabic" w:eastAsia="Times New Roman" w:hAnsi="Traditional Arabic" w:cs="Traditional Arabic"/>
          <w:color w:val="000000" w:themeColor="text1"/>
          <w:sz w:val="28"/>
          <w:szCs w:val="28"/>
        </w:rPr>
        <w:t>17</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sidRPr="00AE77C1">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خلاصة المبحث</w:t>
      </w:r>
      <w:r w:rsidRPr="00AE77C1">
        <w:rPr>
          <w:rFonts w:ascii="Traditional Arabic" w:eastAsia="Times New Roman" w:hAnsi="Traditional Arabic" w:cs="Traditional Arabic"/>
          <w:color w:val="000000" w:themeColor="text1"/>
          <w:sz w:val="28"/>
          <w:szCs w:val="28"/>
        </w:rPr>
        <w:t xml:space="preserve"> </w:t>
      </w:r>
      <w:r w:rsidR="002F5E16" w:rsidRPr="002F5E16">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sidRPr="00AE77C1">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B7711D">
      <w:pPr>
        <w:pStyle w:val="Heading2"/>
        <w:numPr>
          <w:ilvl w:val="1"/>
          <w:numId w:val="30"/>
        </w:numPr>
        <w:bidi/>
      </w:pPr>
      <w:r w:rsidRPr="00AE77C1">
        <w:rPr>
          <w:rtl/>
        </w:rPr>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1</w:t>
      </w:r>
      <w:r>
        <w:rPr>
          <w:rFonts w:ascii="Traditional Arabic" w:eastAsia="Times New Roman" w:hAnsi="Traditional Arabic" w:cs="Traditional Arabic" w:hint="cs"/>
          <w:b/>
          <w:bCs/>
          <w:color w:val="000000" w:themeColor="text1"/>
          <w:sz w:val="28"/>
          <w:szCs w:val="28"/>
          <w:rtl/>
        </w:rPr>
        <w:t xml:space="preserve"> </w:t>
      </w:r>
      <w:r w:rsidR="00AE77C1" w:rsidRPr="00FE662A">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sidRPr="00AE77C1">
        <w:rPr>
          <w:rFonts w:ascii="Traditional Arabic" w:eastAsia="Times New Roman" w:hAnsi="Traditional Arabic" w:cs="Traditional Arabic"/>
          <w:color w:val="000000" w:themeColor="text1"/>
          <w:sz w:val="28"/>
          <w:szCs w:val="28"/>
        </w:rPr>
        <w:t>”</w:t>
      </w:r>
      <w:r w:rsidR="002F5E16">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(Elkington, 1997) </w:t>
      </w:r>
      <w:r w:rsidRPr="00AE77C1">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sidRPr="00AE77C1">
        <w:rPr>
          <w:rFonts w:ascii="Traditional Arabic" w:eastAsia="Times New Roman" w:hAnsi="Traditional Arabic" w:cs="Traditional Arabic"/>
          <w:color w:val="000000" w:themeColor="text1"/>
          <w:sz w:val="28"/>
          <w:szCs w:val="28"/>
        </w:rPr>
        <w:t xml:space="preserve"> (Porter &amp; Kramer, 2011)</w:t>
      </w:r>
      <w:r w:rsidR="002F5E16">
        <w:rPr>
          <w:rFonts w:ascii="Traditional Arabic" w:eastAsia="Times New Roman" w:hAnsi="Traditional Arabic" w:cs="Traditional Arabic"/>
          <w:color w:val="000000" w:themeColor="text1"/>
          <w:sz w:val="28"/>
          <w:szCs w:val="28"/>
        </w:rPr>
        <w:t xml:space="preserve"> </w:t>
      </w:r>
      <w:r w:rsidR="002F5E16">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sidRPr="00AE77C1">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3-2 </w:t>
      </w:r>
      <w:r w:rsidR="00AE77C1" w:rsidRPr="00AE77C1">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lastRenderedPageBreak/>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3</w:t>
      </w:r>
      <w:r w:rsidRPr="00AE77C1">
        <w:rPr>
          <w:rFonts w:ascii="Traditional Arabic" w:eastAsia="Times New Roman" w:hAnsi="Traditional Arabic" w:cs="Traditional Arabic"/>
          <w:b/>
          <w:bCs/>
          <w:color w:val="000000" w:themeColor="text1"/>
          <w:sz w:val="28"/>
          <w:szCs w:val="28"/>
        </w:rPr>
        <w:t xml:space="preserve"> </w:t>
      </w:r>
      <w:r>
        <w:rPr>
          <w:rFonts w:ascii="Traditional Arabic" w:eastAsia="Times New Roman" w:hAnsi="Traditional Arabic" w:cs="Traditional Arabic" w:hint="cs"/>
          <w:b/>
          <w:bCs/>
          <w:color w:val="000000" w:themeColor="text1"/>
          <w:sz w:val="28"/>
          <w:szCs w:val="28"/>
          <w:rtl/>
        </w:rPr>
        <w:t xml:space="preserve"> </w:t>
      </w:r>
      <w:r w:rsidRPr="00FE662A">
        <w:rPr>
          <w:rFonts w:ascii="Traditional Arabic" w:eastAsia="Times New Roman" w:hAnsi="Traditional Arabic" w:cs="Traditional Arabic"/>
          <w:b/>
          <w:bCs/>
          <w:color w:val="000000" w:themeColor="text1"/>
          <w:sz w:val="28"/>
          <w:szCs w:val="28"/>
          <w:rtl/>
        </w:rPr>
        <w:t>نظرية أصحاب المصلحة (</w:t>
      </w:r>
      <w:r w:rsidRPr="00FE662A">
        <w:rPr>
          <w:rFonts w:ascii="Traditional Arabic" w:eastAsia="Times New Roman" w:hAnsi="Traditional Arabic" w:cs="Traditional Arabic"/>
          <w:b/>
          <w:bCs/>
          <w:color w:val="000000" w:themeColor="text1"/>
          <w:sz w:val="28"/>
          <w:szCs w:val="28"/>
        </w:rPr>
        <w:t>Stakeholder Theory</w:t>
      </w:r>
      <w:r w:rsidRPr="00FE662A">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4</w:t>
      </w:r>
      <w:r w:rsidRPr="00AE77C1">
        <w:rPr>
          <w:rFonts w:ascii="Traditional Arabic" w:eastAsia="Times New Roman" w:hAnsi="Traditional Arabic" w:cs="Traditional Arabic"/>
          <w:b/>
          <w:bCs/>
          <w:color w:val="000000" w:themeColor="text1"/>
          <w:sz w:val="28"/>
          <w:szCs w:val="28"/>
        </w:rPr>
        <w:t xml:space="preserve"> </w:t>
      </w:r>
      <w:r>
        <w:rPr>
          <w:rFonts w:hint="cs"/>
          <w:rtl/>
        </w:rPr>
        <w:t xml:space="preserve"> </w:t>
      </w:r>
      <w:r w:rsidRPr="00FE662A">
        <w:rPr>
          <w:rFonts w:ascii="Traditional Arabic" w:eastAsia="Times New Roman" w:hAnsi="Traditional Arabic" w:cs="Traditional Arabic"/>
          <w:b/>
          <w:bCs/>
          <w:color w:val="000000" w:themeColor="text1"/>
          <w:sz w:val="28"/>
          <w:szCs w:val="28"/>
          <w:rtl/>
        </w:rPr>
        <w:t>نظرية التنمية المستدامة (</w:t>
      </w:r>
      <w:r w:rsidRPr="00FE662A">
        <w:rPr>
          <w:rFonts w:ascii="Traditional Arabic" w:eastAsia="Times New Roman" w:hAnsi="Traditional Arabic" w:cs="Traditional Arabic"/>
          <w:b/>
          <w:bCs/>
          <w:color w:val="000000" w:themeColor="text1"/>
          <w:sz w:val="28"/>
          <w:szCs w:val="28"/>
        </w:rPr>
        <w:t>Sustainable Development Theory</w:t>
      </w:r>
      <w:r w:rsidRPr="00FE662A">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3-</w:t>
      </w:r>
      <w:r>
        <w:rPr>
          <w:rFonts w:ascii="Traditional Arabic" w:eastAsia="Times New Roman" w:hAnsi="Traditional Arabic" w:cs="Traditional Arabic"/>
          <w:b/>
          <w:bCs/>
          <w:color w:val="000000" w:themeColor="text1"/>
          <w:sz w:val="28"/>
          <w:szCs w:val="28"/>
        </w:rPr>
        <w:t>5</w:t>
      </w:r>
      <w:r w:rsidRPr="00AE77C1">
        <w:rPr>
          <w:rFonts w:ascii="Traditional Arabic" w:eastAsia="Times New Roman" w:hAnsi="Traditional Arabic" w:cs="Traditional Arabic"/>
          <w:b/>
          <w:bCs/>
          <w:color w:val="000000" w:themeColor="text1"/>
          <w:sz w:val="28"/>
          <w:szCs w:val="28"/>
        </w:rPr>
        <w:t xml:space="preserve"> </w:t>
      </w:r>
      <w:r>
        <w:rPr>
          <w:rFonts w:ascii="Traditional Arabic" w:eastAsia="Times New Roman" w:hAnsi="Traditional Arabic" w:cs="Traditional Arabic" w:hint="cs"/>
          <w:b/>
          <w:bCs/>
          <w:color w:val="000000" w:themeColor="text1"/>
          <w:sz w:val="28"/>
          <w:szCs w:val="28"/>
          <w:rtl/>
        </w:rPr>
        <w:t xml:space="preserve"> </w:t>
      </w:r>
      <w:r w:rsidRPr="00FE662A">
        <w:rPr>
          <w:rFonts w:ascii="Traditional Arabic" w:eastAsia="Times New Roman" w:hAnsi="Traditional Arabic" w:cs="Traditional Arabic"/>
          <w:b/>
          <w:bCs/>
          <w:color w:val="000000" w:themeColor="text1"/>
          <w:sz w:val="28"/>
          <w:szCs w:val="28"/>
          <w:rtl/>
        </w:rPr>
        <w:t>نظرية الاقتصاد الدائري (</w:t>
      </w:r>
      <w:r w:rsidRPr="00FE662A">
        <w:rPr>
          <w:rFonts w:ascii="Traditional Arabic" w:eastAsia="Times New Roman" w:hAnsi="Traditional Arabic" w:cs="Traditional Arabic"/>
          <w:b/>
          <w:bCs/>
          <w:color w:val="000000" w:themeColor="text1"/>
          <w:sz w:val="28"/>
          <w:szCs w:val="28"/>
        </w:rPr>
        <w:t>Circular Economy</w:t>
      </w:r>
      <w:r w:rsidRPr="00FE662A">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sidRPr="00FE662A">
        <w:rPr>
          <w:rFonts w:ascii="Traditional Arabic" w:eastAsia="Times New Roman" w:hAnsi="Traditional Arabic" w:cs="Traditional Arabic"/>
          <w:color w:val="000000" w:themeColor="text1"/>
          <w:sz w:val="28"/>
          <w:szCs w:val="28"/>
          <w:rtl/>
        </w:rPr>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sidRPr="00AE77C1">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sidRPr="00AE77C1">
        <w:rPr>
          <w:rFonts w:ascii="Traditional Arabic" w:eastAsia="Times New Roman" w:hAnsi="Traditional Arabic" w:cs="Traditional Arabic"/>
          <w:b/>
          <w:bCs/>
          <w:color w:val="000000" w:themeColor="text1"/>
          <w:sz w:val="28"/>
          <w:szCs w:val="28"/>
        </w:rPr>
        <w:t xml:space="preserve">4-1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تُعرِّف مواصفة</w:t>
      </w:r>
      <w:r w:rsidRPr="00AE77C1">
        <w:rPr>
          <w:rFonts w:ascii="Traditional Arabic" w:eastAsia="Times New Roman" w:hAnsi="Traditional Arabic" w:cs="Traditional Arabic"/>
          <w:color w:val="000000" w:themeColor="text1"/>
          <w:sz w:val="28"/>
          <w:szCs w:val="28"/>
        </w:rPr>
        <w:t xml:space="preserve"> ISO 55000 </w:t>
      </w:r>
      <w:r w:rsidRPr="00AE77C1">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sidRPr="00AE77C1">
        <w:rPr>
          <w:rFonts w:ascii="Traditional Arabic" w:eastAsia="Times New Roman" w:hAnsi="Traditional Arabic" w:cs="Traditional Arabic"/>
          <w:color w:val="000000" w:themeColor="text1"/>
          <w:sz w:val="28"/>
          <w:szCs w:val="28"/>
        </w:rPr>
        <w:t xml:space="preserve"> (ISO 55000, 2014) </w:t>
      </w:r>
      <w:r w:rsidR="003D0407">
        <w:rPr>
          <w:rFonts w:ascii="Traditional Arabic" w:eastAsia="Times New Roman" w:hAnsi="Traditional Arabic" w:cs="Traditional Arabic" w:hint="cs"/>
          <w:color w:val="000000" w:themeColor="text1"/>
          <w:sz w:val="28"/>
          <w:szCs w:val="28"/>
          <w:rtl/>
        </w:rPr>
        <w:t xml:space="preserve"> ، </w:t>
      </w:r>
      <w:r w:rsidRPr="00AE77C1">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sidRPr="00AE77C1">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sidRPr="00AE77C1">
        <w:rPr>
          <w:rFonts w:ascii="Traditional Arabic" w:eastAsia="Times New Roman" w:hAnsi="Traditional Arabic" w:cs="Traditional Arabic"/>
          <w:color w:val="000000" w:themeColor="text1"/>
          <w:sz w:val="28"/>
          <w:szCs w:val="28"/>
        </w:rPr>
        <w:t xml:space="preserve"> (Fuller et al., 2020)</w:t>
      </w:r>
      <w:r w:rsidR="003D0407">
        <w:rPr>
          <w:rFonts w:ascii="Traditional Arabic" w:eastAsia="Times New Roman" w:hAnsi="Traditional Arabic" w:cs="Traditional Arabic"/>
          <w:color w:val="000000" w:themeColor="text1"/>
          <w:sz w:val="28"/>
          <w:szCs w:val="28"/>
        </w:rPr>
        <w:t xml:space="preserve"> </w:t>
      </w:r>
      <w:r w:rsidR="003D0407">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4-2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B7711D">
      <w:pPr>
        <w:numPr>
          <w:ilvl w:val="0"/>
          <w:numId w:val="15"/>
        </w:numPr>
        <w:bidi/>
        <w:spacing w:line="276" w:lineRule="auto"/>
      </w:pPr>
      <w:r w:rsidRPr="00AE77C1">
        <w:rPr>
          <w:rtl/>
        </w:rPr>
        <w:t>الموثوقية التشغيلية،</w:t>
      </w:r>
    </w:p>
    <w:p w14:paraId="0A3746A6" w14:textId="77777777" w:rsidR="003D0407" w:rsidRDefault="00AE77C1" w:rsidP="00B7711D">
      <w:pPr>
        <w:numPr>
          <w:ilvl w:val="0"/>
          <w:numId w:val="15"/>
        </w:numPr>
        <w:bidi/>
        <w:spacing w:line="276" w:lineRule="auto"/>
      </w:pPr>
      <w:r w:rsidRPr="00AE77C1">
        <w:rPr>
          <w:rtl/>
        </w:rPr>
        <w:t>الجاهزية واستمرارية الخدمة</w:t>
      </w:r>
    </w:p>
    <w:p w14:paraId="773ED950" w14:textId="04E70637" w:rsidR="00AE77C1" w:rsidRPr="00AE77C1" w:rsidRDefault="00AE77C1" w:rsidP="00B7711D">
      <w:pPr>
        <w:numPr>
          <w:ilvl w:val="0"/>
          <w:numId w:val="15"/>
        </w:numPr>
        <w:bidi/>
        <w:spacing w:line="276" w:lineRule="auto"/>
      </w:pPr>
      <w:r w:rsidRPr="00AE77C1">
        <w:rPr>
          <w:rtl/>
        </w:rPr>
        <w:t>إدارة المخاطر التشغيلية</w:t>
      </w:r>
    </w:p>
    <w:p w14:paraId="2B01F37F" w14:textId="6D7A5DE5" w:rsidR="003D0407" w:rsidRDefault="00AE77C1" w:rsidP="00B7711D">
      <w:pPr>
        <w:numPr>
          <w:ilvl w:val="0"/>
          <w:numId w:val="15"/>
        </w:numPr>
        <w:bidi/>
        <w:spacing w:line="276" w:lineRule="auto"/>
      </w:pPr>
      <w:r w:rsidRPr="00AE77C1">
        <w:rPr>
          <w:rtl/>
        </w:rPr>
        <w:t>كفاءة الصيانة الوقائية</w:t>
      </w:r>
      <w:r w:rsidR="003D0407">
        <w:rPr>
          <w:rFonts w:hint="cs"/>
          <w:rtl/>
        </w:rPr>
        <w:t xml:space="preserve"> </w:t>
      </w:r>
      <w:r w:rsidRPr="00AE77C1">
        <w:rPr>
          <w:rtl/>
        </w:rPr>
        <w:t>/</w:t>
      </w:r>
      <w:r w:rsidR="003D0407">
        <w:rPr>
          <w:rFonts w:hint="cs"/>
          <w:rtl/>
        </w:rPr>
        <w:t xml:space="preserve"> </w:t>
      </w:r>
      <w:r w:rsidRPr="00AE77C1">
        <w:rPr>
          <w:rtl/>
        </w:rPr>
        <w:t>التنبؤية</w:t>
      </w:r>
    </w:p>
    <w:p w14:paraId="4123DAE2" w14:textId="7B0C8973" w:rsidR="00AE77C1" w:rsidRPr="00AE77C1" w:rsidRDefault="00AE77C1" w:rsidP="00B7711D">
      <w:pPr>
        <w:numPr>
          <w:ilvl w:val="0"/>
          <w:numId w:val="15"/>
        </w:numPr>
        <w:bidi/>
        <w:spacing w:line="276" w:lineRule="auto"/>
      </w:pPr>
      <w:r w:rsidRPr="00AE77C1">
        <w:rPr>
          <w:rtl/>
        </w:rPr>
        <w:t>تقليل الفاقد المائي</w:t>
      </w:r>
      <w:r w:rsidRPr="00AE77C1">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lastRenderedPageBreak/>
        <w:t xml:space="preserve">4-3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sidRPr="00AE77C1">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sidRPr="00AE77C1">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5-1 </w:t>
      </w:r>
      <w:r w:rsidR="00AE77C1" w:rsidRPr="00AE77C1">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sidRPr="00AE77C1">
        <w:rPr>
          <w:rFonts w:ascii="Traditional Arabic" w:eastAsia="Times New Roman" w:hAnsi="Traditional Arabic" w:cs="Traditional Arabic"/>
          <w:color w:val="000000" w:themeColor="text1"/>
          <w:sz w:val="28"/>
          <w:szCs w:val="28"/>
        </w:rPr>
        <w:t xml:space="preserve"> (Kaplan &amp; Norton, 1996). </w:t>
      </w:r>
      <w:r w:rsidRPr="00AE77C1">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sidRPr="00AE77C1">
        <w:rPr>
          <w:rFonts w:ascii="Traditional Arabic" w:eastAsia="Times New Roman" w:hAnsi="Traditional Arabic" w:cs="Traditional Arabic"/>
          <w:color w:val="000000" w:themeColor="text1"/>
          <w:sz w:val="28"/>
          <w:szCs w:val="28"/>
        </w:rPr>
        <w:t xml:space="preserve"> (Richard et al., 2009).</w:t>
      </w:r>
      <w:r w:rsidR="003D0407">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5-2 </w:t>
      </w:r>
      <w:r w:rsidR="00AE77C1" w:rsidRPr="00AE77C1">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جودة الخدمة واستمراريتها</w:t>
      </w:r>
    </w:p>
    <w:p w14:paraId="7C79F5DC" w14:textId="754AC99E"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القدرة على إدارة المخاطر</w:t>
      </w:r>
      <w:r w:rsidRPr="00AE77C1">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sidRPr="00AE77C1">
        <w:rPr>
          <w:rFonts w:ascii="Traditional Arabic" w:eastAsia="Times New Roman" w:hAnsi="Traditional Arabic" w:cs="Traditional Arabic"/>
          <w:b/>
          <w:bCs/>
          <w:color w:val="000000" w:themeColor="text1"/>
          <w:sz w:val="28"/>
          <w:szCs w:val="28"/>
        </w:rPr>
        <w:t xml:space="preserve">5-3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sidRPr="00AE77C1">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التحول الرقمي والاستدامة كمدخلات</w:t>
      </w:r>
    </w:p>
    <w:p w14:paraId="14819C32" w14:textId="2B0E54A0"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سلامة الأصول كمخرج تشغيلي وسيط يقود للأداء</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sidRPr="00AE77C1">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 xml:space="preserve">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w:t>
      </w:r>
      <w:r w:rsidRPr="00AE77C1">
        <w:rPr>
          <w:rFonts w:ascii="Traditional Arabic" w:eastAsia="Times New Roman" w:hAnsi="Traditional Arabic" w:cs="Traditional Arabic"/>
          <w:color w:val="000000" w:themeColor="text1"/>
          <w:sz w:val="28"/>
          <w:szCs w:val="28"/>
          <w:rtl/>
        </w:rPr>
        <w:lastRenderedPageBreak/>
        <w:t>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sidRPr="00AE77C1">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Heading2"/>
        <w:bidi/>
        <w:rPr>
          <w:rFonts w:ascii="Traditional Arabic" w:hAnsi="Traditional Arabic" w:cs="Traditional Arabic"/>
          <w:b/>
          <w:bCs/>
          <w:sz w:val="36"/>
          <w:szCs w:val="36"/>
          <w:rtl/>
        </w:rPr>
      </w:pPr>
      <w:r w:rsidRPr="00E12E59">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sidRPr="00E12E59">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sidRPr="004D47BA">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sidR="00134549" w:rsidRPr="00D21B14">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sidR="00134549" w:rsidRPr="00D21B14">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sidRPr="00D21B14">
        <w:rPr>
          <w:rFonts w:ascii="Traditional Arabic" w:hAnsi="Traditional Arabic" w:cs="Traditional Arabic"/>
          <w:sz w:val="28"/>
          <w:szCs w:val="28"/>
        </w:rPr>
        <w:t xml:space="preserve"> (Thematic Comparative Analysis)</w:t>
      </w:r>
      <w:r w:rsidRPr="00D21B14">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sidRPr="00D21B14">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sidRPr="00D21B14">
        <w:rPr>
          <w:rFonts w:ascii="Traditional Arabic" w:hAnsi="Traditional Arabic" w:cs="Traditional Arabic"/>
          <w:sz w:val="28"/>
          <w:szCs w:val="28"/>
          <w:rtl/>
        </w:rPr>
        <w:t>وقد تم تنظيم الدراسات السابقة وفق خمسة محاور رئيسية تمثل أبعاد الدراسة، وهي</w:t>
      </w:r>
      <w:r w:rsidRPr="00D21B14">
        <w:rPr>
          <w:rFonts w:ascii="Traditional Arabic" w:hAnsi="Traditional Arabic" w:cs="Traditional Arabic"/>
          <w:sz w:val="28"/>
          <w:szCs w:val="28"/>
        </w:rPr>
        <w:t>:</w:t>
      </w:r>
    </w:p>
    <w:p w14:paraId="016D6E7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Pr>
        <w:t xml:space="preserve"> </w:t>
      </w:r>
      <w:r w:rsidRPr="00D21B14">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Pr>
        <w:t xml:space="preserve"> </w:t>
      </w:r>
      <w:r w:rsidRPr="00D21B14">
        <w:rPr>
          <w:rFonts w:ascii="Traditional Arabic" w:hAnsi="Traditional Arabic" w:cs="Traditional Arabic"/>
          <w:sz w:val="28"/>
          <w:szCs w:val="28"/>
          <w:rtl/>
        </w:rPr>
        <w:t>إدارة أصول البنية التحتية المائية،</w:t>
      </w:r>
    </w:p>
    <w:p w14:paraId="69FABF6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التحول الرقمي في قطاع المياه،</w:t>
      </w:r>
    </w:p>
    <w:p w14:paraId="538E657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الاستدامة في إدارة الموارد المائية،</w:t>
      </w:r>
    </w:p>
    <w:p w14:paraId="18D7F1F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ListParagraph"/>
        <w:bidi/>
        <w:jc w:val="both"/>
        <w:rPr>
          <w:rFonts w:ascii="Traditional Arabic" w:hAnsi="Traditional Arabic" w:cs="Traditional Arabic"/>
          <w:sz w:val="28"/>
          <w:szCs w:val="28"/>
          <w:rtl/>
        </w:rPr>
      </w:pPr>
      <w:r w:rsidRPr="00D21B14">
        <w:rPr>
          <w:rFonts w:ascii="Traditional Arabic" w:hAnsi="Traditional Arabic" w:cs="Traditional Arabic"/>
          <w:sz w:val="28"/>
          <w:szCs w:val="28"/>
          <w:rtl/>
        </w:rPr>
        <w:t>إضافة إلى (6) الدراسات المرتبطة بالسياق المؤسسي في المملكة العربية السعودية</w:t>
      </w:r>
      <w:r w:rsidRPr="00D21B14">
        <w:rPr>
          <w:rFonts w:ascii="Traditional Arabic" w:hAnsi="Traditional Arabic" w:cs="Traditional Arabic"/>
          <w:sz w:val="28"/>
          <w:szCs w:val="28"/>
        </w:rPr>
        <w:t>.</w:t>
      </w:r>
    </w:p>
    <w:p w14:paraId="11D19E22" w14:textId="77777777" w:rsidR="00134549" w:rsidRDefault="00134549" w:rsidP="00134549">
      <w:pPr>
        <w:pStyle w:val="ListParagraph"/>
        <w:jc w:val="both"/>
        <w:rPr>
          <w:rFonts w:ascii="Traditional Arabic" w:hAnsi="Traditional Arabic" w:cs="Traditional Arabic"/>
          <w:sz w:val="28"/>
          <w:szCs w:val="28"/>
          <w:rtl/>
        </w:rPr>
      </w:pPr>
    </w:p>
    <w:p w14:paraId="31AC26BD" w14:textId="77777777" w:rsidR="00134549" w:rsidRPr="00027E2A" w:rsidRDefault="00134549" w:rsidP="00134549">
      <w:pPr>
        <w:pStyle w:val="ListParagraph"/>
        <w:bidi/>
        <w:spacing w:line="278" w:lineRule="auto"/>
        <w:ind w:left="0"/>
        <w:jc w:val="both"/>
        <w:rPr>
          <w:rFonts w:ascii="Traditional Arabic" w:hAnsi="Traditional Arabic" w:cs="Traditional Arabic"/>
          <w:sz w:val="28"/>
          <w:szCs w:val="28"/>
        </w:rPr>
      </w:pPr>
      <w:r w:rsidRPr="004502CF">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ListParagraph"/>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(Meijer &amp; Bolívar, 2016) </w:t>
      </w:r>
      <w:r w:rsidR="00027E2A">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"Governing the Smart City: A Review of the Literature on Smart Urban Governance" </w:t>
      </w:r>
      <w:r w:rsidRPr="00027E2A">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 xml:space="preserve">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w:t>
      </w:r>
      <w:r w:rsidR="00FA0E7C" w:rsidRPr="00FA0E7C">
        <w:rPr>
          <w:rFonts w:ascii="Traditional Arabic" w:hAnsi="Traditional Arabic" w:cs="Traditional Arabic"/>
          <w:sz w:val="28"/>
          <w:szCs w:val="28"/>
          <w:rtl/>
        </w:rPr>
        <w:lastRenderedPageBreak/>
        <w:t>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"What Makes a City Smart? Identifying Core Components and Proposing an Integrative Conceptualization" </w:t>
      </w:r>
      <w:r w:rsidRPr="00027E2A">
        <w:rPr>
          <w:rFonts w:ascii="Traditional Arabic" w:hAnsi="Traditional Arabic" w:cs="Traditional Arabic" w:hint="cs"/>
          <w:sz w:val="28"/>
          <w:szCs w:val="28"/>
          <w:rtl/>
        </w:rPr>
        <w:t xml:space="preserve"> </w:t>
      </w:r>
      <w:r w:rsidR="00FA0E7C" w:rsidRPr="00027E2A">
        <w:rPr>
          <w:rFonts w:ascii="Traditional Arabic" w:hAnsi="Traditional Arabic" w:cs="Traditional Arabic"/>
          <w:sz w:val="28"/>
          <w:szCs w:val="28"/>
          <w:rtl/>
        </w:rPr>
        <w:t>هدفت</w:t>
      </w:r>
      <w:r w:rsidR="00FA0E7C" w:rsidRPr="00FA0E7C">
        <w:rPr>
          <w:rFonts w:ascii="Traditional Arabic" w:hAnsi="Traditional Arabic" w:cs="Traditional Arabic"/>
          <w:sz w:val="28"/>
          <w:szCs w:val="28"/>
          <w:rtl/>
        </w:rPr>
        <w:t xml:space="preserve">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ListParagraph"/>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ListParagraph"/>
        <w:bidi/>
        <w:spacing w:line="278" w:lineRule="auto"/>
        <w:ind w:left="0"/>
        <w:jc w:val="both"/>
        <w:rPr>
          <w:rFonts w:ascii="Traditional Arabic" w:hAnsi="Traditional Arabic" w:cs="Traditional Arabic"/>
          <w:sz w:val="28"/>
          <w:szCs w:val="28"/>
          <w:rtl/>
        </w:rPr>
      </w:pPr>
      <w:r w:rsidRPr="00557CFB">
        <w:rPr>
          <w:rFonts w:ascii="Traditional Arabic" w:hAnsi="Traditional Arabic" w:cs="Traditional Arabic"/>
          <w:sz w:val="28"/>
          <w:szCs w:val="28"/>
          <w:rtl/>
        </w:rPr>
        <w:t>تناولت دراسة</w:t>
      </w:r>
      <w:r w:rsidRPr="00557CFB">
        <w:rPr>
          <w:rFonts w:ascii="Traditional Arabic" w:hAnsi="Traditional Arabic" w:cs="Traditional Arabic"/>
          <w:sz w:val="28"/>
          <w:szCs w:val="28"/>
        </w:rPr>
        <w:t xml:space="preserve"> (Almulhim &amp; Yigitcanlar, 2025) </w:t>
      </w:r>
      <w:r w:rsidRPr="00557CFB">
        <w:rPr>
          <w:rFonts w:ascii="Traditional Arabic" w:hAnsi="Traditional Arabic" w:cs="Traditional Arabic"/>
          <w:sz w:val="28"/>
          <w:szCs w:val="28"/>
          <w:rtl/>
        </w:rPr>
        <w:t>بعنوان</w:t>
      </w:r>
      <w:r w:rsidRPr="00557CFB">
        <w:rPr>
          <w:rFonts w:ascii="Traditional Arabic" w:hAnsi="Traditional Arabic" w:cs="Traditional Arabic"/>
          <w:sz w:val="28"/>
          <w:szCs w:val="28"/>
        </w:rPr>
        <w:t xml:space="preserve"> “Understanding Smart Governance of Sustainable Cities: A Review and Multidimensional Framework” </w:t>
      </w:r>
      <w:r w:rsidR="002D68B0">
        <w:rPr>
          <w:rFonts w:ascii="Traditional Arabic" w:hAnsi="Traditional Arabic" w:cs="Traditional Arabic" w:hint="cs"/>
          <w:sz w:val="28"/>
          <w:szCs w:val="28"/>
          <w:rtl/>
        </w:rPr>
        <w:t xml:space="preserve"> </w:t>
      </w:r>
      <w:r w:rsidRPr="00557CFB">
        <w:rPr>
          <w:rFonts w:ascii="Traditional Arabic" w:hAnsi="Traditional Arabic" w:cs="Traditional Arabic"/>
          <w:sz w:val="28"/>
          <w:szCs w:val="28"/>
          <w:rtl/>
        </w:rPr>
        <w:t>مفهوم الحوكمة الذكية في سياق المدن المستدامة، حيث هدفت إلى تقديم مراجعة علمية شاملة وصياغة إطار متعدد الأبعاد يوضح مكونات الحوكمة الذكية 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sidRPr="00557CFB">
        <w:rPr>
          <w:rFonts w:ascii="Traditional Arabic" w:hAnsi="Traditional Arabic" w:cs="Traditional Arabic"/>
          <w:sz w:val="28"/>
          <w:szCs w:val="28"/>
        </w:rPr>
        <w:t>.</w:t>
      </w:r>
    </w:p>
    <w:p w14:paraId="7B8280B9" w14:textId="783BFB85" w:rsidR="00557CFB" w:rsidRPr="002D68B0" w:rsidRDefault="00557CFB" w:rsidP="002D68B0">
      <w:pPr>
        <w:pStyle w:val="ListParagraph"/>
        <w:bidi/>
        <w:spacing w:line="278" w:lineRule="auto"/>
        <w:ind w:left="0"/>
        <w:jc w:val="both"/>
        <w:rPr>
          <w:rFonts w:ascii="Traditional Arabic" w:hAnsi="Traditional Arabic" w:cs="Traditional Arabic"/>
          <w:sz w:val="28"/>
          <w:szCs w:val="28"/>
          <w:rtl/>
        </w:rPr>
      </w:pPr>
      <w:r w:rsidRPr="00557CFB">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sidRPr="00557CFB">
        <w:rPr>
          <w:rFonts w:ascii="Traditional Arabic" w:hAnsi="Traditional Arabic" w:cs="Traditional Arabic"/>
          <w:sz w:val="28"/>
          <w:szCs w:val="28"/>
        </w:rPr>
        <w:t>.</w:t>
      </w:r>
    </w:p>
    <w:p w14:paraId="6E6EB9DB" w14:textId="77777777" w:rsidR="00557CFB" w:rsidRDefault="00557CFB" w:rsidP="002D68B0">
      <w:pPr>
        <w:pStyle w:val="ListParagraph"/>
        <w:bidi/>
        <w:spacing w:line="278" w:lineRule="auto"/>
        <w:ind w:left="0"/>
        <w:jc w:val="both"/>
        <w:rPr>
          <w:rFonts w:ascii="Traditional Arabic" w:hAnsi="Traditional Arabic" w:cs="Traditional Arabic"/>
          <w:sz w:val="28"/>
          <w:szCs w:val="28"/>
          <w:rtl/>
        </w:rPr>
      </w:pPr>
      <w:r w:rsidRPr="00557CFB">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ListParagraph"/>
        <w:bidi/>
        <w:spacing w:line="278" w:lineRule="auto"/>
        <w:ind w:left="0"/>
        <w:jc w:val="both"/>
        <w:rPr>
          <w:rFonts w:ascii="Traditional Arabic" w:hAnsi="Traditional Arabic" w:cs="Traditional Arabic"/>
          <w:sz w:val="28"/>
          <w:szCs w:val="28"/>
          <w:rtl/>
        </w:rPr>
      </w:pPr>
      <w:r w:rsidRPr="00971831">
        <w:rPr>
          <w:rFonts w:ascii="Traditional Arabic" w:hAnsi="Traditional Arabic" w:cs="Traditional Arabic"/>
          <w:sz w:val="28"/>
          <w:szCs w:val="28"/>
          <w:rtl/>
        </w:rPr>
        <w:lastRenderedPageBreak/>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sidRPr="00971831">
        <w:rPr>
          <w:rFonts w:ascii="Traditional Arabic" w:hAnsi="Traditional Arabic" w:cs="Traditional Arabic"/>
          <w:sz w:val="28"/>
          <w:szCs w:val="28"/>
        </w:rPr>
        <w:t xml:space="preserve"> (Janssen et al., 20</w:t>
      </w:r>
      <w:r w:rsidR="008E35A9">
        <w:rPr>
          <w:rFonts w:ascii="Traditional Arabic" w:hAnsi="Traditional Arabic" w:cs="Traditional Arabic"/>
          <w:sz w:val="28"/>
          <w:szCs w:val="28"/>
        </w:rPr>
        <w:t>17</w:t>
      </w:r>
      <w:r w:rsidRPr="00971831">
        <w:rPr>
          <w:rFonts w:ascii="Traditional Arabic" w:hAnsi="Traditional Arabic" w:cs="Traditional Arabic"/>
          <w:sz w:val="28"/>
          <w:szCs w:val="28"/>
        </w:rPr>
        <w:t xml:space="preserve">) </w:t>
      </w:r>
      <w:r w:rsidRPr="00971831">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sidRPr="00971831">
        <w:rPr>
          <w:rFonts w:ascii="Traditional Arabic" w:hAnsi="Traditional Arabic" w:cs="Traditional Arabic"/>
          <w:sz w:val="28"/>
          <w:szCs w:val="28"/>
        </w:rPr>
        <w:t xml:space="preserve"> (Verhoef et al., 2021) </w:t>
      </w:r>
      <w:r w:rsidRPr="00971831">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sidRPr="00971831">
        <w:rPr>
          <w:rFonts w:ascii="Traditional Arabic" w:hAnsi="Traditional Arabic" w:cs="Traditional Arabic"/>
          <w:sz w:val="28"/>
          <w:szCs w:val="28"/>
        </w:rPr>
        <w:t>.</w:t>
      </w:r>
    </w:p>
    <w:p w14:paraId="2205A7DC" w14:textId="43716D8C" w:rsidR="00EA641D" w:rsidRDefault="00971831" w:rsidP="007F5CE5">
      <w:pPr>
        <w:pStyle w:val="ListParagraph"/>
        <w:bidi/>
        <w:spacing w:line="278" w:lineRule="auto"/>
        <w:ind w:left="0"/>
        <w:jc w:val="both"/>
        <w:rPr>
          <w:rFonts w:ascii="Traditional Arabic" w:hAnsi="Traditional Arabic" w:cs="Traditional Arabic"/>
          <w:sz w:val="28"/>
          <w:szCs w:val="28"/>
          <w:rtl/>
        </w:rPr>
      </w:pPr>
      <w:r w:rsidRPr="00971831">
        <w:rPr>
          <w:rFonts w:ascii="Traditional Arabic" w:hAnsi="Traditional Arabic" w:cs="Traditional Arabic"/>
          <w:sz w:val="28"/>
          <w:szCs w:val="28"/>
          <w:rtl/>
        </w:rPr>
        <w:t>وفي السياق نفسه، أوضحت دراسة</w:t>
      </w:r>
      <w:r w:rsidRPr="00971831">
        <w:rPr>
          <w:rFonts w:ascii="Traditional Arabic" w:hAnsi="Traditional Arabic" w:cs="Traditional Arabic"/>
          <w:sz w:val="28"/>
          <w:szCs w:val="28"/>
        </w:rPr>
        <w:t xml:space="preserve"> (Kraus et al., 2021) </w:t>
      </w:r>
      <w:r w:rsidRPr="00971831">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sidRPr="00971831">
        <w:rPr>
          <w:rFonts w:ascii="Traditional Arabic" w:hAnsi="Traditional Arabic" w:cs="Traditional Arabic"/>
          <w:sz w:val="28"/>
          <w:szCs w:val="28"/>
        </w:rPr>
        <w:t xml:space="preserve"> (</w:t>
      </w:r>
      <w:r w:rsidR="007F5CE5" w:rsidRPr="007F5CE5">
        <w:rPr>
          <w:rFonts w:ascii="Traditional Arabic" w:hAnsi="Traditional Arabic" w:cs="Traditional Arabic"/>
          <w:sz w:val="28"/>
          <w:szCs w:val="28"/>
        </w:rPr>
        <w:t>Almulhim &amp; Yigitcanlar, 2025</w:t>
      </w:r>
      <w:r w:rsidRPr="00971831">
        <w:rPr>
          <w:rFonts w:ascii="Traditional Arabic" w:hAnsi="Traditional Arabic" w:cs="Traditional Arabic"/>
          <w:sz w:val="28"/>
          <w:szCs w:val="28"/>
        </w:rPr>
        <w:t>)</w:t>
      </w:r>
      <w:r w:rsidR="00EA641D">
        <w:rPr>
          <w:rFonts w:ascii="Traditional Arabic" w:hAnsi="Traditional Arabic" w:cs="Traditional Arabic" w:hint="cs"/>
          <w:sz w:val="28"/>
          <w:szCs w:val="28"/>
          <w:rtl/>
        </w:rPr>
        <w:t>.</w:t>
      </w:r>
    </w:p>
    <w:p w14:paraId="41FDA89E" w14:textId="77777777" w:rsidR="00EA641D" w:rsidRDefault="00EA641D" w:rsidP="00EA641D">
      <w:pPr>
        <w:pStyle w:val="ListParagraph"/>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ListParagraph"/>
        <w:bidi/>
        <w:spacing w:line="278" w:lineRule="auto"/>
        <w:ind w:left="0"/>
        <w:jc w:val="both"/>
        <w:rPr>
          <w:rFonts w:ascii="Traditional Arabic" w:hAnsi="Traditional Arabic" w:cs="Traditional Arabic"/>
          <w:sz w:val="28"/>
          <w:szCs w:val="28"/>
        </w:rPr>
      </w:pPr>
      <w:r w:rsidRPr="00971831">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Pr>
        <w:t>predominance</w:t>
      </w:r>
      <w:r w:rsidRPr="00FA0E7C">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ListParagraph"/>
        <w:bidi/>
        <w:spacing w:line="278" w:lineRule="auto"/>
        <w:ind w:left="0"/>
        <w:jc w:val="both"/>
        <w:rPr>
          <w:rFonts w:ascii="Traditional Arabic" w:hAnsi="Traditional Arabic" w:cs="Traditional Arabic"/>
          <w:b/>
          <w:bCs/>
          <w:sz w:val="28"/>
          <w:szCs w:val="28"/>
          <w:rtl/>
        </w:rPr>
      </w:pPr>
    </w:p>
    <w:p w14:paraId="2F732A33" w14:textId="25B091AB" w:rsidR="00134549" w:rsidRPr="004502CF" w:rsidRDefault="00134549" w:rsidP="00EA641D">
      <w:pPr>
        <w:pStyle w:val="ListParagraph"/>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"The Strategic Role of Engineering Asset Management" </w:t>
      </w:r>
      <w:r w:rsidRPr="00027E2A">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lastRenderedPageBreak/>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ListParagraph"/>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sidRPr="00B33A23">
        <w:rPr>
          <w:rFonts w:ascii="Traditional Arabic" w:hAnsi="Traditional Arabic" w:cs="Traditional Arabic"/>
          <w:sz w:val="28"/>
          <w:szCs w:val="28"/>
          <w:rtl/>
        </w:rPr>
        <w:t xml:space="preserve">تناول </w:t>
      </w:r>
      <w:r w:rsidRPr="00B33A23">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sidRPr="00B33A23">
        <w:rPr>
          <w:rFonts w:ascii="Traditional Arabic" w:hAnsi="Traditional Arabic" w:cs="Traditional Arabic"/>
          <w:sz w:val="28"/>
          <w:szCs w:val="28"/>
          <w:rtl/>
        </w:rPr>
        <w:t xml:space="preserve">في كتابه </w:t>
      </w:r>
      <w:r w:rsidRPr="00B33A23">
        <w:rPr>
          <w:rFonts w:ascii="Traditional Arabic" w:hAnsi="Traditional Arabic" w:cs="Traditional Arabic"/>
          <w:i/>
          <w:iCs/>
          <w:sz w:val="28"/>
          <w:szCs w:val="28"/>
        </w:rPr>
        <w:t>Physical Asset Management</w:t>
      </w:r>
      <w:r w:rsidRPr="00B33A2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B33A23">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sidRPr="00B33A23">
        <w:rPr>
          <w:rFonts w:ascii="Traditional Arabic" w:hAnsi="Traditional Arabic" w:cs="Traditional Arabic"/>
          <w:sz w:val="28"/>
          <w:szCs w:val="28"/>
        </w:rPr>
        <w:t>.</w:t>
      </w:r>
    </w:p>
    <w:p w14:paraId="40128AFC" w14:textId="77777777"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sidRPr="00B33A23">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sidRPr="00B33A23">
        <w:rPr>
          <w:rFonts w:ascii="Traditional Arabic" w:hAnsi="Traditional Arabic" w:cs="Traditional Arabic"/>
          <w:sz w:val="28"/>
          <w:szCs w:val="28"/>
        </w:rPr>
        <w:t>.</w:t>
      </w:r>
    </w:p>
    <w:p w14:paraId="46F902ED" w14:textId="77777777" w:rsidR="00B52231" w:rsidRDefault="00B52231" w:rsidP="00FA0E7C">
      <w:pPr>
        <w:pStyle w:val="ListParagraph"/>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يتضح من تحليل الأدبيات المحكّمة في مجال إدارة أصول البنية التحتية ما يلي</w:t>
      </w:r>
      <w:r w:rsidRPr="00FA0E7C">
        <w:rPr>
          <w:rFonts w:ascii="Traditional Arabic" w:hAnsi="Traditional Arabic" w:cs="Traditional Arabic"/>
          <w:sz w:val="28"/>
          <w:szCs w:val="28"/>
        </w:rPr>
        <w:t>:</w:t>
      </w:r>
    </w:p>
    <w:p w14:paraId="3FE9F6BD"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ركزت الدراسات المبكرة على البعد الفني وإدارة دورة الحياة وتقليل المخاطر</w:t>
      </w:r>
      <w:r w:rsidRPr="00FA0E7C">
        <w:rPr>
          <w:rFonts w:ascii="Traditional Arabic" w:hAnsi="Traditional Arabic" w:cs="Traditional Arabic"/>
          <w:sz w:val="28"/>
          <w:szCs w:val="28"/>
        </w:rPr>
        <w:t>.</w:t>
      </w:r>
    </w:p>
    <w:p w14:paraId="0DAB834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أضافت الدراسات الحديثة البعد الرقمي (مثل التوأم الرقمي)، مما عزز موثوقية الأصول</w:t>
      </w:r>
      <w:r w:rsidRPr="00FA0E7C">
        <w:rPr>
          <w:rFonts w:ascii="Traditional Arabic" w:hAnsi="Traditional Arabic" w:cs="Traditional Arabic"/>
          <w:sz w:val="28"/>
          <w:szCs w:val="28"/>
        </w:rPr>
        <w:t>.</w:t>
      </w:r>
    </w:p>
    <w:p w14:paraId="07D92E97"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ظل الربط بين إدارة الأصول والحوكمة الذكية محدودًا</w:t>
      </w:r>
      <w:r w:rsidRPr="00FA0E7C">
        <w:rPr>
          <w:rFonts w:ascii="Traditional Arabic" w:hAnsi="Traditional Arabic" w:cs="Traditional Arabic"/>
          <w:sz w:val="28"/>
          <w:szCs w:val="28"/>
        </w:rPr>
        <w:t>.</w:t>
      </w:r>
    </w:p>
    <w:p w14:paraId="31DD15D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لم يتم دمج الاستدامة المؤسسية والتحول الرقمي والحوكمة ضمن نموذج سببي موحد</w:t>
      </w:r>
      <w:r w:rsidRPr="00FA0E7C">
        <w:rPr>
          <w:rFonts w:ascii="Traditional Arabic" w:hAnsi="Traditional Arabic" w:cs="Traditional Arabic"/>
          <w:sz w:val="28"/>
          <w:szCs w:val="28"/>
        </w:rPr>
        <w:t>.</w:t>
      </w:r>
    </w:p>
    <w:p w14:paraId="099CDCA3"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لا تزال الدراسات التطبيقية المتكاملة في قطاع المياه محدودة، خصوصًا في السياقات الإقليمية</w:t>
      </w:r>
      <w:r w:rsidRPr="00FA0E7C">
        <w:rPr>
          <w:rFonts w:ascii="Traditional Arabic" w:hAnsi="Traditional Arabic" w:cs="Traditional Arabic"/>
          <w:sz w:val="28"/>
          <w:szCs w:val="28"/>
        </w:rPr>
        <w:t>.</w:t>
      </w:r>
    </w:p>
    <w:p w14:paraId="61C91DC6"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ومن ثم، تظهر فجوة بحثية تتمثل في الحاجة إلى نموذج تكاملي يربط بين</w:t>
      </w:r>
      <w:r w:rsidRPr="00FA0E7C">
        <w:rPr>
          <w:rFonts w:ascii="Traditional Arabic" w:hAnsi="Traditional Arabic" w:cs="Traditional Arabic"/>
          <w:sz w:val="28"/>
          <w:szCs w:val="28"/>
        </w:rPr>
        <w:t>:</w:t>
      </w:r>
    </w:p>
    <w:p w14:paraId="7B88167C"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التحول الرقمي</w:t>
      </w:r>
    </w:p>
    <w:p w14:paraId="2ED37FEB"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الحوكمة الذكية</w:t>
      </w:r>
    </w:p>
    <w:p w14:paraId="02DF315E"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الاستدامة المؤسسية</w:t>
      </w:r>
    </w:p>
    <w:p w14:paraId="47759234"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سلامة أصول البنية التحتية</w:t>
      </w:r>
    </w:p>
    <w:p w14:paraId="0476B16F"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وذلك في قطاع المياه بوصفه قطاعًا عالي الحساسية التشغيلية والاستثمارية</w:t>
      </w:r>
      <w:r w:rsidRPr="00FA0E7C">
        <w:rPr>
          <w:rFonts w:ascii="Traditional Arabic" w:hAnsi="Traditional Arabic" w:cs="Traditional Arabic"/>
          <w:sz w:val="28"/>
          <w:szCs w:val="28"/>
        </w:rPr>
        <w:t>.</w:t>
      </w:r>
    </w:p>
    <w:p w14:paraId="717AE2C8"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ListParagraph"/>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lastRenderedPageBreak/>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(Vial</w:t>
      </w:r>
      <w:r w:rsidRPr="00B52231">
        <w:rPr>
          <w:rFonts w:ascii="Traditional Arabic" w:hAnsi="Traditional Arabic" w:cs="Traditional Arabic"/>
          <w:sz w:val="28"/>
          <w:szCs w:val="28"/>
          <w:rtl/>
        </w:rPr>
        <w:t>، 2019</w:t>
      </w:r>
      <w:r w:rsidRPr="00B52231">
        <w:rPr>
          <w:rFonts w:ascii="Traditional Arabic" w:hAnsi="Traditional Arabic" w:cs="Traditional Arabic"/>
          <w:sz w:val="28"/>
          <w:szCs w:val="28"/>
        </w:rPr>
        <w:t xml:space="preserve">)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sidRPr="00B52231">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sidRPr="00B52231">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sidRPr="00B52231">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sidRPr="00B52231">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دراسة (</w:t>
      </w:r>
      <w:r w:rsidRPr="00B52231">
        <w:rPr>
          <w:rFonts w:ascii="Traditional Arabic" w:hAnsi="Traditional Arabic" w:cs="Traditional Arabic"/>
          <w:sz w:val="28"/>
          <w:szCs w:val="28"/>
        </w:rPr>
        <w:t>Kraus et al., 2021</w:t>
      </w:r>
      <w:r w:rsidRPr="00B52231">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w:t>
      </w:r>
      <w:r w:rsidRPr="00B52231">
        <w:rPr>
          <w:rFonts w:ascii="Traditional Arabic" w:hAnsi="Traditional Arabic" w:cs="Traditional Arabic"/>
          <w:sz w:val="28"/>
          <w:szCs w:val="28"/>
        </w:rPr>
        <w:t>Digital Transformation in Business and Management Research: An Overview of the Current Status and Future Research Directions</w:t>
      </w:r>
      <w:r w:rsidRPr="00B5223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 xml:space="preserve"> (Mergel et al., 2019)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sidRPr="00B52231">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sidRPr="00B52231">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lastRenderedPageBreak/>
        <w:t>كما أكدت الدراسة أن غياب القيادة المؤسسية والحوكمة الفعالة يؤدي إلى تجزئة المبادرات الرقمية وضعف أثرها المؤسسي</w:t>
      </w:r>
      <w:r w:rsidRPr="00B52231">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sidRPr="00B52231">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sidRPr="00B52231">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(Quintana et al., 202</w:t>
      </w:r>
      <w:r w:rsidR="00B33A23">
        <w:rPr>
          <w:rFonts w:ascii="Traditional Arabic" w:hAnsi="Traditional Arabic" w:cs="Traditional Arabic"/>
          <w:sz w:val="28"/>
          <w:szCs w:val="28"/>
        </w:rPr>
        <w:t>5</w:t>
      </w:r>
      <w:r w:rsidRPr="00B52231">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بعنوان</w:t>
      </w:r>
      <w:r w:rsidR="00B33A23" w:rsidRPr="00B52231">
        <w:rPr>
          <w:rFonts w:ascii="Traditional Arabic" w:hAnsi="Traditional Arabic" w:cs="Traditional Arabic"/>
          <w:sz w:val="28"/>
          <w:szCs w:val="28"/>
        </w:rPr>
        <w:t>"</w:t>
      </w:r>
      <w:r w:rsidR="00B33A23" w:rsidRPr="00BF015A">
        <w:t xml:space="preserve"> </w:t>
      </w:r>
      <w:r w:rsidR="00B33A23" w:rsidRPr="00BF015A">
        <w:rPr>
          <w:rFonts w:ascii="Traditional Arabic" w:hAnsi="Traditional Arabic" w:cs="Traditional Arabic"/>
          <w:sz w:val="28"/>
          <w:szCs w:val="28"/>
        </w:rPr>
        <w:t>On Smart Water System Developments: A Systematic Review.</w:t>
      </w:r>
      <w:r w:rsidR="00B33A23" w:rsidRPr="00B52231">
        <w:rPr>
          <w:rFonts w:ascii="Traditional Arabic" w:hAnsi="Traditional Arabic" w:cs="Traditional Arabic"/>
          <w:sz w:val="28"/>
          <w:szCs w:val="28"/>
        </w:rPr>
        <w:t xml:space="preserve">" </w:t>
      </w:r>
      <w:r w:rsidR="00B33A23">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sidRPr="00B52231">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sidRPr="00B52231">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أشارت إلى عدد من التحديات، من أبرزها تكامل البيانات، وحوكمة المعلومات، وضعف التنسيق المؤسسي بين الجهات المعنية</w:t>
      </w:r>
      <w:r w:rsidRPr="00B52231">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sidRPr="00B52231">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sidRPr="00B52231">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NoSpacing"/>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 xml:space="preserve">(Zhang et al., 2023)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"Digital Twin Applications in Smart Water Networks" </w:t>
      </w:r>
      <w:r w:rsidRPr="00B52231">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sidRPr="00B52231">
        <w:rPr>
          <w:rFonts w:ascii="Traditional Arabic" w:hAnsi="Traditional Arabic" w:cs="Traditional Arabic"/>
          <w:sz w:val="28"/>
          <w:szCs w:val="28"/>
        </w:rPr>
        <w:t>.</w:t>
      </w:r>
    </w:p>
    <w:p w14:paraId="32275246" w14:textId="77777777" w:rsidR="00B52231" w:rsidRPr="00B52231" w:rsidRDefault="00B52231" w:rsidP="00B52231">
      <w:pPr>
        <w:pStyle w:val="NoSpacing"/>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sidRPr="00B52231">
        <w:rPr>
          <w:rFonts w:ascii="Traditional Arabic" w:hAnsi="Traditional Arabic" w:cs="Traditional Arabic"/>
          <w:sz w:val="28"/>
          <w:szCs w:val="28"/>
        </w:rPr>
        <w:t>.</w:t>
      </w:r>
    </w:p>
    <w:p w14:paraId="298C20BF" w14:textId="77777777" w:rsidR="00B52231" w:rsidRPr="00B52231" w:rsidRDefault="00B52231" w:rsidP="00B52231">
      <w:pPr>
        <w:pStyle w:val="NoSpacing"/>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sidRPr="00B52231">
        <w:rPr>
          <w:rFonts w:ascii="Traditional Arabic" w:hAnsi="Traditional Arabic" w:cs="Traditional Arabic"/>
          <w:sz w:val="28"/>
          <w:szCs w:val="28"/>
        </w:rPr>
        <w:t>.</w:t>
      </w:r>
    </w:p>
    <w:p w14:paraId="7FD106A4" w14:textId="77777777" w:rsidR="00B52231" w:rsidRDefault="00B52231" w:rsidP="00B52231">
      <w:pPr>
        <w:pStyle w:val="NoSpacing"/>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sidRPr="00B52231">
        <w:rPr>
          <w:rFonts w:ascii="Traditional Arabic" w:hAnsi="Traditional Arabic" w:cs="Traditional Arabic"/>
          <w:sz w:val="28"/>
          <w:szCs w:val="28"/>
        </w:rPr>
        <w:t>.</w:t>
      </w:r>
    </w:p>
    <w:p w14:paraId="7A9AB8DC" w14:textId="77777777" w:rsidR="00BC2F7E" w:rsidRDefault="00BC2F7E" w:rsidP="00F80A91">
      <w:pPr>
        <w:pStyle w:val="NoSpacing"/>
        <w:bidi/>
        <w:rPr>
          <w:rFonts w:ascii="Traditional Arabic" w:hAnsi="Traditional Arabic" w:cs="Traditional Arabic"/>
          <w:i/>
          <w:iCs/>
          <w:sz w:val="28"/>
          <w:szCs w:val="28"/>
          <w:rtl/>
        </w:rPr>
      </w:pPr>
    </w:p>
    <w:p w14:paraId="0C3FA843" w14:textId="77777777" w:rsidR="00581E36" w:rsidRDefault="00B52231" w:rsidP="00BC2F7E">
      <w:pPr>
        <w:pStyle w:val="NoSpacing"/>
        <w:bidi/>
        <w:jc w:val="both"/>
        <w:rPr>
          <w:rFonts w:ascii="Traditional Arabic" w:hAnsi="Traditional Arabic" w:cs="Traditional Arabic"/>
          <w:sz w:val="28"/>
          <w:szCs w:val="28"/>
          <w:rtl/>
        </w:rPr>
      </w:pPr>
      <w:r w:rsidRPr="00BC2F7E">
        <w:rPr>
          <w:rFonts w:ascii="Traditional Arabic" w:hAnsi="Traditional Arabic" w:cs="Traditional Arabic"/>
          <w:sz w:val="28"/>
          <w:szCs w:val="28"/>
          <w:rtl/>
        </w:rPr>
        <w:t>دراسة</w:t>
      </w:r>
      <w:r w:rsidRPr="00BC2F7E">
        <w:rPr>
          <w:rFonts w:ascii="Traditional Arabic" w:hAnsi="Traditional Arabic" w:cs="Traditional Arabic" w:hint="cs"/>
          <w:sz w:val="28"/>
          <w:szCs w:val="28"/>
          <w:rtl/>
        </w:rPr>
        <w:t xml:space="preserve"> (</w:t>
      </w:r>
      <w:r w:rsidR="00AD5436" w:rsidRPr="00BC2F7E">
        <w:rPr>
          <w:rFonts w:ascii="Traditional Arabic" w:hAnsi="Traditional Arabic" w:cs="Traditional Arabic"/>
          <w:sz w:val="28"/>
          <w:szCs w:val="28"/>
        </w:rPr>
        <w:t>Dai, Y., Huang, Z., Khan, N., &amp; Labbo, M. S. 2025</w:t>
      </w:r>
      <w:r w:rsidRPr="00BC2F7E">
        <w:rPr>
          <w:rFonts w:ascii="Traditional Arabic" w:hAnsi="Traditional Arabic" w:cs="Traditional Arabic" w:hint="cs"/>
          <w:sz w:val="28"/>
          <w:szCs w:val="28"/>
          <w:rtl/>
        </w:rPr>
        <w:t>)</w:t>
      </w:r>
      <w:r w:rsidRPr="00BC2F7E">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NoSpacing"/>
        <w:bidi/>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 xml:space="preserve">  </w:t>
      </w:r>
      <w:r w:rsidR="00B52231" w:rsidRPr="00BC2F7E">
        <w:rPr>
          <w:rFonts w:ascii="Traditional Arabic" w:hAnsi="Traditional Arabic" w:cs="Traditional Arabic"/>
          <w:sz w:val="28"/>
          <w:szCs w:val="28"/>
        </w:rPr>
        <w:t>"</w:t>
      </w:r>
      <w:r w:rsidR="00B33A23" w:rsidRPr="00BC2F7E">
        <w:rPr>
          <w:rFonts w:ascii="Traditional Arabic" w:hAnsi="Traditional Arabic" w:cs="Traditional Arabic"/>
          <w:sz w:val="28"/>
          <w:szCs w:val="28"/>
        </w:rPr>
        <w:t xml:space="preserve"> </w:t>
      </w:r>
      <w:r w:rsidR="00AD5436" w:rsidRPr="00BC2F7E">
        <w:rPr>
          <w:rFonts w:ascii="Traditional Arabic" w:hAnsi="Traditional Arabic" w:cs="Traditional Arabic"/>
          <w:sz w:val="28"/>
          <w:szCs w:val="28"/>
        </w:rPr>
        <w:t>Smart water management: Governance innovation, technological integration, and policy pathways toward economic and ecological sustainability.</w:t>
      </w:r>
      <w:r w:rsidR="00AD5436" w:rsidRPr="00BC2F7E">
        <w:rPr>
          <w:rFonts w:ascii="Traditional Arabic" w:hAnsi="Traditional Arabic" w:cs="Traditional Arabic"/>
          <w:sz w:val="28"/>
          <w:szCs w:val="28"/>
        </w:rPr>
        <w:br/>
        <w:t>Water, 17(13), 1932.</w:t>
      </w:r>
      <w:r w:rsidR="00B33A23" w:rsidRPr="00BC2F7E" w:rsidDel="00222E23">
        <w:rPr>
          <w:rFonts w:ascii="Traditional Arabic" w:hAnsi="Traditional Arabic" w:cs="Traditional Arabic"/>
          <w:sz w:val="28"/>
          <w:szCs w:val="28"/>
        </w:rPr>
        <w:t xml:space="preserve"> </w:t>
      </w:r>
      <w:r w:rsidR="00B33A23" w:rsidRPr="00BC2F7E">
        <w:rPr>
          <w:rFonts w:ascii="Traditional Arabic" w:hAnsi="Traditional Arabic" w:cs="Traditional Arabic"/>
          <w:sz w:val="28"/>
          <w:szCs w:val="28"/>
        </w:rPr>
        <w:t>"</w:t>
      </w:r>
      <w:r w:rsidR="008B7F83">
        <w:rPr>
          <w:rFonts w:ascii="Traditional Arabic" w:hAnsi="Traditional Arabic" w:cs="Traditional Arabic" w:hint="cs"/>
          <w:sz w:val="28"/>
          <w:szCs w:val="28"/>
          <w:rtl/>
        </w:rPr>
        <w:t xml:space="preserve"> </w:t>
      </w:r>
      <w:r w:rsidR="00B52231" w:rsidRPr="00B52231">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sidR="00B52231" w:rsidRPr="00B52231">
        <w:rPr>
          <w:rFonts w:ascii="Traditional Arabic" w:hAnsi="Traditional Arabic" w:cs="Traditional Arabic"/>
          <w:sz w:val="28"/>
          <w:szCs w:val="28"/>
        </w:rPr>
        <w:t>.</w:t>
      </w:r>
      <w:r w:rsidR="008B7F83">
        <w:rPr>
          <w:rFonts w:ascii="Traditional Arabic" w:hAnsi="Traditional Arabic" w:cs="Traditional Arabic" w:hint="cs"/>
          <w:sz w:val="28"/>
          <w:szCs w:val="28"/>
          <w:rtl/>
        </w:rPr>
        <w:t xml:space="preserve"> </w:t>
      </w:r>
      <w:r w:rsidR="00B52231" w:rsidRPr="00B52231">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sidR="00B52231" w:rsidRPr="00B52231">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sidRPr="00B52231">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sidRPr="00B52231">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sidRPr="00C43319">
        <w:rPr>
          <w:rFonts w:ascii="Traditional Arabic" w:hAnsi="Traditional Arabic" w:cs="Traditional Arabic"/>
          <w:sz w:val="28"/>
          <w:szCs w:val="28"/>
          <w:rtl/>
        </w:rPr>
        <w:t>تناولت دراسة العابد</w:t>
      </w:r>
      <w:r w:rsidRPr="00C43319">
        <w:rPr>
          <w:rFonts w:ascii="Traditional Arabic" w:hAnsi="Traditional Arabic" w:cs="Traditional Arabic"/>
          <w:sz w:val="28"/>
          <w:szCs w:val="28"/>
        </w:rPr>
        <w:t xml:space="preserve"> (2024) </w:t>
      </w:r>
      <w:r w:rsidRPr="00C43319">
        <w:rPr>
          <w:rFonts w:ascii="Traditional Arabic" w:hAnsi="Traditional Arabic" w:cs="Traditional Arabic"/>
          <w:sz w:val="28"/>
          <w:szCs w:val="28"/>
          <w:rtl/>
        </w:rPr>
        <w:t>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عبدالراضي</w:t>
      </w:r>
      <w:r w:rsidRPr="00C43319">
        <w:rPr>
          <w:rFonts w:ascii="Traditional Arabic" w:hAnsi="Traditional Arabic" w:cs="Traditional Arabic"/>
          <w:sz w:val="28"/>
          <w:szCs w:val="28"/>
        </w:rPr>
        <w:t xml:space="preserve"> (2020) </w:t>
      </w:r>
      <w:r w:rsidRPr="00C43319">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sidRPr="00C43319">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sidRPr="007F45E1">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تؤكد الدراسات فاعلية التقنيات الرقمية في تحسين التشغيل وتقليل الأعطال والفاقد.</w:t>
      </w:r>
    </w:p>
    <w:p w14:paraId="3A46654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sidRPr="007F45E1">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 xml:space="preserve">دراسة </w:t>
      </w:r>
      <w:r w:rsidRPr="00EF1184">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sidRPr="00EF1184">
        <w:rPr>
          <w:rFonts w:ascii="Traditional Arabic" w:hAnsi="Traditional Arabic" w:cs="Traditional Arabic"/>
          <w:sz w:val="28"/>
          <w:szCs w:val="28"/>
          <w:rtl/>
        </w:rPr>
        <w:t>بعنوان</w:t>
      </w:r>
      <w:r w:rsidRPr="00EF1184">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sidRPr="00EF1184">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sidRPr="00EF1184">
        <w:rPr>
          <w:rFonts w:ascii="Traditional Arabic" w:hAnsi="Traditional Arabic" w:cs="Traditional Arabic"/>
          <w:sz w:val="28"/>
          <w:szCs w:val="28"/>
        </w:rPr>
        <w:t>.</w:t>
      </w:r>
    </w:p>
    <w:p w14:paraId="7E9519C2"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sidRPr="00EF1184">
        <w:rPr>
          <w:rFonts w:ascii="Traditional Arabic" w:hAnsi="Traditional Arabic" w:cs="Traditional Arabic"/>
          <w:sz w:val="28"/>
          <w:szCs w:val="28"/>
        </w:rPr>
        <w:t>.</w:t>
      </w:r>
    </w:p>
    <w:p w14:paraId="390A12B3"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sidRPr="00EF1184">
        <w:rPr>
          <w:rFonts w:ascii="Traditional Arabic" w:hAnsi="Traditional Arabic" w:cs="Traditional Arabic"/>
          <w:sz w:val="28"/>
          <w:szCs w:val="28"/>
        </w:rPr>
        <w:t>.</w:t>
      </w:r>
    </w:p>
    <w:p w14:paraId="527C342B"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lastRenderedPageBreak/>
        <w:t>وتستفيد الدراسة الحالية من هذا التأصيل المفاهيمي للاستدامة، مع إعادة توظيفه في سياق إدارة أصول البنية التحتية المائية</w:t>
      </w:r>
      <w:r w:rsidRPr="00EF1184">
        <w:rPr>
          <w:rFonts w:ascii="Traditional Arabic" w:hAnsi="Traditional Arabic" w:cs="Traditional Arabic"/>
          <w:sz w:val="28"/>
          <w:szCs w:val="28"/>
        </w:rPr>
        <w:t>.</w:t>
      </w:r>
    </w:p>
    <w:p w14:paraId="4F59C7F1" w14:textId="77777777" w:rsidR="00EF1184" w:rsidRPr="0077181F" w:rsidRDefault="00EF1184" w:rsidP="00440B00">
      <w:pPr>
        <w:pStyle w:val="ListParagraph"/>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دراسة</w:t>
      </w:r>
      <w:r w:rsidRPr="00440B00">
        <w:rPr>
          <w:rFonts w:ascii="Traditional Arabic" w:hAnsi="Traditional Arabic" w:cs="Traditional Arabic"/>
          <w:sz w:val="28"/>
          <w:szCs w:val="28"/>
        </w:rPr>
        <w:t xml:space="preserve"> (Smol et al., 2020) </w:t>
      </w:r>
      <w:r w:rsidRPr="00440B00">
        <w:rPr>
          <w:rFonts w:ascii="Traditional Arabic" w:hAnsi="Traditional Arabic" w:cs="Traditional Arabic"/>
          <w:sz w:val="28"/>
          <w:szCs w:val="28"/>
          <w:rtl/>
        </w:rPr>
        <w:t>بعنوان</w:t>
      </w:r>
      <w:r w:rsidRPr="00440B00">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sidRPr="00440B00">
        <w:rPr>
          <w:rFonts w:ascii="Traditional Arabic" w:hAnsi="Traditional Arabic" w:cs="Traditional Arabic"/>
          <w:sz w:val="28"/>
          <w:szCs w:val="28"/>
        </w:rPr>
        <w:t>.</w:t>
      </w:r>
    </w:p>
    <w:p w14:paraId="2D756518"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sidRPr="00440B00">
        <w:rPr>
          <w:rFonts w:ascii="Traditional Arabic" w:hAnsi="Traditional Arabic" w:cs="Traditional Arabic"/>
          <w:sz w:val="28"/>
          <w:szCs w:val="28"/>
        </w:rPr>
        <w:t xml:space="preserve">. </w:t>
      </w:r>
    </w:p>
    <w:p w14:paraId="13BD3090"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والبنية التحتية المائية. كما لم تختبر العلاقات السببية بين هذه المتغيرات ضمن نموذج تحليلي كمي يفسر تأثيرها في الأداء المؤسسي أو سلامة الأصول</w:t>
      </w:r>
      <w:r w:rsidRPr="00440B00">
        <w:rPr>
          <w:rFonts w:ascii="Traditional Arabic" w:hAnsi="Traditional Arabic" w:cs="Traditional Arabic"/>
          <w:sz w:val="28"/>
          <w:szCs w:val="28"/>
        </w:rPr>
        <w:t>.</w:t>
      </w:r>
    </w:p>
    <w:p w14:paraId="5BFCBC22"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sidRPr="00440B00">
        <w:rPr>
          <w:rFonts w:ascii="Traditional Arabic" w:hAnsi="Traditional Arabic" w:cs="Traditional Arabic"/>
          <w:sz w:val="28"/>
          <w:szCs w:val="28"/>
        </w:rPr>
        <w:t>.</w:t>
      </w:r>
    </w:p>
    <w:p w14:paraId="12D493CF" w14:textId="77777777" w:rsidR="00C43319" w:rsidRPr="00440B00" w:rsidRDefault="00C43319" w:rsidP="00C43319">
      <w:pPr>
        <w:pStyle w:val="ListParagraph"/>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ListParagraph"/>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Pr>
        <w:t>(Butler et al., 2017)</w:t>
      </w:r>
      <w:r w:rsidRPr="00440B00">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بعنوان </w:t>
      </w:r>
      <w:r w:rsidR="0063303B">
        <w:rPr>
          <w:rFonts w:ascii="Traditional Arabic" w:hAnsi="Traditional Arabic" w:cs="Traditional Arabic"/>
          <w:sz w:val="28"/>
          <w:szCs w:val="28"/>
        </w:rPr>
        <w:t>"</w:t>
      </w:r>
      <w:r w:rsidRPr="00440B00">
        <w:rPr>
          <w:rFonts w:ascii="Traditional Arabic" w:hAnsi="Traditional Arabic" w:cs="Traditional Arabic"/>
          <w:sz w:val="28"/>
          <w:szCs w:val="28"/>
        </w:rPr>
        <w:t>A new approach to urban water management: Safe and SuRe</w:t>
      </w:r>
      <w:r w:rsidR="0063303B">
        <w:rPr>
          <w:rFonts w:ascii="Traditional Arabic" w:hAnsi="Traditional Arabic" w:cs="Traditional Arabic"/>
          <w:sz w:val="28"/>
          <w:szCs w:val="28"/>
        </w:rPr>
        <w:t>"</w:t>
      </w:r>
      <w:r w:rsidRPr="00440B00">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sidRPr="00440B00">
        <w:rPr>
          <w:rFonts w:ascii="Traditional Arabic" w:hAnsi="Traditional Arabic" w:cs="Traditional Arabic"/>
          <w:sz w:val="28"/>
          <w:szCs w:val="28"/>
        </w:rPr>
        <w:t>.</w:t>
      </w:r>
    </w:p>
    <w:p w14:paraId="01C35B7B"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sidRPr="00440B00">
        <w:rPr>
          <w:rFonts w:ascii="Traditional Arabic" w:hAnsi="Traditional Arabic" w:cs="Traditional Arabic"/>
          <w:sz w:val="28"/>
          <w:szCs w:val="28"/>
        </w:rPr>
        <w:t>.</w:t>
      </w:r>
    </w:p>
    <w:p w14:paraId="3E9928D8"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sidRPr="00440B00">
        <w:rPr>
          <w:rFonts w:ascii="Traditional Arabic" w:hAnsi="Traditional Arabic" w:cs="Traditional Arabic"/>
          <w:sz w:val="28"/>
          <w:szCs w:val="28"/>
        </w:rPr>
        <w:t>.</w:t>
      </w:r>
    </w:p>
    <w:p w14:paraId="1B9645FE" w14:textId="77777777" w:rsidR="0004167A" w:rsidRPr="00440B00" w:rsidRDefault="0004167A" w:rsidP="00EF1184">
      <w:pPr>
        <w:pStyle w:val="ListParagraph"/>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ListParagraph"/>
        <w:bidi/>
        <w:spacing w:line="278" w:lineRule="auto"/>
        <w:ind w:left="0"/>
        <w:jc w:val="both"/>
        <w:rPr>
          <w:rFonts w:ascii="Traditional Arabic" w:hAnsi="Traditional Arabic" w:cs="Traditional Arabic"/>
          <w:sz w:val="28"/>
          <w:szCs w:val="28"/>
        </w:rPr>
      </w:pPr>
      <w:r w:rsidRPr="0004167A">
        <w:rPr>
          <w:rFonts w:ascii="Traditional Arabic" w:hAnsi="Traditional Arabic" w:cs="Traditional Arabic"/>
          <w:sz w:val="28"/>
          <w:szCs w:val="28"/>
          <w:rtl/>
        </w:rPr>
        <w:t>يتضح من تحليل الدراسات في محور الاستدامة ما يلي</w:t>
      </w:r>
      <w:r w:rsidRPr="0004167A">
        <w:rPr>
          <w:rFonts w:ascii="Traditional Arabic" w:hAnsi="Traditional Arabic" w:cs="Traditional Arabic"/>
          <w:sz w:val="28"/>
          <w:szCs w:val="28"/>
        </w:rPr>
        <w:t>:</w:t>
      </w:r>
    </w:p>
    <w:p w14:paraId="7F693E41"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sidRPr="0004167A">
        <w:rPr>
          <w:rFonts w:ascii="Traditional Arabic" w:hAnsi="Traditional Arabic" w:cs="Traditional Arabic"/>
          <w:sz w:val="28"/>
          <w:szCs w:val="28"/>
        </w:rPr>
        <w:t>.</w:t>
      </w:r>
    </w:p>
    <w:p w14:paraId="03862EF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تركز الدراسات الحديثة على الاقتصاد الدائري وتحسين كفاءة الموارد</w:t>
      </w:r>
      <w:r w:rsidRPr="0004167A">
        <w:rPr>
          <w:rFonts w:ascii="Traditional Arabic" w:hAnsi="Traditional Arabic" w:cs="Traditional Arabic"/>
          <w:sz w:val="28"/>
          <w:szCs w:val="28"/>
        </w:rPr>
        <w:t>.</w:t>
      </w:r>
    </w:p>
    <w:p w14:paraId="4DC55EA0"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sidRPr="0004167A">
        <w:rPr>
          <w:rFonts w:ascii="Traditional Arabic" w:hAnsi="Traditional Arabic" w:cs="Traditional Arabic"/>
          <w:sz w:val="28"/>
          <w:szCs w:val="28"/>
        </w:rPr>
        <w:t>.</w:t>
      </w:r>
    </w:p>
    <w:p w14:paraId="27CBFB3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لم يتم اختبار الاستدامة ضمن نموذج سببي يجمعها مع الحوكمة الذكية وسلامة الأصول</w:t>
      </w:r>
      <w:r w:rsidRPr="0004167A">
        <w:rPr>
          <w:rFonts w:ascii="Traditional Arabic" w:hAnsi="Traditional Arabic" w:cs="Traditional Arabic"/>
          <w:sz w:val="28"/>
          <w:szCs w:val="28"/>
        </w:rPr>
        <w:t>.</w:t>
      </w:r>
    </w:p>
    <w:p w14:paraId="57722834"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sidRPr="0004167A">
        <w:rPr>
          <w:rFonts w:ascii="Traditional Arabic" w:hAnsi="Traditional Arabic" w:cs="Traditional Arabic"/>
          <w:sz w:val="28"/>
          <w:szCs w:val="28"/>
        </w:rPr>
        <w:t>.</w:t>
      </w:r>
    </w:p>
    <w:p w14:paraId="517D32F3" w14:textId="77777777" w:rsidR="0004167A" w:rsidRDefault="0004167A" w:rsidP="0004167A">
      <w:pPr>
        <w:pStyle w:val="ListParagraph"/>
        <w:bidi/>
        <w:spacing w:line="278" w:lineRule="auto"/>
        <w:ind w:left="0"/>
        <w:jc w:val="both"/>
        <w:rPr>
          <w:rFonts w:ascii="Traditional Arabic" w:hAnsi="Traditional Arabic" w:cs="Traditional Arabic"/>
          <w:sz w:val="28"/>
          <w:szCs w:val="28"/>
          <w:rtl/>
        </w:rPr>
      </w:pPr>
      <w:r w:rsidRPr="0004167A">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sidRPr="0004167A">
        <w:rPr>
          <w:rFonts w:ascii="Traditional Arabic" w:hAnsi="Traditional Arabic" w:cs="Traditional Arabic"/>
          <w:sz w:val="28"/>
          <w:szCs w:val="28"/>
        </w:rPr>
        <w:t>.</w:t>
      </w:r>
    </w:p>
    <w:p w14:paraId="09987B29"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ListParagraph"/>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ListParagraph"/>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 xml:space="preserve">دراسة </w:t>
      </w:r>
      <w:r w:rsidRPr="002D75FA">
        <w:rPr>
          <w:rFonts w:ascii="Traditional Arabic" w:hAnsi="Traditional Arabic" w:cs="Traditional Arabic"/>
          <w:sz w:val="28"/>
          <w:szCs w:val="28"/>
        </w:rPr>
        <w:t>(Kaplan &amp; Norton</w:t>
      </w:r>
      <w:r w:rsidRPr="002D75FA">
        <w:rPr>
          <w:rFonts w:ascii="Traditional Arabic" w:hAnsi="Traditional Arabic" w:cs="Traditional Arabic"/>
          <w:sz w:val="28"/>
          <w:szCs w:val="28"/>
          <w:rtl/>
        </w:rPr>
        <w:t>، 1992</w:t>
      </w:r>
      <w:r w:rsidRPr="002D75FA">
        <w:rPr>
          <w:rFonts w:ascii="Traditional Arabic" w:hAnsi="Traditional Arabic" w:cs="Traditional Arabic"/>
          <w:sz w:val="28"/>
          <w:szCs w:val="28"/>
        </w:rPr>
        <w:t xml:space="preserve">) </w:t>
      </w:r>
      <w:r w:rsidRPr="002D75FA">
        <w:rPr>
          <w:rFonts w:ascii="Traditional Arabic" w:hAnsi="Traditional Arabic" w:cs="Traditional Arabic"/>
          <w:sz w:val="28"/>
          <w:szCs w:val="28"/>
          <w:rtl/>
        </w:rPr>
        <w:t>بعنوان</w:t>
      </w:r>
      <w:r w:rsidRPr="002D75FA">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sidRPr="002D75FA">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sidRPr="002D75FA">
        <w:rPr>
          <w:rFonts w:ascii="Traditional Arabic" w:hAnsi="Traditional Arabic" w:cs="Traditional Arabic"/>
          <w:sz w:val="28"/>
          <w:szCs w:val="28"/>
        </w:rPr>
        <w:t>.</w:t>
      </w:r>
    </w:p>
    <w:p w14:paraId="113C94E9"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sidRPr="002D75FA">
        <w:rPr>
          <w:rFonts w:ascii="Traditional Arabic" w:hAnsi="Traditional Arabic" w:cs="Traditional Arabic"/>
          <w:sz w:val="28"/>
          <w:szCs w:val="28"/>
        </w:rPr>
        <w:t>.</w:t>
      </w:r>
    </w:p>
    <w:p w14:paraId="5C296F28"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sidRPr="002D75FA">
        <w:rPr>
          <w:rFonts w:ascii="Traditional Arabic" w:hAnsi="Traditional Arabic" w:cs="Traditional Arabic"/>
          <w:sz w:val="28"/>
          <w:szCs w:val="28"/>
        </w:rPr>
        <w:t>.</w:t>
      </w:r>
    </w:p>
    <w:p w14:paraId="3C9A3A6E"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sidRPr="002D75FA">
        <w:rPr>
          <w:rFonts w:ascii="Traditional Arabic" w:hAnsi="Traditional Arabic" w:cs="Traditional Arabic"/>
          <w:sz w:val="28"/>
          <w:szCs w:val="28"/>
        </w:rPr>
        <w:t>.</w:t>
      </w:r>
    </w:p>
    <w:p w14:paraId="12BEABC4" w14:textId="77777777" w:rsidR="002D75FA" w:rsidRDefault="002D75FA" w:rsidP="00D335F9">
      <w:pPr>
        <w:pStyle w:val="ListParagraph"/>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w:t>
      </w:r>
      <w:r w:rsidRPr="0063303B">
        <w:rPr>
          <w:rFonts w:ascii="Traditional Arabic" w:hAnsi="Traditional Arabic" w:cs="Traditional Arabic"/>
          <w:sz w:val="28"/>
          <w:szCs w:val="28"/>
        </w:rPr>
        <w:t xml:space="preserve">(Melnyk et al., 2014) </w:t>
      </w:r>
      <w:r w:rsidRPr="0063303B">
        <w:rPr>
          <w:rFonts w:ascii="Traditional Arabic" w:hAnsi="Traditional Arabic" w:cs="Traditional Arabic"/>
          <w:sz w:val="28"/>
          <w:szCs w:val="28"/>
          <w:rtl/>
        </w:rPr>
        <w:t>بعنوان</w:t>
      </w:r>
      <w:r w:rsidRPr="0063303B">
        <w:rPr>
          <w:rFonts w:ascii="Traditional Arabic" w:hAnsi="Traditional Arabic" w:cs="Traditional Arabic"/>
          <w:sz w:val="28"/>
          <w:szCs w:val="28"/>
        </w:rPr>
        <w:t xml:space="preserve">"Is Performance Measurement and Management Fit </w:t>
      </w:r>
      <w:r>
        <w:rPr>
          <w:rFonts w:ascii="Traditional Arabic" w:hAnsi="Traditional Arabic" w:cs="Traditional Arabic"/>
          <w:sz w:val="28"/>
          <w:szCs w:val="28"/>
        </w:rPr>
        <w:t xml:space="preserve"> </w:t>
      </w:r>
      <w:r w:rsidRPr="0063303B">
        <w:rPr>
          <w:rFonts w:ascii="Traditional Arabic" w:hAnsi="Traditional Arabic" w:cs="Traditional Arabic"/>
          <w:sz w:val="28"/>
          <w:szCs w:val="28"/>
        </w:rPr>
        <w:t>for the Future?"</w:t>
      </w:r>
      <w:r w:rsidRPr="0063303B">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sidRPr="0063303B">
        <w:rPr>
          <w:rFonts w:ascii="Traditional Arabic" w:hAnsi="Traditional Arabic" w:cs="Traditional Arabic"/>
          <w:sz w:val="28"/>
          <w:szCs w:val="28"/>
        </w:rPr>
        <w:t>.</w:t>
      </w:r>
    </w:p>
    <w:p w14:paraId="1971F5C8"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sidRPr="0063303B">
        <w:rPr>
          <w:rFonts w:ascii="Traditional Arabic" w:hAnsi="Traditional Arabic" w:cs="Traditional Arabic"/>
          <w:sz w:val="28"/>
          <w:szCs w:val="28"/>
        </w:rPr>
        <w:t>.</w:t>
      </w:r>
    </w:p>
    <w:p w14:paraId="43EEA9A6"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lastRenderedPageBreak/>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sidRPr="0063303B">
        <w:rPr>
          <w:rFonts w:ascii="Traditional Arabic" w:hAnsi="Traditional Arabic" w:cs="Traditional Arabic"/>
          <w:sz w:val="28"/>
          <w:szCs w:val="28"/>
        </w:rPr>
        <w:t>.</w:t>
      </w:r>
    </w:p>
    <w:p w14:paraId="35EF190A"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sidRPr="0063303B">
        <w:rPr>
          <w:rFonts w:ascii="Traditional Arabic" w:hAnsi="Traditional Arabic" w:cs="Traditional Arabic"/>
          <w:sz w:val="28"/>
          <w:szCs w:val="28"/>
        </w:rPr>
        <w:t>.</w:t>
      </w:r>
    </w:p>
    <w:p w14:paraId="773D0F7A" w14:textId="77777777" w:rsidR="0063303B" w:rsidRDefault="0063303B" w:rsidP="00D335F9">
      <w:pPr>
        <w:pStyle w:val="ListParagraph"/>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ListParagraph"/>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دراسة (</w:t>
      </w:r>
      <w:r w:rsidRPr="00D335F9">
        <w:rPr>
          <w:rFonts w:ascii="Traditional Arabic" w:hAnsi="Traditional Arabic" w:cs="Traditional Arabic"/>
          <w:sz w:val="28"/>
          <w:szCs w:val="28"/>
        </w:rPr>
        <w:t>Menghwar &amp; Daood</w:t>
      </w:r>
      <w:r w:rsidRPr="00D335F9">
        <w:rPr>
          <w:rFonts w:ascii="Traditional Arabic" w:hAnsi="Traditional Arabic" w:cs="Traditional Arabic"/>
          <w:sz w:val="28"/>
          <w:szCs w:val="28"/>
          <w:rtl/>
        </w:rPr>
        <w:t>، 2021) بعنوان"</w:t>
      </w:r>
      <w:r w:rsidR="0063303B" w:rsidRPr="0063303B">
        <w:rPr>
          <w:rFonts w:ascii="Traditional Arabic" w:hAnsi="Traditional Arabic" w:cs="Traditional Arabic"/>
          <w:sz w:val="28"/>
          <w:szCs w:val="28"/>
        </w:rPr>
        <w:t xml:space="preserve"> </w:t>
      </w:r>
      <w:r w:rsidR="0063303B" w:rsidRPr="00466735">
        <w:rPr>
          <w:rFonts w:ascii="Traditional Arabic" w:hAnsi="Traditional Arabic" w:cs="Traditional Arabic"/>
          <w:sz w:val="28"/>
          <w:szCs w:val="28"/>
        </w:rPr>
        <w:t>A systematic review, synthesis and integrative perspective</w:t>
      </w:r>
      <w:r w:rsidR="0063303B" w:rsidRPr="00D335F9">
        <w:rPr>
          <w:rFonts w:ascii="Traditional Arabic" w:hAnsi="Traditional Arabic" w:cs="Traditional Arabic"/>
          <w:sz w:val="28"/>
          <w:szCs w:val="28"/>
          <w:rtl/>
        </w:rPr>
        <w:t xml:space="preserve"> </w:t>
      </w:r>
      <w:r w:rsidRPr="00D335F9">
        <w:rPr>
          <w:rFonts w:ascii="Traditional Arabic" w:hAnsi="Traditional Arabic" w:cs="Traditional Arabic"/>
          <w:sz w:val="28"/>
          <w:szCs w:val="28"/>
          <w:rtl/>
        </w:rPr>
        <w:t>"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r w:rsidRPr="00D335F9">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ListParagraph"/>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يتضح من تحليل الأدبيات المرتبطة بالأداء المؤسسي ما يلي</w:t>
      </w:r>
      <w:r w:rsidRPr="002D75FA">
        <w:rPr>
          <w:rFonts w:ascii="Traditional Arabic" w:hAnsi="Traditional Arabic" w:cs="Traditional Arabic"/>
          <w:sz w:val="28"/>
          <w:szCs w:val="28"/>
        </w:rPr>
        <w:t>:</w:t>
      </w:r>
    </w:p>
    <w:p w14:paraId="3D0F01A1"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sidRPr="002D75FA">
        <w:rPr>
          <w:rFonts w:ascii="Traditional Arabic" w:hAnsi="Traditional Arabic" w:cs="Traditional Arabic"/>
          <w:sz w:val="28"/>
          <w:szCs w:val="28"/>
        </w:rPr>
        <w:t>.</w:t>
      </w:r>
    </w:p>
    <w:p w14:paraId="03BE4AF8"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sidRPr="002D75FA">
        <w:rPr>
          <w:rFonts w:ascii="Traditional Arabic" w:hAnsi="Traditional Arabic" w:cs="Traditional Arabic"/>
          <w:sz w:val="28"/>
          <w:szCs w:val="28"/>
        </w:rPr>
        <w:t>.</w:t>
      </w:r>
    </w:p>
    <w:p w14:paraId="364EB887"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لا تزال العلاقة بين الأداء المؤسسي وكفاءة إدارة الأصول محدودة في الأدبيات</w:t>
      </w:r>
      <w:r w:rsidRPr="002D75FA">
        <w:rPr>
          <w:rFonts w:ascii="Traditional Arabic" w:hAnsi="Traditional Arabic" w:cs="Traditional Arabic"/>
          <w:sz w:val="28"/>
          <w:szCs w:val="28"/>
        </w:rPr>
        <w:t>.</w:t>
      </w:r>
    </w:p>
    <w:p w14:paraId="0509E1DF"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sidRPr="002D75FA">
        <w:rPr>
          <w:rFonts w:ascii="Traditional Arabic" w:hAnsi="Traditional Arabic" w:cs="Traditional Arabic"/>
          <w:sz w:val="28"/>
          <w:szCs w:val="28"/>
        </w:rPr>
        <w:t>.</w:t>
      </w:r>
    </w:p>
    <w:p w14:paraId="672ADEC8" w14:textId="77777777" w:rsidR="002D75FA" w:rsidRPr="002D75FA" w:rsidRDefault="002D75FA" w:rsidP="002D75FA">
      <w:pPr>
        <w:pStyle w:val="ListParagraph"/>
        <w:bidi/>
        <w:spacing w:line="278" w:lineRule="auto"/>
        <w:ind w:left="360"/>
        <w:jc w:val="both"/>
        <w:rPr>
          <w:rFonts w:ascii="Traditional Arabic" w:hAnsi="Traditional Arabic" w:cs="Traditional Arabic"/>
          <w:sz w:val="28"/>
          <w:szCs w:val="28"/>
        </w:rPr>
      </w:pPr>
      <w:r w:rsidRPr="002D75FA">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sidRPr="002D75FA">
        <w:rPr>
          <w:rFonts w:ascii="Traditional Arabic" w:hAnsi="Traditional Arabic" w:cs="Traditional Arabic"/>
          <w:sz w:val="28"/>
          <w:szCs w:val="28"/>
        </w:rPr>
        <w:t>.</w:t>
      </w:r>
    </w:p>
    <w:p w14:paraId="4F0EDB8E" w14:textId="77777777" w:rsidR="00D335F9" w:rsidRPr="005F4901" w:rsidRDefault="00D335F9" w:rsidP="00D335F9">
      <w:pPr>
        <w:pStyle w:val="ListParagraph"/>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tl/>
        </w:rPr>
      </w:pPr>
      <w:r w:rsidRPr="004502CF">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 xml:space="preserve">دراسة </w:t>
      </w:r>
      <w:r w:rsidRPr="00A90202">
        <w:rPr>
          <w:rFonts w:ascii="Traditional Arabic" w:hAnsi="Traditional Arabic" w:cs="Traditional Arabic"/>
          <w:sz w:val="28"/>
          <w:szCs w:val="28"/>
        </w:rPr>
        <w:t>(Alajmi et al., 2023)</w:t>
      </w:r>
      <w:r w:rsidRPr="006D248B">
        <w:rPr>
          <w:rFonts w:ascii="Traditional Arabic" w:hAnsi="Traditional Arabic" w:cs="Traditional Arabic"/>
          <w:sz w:val="28"/>
          <w:szCs w:val="28"/>
        </w:rPr>
        <w:t xml:space="preserve"> </w:t>
      </w:r>
      <w:r w:rsidR="00A90202">
        <w:rPr>
          <w:rFonts w:ascii="Traditional Arabic" w:hAnsi="Traditional Arabic" w:cs="Traditional Arabic" w:hint="cs"/>
          <w:sz w:val="28"/>
          <w:szCs w:val="28"/>
          <w:rtl/>
        </w:rPr>
        <w:t xml:space="preserve"> </w:t>
      </w:r>
      <w:r w:rsidRPr="006D248B">
        <w:rPr>
          <w:rFonts w:ascii="Traditional Arabic" w:hAnsi="Traditional Arabic" w:cs="Traditional Arabic"/>
          <w:sz w:val="28"/>
          <w:szCs w:val="28"/>
          <w:rtl/>
        </w:rPr>
        <w:t>بعنوان</w:t>
      </w:r>
      <w:r w:rsidRPr="006D248B">
        <w:rPr>
          <w:rFonts w:ascii="Traditional Arabic" w:hAnsi="Traditional Arabic" w:cs="Traditional Arabic"/>
          <w:i/>
          <w:iCs/>
          <w:sz w:val="28"/>
          <w:szCs w:val="28"/>
        </w:rPr>
        <w:t>"</w:t>
      </w:r>
      <w:r w:rsidRPr="00A90202">
        <w:rPr>
          <w:rFonts w:ascii="Traditional Arabic" w:hAnsi="Traditional Arabic" w:cs="Traditional Arabic"/>
          <w:sz w:val="28"/>
          <w:szCs w:val="28"/>
        </w:rPr>
        <w:t xml:space="preserve">The Determinants of Smart Government Systems Adoption by Public Sector Organizations in Saudi Arabia" </w:t>
      </w:r>
      <w:r w:rsidR="00537466">
        <w:rPr>
          <w:rFonts w:ascii="Traditional Arabic" w:hAnsi="Traditional Arabic" w:cs="Traditional Arabic" w:hint="cs"/>
          <w:sz w:val="28"/>
          <w:szCs w:val="28"/>
          <w:rtl/>
        </w:rPr>
        <w:t xml:space="preserve"> </w:t>
      </w:r>
      <w:r w:rsidRPr="006D248B">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sidRPr="006D248B">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lastRenderedPageBreak/>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sidRPr="006D248B">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sidRPr="006D248B">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sidRPr="006D248B">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 xml:space="preserve">دراسة </w:t>
      </w:r>
      <w:r w:rsidR="00A90202">
        <w:rPr>
          <w:rFonts w:ascii="Traditional Arabic" w:hAnsi="Traditional Arabic" w:cs="Traditional Arabic"/>
          <w:b/>
          <w:bCs/>
          <w:sz w:val="28"/>
          <w:szCs w:val="28"/>
        </w:rPr>
        <w:t xml:space="preserve"> </w:t>
      </w:r>
      <w:r w:rsidRPr="00A90202">
        <w:rPr>
          <w:rFonts w:ascii="Traditional Arabic" w:hAnsi="Traditional Arabic" w:cs="Traditional Arabic"/>
          <w:sz w:val="28"/>
          <w:szCs w:val="28"/>
        </w:rPr>
        <w:t>(Hujran et al., 2023)</w:t>
      </w:r>
      <w:r w:rsidRPr="006D248B">
        <w:rPr>
          <w:rFonts w:ascii="Traditional Arabic" w:hAnsi="Traditional Arabic" w:cs="Traditional Arabic"/>
          <w:sz w:val="28"/>
          <w:szCs w:val="28"/>
        </w:rPr>
        <w:t xml:space="preserve"> </w:t>
      </w:r>
      <w:r w:rsidRPr="006D248B">
        <w:rPr>
          <w:rFonts w:ascii="Traditional Arabic" w:hAnsi="Traditional Arabic" w:cs="Traditional Arabic"/>
          <w:sz w:val="28"/>
          <w:szCs w:val="28"/>
          <w:rtl/>
        </w:rPr>
        <w:t>بعنوان</w:t>
      </w:r>
      <w:r w:rsidR="00A90202" w:rsidRPr="00A90202">
        <w:rPr>
          <w:rFonts w:ascii="Traditional Arabic" w:hAnsi="Traditional Arabic" w:cs="Traditional Arabic"/>
          <w:sz w:val="28"/>
          <w:szCs w:val="28"/>
        </w:rPr>
        <w:t xml:space="preserve"> </w:t>
      </w:r>
      <w:r w:rsidRPr="00A90202">
        <w:rPr>
          <w:rFonts w:ascii="Traditional Arabic" w:hAnsi="Traditional Arabic" w:cs="Traditional Arabic"/>
          <w:sz w:val="28"/>
          <w:szCs w:val="28"/>
        </w:rPr>
        <w:t>"Digitally Transforming Electronic Governments into Smart Governments"</w:t>
      </w:r>
      <w:r w:rsidRPr="006D248B">
        <w:rPr>
          <w:rFonts w:ascii="Traditional Arabic" w:hAnsi="Traditional Arabic" w:cs="Traditional Arabic"/>
          <w:sz w:val="28"/>
          <w:szCs w:val="28"/>
        </w:rPr>
        <w:t xml:space="preserve"> </w:t>
      </w:r>
      <w:r w:rsidRPr="006D248B">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sidRPr="006D248B">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sidRPr="006D248B">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sidRPr="006D248B">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sidRPr="006D248B">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sidRPr="006D248B">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sidRPr="006D248B">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sidRPr="002D75FA">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sidRPr="002D75FA">
        <w:rPr>
          <w:rFonts w:ascii="Traditional Arabic" w:hAnsi="Traditional Arabic" w:cs="Traditional Arabic"/>
          <w:sz w:val="28"/>
          <w:szCs w:val="28"/>
        </w:rPr>
        <w:t>:</w:t>
      </w:r>
    </w:p>
    <w:p w14:paraId="508B85EC" w14:textId="77777777" w:rsidR="002D75FA" w:rsidRPr="002D75FA" w:rsidRDefault="002D75FA" w:rsidP="00B7711D">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sidRPr="002D75FA">
        <w:rPr>
          <w:rFonts w:ascii="Traditional Arabic" w:hAnsi="Traditional Arabic" w:cs="Traditional Arabic"/>
          <w:sz w:val="28"/>
          <w:szCs w:val="28"/>
        </w:rPr>
        <w:t>.</w:t>
      </w:r>
    </w:p>
    <w:p w14:paraId="139D9577" w14:textId="77777777" w:rsidR="002D75FA" w:rsidRPr="002D75FA" w:rsidRDefault="002D75FA" w:rsidP="00B7711D">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lastRenderedPageBreak/>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sidRPr="002D75FA">
        <w:rPr>
          <w:rFonts w:ascii="Traditional Arabic" w:hAnsi="Traditional Arabic" w:cs="Traditional Arabic"/>
          <w:sz w:val="28"/>
          <w:szCs w:val="28"/>
        </w:rPr>
        <w:t>.</w:t>
      </w:r>
    </w:p>
    <w:p w14:paraId="1F7BAAD5" w14:textId="77777777" w:rsidR="002D75FA" w:rsidRPr="002D75FA" w:rsidRDefault="002D75FA" w:rsidP="00B7711D">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sidRPr="002D75FA">
        <w:rPr>
          <w:rFonts w:ascii="Traditional Arabic" w:hAnsi="Traditional Arabic" w:cs="Traditional Arabic"/>
          <w:sz w:val="28"/>
          <w:szCs w:val="28"/>
        </w:rPr>
        <w:t>.</w:t>
      </w:r>
    </w:p>
    <w:p w14:paraId="6655747C" w14:textId="77777777" w:rsidR="002D75FA" w:rsidRPr="002D75FA" w:rsidRDefault="002D75FA" w:rsidP="00B7711D">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sidRPr="002D75FA">
        <w:rPr>
          <w:rFonts w:ascii="Traditional Arabic" w:hAnsi="Traditional Arabic" w:cs="Traditional Arabic"/>
          <w:sz w:val="28"/>
          <w:szCs w:val="28"/>
        </w:rPr>
        <w:t>.</w:t>
      </w:r>
    </w:p>
    <w:p w14:paraId="62324F09" w14:textId="731F8D33" w:rsidR="00B5427B" w:rsidRPr="002D75FA" w:rsidRDefault="002D75FA" w:rsidP="00B7711D">
      <w:pPr>
        <w:numPr>
          <w:ilvl w:val="0"/>
          <w:numId w:val="27"/>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كما يغيب توظيف نماذج المعادلات الهيكلية</w:t>
      </w:r>
      <w:r w:rsidRPr="002D75FA">
        <w:rPr>
          <w:rFonts w:ascii="Traditional Arabic" w:hAnsi="Traditional Arabic" w:cs="Traditional Arabic"/>
          <w:sz w:val="28"/>
          <w:szCs w:val="28"/>
        </w:rPr>
        <w:t xml:space="preserve"> (SEM / PLS) </w:t>
      </w:r>
      <w:r w:rsidRPr="002D75FA">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sidRPr="002D75FA">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sidRPr="002D75FA">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sidRPr="002D75FA">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sidRPr="00DD73BF">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sidRPr="00631A3A">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sidRPr="00631A3A">
        <w:rPr>
          <w:rFonts w:ascii="Traditional Arabic" w:hAnsi="Traditional Arabic" w:cs="Traditional Arabic"/>
          <w:sz w:val="28"/>
          <w:szCs w:val="28"/>
        </w:rPr>
        <w:t>.</w:t>
      </w:r>
    </w:p>
    <w:tbl>
      <w:tblPr>
        <w:bidiVisual/>
        <w:tblW w:w="9352" w:type="dxa"/>
        <w:tblInd w:w="599" w:type="dxa"/>
        <w:tblLook w:val="04A0" w:firstRow="1" w:lastRow="0" w:firstColumn="1" w:lastColumn="0" w:noHBand="0" w:noVBand="1"/>
      </w:tblPr>
      <w:tblGrid>
        <w:gridCol w:w="1476"/>
        <w:gridCol w:w="1647"/>
        <w:gridCol w:w="1094"/>
        <w:gridCol w:w="1260"/>
        <w:gridCol w:w="1104"/>
        <w:gridCol w:w="1391"/>
        <w:gridCol w:w="1380"/>
      </w:tblGrid>
      <w:tr w:rsidR="004032F1" w:rsidRPr="004032F1" w14:paraId="25C195B2" w14:textId="77777777" w:rsidTr="00F170F1">
        <w:trPr>
          <w:trHeight w:val="417"/>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5239E1A" w14:textId="77777777" w:rsidR="004032F1" w:rsidRPr="004032F1" w:rsidRDefault="004032F1" w:rsidP="00F170F1">
            <w:pPr>
              <w:bidi/>
              <w:spacing w:after="0" w:line="240" w:lineRule="auto"/>
              <w:jc w:val="right"/>
              <w:rPr>
                <w:rFonts w:ascii="Arial" w:eastAsia="Times New Roman" w:hAnsi="Arial" w:cs="Arial"/>
                <w:b/>
                <w:bCs/>
                <w:color w:val="000000"/>
              </w:rPr>
            </w:pPr>
            <w:r w:rsidRPr="004032F1">
              <w:rPr>
                <w:rFonts w:ascii="Arial" w:eastAsia="Times New Roman" w:hAnsi="Arial" w:cs="Arial"/>
                <w:b/>
                <w:bCs/>
                <w:color w:val="000000"/>
                <w:rtl/>
              </w:rPr>
              <w:t>الباحث والسنة</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27532FE" w14:textId="77777777" w:rsidR="004032F1" w:rsidRPr="004032F1" w:rsidRDefault="004032F1" w:rsidP="00F170F1">
            <w:pPr>
              <w:bidi/>
              <w:spacing w:after="0" w:line="240" w:lineRule="auto"/>
              <w:jc w:val="center"/>
              <w:rPr>
                <w:rFonts w:ascii="Arial" w:eastAsia="Times New Roman" w:hAnsi="Arial" w:cs="Arial"/>
                <w:b/>
                <w:bCs/>
                <w:color w:val="000000"/>
                <w:rtl/>
              </w:rPr>
            </w:pPr>
            <w:r w:rsidRPr="004032F1">
              <w:rPr>
                <w:rFonts w:ascii="Arial" w:eastAsia="Times New Roman" w:hAnsi="Arial" w:cs="Arial"/>
                <w:b/>
                <w:bCs/>
                <w:color w:val="000000"/>
                <w:rtl/>
              </w:rPr>
              <w:t>عنوان الدراسة</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15323BAD" w14:textId="77777777" w:rsidR="004032F1" w:rsidRPr="004032F1" w:rsidRDefault="004032F1" w:rsidP="00F170F1">
            <w:pPr>
              <w:bidi/>
              <w:spacing w:after="0" w:line="240" w:lineRule="auto"/>
              <w:jc w:val="center"/>
              <w:rPr>
                <w:rFonts w:ascii="Arial" w:eastAsia="Times New Roman" w:hAnsi="Arial" w:cs="Arial"/>
                <w:b/>
                <w:bCs/>
                <w:color w:val="000000"/>
                <w:rtl/>
              </w:rPr>
            </w:pPr>
            <w:r w:rsidRPr="004032F1">
              <w:rPr>
                <w:rFonts w:ascii="Arial" w:eastAsia="Times New Roman" w:hAnsi="Arial" w:cs="Arial"/>
                <w:b/>
                <w:bCs/>
                <w:color w:val="000000"/>
                <w:rtl/>
              </w:rPr>
              <w:t>المجال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432829FF" w14:textId="77777777" w:rsidR="004032F1" w:rsidRPr="004032F1" w:rsidRDefault="004032F1" w:rsidP="00F170F1">
            <w:pPr>
              <w:bidi/>
              <w:spacing w:after="0" w:line="240" w:lineRule="auto"/>
              <w:jc w:val="center"/>
              <w:rPr>
                <w:rFonts w:ascii="Arial" w:eastAsia="Times New Roman" w:hAnsi="Arial" w:cs="Arial"/>
                <w:b/>
                <w:bCs/>
                <w:color w:val="000000"/>
                <w:rtl/>
              </w:rPr>
            </w:pPr>
            <w:r w:rsidRPr="004032F1">
              <w:rPr>
                <w:rFonts w:ascii="Arial" w:eastAsia="Times New Roman" w:hAnsi="Arial" w:cs="Arial"/>
                <w:b/>
                <w:bCs/>
                <w:color w:val="000000"/>
                <w:rtl/>
              </w:rPr>
              <w:t>هدف الدراسة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6E006C8" w14:textId="77777777" w:rsidR="004032F1" w:rsidRPr="004032F1" w:rsidRDefault="004032F1" w:rsidP="00F170F1">
            <w:pPr>
              <w:bidi/>
              <w:spacing w:after="0" w:line="240" w:lineRule="auto"/>
              <w:jc w:val="center"/>
              <w:rPr>
                <w:rFonts w:ascii="Arial" w:eastAsia="Times New Roman" w:hAnsi="Arial" w:cs="Arial"/>
                <w:b/>
                <w:bCs/>
                <w:color w:val="000000"/>
                <w:rtl/>
              </w:rPr>
            </w:pPr>
            <w:r w:rsidRPr="004032F1">
              <w:rPr>
                <w:rFonts w:ascii="Arial" w:eastAsia="Times New Roman" w:hAnsi="Arial" w:cs="Arial"/>
                <w:b/>
                <w:bCs/>
                <w:color w:val="000000"/>
                <w:rtl/>
              </w:rPr>
              <w:t>المنهج المستخدم</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B711D1F" w14:textId="77777777" w:rsidR="004032F1" w:rsidRPr="004032F1" w:rsidRDefault="004032F1" w:rsidP="00F170F1">
            <w:pPr>
              <w:bidi/>
              <w:spacing w:after="0" w:line="240" w:lineRule="auto"/>
              <w:jc w:val="center"/>
              <w:rPr>
                <w:rFonts w:ascii="Arial" w:eastAsia="Times New Roman" w:hAnsi="Arial" w:cs="Arial"/>
                <w:b/>
                <w:bCs/>
                <w:color w:val="000000"/>
                <w:rtl/>
              </w:rPr>
            </w:pPr>
            <w:r w:rsidRPr="004032F1">
              <w:rPr>
                <w:rFonts w:ascii="Arial" w:eastAsia="Times New Roman" w:hAnsi="Arial" w:cs="Arial"/>
                <w:b/>
                <w:bCs/>
                <w:color w:val="000000"/>
                <w:rtl/>
              </w:rPr>
              <w:t>أهم النتائج</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D76E87C" w14:textId="77777777" w:rsidR="004032F1" w:rsidRPr="004032F1" w:rsidRDefault="004032F1" w:rsidP="00F170F1">
            <w:pPr>
              <w:bidi/>
              <w:spacing w:after="0" w:line="240" w:lineRule="auto"/>
              <w:jc w:val="center"/>
              <w:rPr>
                <w:rFonts w:ascii="Arial" w:eastAsia="Times New Roman" w:hAnsi="Arial" w:cs="Arial"/>
                <w:b/>
                <w:bCs/>
                <w:color w:val="000000"/>
                <w:rtl/>
              </w:rPr>
            </w:pPr>
            <w:r w:rsidRPr="004032F1">
              <w:rPr>
                <w:rFonts w:ascii="Arial" w:eastAsia="Times New Roman" w:hAnsi="Arial" w:cs="Arial"/>
                <w:b/>
                <w:bCs/>
                <w:color w:val="000000"/>
                <w:rtl/>
              </w:rPr>
              <w:t>الفجوة البحثية</w:t>
            </w:r>
          </w:p>
        </w:tc>
      </w:tr>
      <w:tr w:rsidR="004032F1" w:rsidRPr="004032F1" w14:paraId="0A0F74F7"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988D6E"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Meijer &amp; Bolívar (2016)</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767E8B"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Governing the Smart City</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E15C36"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9B4290"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مفهوم الحوكمة الذكية في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C55319B"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B5CCFFE"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الحوكمة الذكية تعزز الشفافية والتنسيق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2A4098F"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تُختبر في إدارة أصول البنية التحتية</w:t>
            </w:r>
          </w:p>
        </w:tc>
      </w:tr>
      <w:tr w:rsidR="004032F1" w:rsidRPr="004032F1" w14:paraId="05714BC3"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06DC2F"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Gil-Garcia et al. (2018)</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839B03F"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What makes a city smart?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2B2B12"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الحوكمة الرقمية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B1FFE45"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تحديد مكونات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56A87C4"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E736DC"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تكامل البيانات والسياسات أساس نجاح المدن الذكية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30426D"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الحوكمة بسلامة الأصول</w:t>
            </w:r>
          </w:p>
        </w:tc>
      </w:tr>
      <w:tr w:rsidR="004032F1" w:rsidRPr="004032F1" w14:paraId="671BD2BC"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41B21"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Almulhim &amp; Yigitcanlar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41B009"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Understanding Smart Governance of Sustainable Cities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0B0416"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FA8B062"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أبعاد الحوكمة الذكية في المدن المستدامة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838B20"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7D173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الحوكمة تعتمد على تكامل البيانات والمسؤوليات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FF1CB"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تختبر أثرها على الأداء التشغيلي</w:t>
            </w:r>
          </w:p>
        </w:tc>
      </w:tr>
      <w:tr w:rsidR="004032F1" w:rsidRPr="004032F1" w14:paraId="5118905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7055E8"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Hujran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9C766E"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Digitally transforming e-government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7828F0"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الحكومة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AC743E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التحول للحكومة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98497B0"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مفاهيمي + 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EBBF934"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التحول الرقمي يعزز الأداء الحكومي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C54178E"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تتناول إدارة الأصول</w:t>
            </w:r>
          </w:p>
        </w:tc>
      </w:tr>
      <w:tr w:rsidR="004032F1" w:rsidRPr="004032F1" w14:paraId="5CD8C332"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66D0DF"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Alajmi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167BE60"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Determinants of smart government adoption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FF27AB"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الحكومة الذكية (السعودية)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A186D8"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عوامل تبني الأنظمة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BEB70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كمي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8067F9"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القيادة الرقمية والبنية التقنية عوامل حاسمة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921B2E5"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بسلامة الأصول</w:t>
            </w:r>
          </w:p>
        </w:tc>
      </w:tr>
      <w:tr w:rsidR="004032F1" w:rsidRPr="004032F1" w14:paraId="1A7420DB"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C5445D"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lastRenderedPageBreak/>
              <w:t>El-Akruti et al. (2013)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DC462D"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Strategic role of engineering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7D147F"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884F69"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الدور الاستراتيجي لإدارة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65B51FA"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64ADB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إدارة الأصول تعزز القيمة المؤسسية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68899D"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تدمج التحول الرقمي</w:t>
            </w:r>
          </w:p>
        </w:tc>
      </w:tr>
      <w:tr w:rsidR="004032F1" w:rsidRPr="004032F1" w14:paraId="1300981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1D3CB5"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Hastings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0AEF314"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Physical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AFFB89"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51BC9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منهجيات إدارة دورة حياة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EBCD695"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تطبيقي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80D0EC"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إدارة دورة الحياة تحسن موثوقية الأصول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DBA97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غياب البعد الرقمي</w:t>
            </w:r>
          </w:p>
        </w:tc>
      </w:tr>
      <w:tr w:rsidR="004032F1" w:rsidRPr="004032F1" w14:paraId="78F8CFB4"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D67E3F"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Vial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7B607F5"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Understanding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5C3060"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B89BC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إطار نظري للتحول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93D1761"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B6C844"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التحول الرقمي يعيد تشكيل العمليات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A2DC559"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يُختبر في قطاع المياه</w:t>
            </w:r>
          </w:p>
        </w:tc>
      </w:tr>
      <w:tr w:rsidR="004032F1" w:rsidRPr="004032F1" w14:paraId="2091C8C9"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452D90"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Kraus et al.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F1F337"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Digital transformation in business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0C28DF"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A88CD1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التحول الرقمي في الإدارة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0387B"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F393B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التحول الرقمي يحسن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767C78"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يعتمد على الحوكمة التنظيمية</w:t>
            </w:r>
          </w:p>
        </w:tc>
      </w:tr>
      <w:tr w:rsidR="004032F1" w:rsidRPr="004032F1" w14:paraId="0132F6C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3D07B8C"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Mergel et 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206A00"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Defining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8F480F"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التحول الرقمي (القطاع العام)</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CC3AEC"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تحديد متطلبات التحول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FD308D"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مقابلات خبراء</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63C4945"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الحوكمة شرط لنجاح الرقمنة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D3B0D1"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بالأصول</w:t>
            </w:r>
          </w:p>
        </w:tc>
      </w:tr>
      <w:tr w:rsidR="004032F1" w:rsidRPr="004032F1" w14:paraId="147DDD1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30FFC4"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Fuller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D0B7C7"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Digital twin enabling technologies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272DC2"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13798B"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تقنيات التوأم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2A8BF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E48144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تحسين 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E3E3B82"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ركزت على الجانب التقني</w:t>
            </w:r>
          </w:p>
        </w:tc>
      </w:tr>
      <w:tr w:rsidR="004032F1" w:rsidRPr="004032F1" w14:paraId="70AE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97A6A7"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Zhang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132B4"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Digital twin in water networks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62FBA8"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التحول الرقمي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5D34D2"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التوأم الرقمي في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C03F7F"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بيانات</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50B17E"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تحسين كفاءة الأصول والتنبؤ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B61E1F"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غياب البعد الحوكمي</w:t>
            </w:r>
          </w:p>
        </w:tc>
      </w:tr>
      <w:tr w:rsidR="004032F1" w:rsidRPr="004032F1" w14:paraId="0406FDC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30EFC3"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Quintana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6AF8DC"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Smart water systems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D9F4C7"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903C81"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أنظمة المياه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6DDBE8"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9A323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التقنيات تقلل الفاقد وتحسن التشغيل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854724"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غياب النماذج السببية</w:t>
            </w:r>
          </w:p>
        </w:tc>
      </w:tr>
      <w:tr w:rsidR="004032F1" w:rsidRPr="004032F1" w14:paraId="63BFDDF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42A2FF"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Dai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3D319"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Smart water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764459"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إدارة 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28AAC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نموذج متكامل للمياه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2C60B8"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دراسة تطبيقية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87572C"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التكامل يحسن القرار التشغيلي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28152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تدمج الحوكمة</w:t>
            </w:r>
          </w:p>
        </w:tc>
      </w:tr>
      <w:tr w:rsidR="004032F1" w:rsidRPr="004032F1" w14:paraId="2DF8356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2B34F7B"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Geissdoerfer et al. (2017)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FCFA19"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Circular economy paradigm</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1377CF"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E81B2A"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الاقتصاد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766E15E"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E0951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تحسين كفاءة الموارد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2C440D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تتناول الأصول</w:t>
            </w:r>
          </w:p>
        </w:tc>
      </w:tr>
      <w:tr w:rsidR="004032F1" w:rsidRPr="004032F1" w14:paraId="5DD66BA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62553DC"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Smol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0EF58B"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Circular economy in water</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EE8813"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الاستدامة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AE70BAF"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إطار للاقتصاد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CB80228"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A377A3F"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تعزيز استدامة الموارد المائية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D5981D4"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بالأداء المؤسسي</w:t>
            </w:r>
          </w:p>
        </w:tc>
      </w:tr>
      <w:tr w:rsidR="004032F1" w:rsidRPr="004032F1" w14:paraId="68D2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5ED6E2B"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Butler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A82272"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Safe and SuRe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E1314"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إدارة المياه المستدامة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16ED1CA"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إطار لإدارة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730A6C"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F63BB7C"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تحسين الاستدامة وإدارة المخاطر</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1C4D6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التحول الرقمي بالأصول</w:t>
            </w:r>
          </w:p>
        </w:tc>
      </w:tr>
      <w:tr w:rsidR="004032F1" w:rsidRPr="004032F1" w14:paraId="50D43C00" w14:textId="77777777" w:rsidTr="00F170F1">
        <w:trPr>
          <w:trHeight w:val="202"/>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44DB28"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Elkington (1997)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987C6D"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Triple Bottom Line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4EA34D8"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7FA14BE"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مفهوم الاستدامة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FFA816E"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84452F1"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التكامل بين الأبعاد الثلاثة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2EDCA9"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يتناول إدارة الأصول</w:t>
            </w:r>
          </w:p>
        </w:tc>
      </w:tr>
      <w:tr w:rsidR="004032F1" w:rsidRPr="004032F1" w14:paraId="46D1F81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90EA889"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Porter &amp; Kramer (2011)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4761F"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Creating shared value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1461E6"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FFC77D7"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ربط الأداء بالقيمة الاجتماعية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8E514A"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D16A1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تحسين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DF9E8A"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بالتحول الرقمي</w:t>
            </w:r>
          </w:p>
        </w:tc>
      </w:tr>
      <w:tr w:rsidR="004032F1" w:rsidRPr="004032F1" w14:paraId="3038E6BA"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2749AD"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Richard et al. (2009)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E42119D"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Measuring organizational performance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7AAB4D7"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AE86741"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تطوير مفهوم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CE2FEF"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مراجعة تحليلية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11BF7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الأداء متعدد الأبعاد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EAF15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بالأصول</w:t>
            </w:r>
          </w:p>
        </w:tc>
      </w:tr>
      <w:tr w:rsidR="004032F1" w:rsidRPr="004032F1" w14:paraId="328734B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F844CA" w14:textId="77777777" w:rsidR="004032F1" w:rsidRPr="004032F1" w:rsidRDefault="004032F1" w:rsidP="00F170F1">
            <w:pPr>
              <w:spacing w:after="0" w:line="240" w:lineRule="auto"/>
              <w:jc w:val="center"/>
              <w:rPr>
                <w:rFonts w:ascii="Arial" w:eastAsia="Times New Roman" w:hAnsi="Arial" w:cs="Arial"/>
                <w:color w:val="000000"/>
                <w:rtl/>
              </w:rPr>
            </w:pPr>
            <w:r w:rsidRPr="004032F1">
              <w:rPr>
                <w:rFonts w:ascii="Arial" w:eastAsia="Times New Roman" w:hAnsi="Arial" w:cs="Arial"/>
                <w:color w:val="000000"/>
              </w:rPr>
              <w:t>Melnyk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73BD57" w14:textId="77777777" w:rsidR="004032F1" w:rsidRPr="004032F1" w:rsidRDefault="004032F1" w:rsidP="00F170F1">
            <w:pPr>
              <w:spacing w:after="0" w:line="240" w:lineRule="auto"/>
              <w:jc w:val="center"/>
              <w:rPr>
                <w:rFonts w:ascii="Arial" w:eastAsia="Times New Roman" w:hAnsi="Arial" w:cs="Arial"/>
                <w:color w:val="000000"/>
              </w:rPr>
            </w:pPr>
            <w:r w:rsidRPr="004032F1">
              <w:rPr>
                <w:rFonts w:ascii="Arial" w:eastAsia="Times New Roman" w:hAnsi="Arial" w:cs="Arial"/>
                <w:color w:val="000000"/>
              </w:rPr>
              <w:t>Performance measurement future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33A923" w14:textId="77777777" w:rsidR="004032F1" w:rsidRPr="004032F1" w:rsidRDefault="004032F1" w:rsidP="00F170F1">
            <w:pPr>
              <w:bidi/>
              <w:spacing w:after="0" w:line="240" w:lineRule="auto"/>
              <w:jc w:val="center"/>
              <w:rPr>
                <w:rFonts w:ascii="Arial" w:eastAsia="Times New Roman" w:hAnsi="Arial" w:cs="Arial"/>
                <w:color w:val="000000"/>
              </w:rPr>
            </w:pPr>
            <w:r w:rsidRPr="004032F1">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ECB1B3"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مستقبل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A2852"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تحليل نقدي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D99BB36"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أهمية تكامل القياس والإدارة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AFF644" w14:textId="77777777" w:rsidR="004032F1" w:rsidRPr="004032F1" w:rsidRDefault="004032F1" w:rsidP="00F170F1">
            <w:pPr>
              <w:bidi/>
              <w:spacing w:after="0" w:line="240" w:lineRule="auto"/>
              <w:jc w:val="center"/>
              <w:rPr>
                <w:rFonts w:ascii="Arial" w:eastAsia="Times New Roman" w:hAnsi="Arial" w:cs="Arial"/>
                <w:color w:val="000000"/>
                <w:rtl/>
              </w:rPr>
            </w:pPr>
            <w:r w:rsidRPr="004032F1">
              <w:rPr>
                <w:rFonts w:ascii="Arial" w:eastAsia="Times New Roman" w:hAnsi="Arial" w:cs="Arial"/>
                <w:color w:val="000000"/>
                <w:rtl/>
              </w:rPr>
              <w:t>لم تربط بالتحول الرقمي</w:t>
            </w:r>
          </w:p>
        </w:tc>
      </w:tr>
    </w:tbl>
    <w:p w14:paraId="60287CB6" w14:textId="57CAD29D" w:rsidR="00DD73BF" w:rsidRDefault="00DD73BF" w:rsidP="00DD73BF">
      <w:pPr>
        <w:pStyle w:val="ListParagraph"/>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ListParagraph"/>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ListParagraph"/>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ListParagraph"/>
        <w:bidi/>
        <w:spacing w:line="278" w:lineRule="auto"/>
        <w:jc w:val="both"/>
        <w:rPr>
          <w:rFonts w:ascii="Traditional Arabic" w:hAnsi="Traditional Arabic" w:cs="Traditional Arabic"/>
          <w:b/>
          <w:bCs/>
          <w:sz w:val="28"/>
          <w:szCs w:val="28"/>
          <w:rtl/>
        </w:rPr>
      </w:pPr>
      <w:r w:rsidRPr="00540CDD">
        <w:rPr>
          <w:rFonts w:ascii="Traditional Arabic" w:hAnsi="Traditional Arabic" w:cs="Traditional Arabic"/>
          <w:b/>
          <w:bCs/>
          <w:sz w:val="28"/>
          <w:szCs w:val="28"/>
          <w:rtl/>
        </w:rPr>
        <w:lastRenderedPageBreak/>
        <w:t>مصفوفة الربط بين الدراسات السابقة ومتغيرات الدراسة</w:t>
      </w:r>
    </w:p>
    <w:tbl>
      <w:tblPr>
        <w:bidiVisual/>
        <w:tblW w:w="0" w:type="auto"/>
        <w:tblLayout w:type="fixed"/>
        <w:tblLook w:val="04A0" w:firstRow="1" w:lastRow="0" w:firstColumn="1" w:lastColumn="0" w:noHBand="0" w:noVBand="1"/>
      </w:tblPr>
      <w:tblGrid>
        <w:gridCol w:w="1476"/>
        <w:gridCol w:w="1247"/>
        <w:gridCol w:w="1247"/>
        <w:gridCol w:w="1247"/>
        <w:gridCol w:w="1247"/>
        <w:gridCol w:w="1247"/>
        <w:gridCol w:w="1493"/>
      </w:tblGrid>
      <w:tr w:rsidR="002B52AC" w:rsidRPr="002B52AC" w14:paraId="2170E222" w14:textId="77777777" w:rsidTr="007E0E57">
        <w:trPr>
          <w:trHeight w:val="567"/>
        </w:trPr>
        <w:tc>
          <w:tcPr>
            <w:tcW w:w="1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6E220F" w14:textId="77777777" w:rsidR="002B52AC" w:rsidRPr="002B52AC" w:rsidRDefault="002B52AC" w:rsidP="002B52AC">
            <w:pPr>
              <w:bidi/>
              <w:spacing w:after="0" w:line="240" w:lineRule="auto"/>
              <w:jc w:val="center"/>
              <w:rPr>
                <w:rFonts w:ascii="Arial" w:eastAsia="Times New Roman" w:hAnsi="Arial" w:cs="Arial"/>
                <w:b/>
                <w:bCs/>
                <w:color w:val="000000"/>
              </w:rPr>
            </w:pPr>
            <w:r w:rsidRPr="002B52AC">
              <w:rPr>
                <w:rFonts w:ascii="Arial" w:eastAsia="Times New Roman" w:hAnsi="Arial" w:cs="Arial"/>
                <w:b/>
                <w:bCs/>
                <w:color w:val="000000"/>
                <w:rtl/>
              </w:rPr>
              <w:t>الدراسة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1D6F3E" w14:textId="77777777" w:rsidR="002B52AC" w:rsidRPr="002B52AC" w:rsidRDefault="002B52AC" w:rsidP="002B52AC">
            <w:pPr>
              <w:bidi/>
              <w:spacing w:after="0" w:line="240" w:lineRule="auto"/>
              <w:jc w:val="center"/>
              <w:rPr>
                <w:rFonts w:ascii="Arial" w:eastAsia="Times New Roman" w:hAnsi="Arial" w:cs="Arial"/>
                <w:b/>
                <w:bCs/>
                <w:color w:val="000000"/>
                <w:rtl/>
              </w:rPr>
            </w:pPr>
            <w:r w:rsidRPr="002B52AC">
              <w:rPr>
                <w:rFonts w:ascii="Arial" w:eastAsia="Times New Roman" w:hAnsi="Arial" w:cs="Arial"/>
                <w:b/>
                <w:bCs/>
                <w:color w:val="000000"/>
                <w:rtl/>
              </w:rPr>
              <w:t>الحوكمة الذكية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417689" w14:textId="77777777" w:rsidR="002B52AC" w:rsidRPr="002B52AC" w:rsidRDefault="002B52AC" w:rsidP="002B52AC">
            <w:pPr>
              <w:bidi/>
              <w:spacing w:after="0" w:line="240" w:lineRule="auto"/>
              <w:jc w:val="center"/>
              <w:rPr>
                <w:rFonts w:ascii="Arial" w:eastAsia="Times New Roman" w:hAnsi="Arial" w:cs="Arial"/>
                <w:b/>
                <w:bCs/>
                <w:color w:val="000000"/>
                <w:rtl/>
              </w:rPr>
            </w:pPr>
            <w:r w:rsidRPr="002B52AC">
              <w:rPr>
                <w:rFonts w:ascii="Arial" w:eastAsia="Times New Roman" w:hAnsi="Arial" w:cs="Arial"/>
                <w:b/>
                <w:bCs/>
                <w:color w:val="000000"/>
                <w:rtl/>
              </w:rPr>
              <w:t>التحول الرقمي</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D5DE2" w14:textId="77777777" w:rsidR="002B52AC" w:rsidRPr="002B52AC" w:rsidRDefault="002B52AC" w:rsidP="002B52AC">
            <w:pPr>
              <w:bidi/>
              <w:spacing w:after="0" w:line="240" w:lineRule="auto"/>
              <w:jc w:val="center"/>
              <w:rPr>
                <w:rFonts w:ascii="Arial" w:eastAsia="Times New Roman" w:hAnsi="Arial" w:cs="Arial"/>
                <w:b/>
                <w:bCs/>
                <w:color w:val="000000"/>
                <w:rtl/>
              </w:rPr>
            </w:pPr>
            <w:r w:rsidRPr="002B52AC">
              <w:rPr>
                <w:rFonts w:ascii="Arial" w:eastAsia="Times New Roman" w:hAnsi="Arial" w:cs="Arial"/>
                <w:b/>
                <w:bCs/>
                <w:color w:val="000000"/>
                <w:rtl/>
              </w:rPr>
              <w:t>الاستدامة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B76119" w14:textId="77777777" w:rsidR="002B52AC" w:rsidRPr="002B52AC" w:rsidRDefault="002B52AC" w:rsidP="002B52AC">
            <w:pPr>
              <w:bidi/>
              <w:spacing w:after="0" w:line="240" w:lineRule="auto"/>
              <w:jc w:val="center"/>
              <w:rPr>
                <w:rFonts w:ascii="Arial" w:eastAsia="Times New Roman" w:hAnsi="Arial" w:cs="Arial"/>
                <w:b/>
                <w:bCs/>
                <w:color w:val="000000"/>
                <w:rtl/>
              </w:rPr>
            </w:pPr>
            <w:r w:rsidRPr="002B52AC">
              <w:rPr>
                <w:rFonts w:ascii="Arial" w:eastAsia="Times New Roman" w:hAnsi="Arial" w:cs="Arial"/>
                <w:b/>
                <w:bCs/>
                <w:color w:val="000000"/>
                <w:rtl/>
              </w:rPr>
              <w:t>سلامة الأصول</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14C62F" w14:textId="77777777" w:rsidR="002B52AC" w:rsidRPr="002B52AC" w:rsidRDefault="002B52AC" w:rsidP="002B52AC">
            <w:pPr>
              <w:bidi/>
              <w:spacing w:after="0" w:line="240" w:lineRule="auto"/>
              <w:jc w:val="center"/>
              <w:rPr>
                <w:rFonts w:ascii="Arial" w:eastAsia="Times New Roman" w:hAnsi="Arial" w:cs="Arial"/>
                <w:b/>
                <w:bCs/>
                <w:color w:val="000000"/>
                <w:rtl/>
              </w:rPr>
            </w:pPr>
            <w:r w:rsidRPr="002B52AC">
              <w:rPr>
                <w:rFonts w:ascii="Arial" w:eastAsia="Times New Roman" w:hAnsi="Arial" w:cs="Arial"/>
                <w:b/>
                <w:bCs/>
                <w:color w:val="000000"/>
                <w:rtl/>
              </w:rPr>
              <w:t>الأداء المؤسسي</w:t>
            </w:r>
          </w:p>
        </w:tc>
        <w:tc>
          <w:tcPr>
            <w:tcW w:w="14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03EB91" w14:textId="77777777" w:rsidR="002B52AC" w:rsidRPr="002B52AC" w:rsidRDefault="002B52AC" w:rsidP="002B52AC">
            <w:pPr>
              <w:bidi/>
              <w:spacing w:after="0" w:line="240" w:lineRule="auto"/>
              <w:jc w:val="center"/>
              <w:rPr>
                <w:rFonts w:ascii="Arial" w:eastAsia="Times New Roman" w:hAnsi="Arial" w:cs="Arial"/>
                <w:b/>
                <w:bCs/>
                <w:color w:val="000000"/>
                <w:rtl/>
              </w:rPr>
            </w:pPr>
            <w:r w:rsidRPr="002B52AC">
              <w:rPr>
                <w:rFonts w:ascii="Arial" w:eastAsia="Times New Roman" w:hAnsi="Arial" w:cs="Arial"/>
                <w:b/>
                <w:bCs/>
                <w:color w:val="000000"/>
                <w:rtl/>
              </w:rPr>
              <w:t>مجال الدراسة</w:t>
            </w:r>
          </w:p>
        </w:tc>
      </w:tr>
      <w:tr w:rsidR="002B52AC" w:rsidRPr="002B52AC" w14:paraId="3567B984"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29FFEA2"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Meijer &amp; Bolívar (2016)</w:t>
            </w:r>
          </w:p>
        </w:tc>
        <w:tc>
          <w:tcPr>
            <w:tcW w:w="1247" w:type="dxa"/>
            <w:tcBorders>
              <w:top w:val="nil"/>
              <w:left w:val="single" w:sz="4" w:space="0" w:color="auto"/>
              <w:bottom w:val="single" w:sz="4" w:space="0" w:color="auto"/>
              <w:right w:val="single" w:sz="4" w:space="0" w:color="auto"/>
            </w:tcBorders>
            <w:vAlign w:val="center"/>
            <w:hideMark/>
          </w:tcPr>
          <w:p w14:paraId="4EF83CE1"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446E2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04222D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402C3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CE8D0"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7AC3B32"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الحوكمة في المدن الذكية</w:t>
            </w:r>
          </w:p>
        </w:tc>
      </w:tr>
      <w:tr w:rsidR="002B52AC" w:rsidRPr="002B52AC" w14:paraId="413F307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744DA50"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Gil-Garcia et al. (2018)</w:t>
            </w:r>
          </w:p>
        </w:tc>
        <w:tc>
          <w:tcPr>
            <w:tcW w:w="1247" w:type="dxa"/>
            <w:tcBorders>
              <w:top w:val="nil"/>
              <w:left w:val="single" w:sz="4" w:space="0" w:color="auto"/>
              <w:bottom w:val="single" w:sz="4" w:space="0" w:color="auto"/>
              <w:right w:val="single" w:sz="4" w:space="0" w:color="auto"/>
            </w:tcBorders>
            <w:vAlign w:val="center"/>
            <w:hideMark/>
          </w:tcPr>
          <w:p w14:paraId="57781557"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D7821F"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A7BF18"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05AE1C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942B8A"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4573955"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الحوكمة الرقمية والمدن الذكية</w:t>
            </w:r>
          </w:p>
        </w:tc>
      </w:tr>
      <w:tr w:rsidR="002B52AC" w:rsidRPr="002B52AC" w14:paraId="59105D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0325297"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Almulhim &amp; Yigitcanlar (2025)</w:t>
            </w:r>
          </w:p>
        </w:tc>
        <w:tc>
          <w:tcPr>
            <w:tcW w:w="1247" w:type="dxa"/>
            <w:tcBorders>
              <w:top w:val="nil"/>
              <w:left w:val="single" w:sz="4" w:space="0" w:color="auto"/>
              <w:bottom w:val="single" w:sz="4" w:space="0" w:color="auto"/>
              <w:right w:val="single" w:sz="4" w:space="0" w:color="auto"/>
            </w:tcBorders>
            <w:vAlign w:val="center"/>
            <w:hideMark/>
          </w:tcPr>
          <w:p w14:paraId="1597482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7B76C6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2C5ED9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E390C67"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D9DB4F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635627E"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الحوكمة الذكية والتنمية المستدامة</w:t>
            </w:r>
          </w:p>
        </w:tc>
      </w:tr>
      <w:tr w:rsidR="002B52AC" w:rsidRPr="002B52AC" w14:paraId="046BD7F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D0ACC6"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Hujran et al. (2023)</w:t>
            </w:r>
          </w:p>
        </w:tc>
        <w:tc>
          <w:tcPr>
            <w:tcW w:w="1247" w:type="dxa"/>
            <w:tcBorders>
              <w:top w:val="nil"/>
              <w:left w:val="single" w:sz="4" w:space="0" w:color="auto"/>
              <w:bottom w:val="single" w:sz="4" w:space="0" w:color="auto"/>
              <w:right w:val="single" w:sz="4" w:space="0" w:color="auto"/>
            </w:tcBorders>
            <w:vAlign w:val="center"/>
            <w:hideMark/>
          </w:tcPr>
          <w:p w14:paraId="57810B3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97E3F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107FC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602A600"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EA7040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8523298"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التحول نحو الحكومة الذكية</w:t>
            </w:r>
          </w:p>
        </w:tc>
      </w:tr>
      <w:tr w:rsidR="002B52AC" w:rsidRPr="002B52AC" w14:paraId="3BDB330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84839F4"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Alajmi et al. (2023)</w:t>
            </w:r>
          </w:p>
        </w:tc>
        <w:tc>
          <w:tcPr>
            <w:tcW w:w="1247" w:type="dxa"/>
            <w:tcBorders>
              <w:top w:val="nil"/>
              <w:left w:val="single" w:sz="4" w:space="0" w:color="auto"/>
              <w:bottom w:val="single" w:sz="4" w:space="0" w:color="auto"/>
              <w:right w:val="single" w:sz="4" w:space="0" w:color="auto"/>
            </w:tcBorders>
            <w:vAlign w:val="center"/>
            <w:hideMark/>
          </w:tcPr>
          <w:p w14:paraId="45E413B7"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D537A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3C5229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CDC12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786A30"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28E6590"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الحكومة الذكية في السعودية</w:t>
            </w:r>
          </w:p>
        </w:tc>
      </w:tr>
      <w:tr w:rsidR="002B52AC" w:rsidRPr="002B52AC" w14:paraId="3ADB246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40AA91"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El-Akruti et al. (2013)</w:t>
            </w:r>
          </w:p>
        </w:tc>
        <w:tc>
          <w:tcPr>
            <w:tcW w:w="1247" w:type="dxa"/>
            <w:tcBorders>
              <w:top w:val="nil"/>
              <w:left w:val="single" w:sz="4" w:space="0" w:color="auto"/>
              <w:bottom w:val="single" w:sz="4" w:space="0" w:color="auto"/>
              <w:right w:val="single" w:sz="4" w:space="0" w:color="auto"/>
            </w:tcBorders>
            <w:vAlign w:val="center"/>
            <w:hideMark/>
          </w:tcPr>
          <w:p w14:paraId="42DC6A8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F551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A05F5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75B251"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46ABF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740C53A"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إدارة الأصول الاستراتيجية</w:t>
            </w:r>
          </w:p>
        </w:tc>
      </w:tr>
      <w:tr w:rsidR="002B52AC" w:rsidRPr="002B52AC" w14:paraId="7D66593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40F5CB5"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Hastings (2021)</w:t>
            </w:r>
          </w:p>
        </w:tc>
        <w:tc>
          <w:tcPr>
            <w:tcW w:w="1247" w:type="dxa"/>
            <w:tcBorders>
              <w:top w:val="nil"/>
              <w:left w:val="single" w:sz="4" w:space="0" w:color="auto"/>
              <w:bottom w:val="single" w:sz="4" w:space="0" w:color="auto"/>
              <w:right w:val="single" w:sz="4" w:space="0" w:color="auto"/>
            </w:tcBorders>
            <w:vAlign w:val="center"/>
            <w:hideMark/>
          </w:tcPr>
          <w:p w14:paraId="5C64397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FD3611"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0FE79F"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35702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21BE37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2F1B2D5"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إدارة الأصول الفيزيائية</w:t>
            </w:r>
          </w:p>
        </w:tc>
      </w:tr>
      <w:tr w:rsidR="002B52AC" w:rsidRPr="002B52AC" w14:paraId="31160E1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5A786F09"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Vial (2019)</w:t>
            </w:r>
          </w:p>
        </w:tc>
        <w:tc>
          <w:tcPr>
            <w:tcW w:w="1247" w:type="dxa"/>
            <w:tcBorders>
              <w:top w:val="nil"/>
              <w:left w:val="single" w:sz="4" w:space="0" w:color="auto"/>
              <w:bottom w:val="single" w:sz="4" w:space="0" w:color="auto"/>
              <w:right w:val="single" w:sz="4" w:space="0" w:color="auto"/>
            </w:tcBorders>
            <w:vAlign w:val="center"/>
            <w:hideMark/>
          </w:tcPr>
          <w:p w14:paraId="59489BF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950C1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DFD4CE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7D355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374B74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FA8FD9C"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التحول الرقمي في المؤسسات</w:t>
            </w:r>
          </w:p>
        </w:tc>
      </w:tr>
      <w:tr w:rsidR="002B52AC" w:rsidRPr="002B52AC" w14:paraId="78AFE7A1"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6270F40"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Kraus et al. (2021)</w:t>
            </w:r>
          </w:p>
        </w:tc>
        <w:tc>
          <w:tcPr>
            <w:tcW w:w="1247" w:type="dxa"/>
            <w:tcBorders>
              <w:top w:val="nil"/>
              <w:left w:val="single" w:sz="4" w:space="0" w:color="auto"/>
              <w:bottom w:val="single" w:sz="4" w:space="0" w:color="auto"/>
              <w:right w:val="single" w:sz="4" w:space="0" w:color="auto"/>
            </w:tcBorders>
            <w:vAlign w:val="center"/>
            <w:hideMark/>
          </w:tcPr>
          <w:p w14:paraId="1380D901"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11AB2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E0661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4BA4A0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9B743D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B35426"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التحول الرقمي والأداء المؤسسي</w:t>
            </w:r>
          </w:p>
        </w:tc>
      </w:tr>
      <w:tr w:rsidR="002B52AC" w:rsidRPr="002B52AC" w14:paraId="0C1B7A19"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F5603AD"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Mergel et al. (2019)</w:t>
            </w:r>
          </w:p>
        </w:tc>
        <w:tc>
          <w:tcPr>
            <w:tcW w:w="1247" w:type="dxa"/>
            <w:tcBorders>
              <w:top w:val="nil"/>
              <w:left w:val="single" w:sz="4" w:space="0" w:color="auto"/>
              <w:bottom w:val="single" w:sz="4" w:space="0" w:color="auto"/>
              <w:right w:val="single" w:sz="4" w:space="0" w:color="auto"/>
            </w:tcBorders>
            <w:vAlign w:val="center"/>
            <w:hideMark/>
          </w:tcPr>
          <w:p w14:paraId="71D7C4CF"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A6258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FB388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5B3CC8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DBA8088"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6E1B64D"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التحول الرقمي في القطاع العام</w:t>
            </w:r>
          </w:p>
        </w:tc>
      </w:tr>
      <w:tr w:rsidR="002B52AC" w:rsidRPr="002B52AC" w14:paraId="44CE730F"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27C78F"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Fuller et al. (2020)</w:t>
            </w:r>
          </w:p>
        </w:tc>
        <w:tc>
          <w:tcPr>
            <w:tcW w:w="1247" w:type="dxa"/>
            <w:tcBorders>
              <w:top w:val="nil"/>
              <w:left w:val="single" w:sz="4" w:space="0" w:color="auto"/>
              <w:bottom w:val="single" w:sz="4" w:space="0" w:color="auto"/>
              <w:right w:val="single" w:sz="4" w:space="0" w:color="auto"/>
            </w:tcBorders>
            <w:vAlign w:val="center"/>
            <w:hideMark/>
          </w:tcPr>
          <w:p w14:paraId="321F6E7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ADCFFC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4D528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062F73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B265A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9F27063"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التوأم الرقمي</w:t>
            </w:r>
          </w:p>
        </w:tc>
      </w:tr>
      <w:tr w:rsidR="002B52AC" w:rsidRPr="002B52AC" w14:paraId="112C5E8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F20F245"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Zhang et al. (2023)</w:t>
            </w:r>
          </w:p>
        </w:tc>
        <w:tc>
          <w:tcPr>
            <w:tcW w:w="1247" w:type="dxa"/>
            <w:tcBorders>
              <w:top w:val="nil"/>
              <w:left w:val="single" w:sz="4" w:space="0" w:color="auto"/>
              <w:bottom w:val="single" w:sz="4" w:space="0" w:color="auto"/>
              <w:right w:val="single" w:sz="4" w:space="0" w:color="auto"/>
            </w:tcBorders>
            <w:vAlign w:val="center"/>
            <w:hideMark/>
          </w:tcPr>
          <w:p w14:paraId="6DFB298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7748EB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949DC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75F98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F314F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17784BE"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التوأم الرقمي في المياه</w:t>
            </w:r>
          </w:p>
        </w:tc>
      </w:tr>
      <w:tr w:rsidR="002B52AC" w:rsidRPr="002B52AC" w14:paraId="6B0AA856"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E33B52A"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Quintana et al. (2025)</w:t>
            </w:r>
          </w:p>
        </w:tc>
        <w:tc>
          <w:tcPr>
            <w:tcW w:w="1247" w:type="dxa"/>
            <w:tcBorders>
              <w:top w:val="nil"/>
              <w:left w:val="single" w:sz="4" w:space="0" w:color="auto"/>
              <w:bottom w:val="single" w:sz="4" w:space="0" w:color="auto"/>
              <w:right w:val="single" w:sz="4" w:space="0" w:color="auto"/>
            </w:tcBorders>
            <w:vAlign w:val="center"/>
            <w:hideMark/>
          </w:tcPr>
          <w:p w14:paraId="50B9EEB7"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07B00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8FCA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0021D30"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C2697F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FA01320"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أنظمة المياه الذكية</w:t>
            </w:r>
          </w:p>
        </w:tc>
      </w:tr>
      <w:tr w:rsidR="002B52AC" w:rsidRPr="002B52AC" w14:paraId="11B2DD2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2E8D2DF"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Dai et al. (2025)</w:t>
            </w:r>
          </w:p>
        </w:tc>
        <w:tc>
          <w:tcPr>
            <w:tcW w:w="1247" w:type="dxa"/>
            <w:tcBorders>
              <w:top w:val="nil"/>
              <w:left w:val="single" w:sz="4" w:space="0" w:color="auto"/>
              <w:bottom w:val="single" w:sz="4" w:space="0" w:color="auto"/>
              <w:right w:val="single" w:sz="4" w:space="0" w:color="auto"/>
            </w:tcBorders>
            <w:vAlign w:val="center"/>
            <w:hideMark/>
          </w:tcPr>
          <w:p w14:paraId="08EE709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E61C71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208C3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3AFC3F1"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FCC39A"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03E8B6A0"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إدارة المياه الذكية</w:t>
            </w:r>
          </w:p>
        </w:tc>
      </w:tr>
      <w:tr w:rsidR="002B52AC" w:rsidRPr="002B52AC" w14:paraId="2BFC7B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DA465C"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Geissdoerfer et al. (2017)</w:t>
            </w:r>
          </w:p>
        </w:tc>
        <w:tc>
          <w:tcPr>
            <w:tcW w:w="1247" w:type="dxa"/>
            <w:tcBorders>
              <w:top w:val="nil"/>
              <w:left w:val="single" w:sz="4" w:space="0" w:color="auto"/>
              <w:bottom w:val="single" w:sz="4" w:space="0" w:color="auto"/>
              <w:right w:val="single" w:sz="4" w:space="0" w:color="auto"/>
            </w:tcBorders>
            <w:vAlign w:val="center"/>
            <w:hideMark/>
          </w:tcPr>
          <w:p w14:paraId="71C9E53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6AD50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27C59E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92726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3C823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45C1774"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الاقتصاد الدائري</w:t>
            </w:r>
          </w:p>
        </w:tc>
      </w:tr>
      <w:tr w:rsidR="002B52AC" w:rsidRPr="002B52AC" w14:paraId="7578A1B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0229BEF"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Smol et al. (2020)</w:t>
            </w:r>
          </w:p>
        </w:tc>
        <w:tc>
          <w:tcPr>
            <w:tcW w:w="1247" w:type="dxa"/>
            <w:tcBorders>
              <w:top w:val="nil"/>
              <w:left w:val="single" w:sz="4" w:space="0" w:color="auto"/>
              <w:bottom w:val="single" w:sz="4" w:space="0" w:color="auto"/>
              <w:right w:val="single" w:sz="4" w:space="0" w:color="auto"/>
            </w:tcBorders>
            <w:vAlign w:val="center"/>
            <w:hideMark/>
          </w:tcPr>
          <w:p w14:paraId="1AC4D6C0"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6F3CB3"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278544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46ED6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50F7E8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E76250F"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الاستدامة في المياه</w:t>
            </w:r>
          </w:p>
        </w:tc>
      </w:tr>
      <w:tr w:rsidR="002B52AC" w:rsidRPr="002B52AC" w14:paraId="34B95BE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FE1C214"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Butler et al. (2014)</w:t>
            </w:r>
          </w:p>
        </w:tc>
        <w:tc>
          <w:tcPr>
            <w:tcW w:w="1247" w:type="dxa"/>
            <w:tcBorders>
              <w:top w:val="nil"/>
              <w:left w:val="single" w:sz="4" w:space="0" w:color="auto"/>
              <w:bottom w:val="single" w:sz="4" w:space="0" w:color="auto"/>
              <w:right w:val="single" w:sz="4" w:space="0" w:color="auto"/>
            </w:tcBorders>
            <w:vAlign w:val="center"/>
            <w:hideMark/>
          </w:tcPr>
          <w:p w14:paraId="02DF3AD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E0AE6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E8EB77F"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22886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D8E98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B84E7B1"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إدارة المياه المستدامة</w:t>
            </w:r>
          </w:p>
        </w:tc>
      </w:tr>
      <w:tr w:rsidR="002B52AC" w:rsidRPr="002B52AC" w14:paraId="05D625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460858DB"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Elkington (1997)</w:t>
            </w:r>
          </w:p>
        </w:tc>
        <w:tc>
          <w:tcPr>
            <w:tcW w:w="1247" w:type="dxa"/>
            <w:tcBorders>
              <w:top w:val="nil"/>
              <w:left w:val="single" w:sz="4" w:space="0" w:color="auto"/>
              <w:bottom w:val="single" w:sz="4" w:space="0" w:color="auto"/>
              <w:right w:val="single" w:sz="4" w:space="0" w:color="auto"/>
            </w:tcBorders>
            <w:vAlign w:val="center"/>
            <w:hideMark/>
          </w:tcPr>
          <w:p w14:paraId="4945A78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0386A9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5EE5F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A857BE"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33B044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A1F824A"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الاستدامة</w:t>
            </w:r>
          </w:p>
        </w:tc>
      </w:tr>
      <w:tr w:rsidR="002B52AC" w:rsidRPr="002B52AC" w14:paraId="2EC8965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371358C"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Porter &amp; Kramer (2011)</w:t>
            </w:r>
          </w:p>
        </w:tc>
        <w:tc>
          <w:tcPr>
            <w:tcW w:w="1247" w:type="dxa"/>
            <w:tcBorders>
              <w:top w:val="nil"/>
              <w:left w:val="single" w:sz="4" w:space="0" w:color="auto"/>
              <w:bottom w:val="single" w:sz="4" w:space="0" w:color="auto"/>
              <w:right w:val="single" w:sz="4" w:space="0" w:color="auto"/>
            </w:tcBorders>
            <w:vAlign w:val="center"/>
            <w:hideMark/>
          </w:tcPr>
          <w:p w14:paraId="291FF67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3E9BA1"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EE5410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BFBDB8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239F7"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41683BC"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القيمة المشتركة</w:t>
            </w:r>
          </w:p>
        </w:tc>
      </w:tr>
      <w:tr w:rsidR="002B52AC" w:rsidRPr="002B52AC" w14:paraId="53F62F9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03B8527"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Richard et al. (2009)</w:t>
            </w:r>
          </w:p>
        </w:tc>
        <w:tc>
          <w:tcPr>
            <w:tcW w:w="1247" w:type="dxa"/>
            <w:tcBorders>
              <w:top w:val="nil"/>
              <w:left w:val="single" w:sz="4" w:space="0" w:color="auto"/>
              <w:bottom w:val="single" w:sz="4" w:space="0" w:color="auto"/>
              <w:right w:val="single" w:sz="4" w:space="0" w:color="auto"/>
            </w:tcBorders>
            <w:vAlign w:val="center"/>
            <w:hideMark/>
          </w:tcPr>
          <w:p w14:paraId="6670204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69422D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C091EB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EB59EB"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3E5829D"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D0666D"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الأداء المؤسسي</w:t>
            </w:r>
          </w:p>
        </w:tc>
      </w:tr>
      <w:tr w:rsidR="002B52AC" w:rsidRPr="002B52AC" w14:paraId="508BD74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68BFB49"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Melnyk et al. (2014)</w:t>
            </w:r>
          </w:p>
        </w:tc>
        <w:tc>
          <w:tcPr>
            <w:tcW w:w="1247" w:type="dxa"/>
            <w:tcBorders>
              <w:top w:val="nil"/>
              <w:left w:val="single" w:sz="4" w:space="0" w:color="auto"/>
              <w:bottom w:val="single" w:sz="4" w:space="0" w:color="auto"/>
              <w:right w:val="single" w:sz="4" w:space="0" w:color="auto"/>
            </w:tcBorders>
            <w:vAlign w:val="center"/>
            <w:hideMark/>
          </w:tcPr>
          <w:p w14:paraId="6333F409"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B25F946"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AD8E3DF"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DAABC00"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B2B9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3C4D0D2"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قياس الأداء المؤسسي</w:t>
            </w:r>
          </w:p>
        </w:tc>
      </w:tr>
      <w:tr w:rsidR="002B52AC" w:rsidRPr="002B52AC" w14:paraId="6CAAAA7E"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FCE106A" w14:textId="77777777" w:rsidR="002B52AC" w:rsidRPr="002B52AC" w:rsidRDefault="002B52AC" w:rsidP="002B52AC">
            <w:pPr>
              <w:bidi/>
              <w:spacing w:after="0" w:line="240" w:lineRule="auto"/>
              <w:jc w:val="center"/>
              <w:rPr>
                <w:rFonts w:ascii="Arial" w:eastAsia="Times New Roman" w:hAnsi="Arial" w:cs="Arial"/>
                <w:color w:val="000000"/>
                <w:rtl/>
              </w:rPr>
            </w:pPr>
            <w:r w:rsidRPr="002B52AC">
              <w:rPr>
                <w:rFonts w:ascii="Arial" w:eastAsia="Times New Roman" w:hAnsi="Arial" w:cs="Arial"/>
                <w:color w:val="000000"/>
                <w:rtl/>
              </w:rPr>
              <w:lastRenderedPageBreak/>
              <w:t>العابد (2024)</w:t>
            </w:r>
          </w:p>
        </w:tc>
        <w:tc>
          <w:tcPr>
            <w:tcW w:w="1247" w:type="dxa"/>
            <w:tcBorders>
              <w:top w:val="nil"/>
              <w:left w:val="single" w:sz="4" w:space="0" w:color="auto"/>
              <w:bottom w:val="single" w:sz="4" w:space="0" w:color="auto"/>
              <w:right w:val="single" w:sz="4" w:space="0" w:color="auto"/>
            </w:tcBorders>
            <w:vAlign w:val="center"/>
            <w:hideMark/>
          </w:tcPr>
          <w:p w14:paraId="3F587BA3"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08C00D8"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09362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6EA41F"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19B1712"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5D0F743"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التحول الرقمي والاستدامة</w:t>
            </w:r>
          </w:p>
        </w:tc>
      </w:tr>
      <w:tr w:rsidR="002B52AC" w:rsidRPr="002B52AC" w14:paraId="17F1A6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A5B8601" w14:textId="77777777" w:rsidR="002B52AC" w:rsidRPr="002B52AC" w:rsidRDefault="002B52AC" w:rsidP="002B52AC">
            <w:pPr>
              <w:bidi/>
              <w:spacing w:after="0" w:line="240" w:lineRule="auto"/>
              <w:jc w:val="center"/>
              <w:rPr>
                <w:rFonts w:ascii="Arial" w:eastAsia="Times New Roman" w:hAnsi="Arial" w:cs="Arial"/>
                <w:color w:val="000000"/>
                <w:rtl/>
              </w:rPr>
            </w:pPr>
            <w:r w:rsidRPr="002B52AC">
              <w:rPr>
                <w:rFonts w:ascii="Arial" w:eastAsia="Times New Roman" w:hAnsi="Arial" w:cs="Arial"/>
                <w:color w:val="000000"/>
                <w:rtl/>
              </w:rPr>
              <w:t>عبدالراضي (2020)</w:t>
            </w:r>
          </w:p>
        </w:tc>
        <w:tc>
          <w:tcPr>
            <w:tcW w:w="1247" w:type="dxa"/>
            <w:tcBorders>
              <w:top w:val="nil"/>
              <w:left w:val="single" w:sz="4" w:space="0" w:color="auto"/>
              <w:bottom w:val="single" w:sz="4" w:space="0" w:color="auto"/>
              <w:right w:val="single" w:sz="4" w:space="0" w:color="auto"/>
            </w:tcBorders>
            <w:vAlign w:val="center"/>
            <w:hideMark/>
          </w:tcPr>
          <w:p w14:paraId="5430B34C" w14:textId="77777777" w:rsidR="002B52AC" w:rsidRPr="002B52AC" w:rsidRDefault="002B52AC" w:rsidP="002B52AC">
            <w:pPr>
              <w:spacing w:after="0" w:line="240" w:lineRule="auto"/>
              <w:jc w:val="center"/>
              <w:rPr>
                <w:rFonts w:ascii="Arial" w:eastAsia="Times New Roman" w:hAnsi="Arial" w:cs="Arial"/>
                <w:color w:val="000000"/>
                <w:rtl/>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5B49C4"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9D845"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85A907A"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565881C" w14:textId="77777777" w:rsidR="002B52AC" w:rsidRPr="002B52AC" w:rsidRDefault="002B52AC" w:rsidP="002B52AC">
            <w:pPr>
              <w:spacing w:after="0" w:line="240" w:lineRule="auto"/>
              <w:jc w:val="center"/>
              <w:rPr>
                <w:rFonts w:ascii="Arial" w:eastAsia="Times New Roman" w:hAnsi="Arial" w:cs="Arial"/>
                <w:color w:val="000000"/>
              </w:rPr>
            </w:pPr>
            <w:r w:rsidRPr="002B52AC">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3239AAC" w14:textId="77777777" w:rsidR="002B52AC" w:rsidRPr="002B52AC" w:rsidRDefault="002B52AC" w:rsidP="002B52AC">
            <w:pPr>
              <w:bidi/>
              <w:spacing w:after="0" w:line="240" w:lineRule="auto"/>
              <w:jc w:val="center"/>
              <w:rPr>
                <w:rFonts w:ascii="Arial" w:eastAsia="Times New Roman" w:hAnsi="Arial" w:cs="Arial"/>
                <w:color w:val="000000"/>
              </w:rPr>
            </w:pPr>
            <w:r w:rsidRPr="002B52AC">
              <w:rPr>
                <w:rFonts w:ascii="Arial" w:eastAsia="Times New Roman" w:hAnsi="Arial" w:cs="Arial"/>
                <w:color w:val="000000"/>
                <w:rtl/>
              </w:rPr>
              <w:t>التحول الرقمي والأداء المؤسسي</w:t>
            </w:r>
          </w:p>
        </w:tc>
      </w:tr>
    </w:tbl>
    <w:p w14:paraId="53E4F0E5" w14:textId="77777777" w:rsidR="00540CDD" w:rsidRDefault="00540CDD" w:rsidP="00540CDD">
      <w:pPr>
        <w:pStyle w:val="ListParagraph"/>
        <w:bidi/>
        <w:spacing w:line="278" w:lineRule="auto"/>
        <w:ind w:left="0"/>
        <w:jc w:val="both"/>
        <w:rPr>
          <w:rFonts w:ascii="Traditional Arabic" w:hAnsi="Traditional Arabic" w:cs="Traditional Arabic"/>
          <w:b/>
          <w:bCs/>
          <w:sz w:val="28"/>
          <w:szCs w:val="28"/>
          <w:rtl/>
        </w:rPr>
      </w:pPr>
    </w:p>
    <w:p w14:paraId="249890AF" w14:textId="77777777" w:rsidR="000C19EE" w:rsidRPr="00540CDD" w:rsidRDefault="000C19EE" w:rsidP="000C19EE">
      <w:pPr>
        <w:pStyle w:val="ListParagraph"/>
        <w:bidi/>
        <w:spacing w:line="278" w:lineRule="auto"/>
        <w:jc w:val="both"/>
        <w:rPr>
          <w:rFonts w:ascii="Traditional Arabic" w:hAnsi="Traditional Arabic" w:cs="Traditional Arabic"/>
          <w:b/>
          <w:bCs/>
          <w:sz w:val="28"/>
          <w:szCs w:val="28"/>
        </w:rPr>
      </w:pPr>
      <w:r w:rsidRPr="00540CDD">
        <w:rPr>
          <w:rFonts w:ascii="Segoe UI Symbol" w:hAnsi="Segoe UI Symbol" w:cs="Segoe UI Symbol"/>
          <w:b/>
          <w:bCs/>
          <w:sz w:val="28"/>
          <w:szCs w:val="28"/>
        </w:rPr>
        <w:t>✔</w:t>
      </w:r>
      <w:r w:rsidRPr="00540CDD">
        <w:rPr>
          <w:rFonts w:ascii="Traditional Arabic" w:hAnsi="Traditional Arabic" w:cs="Traditional Arabic"/>
          <w:b/>
          <w:bCs/>
          <w:sz w:val="28"/>
          <w:szCs w:val="28"/>
        </w:rPr>
        <w:t xml:space="preserve"> = </w:t>
      </w:r>
      <w:r w:rsidRPr="00540CDD">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ListParagraph"/>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sidR="006D40D0" w:rsidRPr="006D40D0">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sidRPr="00403982">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sidRPr="00403982">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sidRPr="00403982">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sidRPr="00403982">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sidRPr="00403982">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lastRenderedPageBreak/>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sidRPr="00403982">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sidRPr="00403982">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sidRPr="00403982">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sidRPr="00403982">
        <w:rPr>
          <w:rFonts w:ascii="Traditional Arabic" w:hAnsi="Traditional Arabic" w:cs="Traditional Arabic"/>
          <w:sz w:val="28"/>
          <w:szCs w:val="28"/>
        </w:rPr>
        <w:t xml:space="preserve"> (SEM/PLS)</w:t>
      </w:r>
      <w:r w:rsidRPr="00403982">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sidRPr="00403982">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ضعف توظيف نمذجة المعادلات الهيكلية (</w:t>
      </w:r>
      <w:r w:rsidRPr="006D40D0">
        <w:rPr>
          <w:rFonts w:ascii="Traditional Arabic" w:hAnsi="Traditional Arabic" w:cs="Traditional Arabic"/>
          <w:sz w:val="28"/>
          <w:szCs w:val="28"/>
        </w:rPr>
        <w:t>SEM/PLS</w:t>
      </w:r>
      <w:r w:rsidRPr="006D40D0">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B7711D">
      <w:pPr>
        <w:pStyle w:val="ListParagraph"/>
        <w:numPr>
          <w:ilvl w:val="0"/>
          <w:numId w:val="25"/>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ListParagraph"/>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sidRPr="00857EE7">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ع</w:t>
      </w:r>
      <w:r w:rsidRPr="004A560D">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sidRPr="004A560D">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sidRPr="004A560D">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sidRPr="004A560D">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sidRPr="004A560D">
        <w:rPr>
          <w:rFonts w:ascii="Traditional Arabic" w:hAnsi="Traditional Arabic" w:cs="Traditional Arabic"/>
          <w:sz w:val="28"/>
          <w:szCs w:val="28"/>
          <w:rtl/>
        </w:rPr>
        <w:t>إضافة إلى ذلك، يلاحظ محدودية الدراسات التي وظفت نمذجة المعادلات الهيكلية</w:t>
      </w:r>
      <w:r w:rsidRPr="004A560D">
        <w:rPr>
          <w:rFonts w:ascii="Traditional Arabic" w:hAnsi="Traditional Arabic" w:cs="Traditional Arabic"/>
          <w:sz w:val="28"/>
          <w:szCs w:val="28"/>
        </w:rPr>
        <w:t xml:space="preserve"> (SEM/PLS) </w:t>
      </w:r>
      <w:r w:rsidRPr="004A560D">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sidRPr="004A560D">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sidRPr="004A560D">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sidRPr="004A560D">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sidRPr="00857EE7">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sidRPr="00857EE7">
        <w:rPr>
          <w:rFonts w:ascii="Traditional Arabic" w:hAnsi="Traditional Arabic" w:cs="Traditional Arabic"/>
          <w:sz w:val="28"/>
          <w:szCs w:val="28"/>
          <w:rtl/>
        </w:rPr>
        <w:t>تسعى الدراسة الحالية إلى سد هذه الفجوة من خلال</w:t>
      </w:r>
      <w:r w:rsidRPr="00857EE7">
        <w:rPr>
          <w:rFonts w:ascii="Traditional Arabic" w:hAnsi="Traditional Arabic" w:cs="Traditional Arabic"/>
          <w:sz w:val="28"/>
          <w:szCs w:val="28"/>
        </w:rPr>
        <w:t>:</w:t>
      </w:r>
    </w:p>
    <w:p w14:paraId="087CD6B6" w14:textId="77777777" w:rsidR="00857EE7" w:rsidRPr="00857EE7" w:rsidRDefault="00857EE7" w:rsidP="00B7711D">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تطوير نموذج حوكمة ذكي لإدارة التفتيش الفني في أصول البنية التحتية المائية</w:t>
      </w:r>
      <w:r w:rsidRPr="00857EE7">
        <w:rPr>
          <w:rFonts w:ascii="Traditional Arabic" w:hAnsi="Traditional Arabic" w:cs="Traditional Arabic"/>
          <w:sz w:val="28"/>
          <w:szCs w:val="28"/>
        </w:rPr>
        <w:t>.</w:t>
      </w:r>
    </w:p>
    <w:p w14:paraId="3845B74B" w14:textId="77777777" w:rsidR="00857EE7" w:rsidRPr="00857EE7" w:rsidRDefault="00857EE7" w:rsidP="00B7711D">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إدراج الحوكمة الذكية كآلية تنظيمية تفسيرية</w:t>
      </w:r>
      <w:r w:rsidRPr="00857EE7">
        <w:rPr>
          <w:rFonts w:ascii="Traditional Arabic" w:hAnsi="Traditional Arabic" w:cs="Traditional Arabic"/>
          <w:sz w:val="28"/>
          <w:szCs w:val="28"/>
        </w:rPr>
        <w:t>.</w:t>
      </w:r>
    </w:p>
    <w:p w14:paraId="65959468" w14:textId="6E527A1A" w:rsidR="00857EE7" w:rsidRPr="00857EE7" w:rsidRDefault="00857EE7" w:rsidP="00B7711D">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اختبار العلاقات السببية باستخدام نمذجة المعادلات الهيكلية</w:t>
      </w:r>
      <w:r>
        <w:rPr>
          <w:rFonts w:ascii="Traditional Arabic" w:hAnsi="Traditional Arabic" w:cs="Traditional Arabic" w:hint="cs"/>
          <w:sz w:val="28"/>
          <w:szCs w:val="28"/>
          <w:rtl/>
        </w:rPr>
        <w:t xml:space="preserve"> </w:t>
      </w:r>
      <w:r w:rsidRPr="00857EE7">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B7711D">
      <w:pPr>
        <w:numPr>
          <w:ilvl w:val="0"/>
          <w:numId w:val="20"/>
        </w:numPr>
        <w:bidi/>
        <w:rPr>
          <w:rFonts w:ascii="Traditional Arabic" w:hAnsi="Traditional Arabic" w:cs="Traditional Arabic"/>
          <w:sz w:val="28"/>
          <w:szCs w:val="28"/>
        </w:rPr>
      </w:pPr>
      <w:r w:rsidRPr="00857EE7">
        <w:rPr>
          <w:rFonts w:ascii="Traditional Arabic" w:hAnsi="Traditional Arabic" w:cs="Traditional Arabic"/>
          <w:sz w:val="28"/>
          <w:szCs w:val="28"/>
          <w:rtl/>
        </w:rPr>
        <w:t>تطبيق النموذج في قطاع المياه السعودي دعمًا لمستهدفات رؤية 2030</w:t>
      </w:r>
      <w:r w:rsidRPr="00857EE7">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sidRPr="00857EE7">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sidRPr="00857EE7">
        <w:rPr>
          <w:rFonts w:ascii="Traditional Arabic" w:hAnsi="Traditional Arabic" w:cs="Traditional Arabic"/>
          <w:sz w:val="28"/>
          <w:szCs w:val="28"/>
        </w:rPr>
        <w:t>.</w:t>
      </w:r>
    </w:p>
    <w:p w14:paraId="44A02DCA" w14:textId="6411EDED" w:rsidR="00862207" w:rsidRDefault="004D47BA" w:rsidP="004D47BA">
      <w:pPr>
        <w:bidi/>
        <w:jc w:val="both"/>
        <w:rPr>
          <w:rtl/>
        </w:rPr>
      </w:pPr>
      <w:r w:rsidRPr="004D47BA">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sidRPr="004D47BA">
        <w:rPr>
          <w:rFonts w:ascii="Traditional Arabic" w:hAnsi="Traditional Arabic" w:cs="Traditional Arabic"/>
          <w:sz w:val="28"/>
          <w:szCs w:val="28"/>
        </w:rPr>
        <w:t>.</w:t>
      </w:r>
      <w:r w:rsidRPr="004D47BA">
        <w:rPr>
          <w:rFonts w:ascii="Traditional Arabic" w:hAnsi="Traditional Arabic" w:cs="Traditional Arabic"/>
          <w:sz w:val="28"/>
          <w:szCs w:val="28"/>
        </w:rPr>
        <w:br/>
      </w:r>
      <w:r w:rsidRPr="004D47BA">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sidRPr="004D47BA">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sidRPr="00122559">
        <w:rPr>
          <w:rFonts w:ascii="Traditional Arabic" w:hAnsi="Traditional Arabic" w:cs="Traditional Arabic"/>
          <w:b/>
          <w:bCs/>
          <w:sz w:val="28"/>
          <w:szCs w:val="28"/>
          <w:rtl/>
        </w:rPr>
        <w:lastRenderedPageBreak/>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sidRPr="00B57E78">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sidRPr="00B57E78">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sidRPr="00B57E78">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sidRPr="00B57E78">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sidRPr="00540CDD">
        <w:rPr>
          <w:rFonts w:ascii="Traditional Arabic" w:hAnsi="Traditional Arabic" w:cs="Traditional Arabic"/>
          <w:sz w:val="28"/>
          <w:szCs w:val="28"/>
          <w:rtl/>
        </w:rPr>
        <w:t>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sidRPr="00540CDD">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sidRPr="00540CDD">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sidRPr="00540CDD">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sidRPr="00540CDD">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sidRPr="00540CDD">
        <w:rPr>
          <w:rFonts w:ascii="Traditional Arabic" w:hAnsi="Traditional Arabic" w:cs="Traditional Arabic"/>
          <w:sz w:val="28"/>
          <w:szCs w:val="28"/>
        </w:rPr>
        <w:t xml:space="preserve"> (SEM / PLS)</w:t>
      </w:r>
      <w:r w:rsidRPr="00540CDD">
        <w:rPr>
          <w:rFonts w:ascii="Traditional Arabic" w:hAnsi="Traditional Arabic" w:cs="Traditional Arabic"/>
          <w:sz w:val="28"/>
          <w:szCs w:val="28"/>
          <w:rtl/>
        </w:rPr>
        <w:t>، والتي سيتم عرض إجراءاتها بالتفصيل في الفصل الثالث الخاص بمنهجية الدراسة</w:t>
      </w:r>
      <w:r w:rsidRPr="00540CDD">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sidRPr="00540CDD">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B8FEF59" w14:textId="77777777" w:rsidR="009536B2" w:rsidRDefault="00CD23D5" w:rsidP="00631A3A">
      <w:pPr>
        <w:pStyle w:val="Heading1"/>
        <w:bidi/>
        <w:rPr>
          <w:rFonts w:ascii="Traditional Arabic" w:eastAsia="Times New Roman" w:hAnsi="Traditional Arabic" w:cs="Traditional Arabic"/>
          <w:b/>
          <w:bCs/>
        </w:rPr>
      </w:pPr>
      <w:r w:rsidRPr="00DB0AFE">
        <w:rPr>
          <w:rFonts w:ascii="Traditional Arabic" w:eastAsia="Times New Roman" w:hAnsi="Traditional Arabic" w:cs="Traditional Arabic"/>
          <w:b/>
          <w:bCs/>
          <w:rtl/>
        </w:rPr>
        <w:lastRenderedPageBreak/>
        <w:t>الفصل الثالث</w:t>
      </w:r>
      <w:bookmarkEnd w:id="13"/>
    </w:p>
    <w:p w14:paraId="71E37D4D" w14:textId="37BC29FA" w:rsidR="009536B2" w:rsidRDefault="00FC4BE6" w:rsidP="009536B2">
      <w:pPr>
        <w:pStyle w:val="Heading1"/>
        <w:bidi/>
        <w:rPr>
          <w:rFonts w:ascii="Traditional Arabic" w:eastAsia="Times New Roman" w:hAnsi="Traditional Arabic" w:cs="Traditional Arabic"/>
          <w:b/>
          <w:bCs/>
        </w:rPr>
      </w:pPr>
      <w:r w:rsidRPr="00FC4BE6">
        <w:rPr>
          <w:rFonts w:ascii="Traditional Arabic" w:eastAsia="Times New Roman" w:hAnsi="Traditional Arabic" w:cs="Traditional Arabic"/>
          <w:b/>
          <w:bCs/>
          <w:rtl/>
        </w:rPr>
        <w:t>الطريقة والإجراءات (المنهجية)</w:t>
      </w:r>
    </w:p>
    <w:p w14:paraId="0C95E762" w14:textId="3F4AE83C" w:rsidR="00CD23D5" w:rsidRDefault="009536B2" w:rsidP="009A71C7">
      <w:pPr>
        <w:pStyle w:val="Heading1"/>
        <w:numPr>
          <w:ilvl w:val="0"/>
          <w:numId w:val="0"/>
        </w:numPr>
        <w:bidi/>
        <w:rPr>
          <w:rFonts w:ascii="Traditional Arabic" w:eastAsia="Times New Roman" w:hAnsi="Traditional Arabic" w:cs="Traditional Arabic"/>
          <w:b/>
          <w:bCs/>
          <w:rtl/>
        </w:rPr>
      </w:pPr>
      <w:r w:rsidRPr="009536B2">
        <w:rPr>
          <w:rFonts w:ascii="Traditional Arabic" w:eastAsia="Times New Roman" w:hAnsi="Traditional Arabic" w:cs="Traditional Arabic"/>
          <w:b/>
          <w:bCs/>
          <w:rtl/>
        </w:rPr>
        <w:t>أولاً: مقدمة الفصل</w:t>
      </w:r>
    </w:p>
    <w:p w14:paraId="69847790" w14:textId="77777777" w:rsidR="009536B2" w:rsidRPr="009536B2" w:rsidRDefault="009536B2" w:rsidP="009536B2">
      <w:pPr>
        <w:bidi/>
        <w:jc w:val="both"/>
        <w:rPr>
          <w:rFonts w:ascii="Traditional Arabic" w:hAnsi="Traditional Arabic" w:cs="Traditional Arabic"/>
          <w:sz w:val="28"/>
          <w:szCs w:val="28"/>
          <w:rtl/>
        </w:rPr>
      </w:pPr>
      <w:r w:rsidRPr="009536B2">
        <w:rPr>
          <w:rFonts w:ascii="Traditional Arabic" w:hAnsi="Traditional Arabic" w:cs="Traditional Arabic"/>
          <w:sz w:val="28"/>
          <w:szCs w:val="28"/>
          <w:rtl/>
        </w:rPr>
        <w:t>يُعنى هذا الفصل بعرض الإجراءات المنهجية التي اتبعتها الدراسة في جمع البيانات وتحليلها، والتي تمثل الركيزة الأساسية لاختبار النموذج المفاهيمي المقترح واستخلاص النتائج العلمية. وقد جرى اختيار المنهج البحثي المناسب استناداً إلى طبيعة مشكلة الدراسة وأسئلتها وفروضها، وذلك بهدف التحقق من العلاقات السببية بين متغيرات الدراسة المتمثلة في التحول الرقمي، والاستدامة المؤسسية، والحوكمة الذكية، وسلامة أصول البنية التحتية المائية، والأداء المؤسسي في قطاع المياه السعودي</w:t>
      </w:r>
      <w:r w:rsidRPr="009536B2">
        <w:rPr>
          <w:rFonts w:ascii="Traditional Arabic" w:hAnsi="Traditional Arabic" w:cs="Traditional Arabic"/>
          <w:sz w:val="28"/>
          <w:szCs w:val="28"/>
        </w:rPr>
        <w:t>.</w:t>
      </w:r>
    </w:p>
    <w:p w14:paraId="7927C5F9" w14:textId="4F75E8C1" w:rsidR="009536B2" w:rsidRPr="00375A8A" w:rsidRDefault="009536B2" w:rsidP="00375A8A">
      <w:pPr>
        <w:bidi/>
        <w:jc w:val="both"/>
        <w:rPr>
          <w:rFonts w:ascii="Traditional Arabic" w:hAnsi="Traditional Arabic" w:cs="Traditional Arabic"/>
          <w:sz w:val="28"/>
          <w:szCs w:val="28"/>
        </w:rPr>
      </w:pPr>
      <w:r w:rsidRPr="009536B2">
        <w:rPr>
          <w:rFonts w:ascii="Traditional Arabic" w:hAnsi="Traditional Arabic" w:cs="Traditional Arabic"/>
          <w:sz w:val="28"/>
          <w:szCs w:val="28"/>
          <w:rtl/>
        </w:rPr>
        <w:t>وانطلاقاً من ذلك، يستعرض هذا الفصل منهج البحث المعتمد وطريقة الاستقصاء، ومجتمع الدراسة وأسلوب اختيار العينة، وأدوات جمع البيانات، والأساليب الإحصائية المستخدمة في التحليل، وإجراءات التحقق من الصدق والثبات، وذلك ضماناً لمصداقية الدراسة وموثوقية نتائجها</w:t>
      </w:r>
      <w:r w:rsidR="009A71C7">
        <w:rPr>
          <w:rFonts w:ascii="Traditional Arabic" w:hAnsi="Traditional Arabic" w:cs="Traditional Arabic" w:hint="cs"/>
          <w:sz w:val="28"/>
          <w:szCs w:val="28"/>
          <w:rtl/>
        </w:rPr>
        <w:t>.</w:t>
      </w:r>
    </w:p>
    <w:p w14:paraId="4388848A" w14:textId="77777777" w:rsidR="009A71C7" w:rsidRPr="00943C1C" w:rsidRDefault="009A71C7" w:rsidP="00943C1C">
      <w:pPr>
        <w:pStyle w:val="Heading1"/>
        <w:numPr>
          <w:ilvl w:val="0"/>
          <w:numId w:val="0"/>
        </w:numPr>
        <w:bidi/>
        <w:rPr>
          <w:rFonts w:ascii="Traditional Arabic" w:eastAsia="Times New Roman" w:hAnsi="Traditional Arabic" w:cs="Traditional Arabic"/>
          <w:b/>
          <w:bCs/>
          <w:rtl/>
        </w:rPr>
      </w:pPr>
      <w:r w:rsidRPr="00943C1C">
        <w:rPr>
          <w:rFonts w:ascii="Traditional Arabic" w:eastAsia="Times New Roman" w:hAnsi="Traditional Arabic" w:cs="Traditional Arabic"/>
          <w:b/>
          <w:bCs/>
          <w:rtl/>
        </w:rPr>
        <w:t>ثانياً: منهج البحث</w:t>
      </w:r>
    </w:p>
    <w:p w14:paraId="67517F91" w14:textId="6B37F9C6"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اعتمدت هذه الدراسة المنهج الوصفي التحليلي بوصفه المنهج الأكثر ملاءمةً لطبيعتها، إذ يُتيح هذا المنهج وصف الظاهرة موضع الدراسة وتشخيصها، ثم تحليل العلاقات بين متغيراتها واستخلاص الاستنتاجات المنهجية اللازمة</w:t>
      </w:r>
      <w:r w:rsidRPr="00943C1C">
        <w:rPr>
          <w:rFonts w:ascii="Traditional Arabic" w:hAnsi="Traditional Arabic" w:cs="Traditional Arabic"/>
          <w:sz w:val="28"/>
          <w:szCs w:val="28"/>
        </w:rPr>
        <w:t xml:space="preserve"> (Creswell &amp; Creswell, </w:t>
      </w:r>
      <w:r w:rsidR="00A14B1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2018)</w:t>
      </w:r>
      <w:r w:rsidR="00A14B1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كما يُمكّن هذا المنهج من الجمع بين البعدين الكمي والكيفي في إطار بحثي تكاملي يُعرف في الأدبيات بمنهج التثليث</w:t>
      </w:r>
      <w:r w:rsidRPr="00943C1C">
        <w:rPr>
          <w:rFonts w:ascii="Traditional Arabic" w:hAnsi="Traditional Arabic" w:cs="Traditional Arabic"/>
          <w:sz w:val="28"/>
          <w:szCs w:val="28"/>
        </w:rPr>
        <w:t xml:space="preserve"> (Mixed-Methods Triangulation)</w:t>
      </w:r>
      <w:r w:rsidR="00A14B18">
        <w:rPr>
          <w:rFonts w:ascii="Traditional Arabic" w:hAnsi="Traditional Arabic" w:cs="Traditional Arabic" w:hint="cs"/>
          <w:sz w:val="28"/>
          <w:szCs w:val="28"/>
          <w:rtl/>
        </w:rPr>
        <w:t>.</w:t>
      </w:r>
    </w:p>
    <w:p w14:paraId="3C97CAEC" w14:textId="5D761CC9"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وتُشير الأدبيات إلى أن المنهج الوصفي التحليلي يُوظَّف على نطاق واسع في الدراسات التي تهدف إلى فحص العلاقات السببية بين المتغيرات المعقدة</w:t>
      </w:r>
      <w:r w:rsidRPr="00943C1C">
        <w:rPr>
          <w:rFonts w:ascii="Traditional Arabic" w:hAnsi="Traditional Arabic" w:cs="Traditional Arabic"/>
          <w:sz w:val="28"/>
          <w:szCs w:val="28"/>
        </w:rPr>
        <w:t xml:space="preserve"> </w:t>
      </w:r>
      <w:r w:rsidR="00A14B1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(Hair et al., 2019)</w:t>
      </w:r>
      <w:r w:rsidRPr="00943C1C">
        <w:rPr>
          <w:rFonts w:ascii="Traditional Arabic" w:hAnsi="Traditional Arabic" w:cs="Traditional Arabic"/>
          <w:sz w:val="28"/>
          <w:szCs w:val="28"/>
          <w:rtl/>
        </w:rPr>
        <w:t>، وهو ما يتوافق مع طبيعة النموذج المقترح في هذه الدراسة الذي يختبر تأثيرات متشعبة ومتداخلة بين خمسة متغيرات رئيسة</w:t>
      </w:r>
      <w:r w:rsidRPr="00943C1C">
        <w:rPr>
          <w:rFonts w:ascii="Traditional Arabic" w:hAnsi="Traditional Arabic" w:cs="Traditional Arabic"/>
          <w:sz w:val="28"/>
          <w:szCs w:val="28"/>
        </w:rPr>
        <w:t>.</w:t>
      </w:r>
    </w:p>
    <w:p w14:paraId="26509322" w14:textId="2026F7BB" w:rsidR="009A71C7" w:rsidRPr="00943C1C" w:rsidRDefault="009A71C7" w:rsidP="00375A8A">
      <w:pPr>
        <w:pStyle w:val="Heading2"/>
        <w:bidi/>
        <w:rPr>
          <w:rtl/>
        </w:rPr>
      </w:pPr>
      <w:r w:rsidRPr="00375A8A">
        <w:rPr>
          <w:rtl/>
        </w:rPr>
        <w:t>التصميم الكمي</w:t>
      </w:r>
    </w:p>
    <w:p w14:paraId="7C293931" w14:textId="0960AF66"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يمثل التصميم الكمي الركيزة الأساسية لهذه الدراسة، وقد جرى تطبيقه من خلال استبانة مُقنَّنة وُزِّعت على عينة قصدية من الخبراء والممارسين في قطاع المياه السعودي. ويقوم هذا التصميم على قياس المتغيرات قياساً رقمياً ومعالجتها إحصائياً باستخدام تقنية نمذجة المعادلات الهيكلية بالمربعات الصغرى الجزئية</w:t>
      </w:r>
      <w:r w:rsidRPr="00943C1C">
        <w:rPr>
          <w:rFonts w:ascii="Traditional Arabic" w:hAnsi="Traditional Arabic" w:cs="Traditional Arabic"/>
          <w:sz w:val="28"/>
          <w:szCs w:val="28"/>
        </w:rPr>
        <w:t xml:space="preserve"> (PLS-SEM) </w:t>
      </w:r>
      <w:r w:rsidRPr="00943C1C">
        <w:rPr>
          <w:rFonts w:ascii="Traditional Arabic" w:hAnsi="Traditional Arabic" w:cs="Traditional Arabic"/>
          <w:sz w:val="28"/>
          <w:szCs w:val="28"/>
          <w:rtl/>
        </w:rPr>
        <w:t>من خلال برنامج</w:t>
      </w:r>
      <w:r w:rsidRPr="00943C1C">
        <w:rPr>
          <w:rFonts w:ascii="Traditional Arabic" w:hAnsi="Traditional Arabic" w:cs="Traditional Arabic"/>
          <w:sz w:val="28"/>
          <w:szCs w:val="28"/>
        </w:rPr>
        <w:t xml:space="preserve"> </w:t>
      </w:r>
      <w:r w:rsidR="00A14B1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SmartPLS 4.0</w:t>
      </w:r>
      <w:r w:rsidRPr="00943C1C">
        <w:rPr>
          <w:rFonts w:ascii="Traditional Arabic" w:hAnsi="Traditional Arabic" w:cs="Traditional Arabic"/>
          <w:sz w:val="28"/>
          <w:szCs w:val="28"/>
          <w:rtl/>
        </w:rPr>
        <w:t>، وذلك لاختبار الفروض وقياس الأثر المباشر وغير المباشر بين المتغيرات</w:t>
      </w:r>
      <w:r w:rsidRPr="00943C1C">
        <w:rPr>
          <w:rFonts w:ascii="Traditional Arabic" w:hAnsi="Traditional Arabic" w:cs="Traditional Arabic"/>
          <w:sz w:val="28"/>
          <w:szCs w:val="28"/>
        </w:rPr>
        <w:t>.</w:t>
      </w:r>
    </w:p>
    <w:p w14:paraId="548415B2" w14:textId="3C205FA0" w:rsidR="009A71C7" w:rsidRPr="00943C1C" w:rsidRDefault="009A71C7" w:rsidP="00375A8A">
      <w:pPr>
        <w:pStyle w:val="Heading2"/>
        <w:bidi/>
        <w:rPr>
          <w:rFonts w:ascii="Traditional Arabic" w:hAnsi="Traditional Arabic" w:cs="Traditional Arabic"/>
          <w:sz w:val="28"/>
          <w:szCs w:val="28"/>
          <w:rtl/>
        </w:rPr>
      </w:pPr>
      <w:r w:rsidRPr="00375A8A">
        <w:rPr>
          <w:rtl/>
        </w:rPr>
        <w:lastRenderedPageBreak/>
        <w:t>التصميم النوعي</w:t>
      </w:r>
    </w:p>
    <w:p w14:paraId="5FC65AD8" w14:textId="66712FDF" w:rsidR="009A71C7" w:rsidRPr="00943C1C" w:rsidRDefault="009A71C7" w:rsidP="00C64FE8">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دعماً للنتائج الكمية، وُظِّف التصميم النوعي من خلال إجراء مقابلات شبه منظمة مع عدد من قادة قطاع المياه وصانعي القرار، بهدف استيعاب السياق المؤسسي واستجلاء الأنماط التفسيرية التي لا تعكسها الأرقام وحدها. وقد خضعت هذه المقابلات لأسلوب تحليل المحتوى الموضوعي</w:t>
      </w:r>
      <w:r w:rsidRPr="00943C1C">
        <w:rPr>
          <w:rFonts w:ascii="Traditional Arabic" w:hAnsi="Traditional Arabic" w:cs="Traditional Arabic"/>
          <w:sz w:val="28"/>
          <w:szCs w:val="28"/>
        </w:rPr>
        <w:t xml:space="preserve"> (Thematic Content Analysis) </w:t>
      </w:r>
      <w:r w:rsidRPr="00943C1C">
        <w:rPr>
          <w:rFonts w:ascii="Traditional Arabic" w:hAnsi="Traditional Arabic" w:cs="Traditional Arabic"/>
          <w:sz w:val="28"/>
          <w:szCs w:val="28"/>
          <w:rtl/>
        </w:rPr>
        <w:t>للوقوف على المحاور الجوهرية الداعمة للنموذج المقترح</w:t>
      </w:r>
      <w:r w:rsidRPr="00943C1C">
        <w:rPr>
          <w:rFonts w:ascii="Traditional Arabic" w:hAnsi="Traditional Arabic" w:cs="Traditional Arabic"/>
          <w:sz w:val="28"/>
          <w:szCs w:val="28"/>
        </w:rPr>
        <w:t>.</w:t>
      </w:r>
    </w:p>
    <w:p w14:paraId="57980608" w14:textId="77777777" w:rsidR="009A71C7" w:rsidRPr="003C682A" w:rsidRDefault="009A71C7" w:rsidP="003C682A">
      <w:pPr>
        <w:pStyle w:val="Heading1"/>
        <w:numPr>
          <w:ilvl w:val="0"/>
          <w:numId w:val="0"/>
        </w:numPr>
        <w:bidi/>
        <w:rPr>
          <w:rFonts w:ascii="Traditional Arabic" w:eastAsia="Times New Roman" w:hAnsi="Traditional Arabic" w:cs="Traditional Arabic"/>
          <w:b/>
          <w:bCs/>
          <w:rtl/>
        </w:rPr>
      </w:pPr>
      <w:r w:rsidRPr="003C682A">
        <w:rPr>
          <w:rFonts w:ascii="Traditional Arabic" w:eastAsia="Times New Roman" w:hAnsi="Traditional Arabic" w:cs="Traditional Arabic"/>
          <w:b/>
          <w:bCs/>
          <w:rtl/>
        </w:rPr>
        <w:t>ثالثاً: مجتمع الدراسة وعينة البحث</w:t>
      </w:r>
    </w:p>
    <w:p w14:paraId="7E2C3A84" w14:textId="525C2E20" w:rsidR="009A71C7" w:rsidRPr="00C309A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sidRPr="00C309A2">
        <w:rPr>
          <w:rFonts w:asciiTheme="majorHAnsi" w:eastAsiaTheme="majorEastAsia" w:hAnsiTheme="majorHAnsi" w:cstheme="majorBidi"/>
          <w:color w:val="2F5496" w:themeColor="accent1" w:themeShade="BF"/>
          <w:sz w:val="32"/>
          <w:szCs w:val="32"/>
          <w:rtl/>
        </w:rPr>
        <w:t>مجتمع الدراسة</w:t>
      </w:r>
    </w:p>
    <w:p w14:paraId="01CDE373"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يتكوّن مجتمع الدراسة الأصلي من الخبراء والممارسين والقياديين العاملين في قطاع المياه والصرف الصحي بالمملكة العربية السعودية، ويشمل ذلك العاملين في الجهات الرقابية والتشغيلية والاستشارية المعنية بإدارة البنية التحتية المائية. وتتمحور صفات مجتمع الدراسة حول امتلاك الخبرة المباشرة أو المعرفة التخصصية في أحد محاور النموذج المقترح: التحول الرقمي، الحوكمة، إدارة الأصول، أو الاستدامة في قطاع المياه</w:t>
      </w:r>
      <w:r w:rsidRPr="00943C1C">
        <w:rPr>
          <w:rFonts w:ascii="Traditional Arabic" w:hAnsi="Traditional Arabic" w:cs="Traditional Arabic"/>
          <w:sz w:val="28"/>
          <w:szCs w:val="28"/>
        </w:rPr>
        <w:t>.</w:t>
      </w:r>
    </w:p>
    <w:p w14:paraId="529B723E"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ويتضمن مجتمع الدراسة العاملين في الجهات الحكومية والهيئات الرقابية ذات الصلة بقطاع المياه كهيئة المياه السعودية ووزارة البيئة والمياه والزراعة، إضافة إلى شركة المياه الوطنية</w:t>
      </w:r>
      <w:r w:rsidRPr="00943C1C">
        <w:rPr>
          <w:rFonts w:ascii="Traditional Arabic" w:hAnsi="Traditional Arabic" w:cs="Traditional Arabic"/>
          <w:sz w:val="28"/>
          <w:szCs w:val="28"/>
        </w:rPr>
        <w:t xml:space="preserve"> (NWC)</w:t>
      </w:r>
      <w:r w:rsidRPr="00943C1C">
        <w:rPr>
          <w:rFonts w:ascii="Traditional Arabic" w:hAnsi="Traditional Arabic" w:cs="Traditional Arabic"/>
          <w:sz w:val="28"/>
          <w:szCs w:val="28"/>
          <w:rtl/>
        </w:rPr>
        <w:t>، والشركات والمؤسسات العاملة في تشغيل وصيانة شبكات المياه والصرف الصحي، فضلاً عن المتخصصين والمستشارين في مجالات الحوكمة والتحول الرقمي وإدارة الأصول في البيئة السعودية، والأكاديميين والباحثين المتخصصين في إدارة الموارد المائية والحوكمة المؤسسية</w:t>
      </w:r>
      <w:r w:rsidRPr="00943C1C">
        <w:rPr>
          <w:rFonts w:ascii="Traditional Arabic" w:hAnsi="Traditional Arabic" w:cs="Traditional Arabic"/>
          <w:sz w:val="28"/>
          <w:szCs w:val="28"/>
        </w:rPr>
        <w:t>.</w:t>
      </w:r>
    </w:p>
    <w:p w14:paraId="307A8899" w14:textId="6284D0CF" w:rsidR="009A71C7" w:rsidRPr="002131A7"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sidRPr="002131A7">
        <w:rPr>
          <w:rFonts w:asciiTheme="majorHAnsi" w:eastAsiaTheme="majorEastAsia" w:hAnsiTheme="majorHAnsi" w:cstheme="majorBidi"/>
          <w:color w:val="2F5496" w:themeColor="accent1" w:themeShade="BF"/>
          <w:sz w:val="32"/>
          <w:szCs w:val="32"/>
          <w:rtl/>
        </w:rPr>
        <w:t>أسلوب اختيار العينة</w:t>
      </w:r>
    </w:p>
    <w:p w14:paraId="67D7186A" w14:textId="7F6EA396"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نظراً لتخصصية مجتمع الدراسة وصعوبة الوصول الشامل إلى جميع أفراده، اعتُمد أسلوب العينة القصدية</w:t>
      </w:r>
      <w:r w:rsidRPr="00943C1C">
        <w:rPr>
          <w:rFonts w:ascii="Traditional Arabic" w:hAnsi="Traditional Arabic" w:cs="Traditional Arabic"/>
          <w:sz w:val="28"/>
          <w:szCs w:val="28"/>
        </w:rPr>
        <w:t xml:space="preserve"> (Purposive Sampling) </w:t>
      </w:r>
      <w:r w:rsidR="00C309A2">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tl/>
        </w:rPr>
        <w:t>بوصفه الأسلوب الأكثر ملاءمةً للوفاء بمتطلبات الدراسة. ويُقصد بالعينة القصدية انتقاء المستجيبين وفق معايير دقيقة تضمن توافر الخبرة والتخصص اللازمين لتقديم استجابات موثوقة وذات دلالة علمية</w:t>
      </w:r>
      <w:r w:rsidRPr="00943C1C">
        <w:rPr>
          <w:rFonts w:ascii="Traditional Arabic" w:hAnsi="Traditional Arabic" w:cs="Traditional Arabic"/>
          <w:sz w:val="28"/>
          <w:szCs w:val="28"/>
        </w:rPr>
        <w:t xml:space="preserve"> </w:t>
      </w:r>
      <w:r w:rsidR="007E17FC">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(Sekaran &amp; Bougie, 2019)</w:t>
      </w:r>
      <w:r w:rsidR="006A68CE">
        <w:rPr>
          <w:rFonts w:ascii="Traditional Arabic" w:hAnsi="Traditional Arabic" w:cs="Traditional Arabic" w:hint="cs"/>
          <w:sz w:val="28"/>
          <w:szCs w:val="28"/>
          <w:rtl/>
        </w:rPr>
        <w:t>.</w:t>
      </w:r>
    </w:p>
    <w:p w14:paraId="41D09B9C"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وقد اشترطت الدراسة في أفراد العينة توافر المعايير الآتية</w:t>
      </w:r>
      <w:r w:rsidRPr="00943C1C">
        <w:rPr>
          <w:rFonts w:ascii="Traditional Arabic" w:hAnsi="Traditional Arabic" w:cs="Traditional Arabic"/>
          <w:sz w:val="28"/>
          <w:szCs w:val="28"/>
        </w:rPr>
        <w:t>:</w:t>
      </w:r>
    </w:p>
    <w:p w14:paraId="7AEE883C" w14:textId="4AA46D32"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sidRPr="006A68CE">
        <w:rPr>
          <w:rFonts w:ascii="Traditional Arabic" w:hAnsi="Traditional Arabic" w:cs="Traditional Arabic"/>
          <w:sz w:val="28"/>
          <w:szCs w:val="28"/>
          <w:rtl/>
        </w:rPr>
        <w:t>الخبرة العملية في قطاع المياه أو الصرف الصحي بما لا يقل عن خمس سنوات</w:t>
      </w:r>
      <w:r w:rsidRPr="006A68CE">
        <w:rPr>
          <w:rFonts w:ascii="Traditional Arabic" w:hAnsi="Traditional Arabic" w:cs="Traditional Arabic"/>
          <w:sz w:val="28"/>
          <w:szCs w:val="28"/>
        </w:rPr>
        <w:t>.</w:t>
      </w:r>
    </w:p>
    <w:p w14:paraId="2BED5A76" w14:textId="665C23E9"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sidRPr="006A68CE">
        <w:rPr>
          <w:rFonts w:ascii="Traditional Arabic" w:hAnsi="Traditional Arabic" w:cs="Traditional Arabic"/>
          <w:sz w:val="28"/>
          <w:szCs w:val="28"/>
          <w:rtl/>
        </w:rPr>
        <w:t>الاطلاع على ممارسات التحول الرقمي أو الحوكمة أو إدارة الأصول</w:t>
      </w:r>
      <w:r w:rsidRPr="006A68CE">
        <w:rPr>
          <w:rFonts w:ascii="Traditional Arabic" w:hAnsi="Traditional Arabic" w:cs="Traditional Arabic"/>
          <w:sz w:val="28"/>
          <w:szCs w:val="28"/>
        </w:rPr>
        <w:t>.</w:t>
      </w:r>
    </w:p>
    <w:p w14:paraId="4BB433AA" w14:textId="70B9A073"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sidRPr="006A68CE">
        <w:rPr>
          <w:rFonts w:ascii="Traditional Arabic" w:hAnsi="Traditional Arabic" w:cs="Traditional Arabic"/>
          <w:sz w:val="28"/>
          <w:szCs w:val="28"/>
          <w:rtl/>
        </w:rPr>
        <w:t>العمل في موقع قيادي أو تخصصي يُمكّن من إبداء آراء وثيقة الصلة بمتغيرات الدراسة</w:t>
      </w:r>
      <w:r w:rsidRPr="006A68CE">
        <w:rPr>
          <w:rFonts w:ascii="Traditional Arabic" w:hAnsi="Traditional Arabic" w:cs="Traditional Arabic"/>
          <w:sz w:val="28"/>
          <w:szCs w:val="28"/>
        </w:rPr>
        <w:t>.</w:t>
      </w:r>
    </w:p>
    <w:p w14:paraId="2DDE6444" w14:textId="5F612A7C" w:rsidR="009A71C7" w:rsidRPr="005053B9" w:rsidRDefault="009A71C7" w:rsidP="00B7711D">
      <w:pPr>
        <w:pStyle w:val="ListParagraph"/>
        <w:numPr>
          <w:ilvl w:val="0"/>
          <w:numId w:val="33"/>
        </w:numPr>
        <w:bidi/>
        <w:jc w:val="both"/>
        <w:rPr>
          <w:rFonts w:ascii="Traditional Arabic" w:hAnsi="Traditional Arabic" w:cs="Traditional Arabic"/>
          <w:sz w:val="28"/>
          <w:szCs w:val="28"/>
          <w:rtl/>
        </w:rPr>
      </w:pPr>
      <w:r w:rsidRPr="006A68CE">
        <w:rPr>
          <w:rFonts w:ascii="Traditional Arabic" w:hAnsi="Traditional Arabic" w:cs="Traditional Arabic"/>
          <w:sz w:val="28"/>
          <w:szCs w:val="28"/>
          <w:rtl/>
        </w:rPr>
        <w:t>الاستعداد للمشاركة طوعاً في الدراسة وإتمام الاستبانة بصورة كاملة</w:t>
      </w:r>
      <w:r w:rsidRPr="006A68CE">
        <w:rPr>
          <w:rFonts w:ascii="Traditional Arabic" w:hAnsi="Traditional Arabic" w:cs="Traditional Arabic"/>
          <w:sz w:val="28"/>
          <w:szCs w:val="28"/>
        </w:rPr>
        <w:t>.</w:t>
      </w:r>
    </w:p>
    <w:p w14:paraId="47B95613" w14:textId="2DA7C604" w:rsidR="009A71C7"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وبالاعتماد على مؤشرات تحليل القوة الإحصائية وفق برنامج</w:t>
      </w:r>
      <w:r w:rsidR="005053B9">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G*Power</w:t>
      </w:r>
      <w:r w:rsidRPr="00943C1C">
        <w:rPr>
          <w:rFonts w:ascii="Traditional Arabic" w:hAnsi="Traditional Arabic" w:cs="Traditional Arabic"/>
          <w:sz w:val="28"/>
          <w:szCs w:val="28"/>
          <w:rtl/>
        </w:rPr>
        <w:t>، والتوجيهات المتخصصة لتحديد حجم العينة في نماذج</w:t>
      </w:r>
      <w:r w:rsidRPr="00943C1C">
        <w:rPr>
          <w:rFonts w:ascii="Traditional Arabic" w:hAnsi="Traditional Arabic" w:cs="Traditional Arabic"/>
          <w:sz w:val="28"/>
          <w:szCs w:val="28"/>
        </w:rPr>
        <w:t xml:space="preserve"> PLS-SEM (Hair et al., 2019; Kline, 2016)</w:t>
      </w:r>
      <w:r w:rsidRPr="00943C1C">
        <w:rPr>
          <w:rFonts w:ascii="Traditional Arabic" w:hAnsi="Traditional Arabic" w:cs="Traditional Arabic"/>
          <w:sz w:val="28"/>
          <w:szCs w:val="28"/>
          <w:rtl/>
        </w:rPr>
        <w:t>، تم استهداف عينة لا تقل عن 200 مستجيب لضمان القدرة على التحليل الهيكلي وتحقيق متطلبات نماذج المعادلات الهيكلية من حيث الصدق والثبات ودرجات الحرية</w:t>
      </w:r>
      <w:r w:rsidRPr="00943C1C">
        <w:rPr>
          <w:rFonts w:ascii="Traditional Arabic" w:hAnsi="Traditional Arabic" w:cs="Traditional Arabic"/>
          <w:sz w:val="28"/>
          <w:szCs w:val="28"/>
        </w:rPr>
        <w:t>.</w:t>
      </w:r>
    </w:p>
    <w:p w14:paraId="768EE269" w14:textId="77777777" w:rsidR="00B33C3D" w:rsidRPr="00943C1C" w:rsidRDefault="00B33C3D" w:rsidP="00B33C3D">
      <w:pPr>
        <w:bidi/>
        <w:jc w:val="both"/>
        <w:rPr>
          <w:rFonts w:ascii="Traditional Arabic" w:hAnsi="Traditional Arabic" w:cs="Traditional Arabic"/>
          <w:sz w:val="28"/>
          <w:szCs w:val="28"/>
          <w:rtl/>
        </w:rPr>
      </w:pPr>
    </w:p>
    <w:p w14:paraId="2C27FAC9" w14:textId="4F7872B1" w:rsidR="009A71C7" w:rsidRPr="008B1E3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sidRPr="008B1E32">
        <w:rPr>
          <w:rFonts w:asciiTheme="majorHAnsi" w:eastAsiaTheme="majorEastAsia" w:hAnsiTheme="majorHAnsi" w:cstheme="majorBidi"/>
          <w:color w:val="2F5496" w:themeColor="accent1" w:themeShade="BF"/>
          <w:sz w:val="32"/>
          <w:szCs w:val="32"/>
          <w:rtl/>
        </w:rPr>
        <w:lastRenderedPageBreak/>
        <w:t>حجم العينة المستهدف</w:t>
      </w:r>
    </w:p>
    <w:tbl>
      <w:tblPr>
        <w:tblStyle w:val="GridTable4-Accent3"/>
        <w:bidiVisual/>
        <w:tblW w:w="9026" w:type="dxa"/>
        <w:tblLook w:val="04A0" w:firstRow="1" w:lastRow="0" w:firstColumn="1" w:lastColumn="0" w:noHBand="0" w:noVBand="1"/>
      </w:tblPr>
      <w:tblGrid>
        <w:gridCol w:w="5483"/>
        <w:gridCol w:w="3543"/>
      </w:tblGrid>
      <w:tr w:rsidR="009363AF" w14:paraId="01E0358C" w14:textId="77777777" w:rsidTr="00FE4BF8">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218837EA" w14:textId="77777777" w:rsidR="009363AF" w:rsidRPr="0040691A" w:rsidRDefault="009363AF" w:rsidP="00EA448A">
            <w:pPr>
              <w:bidi/>
              <w:jc w:val="center"/>
              <w:rPr>
                <w:rFonts w:ascii="Traditional Arabic" w:hAnsi="Traditional Arabic" w:cs="Traditional Arabic"/>
                <w:sz w:val="32"/>
                <w:szCs w:val="32"/>
              </w:rPr>
            </w:pPr>
            <w:r w:rsidRPr="0040691A">
              <w:rPr>
                <w:rFonts w:ascii="Traditional Arabic" w:hAnsi="Traditional Arabic" w:cs="Traditional Arabic"/>
                <w:color w:val="auto"/>
                <w:sz w:val="32"/>
                <w:szCs w:val="32"/>
                <w:rtl/>
              </w:rPr>
              <w:t>المعيار</w:t>
            </w:r>
          </w:p>
        </w:tc>
        <w:tc>
          <w:tcPr>
            <w:tcW w:w="3543" w:type="dxa"/>
          </w:tcPr>
          <w:p w14:paraId="01D5CB2D" w14:textId="77777777" w:rsidR="009363AF" w:rsidRPr="0040691A" w:rsidRDefault="009363AF" w:rsidP="00EA448A">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40691A">
              <w:rPr>
                <w:rFonts w:ascii="Traditional Arabic" w:hAnsi="Traditional Arabic" w:cs="Traditional Arabic"/>
                <w:color w:val="auto"/>
                <w:sz w:val="32"/>
                <w:szCs w:val="32"/>
                <w:rtl/>
              </w:rPr>
              <w:t>الحجم الموصى به</w:t>
            </w:r>
          </w:p>
        </w:tc>
      </w:tr>
      <w:tr w:rsidR="009363AF" w14:paraId="7AD60ECD"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172F82F" w14:textId="77777777" w:rsidR="009363AF" w:rsidRPr="009363AF" w:rsidRDefault="009363AF" w:rsidP="00EA448A">
            <w:pPr>
              <w:bidi/>
              <w:rPr>
                <w:rFonts w:ascii="Traditional Arabic" w:hAnsi="Traditional Arabic" w:cs="Traditional Arabic"/>
                <w:sz w:val="28"/>
                <w:szCs w:val="28"/>
              </w:rPr>
            </w:pPr>
            <w:r w:rsidRPr="009363AF">
              <w:rPr>
                <w:rFonts w:ascii="Traditional Arabic" w:hAnsi="Traditional Arabic" w:cs="Traditional Arabic"/>
                <w:b w:val="0"/>
                <w:bCs w:val="0"/>
                <w:sz w:val="28"/>
                <w:szCs w:val="28"/>
                <w:rtl/>
              </w:rPr>
              <w:t>المعيار المستخدم</w:t>
            </w:r>
          </w:p>
        </w:tc>
        <w:tc>
          <w:tcPr>
            <w:tcW w:w="3543" w:type="dxa"/>
          </w:tcPr>
          <w:p w14:paraId="02A7CFA8"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363AF">
              <w:rPr>
                <w:rFonts w:ascii="Traditional Arabic" w:hAnsi="Traditional Arabic" w:cs="Traditional Arabic"/>
                <w:sz w:val="28"/>
                <w:szCs w:val="28"/>
                <w:rtl/>
              </w:rPr>
              <w:t>الحجم المطلوب</w:t>
            </w:r>
          </w:p>
        </w:tc>
      </w:tr>
      <w:tr w:rsidR="009363AF" w14:paraId="7C42047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102D405" w14:textId="77777777" w:rsidR="009363AF" w:rsidRPr="009363AF" w:rsidRDefault="009363AF" w:rsidP="00EA448A">
            <w:pPr>
              <w:bidi/>
              <w:rPr>
                <w:rFonts w:ascii="Traditional Arabic" w:hAnsi="Traditional Arabic" w:cs="Traditional Arabic"/>
                <w:sz w:val="28"/>
                <w:szCs w:val="28"/>
              </w:rPr>
            </w:pPr>
            <w:r w:rsidRPr="009363AF">
              <w:rPr>
                <w:rFonts w:ascii="Traditional Arabic" w:hAnsi="Traditional Arabic" w:cs="Traditional Arabic"/>
                <w:b w:val="0"/>
                <w:bCs w:val="0"/>
                <w:sz w:val="28"/>
                <w:szCs w:val="28"/>
                <w:rtl/>
              </w:rPr>
              <w:t>قاعدة عشرة أمثال (10× لكل مسار في النموذج)</w:t>
            </w:r>
          </w:p>
        </w:tc>
        <w:tc>
          <w:tcPr>
            <w:tcW w:w="3543" w:type="dxa"/>
          </w:tcPr>
          <w:p w14:paraId="648C7A70"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363AF">
              <w:rPr>
                <w:rFonts w:ascii="Cambria Math" w:hAnsi="Cambria Math" w:cs="Cambria Math" w:hint="cs"/>
                <w:sz w:val="28"/>
                <w:szCs w:val="28"/>
                <w:rtl/>
              </w:rPr>
              <w:t>≥</w:t>
            </w:r>
            <w:r w:rsidRPr="009363AF">
              <w:rPr>
                <w:rFonts w:ascii="Traditional Arabic" w:hAnsi="Traditional Arabic" w:cs="Traditional Arabic"/>
                <w:sz w:val="28"/>
                <w:szCs w:val="28"/>
                <w:rtl/>
              </w:rPr>
              <w:t xml:space="preserve"> 150</w:t>
            </w:r>
          </w:p>
        </w:tc>
      </w:tr>
      <w:tr w:rsidR="009363AF" w14:paraId="50597EB2"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BB300A3" w14:textId="77777777" w:rsidR="009363AF" w:rsidRPr="009363AF" w:rsidRDefault="009363AF" w:rsidP="00EA448A">
            <w:pPr>
              <w:bidi/>
              <w:rPr>
                <w:rFonts w:ascii="Traditional Arabic" w:hAnsi="Traditional Arabic" w:cs="Traditional Arabic"/>
                <w:sz w:val="28"/>
                <w:szCs w:val="28"/>
              </w:rPr>
            </w:pPr>
            <w:r w:rsidRPr="009363AF">
              <w:rPr>
                <w:rFonts w:ascii="Traditional Arabic" w:hAnsi="Traditional Arabic" w:cs="Traditional Arabic"/>
                <w:b w:val="0"/>
                <w:bCs w:val="0"/>
                <w:sz w:val="28"/>
                <w:szCs w:val="28"/>
                <w:rtl/>
              </w:rPr>
              <w:t xml:space="preserve">تحليل القوة الإحصائية (G*Power, </w:t>
            </w:r>
            <w:r w:rsidRPr="009363AF">
              <w:rPr>
                <w:rFonts w:ascii="Cambria" w:hAnsi="Cambria" w:cs="Cambria" w:hint="cs"/>
                <w:b w:val="0"/>
                <w:bCs w:val="0"/>
                <w:sz w:val="28"/>
                <w:szCs w:val="28"/>
                <w:rtl/>
              </w:rPr>
              <w:t>α</w:t>
            </w:r>
            <w:r w:rsidRPr="009363AF">
              <w:rPr>
                <w:rFonts w:ascii="Traditional Arabic" w:hAnsi="Traditional Arabic" w:cs="Traditional Arabic"/>
                <w:b w:val="0"/>
                <w:bCs w:val="0"/>
                <w:sz w:val="28"/>
                <w:szCs w:val="28"/>
                <w:rtl/>
              </w:rPr>
              <w:t xml:space="preserve">=0.05, </w:t>
            </w:r>
            <w:r w:rsidRPr="009363AF">
              <w:rPr>
                <w:rFonts w:ascii="Cambria" w:hAnsi="Cambria" w:cs="Cambria" w:hint="cs"/>
                <w:b w:val="0"/>
                <w:bCs w:val="0"/>
                <w:sz w:val="28"/>
                <w:szCs w:val="28"/>
                <w:rtl/>
              </w:rPr>
              <w:t>β</w:t>
            </w:r>
            <w:r w:rsidRPr="009363AF">
              <w:rPr>
                <w:rFonts w:ascii="Traditional Arabic" w:hAnsi="Traditional Arabic" w:cs="Traditional Arabic"/>
                <w:b w:val="0"/>
                <w:bCs w:val="0"/>
                <w:sz w:val="28"/>
                <w:szCs w:val="28"/>
                <w:rtl/>
              </w:rPr>
              <w:t>=0.80)</w:t>
            </w:r>
          </w:p>
        </w:tc>
        <w:tc>
          <w:tcPr>
            <w:tcW w:w="3543" w:type="dxa"/>
          </w:tcPr>
          <w:p w14:paraId="6D2C1CCB"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363AF">
              <w:rPr>
                <w:rFonts w:ascii="Cambria Math" w:hAnsi="Cambria Math" w:cs="Cambria Math" w:hint="cs"/>
                <w:sz w:val="28"/>
                <w:szCs w:val="28"/>
                <w:rtl/>
              </w:rPr>
              <w:t>≥</w:t>
            </w:r>
            <w:r w:rsidRPr="009363AF">
              <w:rPr>
                <w:rFonts w:ascii="Traditional Arabic" w:hAnsi="Traditional Arabic" w:cs="Traditional Arabic"/>
                <w:sz w:val="28"/>
                <w:szCs w:val="28"/>
                <w:rtl/>
              </w:rPr>
              <w:t xml:space="preserve"> 180</w:t>
            </w:r>
          </w:p>
        </w:tc>
      </w:tr>
      <w:tr w:rsidR="009363AF" w14:paraId="0D034AC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45E62AF" w14:textId="77777777" w:rsidR="009363AF" w:rsidRPr="009363AF" w:rsidRDefault="009363AF" w:rsidP="00EA448A">
            <w:pPr>
              <w:bidi/>
              <w:rPr>
                <w:rFonts w:ascii="Traditional Arabic" w:hAnsi="Traditional Arabic" w:cs="Traditional Arabic"/>
                <w:sz w:val="28"/>
                <w:szCs w:val="28"/>
              </w:rPr>
            </w:pPr>
            <w:r w:rsidRPr="009363AF">
              <w:rPr>
                <w:rFonts w:ascii="Traditional Arabic" w:hAnsi="Traditional Arabic" w:cs="Traditional Arabic"/>
                <w:b w:val="0"/>
                <w:bCs w:val="0"/>
                <w:sz w:val="28"/>
                <w:szCs w:val="28"/>
                <w:rtl/>
              </w:rPr>
              <w:t>المعيار العلمي المعتمد في PLS-SEM (Hair et al., 2019)</w:t>
            </w:r>
          </w:p>
        </w:tc>
        <w:tc>
          <w:tcPr>
            <w:tcW w:w="3543" w:type="dxa"/>
          </w:tcPr>
          <w:p w14:paraId="03FC9C42"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363AF">
              <w:rPr>
                <w:rFonts w:ascii="Cambria Math" w:hAnsi="Cambria Math" w:cs="Cambria Math" w:hint="cs"/>
                <w:sz w:val="28"/>
                <w:szCs w:val="28"/>
                <w:rtl/>
              </w:rPr>
              <w:t>≥</w:t>
            </w:r>
            <w:r w:rsidRPr="009363AF">
              <w:rPr>
                <w:rFonts w:ascii="Traditional Arabic" w:hAnsi="Traditional Arabic" w:cs="Traditional Arabic"/>
                <w:sz w:val="28"/>
                <w:szCs w:val="28"/>
                <w:rtl/>
              </w:rPr>
              <w:t xml:space="preserve"> 200</w:t>
            </w:r>
          </w:p>
        </w:tc>
      </w:tr>
      <w:tr w:rsidR="009363AF" w14:paraId="6FC2E0BC"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52593E23" w14:textId="77777777" w:rsidR="009363AF" w:rsidRPr="009363AF" w:rsidRDefault="009363AF" w:rsidP="00EA448A">
            <w:pPr>
              <w:bidi/>
              <w:rPr>
                <w:rFonts w:ascii="Traditional Arabic" w:hAnsi="Traditional Arabic" w:cs="Traditional Arabic"/>
                <w:sz w:val="28"/>
                <w:szCs w:val="28"/>
              </w:rPr>
            </w:pPr>
            <w:r w:rsidRPr="009363AF">
              <w:rPr>
                <w:rFonts w:ascii="Traditional Arabic" w:hAnsi="Traditional Arabic" w:cs="Traditional Arabic"/>
                <w:b w:val="0"/>
                <w:bCs w:val="0"/>
                <w:sz w:val="28"/>
                <w:szCs w:val="28"/>
                <w:rtl/>
              </w:rPr>
              <w:t>الحجم المستهدف مع مراعاة الاستبيانات غير المكتملة (15%)</w:t>
            </w:r>
          </w:p>
        </w:tc>
        <w:tc>
          <w:tcPr>
            <w:tcW w:w="3543" w:type="dxa"/>
          </w:tcPr>
          <w:p w14:paraId="44B1B03D"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363AF">
              <w:rPr>
                <w:rFonts w:ascii="Traditional Arabic" w:hAnsi="Traditional Arabic" w:cs="Traditional Arabic"/>
                <w:sz w:val="28"/>
                <w:szCs w:val="28"/>
                <w:rtl/>
              </w:rPr>
              <w:t>230</w:t>
            </w:r>
          </w:p>
        </w:tc>
      </w:tr>
    </w:tbl>
    <w:p w14:paraId="794113DD" w14:textId="77777777" w:rsidR="009A71C7" w:rsidRPr="0035660B" w:rsidRDefault="009A71C7" w:rsidP="0035660B">
      <w:pPr>
        <w:pStyle w:val="Heading1"/>
        <w:numPr>
          <w:ilvl w:val="0"/>
          <w:numId w:val="0"/>
        </w:numPr>
        <w:bidi/>
        <w:rPr>
          <w:rFonts w:ascii="Traditional Arabic" w:eastAsia="Times New Roman" w:hAnsi="Traditional Arabic" w:cs="Traditional Arabic"/>
          <w:b/>
          <w:bCs/>
          <w:rtl/>
        </w:rPr>
      </w:pPr>
      <w:r w:rsidRPr="0035660B">
        <w:rPr>
          <w:rFonts w:ascii="Traditional Arabic" w:eastAsia="Times New Roman" w:hAnsi="Traditional Arabic" w:cs="Traditional Arabic"/>
          <w:b/>
          <w:bCs/>
          <w:rtl/>
        </w:rPr>
        <w:t>رابعاً: أداة جمع البيانات</w:t>
      </w:r>
    </w:p>
    <w:p w14:paraId="50A3EC76" w14:textId="5A7FD225" w:rsidR="009A71C7" w:rsidRPr="00026ED0"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sidRPr="00026ED0">
        <w:rPr>
          <w:rFonts w:asciiTheme="majorHAnsi" w:eastAsiaTheme="majorEastAsia" w:hAnsiTheme="majorHAnsi" w:cstheme="majorBidi"/>
          <w:color w:val="2F5496" w:themeColor="accent1" w:themeShade="BF"/>
          <w:sz w:val="32"/>
          <w:szCs w:val="32"/>
          <w:rtl/>
        </w:rPr>
        <w:t>الاستبانة</w:t>
      </w:r>
    </w:p>
    <w:p w14:paraId="3BB3495A"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اعتمدت الدراسة الاستبانة أداةً رئيسية لجمع البيانات الكمية، وهي الأداة الأكثر شيوعاً في الدراسات ذات المنهج الوصفي التحليلي والمعتمدة على نماذج القياس الهيكلية</w:t>
      </w:r>
      <w:r w:rsidRPr="00943C1C">
        <w:rPr>
          <w:rFonts w:ascii="Traditional Arabic" w:hAnsi="Traditional Arabic" w:cs="Traditional Arabic"/>
          <w:sz w:val="28"/>
          <w:szCs w:val="28"/>
        </w:rPr>
        <w:t xml:space="preserve"> (Hair et al., 2019). </w:t>
      </w:r>
      <w:r w:rsidRPr="00943C1C">
        <w:rPr>
          <w:rFonts w:ascii="Traditional Arabic" w:hAnsi="Traditional Arabic" w:cs="Traditional Arabic"/>
          <w:sz w:val="28"/>
          <w:szCs w:val="28"/>
          <w:rtl/>
        </w:rPr>
        <w:t>وقد جرى تصميم الاستبانة بصورة دقيقة تستوفي متطلبات القياس النفسي، بما في ذلك الوضوح اللغوي والدقة المفاهيمية وتغطية أبعاد النموذج كافة</w:t>
      </w:r>
      <w:r w:rsidRPr="00943C1C">
        <w:rPr>
          <w:rFonts w:ascii="Traditional Arabic" w:hAnsi="Traditional Arabic" w:cs="Traditional Arabic"/>
          <w:sz w:val="28"/>
          <w:szCs w:val="28"/>
        </w:rPr>
        <w:t>.</w:t>
      </w:r>
    </w:p>
    <w:p w14:paraId="6811DD68"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وتضمنت الاستبانة في نسختها النهائية اثنين وثمانين (82) فقرة موزعة على ستة محاور، تقيس المتغيرات المستقلة والوسيطة والتابعة في النموذج المفاهيمي للدراسة، إضافة إلى قسم خاص بالبيانات الديموغرافية والمهنية للمستجيبين</w:t>
      </w:r>
      <w:r w:rsidRPr="00943C1C">
        <w:rPr>
          <w:rFonts w:ascii="Traditional Arabic" w:hAnsi="Traditional Arabic" w:cs="Traditional Arabic"/>
          <w:sz w:val="28"/>
          <w:szCs w:val="28"/>
        </w:rPr>
        <w:t>.</w:t>
      </w:r>
    </w:p>
    <w:p w14:paraId="780567B4" w14:textId="19C83507"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sidRPr="00026ED0">
        <w:rPr>
          <w:rFonts w:asciiTheme="majorHAnsi" w:eastAsiaTheme="majorEastAsia" w:hAnsiTheme="majorHAnsi" w:cstheme="majorBidi"/>
          <w:color w:val="2F5496" w:themeColor="accent1" w:themeShade="BF"/>
          <w:sz w:val="32"/>
          <w:szCs w:val="32"/>
          <w:rtl/>
        </w:rPr>
        <w:t>هيكل الاستبانة</w:t>
      </w:r>
    </w:p>
    <w:tbl>
      <w:tblPr>
        <w:tblStyle w:val="GridTable4-Accent3"/>
        <w:bidiVisual/>
        <w:tblW w:w="9026" w:type="dxa"/>
        <w:tblInd w:w="10" w:type="dxa"/>
        <w:tblLook w:val="04A0" w:firstRow="1" w:lastRow="0" w:firstColumn="1" w:lastColumn="0" w:noHBand="0" w:noVBand="1"/>
      </w:tblPr>
      <w:tblGrid>
        <w:gridCol w:w="4491"/>
        <w:gridCol w:w="2535"/>
        <w:gridCol w:w="2000"/>
      </w:tblGrid>
      <w:tr w:rsidR="00FE4BF8" w:rsidRPr="0078589F" w14:paraId="072DCC65" w14:textId="77777777" w:rsidTr="00B33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Pr>
          <w:p w14:paraId="4A0D0451" w14:textId="77777777" w:rsidR="00FE4BF8" w:rsidRPr="0078589F" w:rsidRDefault="00FE4BF8" w:rsidP="00FE4BF8">
            <w:pPr>
              <w:bidi/>
              <w:jc w:val="center"/>
              <w:rPr>
                <w:rFonts w:ascii="Traditional Arabic" w:hAnsi="Traditional Arabic" w:cs="Traditional Arabic"/>
                <w:color w:val="auto"/>
                <w:sz w:val="32"/>
                <w:szCs w:val="32"/>
              </w:rPr>
            </w:pPr>
            <w:r w:rsidRPr="0078589F">
              <w:rPr>
                <w:rFonts w:ascii="Traditional Arabic" w:hAnsi="Traditional Arabic" w:cs="Traditional Arabic"/>
                <w:color w:val="auto"/>
                <w:sz w:val="32"/>
                <w:szCs w:val="32"/>
                <w:rtl/>
              </w:rPr>
              <w:t>المحور</w:t>
            </w:r>
          </w:p>
        </w:tc>
        <w:tc>
          <w:tcPr>
            <w:tcW w:w="2535" w:type="dxa"/>
          </w:tcPr>
          <w:p w14:paraId="706B7CE0"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78589F">
              <w:rPr>
                <w:rFonts w:ascii="Traditional Arabic" w:hAnsi="Traditional Arabic" w:cs="Traditional Arabic"/>
                <w:color w:val="auto"/>
                <w:sz w:val="32"/>
                <w:szCs w:val="32"/>
                <w:rtl/>
              </w:rPr>
              <w:t>المحتوى</w:t>
            </w:r>
          </w:p>
        </w:tc>
        <w:tc>
          <w:tcPr>
            <w:tcW w:w="2000" w:type="dxa"/>
          </w:tcPr>
          <w:p w14:paraId="66A29B54"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78589F">
              <w:rPr>
                <w:rFonts w:ascii="Traditional Arabic" w:hAnsi="Traditional Arabic" w:cs="Traditional Arabic"/>
                <w:color w:val="auto"/>
                <w:sz w:val="32"/>
                <w:szCs w:val="32"/>
                <w:rtl/>
              </w:rPr>
              <w:t>الترقيم</w:t>
            </w:r>
          </w:p>
        </w:tc>
      </w:tr>
      <w:tr w:rsidR="00FE4BF8" w:rsidRPr="0078589F" w14:paraId="06DD9E34"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0307013B" w14:textId="77777777" w:rsidR="00FE4BF8" w:rsidRPr="00B33C3D" w:rsidRDefault="00FE4BF8" w:rsidP="00B33C3D">
            <w:pPr>
              <w:bidi/>
              <w:rPr>
                <w:rFonts w:ascii="Traditional Arabic" w:hAnsi="Traditional Arabic" w:cs="Traditional Arabic"/>
                <w:b w:val="0"/>
                <w:bCs w:val="0"/>
                <w:sz w:val="28"/>
                <w:szCs w:val="28"/>
              </w:rPr>
            </w:pPr>
            <w:r w:rsidRPr="00B33C3D">
              <w:rPr>
                <w:rFonts w:ascii="Traditional Arabic" w:hAnsi="Traditional Arabic" w:cs="Traditional Arabic"/>
                <w:b w:val="0"/>
                <w:bCs w:val="0"/>
                <w:sz w:val="28"/>
                <w:szCs w:val="28"/>
                <w:rtl/>
              </w:rPr>
              <w:t>البيانات الشخصية والمهنية</w:t>
            </w:r>
          </w:p>
        </w:tc>
        <w:tc>
          <w:tcPr>
            <w:tcW w:w="2535" w:type="dxa"/>
            <w:vAlign w:val="center"/>
          </w:tcPr>
          <w:p w14:paraId="3EC6F34D"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الجنس، المؤهل، الخبرة، الجهة، المسمى الوظيفي</w:t>
            </w:r>
          </w:p>
        </w:tc>
        <w:tc>
          <w:tcPr>
            <w:tcW w:w="2000" w:type="dxa"/>
            <w:vAlign w:val="center"/>
          </w:tcPr>
          <w:p w14:paraId="717093A9"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أولاً</w:t>
            </w:r>
          </w:p>
        </w:tc>
      </w:tr>
      <w:tr w:rsidR="00FE4BF8" w:rsidRPr="0078589F" w14:paraId="18F41B8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F0AE244" w14:textId="77777777" w:rsidR="00FE4BF8" w:rsidRPr="00B33C3D" w:rsidRDefault="00FE4BF8" w:rsidP="00B33C3D">
            <w:pPr>
              <w:bidi/>
              <w:rPr>
                <w:rFonts w:ascii="Traditional Arabic" w:hAnsi="Traditional Arabic" w:cs="Traditional Arabic"/>
                <w:b w:val="0"/>
                <w:bCs w:val="0"/>
                <w:sz w:val="28"/>
                <w:szCs w:val="28"/>
              </w:rPr>
            </w:pPr>
            <w:r w:rsidRPr="00B33C3D">
              <w:rPr>
                <w:rFonts w:ascii="Traditional Arabic" w:hAnsi="Traditional Arabic" w:cs="Traditional Arabic"/>
                <w:b w:val="0"/>
                <w:bCs w:val="0"/>
                <w:sz w:val="28"/>
                <w:szCs w:val="28"/>
                <w:rtl/>
              </w:rPr>
              <w:t>التحول الرقمي (Digital Transformation)</w:t>
            </w:r>
          </w:p>
        </w:tc>
        <w:tc>
          <w:tcPr>
            <w:tcW w:w="2535" w:type="dxa"/>
            <w:vAlign w:val="center"/>
          </w:tcPr>
          <w:p w14:paraId="5F973F71"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17 فقرة موزعة على 4 أبعاد فرعية</w:t>
            </w:r>
          </w:p>
        </w:tc>
        <w:tc>
          <w:tcPr>
            <w:tcW w:w="2000" w:type="dxa"/>
            <w:vAlign w:val="center"/>
          </w:tcPr>
          <w:p w14:paraId="4869ABE4"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ثانياً</w:t>
            </w:r>
          </w:p>
        </w:tc>
      </w:tr>
      <w:tr w:rsidR="00FE4BF8" w:rsidRPr="0078589F" w14:paraId="3A638715"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7CFD6E3" w14:textId="77777777" w:rsidR="00FE4BF8" w:rsidRPr="00B33C3D" w:rsidRDefault="00FE4BF8" w:rsidP="00B33C3D">
            <w:pPr>
              <w:bidi/>
              <w:rPr>
                <w:rFonts w:ascii="Traditional Arabic" w:hAnsi="Traditional Arabic" w:cs="Traditional Arabic"/>
                <w:b w:val="0"/>
                <w:bCs w:val="0"/>
                <w:sz w:val="28"/>
                <w:szCs w:val="28"/>
              </w:rPr>
            </w:pPr>
            <w:r w:rsidRPr="00B33C3D">
              <w:rPr>
                <w:rFonts w:ascii="Traditional Arabic" w:hAnsi="Traditional Arabic" w:cs="Traditional Arabic"/>
                <w:b w:val="0"/>
                <w:bCs w:val="0"/>
                <w:sz w:val="28"/>
                <w:szCs w:val="28"/>
                <w:rtl/>
              </w:rPr>
              <w:t>الاستدامة المؤسسية (Institutional Sustainability)</w:t>
            </w:r>
          </w:p>
        </w:tc>
        <w:tc>
          <w:tcPr>
            <w:tcW w:w="2535" w:type="dxa"/>
            <w:vAlign w:val="center"/>
          </w:tcPr>
          <w:p w14:paraId="2B73B70E"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16 فقرة موزعة على 3 أبعاد فرعية</w:t>
            </w:r>
          </w:p>
        </w:tc>
        <w:tc>
          <w:tcPr>
            <w:tcW w:w="2000" w:type="dxa"/>
            <w:vAlign w:val="center"/>
          </w:tcPr>
          <w:p w14:paraId="11425FD7"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ثالثاً</w:t>
            </w:r>
          </w:p>
        </w:tc>
      </w:tr>
      <w:tr w:rsidR="00FE4BF8" w:rsidRPr="0078589F" w14:paraId="5992A30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17421184" w14:textId="77777777" w:rsidR="00FE4BF8" w:rsidRPr="00B33C3D" w:rsidRDefault="00FE4BF8" w:rsidP="00B33C3D">
            <w:pPr>
              <w:bidi/>
              <w:rPr>
                <w:rFonts w:ascii="Traditional Arabic" w:hAnsi="Traditional Arabic" w:cs="Traditional Arabic"/>
                <w:b w:val="0"/>
                <w:bCs w:val="0"/>
                <w:sz w:val="28"/>
                <w:szCs w:val="28"/>
              </w:rPr>
            </w:pPr>
            <w:r w:rsidRPr="00B33C3D">
              <w:rPr>
                <w:rFonts w:ascii="Traditional Arabic" w:hAnsi="Traditional Arabic" w:cs="Traditional Arabic"/>
                <w:b w:val="0"/>
                <w:bCs w:val="0"/>
                <w:sz w:val="28"/>
                <w:szCs w:val="28"/>
                <w:rtl/>
              </w:rPr>
              <w:t>الحوكمة الذكية (Smart Governance) – المتغير الوسيط</w:t>
            </w:r>
          </w:p>
        </w:tc>
        <w:tc>
          <w:tcPr>
            <w:tcW w:w="2535" w:type="dxa"/>
            <w:vAlign w:val="center"/>
          </w:tcPr>
          <w:p w14:paraId="5CA6A31C"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18 فقرة موزعة على 4 أبعاد فرعية</w:t>
            </w:r>
          </w:p>
        </w:tc>
        <w:tc>
          <w:tcPr>
            <w:tcW w:w="2000" w:type="dxa"/>
            <w:vAlign w:val="center"/>
          </w:tcPr>
          <w:p w14:paraId="7FCC3ED0"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رابعاً</w:t>
            </w:r>
          </w:p>
        </w:tc>
      </w:tr>
      <w:tr w:rsidR="00FE4BF8" w:rsidRPr="0078589F" w14:paraId="2DF0306E"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9843780" w14:textId="77777777" w:rsidR="00FE4BF8" w:rsidRPr="00B33C3D" w:rsidRDefault="00FE4BF8" w:rsidP="00B33C3D">
            <w:pPr>
              <w:bidi/>
              <w:rPr>
                <w:rFonts w:ascii="Traditional Arabic" w:hAnsi="Traditional Arabic" w:cs="Traditional Arabic"/>
                <w:b w:val="0"/>
                <w:bCs w:val="0"/>
                <w:sz w:val="28"/>
                <w:szCs w:val="28"/>
              </w:rPr>
            </w:pPr>
            <w:r w:rsidRPr="00B33C3D">
              <w:rPr>
                <w:rFonts w:ascii="Traditional Arabic" w:hAnsi="Traditional Arabic" w:cs="Traditional Arabic"/>
                <w:b w:val="0"/>
                <w:bCs w:val="0"/>
                <w:sz w:val="28"/>
                <w:szCs w:val="28"/>
                <w:rtl/>
              </w:rPr>
              <w:lastRenderedPageBreak/>
              <w:t>سلامة أصول البنية التحتية (Asset Integrity) – الوسيط الثاني</w:t>
            </w:r>
          </w:p>
        </w:tc>
        <w:tc>
          <w:tcPr>
            <w:tcW w:w="2535" w:type="dxa"/>
            <w:vAlign w:val="center"/>
          </w:tcPr>
          <w:p w14:paraId="1052170C"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15 فقرة موزعة على 3 أبعاد فرعية</w:t>
            </w:r>
          </w:p>
        </w:tc>
        <w:tc>
          <w:tcPr>
            <w:tcW w:w="2000" w:type="dxa"/>
            <w:vAlign w:val="center"/>
          </w:tcPr>
          <w:p w14:paraId="384AF044"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خامساً</w:t>
            </w:r>
          </w:p>
        </w:tc>
      </w:tr>
      <w:tr w:rsidR="00FE4BF8" w:rsidRPr="0078589F" w14:paraId="6916341B"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27EA9A0" w14:textId="77777777" w:rsidR="00FE4BF8" w:rsidRPr="00B33C3D" w:rsidRDefault="00FE4BF8" w:rsidP="00B33C3D">
            <w:pPr>
              <w:bidi/>
              <w:jc w:val="center"/>
              <w:rPr>
                <w:rFonts w:ascii="Traditional Arabic" w:hAnsi="Traditional Arabic" w:cs="Traditional Arabic"/>
                <w:b w:val="0"/>
                <w:bCs w:val="0"/>
                <w:sz w:val="28"/>
                <w:szCs w:val="28"/>
              </w:rPr>
            </w:pPr>
            <w:r w:rsidRPr="00B33C3D">
              <w:rPr>
                <w:rFonts w:ascii="Traditional Arabic" w:hAnsi="Traditional Arabic" w:cs="Traditional Arabic"/>
                <w:b w:val="0"/>
                <w:bCs w:val="0"/>
                <w:sz w:val="28"/>
                <w:szCs w:val="28"/>
                <w:rtl/>
              </w:rPr>
              <w:t>الأداء المؤسسي (Institutional Performance) – المتغير التابع</w:t>
            </w:r>
          </w:p>
        </w:tc>
        <w:tc>
          <w:tcPr>
            <w:tcW w:w="2535" w:type="dxa"/>
            <w:vAlign w:val="center"/>
          </w:tcPr>
          <w:p w14:paraId="003E4BC6"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16 فقرة موزعة على 4 أبعاد فرعية</w:t>
            </w:r>
          </w:p>
        </w:tc>
        <w:tc>
          <w:tcPr>
            <w:tcW w:w="2000" w:type="dxa"/>
            <w:vAlign w:val="center"/>
          </w:tcPr>
          <w:p w14:paraId="70EDAD17"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3C3D">
              <w:rPr>
                <w:rFonts w:ascii="Traditional Arabic" w:hAnsi="Traditional Arabic" w:cs="Traditional Arabic"/>
                <w:sz w:val="28"/>
                <w:szCs w:val="28"/>
                <w:rtl/>
              </w:rPr>
              <w:t>سادساً</w:t>
            </w:r>
          </w:p>
        </w:tc>
      </w:tr>
    </w:tbl>
    <w:p w14:paraId="104FCFEF" w14:textId="0B6544FF" w:rsidR="009A71C7" w:rsidRPr="00B33C3D" w:rsidRDefault="009A71C7" w:rsidP="00B33C3D">
      <w:pPr>
        <w:pStyle w:val="ListParagraph"/>
        <w:bidi/>
        <w:jc w:val="both"/>
        <w:rPr>
          <w:rFonts w:asciiTheme="majorHAnsi" w:eastAsiaTheme="majorEastAsia" w:hAnsiTheme="majorHAnsi" w:cstheme="majorBidi"/>
          <w:color w:val="2F5496" w:themeColor="accent1" w:themeShade="BF"/>
          <w:sz w:val="32"/>
          <w:szCs w:val="32"/>
          <w:rtl/>
        </w:rPr>
      </w:pPr>
    </w:p>
    <w:p w14:paraId="60E8D006" w14:textId="7C13FAF0"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sidRPr="00B33C3D">
        <w:rPr>
          <w:rFonts w:asciiTheme="majorHAnsi" w:eastAsiaTheme="majorEastAsia" w:hAnsiTheme="majorHAnsi" w:cstheme="majorBidi"/>
          <w:color w:val="2F5496" w:themeColor="accent1" w:themeShade="BF"/>
          <w:sz w:val="32"/>
          <w:szCs w:val="32"/>
          <w:rtl/>
        </w:rPr>
        <w:t>مقياس الإجابة</w:t>
      </w:r>
    </w:p>
    <w:p w14:paraId="5E816BF7"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استُخدم مقياس ليكرت الخماسي</w:t>
      </w:r>
      <w:r w:rsidRPr="00943C1C">
        <w:rPr>
          <w:rFonts w:ascii="Traditional Arabic" w:hAnsi="Traditional Arabic" w:cs="Traditional Arabic"/>
          <w:sz w:val="28"/>
          <w:szCs w:val="28"/>
        </w:rPr>
        <w:t xml:space="preserve"> (Likert Scale) </w:t>
      </w:r>
      <w:r w:rsidRPr="00943C1C">
        <w:rPr>
          <w:rFonts w:ascii="Traditional Arabic" w:hAnsi="Traditional Arabic" w:cs="Traditional Arabic"/>
          <w:sz w:val="28"/>
          <w:szCs w:val="28"/>
          <w:rtl/>
        </w:rPr>
        <w:t>لقياس استجابات أفراد العينة، وهو المقياس الأكثر شيوعاً وقبولاً في الدراسات الإدارية والاجتماعية التي تعتمد نماذج المعادلات الهيكلية</w:t>
      </w:r>
      <w:r w:rsidRPr="00943C1C">
        <w:rPr>
          <w:rFonts w:ascii="Traditional Arabic" w:hAnsi="Traditional Arabic" w:cs="Traditional Arabic"/>
          <w:sz w:val="28"/>
          <w:szCs w:val="28"/>
        </w:rPr>
        <w:t xml:space="preserve"> (Hair et al., 2019). </w:t>
      </w:r>
      <w:r w:rsidRPr="00943C1C">
        <w:rPr>
          <w:rFonts w:ascii="Traditional Arabic" w:hAnsi="Traditional Arabic" w:cs="Traditional Arabic"/>
          <w:sz w:val="28"/>
          <w:szCs w:val="28"/>
          <w:rtl/>
        </w:rPr>
        <w:t>وقد مُنح لكل بديل وزن عددي على النحو الآتي</w:t>
      </w:r>
      <w:r w:rsidRPr="00943C1C">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4513"/>
        <w:gridCol w:w="4513"/>
      </w:tblGrid>
      <w:tr w:rsidR="00301FBE" w14:paraId="41716E93" w14:textId="77777777" w:rsidTr="00301F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159E2931" w14:textId="77777777" w:rsidR="00301FBE" w:rsidRPr="008A0649" w:rsidRDefault="00301FBE" w:rsidP="00301FBE">
            <w:pPr>
              <w:bidi/>
              <w:jc w:val="center"/>
              <w:rPr>
                <w:sz w:val="32"/>
                <w:szCs w:val="32"/>
              </w:rPr>
            </w:pPr>
            <w:r w:rsidRPr="008A0649">
              <w:rPr>
                <w:rFonts w:ascii="Traditional Arabic" w:eastAsia="Traditional Arabic" w:hAnsi="Traditional Arabic" w:cs="Traditional Arabic"/>
                <w:color w:val="FFFFFF"/>
                <w:sz w:val="32"/>
                <w:szCs w:val="32"/>
                <w:rtl/>
              </w:rPr>
              <w:t>التدريج</w:t>
            </w:r>
          </w:p>
        </w:tc>
        <w:tc>
          <w:tcPr>
            <w:tcW w:w="4513" w:type="dxa"/>
            <w:vAlign w:val="center"/>
          </w:tcPr>
          <w:p w14:paraId="6F9EFD89" w14:textId="77777777" w:rsidR="00301FBE" w:rsidRPr="008A0649" w:rsidRDefault="00301FBE" w:rsidP="00301FBE">
            <w:pPr>
              <w:bidi/>
              <w:jc w:val="center"/>
              <w:cnfStyle w:val="100000000000" w:firstRow="1" w:lastRow="0" w:firstColumn="0" w:lastColumn="0" w:oddVBand="0" w:evenVBand="0" w:oddHBand="0" w:evenHBand="0" w:firstRowFirstColumn="0" w:firstRowLastColumn="0" w:lastRowFirstColumn="0" w:lastRowLastColumn="0"/>
              <w:rPr>
                <w:sz w:val="32"/>
                <w:szCs w:val="32"/>
              </w:rPr>
            </w:pPr>
            <w:r w:rsidRPr="008A0649">
              <w:rPr>
                <w:rFonts w:ascii="Traditional Arabic" w:eastAsia="Traditional Arabic" w:hAnsi="Traditional Arabic" w:cs="Traditional Arabic"/>
                <w:color w:val="FFFFFF"/>
                <w:sz w:val="32"/>
                <w:szCs w:val="32"/>
                <w:rtl/>
              </w:rPr>
              <w:t>الدلالة</w:t>
            </w:r>
          </w:p>
        </w:tc>
      </w:tr>
      <w:tr w:rsidR="00301FBE" w14:paraId="0B9E5BDE"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7ABD658" w14:textId="77777777" w:rsidR="00301FBE" w:rsidRPr="008A0649" w:rsidRDefault="00301FBE" w:rsidP="00301FBE">
            <w:pPr>
              <w:bidi/>
              <w:jc w:val="center"/>
              <w:rPr>
                <w:sz w:val="28"/>
                <w:szCs w:val="28"/>
              </w:rPr>
            </w:pPr>
            <w:r w:rsidRPr="008A0649">
              <w:rPr>
                <w:rFonts w:ascii="Traditional Arabic" w:eastAsia="Traditional Arabic" w:hAnsi="Traditional Arabic" w:cs="Traditional Arabic"/>
                <w:b w:val="0"/>
                <w:bCs w:val="0"/>
                <w:color w:val="1B2A4A"/>
                <w:sz w:val="28"/>
                <w:szCs w:val="28"/>
                <w:rtl/>
              </w:rPr>
              <w:t>1 – لا أوافق بشدة</w:t>
            </w:r>
          </w:p>
        </w:tc>
        <w:tc>
          <w:tcPr>
            <w:tcW w:w="4513" w:type="dxa"/>
            <w:vAlign w:val="center"/>
          </w:tcPr>
          <w:p w14:paraId="564AB8BF"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8A0649">
              <w:rPr>
                <w:rFonts w:ascii="Traditional Arabic" w:eastAsia="Traditional Arabic" w:hAnsi="Traditional Arabic" w:cs="Traditional Arabic"/>
                <w:color w:val="1B2A4A"/>
                <w:sz w:val="28"/>
                <w:szCs w:val="28"/>
                <w:rtl/>
              </w:rPr>
              <w:t>درجة موافقة منخفضة جداً</w:t>
            </w:r>
          </w:p>
        </w:tc>
      </w:tr>
      <w:tr w:rsidR="00301FBE" w14:paraId="3EDC9E87"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5371D60" w14:textId="77777777" w:rsidR="00301FBE" w:rsidRPr="008A0649" w:rsidRDefault="00301FBE" w:rsidP="00301FBE">
            <w:pPr>
              <w:bidi/>
              <w:jc w:val="center"/>
              <w:rPr>
                <w:sz w:val="28"/>
                <w:szCs w:val="28"/>
              </w:rPr>
            </w:pPr>
            <w:r w:rsidRPr="008A0649">
              <w:rPr>
                <w:rFonts w:ascii="Traditional Arabic" w:eastAsia="Traditional Arabic" w:hAnsi="Traditional Arabic" w:cs="Traditional Arabic"/>
                <w:b w:val="0"/>
                <w:bCs w:val="0"/>
                <w:color w:val="1B2A4A"/>
                <w:sz w:val="28"/>
                <w:szCs w:val="28"/>
                <w:rtl/>
              </w:rPr>
              <w:t>2 – لا أوافق</w:t>
            </w:r>
          </w:p>
        </w:tc>
        <w:tc>
          <w:tcPr>
            <w:tcW w:w="4513" w:type="dxa"/>
            <w:vAlign w:val="center"/>
          </w:tcPr>
          <w:p w14:paraId="3E6EE1E3"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8A0649">
              <w:rPr>
                <w:rFonts w:ascii="Traditional Arabic" w:eastAsia="Traditional Arabic" w:hAnsi="Traditional Arabic" w:cs="Traditional Arabic"/>
                <w:color w:val="1B2A4A"/>
                <w:sz w:val="28"/>
                <w:szCs w:val="28"/>
                <w:rtl/>
              </w:rPr>
              <w:t>درجة موافقة منخفضة</w:t>
            </w:r>
          </w:p>
        </w:tc>
      </w:tr>
      <w:tr w:rsidR="00301FBE" w14:paraId="20ECACD8"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0BA6B73" w14:textId="77777777" w:rsidR="00301FBE" w:rsidRPr="008A0649" w:rsidRDefault="00301FBE" w:rsidP="00301FBE">
            <w:pPr>
              <w:bidi/>
              <w:jc w:val="center"/>
              <w:rPr>
                <w:sz w:val="28"/>
                <w:szCs w:val="28"/>
              </w:rPr>
            </w:pPr>
            <w:r w:rsidRPr="008A0649">
              <w:rPr>
                <w:rFonts w:ascii="Traditional Arabic" w:eastAsia="Traditional Arabic" w:hAnsi="Traditional Arabic" w:cs="Traditional Arabic"/>
                <w:b w:val="0"/>
                <w:bCs w:val="0"/>
                <w:color w:val="1B2A4A"/>
                <w:sz w:val="28"/>
                <w:szCs w:val="28"/>
                <w:rtl/>
              </w:rPr>
              <w:t>3 – محايد</w:t>
            </w:r>
          </w:p>
        </w:tc>
        <w:tc>
          <w:tcPr>
            <w:tcW w:w="4513" w:type="dxa"/>
            <w:vAlign w:val="center"/>
          </w:tcPr>
          <w:p w14:paraId="7AB8DC69"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8A0649">
              <w:rPr>
                <w:rFonts w:ascii="Traditional Arabic" w:eastAsia="Traditional Arabic" w:hAnsi="Traditional Arabic" w:cs="Traditional Arabic"/>
                <w:color w:val="1B2A4A"/>
                <w:sz w:val="28"/>
                <w:szCs w:val="28"/>
                <w:rtl/>
              </w:rPr>
              <w:t>درجة موافقة متوسطة</w:t>
            </w:r>
          </w:p>
        </w:tc>
      </w:tr>
      <w:tr w:rsidR="00301FBE" w14:paraId="7FD64364"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2AFA852" w14:textId="77777777" w:rsidR="00301FBE" w:rsidRPr="008A0649" w:rsidRDefault="00301FBE" w:rsidP="00301FBE">
            <w:pPr>
              <w:bidi/>
              <w:jc w:val="center"/>
              <w:rPr>
                <w:sz w:val="28"/>
                <w:szCs w:val="28"/>
              </w:rPr>
            </w:pPr>
            <w:r w:rsidRPr="008A0649">
              <w:rPr>
                <w:rFonts w:ascii="Traditional Arabic" w:eastAsia="Traditional Arabic" w:hAnsi="Traditional Arabic" w:cs="Traditional Arabic"/>
                <w:b w:val="0"/>
                <w:bCs w:val="0"/>
                <w:color w:val="1B2A4A"/>
                <w:sz w:val="28"/>
                <w:szCs w:val="28"/>
                <w:rtl/>
              </w:rPr>
              <w:t>4 – أوافق</w:t>
            </w:r>
          </w:p>
        </w:tc>
        <w:tc>
          <w:tcPr>
            <w:tcW w:w="4513" w:type="dxa"/>
            <w:vAlign w:val="center"/>
          </w:tcPr>
          <w:p w14:paraId="17D92111"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8A0649">
              <w:rPr>
                <w:rFonts w:ascii="Traditional Arabic" w:eastAsia="Traditional Arabic" w:hAnsi="Traditional Arabic" w:cs="Traditional Arabic"/>
                <w:color w:val="1B2A4A"/>
                <w:sz w:val="28"/>
                <w:szCs w:val="28"/>
                <w:rtl/>
              </w:rPr>
              <w:t>درجة موافقة مرتفعة</w:t>
            </w:r>
          </w:p>
        </w:tc>
      </w:tr>
      <w:tr w:rsidR="00301FBE" w14:paraId="2F38151D"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9E458B3" w14:textId="77777777" w:rsidR="00301FBE" w:rsidRPr="008A0649" w:rsidRDefault="00301FBE" w:rsidP="00301FBE">
            <w:pPr>
              <w:bidi/>
              <w:jc w:val="center"/>
              <w:rPr>
                <w:sz w:val="28"/>
                <w:szCs w:val="28"/>
              </w:rPr>
            </w:pPr>
            <w:r w:rsidRPr="008A0649">
              <w:rPr>
                <w:rFonts w:ascii="Traditional Arabic" w:eastAsia="Traditional Arabic" w:hAnsi="Traditional Arabic" w:cs="Traditional Arabic"/>
                <w:b w:val="0"/>
                <w:bCs w:val="0"/>
                <w:color w:val="1B2A4A"/>
                <w:sz w:val="28"/>
                <w:szCs w:val="28"/>
                <w:rtl/>
              </w:rPr>
              <w:t>5 – أوافق بشدة</w:t>
            </w:r>
          </w:p>
        </w:tc>
        <w:tc>
          <w:tcPr>
            <w:tcW w:w="4513" w:type="dxa"/>
            <w:vAlign w:val="center"/>
          </w:tcPr>
          <w:p w14:paraId="282BB128"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8A0649">
              <w:rPr>
                <w:rFonts w:ascii="Traditional Arabic" w:eastAsia="Traditional Arabic" w:hAnsi="Traditional Arabic" w:cs="Traditional Arabic"/>
                <w:color w:val="1B2A4A"/>
                <w:sz w:val="28"/>
                <w:szCs w:val="28"/>
                <w:rtl/>
              </w:rPr>
              <w:t>درجة موافقة مرتفعة جداً</w:t>
            </w:r>
          </w:p>
        </w:tc>
      </w:tr>
    </w:tbl>
    <w:p w14:paraId="10CB9B9D" w14:textId="77777777" w:rsidR="009A71C7" w:rsidRPr="00695D4D" w:rsidRDefault="009A71C7" w:rsidP="00695D4D">
      <w:pPr>
        <w:pStyle w:val="Heading1"/>
        <w:numPr>
          <w:ilvl w:val="0"/>
          <w:numId w:val="0"/>
        </w:numPr>
        <w:bidi/>
        <w:rPr>
          <w:rFonts w:ascii="Traditional Arabic" w:eastAsia="Times New Roman" w:hAnsi="Traditional Arabic" w:cs="Traditional Arabic"/>
          <w:b/>
          <w:bCs/>
          <w:rtl/>
        </w:rPr>
      </w:pPr>
      <w:r w:rsidRPr="00695D4D">
        <w:rPr>
          <w:rFonts w:ascii="Traditional Arabic" w:eastAsia="Times New Roman" w:hAnsi="Traditional Arabic" w:cs="Traditional Arabic"/>
          <w:b/>
          <w:bCs/>
          <w:rtl/>
        </w:rPr>
        <w:t>خامساً: تحديد متغيرات الدراسة</w:t>
      </w:r>
    </w:p>
    <w:p w14:paraId="6E1D9293"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تنطوي الدراسة على خمسة متغيرات رئيسة تتوزع على ثلاثة مستويات: متغيران مستقلان، ومتغيران وسيطان، ومتغير تابع واحد. وفيما يلي التعريف الإجرائي لكل متغير بما يحدد آليات قياسه في الاستبانة</w:t>
      </w:r>
      <w:r w:rsidRPr="00943C1C">
        <w:rPr>
          <w:rFonts w:ascii="Traditional Arabic" w:hAnsi="Traditional Arabic" w:cs="Traditional Arabic"/>
          <w:sz w:val="28"/>
          <w:szCs w:val="28"/>
        </w:rPr>
        <w:t>:</w:t>
      </w:r>
    </w:p>
    <w:p w14:paraId="7F8D089C" w14:textId="05B9E883" w:rsidR="009A71C7" w:rsidRPr="0026213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sidRPr="00262136">
        <w:rPr>
          <w:rFonts w:asciiTheme="majorHAnsi" w:eastAsiaTheme="majorEastAsia" w:hAnsiTheme="majorHAnsi" w:cstheme="majorBidi"/>
          <w:color w:val="2F5496" w:themeColor="accent1" w:themeShade="BF"/>
          <w:sz w:val="32"/>
          <w:szCs w:val="32"/>
          <w:rtl/>
        </w:rPr>
        <w:t>المتغيران المستقلان</w:t>
      </w:r>
    </w:p>
    <w:p w14:paraId="60904893" w14:textId="77777777" w:rsidR="009A71C7" w:rsidRPr="00943C1C" w:rsidRDefault="009A71C7" w:rsidP="00943C1C">
      <w:pPr>
        <w:bidi/>
        <w:jc w:val="both"/>
        <w:rPr>
          <w:rFonts w:ascii="Traditional Arabic" w:hAnsi="Traditional Arabic" w:cs="Traditional Arabic"/>
          <w:sz w:val="28"/>
          <w:szCs w:val="28"/>
          <w:rtl/>
        </w:rPr>
      </w:pPr>
      <w:r w:rsidRPr="00110146">
        <w:rPr>
          <w:rFonts w:ascii="Traditional Arabic" w:hAnsi="Traditional Arabic" w:cs="Traditional Arabic"/>
          <w:b/>
          <w:bCs/>
          <w:sz w:val="28"/>
          <w:szCs w:val="28"/>
          <w:rtl/>
        </w:rPr>
        <w:t>التحول الرقمي:</w:t>
      </w:r>
      <w:r w:rsidRPr="00943C1C">
        <w:rPr>
          <w:rFonts w:ascii="Traditional Arabic" w:hAnsi="Traditional Arabic" w:cs="Traditional Arabic"/>
          <w:sz w:val="28"/>
          <w:szCs w:val="28"/>
          <w:rtl/>
        </w:rPr>
        <w:t xml:space="preserve"> يُقصد به مدى توظيف المؤسسات المائية للتقنيات الرقمية الحديثة – كأنظمة العدادات الذكية</w:t>
      </w:r>
      <w:r w:rsidRPr="00943C1C">
        <w:rPr>
          <w:rFonts w:ascii="Traditional Arabic" w:hAnsi="Traditional Arabic" w:cs="Traditional Arabic"/>
          <w:sz w:val="28"/>
          <w:szCs w:val="28"/>
        </w:rPr>
        <w:t xml:space="preserve"> (AMR/AMI) </w:t>
      </w:r>
      <w:r w:rsidRPr="00943C1C">
        <w:rPr>
          <w:rFonts w:ascii="Traditional Arabic" w:hAnsi="Traditional Arabic" w:cs="Traditional Arabic"/>
          <w:sz w:val="28"/>
          <w:szCs w:val="28"/>
          <w:rtl/>
        </w:rPr>
        <w:t>وأنظمة التحكم الإشرافي</w:t>
      </w:r>
      <w:r w:rsidRPr="00943C1C">
        <w:rPr>
          <w:rFonts w:ascii="Traditional Arabic" w:hAnsi="Traditional Arabic" w:cs="Traditional Arabic"/>
          <w:sz w:val="28"/>
          <w:szCs w:val="28"/>
        </w:rPr>
        <w:t xml:space="preserve"> (SCADA) </w:t>
      </w:r>
      <w:r w:rsidRPr="00943C1C">
        <w:rPr>
          <w:rFonts w:ascii="Traditional Arabic" w:hAnsi="Traditional Arabic" w:cs="Traditional Arabic"/>
          <w:sz w:val="28"/>
          <w:szCs w:val="28"/>
          <w:rtl/>
        </w:rPr>
        <w:t>والذكاء الاصطناعي وتحليلات البيانات الضخمة – في إدارة عمليات البنية التحتية المائية واتخاذ القرارات التشغيلية والاستراتيجية. ويُقاس بأربعة أبعاد فرعية: نضج البنية التقنية الرقمية، وجاهزية البيانات وتكاملها، والتكامل التقني بين الأنظمة، وتمكين اتخاذ القرار الرقمي</w:t>
      </w:r>
      <w:r w:rsidRPr="00943C1C">
        <w:rPr>
          <w:rFonts w:ascii="Traditional Arabic" w:hAnsi="Traditional Arabic" w:cs="Traditional Arabic"/>
          <w:sz w:val="28"/>
          <w:szCs w:val="28"/>
        </w:rPr>
        <w:t>.</w:t>
      </w:r>
    </w:p>
    <w:p w14:paraId="1A3D0BA4" w14:textId="77777777" w:rsidR="009A71C7" w:rsidRDefault="009A71C7" w:rsidP="00943C1C">
      <w:pPr>
        <w:bidi/>
        <w:jc w:val="both"/>
        <w:rPr>
          <w:rFonts w:ascii="Traditional Arabic" w:hAnsi="Traditional Arabic" w:cs="Traditional Arabic"/>
          <w:sz w:val="28"/>
          <w:szCs w:val="28"/>
          <w:rtl/>
        </w:rPr>
      </w:pPr>
      <w:r w:rsidRPr="00110146">
        <w:rPr>
          <w:rFonts w:ascii="Traditional Arabic" w:hAnsi="Traditional Arabic" w:cs="Traditional Arabic"/>
          <w:b/>
          <w:bCs/>
          <w:sz w:val="28"/>
          <w:szCs w:val="28"/>
          <w:rtl/>
        </w:rPr>
        <w:t>الاستدامة المؤسسية:</w:t>
      </w:r>
      <w:r w:rsidRPr="00943C1C">
        <w:rPr>
          <w:rFonts w:ascii="Traditional Arabic" w:hAnsi="Traditional Arabic" w:cs="Traditional Arabic"/>
          <w:sz w:val="28"/>
          <w:szCs w:val="28"/>
          <w:rtl/>
        </w:rPr>
        <w:t xml:space="preserve"> تُشير إلى منظومة السياسات والممارسات الإدارية التي تكفل استمرارية الخدمات المائية وإدارة دورة حياة الأصول بكفاءة، مع تعزيز الأبعاد البيئية والاقتصادية والمجتمعية في القرارات التشغيلية والمؤسسية. وتُقاس بثلاثة أبعاد: الاستدامة التشغيلية والبيئية، وكفاءة إدارة الموارد، والمرونة المؤسسية والإدارة الوقائية</w:t>
      </w:r>
      <w:r w:rsidRPr="00943C1C">
        <w:rPr>
          <w:rFonts w:ascii="Traditional Arabic" w:hAnsi="Traditional Arabic" w:cs="Traditional Arabic"/>
          <w:sz w:val="28"/>
          <w:szCs w:val="28"/>
        </w:rPr>
        <w:t>.</w:t>
      </w:r>
    </w:p>
    <w:p w14:paraId="5552FA9F" w14:textId="77777777" w:rsidR="00FB579D" w:rsidRPr="00943C1C" w:rsidRDefault="00FB579D" w:rsidP="00FB579D">
      <w:pPr>
        <w:bidi/>
        <w:jc w:val="both"/>
        <w:rPr>
          <w:rFonts w:ascii="Traditional Arabic" w:hAnsi="Traditional Arabic" w:cs="Traditional Arabic"/>
          <w:sz w:val="28"/>
          <w:szCs w:val="28"/>
          <w:rtl/>
        </w:rPr>
      </w:pPr>
    </w:p>
    <w:p w14:paraId="32F45D0F" w14:textId="6095739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sidRPr="00110146">
        <w:rPr>
          <w:rFonts w:asciiTheme="majorHAnsi" w:eastAsiaTheme="majorEastAsia" w:hAnsiTheme="majorHAnsi" w:cstheme="majorBidi"/>
          <w:color w:val="2F5496" w:themeColor="accent1" w:themeShade="BF"/>
          <w:sz w:val="32"/>
          <w:szCs w:val="32"/>
          <w:rtl/>
        </w:rPr>
        <w:lastRenderedPageBreak/>
        <w:t>المتغيران الوسيطان</w:t>
      </w:r>
    </w:p>
    <w:p w14:paraId="63A2D10E" w14:textId="77777777" w:rsidR="009A71C7" w:rsidRPr="00943C1C" w:rsidRDefault="009A71C7" w:rsidP="00943C1C">
      <w:pPr>
        <w:bidi/>
        <w:jc w:val="both"/>
        <w:rPr>
          <w:rFonts w:ascii="Traditional Arabic" w:hAnsi="Traditional Arabic" w:cs="Traditional Arabic"/>
          <w:sz w:val="28"/>
          <w:szCs w:val="28"/>
          <w:rtl/>
        </w:rPr>
      </w:pPr>
      <w:r w:rsidRPr="00110146">
        <w:rPr>
          <w:rFonts w:ascii="Traditional Arabic" w:hAnsi="Traditional Arabic" w:cs="Traditional Arabic"/>
          <w:b/>
          <w:bCs/>
          <w:sz w:val="28"/>
          <w:szCs w:val="28"/>
          <w:rtl/>
        </w:rPr>
        <w:t>الحوكمة الذكية:</w:t>
      </w:r>
      <w:r w:rsidRPr="00943C1C">
        <w:rPr>
          <w:rFonts w:ascii="Traditional Arabic" w:hAnsi="Traditional Arabic" w:cs="Traditional Arabic"/>
          <w:sz w:val="28"/>
          <w:szCs w:val="28"/>
          <w:rtl/>
        </w:rPr>
        <w:t xml:space="preserve"> تُمثل منظومة متكاملة من السياسات والهياكل التنظيمية وآليات اتخاذ القرار القائمة على البيانات، التي تضمن توجيه المبادرات الرقمية وممارسات الاستدامة بصورة منهجية تخدم أهداف إدارة الأصول. وتُقاس بأربعة أبعاد: وضوح إطار الحوكمة والأدوار، وجودة حوكمة البيانات، والرقابة والمساءلة المؤسسية، وصنع القرار الاستراتيجي القائم على البيانات</w:t>
      </w:r>
      <w:r w:rsidRPr="00943C1C">
        <w:rPr>
          <w:rFonts w:ascii="Traditional Arabic" w:hAnsi="Traditional Arabic" w:cs="Traditional Arabic"/>
          <w:sz w:val="28"/>
          <w:szCs w:val="28"/>
        </w:rPr>
        <w:t>.</w:t>
      </w:r>
    </w:p>
    <w:p w14:paraId="783AE04C" w14:textId="77777777" w:rsidR="009A71C7" w:rsidRPr="00943C1C" w:rsidRDefault="009A71C7" w:rsidP="00943C1C">
      <w:pPr>
        <w:bidi/>
        <w:jc w:val="both"/>
        <w:rPr>
          <w:rFonts w:ascii="Traditional Arabic" w:hAnsi="Traditional Arabic" w:cs="Traditional Arabic"/>
          <w:sz w:val="28"/>
          <w:szCs w:val="28"/>
          <w:rtl/>
        </w:rPr>
      </w:pPr>
      <w:r w:rsidRPr="00110146">
        <w:rPr>
          <w:rFonts w:ascii="Traditional Arabic" w:hAnsi="Traditional Arabic" w:cs="Traditional Arabic"/>
          <w:b/>
          <w:bCs/>
          <w:sz w:val="28"/>
          <w:szCs w:val="28"/>
          <w:rtl/>
        </w:rPr>
        <w:t>سلامة أصول البنية التحتية:</w:t>
      </w:r>
      <w:r w:rsidRPr="00943C1C">
        <w:rPr>
          <w:rFonts w:ascii="Traditional Arabic" w:hAnsi="Traditional Arabic" w:cs="Traditional Arabic"/>
          <w:sz w:val="28"/>
          <w:szCs w:val="28"/>
          <w:rtl/>
        </w:rPr>
        <w:t xml:space="preserve"> تعكس الحالة الفنية والتشغيلية للأصول المائية ومدى موثوقيتها وقدرتها على أداء وظائفها بكفاءة وأمان، بما يشمل جودة عمليات التفتيش والصيانة والرصد المستمر. وتُقاس بثلاثة أبعاد: موثوقية الأصول وجاهزيتها، وفاعلية التفتيش والصيانة الوقائية، وإدارة المخاطر التشغيلية للأصول</w:t>
      </w:r>
      <w:r w:rsidRPr="00943C1C">
        <w:rPr>
          <w:rFonts w:ascii="Traditional Arabic" w:hAnsi="Traditional Arabic" w:cs="Traditional Arabic"/>
          <w:sz w:val="28"/>
          <w:szCs w:val="28"/>
        </w:rPr>
        <w:t>.</w:t>
      </w:r>
    </w:p>
    <w:p w14:paraId="05BBB820" w14:textId="78856BB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sidRPr="00110146">
        <w:rPr>
          <w:rFonts w:asciiTheme="majorHAnsi" w:eastAsiaTheme="majorEastAsia" w:hAnsiTheme="majorHAnsi" w:cstheme="majorBidi"/>
          <w:color w:val="2F5496" w:themeColor="accent1" w:themeShade="BF"/>
          <w:sz w:val="32"/>
          <w:szCs w:val="32"/>
          <w:rtl/>
        </w:rPr>
        <w:t>المتغير التابع</w:t>
      </w:r>
    </w:p>
    <w:p w14:paraId="0D93687D" w14:textId="77777777" w:rsidR="009A71C7" w:rsidRPr="00943C1C" w:rsidRDefault="009A71C7" w:rsidP="00943C1C">
      <w:pPr>
        <w:bidi/>
        <w:jc w:val="both"/>
        <w:rPr>
          <w:rFonts w:ascii="Traditional Arabic" w:hAnsi="Traditional Arabic" w:cs="Traditional Arabic"/>
          <w:sz w:val="28"/>
          <w:szCs w:val="28"/>
          <w:rtl/>
        </w:rPr>
      </w:pPr>
      <w:r w:rsidRPr="00110146">
        <w:rPr>
          <w:rFonts w:ascii="Traditional Arabic" w:hAnsi="Traditional Arabic" w:cs="Traditional Arabic"/>
          <w:b/>
          <w:bCs/>
          <w:sz w:val="28"/>
          <w:szCs w:val="28"/>
          <w:rtl/>
        </w:rPr>
        <w:t>الأداء المؤسسي:</w:t>
      </w:r>
      <w:r w:rsidRPr="00943C1C">
        <w:rPr>
          <w:rFonts w:ascii="Traditional Arabic" w:hAnsi="Traditional Arabic" w:cs="Traditional Arabic"/>
          <w:sz w:val="28"/>
          <w:szCs w:val="28"/>
          <w:rtl/>
        </w:rPr>
        <w:t xml:space="preserve"> يعكس النتائج الشاملة لتكامل المتغيرات السابقة من حيث كفاءة التشغيل، وجودة الخدمة المقدمة، والاستدامة المالية، والقدرة على الابتكار المؤسسي. ويُقاس بأربعة أبعاد: الكفاءة التشغيلية والإنتاجية، وجودة الخدمة ورضا المستفيدين، والأداء المالي والكفاءة الاقتصادية، والتعلم المؤسسي والابتكار</w:t>
      </w:r>
      <w:r w:rsidRPr="00943C1C">
        <w:rPr>
          <w:rFonts w:ascii="Traditional Arabic" w:hAnsi="Traditional Arabic" w:cs="Traditional Arabic"/>
          <w:sz w:val="28"/>
          <w:szCs w:val="28"/>
        </w:rPr>
        <w:t>.</w:t>
      </w:r>
    </w:p>
    <w:p w14:paraId="340818EC" w14:textId="77777777" w:rsidR="009A71C7" w:rsidRPr="00BA30BC" w:rsidRDefault="009A71C7" w:rsidP="00BA30BC">
      <w:pPr>
        <w:pStyle w:val="Heading1"/>
        <w:numPr>
          <w:ilvl w:val="0"/>
          <w:numId w:val="0"/>
        </w:numPr>
        <w:bidi/>
        <w:rPr>
          <w:rFonts w:ascii="Traditional Arabic" w:eastAsia="Times New Roman" w:hAnsi="Traditional Arabic" w:cs="Traditional Arabic"/>
          <w:b/>
          <w:bCs/>
          <w:rtl/>
        </w:rPr>
      </w:pPr>
      <w:r w:rsidRPr="00BA30BC">
        <w:rPr>
          <w:rFonts w:ascii="Traditional Arabic" w:eastAsia="Times New Roman" w:hAnsi="Traditional Arabic" w:cs="Traditional Arabic"/>
          <w:b/>
          <w:bCs/>
          <w:rtl/>
        </w:rPr>
        <w:t>سادساً: تحديد إجراءات تنفيذ الدراسة</w:t>
      </w:r>
    </w:p>
    <w:p w14:paraId="700F742A" w14:textId="179B1799" w:rsidR="009D0DFF" w:rsidRPr="00FB579D" w:rsidRDefault="009A71C7" w:rsidP="00B7711D">
      <w:pPr>
        <w:pStyle w:val="ListParagraph"/>
        <w:numPr>
          <w:ilvl w:val="0"/>
          <w:numId w:val="36"/>
        </w:numPr>
        <w:bidi/>
        <w:jc w:val="both"/>
        <w:rPr>
          <w:rFonts w:ascii="Traditional Arabic" w:hAnsi="Traditional Arabic" w:cs="Traditional Arabic"/>
          <w:sz w:val="28"/>
          <w:szCs w:val="28"/>
          <w:rtl/>
        </w:rPr>
      </w:pPr>
      <w:r w:rsidRPr="009D0DFF">
        <w:rPr>
          <w:rFonts w:asciiTheme="majorHAnsi" w:eastAsiaTheme="majorEastAsia" w:hAnsiTheme="majorHAnsi" w:cstheme="majorBidi"/>
          <w:color w:val="2F5496" w:themeColor="accent1" w:themeShade="BF"/>
          <w:sz w:val="32"/>
          <w:szCs w:val="32"/>
          <w:rtl/>
        </w:rPr>
        <w:t>مراحل تطوير أداة القياس</w:t>
      </w:r>
    </w:p>
    <w:p w14:paraId="5FAFEE67"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اتبعت الدراسة منهجاً علمياً متسلسلاً في تطوير أداة القياس يمكن إجماله في المراحل الآتية</w:t>
      </w:r>
      <w:r w:rsidRPr="00943C1C">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3000"/>
        <w:gridCol w:w="4609"/>
        <w:gridCol w:w="1417"/>
      </w:tblGrid>
      <w:tr w:rsidR="00907B87" w14:paraId="12734751" w14:textId="77777777" w:rsidTr="00FB57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3421015A" w14:textId="77777777" w:rsidR="00907B87" w:rsidRPr="00F64660" w:rsidRDefault="00907B87" w:rsidP="00907B87">
            <w:pPr>
              <w:bidi/>
              <w:jc w:val="center"/>
              <w:rPr>
                <w:sz w:val="32"/>
                <w:szCs w:val="32"/>
              </w:rPr>
            </w:pPr>
            <w:r w:rsidRPr="00F64660">
              <w:rPr>
                <w:rFonts w:ascii="Traditional Arabic" w:eastAsia="Traditional Arabic" w:hAnsi="Traditional Arabic" w:cs="Traditional Arabic"/>
                <w:color w:val="FFFFFF"/>
                <w:sz w:val="32"/>
                <w:szCs w:val="32"/>
                <w:rtl/>
              </w:rPr>
              <w:t>الإجراء</w:t>
            </w:r>
          </w:p>
        </w:tc>
        <w:tc>
          <w:tcPr>
            <w:tcW w:w="4609" w:type="dxa"/>
            <w:vAlign w:val="center"/>
          </w:tcPr>
          <w:p w14:paraId="713DB3A5"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sidRPr="00F64660">
              <w:rPr>
                <w:rFonts w:ascii="Traditional Arabic" w:eastAsia="Traditional Arabic" w:hAnsi="Traditional Arabic" w:cs="Traditional Arabic"/>
                <w:color w:val="FFFFFF"/>
                <w:sz w:val="32"/>
                <w:szCs w:val="32"/>
                <w:rtl/>
              </w:rPr>
              <w:t>الوصف</w:t>
            </w:r>
          </w:p>
        </w:tc>
        <w:tc>
          <w:tcPr>
            <w:tcW w:w="1417" w:type="dxa"/>
            <w:vAlign w:val="center"/>
          </w:tcPr>
          <w:p w14:paraId="6721B03F"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sidRPr="00F64660">
              <w:rPr>
                <w:rFonts w:ascii="Traditional Arabic" w:eastAsia="Traditional Arabic" w:hAnsi="Traditional Arabic" w:cs="Traditional Arabic"/>
                <w:color w:val="FFFFFF"/>
                <w:sz w:val="32"/>
                <w:szCs w:val="32"/>
                <w:rtl/>
              </w:rPr>
              <w:t>المرحلة</w:t>
            </w:r>
          </w:p>
        </w:tc>
      </w:tr>
      <w:tr w:rsidR="00907B87" w14:paraId="0AD84C6A"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83AD83" w14:textId="77777777" w:rsidR="00907B87" w:rsidRPr="00907B87" w:rsidRDefault="00907B87" w:rsidP="00F64660">
            <w:pPr>
              <w:bidi/>
              <w:rPr>
                <w:sz w:val="28"/>
                <w:szCs w:val="28"/>
              </w:rPr>
            </w:pPr>
            <w:r w:rsidRPr="00907B87">
              <w:rPr>
                <w:rFonts w:ascii="Traditional Arabic" w:eastAsia="Traditional Arabic" w:hAnsi="Traditional Arabic" w:cs="Traditional Arabic"/>
                <w:b w:val="0"/>
                <w:bCs w:val="0"/>
                <w:color w:val="1B2A4A"/>
                <w:sz w:val="28"/>
                <w:szCs w:val="28"/>
                <w:rtl/>
              </w:rPr>
              <w:t>مراجعة الأدبيات والمقاييس المعتمدة في الدراسات السابقة</w:t>
            </w:r>
          </w:p>
        </w:tc>
        <w:tc>
          <w:tcPr>
            <w:tcW w:w="4609" w:type="dxa"/>
            <w:vAlign w:val="center"/>
          </w:tcPr>
          <w:p w14:paraId="35A4788C"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استخلاص بنود القياس الأولية من المقاييس المعرَّبة والمترجمة المعتمدة في الدراسات العالمية.</w:t>
            </w:r>
          </w:p>
        </w:tc>
        <w:tc>
          <w:tcPr>
            <w:tcW w:w="1417" w:type="dxa"/>
            <w:vAlign w:val="center"/>
          </w:tcPr>
          <w:p w14:paraId="01B15360"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المرحلة الأولى</w:t>
            </w:r>
          </w:p>
        </w:tc>
      </w:tr>
      <w:tr w:rsidR="00907B87" w14:paraId="28BF3F86"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26F83D60" w14:textId="77777777" w:rsidR="00907B87" w:rsidRPr="00907B87" w:rsidRDefault="00907B87" w:rsidP="00F64660">
            <w:pPr>
              <w:bidi/>
              <w:rPr>
                <w:sz w:val="28"/>
                <w:szCs w:val="28"/>
              </w:rPr>
            </w:pPr>
            <w:r w:rsidRPr="00907B87">
              <w:rPr>
                <w:rFonts w:ascii="Traditional Arabic" w:eastAsia="Traditional Arabic" w:hAnsi="Traditional Arabic" w:cs="Traditional Arabic"/>
                <w:b w:val="0"/>
                <w:bCs w:val="0"/>
                <w:color w:val="1B2A4A"/>
                <w:sz w:val="28"/>
                <w:szCs w:val="28"/>
                <w:rtl/>
              </w:rPr>
              <w:t>بناء الاستبانة الأولية وتحكيمها</w:t>
            </w:r>
          </w:p>
        </w:tc>
        <w:tc>
          <w:tcPr>
            <w:tcW w:w="4609" w:type="dxa"/>
            <w:vAlign w:val="center"/>
          </w:tcPr>
          <w:p w14:paraId="1C57658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عُرضت الاستبانة على (12) محكماً من أكاديميين ومتخصصين في المجالات ذات الصلة، وأُجريت التعديلات اللازمة في ضوء ملاحظاتهم.</w:t>
            </w:r>
          </w:p>
        </w:tc>
        <w:tc>
          <w:tcPr>
            <w:tcW w:w="1417" w:type="dxa"/>
            <w:vAlign w:val="center"/>
          </w:tcPr>
          <w:p w14:paraId="5FDFD36F"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المرحلة الثانية</w:t>
            </w:r>
          </w:p>
        </w:tc>
      </w:tr>
      <w:tr w:rsidR="00907B87" w14:paraId="40EE2F0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A95F95" w14:textId="77777777" w:rsidR="00F64660" w:rsidRDefault="00907B87" w:rsidP="00F64660">
            <w:pPr>
              <w:bidi/>
              <w:rPr>
                <w:rFonts w:ascii="Traditional Arabic" w:eastAsia="Traditional Arabic" w:hAnsi="Traditional Arabic" w:cs="Traditional Arabic"/>
                <w:color w:val="1B2A4A"/>
                <w:sz w:val="28"/>
                <w:szCs w:val="28"/>
                <w:rtl/>
              </w:rPr>
            </w:pPr>
            <w:r w:rsidRPr="00907B87">
              <w:rPr>
                <w:rFonts w:ascii="Traditional Arabic" w:eastAsia="Traditional Arabic" w:hAnsi="Traditional Arabic" w:cs="Traditional Arabic"/>
                <w:b w:val="0"/>
                <w:bCs w:val="0"/>
                <w:color w:val="1B2A4A"/>
                <w:sz w:val="28"/>
                <w:szCs w:val="28"/>
                <w:rtl/>
              </w:rPr>
              <w:t>الاختبار الاستطلاعي</w:t>
            </w:r>
          </w:p>
          <w:p w14:paraId="4BF4D2F1" w14:textId="2191A666" w:rsidR="00907B87" w:rsidRPr="00907B87" w:rsidRDefault="00907B87" w:rsidP="00F64660">
            <w:pPr>
              <w:bidi/>
              <w:rPr>
                <w:sz w:val="28"/>
                <w:szCs w:val="28"/>
              </w:rPr>
            </w:pPr>
            <w:r w:rsidRPr="00907B87">
              <w:rPr>
                <w:rFonts w:ascii="Traditional Arabic" w:eastAsia="Traditional Arabic" w:hAnsi="Traditional Arabic" w:cs="Traditional Arabic"/>
                <w:b w:val="0"/>
                <w:bCs w:val="0"/>
                <w:color w:val="1B2A4A"/>
                <w:sz w:val="28"/>
                <w:szCs w:val="28"/>
                <w:rtl/>
              </w:rPr>
              <w:t xml:space="preserve"> (Pilot Study)</w:t>
            </w:r>
          </w:p>
        </w:tc>
        <w:tc>
          <w:tcPr>
            <w:tcW w:w="4609" w:type="dxa"/>
            <w:vAlign w:val="center"/>
          </w:tcPr>
          <w:p w14:paraId="0A4D4A89"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طُبِّقت الاستبانة على عينة استطلاعية مؤلفة من (30) مستجيباً للتحقق من وضوح الفقرات وحساب معاملات الثبات الأولية.</w:t>
            </w:r>
          </w:p>
        </w:tc>
        <w:tc>
          <w:tcPr>
            <w:tcW w:w="1417" w:type="dxa"/>
            <w:vAlign w:val="center"/>
          </w:tcPr>
          <w:p w14:paraId="52311B39"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المرحلة الثالثة</w:t>
            </w:r>
          </w:p>
        </w:tc>
      </w:tr>
      <w:tr w:rsidR="00907B87" w14:paraId="43573DDB"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C8FDB4B" w14:textId="77777777" w:rsidR="00907B87" w:rsidRPr="00907B87" w:rsidRDefault="00907B87" w:rsidP="00F64660">
            <w:pPr>
              <w:bidi/>
              <w:rPr>
                <w:sz w:val="28"/>
                <w:szCs w:val="28"/>
              </w:rPr>
            </w:pPr>
            <w:r w:rsidRPr="00907B87">
              <w:rPr>
                <w:rFonts w:ascii="Traditional Arabic" w:eastAsia="Traditional Arabic" w:hAnsi="Traditional Arabic" w:cs="Traditional Arabic"/>
                <w:b w:val="0"/>
                <w:bCs w:val="0"/>
                <w:color w:val="1B2A4A"/>
                <w:sz w:val="28"/>
                <w:szCs w:val="28"/>
                <w:rtl/>
              </w:rPr>
              <w:t>تعديل الاستبانة وإخراجها في صورتها النهائية</w:t>
            </w:r>
          </w:p>
        </w:tc>
        <w:tc>
          <w:tcPr>
            <w:tcW w:w="4609" w:type="dxa"/>
            <w:vAlign w:val="center"/>
          </w:tcPr>
          <w:p w14:paraId="05DC905C"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بناءً على نتائج الاختبار الاستطلاعي، أُجريت التعديلات اللازمة وأُعدَّت النسخة النهائية من الاستبانة.</w:t>
            </w:r>
          </w:p>
        </w:tc>
        <w:tc>
          <w:tcPr>
            <w:tcW w:w="1417" w:type="dxa"/>
            <w:vAlign w:val="center"/>
          </w:tcPr>
          <w:p w14:paraId="799AD12A"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المرحلة الرابعة</w:t>
            </w:r>
          </w:p>
        </w:tc>
      </w:tr>
      <w:tr w:rsidR="00907B87" w14:paraId="6C89C3C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4ECCF4E" w14:textId="77777777" w:rsidR="00907B87" w:rsidRPr="00907B87" w:rsidRDefault="00907B87" w:rsidP="00F64660">
            <w:pPr>
              <w:bidi/>
              <w:rPr>
                <w:sz w:val="28"/>
                <w:szCs w:val="28"/>
              </w:rPr>
            </w:pPr>
            <w:r w:rsidRPr="00907B87">
              <w:rPr>
                <w:rFonts w:ascii="Traditional Arabic" w:eastAsia="Traditional Arabic" w:hAnsi="Traditional Arabic" w:cs="Traditional Arabic"/>
                <w:b w:val="0"/>
                <w:bCs w:val="0"/>
                <w:color w:val="1B2A4A"/>
                <w:sz w:val="28"/>
                <w:szCs w:val="28"/>
                <w:rtl/>
              </w:rPr>
              <w:lastRenderedPageBreak/>
              <w:t>توزيع الاستبانة وجمع البيانات</w:t>
            </w:r>
          </w:p>
        </w:tc>
        <w:tc>
          <w:tcPr>
            <w:tcW w:w="4609" w:type="dxa"/>
            <w:vAlign w:val="center"/>
          </w:tcPr>
          <w:p w14:paraId="0BD9A786" w14:textId="6506667C"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 xml:space="preserve">وُزِّعت الاستبانة إلكترونياً عبر رابط آمن باستخدام نظام </w:t>
            </w:r>
            <w:r w:rsidR="0071100C">
              <w:rPr>
                <w:rFonts w:ascii="Traditional Arabic" w:eastAsia="Traditional Arabic" w:hAnsi="Traditional Arabic" w:cs="Traditional Arabic"/>
                <w:color w:val="1B2A4A"/>
                <w:sz w:val="28"/>
                <w:szCs w:val="28"/>
              </w:rPr>
              <w:t xml:space="preserve">  </w:t>
            </w:r>
            <w:r w:rsidRPr="00907B87">
              <w:rPr>
                <w:rFonts w:ascii="Traditional Arabic" w:eastAsia="Traditional Arabic" w:hAnsi="Traditional Arabic" w:cs="Traditional Arabic"/>
                <w:color w:val="1B2A4A"/>
                <w:sz w:val="28"/>
                <w:szCs w:val="28"/>
                <w:rtl/>
              </w:rPr>
              <w:t xml:space="preserve">Forms </w:t>
            </w:r>
            <w:r w:rsidR="0071100C">
              <w:rPr>
                <w:rFonts w:ascii="Traditional Arabic" w:eastAsia="Traditional Arabic" w:hAnsi="Traditional Arabic" w:cs="Traditional Arabic"/>
                <w:color w:val="1B2A4A"/>
                <w:sz w:val="28"/>
                <w:szCs w:val="28"/>
              </w:rPr>
              <w:t xml:space="preserve"> google </w:t>
            </w:r>
            <w:r w:rsidR="0071100C" w:rsidRPr="00907B87">
              <w:rPr>
                <w:rFonts w:ascii="Traditional Arabic" w:eastAsia="Traditional Arabic" w:hAnsi="Traditional Arabic" w:cs="Traditional Arabic"/>
                <w:color w:val="1B2A4A"/>
                <w:sz w:val="28"/>
                <w:szCs w:val="28"/>
                <w:rtl/>
              </w:rPr>
              <w:t xml:space="preserve"> </w:t>
            </w:r>
            <w:r w:rsidRPr="00907B87">
              <w:rPr>
                <w:rFonts w:ascii="Traditional Arabic" w:eastAsia="Traditional Arabic" w:hAnsi="Traditional Arabic" w:cs="Traditional Arabic"/>
                <w:color w:val="1B2A4A"/>
                <w:sz w:val="28"/>
                <w:szCs w:val="28"/>
                <w:rtl/>
              </w:rPr>
              <w:t>خلال الفترة الزمنية المحددة للجمع الميداني.</w:t>
            </w:r>
          </w:p>
        </w:tc>
        <w:tc>
          <w:tcPr>
            <w:tcW w:w="1417" w:type="dxa"/>
            <w:vAlign w:val="center"/>
          </w:tcPr>
          <w:p w14:paraId="37FC7E65"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المرحلة الخامسة</w:t>
            </w:r>
          </w:p>
        </w:tc>
      </w:tr>
      <w:tr w:rsidR="00907B87" w14:paraId="5E086EC3"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7C298AE0" w14:textId="77777777" w:rsidR="00907B87" w:rsidRPr="00907B87" w:rsidRDefault="00907B87" w:rsidP="00F64660">
            <w:pPr>
              <w:bidi/>
              <w:rPr>
                <w:sz w:val="28"/>
                <w:szCs w:val="28"/>
              </w:rPr>
            </w:pPr>
            <w:r w:rsidRPr="00907B87">
              <w:rPr>
                <w:rFonts w:ascii="Traditional Arabic" w:eastAsia="Traditional Arabic" w:hAnsi="Traditional Arabic" w:cs="Traditional Arabic"/>
                <w:b w:val="0"/>
                <w:bCs w:val="0"/>
                <w:color w:val="1B2A4A"/>
                <w:sz w:val="28"/>
                <w:szCs w:val="28"/>
                <w:rtl/>
              </w:rPr>
              <w:t>تنقية البيانات وإدخالها وتحليلها</w:t>
            </w:r>
          </w:p>
        </w:tc>
        <w:tc>
          <w:tcPr>
            <w:tcW w:w="4609" w:type="dxa"/>
            <w:vAlign w:val="center"/>
          </w:tcPr>
          <w:p w14:paraId="60C1B9D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فُلترت الاستبانات وأُبعدت الاستجابات غير المكتملة، ثم أُدخلت البيانات في برامج التحليل الإحصائي المعتمدة.</w:t>
            </w:r>
          </w:p>
        </w:tc>
        <w:tc>
          <w:tcPr>
            <w:tcW w:w="1417" w:type="dxa"/>
            <w:vAlign w:val="center"/>
          </w:tcPr>
          <w:p w14:paraId="03047BA7"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907B87">
              <w:rPr>
                <w:rFonts w:ascii="Traditional Arabic" w:eastAsia="Traditional Arabic" w:hAnsi="Traditional Arabic" w:cs="Traditional Arabic"/>
                <w:color w:val="1B2A4A"/>
                <w:sz w:val="28"/>
                <w:szCs w:val="28"/>
                <w:rtl/>
              </w:rPr>
              <w:t>المرحلة السادسة</w:t>
            </w:r>
          </w:p>
        </w:tc>
      </w:tr>
    </w:tbl>
    <w:p w14:paraId="5E763532" w14:textId="77777777" w:rsidR="009A71C7" w:rsidRPr="00943C1C" w:rsidRDefault="009A71C7" w:rsidP="00943C1C">
      <w:pPr>
        <w:bidi/>
        <w:jc w:val="both"/>
        <w:rPr>
          <w:rFonts w:ascii="Traditional Arabic" w:hAnsi="Traditional Arabic" w:cs="Traditional Arabic"/>
          <w:sz w:val="28"/>
          <w:szCs w:val="28"/>
          <w:rtl/>
        </w:rPr>
      </w:pPr>
    </w:p>
    <w:p w14:paraId="77E3B89F" w14:textId="2ACBD3A2" w:rsidR="009A71C7" w:rsidRPr="00D92D3F" w:rsidRDefault="009A71C7" w:rsidP="00B7711D">
      <w:pPr>
        <w:pStyle w:val="ListParagraph"/>
        <w:numPr>
          <w:ilvl w:val="0"/>
          <w:numId w:val="36"/>
        </w:numPr>
        <w:bidi/>
        <w:jc w:val="both"/>
        <w:rPr>
          <w:rFonts w:ascii="Traditional Arabic" w:hAnsi="Traditional Arabic" w:cs="Traditional Arabic"/>
          <w:sz w:val="28"/>
          <w:szCs w:val="28"/>
          <w:rtl/>
        </w:rPr>
      </w:pPr>
      <w:r w:rsidRPr="00D92D3F">
        <w:rPr>
          <w:rFonts w:asciiTheme="majorHAnsi" w:eastAsiaTheme="majorEastAsia" w:hAnsiTheme="majorHAnsi" w:cstheme="majorBidi"/>
          <w:color w:val="2F5496" w:themeColor="accent1" w:themeShade="BF"/>
          <w:sz w:val="32"/>
          <w:szCs w:val="32"/>
          <w:rtl/>
        </w:rPr>
        <w:t>إجراءات التحقق من الصدق والثبات</w:t>
      </w:r>
    </w:p>
    <w:p w14:paraId="762E9675"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أولت الدراسة عناية بالغة بالتحقق من الخصائص السيكومترية لأداة القياس، وذلك على مستويين</w:t>
      </w:r>
      <w:r w:rsidRPr="00943C1C">
        <w:rPr>
          <w:rFonts w:ascii="Traditional Arabic" w:hAnsi="Traditional Arabic" w:cs="Traditional Arabic"/>
          <w:sz w:val="28"/>
          <w:szCs w:val="28"/>
        </w:rPr>
        <w:t>:</w:t>
      </w:r>
    </w:p>
    <w:p w14:paraId="744EF984" w14:textId="3FC7843F" w:rsidR="009A71C7"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Pr>
      </w:pPr>
      <w:r w:rsidRPr="002631F0">
        <w:rPr>
          <w:rFonts w:asciiTheme="majorHAnsi" w:eastAsiaTheme="majorEastAsia" w:hAnsiTheme="majorHAnsi" w:cstheme="majorBidi"/>
          <w:color w:val="2F5496" w:themeColor="accent1" w:themeShade="BF"/>
          <w:sz w:val="32"/>
          <w:szCs w:val="32"/>
          <w:rtl/>
        </w:rPr>
        <w:t>صدق المحتوى</w:t>
      </w:r>
      <w:r w:rsidRPr="002631F0">
        <w:rPr>
          <w:rFonts w:asciiTheme="majorHAnsi" w:eastAsiaTheme="majorEastAsia" w:hAnsiTheme="majorHAnsi" w:cstheme="majorBidi"/>
          <w:color w:val="2F5496" w:themeColor="accent1" w:themeShade="BF"/>
          <w:sz w:val="32"/>
          <w:szCs w:val="32"/>
        </w:rPr>
        <w:t xml:space="preserve"> </w:t>
      </w:r>
      <w:r w:rsidR="005F63F8">
        <w:rPr>
          <w:rFonts w:asciiTheme="majorHAnsi" w:eastAsiaTheme="majorEastAsia" w:hAnsiTheme="majorHAnsi" w:cstheme="majorBidi" w:hint="cs"/>
          <w:color w:val="2F5496" w:themeColor="accent1" w:themeShade="BF"/>
          <w:sz w:val="32"/>
          <w:szCs w:val="32"/>
          <w:rtl/>
        </w:rPr>
        <w:t xml:space="preserve"> </w:t>
      </w:r>
      <w:r w:rsidRPr="002631F0">
        <w:rPr>
          <w:rFonts w:asciiTheme="majorHAnsi" w:eastAsiaTheme="majorEastAsia" w:hAnsiTheme="majorHAnsi" w:cstheme="majorBidi"/>
          <w:color w:val="2F5496" w:themeColor="accent1" w:themeShade="BF"/>
          <w:sz w:val="32"/>
          <w:szCs w:val="32"/>
        </w:rPr>
        <w:t>(Content Validity)</w:t>
      </w:r>
    </w:p>
    <w:p w14:paraId="14C73644" w14:textId="77777777" w:rsidR="009A71C7"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جرى التحقق من صدق المحتوى من خلال عرض الاستبانة على هيئة محكمين متخصصين</w:t>
      </w:r>
      <w:r w:rsidRPr="00943C1C">
        <w:rPr>
          <w:rFonts w:ascii="Traditional Arabic" w:hAnsi="Traditional Arabic" w:cs="Traditional Arabic"/>
          <w:sz w:val="28"/>
          <w:szCs w:val="28"/>
        </w:rPr>
        <w:t xml:space="preserve"> (Content Validity Ratio - CVR)</w:t>
      </w:r>
      <w:r w:rsidRPr="00943C1C">
        <w:rPr>
          <w:rFonts w:ascii="Traditional Arabic" w:hAnsi="Traditional Arabic" w:cs="Traditional Arabic"/>
          <w:sz w:val="28"/>
          <w:szCs w:val="28"/>
          <w:rtl/>
        </w:rPr>
        <w:t>، واشتراط الإجماع على قبول الفقرة أو تعديلها بنسبة لا تقل عن (80%). وقد أُجريت التعديلات اللازمة في ضوء الملاحظات التخصصية الواردة من المحكمين، مما أسهم في رفع درجة الوضوح والشمولية</w:t>
      </w:r>
      <w:r w:rsidRPr="00943C1C">
        <w:rPr>
          <w:rFonts w:ascii="Traditional Arabic" w:hAnsi="Traditional Arabic" w:cs="Traditional Arabic"/>
          <w:sz w:val="28"/>
          <w:szCs w:val="28"/>
        </w:rPr>
        <w:t>.</w:t>
      </w:r>
    </w:p>
    <w:p w14:paraId="1C5464A2" w14:textId="3990924D" w:rsidR="005E719B" w:rsidRPr="005E719B" w:rsidRDefault="005E719B"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sidRPr="005E719B">
        <w:rPr>
          <w:rFonts w:asciiTheme="majorHAnsi" w:eastAsiaTheme="majorEastAsia" w:hAnsiTheme="majorHAnsi" w:cstheme="majorBidi"/>
          <w:color w:val="2F5496" w:themeColor="accent1" w:themeShade="BF"/>
          <w:sz w:val="32"/>
          <w:szCs w:val="32"/>
          <w:rtl/>
        </w:rPr>
        <w:t>الصدق التقاربي والتمايزي  (</w:t>
      </w:r>
      <w:r w:rsidRPr="005E719B">
        <w:rPr>
          <w:rFonts w:asciiTheme="majorHAnsi" w:eastAsiaTheme="majorEastAsia" w:hAnsiTheme="majorHAnsi" w:cstheme="majorBidi"/>
          <w:color w:val="2F5496" w:themeColor="accent1" w:themeShade="BF"/>
          <w:sz w:val="32"/>
          <w:szCs w:val="32"/>
        </w:rPr>
        <w:t>Convergent &amp; Discriminant Validity</w:t>
      </w:r>
      <w:r w:rsidRPr="005E719B">
        <w:rPr>
          <w:rFonts w:asciiTheme="majorHAnsi" w:eastAsiaTheme="majorEastAsia" w:hAnsiTheme="majorHAnsi" w:cstheme="majorBidi"/>
          <w:color w:val="2F5496" w:themeColor="accent1" w:themeShade="BF"/>
          <w:sz w:val="32"/>
          <w:szCs w:val="32"/>
          <w:rtl/>
        </w:rPr>
        <w:t>)</w:t>
      </w:r>
    </w:p>
    <w:p w14:paraId="05F6EB37"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استُخدم برنامج</w:t>
      </w:r>
      <w:r w:rsidRPr="00943C1C">
        <w:rPr>
          <w:rFonts w:ascii="Traditional Arabic" w:hAnsi="Traditional Arabic" w:cs="Traditional Arabic"/>
          <w:sz w:val="28"/>
          <w:szCs w:val="28"/>
        </w:rPr>
        <w:t xml:space="preserve"> SmartPLS 4.0 </w:t>
      </w:r>
      <w:r w:rsidRPr="00943C1C">
        <w:rPr>
          <w:rFonts w:ascii="Traditional Arabic" w:hAnsi="Traditional Arabic" w:cs="Traditional Arabic"/>
          <w:sz w:val="28"/>
          <w:szCs w:val="28"/>
          <w:rtl/>
        </w:rPr>
        <w:t>للتحقق من الصدق البنائي للمقاييس، وذلك من خلال قياس متوسط التباين المستخلَص</w:t>
      </w:r>
      <w:r w:rsidRPr="00943C1C">
        <w:rPr>
          <w:rFonts w:ascii="Traditional Arabic" w:hAnsi="Traditional Arabic" w:cs="Traditional Arabic"/>
          <w:sz w:val="28"/>
          <w:szCs w:val="28"/>
        </w:rPr>
        <w:t xml:space="preserve"> (AVE)</w:t>
      </w:r>
      <w:r w:rsidRPr="00943C1C">
        <w:rPr>
          <w:rFonts w:ascii="Traditional Arabic" w:hAnsi="Traditional Arabic" w:cs="Traditional Arabic"/>
          <w:sz w:val="28"/>
          <w:szCs w:val="28"/>
          <w:rtl/>
        </w:rPr>
        <w:t>، واشتراط ألا تقل قيمته عن (0.50) لكل متغير كامن، والتحقق من الصدق التمايزي باستخدام معيار فورنيل-لاركر</w:t>
      </w:r>
      <w:r w:rsidRPr="00943C1C">
        <w:rPr>
          <w:rFonts w:ascii="Traditional Arabic" w:hAnsi="Traditional Arabic" w:cs="Traditional Arabic"/>
          <w:sz w:val="28"/>
          <w:szCs w:val="28"/>
        </w:rPr>
        <w:t xml:space="preserve"> (Fornell-Larcker Criterion)</w:t>
      </w:r>
      <w:r w:rsidRPr="00943C1C">
        <w:rPr>
          <w:rFonts w:ascii="Traditional Arabic" w:hAnsi="Traditional Arabic" w:cs="Traditional Arabic"/>
          <w:sz w:val="28"/>
          <w:szCs w:val="28"/>
          <w:rtl/>
        </w:rPr>
        <w:t>، ومعامل</w:t>
      </w:r>
      <w:r w:rsidRPr="00943C1C">
        <w:rPr>
          <w:rFonts w:ascii="Traditional Arabic" w:hAnsi="Traditional Arabic" w:cs="Traditional Arabic"/>
          <w:sz w:val="28"/>
          <w:szCs w:val="28"/>
        </w:rPr>
        <w:t xml:space="preserve"> HTMT </w:t>
      </w:r>
      <w:r w:rsidRPr="00943C1C">
        <w:rPr>
          <w:rFonts w:ascii="Traditional Arabic" w:hAnsi="Traditional Arabic" w:cs="Traditional Arabic"/>
          <w:sz w:val="28"/>
          <w:szCs w:val="28"/>
          <w:rtl/>
        </w:rPr>
        <w:t>للتحقق من عدم وجود تداخل بين المتغيرات</w:t>
      </w:r>
      <w:r w:rsidRPr="00943C1C">
        <w:rPr>
          <w:rFonts w:ascii="Traditional Arabic" w:hAnsi="Traditional Arabic" w:cs="Traditional Arabic"/>
          <w:sz w:val="28"/>
          <w:szCs w:val="28"/>
        </w:rPr>
        <w:t xml:space="preserve"> (Henseler et al., 2015).</w:t>
      </w:r>
    </w:p>
    <w:p w14:paraId="6CAA449D" w14:textId="30E365E8" w:rsidR="009A71C7" w:rsidRPr="006B5F0B"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sidRPr="006B5F0B">
        <w:rPr>
          <w:rFonts w:asciiTheme="majorHAnsi" w:eastAsiaTheme="majorEastAsia" w:hAnsiTheme="majorHAnsi" w:cstheme="majorBidi"/>
          <w:color w:val="2F5496" w:themeColor="accent1" w:themeShade="BF"/>
          <w:sz w:val="32"/>
          <w:szCs w:val="32"/>
          <w:rtl/>
        </w:rPr>
        <w:t>الثبات</w:t>
      </w:r>
      <w:r w:rsidRPr="006B5F0B">
        <w:rPr>
          <w:rFonts w:asciiTheme="majorHAnsi" w:eastAsiaTheme="majorEastAsia" w:hAnsiTheme="majorHAnsi" w:cstheme="majorBidi"/>
          <w:color w:val="2F5496" w:themeColor="accent1" w:themeShade="BF"/>
          <w:sz w:val="32"/>
          <w:szCs w:val="32"/>
        </w:rPr>
        <w:t xml:space="preserve"> </w:t>
      </w:r>
      <w:r w:rsidR="002E16C1">
        <w:rPr>
          <w:rFonts w:asciiTheme="majorHAnsi" w:eastAsiaTheme="majorEastAsia" w:hAnsiTheme="majorHAnsi" w:cstheme="majorBidi" w:hint="cs"/>
          <w:color w:val="2F5496" w:themeColor="accent1" w:themeShade="BF"/>
          <w:sz w:val="32"/>
          <w:szCs w:val="32"/>
          <w:rtl/>
        </w:rPr>
        <w:t xml:space="preserve"> </w:t>
      </w:r>
      <w:r w:rsidRPr="006B5F0B">
        <w:rPr>
          <w:rFonts w:asciiTheme="majorHAnsi" w:eastAsiaTheme="majorEastAsia" w:hAnsiTheme="majorHAnsi" w:cstheme="majorBidi"/>
          <w:color w:val="2F5496" w:themeColor="accent1" w:themeShade="BF"/>
          <w:sz w:val="32"/>
          <w:szCs w:val="32"/>
        </w:rPr>
        <w:t>(Reliability)</w:t>
      </w:r>
    </w:p>
    <w:p w14:paraId="25C9BF04" w14:textId="65CCA5DB" w:rsidR="009A71C7" w:rsidRPr="00943C1C" w:rsidRDefault="009A71C7" w:rsidP="00BF446A">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قُدِّر ثبات المقاييس من خلال معامل ألفا كرونباك</w:t>
      </w:r>
      <w:r w:rsidRPr="00943C1C">
        <w:rPr>
          <w:rFonts w:ascii="Traditional Arabic" w:hAnsi="Traditional Arabic" w:cs="Traditional Arabic"/>
          <w:sz w:val="28"/>
          <w:szCs w:val="28"/>
        </w:rPr>
        <w:t xml:space="preserve"> (</w:t>
      </w:r>
      <w:r w:rsidRPr="00943C1C">
        <w:rPr>
          <w:rFonts w:ascii="Cambria" w:hAnsi="Cambria" w:cs="Cambria"/>
          <w:sz w:val="28"/>
          <w:szCs w:val="28"/>
        </w:rPr>
        <w:t>α</w:t>
      </w:r>
      <w:r w:rsidRPr="00943C1C">
        <w:rPr>
          <w:rFonts w:ascii="Traditional Arabic" w:hAnsi="Traditional Arabic" w:cs="Traditional Arabic"/>
          <w:sz w:val="28"/>
          <w:szCs w:val="28"/>
        </w:rPr>
        <w:t xml:space="preserve"> </w:t>
      </w:r>
      <w:r w:rsidRPr="00943C1C">
        <w:rPr>
          <w:rFonts w:ascii="Cambria Math" w:hAnsi="Cambria Math" w:cs="Cambria Math"/>
          <w:sz w:val="28"/>
          <w:szCs w:val="28"/>
        </w:rPr>
        <w:t>≥</w:t>
      </w:r>
      <w:r w:rsidRPr="00943C1C">
        <w:rPr>
          <w:rFonts w:ascii="Traditional Arabic" w:hAnsi="Traditional Arabic" w:cs="Traditional Arabic"/>
          <w:sz w:val="28"/>
          <w:szCs w:val="28"/>
        </w:rPr>
        <w:t xml:space="preserve"> 0.70) </w:t>
      </w:r>
      <w:r w:rsidRPr="00943C1C">
        <w:rPr>
          <w:rFonts w:ascii="Traditional Arabic" w:hAnsi="Traditional Arabic" w:cs="Traditional Arabic"/>
          <w:sz w:val="28"/>
          <w:szCs w:val="28"/>
          <w:rtl/>
        </w:rPr>
        <w:t>ومعامل الموثوقية المركبة</w:t>
      </w:r>
      <w:r w:rsidRPr="00943C1C">
        <w:rPr>
          <w:rFonts w:ascii="Traditional Arabic" w:hAnsi="Traditional Arabic" w:cs="Traditional Arabic"/>
          <w:sz w:val="28"/>
          <w:szCs w:val="28"/>
        </w:rPr>
        <w:t xml:space="preserve"> </w:t>
      </w:r>
      <w:r w:rsidR="006B5F0B">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(CR </w:t>
      </w:r>
      <w:r w:rsidRPr="00943C1C">
        <w:rPr>
          <w:rFonts w:ascii="Cambria Math" w:hAnsi="Cambria Math" w:cs="Cambria Math"/>
          <w:sz w:val="28"/>
          <w:szCs w:val="28"/>
        </w:rPr>
        <w:t>≥</w:t>
      </w:r>
      <w:r w:rsidRPr="00943C1C">
        <w:rPr>
          <w:rFonts w:ascii="Traditional Arabic" w:hAnsi="Traditional Arabic" w:cs="Traditional Arabic"/>
          <w:sz w:val="28"/>
          <w:szCs w:val="28"/>
        </w:rPr>
        <w:t xml:space="preserve"> 0.70)</w:t>
      </w:r>
      <w:r w:rsidR="006B5F0B">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tl/>
        </w:rPr>
        <w:t>، وهما المعياران الأكثر تداولاً في دراسات نمذجة المعادلات الهيكلية</w:t>
      </w:r>
      <w:r w:rsidRPr="00943C1C">
        <w:rPr>
          <w:rFonts w:ascii="Traditional Arabic" w:hAnsi="Traditional Arabic" w:cs="Traditional Arabic"/>
          <w:sz w:val="28"/>
          <w:szCs w:val="28"/>
        </w:rPr>
        <w:t xml:space="preserve"> (Hair et al., 2019)</w:t>
      </w:r>
      <w:r w:rsidR="006B5F0B">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w:t>
      </w:r>
    </w:p>
    <w:p w14:paraId="47B1B5D9" w14:textId="77777777" w:rsidR="009A71C7" w:rsidRPr="00BF446A" w:rsidRDefault="009A71C7" w:rsidP="00BF446A">
      <w:pPr>
        <w:pStyle w:val="Heading1"/>
        <w:numPr>
          <w:ilvl w:val="0"/>
          <w:numId w:val="0"/>
        </w:numPr>
        <w:bidi/>
        <w:rPr>
          <w:rFonts w:ascii="Traditional Arabic" w:eastAsia="Times New Roman" w:hAnsi="Traditional Arabic" w:cs="Traditional Arabic"/>
          <w:b/>
          <w:bCs/>
          <w:rtl/>
        </w:rPr>
      </w:pPr>
      <w:r w:rsidRPr="00BF446A">
        <w:rPr>
          <w:rFonts w:ascii="Traditional Arabic" w:eastAsia="Times New Roman" w:hAnsi="Traditional Arabic" w:cs="Traditional Arabic"/>
          <w:b/>
          <w:bCs/>
          <w:rtl/>
        </w:rPr>
        <w:t>سابعاً: تصميم الدراسة والمعالجة الإحصائية</w:t>
      </w:r>
    </w:p>
    <w:p w14:paraId="079A24EB" w14:textId="749DBCF6" w:rsidR="009A71C7" w:rsidRPr="00A56651"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tl/>
        </w:rPr>
      </w:pPr>
      <w:r w:rsidRPr="00A56651">
        <w:rPr>
          <w:rFonts w:asciiTheme="majorHAnsi" w:eastAsiaTheme="majorEastAsia" w:hAnsiTheme="majorHAnsi" w:cstheme="majorBidi"/>
          <w:color w:val="2F5496" w:themeColor="accent1" w:themeShade="BF"/>
          <w:sz w:val="32"/>
          <w:szCs w:val="32"/>
          <w:rtl/>
        </w:rPr>
        <w:t>الأساليب الإحصائية الوصفية</w:t>
      </w:r>
    </w:p>
    <w:p w14:paraId="3F87121B"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للإجابة عن تساؤلات الدراسة المتعلقة بوصف خصائص العينة والمتغيرات، استُخدمت الأساليب الإحصائية الوصفية الآتية: التكرارات والنسب المئوية لتصنيف البيانات الديموغرافية، والمتوسطات الحسابية والانحرافات المعيارية لقياس مستوى كل متغير من متغيرات الدراسة، ومعاملات الالتواء والتفرطح للتحقق من الاعتدالية الطبيعية للبيانات</w:t>
      </w:r>
      <w:r w:rsidRPr="00943C1C">
        <w:rPr>
          <w:rFonts w:ascii="Traditional Arabic" w:hAnsi="Traditional Arabic" w:cs="Traditional Arabic"/>
          <w:sz w:val="28"/>
          <w:szCs w:val="28"/>
        </w:rPr>
        <w:t>.</w:t>
      </w:r>
    </w:p>
    <w:p w14:paraId="3A6850ED" w14:textId="77777777" w:rsidR="00EF4BBA"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sidRPr="00A56651">
        <w:rPr>
          <w:rFonts w:asciiTheme="majorHAnsi" w:eastAsiaTheme="majorEastAsia" w:hAnsiTheme="majorHAnsi" w:cstheme="majorBidi"/>
          <w:color w:val="2F5496" w:themeColor="accent1" w:themeShade="BF"/>
          <w:sz w:val="32"/>
          <w:szCs w:val="32"/>
          <w:rtl/>
        </w:rPr>
        <w:t>نمذجة المعادلات الهيكلية بالمربعات الصغرى الجزئية</w:t>
      </w:r>
      <w:r w:rsidRPr="00A56651">
        <w:rPr>
          <w:rFonts w:asciiTheme="majorHAnsi" w:eastAsiaTheme="majorEastAsia" w:hAnsiTheme="majorHAnsi" w:cstheme="majorBidi"/>
          <w:color w:val="2F5496" w:themeColor="accent1" w:themeShade="BF"/>
          <w:sz w:val="32"/>
          <w:szCs w:val="32"/>
        </w:rPr>
        <w:t xml:space="preserve"> (PLS-SEM)</w:t>
      </w:r>
    </w:p>
    <w:p w14:paraId="76902826"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lastRenderedPageBreak/>
        <w:t>يُعدّ أسلوب</w:t>
      </w:r>
      <w:r w:rsidRPr="00943C1C">
        <w:rPr>
          <w:rFonts w:ascii="Traditional Arabic" w:hAnsi="Traditional Arabic" w:cs="Traditional Arabic"/>
          <w:sz w:val="28"/>
          <w:szCs w:val="28"/>
        </w:rPr>
        <w:t xml:space="preserve"> PLS-SEM </w:t>
      </w:r>
      <w:r w:rsidRPr="00943C1C">
        <w:rPr>
          <w:rFonts w:ascii="Traditional Arabic" w:hAnsi="Traditional Arabic" w:cs="Traditional Arabic"/>
          <w:sz w:val="28"/>
          <w:szCs w:val="28"/>
          <w:rtl/>
        </w:rPr>
        <w:t>الأداةَ التحليلية المحورية في هذه الدراسة، وذلك للأسباب المنهجية الآتية</w:t>
      </w:r>
      <w:r w:rsidRPr="00943C1C">
        <w:rPr>
          <w:rFonts w:ascii="Traditional Arabic" w:hAnsi="Traditional Arabic" w:cs="Traditional Arabic"/>
          <w:sz w:val="28"/>
          <w:szCs w:val="28"/>
        </w:rPr>
        <w:t>:</w:t>
      </w:r>
    </w:p>
    <w:p w14:paraId="136141F4" w14:textId="5FE515C0"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sidRPr="008436D4">
        <w:rPr>
          <w:rFonts w:ascii="Traditional Arabic" w:hAnsi="Traditional Arabic" w:cs="Traditional Arabic"/>
          <w:sz w:val="28"/>
          <w:szCs w:val="28"/>
          <w:rtl/>
        </w:rPr>
        <w:t>ملاءمته للعينات متوسطة الحجم، خلافاً لتقنية</w:t>
      </w:r>
      <w:r w:rsidRPr="008436D4">
        <w:rPr>
          <w:rFonts w:ascii="Traditional Arabic" w:hAnsi="Traditional Arabic" w:cs="Traditional Arabic"/>
          <w:sz w:val="28"/>
          <w:szCs w:val="28"/>
        </w:rPr>
        <w:t xml:space="preserve"> CB-SEM </w:t>
      </w:r>
      <w:r w:rsidRPr="008436D4">
        <w:rPr>
          <w:rFonts w:ascii="Traditional Arabic" w:hAnsi="Traditional Arabic" w:cs="Traditional Arabic"/>
          <w:sz w:val="28"/>
          <w:szCs w:val="28"/>
          <w:rtl/>
        </w:rPr>
        <w:t>التي تستلزم عينات أكبر</w:t>
      </w:r>
      <w:r w:rsidRPr="008436D4">
        <w:rPr>
          <w:rFonts w:ascii="Traditional Arabic" w:hAnsi="Traditional Arabic" w:cs="Traditional Arabic"/>
          <w:sz w:val="28"/>
          <w:szCs w:val="28"/>
        </w:rPr>
        <w:t>.</w:t>
      </w:r>
    </w:p>
    <w:p w14:paraId="152BE2C5" w14:textId="22769797"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sidRPr="008436D4">
        <w:rPr>
          <w:rFonts w:ascii="Traditional Arabic" w:hAnsi="Traditional Arabic" w:cs="Traditional Arabic"/>
          <w:sz w:val="28"/>
          <w:szCs w:val="28"/>
          <w:rtl/>
        </w:rPr>
        <w:t>قدرته على اختبار النماذج التكوينية</w:t>
      </w:r>
      <w:r w:rsidRPr="008436D4">
        <w:rPr>
          <w:rFonts w:ascii="Traditional Arabic" w:hAnsi="Traditional Arabic" w:cs="Traditional Arabic"/>
          <w:sz w:val="28"/>
          <w:szCs w:val="28"/>
        </w:rPr>
        <w:t xml:space="preserve"> (Formative) </w:t>
      </w:r>
      <w:r w:rsidRPr="008436D4">
        <w:rPr>
          <w:rFonts w:ascii="Traditional Arabic" w:hAnsi="Traditional Arabic" w:cs="Traditional Arabic"/>
          <w:sz w:val="28"/>
          <w:szCs w:val="28"/>
          <w:rtl/>
        </w:rPr>
        <w:t>والانعكاسية</w:t>
      </w:r>
      <w:r w:rsidRPr="008436D4">
        <w:rPr>
          <w:rFonts w:ascii="Traditional Arabic" w:hAnsi="Traditional Arabic" w:cs="Traditional Arabic"/>
          <w:sz w:val="28"/>
          <w:szCs w:val="28"/>
        </w:rPr>
        <w:t xml:space="preserve"> (Reflective) </w:t>
      </w:r>
      <w:r w:rsidRPr="008436D4">
        <w:rPr>
          <w:rFonts w:ascii="Traditional Arabic" w:hAnsi="Traditional Arabic" w:cs="Traditional Arabic"/>
          <w:sz w:val="28"/>
          <w:szCs w:val="28"/>
          <w:rtl/>
        </w:rPr>
        <w:t>وفق منطق النموذج المقترح</w:t>
      </w:r>
      <w:r w:rsidRPr="008436D4">
        <w:rPr>
          <w:rFonts w:ascii="Traditional Arabic" w:hAnsi="Traditional Arabic" w:cs="Traditional Arabic"/>
          <w:sz w:val="28"/>
          <w:szCs w:val="28"/>
        </w:rPr>
        <w:t>.</w:t>
      </w:r>
    </w:p>
    <w:p w14:paraId="4FA74AB9" w14:textId="5318F232"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sidRPr="008436D4">
        <w:rPr>
          <w:rFonts w:ascii="Traditional Arabic" w:hAnsi="Traditional Arabic" w:cs="Traditional Arabic"/>
          <w:sz w:val="28"/>
          <w:szCs w:val="28"/>
          <w:rtl/>
        </w:rPr>
        <w:t>تفوقه في اختبار النماذج المعقدة المتضمنة متغيرات وسيطة متعددة</w:t>
      </w:r>
      <w:r w:rsidRPr="008436D4">
        <w:rPr>
          <w:rFonts w:ascii="Traditional Arabic" w:hAnsi="Traditional Arabic" w:cs="Traditional Arabic"/>
          <w:sz w:val="28"/>
          <w:szCs w:val="28"/>
        </w:rPr>
        <w:t xml:space="preserve"> </w:t>
      </w:r>
      <w:r w:rsidR="00575738">
        <w:rPr>
          <w:rFonts w:ascii="Traditional Arabic" w:hAnsi="Traditional Arabic" w:cs="Traditional Arabic" w:hint="cs"/>
          <w:sz w:val="28"/>
          <w:szCs w:val="28"/>
          <w:rtl/>
        </w:rPr>
        <w:t xml:space="preserve"> </w:t>
      </w:r>
      <w:r w:rsidRPr="008436D4">
        <w:rPr>
          <w:rFonts w:ascii="Traditional Arabic" w:hAnsi="Traditional Arabic" w:cs="Traditional Arabic"/>
          <w:sz w:val="28"/>
          <w:szCs w:val="28"/>
        </w:rPr>
        <w:t>(Composite Mediation Models)</w:t>
      </w:r>
      <w:r w:rsidR="00575738">
        <w:rPr>
          <w:rFonts w:ascii="Traditional Arabic" w:hAnsi="Traditional Arabic" w:cs="Traditional Arabic" w:hint="cs"/>
          <w:sz w:val="28"/>
          <w:szCs w:val="28"/>
          <w:rtl/>
        </w:rPr>
        <w:t xml:space="preserve"> </w:t>
      </w:r>
      <w:r w:rsidRPr="008436D4">
        <w:rPr>
          <w:rFonts w:ascii="Traditional Arabic" w:hAnsi="Traditional Arabic" w:cs="Traditional Arabic"/>
          <w:sz w:val="28"/>
          <w:szCs w:val="28"/>
        </w:rPr>
        <w:t>.</w:t>
      </w:r>
    </w:p>
    <w:p w14:paraId="4430F5A6" w14:textId="2CFEEABB" w:rsidR="009A71C7" w:rsidRPr="00575738" w:rsidRDefault="009A71C7" w:rsidP="00B7711D">
      <w:pPr>
        <w:pStyle w:val="ListParagraph"/>
        <w:numPr>
          <w:ilvl w:val="0"/>
          <w:numId w:val="39"/>
        </w:numPr>
        <w:bidi/>
        <w:jc w:val="both"/>
        <w:rPr>
          <w:rFonts w:ascii="Traditional Arabic" w:hAnsi="Traditional Arabic" w:cs="Traditional Arabic"/>
          <w:sz w:val="28"/>
          <w:szCs w:val="28"/>
          <w:rtl/>
        </w:rPr>
      </w:pPr>
      <w:r w:rsidRPr="008436D4">
        <w:rPr>
          <w:rFonts w:ascii="Traditional Arabic" w:hAnsi="Traditional Arabic" w:cs="Traditional Arabic"/>
          <w:sz w:val="28"/>
          <w:szCs w:val="28"/>
          <w:rtl/>
        </w:rPr>
        <w:t>شيوع توظيفه في دراسات قطاع المياه والبنية التحتية ضمن الأدبيات الحديثة</w:t>
      </w:r>
      <w:r w:rsidRPr="008436D4">
        <w:rPr>
          <w:rFonts w:ascii="Traditional Arabic" w:hAnsi="Traditional Arabic" w:cs="Traditional Arabic"/>
          <w:sz w:val="28"/>
          <w:szCs w:val="28"/>
        </w:rPr>
        <w:t xml:space="preserve"> </w:t>
      </w:r>
      <w:r w:rsidR="00575738">
        <w:rPr>
          <w:rFonts w:ascii="Traditional Arabic" w:hAnsi="Traditional Arabic" w:cs="Traditional Arabic" w:hint="cs"/>
          <w:sz w:val="28"/>
          <w:szCs w:val="28"/>
          <w:rtl/>
        </w:rPr>
        <w:t xml:space="preserve"> </w:t>
      </w:r>
      <w:r w:rsidRPr="008436D4">
        <w:rPr>
          <w:rFonts w:ascii="Traditional Arabic" w:hAnsi="Traditional Arabic" w:cs="Traditional Arabic"/>
          <w:sz w:val="28"/>
          <w:szCs w:val="28"/>
        </w:rPr>
        <w:t>(Ringle et al., 2015)</w:t>
      </w:r>
      <w:r w:rsidR="00575738">
        <w:rPr>
          <w:rFonts w:ascii="Traditional Arabic" w:hAnsi="Traditional Arabic" w:cs="Traditional Arabic" w:hint="cs"/>
          <w:sz w:val="28"/>
          <w:szCs w:val="28"/>
          <w:rtl/>
        </w:rPr>
        <w:t xml:space="preserve"> </w:t>
      </w:r>
      <w:r w:rsidRPr="008436D4">
        <w:rPr>
          <w:rFonts w:ascii="Traditional Arabic" w:hAnsi="Traditional Arabic" w:cs="Traditional Arabic"/>
          <w:sz w:val="28"/>
          <w:szCs w:val="28"/>
        </w:rPr>
        <w:t>.</w:t>
      </w:r>
    </w:p>
    <w:p w14:paraId="254CAC4F" w14:textId="39D66C9E"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وتبنّت الدراسة في تحليل نموذج</w:t>
      </w:r>
      <w:r w:rsidRPr="00943C1C">
        <w:rPr>
          <w:rFonts w:ascii="Traditional Arabic" w:hAnsi="Traditional Arabic" w:cs="Traditional Arabic"/>
          <w:sz w:val="28"/>
          <w:szCs w:val="28"/>
        </w:rPr>
        <w:t xml:space="preserve"> PLS-SEM </w:t>
      </w:r>
      <w:r w:rsidRPr="00943C1C">
        <w:rPr>
          <w:rFonts w:ascii="Traditional Arabic" w:hAnsi="Traditional Arabic" w:cs="Traditional Arabic"/>
          <w:sz w:val="28"/>
          <w:szCs w:val="28"/>
          <w:rtl/>
        </w:rPr>
        <w:t>نهجاً ثنائي المرحلة وفق التوصيات المنهجية لـ</w:t>
      </w:r>
      <w:r w:rsidR="009B16D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Hair et al. (2019)</w:t>
      </w:r>
      <w:r w:rsidR="00FE5CFE">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w:t>
      </w:r>
    </w:p>
    <w:p w14:paraId="097B25B9" w14:textId="5489059E" w:rsidR="009A71C7" w:rsidRPr="00943C1C" w:rsidRDefault="009A71C7" w:rsidP="00943C1C">
      <w:pPr>
        <w:bidi/>
        <w:jc w:val="both"/>
        <w:rPr>
          <w:rFonts w:ascii="Traditional Arabic" w:hAnsi="Traditional Arabic" w:cs="Traditional Arabic"/>
          <w:sz w:val="28"/>
          <w:szCs w:val="28"/>
          <w:rtl/>
        </w:rPr>
      </w:pPr>
      <w:r w:rsidRPr="00367AE5">
        <w:rPr>
          <w:rFonts w:ascii="Traditional Arabic" w:hAnsi="Traditional Arabic" w:cs="Traditional Arabic"/>
          <w:b/>
          <w:bCs/>
          <w:sz w:val="28"/>
          <w:szCs w:val="28"/>
          <w:rtl/>
        </w:rPr>
        <w:t>المرحلة الأولى –</w:t>
      </w:r>
      <w:r w:rsidRPr="00943C1C">
        <w:rPr>
          <w:rFonts w:ascii="Traditional Arabic" w:hAnsi="Traditional Arabic" w:cs="Traditional Arabic"/>
          <w:sz w:val="28"/>
          <w:szCs w:val="28"/>
          <w:rtl/>
        </w:rPr>
        <w:t xml:space="preserve"> تقييم نموذج القياس الخارج</w:t>
      </w:r>
      <w:r w:rsidRPr="00943C1C">
        <w:rPr>
          <w:rFonts w:ascii="Traditional Arabic" w:hAnsi="Traditional Arabic" w:cs="Traditional Arabic"/>
          <w:sz w:val="28"/>
          <w:szCs w:val="28"/>
        </w:rPr>
        <w:t xml:space="preserve"> </w:t>
      </w:r>
      <w:r w:rsidR="00FA0722">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(Outer/Measurement Model)</w:t>
      </w:r>
      <w:r w:rsidR="00FA0722">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00F80FB9">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tl/>
        </w:rPr>
        <w:t>يختبر هذا النموذج مدى تمثيل المتغيرات الكامنة من خلال مؤشراتها المُلاحظة، ويشمل تقييم الثبات الفردي للفقرات</w:t>
      </w:r>
      <w:r w:rsidRPr="00943C1C">
        <w:rPr>
          <w:rFonts w:ascii="Traditional Arabic" w:hAnsi="Traditional Arabic" w:cs="Traditional Arabic"/>
          <w:sz w:val="28"/>
          <w:szCs w:val="28"/>
        </w:rPr>
        <w:t xml:space="preserve"> </w:t>
      </w:r>
      <w:r w:rsidR="00F80FB9">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(Indicator Reliability)</w:t>
      </w:r>
      <w:r w:rsidRPr="00943C1C">
        <w:rPr>
          <w:rFonts w:ascii="Traditional Arabic" w:hAnsi="Traditional Arabic" w:cs="Traditional Arabic"/>
          <w:sz w:val="28"/>
          <w:szCs w:val="28"/>
          <w:rtl/>
        </w:rPr>
        <w:t>، ومعاملات التشبع</w:t>
      </w:r>
      <w:r w:rsidRPr="00943C1C">
        <w:rPr>
          <w:rFonts w:ascii="Traditional Arabic" w:hAnsi="Traditional Arabic" w:cs="Traditional Arabic"/>
          <w:sz w:val="28"/>
          <w:szCs w:val="28"/>
        </w:rPr>
        <w:t xml:space="preserve"> (Loadings </w:t>
      </w:r>
      <w:r w:rsidRPr="00943C1C">
        <w:rPr>
          <w:rFonts w:ascii="Cambria Math" w:hAnsi="Cambria Math" w:cs="Cambria Math"/>
          <w:sz w:val="28"/>
          <w:szCs w:val="28"/>
        </w:rPr>
        <w:t>≥</w:t>
      </w:r>
      <w:r w:rsidRPr="00943C1C">
        <w:rPr>
          <w:rFonts w:ascii="Traditional Arabic" w:hAnsi="Traditional Arabic" w:cs="Traditional Arabic"/>
          <w:sz w:val="28"/>
          <w:szCs w:val="28"/>
        </w:rPr>
        <w:t xml:space="preserve"> 0.70)</w:t>
      </w:r>
      <w:r w:rsidRPr="00943C1C">
        <w:rPr>
          <w:rFonts w:ascii="Traditional Arabic" w:hAnsi="Traditional Arabic" w:cs="Traditional Arabic"/>
          <w:sz w:val="28"/>
          <w:szCs w:val="28"/>
          <w:rtl/>
        </w:rPr>
        <w:t>، والثبات الداخلي</w:t>
      </w:r>
      <w:r w:rsidRPr="00943C1C">
        <w:rPr>
          <w:rFonts w:ascii="Traditional Arabic" w:hAnsi="Traditional Arabic" w:cs="Traditional Arabic"/>
          <w:sz w:val="28"/>
          <w:szCs w:val="28"/>
        </w:rPr>
        <w:t xml:space="preserve"> </w:t>
      </w:r>
      <w:r w:rsidR="00793489">
        <w:rPr>
          <w:rFonts w:ascii="Traditional Arabic" w:hAnsi="Traditional Arabic" w:cs="Traditional Arabic" w:hint="cs"/>
          <w:sz w:val="28"/>
          <w:szCs w:val="28"/>
          <w:rtl/>
        </w:rPr>
        <w:t xml:space="preserve">( </w:t>
      </w:r>
      <w:r w:rsidRPr="00943C1C">
        <w:rPr>
          <w:rFonts w:ascii="Cambria" w:hAnsi="Cambria" w:cs="Cambria"/>
          <w:sz w:val="28"/>
          <w:szCs w:val="28"/>
        </w:rPr>
        <w:t>α</w:t>
      </w:r>
      <w:r w:rsidR="00793489">
        <w:rPr>
          <w:rFonts w:ascii="Cambria" w:hAnsi="Cambria" w:cs="Cambria" w:hint="cs"/>
          <w:sz w:val="28"/>
          <w:szCs w:val="28"/>
          <w:rtl/>
        </w:rPr>
        <w:t xml:space="preserve"> </w:t>
      </w:r>
      <w:r w:rsidRPr="00943C1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و</w:t>
      </w:r>
      <w:r w:rsidR="00793489">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CR</w:t>
      </w:r>
      <w:r w:rsidR="00793489">
        <w:rPr>
          <w:rFonts w:ascii="Traditional Arabic" w:hAnsi="Traditional Arabic" w:cs="Traditional Arabic" w:hint="cs"/>
          <w:sz w:val="28"/>
          <w:szCs w:val="28"/>
          <w:rtl/>
        </w:rPr>
        <w:t xml:space="preserve">) </w:t>
      </w:r>
      <w:r w:rsidR="0071100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 والصدق التقاربي</w:t>
      </w:r>
      <w:r w:rsidRPr="00943C1C">
        <w:rPr>
          <w:rFonts w:ascii="Traditional Arabic" w:hAnsi="Traditional Arabic" w:cs="Traditional Arabic"/>
          <w:sz w:val="28"/>
          <w:szCs w:val="28"/>
        </w:rPr>
        <w:t xml:space="preserve"> </w:t>
      </w:r>
      <w:r w:rsidR="00FA0722">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(AVE)</w:t>
      </w:r>
      <w:r w:rsidRPr="00943C1C">
        <w:rPr>
          <w:rFonts w:ascii="Traditional Arabic" w:hAnsi="Traditional Arabic" w:cs="Traditional Arabic"/>
          <w:sz w:val="28"/>
          <w:szCs w:val="28"/>
          <w:rtl/>
        </w:rPr>
        <w:t>، والصدق التمايزي</w:t>
      </w:r>
      <w:r w:rsidRPr="00943C1C">
        <w:rPr>
          <w:rFonts w:ascii="Traditional Arabic" w:hAnsi="Traditional Arabic" w:cs="Traditional Arabic"/>
          <w:sz w:val="28"/>
          <w:szCs w:val="28"/>
        </w:rPr>
        <w:t xml:space="preserve"> (HTMT).</w:t>
      </w:r>
    </w:p>
    <w:p w14:paraId="5462E793" w14:textId="67CF6092" w:rsidR="009A71C7" w:rsidRDefault="009A71C7" w:rsidP="00943C1C">
      <w:pPr>
        <w:bidi/>
        <w:jc w:val="both"/>
        <w:rPr>
          <w:rFonts w:ascii="Traditional Arabic" w:hAnsi="Traditional Arabic" w:cs="Traditional Arabic"/>
          <w:sz w:val="28"/>
          <w:szCs w:val="28"/>
          <w:rtl/>
        </w:rPr>
      </w:pPr>
      <w:r w:rsidRPr="00367AE5">
        <w:rPr>
          <w:rFonts w:ascii="Traditional Arabic" w:hAnsi="Traditional Arabic" w:cs="Traditional Arabic"/>
          <w:b/>
          <w:bCs/>
          <w:sz w:val="28"/>
          <w:szCs w:val="28"/>
          <w:rtl/>
        </w:rPr>
        <w:t>المرحلة الثانية –</w:t>
      </w:r>
      <w:r w:rsidRPr="00943C1C">
        <w:rPr>
          <w:rFonts w:ascii="Traditional Arabic" w:hAnsi="Traditional Arabic" w:cs="Traditional Arabic"/>
          <w:sz w:val="28"/>
          <w:szCs w:val="28"/>
          <w:rtl/>
        </w:rPr>
        <w:t xml:space="preserve"> تقييم نموذج البنية الداخلية</w:t>
      </w:r>
      <w:r w:rsidRPr="00943C1C">
        <w:rPr>
          <w:rFonts w:ascii="Traditional Arabic" w:hAnsi="Traditional Arabic" w:cs="Traditional Arabic"/>
          <w:sz w:val="28"/>
          <w:szCs w:val="28"/>
        </w:rPr>
        <w:t xml:space="preserve"> (Inner/Structural Model): </w:t>
      </w:r>
      <w:r w:rsidRPr="00943C1C">
        <w:rPr>
          <w:rFonts w:ascii="Traditional Arabic" w:hAnsi="Traditional Arabic" w:cs="Traditional Arabic"/>
          <w:sz w:val="28"/>
          <w:szCs w:val="28"/>
          <w:rtl/>
        </w:rPr>
        <w:t>يختبر هذا النموذج العلاقات السببية بين المتغيرات وفق الفروض المحددة، ويشمل حساب معاملات المسار</w:t>
      </w:r>
      <w:r w:rsidRPr="00943C1C">
        <w:rPr>
          <w:rFonts w:ascii="Traditional Arabic" w:hAnsi="Traditional Arabic" w:cs="Traditional Arabic"/>
          <w:sz w:val="28"/>
          <w:szCs w:val="28"/>
        </w:rPr>
        <w:t xml:space="preserve"> (Path Coefficients) </w:t>
      </w:r>
      <w:r w:rsidRPr="00943C1C">
        <w:rPr>
          <w:rFonts w:ascii="Traditional Arabic" w:hAnsi="Traditional Arabic" w:cs="Traditional Arabic"/>
          <w:sz w:val="28"/>
          <w:szCs w:val="28"/>
          <w:rtl/>
        </w:rPr>
        <w:t>وقيم</w:t>
      </w:r>
      <w:r w:rsidRPr="00943C1C">
        <w:rPr>
          <w:rFonts w:ascii="Traditional Arabic" w:hAnsi="Traditional Arabic" w:cs="Traditional Arabic"/>
          <w:sz w:val="28"/>
          <w:szCs w:val="28"/>
        </w:rPr>
        <w:t xml:space="preserve"> (t) </w:t>
      </w:r>
      <w:r w:rsidRPr="00943C1C">
        <w:rPr>
          <w:rFonts w:ascii="Traditional Arabic" w:hAnsi="Traditional Arabic" w:cs="Traditional Arabic"/>
          <w:sz w:val="28"/>
          <w:szCs w:val="28"/>
          <w:rtl/>
        </w:rPr>
        <w:t>المصاحبة لها عبر أسلوب</w:t>
      </w:r>
      <w:r w:rsidRPr="00943C1C">
        <w:rPr>
          <w:rFonts w:ascii="Traditional Arabic" w:hAnsi="Traditional Arabic" w:cs="Traditional Arabic"/>
          <w:sz w:val="28"/>
          <w:szCs w:val="28"/>
        </w:rPr>
        <w:t xml:space="preserve"> </w:t>
      </w:r>
      <w:r w:rsidR="00892E4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Bootstrap</w:t>
      </w:r>
      <w:r w:rsidR="00892E4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(5000 عينة)، ومعامل التحديد</w:t>
      </w:r>
      <w:r w:rsidRPr="00943C1C">
        <w:rPr>
          <w:rFonts w:ascii="Traditional Arabic" w:hAnsi="Traditional Arabic" w:cs="Traditional Arabic"/>
          <w:sz w:val="28"/>
          <w:szCs w:val="28"/>
        </w:rPr>
        <w:t xml:space="preserve"> (R²) </w:t>
      </w:r>
      <w:r w:rsidRPr="00943C1C">
        <w:rPr>
          <w:rFonts w:ascii="Traditional Arabic" w:hAnsi="Traditional Arabic" w:cs="Traditional Arabic"/>
          <w:sz w:val="28"/>
          <w:szCs w:val="28"/>
          <w:rtl/>
        </w:rPr>
        <w:t>لكل متغير تابع/وسيط، وحجم الأثر</w:t>
      </w:r>
      <w:r w:rsidRPr="00943C1C">
        <w:rPr>
          <w:rFonts w:ascii="Traditional Arabic" w:hAnsi="Traditional Arabic" w:cs="Traditional Arabic"/>
          <w:sz w:val="28"/>
          <w:szCs w:val="28"/>
        </w:rPr>
        <w:t xml:space="preserve"> (f²)</w:t>
      </w:r>
      <w:r w:rsidRPr="00943C1C">
        <w:rPr>
          <w:rFonts w:ascii="Traditional Arabic" w:hAnsi="Traditional Arabic" w:cs="Traditional Arabic"/>
          <w:sz w:val="28"/>
          <w:szCs w:val="28"/>
          <w:rtl/>
        </w:rPr>
        <w:t>، والقدرة التنبؤية</w:t>
      </w:r>
      <w:r w:rsidRPr="00943C1C">
        <w:rPr>
          <w:rFonts w:ascii="Traditional Arabic" w:hAnsi="Traditional Arabic" w:cs="Traditional Arabic"/>
          <w:sz w:val="28"/>
          <w:szCs w:val="28"/>
        </w:rPr>
        <w:t xml:space="preserve"> (Q²) </w:t>
      </w:r>
      <w:r w:rsidRPr="00943C1C">
        <w:rPr>
          <w:rFonts w:ascii="Traditional Arabic" w:hAnsi="Traditional Arabic" w:cs="Traditional Arabic"/>
          <w:sz w:val="28"/>
          <w:szCs w:val="28"/>
          <w:rtl/>
        </w:rPr>
        <w:t>عبر إجراء</w:t>
      </w:r>
      <w:r w:rsidRPr="00943C1C">
        <w:rPr>
          <w:rFonts w:ascii="Traditional Arabic" w:hAnsi="Traditional Arabic" w:cs="Traditional Arabic"/>
          <w:sz w:val="28"/>
          <w:szCs w:val="28"/>
        </w:rPr>
        <w:t xml:space="preserve"> </w:t>
      </w:r>
      <w:r w:rsidR="00367AE5">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Blindfolding</w:t>
      </w:r>
      <w:r w:rsidR="00367AE5">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w:t>
      </w:r>
    </w:p>
    <w:p w14:paraId="77E82481" w14:textId="3FE450FD"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sidRPr="00253EFE">
        <w:rPr>
          <w:rFonts w:asciiTheme="majorHAnsi" w:eastAsiaTheme="majorEastAsia" w:hAnsiTheme="majorHAnsi" w:cstheme="majorBidi"/>
          <w:color w:val="2F5496" w:themeColor="accent1" w:themeShade="BF"/>
          <w:sz w:val="32"/>
          <w:szCs w:val="32"/>
          <w:rtl/>
        </w:rPr>
        <w:t>اختبار الوساطة  (</w:t>
      </w:r>
      <w:r w:rsidRPr="00253EFE">
        <w:rPr>
          <w:rFonts w:asciiTheme="majorHAnsi" w:eastAsiaTheme="majorEastAsia" w:hAnsiTheme="majorHAnsi" w:cstheme="majorBidi"/>
          <w:color w:val="2F5496" w:themeColor="accent1" w:themeShade="BF"/>
          <w:sz w:val="32"/>
          <w:szCs w:val="32"/>
        </w:rPr>
        <w:t>Mediation Analysis</w:t>
      </w:r>
      <w:r w:rsidRPr="00253EFE">
        <w:rPr>
          <w:rFonts w:asciiTheme="majorHAnsi" w:eastAsiaTheme="majorEastAsia" w:hAnsiTheme="majorHAnsi" w:cstheme="majorBidi"/>
          <w:color w:val="2F5496" w:themeColor="accent1" w:themeShade="BF"/>
          <w:sz w:val="32"/>
          <w:szCs w:val="32"/>
          <w:rtl/>
        </w:rPr>
        <w:t>)</w:t>
      </w:r>
    </w:p>
    <w:p w14:paraId="41FE67D8" w14:textId="54C320D2" w:rsidR="009A71C7" w:rsidRPr="00943C1C" w:rsidRDefault="009A71C7" w:rsidP="00231298">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لاختبار التأثير الوسيط لكل من الحوكمة الذكية وسلامة الأصول، اعتمدت الدراسة منهجية حساب التأثير غير المباشر</w:t>
      </w:r>
      <w:r w:rsidRPr="00943C1C">
        <w:rPr>
          <w:rFonts w:ascii="Traditional Arabic" w:hAnsi="Traditional Arabic" w:cs="Traditional Arabic"/>
          <w:sz w:val="28"/>
          <w:szCs w:val="28"/>
        </w:rPr>
        <w:t xml:space="preserve"> (Indirect Effects) </w:t>
      </w:r>
      <w:r w:rsidR="006053B6">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tl/>
        </w:rPr>
        <w:t>عبر</w:t>
      </w:r>
      <w:r w:rsidRPr="00943C1C">
        <w:rPr>
          <w:rFonts w:ascii="Traditional Arabic" w:hAnsi="Traditional Arabic" w:cs="Traditional Arabic"/>
          <w:sz w:val="28"/>
          <w:szCs w:val="28"/>
        </w:rPr>
        <w:t xml:space="preserve"> Bootstrap </w:t>
      </w:r>
      <w:r w:rsidRPr="00943C1C">
        <w:rPr>
          <w:rFonts w:ascii="Traditional Arabic" w:hAnsi="Traditional Arabic" w:cs="Traditional Arabic"/>
          <w:sz w:val="28"/>
          <w:szCs w:val="28"/>
          <w:rtl/>
        </w:rPr>
        <w:t>بـ (5000) تكرار، واستخراج فترات الثقة</w:t>
      </w:r>
      <w:r w:rsidRPr="00943C1C">
        <w:rPr>
          <w:rFonts w:ascii="Traditional Arabic" w:hAnsi="Traditional Arabic" w:cs="Traditional Arabic"/>
          <w:sz w:val="28"/>
          <w:szCs w:val="28"/>
        </w:rPr>
        <w:t xml:space="preserve"> (95% Confidence Intervals). </w:t>
      </w:r>
      <w:r w:rsidRPr="00943C1C">
        <w:rPr>
          <w:rFonts w:ascii="Traditional Arabic" w:hAnsi="Traditional Arabic" w:cs="Traditional Arabic"/>
          <w:sz w:val="28"/>
          <w:szCs w:val="28"/>
          <w:rtl/>
        </w:rPr>
        <w:t>وتُعدّ الوساطة ذات دلالة إحصائية عندما لا تتضمن فترة الثقة القيمة الصفر</w:t>
      </w:r>
      <w:r w:rsidRPr="00943C1C">
        <w:rPr>
          <w:rFonts w:ascii="Traditional Arabic" w:hAnsi="Traditional Arabic" w:cs="Traditional Arabic"/>
          <w:sz w:val="28"/>
          <w:szCs w:val="28"/>
        </w:rPr>
        <w:t xml:space="preserve"> (Zero)</w:t>
      </w:r>
      <w:r w:rsidR="00615194">
        <w:rPr>
          <w:rFonts w:ascii="Traditional Arabic" w:hAnsi="Traditional Arabic" w:cs="Traditional Arabic" w:hint="cs"/>
          <w:sz w:val="28"/>
          <w:szCs w:val="28"/>
          <w:rtl/>
        </w:rPr>
        <w:t>.</w:t>
      </w:r>
      <w:r w:rsidR="006053B6">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وتتوافق هذه المنهجية مع توصيات</w:t>
      </w:r>
      <w:r w:rsidRPr="00943C1C">
        <w:rPr>
          <w:rFonts w:ascii="Traditional Arabic" w:hAnsi="Traditional Arabic" w:cs="Traditional Arabic"/>
          <w:sz w:val="28"/>
          <w:szCs w:val="28"/>
        </w:rPr>
        <w:t xml:space="preserve"> </w:t>
      </w:r>
      <w:r w:rsidR="0023129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00231298">
        <w:rPr>
          <w:rFonts w:ascii="Traditional Arabic" w:hAnsi="Traditional Arabic" w:cs="Traditional Arabic" w:hint="cs"/>
          <w:sz w:val="28"/>
          <w:szCs w:val="28"/>
          <w:rtl/>
        </w:rPr>
        <w:t xml:space="preserve"> </w:t>
      </w:r>
      <w:r w:rsidR="00231298" w:rsidRPr="00943C1C">
        <w:rPr>
          <w:rFonts w:ascii="Traditional Arabic" w:hAnsi="Traditional Arabic" w:cs="Traditional Arabic"/>
          <w:sz w:val="28"/>
          <w:szCs w:val="28"/>
        </w:rPr>
        <w:t xml:space="preserve">Preacher </w:t>
      </w:r>
      <w:r w:rsidRPr="00943C1C">
        <w:rPr>
          <w:rFonts w:ascii="Traditional Arabic" w:hAnsi="Traditional Arabic" w:cs="Traditional Arabic"/>
          <w:sz w:val="28"/>
          <w:szCs w:val="28"/>
        </w:rPr>
        <w:t>&amp; Hayes (2008)</w:t>
      </w:r>
      <w:r w:rsidR="0023129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وبرنامج</w:t>
      </w:r>
      <w:r w:rsidR="0023129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PROCESS</w:t>
      </w:r>
      <w:r w:rsidR="00231298">
        <w:rPr>
          <w:rFonts w:ascii="Traditional Arabic" w:hAnsi="Traditional Arabic" w:cs="Traditional Arabic" w:hint="cs"/>
          <w:sz w:val="28"/>
          <w:szCs w:val="28"/>
          <w:rtl/>
        </w:rPr>
        <w:t xml:space="preserve"> </w:t>
      </w:r>
      <w:r w:rsidRPr="00943C1C">
        <w:rPr>
          <w:rFonts w:ascii="Traditional Arabic" w:hAnsi="Traditional Arabic" w:cs="Traditional Arabic"/>
          <w:sz w:val="28"/>
          <w:szCs w:val="28"/>
        </w:rPr>
        <w:t xml:space="preserve"> </w:t>
      </w:r>
      <w:r w:rsidRPr="00943C1C">
        <w:rPr>
          <w:rFonts w:ascii="Traditional Arabic" w:hAnsi="Traditional Arabic" w:cs="Traditional Arabic"/>
          <w:sz w:val="28"/>
          <w:szCs w:val="28"/>
          <w:rtl/>
        </w:rPr>
        <w:t>المعتمد في الأدبيات الحديثة</w:t>
      </w:r>
      <w:r w:rsidRPr="00943C1C">
        <w:rPr>
          <w:rFonts w:ascii="Traditional Arabic" w:hAnsi="Traditional Arabic" w:cs="Traditional Arabic"/>
          <w:sz w:val="28"/>
          <w:szCs w:val="28"/>
        </w:rPr>
        <w:t>.</w:t>
      </w:r>
    </w:p>
    <w:p w14:paraId="57E2A2DB" w14:textId="2F38FF18" w:rsidR="009A71C7" w:rsidRPr="00253EFE" w:rsidRDefault="009A71C7" w:rsidP="00B7711D">
      <w:pPr>
        <w:pStyle w:val="ListParagraph"/>
        <w:numPr>
          <w:ilvl w:val="0"/>
          <w:numId w:val="8"/>
        </w:numPr>
        <w:bidi/>
        <w:jc w:val="both"/>
        <w:rPr>
          <w:rFonts w:ascii="Traditional Arabic" w:hAnsi="Traditional Arabic" w:cs="Traditional Arabic"/>
          <w:sz w:val="28"/>
          <w:szCs w:val="28"/>
          <w:rtl/>
        </w:rPr>
      </w:pPr>
      <w:r w:rsidRPr="00253EFE">
        <w:rPr>
          <w:rFonts w:asciiTheme="majorHAnsi" w:eastAsiaTheme="majorEastAsia" w:hAnsiTheme="majorHAnsi" w:cstheme="majorBidi"/>
          <w:color w:val="2F5496" w:themeColor="accent1" w:themeShade="BF"/>
          <w:sz w:val="32"/>
          <w:szCs w:val="32"/>
          <w:rtl/>
        </w:rPr>
        <w:t>اختبار الانحياز الشائع للمصدر الواحد</w:t>
      </w:r>
      <w:r w:rsidRPr="00253EFE">
        <w:rPr>
          <w:rFonts w:asciiTheme="majorHAnsi" w:eastAsiaTheme="majorEastAsia" w:hAnsiTheme="majorHAnsi" w:cstheme="majorBidi"/>
          <w:color w:val="2F5496" w:themeColor="accent1" w:themeShade="BF"/>
          <w:sz w:val="32"/>
          <w:szCs w:val="32"/>
        </w:rPr>
        <w:t xml:space="preserve"> </w:t>
      </w:r>
      <w:r w:rsidR="00086E9B" w:rsidRPr="00253EFE">
        <w:rPr>
          <w:rFonts w:asciiTheme="majorHAnsi" w:eastAsiaTheme="majorEastAsia" w:hAnsiTheme="majorHAnsi" w:cstheme="majorBidi" w:hint="cs"/>
          <w:color w:val="2F5496" w:themeColor="accent1" w:themeShade="BF"/>
          <w:sz w:val="32"/>
          <w:szCs w:val="32"/>
          <w:rtl/>
        </w:rPr>
        <w:t xml:space="preserve"> </w:t>
      </w:r>
      <w:r w:rsidRPr="00253EFE">
        <w:rPr>
          <w:rFonts w:asciiTheme="majorHAnsi" w:eastAsiaTheme="majorEastAsia" w:hAnsiTheme="majorHAnsi" w:cstheme="majorBidi"/>
          <w:color w:val="2F5496" w:themeColor="accent1" w:themeShade="BF"/>
          <w:sz w:val="32"/>
          <w:szCs w:val="32"/>
        </w:rPr>
        <w:t>(Common Method Bias)</w:t>
      </w:r>
      <w:r w:rsidR="00086E9B" w:rsidRPr="00253EFE">
        <w:rPr>
          <w:rFonts w:ascii="Traditional Arabic" w:hAnsi="Traditional Arabic" w:cs="Traditional Arabic" w:hint="cs"/>
          <w:sz w:val="28"/>
          <w:szCs w:val="28"/>
          <w:rtl/>
        </w:rPr>
        <w:t xml:space="preserve"> </w:t>
      </w:r>
    </w:p>
    <w:p w14:paraId="76A29D8E" w14:textId="57B3CB97" w:rsidR="009A71C7" w:rsidRPr="00943C1C" w:rsidRDefault="009A71C7" w:rsidP="004D466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للحدّ من تأثير انحياز المصدر الواحد – وهو مخاطرة منهجية شائعة في الدراسات الاستبانية – اتخذت الدراسة جملةً من الإجراءات الوقائية، أبرزها: التحقق من نتائج اختبار</w:t>
      </w:r>
      <w:r w:rsidRPr="00943C1C">
        <w:rPr>
          <w:rFonts w:ascii="Traditional Arabic" w:hAnsi="Traditional Arabic" w:cs="Traditional Arabic"/>
          <w:sz w:val="28"/>
          <w:szCs w:val="28"/>
        </w:rPr>
        <w:t xml:space="preserve"> Harman's Single Factor Test</w:t>
      </w:r>
      <w:r w:rsidRPr="00943C1C">
        <w:rPr>
          <w:rFonts w:ascii="Traditional Arabic" w:hAnsi="Traditional Arabic" w:cs="Traditional Arabic"/>
          <w:sz w:val="28"/>
          <w:szCs w:val="28"/>
          <w:rtl/>
        </w:rPr>
        <w:t>، وإجراء اختبار تضخم التباين</w:t>
      </w:r>
      <w:r w:rsidRPr="00943C1C">
        <w:rPr>
          <w:rFonts w:ascii="Traditional Arabic" w:hAnsi="Traditional Arabic" w:cs="Traditional Arabic"/>
          <w:sz w:val="28"/>
          <w:szCs w:val="28"/>
        </w:rPr>
        <w:t xml:space="preserve"> (VIF) </w:t>
      </w:r>
      <w:r w:rsidRPr="00943C1C">
        <w:rPr>
          <w:rFonts w:ascii="Traditional Arabic" w:hAnsi="Traditional Arabic" w:cs="Traditional Arabic"/>
          <w:sz w:val="28"/>
          <w:szCs w:val="28"/>
          <w:rtl/>
        </w:rPr>
        <w:t>للكشف عن حالات التعددية الخطية، واستخدام صيغة ضمان الحياد في صياغة الفقرات، إضافة إلى التمييز الواضح بين الأغراض البحثية والمعلومات التعريفية للمستجيب</w:t>
      </w:r>
      <w:r w:rsidRPr="00943C1C">
        <w:rPr>
          <w:rFonts w:ascii="Traditional Arabic" w:hAnsi="Traditional Arabic" w:cs="Traditional Arabic"/>
          <w:sz w:val="28"/>
          <w:szCs w:val="28"/>
        </w:rPr>
        <w:t>.</w:t>
      </w:r>
    </w:p>
    <w:p w14:paraId="578342ED" w14:textId="77777777" w:rsidR="009A71C7" w:rsidRPr="00F012EB" w:rsidRDefault="009A71C7" w:rsidP="00F012EB">
      <w:pPr>
        <w:pStyle w:val="Heading1"/>
        <w:numPr>
          <w:ilvl w:val="0"/>
          <w:numId w:val="0"/>
        </w:numPr>
        <w:bidi/>
        <w:rPr>
          <w:rFonts w:ascii="Traditional Arabic" w:eastAsia="Times New Roman" w:hAnsi="Traditional Arabic" w:cs="Traditional Arabic"/>
          <w:b/>
          <w:bCs/>
          <w:rtl/>
        </w:rPr>
      </w:pPr>
      <w:r w:rsidRPr="00F012EB">
        <w:rPr>
          <w:rFonts w:ascii="Traditional Arabic" w:eastAsia="Times New Roman" w:hAnsi="Traditional Arabic" w:cs="Traditional Arabic"/>
          <w:b/>
          <w:bCs/>
          <w:rtl/>
        </w:rPr>
        <w:t>ثامناً: الاعتبارات الأخلاقية للبحث</w:t>
      </w:r>
    </w:p>
    <w:p w14:paraId="61AB5F21" w14:textId="77777777" w:rsidR="009A71C7" w:rsidRPr="005C793B" w:rsidRDefault="009A71C7" w:rsidP="005C793B">
      <w:pPr>
        <w:tabs>
          <w:tab w:val="num" w:pos="360"/>
        </w:tabs>
        <w:bidi/>
        <w:jc w:val="both"/>
        <w:rPr>
          <w:rFonts w:ascii="Traditional Arabic" w:hAnsi="Traditional Arabic" w:cs="Traditional Arabic"/>
          <w:sz w:val="28"/>
          <w:szCs w:val="28"/>
          <w:rtl/>
        </w:rPr>
      </w:pPr>
      <w:r w:rsidRPr="005C793B">
        <w:rPr>
          <w:rFonts w:ascii="Traditional Arabic" w:hAnsi="Traditional Arabic" w:cs="Traditional Arabic"/>
          <w:sz w:val="28"/>
          <w:szCs w:val="28"/>
          <w:rtl/>
        </w:rPr>
        <w:t>التزمت الدراسة بمنظومة الاعتبارات الأخلاقية التي تحكم البحث العلمي، ومن أبرزها</w:t>
      </w:r>
      <w:r w:rsidRPr="005C793B">
        <w:rPr>
          <w:rFonts w:ascii="Traditional Arabic" w:hAnsi="Traditional Arabic" w:cs="Traditional Arabic"/>
          <w:sz w:val="28"/>
          <w:szCs w:val="28"/>
        </w:rPr>
        <w:t>:</w:t>
      </w:r>
    </w:p>
    <w:p w14:paraId="066D5773" w14:textId="57152306"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sidRPr="005C793B">
        <w:rPr>
          <w:rFonts w:ascii="Traditional Arabic" w:hAnsi="Traditional Arabic" w:cs="Traditional Arabic"/>
          <w:sz w:val="28"/>
          <w:szCs w:val="28"/>
          <w:rtl/>
        </w:rPr>
        <w:t>الحصول على الموافقة الطوعية المستنيرة</w:t>
      </w:r>
      <w:r w:rsidRPr="005C793B">
        <w:rPr>
          <w:rFonts w:ascii="Traditional Arabic" w:hAnsi="Traditional Arabic" w:cs="Traditional Arabic"/>
          <w:sz w:val="28"/>
          <w:szCs w:val="28"/>
        </w:rPr>
        <w:t xml:space="preserve"> (Informed Consent) </w:t>
      </w:r>
      <w:r w:rsidRPr="005C793B">
        <w:rPr>
          <w:rFonts w:ascii="Traditional Arabic" w:hAnsi="Traditional Arabic" w:cs="Traditional Arabic"/>
          <w:sz w:val="28"/>
          <w:szCs w:val="28"/>
          <w:rtl/>
        </w:rPr>
        <w:t>من جميع المشاركين في الدراسة قبل توزيع الاستبانة، وإبلاغهم بأهداف البحث وأحقيتهم في الانسحاب في أي وقت</w:t>
      </w:r>
      <w:r w:rsidRPr="005C793B">
        <w:rPr>
          <w:rFonts w:ascii="Traditional Arabic" w:hAnsi="Traditional Arabic" w:cs="Traditional Arabic"/>
          <w:sz w:val="28"/>
          <w:szCs w:val="28"/>
        </w:rPr>
        <w:t>.</w:t>
      </w:r>
    </w:p>
    <w:p w14:paraId="2BC07DD1" w14:textId="6994359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sidRPr="005C793B">
        <w:rPr>
          <w:rFonts w:ascii="Traditional Arabic" w:hAnsi="Traditional Arabic" w:cs="Traditional Arabic"/>
          <w:sz w:val="28"/>
          <w:szCs w:val="28"/>
          <w:rtl/>
        </w:rPr>
        <w:lastRenderedPageBreak/>
        <w:t>صون سرية المعلومات الشخصية للمستجيبين وعدم الإفصاح عن هوياتهم، والاكتفاء بالبيانات المجمّعة في التحليل والتقرير</w:t>
      </w:r>
      <w:r w:rsidRPr="005C793B">
        <w:rPr>
          <w:rFonts w:ascii="Traditional Arabic" w:hAnsi="Traditional Arabic" w:cs="Traditional Arabic"/>
          <w:sz w:val="28"/>
          <w:szCs w:val="28"/>
        </w:rPr>
        <w:t>.</w:t>
      </w:r>
    </w:p>
    <w:p w14:paraId="12A786C2" w14:textId="55F790C5"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sidRPr="005C793B">
        <w:rPr>
          <w:rFonts w:ascii="Traditional Arabic" w:hAnsi="Traditional Arabic" w:cs="Traditional Arabic"/>
          <w:sz w:val="28"/>
          <w:szCs w:val="28"/>
          <w:rtl/>
        </w:rPr>
        <w:t>التأكد من توظيف البيانات لأغراض بحثية بحتة، بما يتوافق مع معايير النزاهة الأكاديمية المعتمدة في جامعة ميدأوشن</w:t>
      </w:r>
      <w:r w:rsidRPr="005C793B">
        <w:rPr>
          <w:rFonts w:ascii="Traditional Arabic" w:hAnsi="Traditional Arabic" w:cs="Traditional Arabic"/>
          <w:sz w:val="28"/>
          <w:szCs w:val="28"/>
        </w:rPr>
        <w:t>.</w:t>
      </w:r>
    </w:p>
    <w:p w14:paraId="3FE96D0F" w14:textId="656C845E"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sidRPr="005C793B">
        <w:rPr>
          <w:rFonts w:ascii="Traditional Arabic" w:hAnsi="Traditional Arabic" w:cs="Traditional Arabic"/>
          <w:sz w:val="28"/>
          <w:szCs w:val="28"/>
          <w:rtl/>
        </w:rPr>
        <w:t>الإفصاح الأمين عن منهجية البحث وإجراءاته ونتائجه دون تحريف أو تزوير</w:t>
      </w:r>
      <w:r w:rsidRPr="005C793B">
        <w:rPr>
          <w:rFonts w:ascii="Traditional Arabic" w:hAnsi="Traditional Arabic" w:cs="Traditional Arabic"/>
          <w:sz w:val="28"/>
          <w:szCs w:val="28"/>
        </w:rPr>
        <w:t>.</w:t>
      </w:r>
    </w:p>
    <w:p w14:paraId="4B024CC9" w14:textId="6B8BEAF3"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sidRPr="005C793B">
        <w:rPr>
          <w:rFonts w:ascii="Traditional Arabic" w:hAnsi="Traditional Arabic" w:cs="Traditional Arabic"/>
          <w:sz w:val="28"/>
          <w:szCs w:val="28"/>
          <w:rtl/>
        </w:rPr>
        <w:t>التوثيق الكامل للمصادر والمراجع واستخدام أسلوب الإسناد العلمي المتعارف عليه</w:t>
      </w:r>
      <w:r w:rsidRPr="005C793B">
        <w:rPr>
          <w:rFonts w:ascii="Traditional Arabic" w:hAnsi="Traditional Arabic" w:cs="Traditional Arabic"/>
          <w:sz w:val="28"/>
          <w:szCs w:val="28"/>
        </w:rPr>
        <w:t>.</w:t>
      </w:r>
    </w:p>
    <w:p w14:paraId="32489ED3" w14:textId="77777777" w:rsidR="009A71C7" w:rsidRPr="005C793B" w:rsidRDefault="009A71C7" w:rsidP="005C793B">
      <w:pPr>
        <w:pStyle w:val="Heading1"/>
        <w:numPr>
          <w:ilvl w:val="0"/>
          <w:numId w:val="0"/>
        </w:numPr>
        <w:bidi/>
        <w:rPr>
          <w:rFonts w:ascii="Traditional Arabic" w:eastAsia="Times New Roman" w:hAnsi="Traditional Arabic" w:cs="Traditional Arabic"/>
          <w:b/>
          <w:bCs/>
          <w:rtl/>
        </w:rPr>
      </w:pPr>
      <w:r w:rsidRPr="005C793B">
        <w:rPr>
          <w:rFonts w:ascii="Traditional Arabic" w:eastAsia="Times New Roman" w:hAnsi="Traditional Arabic" w:cs="Traditional Arabic"/>
          <w:b/>
          <w:bCs/>
          <w:rtl/>
        </w:rPr>
        <w:t>تاسعاً: خلاصة الفصل</w:t>
      </w:r>
    </w:p>
    <w:p w14:paraId="2701DC65" w14:textId="77777777" w:rsidR="009A71C7"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استعرض هذا الفصل المنهجية البحثية التي اعتمدتها الدراسة في السعي نحو اختبار نموذج الحوكمة الذكية المقترح لأصول البنية التحتية المائية. وقد كشف هذا العرض عن تصميم بحثي متكامل يُوازن بين الريادة الكمية عبر</w:t>
      </w:r>
      <w:r w:rsidRPr="00943C1C">
        <w:rPr>
          <w:rFonts w:ascii="Traditional Arabic" w:hAnsi="Traditional Arabic" w:cs="Traditional Arabic"/>
          <w:sz w:val="28"/>
          <w:szCs w:val="28"/>
        </w:rPr>
        <w:t xml:space="preserve"> PLS-SEM </w:t>
      </w:r>
      <w:r w:rsidRPr="00943C1C">
        <w:rPr>
          <w:rFonts w:ascii="Traditional Arabic" w:hAnsi="Traditional Arabic" w:cs="Traditional Arabic"/>
          <w:sz w:val="28"/>
          <w:szCs w:val="28"/>
          <w:rtl/>
        </w:rPr>
        <w:t>والغنى النوعي عبر المقابلات التخصصية، مما يُعزز موثوقية النتائج وقدرتها التفسيرية</w:t>
      </w:r>
      <w:r w:rsidRPr="00943C1C">
        <w:rPr>
          <w:rFonts w:ascii="Traditional Arabic" w:hAnsi="Traditional Arabic" w:cs="Traditional Arabic"/>
          <w:sz w:val="28"/>
          <w:szCs w:val="28"/>
        </w:rPr>
        <w:t>.</w:t>
      </w:r>
    </w:p>
    <w:p w14:paraId="228B87F4" w14:textId="0D70DD12" w:rsidR="00BC7588" w:rsidRPr="00943C1C" w:rsidRDefault="009A71C7" w:rsidP="00943C1C">
      <w:pPr>
        <w:bidi/>
        <w:jc w:val="both"/>
        <w:rPr>
          <w:rFonts w:ascii="Traditional Arabic" w:hAnsi="Traditional Arabic" w:cs="Traditional Arabic"/>
          <w:sz w:val="28"/>
          <w:szCs w:val="28"/>
          <w:rtl/>
        </w:rPr>
      </w:pPr>
      <w:r w:rsidRPr="00943C1C">
        <w:rPr>
          <w:rFonts w:ascii="Traditional Arabic" w:hAnsi="Traditional Arabic" w:cs="Traditional Arabic"/>
          <w:sz w:val="28"/>
          <w:szCs w:val="28"/>
          <w:rtl/>
        </w:rPr>
        <w:t>كما تضمنت إجراءات الدراسة معايير صارمة في اختيار العينة وتطوير أداة القياس والتحقق من خصائصها السيكومترية، فضلاً عن الالتزام بالاعتبارات الأخلاقية الحاكمة للبحث العلمي، وهو ما يُرسي قاعدة منهجية متينة للانتقال نحو مرحلة جمع البيانات الميدانية وتحليلها، التي يتناولها الفصل الرابع بالتفصيل.</w:t>
      </w:r>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4" w:name="_Toc218160627"/>
      <w:r w:rsidRPr="00DB0AFE">
        <w:rPr>
          <w:rFonts w:ascii="Traditional Arabic" w:eastAsia="Times New Roman" w:hAnsi="Traditional Arabic" w:cs="Traditional Arabic"/>
          <w:b/>
          <w:bCs/>
          <w:rtl/>
        </w:rPr>
        <w:t>الفصل الرابع</w:t>
      </w:r>
      <w:bookmarkEnd w:id="14"/>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5" w:name="_Toc218160628"/>
      <w:r w:rsidRPr="00DB0AFE">
        <w:rPr>
          <w:rFonts w:ascii="Traditional Arabic" w:eastAsia="Times New Roman" w:hAnsi="Traditional Arabic" w:cs="Traditional Arabic"/>
          <w:b/>
          <w:bCs/>
          <w:rtl/>
        </w:rPr>
        <w:t>الفصل الخامس</w:t>
      </w:r>
      <w:bookmarkEnd w:id="15"/>
      <w:r w:rsidRPr="00DB0AFE">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6" w:name="_Toc218160629"/>
      <w:r w:rsidRPr="00DB0AFE">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17" w:name="_Toc218160630"/>
      <w:r w:rsidRPr="00DB0AFE">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Heading1"/>
        <w:bidi/>
        <w:rPr>
          <w:rFonts w:ascii="Traditional Arabic" w:eastAsia="Times New Roman" w:hAnsi="Traditional Arabic" w:cs="Traditional Arabic"/>
          <w:b/>
          <w:bCs/>
          <w:rtl/>
        </w:rPr>
      </w:pPr>
      <w:bookmarkStart w:id="18" w:name="_Toc218160631"/>
      <w:r w:rsidRPr="00DB0AFE">
        <w:rPr>
          <w:rFonts w:ascii="Traditional Arabic" w:eastAsia="Times New Roman" w:hAnsi="Traditional Arabic" w:cs="Traditional Arabic"/>
          <w:b/>
          <w:bCs/>
          <w:rtl/>
        </w:rPr>
        <w:t>قائمة الملاحق</w:t>
      </w:r>
      <w:bookmarkEnd w:id="18"/>
      <w:r w:rsidRPr="00DB0AFE">
        <w:rPr>
          <w:rFonts w:ascii="Traditional Arabic" w:eastAsia="Times New Roman" w:hAnsi="Traditional Arabic" w:cs="Traditional Arabic"/>
          <w:b/>
          <w:bCs/>
          <w:rtl/>
        </w:rPr>
        <w:t xml:space="preserve"> </w:t>
      </w:r>
    </w:p>
    <w:sectPr w:rsidR="00D9499A" w:rsidSect="00DD73BF">
      <w:headerReference w:type="even" r:id="rId12"/>
      <w:footerReference w:type="default" r:id="rId13"/>
      <w:headerReference w:type="first" r:id="rId14"/>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CDB1" w14:textId="77777777" w:rsidR="0088680E" w:rsidRDefault="0088680E" w:rsidP="00EF73E8">
      <w:pPr>
        <w:spacing w:after="0" w:line="240" w:lineRule="auto"/>
      </w:pPr>
      <w:r>
        <w:separator/>
      </w:r>
    </w:p>
  </w:endnote>
  <w:endnote w:type="continuationSeparator" w:id="0">
    <w:p w14:paraId="758AF0BC" w14:textId="77777777" w:rsidR="0088680E" w:rsidRDefault="0088680E"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9E28F" w14:textId="77777777" w:rsidR="0088680E" w:rsidRDefault="0088680E" w:rsidP="00EF73E8">
      <w:pPr>
        <w:spacing w:after="0" w:line="240" w:lineRule="auto"/>
      </w:pPr>
      <w:r>
        <w:separator/>
      </w:r>
    </w:p>
  </w:footnote>
  <w:footnote w:type="continuationSeparator" w:id="0">
    <w:p w14:paraId="7BDD6CE2" w14:textId="77777777" w:rsidR="0088680E" w:rsidRDefault="0088680E"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4BE2" w14:textId="6E568697"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1178" w14:textId="5987B16D" w:rsidR="00F76D05" w:rsidRDefault="00F76D05" w:rsidP="00F76D05">
    <w:pPr>
      <w:pStyle w:val="Header"/>
      <w:jc w:val="center"/>
    </w:pPr>
    <w:r>
      <w:fldChar w:fldCharType="begin"/>
    </w:r>
    <w:r>
      <w:instrText xml:space="preserve"> DOCPROPERTY SecloreClassificationHeaderTextValue \* MERGEFORMAT </w:instrText>
    </w:r>
    <w:r>
      <w:fldChar w:fldCharType="separate"/>
    </w:r>
    <w:r w:rsidRPr="00F76D05">
      <w:rPr>
        <w:color w:val="91C47D"/>
        <w:sz w:val="24"/>
      </w:rPr>
      <w:t xml:space="preserve">Public / </w:t>
    </w:r>
    <w:r w:rsidRPr="00F76D05">
      <w:rPr>
        <w:color w:val="91C47D"/>
        <w:sz w:val="24"/>
        <w:rtl/>
      </w:rPr>
      <w:t>عام</w:t>
    </w:r>
    <w:r>
      <w:rPr>
        <w:color w:val="91C47D"/>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7108820">
    <w:abstractNumId w:val="24"/>
  </w:num>
  <w:num w:numId="2" w16cid:durableId="126900951">
    <w:abstractNumId w:val="1"/>
  </w:num>
  <w:num w:numId="3" w16cid:durableId="2114592938">
    <w:abstractNumId w:val="19"/>
  </w:num>
  <w:num w:numId="4" w16cid:durableId="1529828546">
    <w:abstractNumId w:val="25"/>
  </w:num>
  <w:num w:numId="5" w16cid:durableId="1652633963">
    <w:abstractNumId w:val="35"/>
  </w:num>
  <w:num w:numId="6" w16cid:durableId="1699355716">
    <w:abstractNumId w:val="26"/>
  </w:num>
  <w:num w:numId="7" w16cid:durableId="2113938119">
    <w:abstractNumId w:val="31"/>
  </w:num>
  <w:num w:numId="8" w16cid:durableId="811363593">
    <w:abstractNumId w:val="27"/>
  </w:num>
  <w:num w:numId="9" w16cid:durableId="1863007180">
    <w:abstractNumId w:val="18"/>
  </w:num>
  <w:num w:numId="10" w16cid:durableId="507643064">
    <w:abstractNumId w:val="29"/>
  </w:num>
  <w:num w:numId="11" w16cid:durableId="191647878">
    <w:abstractNumId w:val="10"/>
  </w:num>
  <w:num w:numId="12" w16cid:durableId="702901853">
    <w:abstractNumId w:val="34"/>
  </w:num>
  <w:num w:numId="13" w16cid:durableId="1599367279">
    <w:abstractNumId w:val="15"/>
  </w:num>
  <w:num w:numId="14" w16cid:durableId="823356172">
    <w:abstractNumId w:val="20"/>
  </w:num>
  <w:num w:numId="15" w16cid:durableId="125658519">
    <w:abstractNumId w:val="7"/>
  </w:num>
  <w:num w:numId="16" w16cid:durableId="1908370989">
    <w:abstractNumId w:val="4"/>
  </w:num>
  <w:num w:numId="17" w16cid:durableId="2081367228">
    <w:abstractNumId w:val="5"/>
  </w:num>
  <w:num w:numId="18" w16cid:durableId="451244796">
    <w:abstractNumId w:val="36"/>
  </w:num>
  <w:num w:numId="19" w16cid:durableId="958754070">
    <w:abstractNumId w:val="23"/>
  </w:num>
  <w:num w:numId="20" w16cid:durableId="365526145">
    <w:abstractNumId w:val="32"/>
  </w:num>
  <w:num w:numId="21" w16cid:durableId="28459838">
    <w:abstractNumId w:val="30"/>
  </w:num>
  <w:num w:numId="22" w16cid:durableId="1463038075">
    <w:abstractNumId w:val="13"/>
  </w:num>
  <w:num w:numId="23" w16cid:durableId="975835289">
    <w:abstractNumId w:val="17"/>
  </w:num>
  <w:num w:numId="24" w16cid:durableId="733551609">
    <w:abstractNumId w:val="28"/>
  </w:num>
  <w:num w:numId="25" w16cid:durableId="77674536">
    <w:abstractNumId w:val="11"/>
  </w:num>
  <w:num w:numId="26" w16cid:durableId="507135936">
    <w:abstractNumId w:val="22"/>
  </w:num>
  <w:num w:numId="27" w16cid:durableId="1410421017">
    <w:abstractNumId w:val="3"/>
  </w:num>
  <w:num w:numId="28" w16cid:durableId="534343534">
    <w:abstractNumId w:val="16"/>
  </w:num>
  <w:num w:numId="29" w16cid:durableId="1429277186">
    <w:abstractNumId w:val="12"/>
  </w:num>
  <w:num w:numId="30" w16cid:durableId="1418744259">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2222291">
    <w:abstractNumId w:val="0"/>
  </w:num>
  <w:num w:numId="32" w16cid:durableId="1425220586">
    <w:abstractNumId w:val="2"/>
  </w:num>
  <w:num w:numId="33" w16cid:durableId="1800994977">
    <w:abstractNumId w:val="38"/>
  </w:num>
  <w:num w:numId="34" w16cid:durableId="1569878640">
    <w:abstractNumId w:val="6"/>
  </w:num>
  <w:num w:numId="35" w16cid:durableId="670372076">
    <w:abstractNumId w:val="14"/>
  </w:num>
  <w:num w:numId="36" w16cid:durableId="460271349">
    <w:abstractNumId w:val="8"/>
  </w:num>
  <w:num w:numId="37" w16cid:durableId="1460955593">
    <w:abstractNumId w:val="9"/>
  </w:num>
  <w:num w:numId="38" w16cid:durableId="1020397263">
    <w:abstractNumId w:val="21"/>
  </w:num>
  <w:num w:numId="39" w16cid:durableId="1018852628">
    <w:abstractNumId w:val="37"/>
  </w:num>
  <w:num w:numId="40" w16cid:durableId="45896030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91C"/>
    <w:rsid w:val="00923BEC"/>
    <w:rsid w:val="00931B85"/>
    <w:rsid w:val="009363AF"/>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44299"/>
    <w:rsid w:val="00A474D1"/>
    <w:rsid w:val="00A52F2C"/>
    <w:rsid w:val="00A54FCB"/>
    <w:rsid w:val="00A56651"/>
    <w:rsid w:val="00A60779"/>
    <w:rsid w:val="00A608AB"/>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14194</Words>
  <Characters>80909</Characters>
  <Application>Microsoft Office Word</Application>
  <DocSecurity>0</DocSecurity>
  <Lines>674</Lines>
  <Paragraphs>189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75</cp:revision>
  <dcterms:created xsi:type="dcterms:W3CDTF">2026-06-21T18:42:00Z</dcterms:created>
  <dcterms:modified xsi:type="dcterms:W3CDTF">2026-06-28T20:30:00Z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