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4.xml" ContentType="application/vnd.openxmlformats-officedocument.wordprocessingml.footer+xml"/>
  <Override PartName="/word/header1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2986"/>
        <w:gridCol w:w="3344"/>
      </w:tblGrid>
      <w:tr w:rsidR="002D581C" w:rsidRPr="007C544A" w:rsidTr="002D581C">
        <w:tc>
          <w:tcPr>
            <w:tcW w:w="2035" w:type="dxa"/>
            <w:vAlign w:val="center"/>
          </w:tcPr>
          <w:p w:rsidR="002D581C" w:rsidRPr="007C544A" w:rsidRDefault="002D581C" w:rsidP="00706522">
            <w:pPr>
              <w:spacing w:line="360" w:lineRule="auto"/>
              <w:jc w:val="center"/>
              <w:rPr>
                <w:rFonts w:ascii="Times New Roman" w:hAnsi="Times New Roman" w:cs="Simplified Arabic"/>
                <w:sz w:val="30"/>
                <w:szCs w:val="30"/>
                <w:rtl/>
                <w:lang w:bidi="ar-EG"/>
              </w:rPr>
            </w:pPr>
            <w:r w:rsidRPr="007C544A">
              <w:rPr>
                <w:rFonts w:ascii="Times New Roman" w:hAnsi="Times New Roman" w:cs="Simplified Arabic"/>
                <w:sz w:val="28"/>
                <w:szCs w:val="28"/>
                <w:rtl/>
                <w:lang w:bidi="ar-EG"/>
              </w:rPr>
              <w:t>جامعة ميد اوشن</w:t>
            </w:r>
          </w:p>
          <w:p w:rsidR="002D581C" w:rsidRPr="007C544A" w:rsidRDefault="002D581C" w:rsidP="00706522">
            <w:pPr>
              <w:bidi/>
              <w:spacing w:line="360" w:lineRule="auto"/>
              <w:jc w:val="center"/>
              <w:rPr>
                <w:rFonts w:ascii="Times New Roman" w:hAnsi="Times New Roman" w:cs="QCF2107"/>
                <w:sz w:val="38"/>
                <w:szCs w:val="38"/>
                <w:rtl/>
              </w:rPr>
            </w:pPr>
            <w:r w:rsidRPr="007C544A">
              <w:rPr>
                <w:rFonts w:ascii="Times New Roman" w:hAnsi="Times New Roman" w:cs="Simplified Arabic"/>
                <w:sz w:val="30"/>
                <w:szCs w:val="30"/>
                <w:rtl/>
                <w:lang w:bidi="ar-EG"/>
              </w:rPr>
              <w:t>برنامج الدكتوراه</w:t>
            </w:r>
          </w:p>
        </w:tc>
        <w:tc>
          <w:tcPr>
            <w:tcW w:w="3143" w:type="dxa"/>
            <w:vAlign w:val="center"/>
          </w:tcPr>
          <w:p w:rsidR="002D581C" w:rsidRPr="007C544A" w:rsidRDefault="002D581C" w:rsidP="00706522">
            <w:pPr>
              <w:bidi/>
              <w:spacing w:line="360" w:lineRule="auto"/>
              <w:jc w:val="center"/>
              <w:rPr>
                <w:rFonts w:ascii="Times New Roman" w:hAnsi="Times New Roman" w:cs="QCF2107"/>
                <w:sz w:val="38"/>
                <w:szCs w:val="38"/>
                <w:rtl/>
              </w:rPr>
            </w:pPr>
          </w:p>
        </w:tc>
        <w:tc>
          <w:tcPr>
            <w:tcW w:w="3344" w:type="dxa"/>
            <w:vAlign w:val="center"/>
          </w:tcPr>
          <w:p w:rsidR="002D581C" w:rsidRPr="007C544A" w:rsidRDefault="002D581C" w:rsidP="00706522">
            <w:pPr>
              <w:bidi/>
              <w:spacing w:line="360" w:lineRule="auto"/>
              <w:jc w:val="center"/>
              <w:rPr>
                <w:rFonts w:ascii="Times New Roman" w:hAnsi="Times New Roman" w:cs="QCF2107"/>
                <w:sz w:val="38"/>
                <w:szCs w:val="38"/>
                <w:rtl/>
              </w:rPr>
            </w:pPr>
            <w:r w:rsidRPr="007C544A">
              <w:rPr>
                <w:rFonts w:ascii="Times New Roman" w:hAnsi="Times New Roman" w:cs="ae_Cortoba"/>
                <w:noProof/>
                <w:sz w:val="40"/>
                <w:szCs w:val="40"/>
                <w:rtl/>
              </w:rPr>
              <w:drawing>
                <wp:inline distT="0" distB="0" distL="0" distR="0" wp14:anchorId="49DE5FBD" wp14:editId="730BA84E">
                  <wp:extent cx="1986280" cy="883467"/>
                  <wp:effectExtent l="0" t="0" r="0" b="0"/>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8"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r>
    </w:tbl>
    <w:p w:rsidR="00997417" w:rsidRPr="007C544A" w:rsidRDefault="00997417" w:rsidP="00706522">
      <w:pPr>
        <w:shd w:val="clear" w:color="auto" w:fill="FFFFFF" w:themeFill="background1"/>
        <w:bidi/>
        <w:spacing w:after="0" w:line="360" w:lineRule="auto"/>
        <w:jc w:val="center"/>
        <w:rPr>
          <w:rFonts w:ascii="Times New Roman" w:hAnsi="Times New Roman" w:cs="QCF2107"/>
          <w:sz w:val="38"/>
          <w:szCs w:val="38"/>
          <w:rtl/>
        </w:rPr>
      </w:pPr>
    </w:p>
    <w:p w:rsidR="00FB62C6" w:rsidRPr="007C544A" w:rsidRDefault="00FB62C6" w:rsidP="00FB62C6">
      <w:pPr>
        <w:shd w:val="clear" w:color="auto" w:fill="FFFFFF" w:themeFill="background1"/>
        <w:bidi/>
        <w:spacing w:after="0" w:line="360" w:lineRule="auto"/>
        <w:jc w:val="center"/>
        <w:rPr>
          <w:rFonts w:ascii="Times New Roman" w:hAnsi="Times New Roman" w:cs="QCF2107"/>
          <w:sz w:val="38"/>
          <w:szCs w:val="38"/>
        </w:rPr>
      </w:pPr>
      <w:bookmarkStart w:id="0" w:name="_GoBack"/>
      <w:bookmarkEnd w:id="0"/>
    </w:p>
    <w:p w:rsidR="00997417" w:rsidRPr="007C544A" w:rsidRDefault="00997417" w:rsidP="00FB62C6">
      <w:pPr>
        <w:shd w:val="clear" w:color="auto" w:fill="FFFFFF" w:themeFill="background1"/>
        <w:bidi/>
        <w:spacing w:after="0" w:line="360" w:lineRule="auto"/>
        <w:jc w:val="center"/>
        <w:rPr>
          <w:rFonts w:ascii="Simplified Arabic" w:hAnsi="Simplified Arabic" w:cs="Simplified Arabic"/>
          <w:b/>
          <w:bCs/>
          <w:sz w:val="36"/>
          <w:szCs w:val="36"/>
        </w:rPr>
      </w:pPr>
      <w:r w:rsidRPr="007C544A">
        <w:rPr>
          <w:rFonts w:ascii="Simplified Arabic" w:hAnsi="Simplified Arabic" w:cs="Simplified Arabic"/>
          <w:b/>
          <w:bCs/>
          <w:sz w:val="36"/>
          <w:szCs w:val="36"/>
          <w:rtl/>
        </w:rPr>
        <w:t>استراتيجيةُ دمجِ الشركاتِ لدخولِ سوقِ النموِّ</w:t>
      </w:r>
      <w:r w:rsidR="00FB62C6" w:rsidRPr="007C544A">
        <w:rPr>
          <w:rFonts w:ascii="Simplified Arabic" w:hAnsi="Simplified Arabic" w:cs="Simplified Arabic" w:hint="cs"/>
          <w:b/>
          <w:bCs/>
          <w:sz w:val="36"/>
          <w:szCs w:val="36"/>
          <w:rtl/>
        </w:rPr>
        <w:t xml:space="preserve"> </w:t>
      </w:r>
      <w:r w:rsidR="00F52199" w:rsidRPr="007C544A">
        <w:rPr>
          <w:rFonts w:ascii="Simplified Arabic" w:hAnsi="Simplified Arabic" w:cs="Simplified Arabic" w:hint="cs"/>
          <w:b/>
          <w:bCs/>
          <w:sz w:val="36"/>
          <w:szCs w:val="36"/>
          <w:rtl/>
        </w:rPr>
        <w:t>(</w:t>
      </w:r>
      <w:r w:rsidRPr="007C544A">
        <w:rPr>
          <w:rFonts w:ascii="Simplified Arabic" w:hAnsi="Simplified Arabic" w:cs="Simplified Arabic"/>
          <w:b/>
          <w:bCs/>
          <w:sz w:val="36"/>
          <w:szCs w:val="36"/>
          <w:rtl/>
        </w:rPr>
        <w:t>السوقِ الموازيةِ</w:t>
      </w:r>
      <w:r w:rsidR="00F52199" w:rsidRPr="007C544A">
        <w:rPr>
          <w:rFonts w:ascii="Simplified Arabic" w:hAnsi="Simplified Arabic" w:cs="Simplified Arabic" w:hint="cs"/>
          <w:b/>
          <w:bCs/>
          <w:sz w:val="36"/>
          <w:szCs w:val="36"/>
          <w:rtl/>
        </w:rPr>
        <w:t>)</w:t>
      </w:r>
      <w:r w:rsidRPr="007C544A">
        <w:rPr>
          <w:rFonts w:ascii="Simplified Arabic" w:hAnsi="Simplified Arabic" w:cs="Simplified Arabic"/>
          <w:b/>
          <w:bCs/>
          <w:sz w:val="36"/>
          <w:szCs w:val="36"/>
          <w:rtl/>
        </w:rPr>
        <w:t xml:space="preserve"> لسوقِ المالِ السعوديِّ</w:t>
      </w:r>
    </w:p>
    <w:p w:rsidR="00997417" w:rsidRPr="007C544A" w:rsidRDefault="00997417" w:rsidP="00706522">
      <w:pPr>
        <w:shd w:val="clear" w:color="auto" w:fill="FFFFFF" w:themeFill="background1"/>
        <w:bidi/>
        <w:spacing w:after="0" w:line="360" w:lineRule="auto"/>
        <w:jc w:val="center"/>
        <w:rPr>
          <w:rFonts w:ascii="Times New Roman" w:hAnsi="Times New Roman" w:cs="PT Bold Heading"/>
          <w:b/>
          <w:bCs/>
          <w:sz w:val="28"/>
          <w:szCs w:val="28"/>
          <w:rtl/>
        </w:rPr>
      </w:pPr>
      <w:r w:rsidRPr="007C544A">
        <w:rPr>
          <w:rFonts w:ascii="Simplified Arabic" w:hAnsi="Simplified Arabic" w:cs="Simplified Arabic"/>
          <w:b/>
          <w:bCs/>
          <w:sz w:val="28"/>
          <w:szCs w:val="28"/>
          <w:rtl/>
        </w:rPr>
        <w:t>دراسةٌ ميدانيةٌ على الشركاتِ العائليةِ السعودية</w:t>
      </w:r>
    </w:p>
    <w:p w:rsidR="00F52199" w:rsidRPr="007C544A" w:rsidRDefault="00F52199" w:rsidP="00F52199">
      <w:pPr>
        <w:shd w:val="clear" w:color="auto" w:fill="FFFFFF" w:themeFill="background1"/>
        <w:bidi/>
        <w:spacing w:after="0" w:line="360" w:lineRule="auto"/>
        <w:jc w:val="center"/>
        <w:rPr>
          <w:rFonts w:ascii="Times New Roman" w:hAnsi="Times New Roman" w:cs="Simplified Arabic"/>
          <w:b/>
          <w:bCs/>
          <w:sz w:val="28"/>
          <w:szCs w:val="28"/>
          <w:rtl/>
          <w:lang w:bidi="ar-EG"/>
        </w:rPr>
      </w:pPr>
      <w:r w:rsidRPr="007C544A">
        <w:rPr>
          <w:rFonts w:ascii="Times New Roman" w:hAnsi="Times New Roman" w:cs="Simplified Arabic" w:hint="cs"/>
          <w:b/>
          <w:bCs/>
          <w:sz w:val="28"/>
          <w:szCs w:val="28"/>
          <w:rtl/>
          <w:lang w:bidi="ar-EG"/>
        </w:rPr>
        <w:t xml:space="preserve">إعداد </w:t>
      </w:r>
    </w:p>
    <w:p w:rsidR="00F52199" w:rsidRPr="007C544A" w:rsidRDefault="00F52199" w:rsidP="00F52199">
      <w:pPr>
        <w:shd w:val="clear" w:color="auto" w:fill="FFFFFF" w:themeFill="background1"/>
        <w:bidi/>
        <w:spacing w:after="0" w:line="360" w:lineRule="auto"/>
        <w:jc w:val="center"/>
        <w:rPr>
          <w:rFonts w:ascii="Times New Roman" w:hAnsi="Times New Roman" w:cs="Simplified Arabic"/>
          <w:b/>
          <w:bCs/>
          <w:i/>
          <w:iCs/>
          <w:sz w:val="20"/>
          <w:szCs w:val="20"/>
          <w:rtl/>
          <w:lang w:bidi="ar-EG"/>
        </w:rPr>
      </w:pPr>
      <w:r w:rsidRPr="007C544A">
        <w:rPr>
          <w:rFonts w:ascii="Times New Roman" w:hAnsi="Times New Roman" w:cs="Abuhmeda Free" w:hint="cs"/>
          <w:b/>
          <w:bCs/>
          <w:sz w:val="20"/>
          <w:szCs w:val="20"/>
          <w:rtl/>
          <w:lang w:bidi="ar-EG"/>
        </w:rPr>
        <w:t xml:space="preserve"> </w:t>
      </w:r>
      <w:r w:rsidRPr="007C544A">
        <w:rPr>
          <w:rFonts w:ascii="Times New Roman" w:hAnsi="Times New Roman" w:cs="Simplified Arabic"/>
          <w:b/>
          <w:bCs/>
          <w:i/>
          <w:iCs/>
          <w:sz w:val="28"/>
          <w:szCs w:val="28"/>
          <w:rtl/>
          <w:lang w:bidi="ar-EG"/>
        </w:rPr>
        <w:t>صادق حسن الصفار</w:t>
      </w:r>
    </w:p>
    <w:p w:rsidR="00F52199" w:rsidRPr="007C544A" w:rsidRDefault="00F52199" w:rsidP="00FB62C6">
      <w:pPr>
        <w:shd w:val="clear" w:color="auto" w:fill="FFFFFF" w:themeFill="background1"/>
        <w:bidi/>
        <w:spacing w:after="0" w:line="360" w:lineRule="auto"/>
        <w:jc w:val="center"/>
        <w:rPr>
          <w:rFonts w:ascii="Times New Roman" w:hAnsi="Times New Roman" w:cs="Simplified Arabic"/>
          <w:b/>
          <w:bCs/>
          <w:i/>
          <w:iCs/>
          <w:sz w:val="34"/>
          <w:szCs w:val="34"/>
          <w:rtl/>
        </w:rPr>
      </w:pPr>
    </w:p>
    <w:p w:rsidR="00C812AA" w:rsidRDefault="004C0A4D" w:rsidP="005A3647">
      <w:pPr>
        <w:shd w:val="clear" w:color="auto" w:fill="FFFFFF" w:themeFill="background1"/>
        <w:bidi/>
        <w:spacing w:after="0" w:line="360" w:lineRule="auto"/>
        <w:jc w:val="center"/>
        <w:rPr>
          <w:rFonts w:ascii="Times New Roman" w:hAnsi="Times New Roman" w:cs="Simplified Arabic"/>
          <w:b/>
          <w:bCs/>
          <w:i/>
          <w:iCs/>
          <w:sz w:val="24"/>
          <w:szCs w:val="24"/>
          <w:rtl/>
        </w:rPr>
      </w:pPr>
      <w:r w:rsidRPr="007C544A">
        <w:rPr>
          <w:rFonts w:ascii="Times New Roman" w:hAnsi="Times New Roman" w:cs="Simplified Arabic"/>
          <w:b/>
          <w:bCs/>
          <w:i/>
          <w:iCs/>
          <w:sz w:val="24"/>
          <w:szCs w:val="24"/>
          <w:rtl/>
        </w:rPr>
        <w:t>رسالة مقدمة</w:t>
      </w:r>
      <w:r w:rsidR="00F52199" w:rsidRPr="007C544A">
        <w:rPr>
          <w:rFonts w:ascii="Times New Roman" w:hAnsi="Times New Roman" w:cs="Simplified Arabic" w:hint="cs"/>
          <w:b/>
          <w:bCs/>
          <w:i/>
          <w:iCs/>
          <w:sz w:val="24"/>
          <w:szCs w:val="24"/>
          <w:rtl/>
        </w:rPr>
        <w:t xml:space="preserve"> إلى</w:t>
      </w:r>
      <w:r w:rsidR="00C812AA">
        <w:rPr>
          <w:rFonts w:ascii="Times New Roman" w:hAnsi="Times New Roman" w:cs="Simplified Arabic"/>
          <w:b/>
          <w:bCs/>
          <w:i/>
          <w:iCs/>
          <w:sz w:val="24"/>
          <w:szCs w:val="24"/>
        </w:rPr>
        <w:t xml:space="preserve"> </w:t>
      </w:r>
      <w:r w:rsidR="00C812AA">
        <w:rPr>
          <w:rFonts w:ascii="Times New Roman" w:hAnsi="Times New Roman" w:cs="Simplified Arabic" w:hint="cs"/>
          <w:b/>
          <w:bCs/>
          <w:i/>
          <w:iCs/>
          <w:sz w:val="24"/>
          <w:szCs w:val="24"/>
          <w:rtl/>
        </w:rPr>
        <w:t xml:space="preserve"> برنامج الدكتوراة</w:t>
      </w:r>
    </w:p>
    <w:p w:rsidR="00C812AA" w:rsidRDefault="00C812AA" w:rsidP="00C812AA">
      <w:pPr>
        <w:shd w:val="clear" w:color="auto" w:fill="FFFFFF" w:themeFill="background1"/>
        <w:bidi/>
        <w:spacing w:after="0" w:line="360" w:lineRule="auto"/>
        <w:jc w:val="center"/>
        <w:rPr>
          <w:rFonts w:ascii="Times New Roman" w:hAnsi="Times New Roman" w:cs="Simplified Arabic"/>
          <w:b/>
          <w:bCs/>
          <w:i/>
          <w:iCs/>
          <w:sz w:val="24"/>
          <w:szCs w:val="24"/>
          <w:rtl/>
        </w:rPr>
      </w:pPr>
      <w:r>
        <w:rPr>
          <w:rFonts w:ascii="Times New Roman" w:hAnsi="Times New Roman" w:cs="Simplified Arabic" w:hint="cs"/>
          <w:b/>
          <w:bCs/>
          <w:i/>
          <w:iCs/>
          <w:sz w:val="24"/>
          <w:szCs w:val="24"/>
          <w:rtl/>
        </w:rPr>
        <w:t xml:space="preserve">كجزء من متطلبات نيل درجة دكتوراه الفلسفة في الإدارة </w:t>
      </w:r>
    </w:p>
    <w:p w:rsidR="004C0A4D" w:rsidRPr="007C544A" w:rsidRDefault="004C0A4D" w:rsidP="00706522">
      <w:pPr>
        <w:pStyle w:val="NormalWeb"/>
        <w:shd w:val="clear" w:color="auto" w:fill="FFFFFF" w:themeFill="background1"/>
        <w:bidi/>
        <w:spacing w:before="0" w:beforeAutospacing="0" w:after="0" w:afterAutospacing="0" w:line="360" w:lineRule="auto"/>
        <w:ind w:right="-270"/>
        <w:jc w:val="center"/>
        <w:rPr>
          <w:rFonts w:eastAsiaTheme="minorHAnsi" w:cs="Sultan bold"/>
          <w:sz w:val="32"/>
          <w:szCs w:val="32"/>
          <w:rtl/>
        </w:rPr>
      </w:pPr>
    </w:p>
    <w:p w:rsidR="00F52199" w:rsidRPr="007C544A" w:rsidRDefault="00F52199" w:rsidP="00F52199">
      <w:pPr>
        <w:bidi/>
        <w:spacing w:after="0" w:line="276" w:lineRule="auto"/>
        <w:jc w:val="center"/>
        <w:rPr>
          <w:rFonts w:ascii="Times New Roman" w:eastAsia="Times New Roman" w:hAnsi="Times New Roman" w:cs="Times New Roman"/>
          <w:sz w:val="28"/>
          <w:szCs w:val="28"/>
          <w:rtl/>
        </w:rPr>
      </w:pPr>
    </w:p>
    <w:p w:rsidR="00F52199" w:rsidRPr="007C544A" w:rsidRDefault="00F52199" w:rsidP="00F52199">
      <w:pPr>
        <w:tabs>
          <w:tab w:val="left" w:pos="3666"/>
        </w:tabs>
        <w:bidi/>
        <w:spacing w:after="0" w:line="360" w:lineRule="auto"/>
        <w:jc w:val="center"/>
        <w:rPr>
          <w:rFonts w:ascii="Traditional Arabic" w:eastAsia="Calibri" w:hAnsi="Traditional Arabic" w:cs="Traditional Arabic"/>
          <w:b/>
          <w:bCs/>
          <w:sz w:val="24"/>
          <w:szCs w:val="24"/>
          <w:rtl/>
          <w:lang w:bidi="ar-EG"/>
        </w:rPr>
      </w:pPr>
      <w:r w:rsidRPr="007C544A">
        <w:rPr>
          <w:rFonts w:ascii="Times New Roman" w:eastAsia="Times New Roman" w:hAnsi="Times New Roman" w:cs="Times New Roman"/>
          <w:sz w:val="24"/>
          <w:szCs w:val="24"/>
          <w:rtl/>
        </w:rPr>
        <w:t>العام الجامعي</w:t>
      </w:r>
      <w:r w:rsidRPr="007C544A">
        <w:rPr>
          <w:rFonts w:ascii="Times New Roman" w:eastAsia="Times New Roman" w:hAnsi="Times New Roman" w:cs="Times New Roman"/>
          <w:sz w:val="24"/>
          <w:szCs w:val="24"/>
        </w:rPr>
        <w:t>2026 </w:t>
      </w:r>
      <w:r w:rsidRPr="007C544A">
        <w:rPr>
          <w:rFonts w:ascii="Times New Roman" w:eastAsia="Times New Roman" w:hAnsi="Times New Roman" w:cs="Times New Roman"/>
          <w:sz w:val="24"/>
          <w:szCs w:val="24"/>
          <w:rtl/>
        </w:rPr>
        <w:t>م</w:t>
      </w:r>
      <w:r w:rsidRPr="007C544A">
        <w:rPr>
          <w:rFonts w:ascii="Times New Roman" w:eastAsia="Times New Roman" w:hAnsi="Times New Roman" w:cs="Times New Roman"/>
          <w:b/>
          <w:bCs/>
          <w:sz w:val="24"/>
          <w:szCs w:val="24"/>
          <w:rtl/>
        </w:rPr>
        <w:t> </w:t>
      </w:r>
      <w:r w:rsidRPr="007C544A">
        <w:rPr>
          <w:rFonts w:ascii="Times New Roman" w:eastAsia="Times New Roman" w:hAnsi="Times New Roman" w:cs="Times New Roman"/>
          <w:b/>
          <w:bCs/>
          <w:sz w:val="24"/>
          <w:szCs w:val="24"/>
        </w:rPr>
        <w:br/>
      </w:r>
      <w:r w:rsidRPr="007C544A">
        <w:rPr>
          <w:rFonts w:ascii="Traditional Arabic" w:eastAsia="Calibri" w:hAnsi="Traditional Arabic" w:cs="Traditional Arabic"/>
          <w:b/>
          <w:bCs/>
          <w:sz w:val="24"/>
          <w:szCs w:val="24"/>
          <w:rtl/>
          <w:lang w:bidi="ar-EG"/>
        </w:rPr>
        <w:t xml:space="preserve">1447ه‍ - </w:t>
      </w:r>
      <w:r w:rsidRPr="007C544A">
        <w:rPr>
          <w:rFonts w:ascii="Traditional Arabic" w:eastAsia="Calibri" w:hAnsi="Traditional Arabic" w:cs="Traditional Arabic" w:hint="cs"/>
          <w:b/>
          <w:bCs/>
          <w:sz w:val="24"/>
          <w:szCs w:val="24"/>
          <w:rtl/>
          <w:lang w:bidi="ar-EG"/>
        </w:rPr>
        <w:t>1448ه</w:t>
      </w:r>
    </w:p>
    <w:p w:rsidR="004C0A4D" w:rsidRPr="007C544A" w:rsidRDefault="004C0A4D" w:rsidP="00706522">
      <w:pPr>
        <w:shd w:val="clear" w:color="auto" w:fill="FFFFFF" w:themeFill="background1"/>
        <w:bidi/>
        <w:spacing w:after="0" w:line="360" w:lineRule="auto"/>
        <w:jc w:val="center"/>
        <w:rPr>
          <w:rFonts w:ascii="Times New Roman" w:hAnsi="Times New Roman" w:cs="SKR HEAD1"/>
          <w:sz w:val="34"/>
          <w:szCs w:val="34"/>
          <w:lang w:bidi="ar-EG"/>
        </w:rPr>
      </w:pPr>
    </w:p>
    <w:p w:rsidR="00E02720" w:rsidRPr="007C544A" w:rsidRDefault="00545F76" w:rsidP="00706522">
      <w:pPr>
        <w:shd w:val="clear" w:color="auto" w:fill="FFFFFF" w:themeFill="background1"/>
        <w:bidi/>
        <w:spacing w:after="0" w:line="360" w:lineRule="auto"/>
        <w:jc w:val="center"/>
        <w:rPr>
          <w:rFonts w:ascii="Times New Roman" w:hAnsi="Times New Roman" w:cs="SKR HEAD1"/>
          <w:sz w:val="34"/>
          <w:szCs w:val="34"/>
          <w:rtl/>
          <w:lang w:bidi="ar-EG"/>
        </w:rPr>
      </w:pPr>
      <w:r w:rsidRPr="007C544A">
        <w:rPr>
          <w:rFonts w:ascii="Times New Roman" w:hAnsi="Times New Roman"/>
          <w:noProof/>
        </w:rPr>
        <w:lastRenderedPageBreak/>
        <w:drawing>
          <wp:inline distT="0" distB="0" distL="0" distR="0" wp14:anchorId="21449F97" wp14:editId="60AB2305">
            <wp:extent cx="5019675" cy="3267075"/>
            <wp:effectExtent l="0" t="0" r="9525" b="9525"/>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5245.tmp"/>
                    <pic:cNvPicPr/>
                  </pic:nvPicPr>
                  <pic:blipFill>
                    <a:blip r:embed="rId9">
                      <a:extLst>
                        <a:ext uri="{28A0092B-C50C-407E-A947-70E740481C1C}">
                          <a14:useLocalDpi xmlns:a14="http://schemas.microsoft.com/office/drawing/2010/main" val="0"/>
                        </a:ext>
                      </a:extLst>
                    </a:blip>
                    <a:stretch>
                      <a:fillRect/>
                    </a:stretch>
                  </pic:blipFill>
                  <pic:spPr>
                    <a:xfrm>
                      <a:off x="0" y="0"/>
                      <a:ext cx="5018400" cy="3266245"/>
                    </a:xfrm>
                    <a:prstGeom prst="rect">
                      <a:avLst/>
                    </a:prstGeom>
                  </pic:spPr>
                </pic:pic>
              </a:graphicData>
            </a:graphic>
          </wp:inline>
        </w:drawing>
      </w:r>
    </w:p>
    <w:p w:rsidR="00673CCB" w:rsidRPr="007C544A" w:rsidRDefault="00673CCB" w:rsidP="00706522">
      <w:pPr>
        <w:shd w:val="clear" w:color="auto" w:fill="FFFFFF" w:themeFill="background1"/>
        <w:bidi/>
        <w:spacing w:after="0" w:line="360" w:lineRule="auto"/>
        <w:jc w:val="center"/>
        <w:rPr>
          <w:rFonts w:ascii="Times New Roman" w:hAnsi="Times New Roman" w:cs="SKR HEAD1"/>
          <w:sz w:val="34"/>
          <w:szCs w:val="34"/>
          <w:rtl/>
          <w:lang w:bidi="ar-EG"/>
        </w:rPr>
      </w:pPr>
    </w:p>
    <w:p w:rsidR="00673CCB" w:rsidRPr="007C544A" w:rsidRDefault="00673CCB" w:rsidP="00706522">
      <w:pPr>
        <w:shd w:val="clear" w:color="auto" w:fill="FFFFFF" w:themeFill="background1"/>
        <w:bidi/>
        <w:spacing w:after="0" w:line="360" w:lineRule="auto"/>
        <w:jc w:val="center"/>
        <w:rPr>
          <w:rFonts w:ascii="Times New Roman" w:hAnsi="Times New Roman" w:cs="SKR HEAD1"/>
          <w:sz w:val="34"/>
          <w:szCs w:val="34"/>
          <w:rtl/>
          <w:lang w:bidi="ar-EG"/>
        </w:rPr>
      </w:pPr>
      <w:r w:rsidRPr="007C544A">
        <w:rPr>
          <w:rFonts w:ascii="Times New Roman" w:hAnsi="Times New Roman"/>
          <w:noProof/>
        </w:rPr>
        <w:drawing>
          <wp:inline distT="0" distB="0" distL="0" distR="0" wp14:anchorId="206B5561" wp14:editId="50B7268E">
            <wp:extent cx="5018400" cy="3978000"/>
            <wp:effectExtent l="0" t="0" r="0" b="381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6FA5.tmp"/>
                    <pic:cNvPicPr/>
                  </pic:nvPicPr>
                  <pic:blipFill>
                    <a:blip r:embed="rId10">
                      <a:extLst>
                        <a:ext uri="{28A0092B-C50C-407E-A947-70E740481C1C}">
                          <a14:useLocalDpi xmlns:a14="http://schemas.microsoft.com/office/drawing/2010/main" val="0"/>
                        </a:ext>
                      </a:extLst>
                    </a:blip>
                    <a:stretch>
                      <a:fillRect/>
                    </a:stretch>
                  </pic:blipFill>
                  <pic:spPr>
                    <a:xfrm>
                      <a:off x="0" y="0"/>
                      <a:ext cx="5018400" cy="3978000"/>
                    </a:xfrm>
                    <a:prstGeom prst="rect">
                      <a:avLst/>
                    </a:prstGeom>
                  </pic:spPr>
                </pic:pic>
              </a:graphicData>
            </a:graphic>
          </wp:inline>
        </w:drawing>
      </w:r>
    </w:p>
    <w:p w:rsidR="00D15127" w:rsidRPr="007C544A" w:rsidRDefault="00D15127" w:rsidP="003577FC">
      <w:pPr>
        <w:shd w:val="clear" w:color="auto" w:fill="FFFFFF" w:themeFill="background1"/>
        <w:spacing w:after="0" w:line="360" w:lineRule="auto"/>
        <w:jc w:val="center"/>
        <w:rPr>
          <w:rFonts w:ascii="Traditional Arabic" w:hAnsi="Traditional Arabic" w:cs="Traditional Arabic"/>
          <w:sz w:val="24"/>
          <w:szCs w:val="24"/>
          <w:rtl/>
          <w:lang w:bidi="ar-EG"/>
        </w:rPr>
      </w:pPr>
      <w:r w:rsidRPr="007C544A">
        <w:rPr>
          <w:rFonts w:ascii="Times New Roman" w:hAnsi="Times New Roman" w:cs="SKR HEAD1"/>
          <w:sz w:val="34"/>
          <w:szCs w:val="34"/>
          <w:rtl/>
          <w:lang w:bidi="ar-EG"/>
        </w:rPr>
        <w:br w:type="page"/>
      </w:r>
    </w:p>
    <w:p w:rsidR="003577FC" w:rsidRPr="007C544A" w:rsidRDefault="003577FC" w:rsidP="003577FC">
      <w:pPr>
        <w:pStyle w:val="Heading1"/>
        <w:jc w:val="center"/>
        <w:rPr>
          <w:rFonts w:ascii="Traditional Arabic" w:eastAsiaTheme="minorHAnsi" w:hAnsi="Traditional Arabic" w:cs="Traditional Arabic"/>
          <w:sz w:val="48"/>
          <w:szCs w:val="48"/>
          <w:lang w:bidi="ar-EG"/>
        </w:rPr>
      </w:pPr>
      <w:r w:rsidRPr="007C544A">
        <w:rPr>
          <w:rFonts w:ascii="Traditional Arabic" w:eastAsiaTheme="minorHAnsi" w:hAnsi="Traditional Arabic" w:cs="Traditional Arabic" w:hint="cs"/>
          <w:sz w:val="48"/>
          <w:szCs w:val="48"/>
          <w:rtl/>
          <w:lang w:bidi="ar-EG"/>
        </w:rPr>
        <w:lastRenderedPageBreak/>
        <w:t>الإهــــــــــــــــــــــــــــــداء</w:t>
      </w:r>
    </w:p>
    <w:p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من كان فضله بعد الله في كل خطوة أخطوها</w:t>
      </w:r>
      <w:r w:rsidRPr="007C544A">
        <w:rPr>
          <w:rFonts w:ascii="Traditional Arabic" w:eastAsiaTheme="minorHAnsi" w:hAnsi="Traditional Arabic" w:cs="Traditional Arabic"/>
          <w:b/>
          <w:bCs/>
          <w:lang w:bidi="ar-EG"/>
        </w:rPr>
        <w:t>...</w:t>
      </w:r>
    </w:p>
    <w:p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والديَّ الكريمين،</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من علَّماني أن العلم طريق، وأن النجاح ثمرة الصبر والمثابرة، وأن الإنسان لا يبلغ غايته إلا بالإيمان بالله ثم بالسعي والعمل</w:t>
      </w:r>
      <w:r w:rsidRPr="007C544A">
        <w:rPr>
          <w:rFonts w:ascii="Traditional Arabic" w:eastAsiaTheme="minorHAnsi" w:hAnsi="Traditional Arabic" w:cs="Traditional Arabic"/>
          <w:b/>
          <w:bCs/>
          <w:lang w:bidi="ar-EG"/>
        </w:rPr>
        <w:t>...</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إليهما أهدي ثمرة هذا الجهد، عرفانًا بفضلهما، وامتنانًا لعطائهما الذي لا ينضب</w:t>
      </w:r>
      <w:r w:rsidRPr="007C544A">
        <w:rPr>
          <w:rFonts w:ascii="Traditional Arabic" w:eastAsiaTheme="minorHAnsi" w:hAnsi="Traditional Arabic" w:cs="Traditional Arabic"/>
          <w:b/>
          <w:bCs/>
          <w:lang w:bidi="ar-EG"/>
        </w:rPr>
        <w:t>.</w:t>
      </w:r>
    </w:p>
    <w:p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أسرتي الغالية،</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إلى من كانوا سندًا في أوقات التعب، ومصدرًا للقوة في لحظات التردد، وشركاء في كل خطوة من خطوات هذه الرحلة العلمية</w:t>
      </w:r>
      <w:r w:rsidRPr="007C544A">
        <w:rPr>
          <w:rFonts w:ascii="Traditional Arabic" w:eastAsiaTheme="minorHAnsi" w:hAnsi="Traditional Arabic" w:cs="Traditional Arabic"/>
          <w:b/>
          <w:bCs/>
          <w:lang w:bidi="ar-EG"/>
        </w:rPr>
        <w:t>...</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لكم أهدي هذا الإنجاز، تقديرًا لمحبتكم وصبركم ودعمكم</w:t>
      </w:r>
      <w:r w:rsidRPr="007C544A">
        <w:rPr>
          <w:rFonts w:ascii="Traditional Arabic" w:eastAsiaTheme="minorHAnsi" w:hAnsi="Traditional Arabic" w:cs="Traditional Arabic"/>
          <w:b/>
          <w:bCs/>
          <w:lang w:bidi="ar-EG"/>
        </w:rPr>
        <w:t>.</w:t>
      </w:r>
    </w:p>
    <w:p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كل من آمن بي، وشجعني على الاستمرار، وكان لكلماته الطيبة أثر في نفسي،</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إلى كل من ساندني بدعوة صادقة، أو كلمة تشجيع، أو موقف كريم</w:t>
      </w:r>
      <w:r w:rsidRPr="007C544A">
        <w:rPr>
          <w:rFonts w:ascii="Traditional Arabic" w:eastAsiaTheme="minorHAnsi" w:hAnsi="Traditional Arabic" w:cs="Traditional Arabic"/>
          <w:b/>
          <w:bCs/>
          <w:lang w:bidi="ar-EG"/>
        </w:rPr>
        <w:t>...</w:t>
      </w:r>
    </w:p>
    <w:p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أهديكم هذا العمل، راجيةً من الله أن يجعله ثمرةً طيبةً لجهدٍ طويل، وأن يكتب لي فيه النفع والتوفيق</w:t>
      </w:r>
      <w:r w:rsidRPr="007C544A">
        <w:rPr>
          <w:rFonts w:ascii="Traditional Arabic" w:eastAsiaTheme="minorHAnsi" w:hAnsi="Traditional Arabic" w:cs="Traditional Arabic"/>
          <w:b/>
          <w:bCs/>
          <w:lang w:bidi="ar-EG"/>
        </w:rPr>
        <w:t>.</w:t>
      </w:r>
    </w:p>
    <w:p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وما توفيقي إلا بالله، عليه توكلت وإليه أنيب</w:t>
      </w:r>
      <w:r w:rsidRPr="007C544A">
        <w:rPr>
          <w:rFonts w:ascii="Traditional Arabic" w:eastAsiaTheme="minorHAnsi" w:hAnsi="Traditional Arabic" w:cs="Traditional Arabic"/>
          <w:b/>
          <w:bCs/>
          <w:lang w:bidi="ar-EG"/>
        </w:rPr>
        <w:t>.</w:t>
      </w:r>
    </w:p>
    <w:p w:rsidR="003577FC" w:rsidRPr="007C544A" w:rsidRDefault="003577FC" w:rsidP="003577FC">
      <w:pPr>
        <w:spacing w:line="360" w:lineRule="auto"/>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br w:type="page"/>
      </w:r>
    </w:p>
    <w:p w:rsidR="007C5457" w:rsidRPr="007C544A" w:rsidRDefault="007C5457" w:rsidP="007C5457">
      <w:pPr>
        <w:pStyle w:val="Heading2"/>
        <w:jc w:val="center"/>
        <w:rPr>
          <w:rFonts w:ascii="Traditional Arabic" w:eastAsiaTheme="minorHAnsi" w:hAnsi="Traditional Arabic" w:cs="Traditional Arabic"/>
          <w:sz w:val="56"/>
          <w:szCs w:val="56"/>
          <w:lang w:bidi="ar-EG"/>
        </w:rPr>
      </w:pPr>
      <w:r w:rsidRPr="007C544A">
        <w:rPr>
          <w:rFonts w:ascii="Traditional Arabic" w:eastAsiaTheme="minorHAnsi" w:hAnsi="Traditional Arabic" w:cs="Traditional Arabic" w:hint="cs"/>
          <w:sz w:val="56"/>
          <w:szCs w:val="56"/>
          <w:rtl/>
          <w:lang w:bidi="ar-EG"/>
        </w:rPr>
        <w:lastRenderedPageBreak/>
        <w:t>شكر</w:t>
      </w:r>
      <w:r w:rsidRPr="007C544A">
        <w:rPr>
          <w:rFonts w:ascii="Traditional Arabic" w:eastAsiaTheme="minorHAnsi" w:hAnsi="Traditional Arabic" w:cs="Traditional Arabic"/>
          <w:sz w:val="56"/>
          <w:szCs w:val="56"/>
          <w:rtl/>
        </w:rPr>
        <w:t xml:space="preserve"> </w:t>
      </w:r>
      <w:r w:rsidRPr="007C544A">
        <w:rPr>
          <w:rFonts w:ascii="Traditional Arabic" w:eastAsiaTheme="minorHAnsi" w:hAnsi="Traditional Arabic" w:cs="Traditional Arabic" w:hint="cs"/>
          <w:sz w:val="56"/>
          <w:szCs w:val="56"/>
          <w:rtl/>
          <w:lang w:bidi="ar-EG"/>
        </w:rPr>
        <w:t>وتقدير</w:t>
      </w:r>
    </w:p>
    <w:p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b/>
          <w:bCs/>
          <w:sz w:val="28"/>
          <w:szCs w:val="28"/>
          <w:rtl/>
          <w:lang w:bidi="ar-EG"/>
        </w:rPr>
        <w:t>بسم الله الرحمن الرحيم</w:t>
      </w:r>
    </w:p>
    <w:p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الحمد لله رب العالمين، والصلاة والسلام على أشرف الأنبياء والمرسلين، سيدنا محمد، وعلى آله وصحبه أجمعين</w:t>
      </w:r>
      <w:r w:rsidRPr="007C544A">
        <w:rPr>
          <w:rFonts w:ascii="Traditional Arabic" w:eastAsiaTheme="minorHAnsi" w:hAnsi="Traditional Arabic" w:cs="Traditional Arabic"/>
          <w:sz w:val="28"/>
          <w:szCs w:val="28"/>
          <w:lang w:bidi="ar-EG"/>
        </w:rPr>
        <w:t>.</w:t>
      </w:r>
    </w:p>
    <w:p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أتوجه أولًا بخالص الحمد والشكر لله عز وجل، الذي منّ عليَّ بنعمة التوفيق والسداد، وأعانني على إتمام هذه الدراسة، وذلل لي الصعاب، ووفقني للوصول إلى هذه المرحلة من مسيرتي العلمية</w:t>
      </w:r>
      <w:r w:rsidRPr="007C544A">
        <w:rPr>
          <w:rFonts w:ascii="Traditional Arabic" w:eastAsiaTheme="minorHAnsi" w:hAnsi="Traditional Arabic" w:cs="Traditional Arabic"/>
          <w:sz w:val="28"/>
          <w:szCs w:val="28"/>
          <w:lang w:bidi="ar-EG"/>
        </w:rPr>
        <w:t>.</w:t>
      </w:r>
    </w:p>
    <w:p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8"/>
          <w:szCs w:val="28"/>
          <w:lang w:bidi="ar-EG"/>
        </w:rPr>
      </w:pPr>
      <w:r w:rsidRPr="007C544A">
        <w:rPr>
          <w:rFonts w:ascii="Traditional Arabic" w:hAnsi="Traditional Arabic" w:cs="Traditional Arabic"/>
          <w:sz w:val="28"/>
          <w:szCs w:val="28"/>
          <w:rtl/>
          <w:lang w:bidi="ar-EG"/>
        </w:rPr>
        <w:t>ثم أتقدم بخالص الشكر وعظيم الامتنان إلى أستاذ</w:t>
      </w:r>
      <w:r w:rsidRPr="007C544A">
        <w:rPr>
          <w:rFonts w:ascii="Traditional Arabic" w:hAnsi="Traditional Arabic" w:cs="Traditional Arabic" w:hint="cs"/>
          <w:sz w:val="28"/>
          <w:szCs w:val="28"/>
          <w:rtl/>
          <w:lang w:bidi="ar-EG"/>
        </w:rPr>
        <w:t>ت</w:t>
      </w:r>
      <w:r w:rsidRPr="007C544A">
        <w:rPr>
          <w:rFonts w:ascii="Traditional Arabic" w:hAnsi="Traditional Arabic" w:cs="Traditional Arabic"/>
          <w:sz w:val="28"/>
          <w:szCs w:val="28"/>
          <w:rtl/>
          <w:lang w:bidi="ar-EG"/>
        </w:rPr>
        <w:t>ي الفاضل</w:t>
      </w:r>
      <w:r w:rsidRPr="007C544A">
        <w:rPr>
          <w:rFonts w:ascii="Traditional Arabic" w:hAnsi="Traditional Arabic" w:cs="Traditional Arabic" w:hint="cs"/>
          <w:sz w:val="28"/>
          <w:szCs w:val="28"/>
          <w:rtl/>
          <w:lang w:bidi="ar-EG"/>
        </w:rPr>
        <w:t>ة</w:t>
      </w:r>
      <w:r w:rsidRPr="007C544A">
        <w:rPr>
          <w:rFonts w:ascii="Traditional Arabic" w:hAnsi="Traditional Arabic" w:cs="Traditional Arabic"/>
          <w:sz w:val="28"/>
          <w:szCs w:val="28"/>
          <w:rtl/>
          <w:lang w:bidi="ar-EG"/>
        </w:rPr>
        <w:t xml:space="preserve"> الأستاذ </w:t>
      </w:r>
      <w:r w:rsidRPr="007C544A">
        <w:rPr>
          <w:rFonts w:ascii="Traditional Arabic" w:hAnsi="Traditional Arabic" w:cs="Traditional Arabic" w:hint="cs"/>
          <w:sz w:val="28"/>
          <w:szCs w:val="28"/>
          <w:rtl/>
          <w:lang w:bidi="ar-EG"/>
        </w:rPr>
        <w:t>المساعد</w:t>
      </w:r>
      <w:r w:rsidRPr="007C544A">
        <w:rPr>
          <w:rFonts w:ascii="Traditional Arabic" w:hAnsi="Traditional Arabic" w:cs="Traditional Arabic"/>
          <w:sz w:val="28"/>
          <w:szCs w:val="28"/>
          <w:rtl/>
          <w:lang w:bidi="ar-EG"/>
        </w:rPr>
        <w:t>/ هبة كمال القصبي، مشرف هذه الدراسة، لما قدمه لي من توجيه علمي رصين، ومتابعة مستمرة، وما بذل</w:t>
      </w:r>
      <w:r w:rsidRPr="007C544A">
        <w:rPr>
          <w:rFonts w:ascii="Traditional Arabic" w:hAnsi="Traditional Arabic" w:cs="Traditional Arabic" w:hint="cs"/>
          <w:sz w:val="28"/>
          <w:szCs w:val="28"/>
          <w:rtl/>
          <w:lang w:bidi="ar-EG"/>
        </w:rPr>
        <w:t>ت</w:t>
      </w:r>
      <w:r w:rsidRPr="007C544A">
        <w:rPr>
          <w:rFonts w:ascii="Traditional Arabic" w:hAnsi="Traditional Arabic" w:cs="Traditional Arabic"/>
          <w:sz w:val="28"/>
          <w:szCs w:val="28"/>
          <w:rtl/>
          <w:lang w:bidi="ar-EG"/>
        </w:rPr>
        <w:t>ه من وقت وجهد، وما أحاط</w:t>
      </w:r>
      <w:r w:rsidRPr="007C544A">
        <w:rPr>
          <w:rFonts w:ascii="Traditional Arabic" w:hAnsi="Traditional Arabic" w:cs="Traditional Arabic" w:hint="cs"/>
          <w:sz w:val="28"/>
          <w:szCs w:val="28"/>
          <w:rtl/>
          <w:lang w:bidi="ar-EG"/>
        </w:rPr>
        <w:t>تن</w:t>
      </w:r>
      <w:r w:rsidRPr="007C544A">
        <w:rPr>
          <w:rFonts w:ascii="Traditional Arabic" w:hAnsi="Traditional Arabic" w:cs="Traditional Arabic"/>
          <w:sz w:val="28"/>
          <w:szCs w:val="28"/>
          <w:rtl/>
          <w:lang w:bidi="ar-EG"/>
        </w:rPr>
        <w:t>ي به من نصح وإرشاد، كان له بالغ الأثر في إنجاز هذه الدراسة وإخراجها بالصورة التي وصلت إليها. فقد كان لتوجيهاته السديدة وملاحظاته العلمية البنّاءة أثرٌ كبير في إثراء هذه الدراسة والارتقاء بمستواها العلمي، فله مني خالص الشكر والتقدير، وجزاه الله عني خير الجزاء، وبارك له في علمه وعمله</w:t>
      </w:r>
      <w:r w:rsidRPr="007C544A">
        <w:rPr>
          <w:rFonts w:ascii="Traditional Arabic" w:hAnsi="Traditional Arabic" w:cs="Traditional Arabic"/>
          <w:sz w:val="28"/>
          <w:szCs w:val="28"/>
          <w:lang w:bidi="ar-EG"/>
        </w:rPr>
        <w:t>.</w:t>
      </w:r>
    </w:p>
    <w:p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 xml:space="preserve">كما أتقدم بجزيل الشكر والتقدير إلى </w:t>
      </w:r>
      <w:r w:rsidRPr="007C544A">
        <w:rPr>
          <w:rFonts w:ascii="Traditional Arabic" w:eastAsiaTheme="minorHAnsi" w:hAnsi="Traditional Arabic" w:cs="Traditional Arabic"/>
          <w:b/>
          <w:bCs/>
          <w:sz w:val="28"/>
          <w:szCs w:val="28"/>
          <w:rtl/>
          <w:lang w:bidi="ar-EG"/>
        </w:rPr>
        <w:t>السادة أعضاء لجنة المناقشة والتحكيم</w:t>
      </w:r>
      <w:r w:rsidRPr="007C544A">
        <w:rPr>
          <w:rFonts w:ascii="Traditional Arabic" w:eastAsiaTheme="minorHAnsi" w:hAnsi="Traditional Arabic" w:cs="Traditional Arabic"/>
          <w:sz w:val="28"/>
          <w:szCs w:val="28"/>
          <w:rtl/>
          <w:lang w:bidi="ar-EG"/>
        </w:rPr>
        <w:t>، لتفضلهم بقراءة هذه الدراسة ومناقشتها، ولما يقدمونه من ملاحظات علمية قيمة تسهم في إثراء الدراسة وتصويب مسارها، وأقدر لهم ما بذلوه من وقت وجهد في سبيل الارتقاء بهذا العمل العلمي</w:t>
      </w:r>
      <w:r w:rsidRPr="007C544A">
        <w:rPr>
          <w:rFonts w:ascii="Traditional Arabic" w:eastAsiaTheme="minorHAnsi" w:hAnsi="Traditional Arabic" w:cs="Traditional Arabic"/>
          <w:sz w:val="28"/>
          <w:szCs w:val="28"/>
          <w:lang w:bidi="ar-EG"/>
        </w:rPr>
        <w:t>.</w:t>
      </w:r>
    </w:p>
    <w:p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 xml:space="preserve">وأتقدم بخالص التقدير إلى جميع </w:t>
      </w:r>
      <w:r w:rsidRPr="007C544A">
        <w:rPr>
          <w:rFonts w:ascii="Traditional Arabic" w:eastAsiaTheme="minorHAnsi" w:hAnsi="Traditional Arabic" w:cs="Traditional Arabic"/>
          <w:b/>
          <w:bCs/>
          <w:sz w:val="28"/>
          <w:szCs w:val="28"/>
          <w:rtl/>
          <w:lang w:bidi="ar-EG"/>
        </w:rPr>
        <w:t>الأساتذة والعلماء والباحثين</w:t>
      </w:r>
      <w:r w:rsidRPr="007C544A">
        <w:rPr>
          <w:rFonts w:ascii="Traditional Arabic" w:eastAsiaTheme="minorHAnsi" w:hAnsi="Traditional Arabic" w:cs="Traditional Arabic"/>
          <w:sz w:val="28"/>
          <w:szCs w:val="28"/>
          <w:rtl/>
          <w:lang w:bidi="ar-EG"/>
        </w:rPr>
        <w:t xml:space="preserve"> الذين أسهمت مؤلفاتهم ودراساتهم في بناء الإطار العلمي لهذه الدراسة، وكان لجهودهم العلمية أثر مهم في إثراء موضوع البحث</w:t>
      </w:r>
      <w:r w:rsidRPr="007C544A">
        <w:rPr>
          <w:rFonts w:ascii="Traditional Arabic" w:eastAsiaTheme="minorHAnsi" w:hAnsi="Traditional Arabic" w:cs="Traditional Arabic"/>
          <w:sz w:val="28"/>
          <w:szCs w:val="28"/>
          <w:lang w:bidi="ar-EG"/>
        </w:rPr>
        <w:t>.</w:t>
      </w:r>
    </w:p>
    <w:p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 xml:space="preserve">كما أتوجه بالشكر والتقدير إلى </w:t>
      </w:r>
      <w:r w:rsidRPr="007C544A">
        <w:rPr>
          <w:rFonts w:ascii="Traditional Arabic" w:eastAsiaTheme="minorHAnsi" w:hAnsi="Traditional Arabic" w:cs="Traditional Arabic"/>
          <w:b/>
          <w:bCs/>
          <w:sz w:val="28"/>
          <w:szCs w:val="28"/>
          <w:rtl/>
          <w:lang w:bidi="ar-EG"/>
        </w:rPr>
        <w:t>المتخصصين والخبراء والممارسين</w:t>
      </w:r>
      <w:r w:rsidRPr="007C544A">
        <w:rPr>
          <w:rFonts w:ascii="Traditional Arabic" w:eastAsiaTheme="minorHAnsi" w:hAnsi="Traditional Arabic" w:cs="Traditional Arabic"/>
          <w:sz w:val="28"/>
          <w:szCs w:val="28"/>
          <w:rtl/>
          <w:lang w:bidi="ar-EG"/>
        </w:rPr>
        <w:t xml:space="preserve"> الذين شاركوا في المقابلات المتعمقة، وإلى جميع أفراد عينة الدراسة الذين أسهموا في توفير البيانات والمعلومات اللازمة لإتمام الجانب الميداني، وأقدر لهم تعاونهم ووقتَهم وحرصهم على إنجاح هذه الدراسة</w:t>
      </w:r>
      <w:r w:rsidRPr="007C544A">
        <w:rPr>
          <w:rFonts w:ascii="Traditional Arabic" w:eastAsiaTheme="minorHAnsi" w:hAnsi="Traditional Arabic" w:cs="Traditional Arabic"/>
          <w:sz w:val="28"/>
          <w:szCs w:val="28"/>
          <w:lang w:bidi="ar-EG"/>
        </w:rPr>
        <w:t>.</w:t>
      </w:r>
    </w:p>
    <w:p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ولا يفوتني أن أتقدم بخالص الشكر لكل من قدم لي يد العون والمساندة، بصورة مباشرة أو غير مباشرة، خلال مراحل إعداد هذه الدراسة، ولكل من كان لكلماته الطيبة وتشجيعه الصادق أثر في استكمال هذه المسيرة</w:t>
      </w:r>
      <w:r w:rsidRPr="007C544A">
        <w:rPr>
          <w:rFonts w:ascii="Traditional Arabic" w:eastAsiaTheme="minorHAnsi" w:hAnsi="Traditional Arabic" w:cs="Traditional Arabic"/>
          <w:sz w:val="28"/>
          <w:szCs w:val="28"/>
          <w:lang w:bidi="ar-EG"/>
        </w:rPr>
        <w:t>.</w:t>
      </w:r>
    </w:p>
    <w:p w:rsidR="007C5457" w:rsidRPr="007C544A" w:rsidRDefault="007C5457" w:rsidP="007C5457">
      <w:pPr>
        <w:pStyle w:val="NormalWeb"/>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وفي الختام، أسأل الله أن يجعل هذا العمل خالصًا لوجهه الكريم، وأن ينفع به، وأن يكون إضافة متواضعة إلى مجال البحث العلمي</w:t>
      </w:r>
      <w:r w:rsidRPr="007C544A">
        <w:rPr>
          <w:rFonts w:ascii="Traditional Arabic" w:eastAsiaTheme="minorHAnsi" w:hAnsi="Traditional Arabic" w:cs="Traditional Arabic"/>
          <w:sz w:val="28"/>
          <w:szCs w:val="28"/>
          <w:lang w:bidi="ar-EG"/>
        </w:rPr>
        <w:t>.</w:t>
      </w:r>
    </w:p>
    <w:p w:rsidR="007C5457" w:rsidRPr="007C544A" w:rsidRDefault="007C5457" w:rsidP="007C5457">
      <w:pPr>
        <w:pStyle w:val="NormalWeb"/>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b/>
          <w:bCs/>
          <w:sz w:val="28"/>
          <w:szCs w:val="28"/>
          <w:rtl/>
          <w:lang w:bidi="ar-EG"/>
        </w:rPr>
        <w:t>والله ولي التوفيق</w:t>
      </w:r>
      <w:r w:rsidRPr="007C544A">
        <w:rPr>
          <w:rFonts w:ascii="Traditional Arabic" w:eastAsiaTheme="minorHAnsi" w:hAnsi="Traditional Arabic" w:cs="Traditional Arabic"/>
          <w:b/>
          <w:bCs/>
          <w:sz w:val="28"/>
          <w:szCs w:val="28"/>
          <w:lang w:bidi="ar-EG"/>
        </w:rPr>
        <w:t>.</w:t>
      </w:r>
    </w:p>
    <w:p w:rsidR="007C5457" w:rsidRPr="007C544A" w:rsidRDefault="007C5457" w:rsidP="003577FC">
      <w:pPr>
        <w:shd w:val="clear" w:color="auto" w:fill="FFFFFF" w:themeFill="background1"/>
        <w:bidi/>
        <w:spacing w:before="120" w:after="120" w:line="360" w:lineRule="auto"/>
        <w:jc w:val="center"/>
        <w:rPr>
          <w:rFonts w:ascii="Traditional Arabic" w:hAnsi="Traditional Arabic" w:cs="Traditional Arabic"/>
          <w:b/>
          <w:bCs/>
          <w:sz w:val="34"/>
          <w:szCs w:val="34"/>
          <w:rtl/>
          <w:lang w:bidi="ar-EG"/>
        </w:rPr>
      </w:pPr>
    </w:p>
    <w:p w:rsidR="007C5457" w:rsidRPr="007C544A" w:rsidRDefault="007C5457" w:rsidP="005A3647">
      <w:pPr>
        <w:pStyle w:val="a"/>
        <w:shd w:val="clear" w:color="auto" w:fill="FFFFFF" w:themeFill="background1"/>
        <w:spacing w:line="360" w:lineRule="auto"/>
        <w:jc w:val="both"/>
        <w:rPr>
          <w:rFonts w:ascii="Traditional Arabic" w:hAnsi="Traditional Arabic" w:cs="Traditional Arabic"/>
          <w:b/>
          <w:bCs/>
          <w:sz w:val="24"/>
          <w:szCs w:val="24"/>
          <w:lang w:bidi="ar-SA"/>
        </w:rPr>
      </w:pPr>
      <w:r w:rsidRPr="007C544A">
        <w:rPr>
          <w:rFonts w:ascii="Traditional Arabic" w:hAnsi="Traditional Arabic" w:cs="Traditional Arabic" w:hint="cs"/>
          <w:b/>
          <w:bCs/>
          <w:sz w:val="24"/>
          <w:szCs w:val="24"/>
          <w:rtl/>
          <w:lang w:bidi="ar-SA"/>
        </w:rPr>
        <w:lastRenderedPageBreak/>
        <w:t>المستخلص العربي</w:t>
      </w:r>
      <w:r w:rsidR="005A3647" w:rsidRPr="007C544A">
        <w:rPr>
          <w:rFonts w:ascii="Traditional Arabic" w:hAnsi="Traditional Arabic" w:cs="Traditional Arabic" w:hint="cs"/>
          <w:b/>
          <w:bCs/>
          <w:sz w:val="24"/>
          <w:szCs w:val="24"/>
          <w:rtl/>
          <w:lang w:bidi="ar-SA"/>
        </w:rPr>
        <w:t>:</w:t>
      </w:r>
    </w:p>
    <w:p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هدفت هذه الدراسة إلى التعرف على أثر استراتيجية دمج الشركات في دخول سوق النمو (السوق الموازية) لدى الشركات العائلية السعودية، وذلك من خلال دراسة أثر استراتيجية الدمج على كل من الأداء المالي، ومتطلبات الحوكمة، والقدرة التنافسية، وفرص الحصول على التمويل، بالإضافة إلى الكشف عن الفروق في تقييم هذا الأثر وفقًا لبعض المتغيرات الديموغرافية</w:t>
      </w:r>
      <w:r w:rsidRPr="007C544A">
        <w:rPr>
          <w:rFonts w:ascii="Traditional Arabic" w:hAnsi="Traditional Arabic" w:cs="Traditional Arabic"/>
          <w:sz w:val="24"/>
          <w:szCs w:val="24"/>
          <w:lang w:bidi="ar-EG"/>
        </w:rPr>
        <w:t>.</w:t>
      </w:r>
    </w:p>
    <w:p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واعتمدت الدراسة على المنهج الوصفي التحليلي لملاءمته لطبيعة الدراسة وأهدافها، وتم جمع البيانات من خلال استبانة أعدت لهذا الغرض. وتكونت عينة الدراسة من (285) مفردة من العاملين والقيادات الإدارية والمتخصصين في الشركات العائلية السعودية</w:t>
      </w:r>
      <w:r w:rsidRPr="007C544A">
        <w:rPr>
          <w:rFonts w:ascii="Traditional Arabic" w:hAnsi="Traditional Arabic" w:cs="Traditional Arabic"/>
          <w:sz w:val="24"/>
          <w:szCs w:val="24"/>
          <w:lang w:bidi="ar-EG"/>
        </w:rPr>
        <w:t>.</w:t>
      </w:r>
    </w:p>
    <w:p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واشتملت أداة الدراسة على مجموعة من العبارات لقياس استراتيجية دمج الشركات وأثرها في دخول سوق النمو (السوق الموازية)، من خلال أبعاد الأداء المالي، ومتطلبات الحوكمة، والقدرة التنافسية، وفرص الحصول على التمويل. وتم تحليل البيانات باستخدام البرنامج الإحصائي</w:t>
      </w:r>
      <w:r w:rsidRPr="007C544A">
        <w:rPr>
          <w:rFonts w:ascii="Traditional Arabic" w:hAnsi="Traditional Arabic" w:cs="Traditional Arabic"/>
          <w:sz w:val="24"/>
          <w:szCs w:val="24"/>
          <w:lang w:bidi="ar-EG"/>
        </w:rPr>
        <w:t xml:space="preserve"> (SPSS)</w:t>
      </w:r>
      <w:r w:rsidRPr="007C544A">
        <w:rPr>
          <w:rFonts w:ascii="Traditional Arabic" w:hAnsi="Traditional Arabic" w:cs="Traditional Arabic"/>
          <w:sz w:val="24"/>
          <w:szCs w:val="24"/>
          <w:rtl/>
          <w:lang w:bidi="ar-EG"/>
        </w:rPr>
        <w:t>، من خلال المتوسطات الحسابية والانحرافات المعيارية، وتحليل الانحدار البسيط، واختبار تحليل التباين الأحادي</w:t>
      </w:r>
      <w:r w:rsidRPr="007C544A">
        <w:rPr>
          <w:rFonts w:ascii="Traditional Arabic" w:hAnsi="Traditional Arabic" w:cs="Traditional Arabic"/>
          <w:sz w:val="24"/>
          <w:szCs w:val="24"/>
          <w:lang w:bidi="ar-EG"/>
        </w:rPr>
        <w:t xml:space="preserve"> (ANOVA).</w:t>
      </w:r>
    </w:p>
    <w:p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وأظهرت نتائج الدراسة وجود أثر إيجابي ذي دلالة إحصائية لاستراتيجية دمج الشركات في دخول سوق النمو (السوق الموازية)، حيث تبين أن استراتيجية الدمج تؤثر بصورة معنوية في تحسين الأداء المالي، وتعزيز التوافق مع متطلبات الحوكمة، ورفع القدرة التنافسية، وزيادة فرص الحصول على التمويل. كما أوضحت النتائج أن استراتيجية الدمج تفسر نسبة كبيرة من التباين في دخول سوق النمو</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كذلك أظهرت النتائج عدم وجود فروق ذات دلالة إحصائية في تقييم أثر استراتيجية الدمج تعزى إلى متغيرات العمر أو المؤهل العلمي أو المسمى الوظيفي أو سنوات الخبرة</w:t>
      </w:r>
      <w:r w:rsidRPr="007C544A">
        <w:rPr>
          <w:rFonts w:ascii="Traditional Arabic" w:hAnsi="Traditional Arabic" w:cs="Traditional Arabic"/>
          <w:sz w:val="24"/>
          <w:szCs w:val="24"/>
          <w:lang w:bidi="ar-EG"/>
        </w:rPr>
        <w:t>.</w:t>
      </w:r>
    </w:p>
    <w:p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واعتمدت الدراسة كذلك على المقابلات المتعمقة مع عدد من الخبراء والممارسين ذوي الصلة بعمليات دمج الشركات والإدراج في سوق النمو، بهدف دعم النتائج الكمية وتوفير فهم أكثر عمقًا لأبعاد الدراسة وتفسير النتائج من منظور عملي وتطبيقي</w:t>
      </w:r>
      <w:r w:rsidRPr="007C544A">
        <w:rPr>
          <w:rFonts w:ascii="Traditional Arabic" w:hAnsi="Traditional Arabic" w:cs="Traditional Arabic"/>
          <w:sz w:val="24"/>
          <w:szCs w:val="24"/>
          <w:lang w:bidi="ar-EG"/>
        </w:rPr>
        <w:t>.</w:t>
      </w:r>
    </w:p>
    <w:p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دعمت نتائج المقابلات المتعمقة النتائج الكمية، حيث أكد المشاركون أن عمليات دمج الشركات تسهم في تعزيز الأداء المالي وتحسين ممارسات الحوكمة وزيادة القدرة التنافسية ورفع فرص الحصول على التمويل، بما يدعم قدرة الشركات العائلية على دخول سوق النمو، وهو ما يعكس توافقًا بين النتائج الإحصائية والخبرات العملية للمشاركين</w:t>
      </w:r>
      <w:r w:rsidRPr="007C544A">
        <w:rPr>
          <w:rFonts w:ascii="Traditional Arabic" w:hAnsi="Traditional Arabic" w:cs="Traditional Arabic"/>
          <w:sz w:val="24"/>
          <w:szCs w:val="24"/>
          <w:lang w:bidi="ar-EG"/>
        </w:rPr>
        <w:t>.</w:t>
      </w:r>
    </w:p>
    <w:p w:rsidR="007C5457" w:rsidRPr="007C544A" w:rsidRDefault="007C5457" w:rsidP="007C5457">
      <w:pPr>
        <w:bidi/>
        <w:spacing w:before="100" w:beforeAutospacing="1" w:after="100" w:afterAutospacing="1" w:line="240" w:lineRule="auto"/>
        <w:jc w:val="both"/>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الكلمات المفتاحية</w:t>
      </w:r>
      <w:r w:rsidRPr="007C544A">
        <w:rPr>
          <w:rFonts w:ascii="Traditional Arabic" w:hAnsi="Traditional Arabic" w:cs="Traditional Arabic"/>
          <w:b/>
          <w:bCs/>
          <w:sz w:val="24"/>
          <w:szCs w:val="24"/>
          <w:lang w:bidi="ar-EG"/>
        </w:rPr>
        <w:t>:</w:t>
      </w:r>
    </w:p>
    <w:p w:rsidR="007C5457" w:rsidRPr="007C544A" w:rsidRDefault="007C5457" w:rsidP="007C5457">
      <w:pPr>
        <w:bidi/>
        <w:spacing w:before="100" w:beforeAutospacing="1" w:after="100" w:afterAutospacing="1" w:line="240" w:lineRule="auto"/>
        <w:jc w:val="both"/>
        <w:rPr>
          <w:rFonts w:ascii="Traditional Arabic" w:hAnsi="Traditional Arabic" w:cs="Traditional Arabic"/>
          <w:b/>
          <w:bCs/>
          <w:sz w:val="24"/>
          <w:szCs w:val="24"/>
          <w:lang w:bidi="ar-EG"/>
        </w:rPr>
      </w:pPr>
      <w:r w:rsidRPr="007C544A">
        <w:rPr>
          <w:rFonts w:ascii="Traditional Arabic" w:hAnsi="Traditional Arabic" w:cs="Traditional Arabic"/>
          <w:b/>
          <w:bCs/>
          <w:sz w:val="24"/>
          <w:szCs w:val="24"/>
          <w:rtl/>
          <w:lang w:bidi="ar-EG"/>
        </w:rPr>
        <w:t>استراتيجية دمج الشركات، دخول سوق النمو، سوق النمو، السوق الموازية، الشركات العائلية السعودية، الحوكمة، الأداء المالي</w:t>
      </w:r>
      <w:r w:rsidRPr="007C544A">
        <w:rPr>
          <w:rFonts w:ascii="Traditional Arabic" w:hAnsi="Traditional Arabic" w:cs="Traditional Arabic"/>
          <w:b/>
          <w:bCs/>
          <w:sz w:val="24"/>
          <w:szCs w:val="24"/>
          <w:lang w:bidi="ar-EG"/>
        </w:rPr>
        <w:t>.</w:t>
      </w:r>
    </w:p>
    <w:p w:rsidR="005A3647" w:rsidRPr="007C544A" w:rsidRDefault="005A3647">
      <w:pPr>
        <w:rPr>
          <w:rFonts w:ascii="Traditional Arabic" w:hAnsi="Traditional Arabic" w:cs="Traditional Arabic"/>
          <w:sz w:val="24"/>
          <w:szCs w:val="24"/>
        </w:rPr>
      </w:pPr>
      <w:r w:rsidRPr="007C544A">
        <w:rPr>
          <w:rFonts w:ascii="Traditional Arabic" w:hAnsi="Traditional Arabic" w:cs="Traditional Arabic"/>
        </w:rPr>
        <w:br w:type="page"/>
      </w:r>
    </w:p>
    <w:p w:rsidR="007C5457" w:rsidRPr="007C544A" w:rsidRDefault="007C5457" w:rsidP="005A3647">
      <w:pPr>
        <w:pStyle w:val="Heading3"/>
        <w:spacing w:before="0" w:line="360" w:lineRule="auto"/>
        <w:rPr>
          <w:rFonts w:ascii="Traditional Arabic" w:eastAsiaTheme="minorHAnsi" w:hAnsi="Traditional Arabic" w:cs="Traditional Arabic"/>
          <w:color w:val="auto"/>
          <w:lang w:bidi="ar-SA"/>
        </w:rPr>
      </w:pPr>
      <w:r w:rsidRPr="007C544A">
        <w:rPr>
          <w:rFonts w:ascii="Traditional Arabic" w:eastAsiaTheme="minorHAnsi" w:hAnsi="Traditional Arabic" w:cs="Traditional Arabic"/>
          <w:color w:val="auto"/>
          <w:lang w:bidi="ar-SA"/>
        </w:rPr>
        <w:lastRenderedPageBreak/>
        <w:t>ABSTRACT</w:t>
      </w:r>
    </w:p>
    <w:p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This study aimed to identify the impact of corporate merger strategy on entering the Growth Market (Nomu – the Parallel Market) among Saudi family-owned companies. It examined the impact of the merger strategy on financial performance, corporate governance requirements, competitiveness, and opportunities for obtaining financing, in addition to identifying differences in the assessment of this impact according to selected demographic variables.</w:t>
      </w:r>
    </w:p>
    <w:p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The study adopted the descriptive-analytical approach due to its suitability to the nature and objectives of the study. Data were collected through a questionnaire developed for this purpose. The study sample consisted of 285 participants comprising employees, administrative leaders, and specialists in Saudi family-owned companies.</w:t>
      </w:r>
    </w:p>
    <w:p w:rsidR="007C5457" w:rsidRPr="007C544A" w:rsidRDefault="007C5457" w:rsidP="007C5457">
      <w:pPr>
        <w:spacing w:after="0" w:line="360" w:lineRule="auto"/>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The study instrument included a set of statements designed to measure corporate merger strategy and its impact on entering the Growth Market (the Parallel Market) through the dimensions of financial performance, corporate governance requirements, competitiveness, and opportunities for obtaining financing. The data were analyzed using the Statistical Package for the Social Sciences (SPSS), employing arithmetic means and standard deviations, simple regression analysis, and one-way analysis of variance (ANOVA).</w:t>
      </w:r>
    </w:p>
    <w:p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The study results revealed a positive and statistically significant impact of corporate merger strategy on entering the Growth Market (the Parallel Market). The findings indicated that the merger strategy significantly contributes to improving financial performance, enhancing compliance with corporate governance requirements, increasing competitiveness, and expanding opportunities for obtaining financing. The results also showed that the merger strategy explains a substantial proportion of the variance in entering the Growth Market. Furthermore, the findings indicated that there were no statistically significant differences in the assessment of the impact of the merger strategy attributable to age, educational qualification, job title, or years of experience.</w:t>
      </w:r>
    </w:p>
    <w:p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The study also employed in-depth interviews with a number of experts and practitioners involved in corporate mergers and listing on the Growth Market, with the aim of supporting the quantitative findings and providing a deeper understanding of the study dimensions and interpreting the results from a practical and applied perspective.</w:t>
      </w:r>
    </w:p>
    <w:p w:rsidR="007C5457" w:rsidRPr="007C544A" w:rsidRDefault="007C5457" w:rsidP="007C5457">
      <w:pPr>
        <w:spacing w:after="0" w:line="360" w:lineRule="auto"/>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lastRenderedPageBreak/>
        <w:t>The findings of the in-depth interviews further supported the quantitative results. The participants confirmed that corporate mergers contribute to enhancing financial performance, improving corporate governance practices, increasing competitiveness, and expanding opportunities for obtaining financing, thereby supporting the ability of family-owned companies to enter the Growth Market. This reflects consistency between the statistical findings and the practical experiences of the participants.</w:t>
      </w:r>
    </w:p>
    <w:p w:rsidR="007C5457" w:rsidRPr="007C544A" w:rsidRDefault="007C5457" w:rsidP="007C5457">
      <w:pPr>
        <w:spacing w:after="0" w:line="360" w:lineRule="auto"/>
        <w:jc w:val="both"/>
        <w:rPr>
          <w:rFonts w:ascii="Times New Roman" w:eastAsia="Times New Roman" w:hAnsi="Times New Roman" w:cs="Times New Roman"/>
          <w:sz w:val="24"/>
          <w:szCs w:val="24"/>
        </w:rPr>
      </w:pPr>
      <w:r w:rsidRPr="007C544A">
        <w:rPr>
          <w:rFonts w:ascii="Times New Roman" w:eastAsia="Times New Roman" w:hAnsi="Times New Roman" w:cs="Times New Roman"/>
          <w:b/>
          <w:bCs/>
          <w:sz w:val="24"/>
          <w:szCs w:val="24"/>
        </w:rPr>
        <w:t>Keywords:</w:t>
      </w:r>
      <w:r w:rsidRPr="007C544A">
        <w:rPr>
          <w:rFonts w:ascii="Times New Roman" w:eastAsia="Times New Roman" w:hAnsi="Times New Roman" w:cs="Times New Roman"/>
          <w:b/>
          <w:bCs/>
          <w:sz w:val="24"/>
          <w:szCs w:val="24"/>
        </w:rPr>
        <w:br/>
      </w:r>
      <w:r w:rsidRPr="007C544A">
        <w:rPr>
          <w:rFonts w:ascii="Times New Roman" w:eastAsia="Times New Roman" w:hAnsi="Times New Roman" w:cs="Times New Roman"/>
          <w:sz w:val="24"/>
          <w:szCs w:val="24"/>
        </w:rPr>
        <w:t>Corporate Merger Strategy, Entering the Growth Market, Growth Market, Parallel Market, Saudi Family-Owned Companies, Corporate Governance, Financial Performance.</w:t>
      </w:r>
    </w:p>
    <w:p w:rsidR="007C5457" w:rsidRPr="007C544A" w:rsidRDefault="007C5457" w:rsidP="007C5457">
      <w:pPr>
        <w:pStyle w:val="NormalWeb"/>
        <w:spacing w:before="0" w:beforeAutospacing="0" w:after="0" w:afterAutospacing="0" w:line="360" w:lineRule="auto"/>
        <w:ind w:firstLine="720"/>
        <w:jc w:val="both"/>
        <w:rPr>
          <w:rFonts w:cs="Simplified Arabic"/>
          <w:rtl/>
        </w:rPr>
      </w:pPr>
    </w:p>
    <w:p w:rsidR="007C5457" w:rsidRPr="007C544A" w:rsidRDefault="007C5457">
      <w:pPr>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br w:type="page"/>
      </w:r>
    </w:p>
    <w:p w:rsidR="0082250B" w:rsidRPr="007C544A" w:rsidRDefault="009074CE" w:rsidP="007C5457">
      <w:pPr>
        <w:shd w:val="clear" w:color="auto" w:fill="FFFFFF" w:themeFill="background1"/>
        <w:bidi/>
        <w:spacing w:before="120" w:after="120"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lastRenderedPageBreak/>
        <w:t>قائ</w:t>
      </w:r>
      <w:r w:rsidR="0082250B" w:rsidRPr="007C544A">
        <w:rPr>
          <w:rFonts w:ascii="Traditional Arabic" w:hAnsi="Traditional Arabic" w:cs="Traditional Arabic"/>
          <w:b/>
          <w:bCs/>
          <w:sz w:val="34"/>
          <w:szCs w:val="34"/>
          <w:rtl/>
          <w:lang w:bidi="ar-EG"/>
        </w:rPr>
        <w:t xml:space="preserve">مة المحتويات </w:t>
      </w:r>
    </w:p>
    <w:tbl>
      <w:tblPr>
        <w:tblStyle w:val="TableGrid"/>
        <w:bidiVisual/>
        <w:tblW w:w="8417" w:type="dxa"/>
        <w:tblInd w:w="53" w:type="dxa"/>
        <w:tblBorders>
          <w:top w:val="threeDEngrave" w:sz="24" w:space="0" w:color="auto"/>
          <w:bottom w:val="threeDEmboss" w:sz="24" w:space="0" w:color="auto"/>
        </w:tblBorders>
        <w:tblLook w:val="01E0" w:firstRow="1" w:lastRow="1" w:firstColumn="1" w:lastColumn="1" w:noHBand="0" w:noVBand="0"/>
      </w:tblPr>
      <w:tblGrid>
        <w:gridCol w:w="7197"/>
        <w:gridCol w:w="23"/>
        <w:gridCol w:w="1197"/>
      </w:tblGrid>
      <w:tr w:rsidR="007C544A" w:rsidRPr="007C544A" w:rsidTr="007C544A">
        <w:trPr>
          <w:tblHeader/>
        </w:trPr>
        <w:tc>
          <w:tcPr>
            <w:tcW w:w="7220" w:type="dxa"/>
            <w:gridSpan w:val="2"/>
            <w:tcBorders>
              <w:top w:val="threeDEngrave" w:sz="24" w:space="0" w:color="auto"/>
              <w:bottom w:val="threeDEmboss" w:sz="24" w:space="0" w:color="auto"/>
            </w:tcBorders>
            <w:shd w:val="clear" w:color="auto" w:fill="BDD6EE" w:themeFill="accent1" w:themeFillTint="66"/>
          </w:tcPr>
          <w:p w:rsidR="00965B86" w:rsidRPr="007C544A" w:rsidRDefault="00965B86"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المحتويات</w:t>
            </w:r>
            <w:r w:rsidR="001A5B2E" w:rsidRPr="007C544A">
              <w:rPr>
                <w:rFonts w:ascii="Traditional Arabic" w:hAnsi="Traditional Arabic" w:cs="Traditional Arabic"/>
                <w:b/>
                <w:bCs/>
                <w:sz w:val="24"/>
                <w:szCs w:val="24"/>
                <w:rtl/>
                <w:lang w:bidi="ar-EG"/>
              </w:rPr>
              <w:t xml:space="preserve"> </w:t>
            </w:r>
          </w:p>
        </w:tc>
        <w:tc>
          <w:tcPr>
            <w:tcW w:w="1197" w:type="dxa"/>
            <w:tcBorders>
              <w:top w:val="threeDEngrave" w:sz="24" w:space="0" w:color="auto"/>
              <w:bottom w:val="threeDEmboss" w:sz="24" w:space="0" w:color="auto"/>
            </w:tcBorders>
            <w:shd w:val="clear" w:color="auto" w:fill="BDD6EE" w:themeFill="accent1" w:themeFillTint="66"/>
            <w:vAlign w:val="bottom"/>
          </w:tcPr>
          <w:p w:rsidR="00965B86" w:rsidRPr="007C544A" w:rsidRDefault="00965B86"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الصفحة</w:t>
            </w:r>
          </w:p>
        </w:tc>
      </w:tr>
      <w:tr w:rsidR="007C544A" w:rsidRPr="007C544A" w:rsidTr="006E0C69">
        <w:tc>
          <w:tcPr>
            <w:tcW w:w="7220" w:type="dxa"/>
            <w:gridSpan w:val="2"/>
            <w:tcBorders>
              <w:top w:val="threeDEmboss" w:sz="24" w:space="0" w:color="auto"/>
            </w:tcBorders>
            <w:shd w:val="clear" w:color="auto" w:fill="auto"/>
          </w:tcPr>
          <w:p w:rsidR="00965B86" w:rsidRPr="007C544A" w:rsidRDefault="0036276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الآية</w:t>
            </w:r>
          </w:p>
        </w:tc>
        <w:tc>
          <w:tcPr>
            <w:tcW w:w="1197" w:type="dxa"/>
            <w:tcBorders>
              <w:top w:val="threeDEmboss" w:sz="24" w:space="0" w:color="auto"/>
            </w:tcBorders>
            <w:shd w:val="clear" w:color="auto" w:fill="auto"/>
            <w:vAlign w:val="bottom"/>
          </w:tcPr>
          <w:p w:rsidR="00965B86"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ب</w:t>
            </w:r>
          </w:p>
        </w:tc>
      </w:tr>
      <w:tr w:rsidR="007C544A" w:rsidRPr="007C544A" w:rsidTr="006E0C69">
        <w:tc>
          <w:tcPr>
            <w:tcW w:w="7220" w:type="dxa"/>
            <w:gridSpan w:val="2"/>
          </w:tcPr>
          <w:p w:rsidR="00965B86" w:rsidRPr="007C544A" w:rsidRDefault="00BD5AD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الأهداء </w:t>
            </w:r>
          </w:p>
        </w:tc>
        <w:tc>
          <w:tcPr>
            <w:tcW w:w="1197" w:type="dxa"/>
            <w:vAlign w:val="bottom"/>
          </w:tcPr>
          <w:p w:rsidR="00965B86"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ج</w:t>
            </w:r>
          </w:p>
        </w:tc>
      </w:tr>
      <w:tr w:rsidR="007C544A" w:rsidRPr="007C544A" w:rsidTr="006E0C69">
        <w:tc>
          <w:tcPr>
            <w:tcW w:w="7220" w:type="dxa"/>
            <w:gridSpan w:val="2"/>
          </w:tcPr>
          <w:p w:rsidR="00D9328F" w:rsidRPr="007C544A" w:rsidRDefault="00BD5AD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شكر وتقدير </w:t>
            </w:r>
          </w:p>
        </w:tc>
        <w:tc>
          <w:tcPr>
            <w:tcW w:w="1197" w:type="dxa"/>
            <w:vAlign w:val="bottom"/>
          </w:tcPr>
          <w:p w:rsidR="00D9328F"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د</w:t>
            </w:r>
          </w:p>
        </w:tc>
      </w:tr>
      <w:tr w:rsidR="007C544A" w:rsidRPr="007C544A" w:rsidTr="006E0C69">
        <w:tc>
          <w:tcPr>
            <w:tcW w:w="7220" w:type="dxa"/>
            <w:gridSpan w:val="2"/>
          </w:tcPr>
          <w:p w:rsidR="00965B86" w:rsidRPr="007C544A" w:rsidRDefault="00BD5AD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المستخلص العربي</w:t>
            </w:r>
          </w:p>
        </w:tc>
        <w:tc>
          <w:tcPr>
            <w:tcW w:w="1197" w:type="dxa"/>
            <w:vAlign w:val="bottom"/>
          </w:tcPr>
          <w:p w:rsidR="00965B86"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ه</w:t>
            </w:r>
          </w:p>
        </w:tc>
      </w:tr>
      <w:tr w:rsidR="007C544A" w:rsidRPr="007C544A" w:rsidTr="006E0C69">
        <w:tc>
          <w:tcPr>
            <w:tcW w:w="7220" w:type="dxa"/>
            <w:gridSpan w:val="2"/>
          </w:tcPr>
          <w:p w:rsidR="00864C0C" w:rsidRPr="007C544A" w:rsidRDefault="00864C0C"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المستلخص الانجليزي </w:t>
            </w:r>
            <w:r w:rsidRPr="007C544A">
              <w:rPr>
                <w:rFonts w:ascii="Traditional Arabic" w:hAnsi="Traditional Arabic" w:cs="Traditional Arabic"/>
              </w:rPr>
              <w:t>ABSTRACT</w:t>
            </w:r>
          </w:p>
        </w:tc>
        <w:tc>
          <w:tcPr>
            <w:tcW w:w="1197" w:type="dxa"/>
            <w:vAlign w:val="bottom"/>
          </w:tcPr>
          <w:p w:rsidR="00864C0C" w:rsidRPr="007C544A" w:rsidRDefault="00864C0C"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و</w:t>
            </w:r>
          </w:p>
        </w:tc>
      </w:tr>
      <w:tr w:rsidR="007C544A" w:rsidRPr="007C544A" w:rsidTr="006E0C69">
        <w:tc>
          <w:tcPr>
            <w:tcW w:w="7220" w:type="dxa"/>
            <w:gridSpan w:val="2"/>
          </w:tcPr>
          <w:p w:rsidR="00864C0C" w:rsidRPr="007C544A" w:rsidRDefault="00864C0C"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قائمة المحتويات </w:t>
            </w:r>
          </w:p>
        </w:tc>
        <w:tc>
          <w:tcPr>
            <w:tcW w:w="1197" w:type="dxa"/>
            <w:vAlign w:val="bottom"/>
          </w:tcPr>
          <w:p w:rsidR="00864C0C" w:rsidRPr="007C544A" w:rsidRDefault="00864C0C"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ج</w:t>
            </w:r>
          </w:p>
        </w:tc>
      </w:tr>
      <w:tr w:rsidR="007C544A" w:rsidRPr="007C544A" w:rsidTr="007C544A">
        <w:tc>
          <w:tcPr>
            <w:tcW w:w="7220" w:type="dxa"/>
            <w:gridSpan w:val="2"/>
            <w:shd w:val="clear" w:color="auto" w:fill="BDD6EE" w:themeFill="accent1" w:themeFillTint="66"/>
            <w:hideMark/>
          </w:tcPr>
          <w:p w:rsidR="00755B2C" w:rsidRPr="007C544A" w:rsidRDefault="0082250B" w:rsidP="007C544A">
            <w:pPr>
              <w:shd w:val="clear" w:color="auto" w:fill="BDD6EE" w:themeFill="accent1" w:themeFillTint="66"/>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الأول</w:t>
            </w:r>
          </w:p>
          <w:p w:rsidR="0082250B" w:rsidRPr="007C544A" w:rsidRDefault="007C544A" w:rsidP="007C544A">
            <w:pPr>
              <w:tabs>
                <w:tab w:val="center" w:pos="3502"/>
                <w:tab w:val="left" w:pos="5329"/>
              </w:tabs>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ab/>
            </w:r>
            <w:r w:rsidR="005A3647" w:rsidRPr="007C544A">
              <w:rPr>
                <w:rFonts w:ascii="Traditional Arabic" w:hAnsi="Traditional Arabic" w:cs="Traditional Arabic" w:hint="cs"/>
                <w:b/>
                <w:bCs/>
                <w:sz w:val="24"/>
                <w:szCs w:val="24"/>
                <w:rtl/>
                <w:lang w:bidi="ar-EG"/>
              </w:rPr>
              <w:t xml:space="preserve">الإطار المنهجي للدراسة </w:t>
            </w:r>
            <w:r w:rsidRPr="007C544A">
              <w:rPr>
                <w:rFonts w:ascii="Traditional Arabic" w:hAnsi="Traditional Arabic" w:cs="Traditional Arabic"/>
                <w:b/>
                <w:bCs/>
                <w:sz w:val="24"/>
                <w:szCs w:val="24"/>
                <w:rtl/>
                <w:lang w:bidi="ar-EG"/>
              </w:rPr>
              <w:tab/>
            </w:r>
          </w:p>
        </w:tc>
        <w:tc>
          <w:tcPr>
            <w:tcW w:w="1197" w:type="dxa"/>
            <w:shd w:val="clear" w:color="auto" w:fill="BDD6EE" w:themeFill="accent1" w:themeFillTint="66"/>
            <w:vAlign w:val="bottom"/>
          </w:tcPr>
          <w:p w:rsidR="0082250B" w:rsidRPr="007C544A" w:rsidRDefault="004956F0" w:rsidP="005171F1">
            <w:pPr>
              <w:tabs>
                <w:tab w:val="left" w:pos="219"/>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1-</w:t>
            </w:r>
            <w:r w:rsidR="00864C0C" w:rsidRPr="007C544A">
              <w:rPr>
                <w:rFonts w:ascii="Traditional Arabic" w:hAnsi="Traditional Arabic" w:cs="Traditional Arabic" w:hint="cs"/>
                <w:b/>
                <w:bCs/>
                <w:sz w:val="24"/>
                <w:szCs w:val="24"/>
                <w:rtl/>
                <w:lang w:bidi="ar-EG"/>
              </w:rPr>
              <w:t>18</w:t>
            </w:r>
          </w:p>
        </w:tc>
      </w:tr>
      <w:tr w:rsidR="007C544A" w:rsidRPr="007C544A" w:rsidTr="006E0C69">
        <w:tc>
          <w:tcPr>
            <w:tcW w:w="7220" w:type="dxa"/>
            <w:gridSpan w:val="2"/>
            <w:hideMark/>
          </w:tcPr>
          <w:p w:rsidR="0082250B" w:rsidRPr="007C544A" w:rsidRDefault="0082250B"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المقدمة</w:t>
            </w:r>
            <w:r w:rsidR="001A5B2E" w:rsidRPr="007C544A">
              <w:rPr>
                <w:rFonts w:ascii="Traditional Arabic" w:hAnsi="Traditional Arabic" w:cs="Traditional Arabic"/>
                <w:b/>
                <w:bCs/>
                <w:sz w:val="24"/>
                <w:szCs w:val="24"/>
                <w:rtl/>
                <w:lang w:bidi="ar-EG"/>
              </w:rPr>
              <w:t xml:space="preserve"> </w:t>
            </w:r>
          </w:p>
        </w:tc>
        <w:tc>
          <w:tcPr>
            <w:tcW w:w="1197" w:type="dxa"/>
            <w:vAlign w:val="bottom"/>
          </w:tcPr>
          <w:p w:rsidR="0082250B" w:rsidRPr="007C544A" w:rsidRDefault="004956F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2</w:t>
            </w:r>
          </w:p>
        </w:tc>
      </w:tr>
      <w:tr w:rsidR="007C544A" w:rsidRPr="007C544A" w:rsidTr="006E0C69">
        <w:tc>
          <w:tcPr>
            <w:tcW w:w="7220" w:type="dxa"/>
            <w:gridSpan w:val="2"/>
            <w:hideMark/>
          </w:tcPr>
          <w:p w:rsidR="005E3224" w:rsidRPr="007C544A" w:rsidRDefault="00086CD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أولاً</w:t>
            </w:r>
            <w:r w:rsidR="00AE37A6" w:rsidRPr="007C544A">
              <w:rPr>
                <w:rFonts w:ascii="Traditional Arabic" w:hAnsi="Traditional Arabic" w:cs="Traditional Arabic"/>
                <w:b/>
                <w:bCs/>
                <w:sz w:val="24"/>
                <w:szCs w:val="24"/>
                <w:rtl/>
                <w:lang w:bidi="ar-EG"/>
              </w:rPr>
              <w:t xml:space="preserve">- </w:t>
            </w:r>
            <w:r w:rsidR="005E3224" w:rsidRPr="007C544A">
              <w:rPr>
                <w:rFonts w:ascii="Traditional Arabic" w:hAnsi="Traditional Arabic" w:cs="Traditional Arabic"/>
                <w:b/>
                <w:bCs/>
                <w:sz w:val="24"/>
                <w:szCs w:val="24"/>
                <w:rtl/>
                <w:lang w:bidi="ar-EG"/>
              </w:rPr>
              <w:t>المصطلحات والمفاهيم</w:t>
            </w:r>
            <w:r w:rsidR="00362767" w:rsidRPr="007C544A">
              <w:rPr>
                <w:rFonts w:ascii="Traditional Arabic" w:hAnsi="Traditional Arabic" w:cs="Traditional Arabic"/>
                <w:b/>
                <w:bCs/>
                <w:sz w:val="24"/>
                <w:szCs w:val="24"/>
                <w:rtl/>
                <w:lang w:bidi="ar-EG"/>
              </w:rPr>
              <w:t xml:space="preserve"> الأساسية المستخدمة في الدراسة</w:t>
            </w:r>
          </w:p>
        </w:tc>
        <w:tc>
          <w:tcPr>
            <w:tcW w:w="1197" w:type="dxa"/>
            <w:vAlign w:val="bottom"/>
          </w:tcPr>
          <w:p w:rsidR="005E3224" w:rsidRPr="007C544A" w:rsidRDefault="004956F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3</w:t>
            </w:r>
          </w:p>
        </w:tc>
      </w:tr>
      <w:tr w:rsidR="007C544A" w:rsidRPr="007C544A" w:rsidTr="006E0C69">
        <w:tc>
          <w:tcPr>
            <w:tcW w:w="7220" w:type="dxa"/>
            <w:gridSpan w:val="2"/>
            <w:hideMark/>
          </w:tcPr>
          <w:p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ثانياً- </w:t>
            </w:r>
            <w:r w:rsidR="00362767" w:rsidRPr="007C544A">
              <w:rPr>
                <w:rFonts w:ascii="Traditional Arabic" w:hAnsi="Traditional Arabic" w:cs="Traditional Arabic"/>
                <w:b/>
                <w:bCs/>
                <w:sz w:val="24"/>
                <w:szCs w:val="24"/>
                <w:rtl/>
                <w:lang w:bidi="ar-EG"/>
              </w:rPr>
              <w:t>الدراسات السابقة</w:t>
            </w:r>
          </w:p>
        </w:tc>
        <w:tc>
          <w:tcPr>
            <w:tcW w:w="1197" w:type="dxa"/>
            <w:vAlign w:val="bottom"/>
          </w:tcPr>
          <w:p w:rsidR="005E3224" w:rsidRPr="007C544A" w:rsidRDefault="004956F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4</w:t>
            </w:r>
          </w:p>
        </w:tc>
      </w:tr>
      <w:tr w:rsidR="007C544A" w:rsidRPr="007C544A" w:rsidTr="006E0C69">
        <w:tc>
          <w:tcPr>
            <w:tcW w:w="7220" w:type="dxa"/>
            <w:gridSpan w:val="2"/>
            <w:hideMark/>
          </w:tcPr>
          <w:p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ثالثاً- </w:t>
            </w:r>
            <w:r w:rsidR="00362767" w:rsidRPr="007C544A">
              <w:rPr>
                <w:rFonts w:ascii="Traditional Arabic" w:hAnsi="Traditional Arabic" w:cs="Traditional Arabic"/>
                <w:b/>
                <w:bCs/>
                <w:sz w:val="24"/>
                <w:szCs w:val="24"/>
                <w:rtl/>
                <w:lang w:bidi="ar-EG"/>
              </w:rPr>
              <w:t>الدراسة الاستطلاعية</w:t>
            </w:r>
          </w:p>
        </w:tc>
        <w:tc>
          <w:tcPr>
            <w:tcW w:w="1197" w:type="dxa"/>
            <w:vAlign w:val="bottom"/>
          </w:tcPr>
          <w:p w:rsidR="005E3224" w:rsidRPr="007C544A" w:rsidRDefault="00864C0C"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12</w:t>
            </w:r>
          </w:p>
        </w:tc>
      </w:tr>
      <w:tr w:rsidR="007C544A" w:rsidRPr="007C544A" w:rsidTr="006E0C69">
        <w:tc>
          <w:tcPr>
            <w:tcW w:w="7220" w:type="dxa"/>
            <w:gridSpan w:val="2"/>
            <w:hideMark/>
          </w:tcPr>
          <w:p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رابعاً- </w:t>
            </w:r>
            <w:r w:rsidR="00362767" w:rsidRPr="007C544A">
              <w:rPr>
                <w:rFonts w:ascii="Traditional Arabic" w:hAnsi="Traditional Arabic" w:cs="Traditional Arabic"/>
                <w:b/>
                <w:bCs/>
                <w:sz w:val="24"/>
                <w:szCs w:val="24"/>
                <w:rtl/>
                <w:lang w:bidi="ar-EG"/>
              </w:rPr>
              <w:t>مشكلة الدراسة</w:t>
            </w:r>
          </w:p>
        </w:tc>
        <w:tc>
          <w:tcPr>
            <w:tcW w:w="1197" w:type="dxa"/>
            <w:vAlign w:val="bottom"/>
          </w:tcPr>
          <w:p w:rsidR="005E3224" w:rsidRPr="007C544A" w:rsidRDefault="00EA20F8"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13</w:t>
            </w:r>
          </w:p>
        </w:tc>
      </w:tr>
      <w:tr w:rsidR="007C544A" w:rsidRPr="007C544A" w:rsidTr="006E0C69">
        <w:tc>
          <w:tcPr>
            <w:tcW w:w="7220" w:type="dxa"/>
            <w:gridSpan w:val="2"/>
            <w:hideMark/>
          </w:tcPr>
          <w:p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خامساً- </w:t>
            </w:r>
            <w:r w:rsidR="00977C76" w:rsidRPr="007C544A">
              <w:rPr>
                <w:rFonts w:ascii="Traditional Arabic" w:hAnsi="Traditional Arabic" w:cs="Traditional Arabic"/>
                <w:b/>
                <w:bCs/>
                <w:sz w:val="24"/>
                <w:szCs w:val="24"/>
                <w:rtl/>
                <w:lang w:bidi="ar-EG"/>
              </w:rPr>
              <w:t>أهداف</w:t>
            </w:r>
            <w:r w:rsidR="00362767" w:rsidRPr="007C544A">
              <w:rPr>
                <w:rFonts w:ascii="Traditional Arabic" w:hAnsi="Traditional Arabic" w:cs="Traditional Arabic"/>
                <w:b/>
                <w:bCs/>
                <w:sz w:val="24"/>
                <w:szCs w:val="24"/>
                <w:rtl/>
                <w:lang w:bidi="ar-EG"/>
              </w:rPr>
              <w:t xml:space="preserve"> الدراسة</w:t>
            </w:r>
          </w:p>
        </w:tc>
        <w:tc>
          <w:tcPr>
            <w:tcW w:w="1197" w:type="dxa"/>
            <w:vAlign w:val="bottom"/>
          </w:tcPr>
          <w:p w:rsidR="005E3224" w:rsidRPr="007C544A" w:rsidRDefault="00EA20F8"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14</w:t>
            </w:r>
          </w:p>
        </w:tc>
      </w:tr>
      <w:tr w:rsidR="007C544A" w:rsidRPr="007C544A" w:rsidTr="006E0C69">
        <w:tc>
          <w:tcPr>
            <w:tcW w:w="7220" w:type="dxa"/>
            <w:gridSpan w:val="2"/>
            <w:hideMark/>
          </w:tcPr>
          <w:p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سادساً- </w:t>
            </w:r>
            <w:r w:rsidR="003F6CDC" w:rsidRPr="007C544A">
              <w:rPr>
                <w:rFonts w:ascii="Traditional Arabic" w:hAnsi="Traditional Arabic" w:cs="Traditional Arabic"/>
                <w:b/>
                <w:bCs/>
                <w:sz w:val="24"/>
                <w:szCs w:val="24"/>
                <w:rtl/>
                <w:lang w:bidi="ar-EG"/>
              </w:rPr>
              <w:t>أهمية</w:t>
            </w:r>
            <w:r w:rsidR="00362767" w:rsidRPr="007C544A">
              <w:rPr>
                <w:rFonts w:ascii="Traditional Arabic" w:hAnsi="Traditional Arabic" w:cs="Traditional Arabic"/>
                <w:b/>
                <w:bCs/>
                <w:sz w:val="24"/>
                <w:szCs w:val="24"/>
                <w:rtl/>
                <w:lang w:bidi="ar-EG"/>
              </w:rPr>
              <w:t xml:space="preserve"> الدراسة</w:t>
            </w:r>
          </w:p>
        </w:tc>
        <w:tc>
          <w:tcPr>
            <w:tcW w:w="1197" w:type="dxa"/>
            <w:vAlign w:val="bottom"/>
          </w:tcPr>
          <w:p w:rsidR="005E3224" w:rsidRPr="007C544A" w:rsidRDefault="00EA20F8"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w:t>
            </w:r>
            <w:r w:rsidR="000963CA" w:rsidRPr="007C544A">
              <w:rPr>
                <w:rFonts w:ascii="Traditional Arabic" w:hAnsi="Traditional Arabic" w:cs="Traditional Arabic" w:hint="cs"/>
                <w:b/>
                <w:bCs/>
                <w:sz w:val="24"/>
                <w:szCs w:val="24"/>
                <w:rtl/>
                <w:lang w:bidi="ar-EG"/>
              </w:rPr>
              <w:t>4</w:t>
            </w:r>
          </w:p>
        </w:tc>
      </w:tr>
      <w:tr w:rsidR="007C544A" w:rsidRPr="007C544A" w:rsidTr="006E0C69">
        <w:tc>
          <w:tcPr>
            <w:tcW w:w="7220" w:type="dxa"/>
            <w:gridSpan w:val="2"/>
            <w:hideMark/>
          </w:tcPr>
          <w:p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سابعاً- </w:t>
            </w:r>
            <w:r w:rsidR="00362767" w:rsidRPr="007C544A">
              <w:rPr>
                <w:rFonts w:ascii="Traditional Arabic" w:hAnsi="Traditional Arabic" w:cs="Traditional Arabic"/>
                <w:b/>
                <w:bCs/>
                <w:sz w:val="24"/>
                <w:szCs w:val="24"/>
                <w:rtl/>
                <w:lang w:bidi="ar-EG"/>
              </w:rPr>
              <w:t>فروض الدراسة</w:t>
            </w:r>
          </w:p>
        </w:tc>
        <w:tc>
          <w:tcPr>
            <w:tcW w:w="1197" w:type="dxa"/>
            <w:vAlign w:val="bottom"/>
          </w:tcPr>
          <w:p w:rsidR="005E3224" w:rsidRPr="007C544A" w:rsidRDefault="00AD6BD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w:t>
            </w:r>
            <w:r w:rsidR="000963CA" w:rsidRPr="007C544A">
              <w:rPr>
                <w:rFonts w:ascii="Traditional Arabic" w:hAnsi="Traditional Arabic" w:cs="Traditional Arabic" w:hint="cs"/>
                <w:b/>
                <w:bCs/>
                <w:sz w:val="24"/>
                <w:szCs w:val="24"/>
                <w:rtl/>
                <w:lang w:bidi="ar-EG"/>
              </w:rPr>
              <w:t>5</w:t>
            </w:r>
          </w:p>
        </w:tc>
      </w:tr>
      <w:tr w:rsidR="007C544A" w:rsidRPr="007C544A" w:rsidTr="006E0C69">
        <w:trPr>
          <w:trHeight w:val="408"/>
        </w:trPr>
        <w:tc>
          <w:tcPr>
            <w:tcW w:w="7220" w:type="dxa"/>
            <w:gridSpan w:val="2"/>
            <w:hideMark/>
          </w:tcPr>
          <w:p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ثامناً- </w:t>
            </w:r>
            <w:r w:rsidR="00362767" w:rsidRPr="007C544A">
              <w:rPr>
                <w:rFonts w:ascii="Traditional Arabic" w:hAnsi="Traditional Arabic" w:cs="Traditional Arabic"/>
                <w:b/>
                <w:bCs/>
                <w:sz w:val="24"/>
                <w:szCs w:val="24"/>
                <w:rtl/>
                <w:lang w:bidi="ar-EG"/>
              </w:rPr>
              <w:t>نموذج الدراسة</w:t>
            </w:r>
          </w:p>
        </w:tc>
        <w:tc>
          <w:tcPr>
            <w:tcW w:w="1197" w:type="dxa"/>
            <w:vAlign w:val="bottom"/>
          </w:tcPr>
          <w:p w:rsidR="005E3224" w:rsidRPr="007C544A" w:rsidRDefault="000A3B8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w:t>
            </w:r>
            <w:r w:rsidR="00EA20F8" w:rsidRPr="007C544A">
              <w:rPr>
                <w:rFonts w:ascii="Traditional Arabic" w:hAnsi="Traditional Arabic" w:cs="Traditional Arabic" w:hint="cs"/>
                <w:b/>
                <w:bCs/>
                <w:sz w:val="24"/>
                <w:szCs w:val="24"/>
                <w:rtl/>
                <w:lang w:bidi="ar-EG"/>
              </w:rPr>
              <w:t>6</w:t>
            </w:r>
          </w:p>
        </w:tc>
      </w:tr>
      <w:tr w:rsidR="007C544A" w:rsidRPr="007C544A" w:rsidTr="006E0C69">
        <w:tc>
          <w:tcPr>
            <w:tcW w:w="7220" w:type="dxa"/>
            <w:gridSpan w:val="2"/>
            <w:hideMark/>
          </w:tcPr>
          <w:p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تاسعاً- </w:t>
            </w:r>
            <w:r w:rsidR="00362767" w:rsidRPr="007C544A">
              <w:rPr>
                <w:rFonts w:ascii="Traditional Arabic" w:hAnsi="Traditional Arabic" w:cs="Traditional Arabic"/>
                <w:b/>
                <w:bCs/>
                <w:sz w:val="24"/>
                <w:szCs w:val="24"/>
                <w:rtl/>
                <w:lang w:bidi="ar-EG"/>
              </w:rPr>
              <w:t>حدود الدراسة</w:t>
            </w:r>
          </w:p>
        </w:tc>
        <w:tc>
          <w:tcPr>
            <w:tcW w:w="1197" w:type="dxa"/>
            <w:vAlign w:val="bottom"/>
          </w:tcPr>
          <w:p w:rsidR="005E3224" w:rsidRPr="007C544A" w:rsidRDefault="00120405"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17</w:t>
            </w:r>
          </w:p>
        </w:tc>
      </w:tr>
      <w:tr w:rsidR="007C544A" w:rsidRPr="007C544A" w:rsidTr="006E0C69">
        <w:tc>
          <w:tcPr>
            <w:tcW w:w="7220" w:type="dxa"/>
            <w:gridSpan w:val="2"/>
            <w:hideMark/>
          </w:tcPr>
          <w:p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lang w:bidi="ar-EG"/>
              </w:rPr>
            </w:pPr>
            <w:r w:rsidRPr="007C544A">
              <w:rPr>
                <w:rFonts w:ascii="Traditional Arabic" w:hAnsi="Traditional Arabic" w:cs="Traditional Arabic"/>
                <w:b/>
                <w:bCs/>
                <w:sz w:val="24"/>
                <w:szCs w:val="24"/>
                <w:rtl/>
                <w:lang w:bidi="ar-EG"/>
              </w:rPr>
              <w:t xml:space="preserve">عاشراً- </w:t>
            </w:r>
            <w:r w:rsidR="005E3224" w:rsidRPr="007C544A">
              <w:rPr>
                <w:rFonts w:ascii="Traditional Arabic" w:hAnsi="Traditional Arabic" w:cs="Traditional Arabic"/>
                <w:b/>
                <w:bCs/>
                <w:sz w:val="24"/>
                <w:szCs w:val="24"/>
                <w:rtl/>
                <w:lang w:bidi="ar-EG"/>
              </w:rPr>
              <w:t>هيكل الدراسة</w:t>
            </w:r>
          </w:p>
        </w:tc>
        <w:tc>
          <w:tcPr>
            <w:tcW w:w="1197" w:type="dxa"/>
            <w:vAlign w:val="bottom"/>
          </w:tcPr>
          <w:p w:rsidR="005E3224" w:rsidRPr="007C544A" w:rsidRDefault="00120405"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17</w:t>
            </w:r>
          </w:p>
        </w:tc>
      </w:tr>
      <w:tr w:rsidR="007C544A" w:rsidRPr="007C544A" w:rsidTr="006E0C69">
        <w:tc>
          <w:tcPr>
            <w:tcW w:w="7220" w:type="dxa"/>
            <w:gridSpan w:val="2"/>
          </w:tcPr>
          <w:p w:rsidR="00CB42D2"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lastRenderedPageBreak/>
              <w:t>خلاصة الفصل الأول</w:t>
            </w:r>
          </w:p>
        </w:tc>
        <w:tc>
          <w:tcPr>
            <w:tcW w:w="1197" w:type="dxa"/>
            <w:vAlign w:val="bottom"/>
          </w:tcPr>
          <w:p w:rsidR="00CB42D2" w:rsidRPr="007C544A" w:rsidRDefault="00864C0C"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18</w:t>
            </w:r>
          </w:p>
        </w:tc>
      </w:tr>
      <w:tr w:rsidR="007C544A" w:rsidRPr="007C544A" w:rsidTr="007C544A">
        <w:tc>
          <w:tcPr>
            <w:tcW w:w="7220" w:type="dxa"/>
            <w:gridSpan w:val="2"/>
            <w:shd w:val="clear" w:color="auto" w:fill="BDD6EE" w:themeFill="accent1" w:themeFillTint="66"/>
          </w:tcPr>
          <w:p w:rsidR="004C0A4D"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الثاني</w:t>
            </w:r>
          </w:p>
          <w:p w:rsidR="00CB42D2"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الإطار النظري </w:t>
            </w:r>
            <w:r w:rsidR="00155E99" w:rsidRPr="007C544A">
              <w:rPr>
                <w:rFonts w:ascii="Traditional Arabic" w:hAnsi="Traditional Arabic" w:cs="Traditional Arabic" w:hint="cs"/>
                <w:b/>
                <w:bCs/>
                <w:sz w:val="24"/>
                <w:szCs w:val="24"/>
                <w:rtl/>
                <w:lang w:bidi="ar-EG"/>
              </w:rPr>
              <w:t>ولمفاهيمي</w:t>
            </w:r>
            <w:r w:rsidRPr="007C544A">
              <w:rPr>
                <w:rFonts w:ascii="Traditional Arabic" w:hAnsi="Traditional Arabic" w:cs="Traditional Arabic"/>
                <w:b/>
                <w:bCs/>
                <w:sz w:val="24"/>
                <w:szCs w:val="24"/>
                <w:rtl/>
                <w:lang w:bidi="ar-EG"/>
              </w:rPr>
              <w:t xml:space="preserve"> للدراسة</w:t>
            </w:r>
          </w:p>
        </w:tc>
        <w:tc>
          <w:tcPr>
            <w:tcW w:w="1197" w:type="dxa"/>
            <w:shd w:val="clear" w:color="auto" w:fill="BDD6EE" w:themeFill="accent1" w:themeFillTint="66"/>
            <w:vAlign w:val="bottom"/>
          </w:tcPr>
          <w:p w:rsidR="00CB42D2" w:rsidRPr="007C544A" w:rsidRDefault="005171F1" w:rsidP="00913E04">
            <w:pPr>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19</w:t>
            </w:r>
            <w:r w:rsidR="00027627" w:rsidRPr="007C544A">
              <w:rPr>
                <w:rFonts w:ascii="Traditional Arabic" w:hAnsi="Traditional Arabic" w:cs="Traditional Arabic"/>
                <w:b/>
                <w:bCs/>
                <w:sz w:val="24"/>
                <w:szCs w:val="24"/>
                <w:rtl/>
                <w:lang w:bidi="ar-EG"/>
              </w:rPr>
              <w:t>-</w:t>
            </w:r>
            <w:r w:rsidR="000A3B8D" w:rsidRPr="007C544A">
              <w:rPr>
                <w:rFonts w:ascii="Traditional Arabic" w:hAnsi="Traditional Arabic" w:cs="Traditional Arabic" w:hint="cs"/>
                <w:b/>
                <w:bCs/>
                <w:sz w:val="24"/>
                <w:szCs w:val="24"/>
                <w:rtl/>
                <w:lang w:bidi="ar-EG"/>
              </w:rPr>
              <w:t>4</w:t>
            </w:r>
            <w:r w:rsidR="00913E04" w:rsidRPr="007C544A">
              <w:rPr>
                <w:rFonts w:ascii="Traditional Arabic" w:hAnsi="Traditional Arabic" w:cs="Traditional Arabic" w:hint="cs"/>
                <w:b/>
                <w:bCs/>
                <w:sz w:val="24"/>
                <w:szCs w:val="24"/>
                <w:rtl/>
                <w:lang w:bidi="ar-EG"/>
              </w:rPr>
              <w:t>5</w:t>
            </w:r>
          </w:p>
        </w:tc>
      </w:tr>
      <w:tr w:rsidR="007C544A" w:rsidRPr="007C544A" w:rsidTr="006E0C69">
        <w:tc>
          <w:tcPr>
            <w:tcW w:w="7220" w:type="dxa"/>
            <w:gridSpan w:val="2"/>
          </w:tcPr>
          <w:p w:rsidR="00CB42D2"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تمهيد</w:t>
            </w:r>
          </w:p>
        </w:tc>
        <w:tc>
          <w:tcPr>
            <w:tcW w:w="1197" w:type="dxa"/>
            <w:vAlign w:val="bottom"/>
          </w:tcPr>
          <w:p w:rsidR="00CB42D2" w:rsidRPr="007C544A" w:rsidRDefault="005171F1"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20</w:t>
            </w:r>
          </w:p>
        </w:tc>
      </w:tr>
      <w:tr w:rsidR="007C544A" w:rsidRPr="007C544A" w:rsidTr="006E0C69">
        <w:tc>
          <w:tcPr>
            <w:tcW w:w="7220" w:type="dxa"/>
            <w:gridSpan w:val="2"/>
          </w:tcPr>
          <w:p w:rsidR="00027627"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المبحث الأول</w:t>
            </w:r>
            <w:r w:rsidR="00775B4E" w:rsidRPr="007C544A">
              <w:rPr>
                <w:rFonts w:ascii="Traditional Arabic" w:hAnsi="Traditional Arabic" w:cs="Traditional Arabic"/>
                <w:b/>
                <w:bCs/>
                <w:sz w:val="24"/>
                <w:szCs w:val="24"/>
                <w:rtl/>
              </w:rPr>
              <w:t xml:space="preserve">: </w:t>
            </w:r>
            <w:r w:rsidRPr="007C544A">
              <w:rPr>
                <w:rFonts w:ascii="Traditional Arabic" w:hAnsi="Traditional Arabic" w:cs="Traditional Arabic"/>
                <w:b/>
                <w:bCs/>
                <w:sz w:val="24"/>
                <w:szCs w:val="24"/>
                <w:rtl/>
              </w:rPr>
              <w:t>المفهوم العام لدمج الشركات واستراتيجياته</w:t>
            </w:r>
            <w:r w:rsidR="00D7278E" w:rsidRPr="007C544A">
              <w:rPr>
                <w:rFonts w:ascii="Traditional Arabic" w:hAnsi="Traditional Arabic" w:cs="Traditional Arabic"/>
                <w:b/>
                <w:bCs/>
                <w:sz w:val="24"/>
                <w:szCs w:val="24"/>
                <w:rtl/>
              </w:rPr>
              <w:t xml:space="preserve"> </w:t>
            </w:r>
          </w:p>
        </w:tc>
        <w:tc>
          <w:tcPr>
            <w:tcW w:w="1197" w:type="dxa"/>
            <w:vAlign w:val="bottom"/>
          </w:tcPr>
          <w:p w:rsidR="00027627" w:rsidRPr="007C544A" w:rsidRDefault="0007371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21</w:t>
            </w:r>
          </w:p>
        </w:tc>
      </w:tr>
      <w:tr w:rsidR="007C544A" w:rsidRPr="007C544A" w:rsidTr="006E0C69">
        <w:tc>
          <w:tcPr>
            <w:tcW w:w="7220" w:type="dxa"/>
            <w:gridSpan w:val="2"/>
          </w:tcPr>
          <w:p w:rsidR="005171F1" w:rsidRPr="007C544A" w:rsidRDefault="00073710"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 xml:space="preserve">أولاً: تعريف دمج الشركات </w:t>
            </w:r>
          </w:p>
        </w:tc>
        <w:tc>
          <w:tcPr>
            <w:tcW w:w="1197" w:type="dxa"/>
            <w:vAlign w:val="bottom"/>
          </w:tcPr>
          <w:p w:rsidR="005171F1" w:rsidRPr="007C544A" w:rsidRDefault="0007371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21</w:t>
            </w:r>
          </w:p>
        </w:tc>
      </w:tr>
      <w:tr w:rsidR="007C544A" w:rsidRPr="007C544A" w:rsidTr="006E0C69">
        <w:tc>
          <w:tcPr>
            <w:tcW w:w="7220" w:type="dxa"/>
            <w:gridSpan w:val="2"/>
          </w:tcPr>
          <w:p w:rsidR="00232759" w:rsidRPr="007C544A" w:rsidRDefault="0023275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 xml:space="preserve">ثانيا: استراتيجية دمج الشركات </w:t>
            </w:r>
          </w:p>
        </w:tc>
        <w:tc>
          <w:tcPr>
            <w:tcW w:w="1197" w:type="dxa"/>
            <w:vAlign w:val="bottom"/>
          </w:tcPr>
          <w:p w:rsidR="00232759" w:rsidRPr="007C544A" w:rsidRDefault="0023275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23</w:t>
            </w:r>
          </w:p>
        </w:tc>
      </w:tr>
      <w:tr w:rsidR="007C544A" w:rsidRPr="007C544A" w:rsidTr="006E0C69">
        <w:tc>
          <w:tcPr>
            <w:tcW w:w="7220" w:type="dxa"/>
            <w:gridSpan w:val="2"/>
          </w:tcPr>
          <w:p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b/>
                <w:bCs/>
                <w:sz w:val="24"/>
                <w:szCs w:val="24"/>
                <w:rtl/>
                <w:lang w:bidi="ar-SA"/>
              </w:rPr>
              <w:t xml:space="preserve">ثالثاً- الفرق بين </w:t>
            </w:r>
            <w:r w:rsidRPr="007C544A">
              <w:rPr>
                <w:rFonts w:ascii="Traditional Arabic" w:hAnsi="Traditional Arabic" w:cs="Traditional Arabic" w:hint="cs"/>
                <w:b/>
                <w:bCs/>
                <w:sz w:val="24"/>
                <w:szCs w:val="24"/>
                <w:rtl/>
                <w:lang w:bidi="ar-SA"/>
              </w:rPr>
              <w:t>الدمج</w:t>
            </w:r>
            <w:r w:rsidRPr="007C544A">
              <w:rPr>
                <w:rFonts w:ascii="Traditional Arabic" w:hAnsi="Traditional Arabic" w:cs="Traditional Arabic"/>
                <w:b/>
                <w:bCs/>
                <w:sz w:val="24"/>
                <w:szCs w:val="24"/>
                <w:rtl/>
                <w:lang w:bidi="ar-SA"/>
              </w:rPr>
              <w:t xml:space="preserve"> كفعل قانوني </w:t>
            </w:r>
            <w:r w:rsidRPr="007C544A">
              <w:rPr>
                <w:rFonts w:ascii="Traditional Arabic" w:hAnsi="Traditional Arabic" w:cs="Traditional Arabic" w:hint="cs"/>
                <w:b/>
                <w:bCs/>
                <w:sz w:val="24"/>
                <w:szCs w:val="24"/>
                <w:rtl/>
                <w:lang w:bidi="ar-SA"/>
              </w:rPr>
              <w:t>والدمج</w:t>
            </w:r>
            <w:r w:rsidRPr="007C544A">
              <w:rPr>
                <w:rFonts w:ascii="Traditional Arabic" w:hAnsi="Traditional Arabic" w:cs="Traditional Arabic"/>
                <w:b/>
                <w:bCs/>
                <w:sz w:val="24"/>
                <w:szCs w:val="24"/>
                <w:rtl/>
                <w:lang w:bidi="ar-SA"/>
              </w:rPr>
              <w:t xml:space="preserve"> كخيار استراتيجي: </w:t>
            </w:r>
          </w:p>
        </w:tc>
        <w:tc>
          <w:tcPr>
            <w:tcW w:w="1197" w:type="dxa"/>
            <w:vAlign w:val="bottom"/>
          </w:tcPr>
          <w:p w:rsidR="00232759" w:rsidRPr="007C544A" w:rsidRDefault="0023275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24</w:t>
            </w:r>
          </w:p>
        </w:tc>
      </w:tr>
      <w:tr w:rsidR="007C544A" w:rsidRPr="007C544A" w:rsidTr="006E0C69">
        <w:tc>
          <w:tcPr>
            <w:tcW w:w="7220" w:type="dxa"/>
            <w:gridSpan w:val="2"/>
          </w:tcPr>
          <w:p w:rsidR="00232759" w:rsidRPr="007C544A" w:rsidRDefault="00232759" w:rsidP="00232759">
            <w:pPr>
              <w:pStyle w:val="Heading3"/>
              <w:bidi/>
              <w:spacing w:line="360" w:lineRule="auto"/>
              <w:jc w:val="both"/>
              <w:outlineLvl w:val="2"/>
              <w:rPr>
                <w:rFonts w:ascii="Traditional Arabic" w:eastAsiaTheme="minorHAnsi" w:hAnsi="Traditional Arabic" w:cs="Traditional Arabic"/>
                <w:b/>
                <w:bCs/>
                <w:color w:val="auto"/>
                <w:rtl/>
              </w:rPr>
            </w:pPr>
            <w:r w:rsidRPr="007C544A">
              <w:rPr>
                <w:rFonts w:ascii="Traditional Arabic" w:eastAsiaTheme="minorHAnsi" w:hAnsi="Traditional Arabic" w:cs="Traditional Arabic" w:hint="cs"/>
                <w:b/>
                <w:bCs/>
                <w:color w:val="auto"/>
                <w:rtl/>
                <w:lang w:bidi="ar-SA"/>
              </w:rPr>
              <w:t>ر</w:t>
            </w:r>
            <w:r w:rsidRPr="007C544A">
              <w:rPr>
                <w:rFonts w:ascii="Traditional Arabic" w:eastAsiaTheme="minorHAnsi" w:hAnsi="Traditional Arabic" w:cs="Traditional Arabic"/>
                <w:b/>
                <w:bCs/>
                <w:color w:val="auto"/>
                <w:rtl/>
                <w:lang w:bidi="ar-SA"/>
              </w:rPr>
              <w:t>ابعًا</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دوافع</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تبني</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استراتيجية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الدمج</w:t>
            </w:r>
          </w:p>
        </w:tc>
        <w:tc>
          <w:tcPr>
            <w:tcW w:w="1197" w:type="dxa"/>
            <w:vAlign w:val="bottom"/>
          </w:tcPr>
          <w:p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25</w:t>
            </w:r>
          </w:p>
        </w:tc>
      </w:tr>
      <w:tr w:rsidR="007C544A" w:rsidRPr="007C544A" w:rsidTr="006E0C69">
        <w:tc>
          <w:tcPr>
            <w:tcW w:w="7220" w:type="dxa"/>
            <w:gridSpan w:val="2"/>
          </w:tcPr>
          <w:p w:rsidR="00232759" w:rsidRPr="007C544A" w:rsidRDefault="00232759" w:rsidP="00232759">
            <w:pPr>
              <w:shd w:val="clear" w:color="auto" w:fill="FFFFFF" w:themeFill="background1"/>
              <w:tabs>
                <w:tab w:val="right" w:pos="1736"/>
              </w:tabs>
              <w:bidi/>
              <w:spacing w:line="360" w:lineRule="auto"/>
              <w:jc w:val="both"/>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خامسا: العوامل المؤثرة في نجاح استراتيجية الدمج :</w:t>
            </w:r>
          </w:p>
        </w:tc>
        <w:tc>
          <w:tcPr>
            <w:tcW w:w="1197" w:type="dxa"/>
            <w:vAlign w:val="bottom"/>
          </w:tcPr>
          <w:p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26</w:t>
            </w:r>
          </w:p>
        </w:tc>
      </w:tr>
      <w:tr w:rsidR="007C544A" w:rsidRPr="007C544A" w:rsidTr="006E0C69">
        <w:tc>
          <w:tcPr>
            <w:tcW w:w="7220" w:type="dxa"/>
            <w:gridSpan w:val="2"/>
          </w:tcPr>
          <w:p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سادساً</w:t>
            </w:r>
            <w:r w:rsidRPr="007C544A">
              <w:rPr>
                <w:rFonts w:ascii="Traditional Arabic" w:hAnsi="Traditional Arabic" w:cs="Traditional Arabic"/>
                <w:b/>
                <w:bCs/>
                <w:sz w:val="24"/>
                <w:szCs w:val="24"/>
                <w:rtl/>
                <w:lang w:bidi="ar-SA"/>
              </w:rPr>
              <w:t>- العلاقة بين دمج الشركات واستراتيجيات النمو المؤسسي:</w:t>
            </w:r>
          </w:p>
        </w:tc>
        <w:tc>
          <w:tcPr>
            <w:tcW w:w="1197" w:type="dxa"/>
            <w:vAlign w:val="bottom"/>
          </w:tcPr>
          <w:p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28</w:t>
            </w:r>
          </w:p>
        </w:tc>
      </w:tr>
      <w:tr w:rsidR="007C544A" w:rsidRPr="007C544A" w:rsidTr="006E0C69">
        <w:tc>
          <w:tcPr>
            <w:tcW w:w="7220" w:type="dxa"/>
            <w:gridSpan w:val="2"/>
          </w:tcPr>
          <w:p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b/>
                <w:bCs/>
                <w:sz w:val="24"/>
                <w:szCs w:val="24"/>
                <w:rtl/>
                <w:lang w:bidi="ar-SA"/>
              </w:rPr>
              <w:t>سا</w:t>
            </w:r>
            <w:r w:rsidRPr="007C544A">
              <w:rPr>
                <w:rFonts w:ascii="Traditional Arabic" w:hAnsi="Traditional Arabic" w:cs="Traditional Arabic" w:hint="cs"/>
                <w:b/>
                <w:bCs/>
                <w:sz w:val="24"/>
                <w:szCs w:val="24"/>
                <w:rtl/>
                <w:lang w:bidi="ar-SA"/>
              </w:rPr>
              <w:t>بعاَ</w:t>
            </w:r>
            <w:r w:rsidRPr="007C544A">
              <w:rPr>
                <w:rFonts w:ascii="Traditional Arabic" w:hAnsi="Traditional Arabic" w:cs="Traditional Arabic"/>
                <w:b/>
                <w:bCs/>
                <w:sz w:val="24"/>
                <w:szCs w:val="24"/>
                <w:rtl/>
                <w:lang w:bidi="ar-SA"/>
              </w:rPr>
              <w:t xml:space="preserve">- صور دمج الشركات: </w:t>
            </w:r>
          </w:p>
        </w:tc>
        <w:tc>
          <w:tcPr>
            <w:tcW w:w="1197" w:type="dxa"/>
            <w:vAlign w:val="bottom"/>
          </w:tcPr>
          <w:p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29</w:t>
            </w:r>
          </w:p>
        </w:tc>
      </w:tr>
      <w:tr w:rsidR="007C544A" w:rsidRPr="007C544A" w:rsidTr="006E0C69">
        <w:tc>
          <w:tcPr>
            <w:tcW w:w="7220" w:type="dxa"/>
            <w:gridSpan w:val="2"/>
          </w:tcPr>
          <w:p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ثامناً</w:t>
            </w:r>
            <w:r w:rsidRPr="007C544A">
              <w:rPr>
                <w:rFonts w:ascii="Traditional Arabic" w:hAnsi="Traditional Arabic" w:cs="Traditional Arabic"/>
                <w:b/>
                <w:bCs/>
                <w:sz w:val="24"/>
                <w:szCs w:val="24"/>
                <w:rtl/>
                <w:lang w:bidi="ar-SA"/>
              </w:rPr>
              <w:t xml:space="preserve">- التصنيف الاقتصادي لصور الدمج </w:t>
            </w:r>
          </w:p>
        </w:tc>
        <w:tc>
          <w:tcPr>
            <w:tcW w:w="1197" w:type="dxa"/>
            <w:vAlign w:val="bottom"/>
          </w:tcPr>
          <w:p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30</w:t>
            </w:r>
          </w:p>
        </w:tc>
      </w:tr>
      <w:tr w:rsidR="007C544A" w:rsidRPr="007C544A" w:rsidTr="006E0C69">
        <w:tc>
          <w:tcPr>
            <w:tcW w:w="7220" w:type="dxa"/>
            <w:gridSpan w:val="2"/>
          </w:tcPr>
          <w:p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تاسعاً</w:t>
            </w:r>
            <w:r w:rsidRPr="007C544A">
              <w:rPr>
                <w:rFonts w:ascii="Traditional Arabic" w:hAnsi="Traditional Arabic" w:cs="Traditional Arabic"/>
                <w:b/>
                <w:bCs/>
                <w:sz w:val="24"/>
                <w:szCs w:val="24"/>
                <w:rtl/>
                <w:lang w:bidi="ar-SA"/>
              </w:rPr>
              <w:t xml:space="preserve">- محددات اختيار استراتيجية الدمج: </w:t>
            </w:r>
          </w:p>
        </w:tc>
        <w:tc>
          <w:tcPr>
            <w:tcW w:w="1197" w:type="dxa"/>
            <w:vAlign w:val="bottom"/>
          </w:tcPr>
          <w:p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30</w:t>
            </w:r>
          </w:p>
        </w:tc>
      </w:tr>
      <w:tr w:rsidR="007C544A" w:rsidRPr="007C544A" w:rsidTr="006E0C69">
        <w:tc>
          <w:tcPr>
            <w:tcW w:w="7220" w:type="dxa"/>
            <w:gridSpan w:val="2"/>
          </w:tcPr>
          <w:p w:rsidR="00232759" w:rsidRPr="007C544A" w:rsidRDefault="00232759" w:rsidP="00232759">
            <w:pPr>
              <w:pStyle w:val="a"/>
              <w:shd w:val="clear" w:color="auto" w:fill="FFFFFF" w:themeFill="background1"/>
              <w:spacing w:line="360" w:lineRule="auto"/>
              <w:jc w:val="both"/>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عاشراً</w:t>
            </w:r>
            <w:r w:rsidRPr="007C544A">
              <w:rPr>
                <w:rFonts w:ascii="Traditional Arabic" w:hAnsi="Traditional Arabic" w:cs="Traditional Arabic"/>
                <w:b/>
                <w:bCs/>
                <w:sz w:val="24"/>
                <w:szCs w:val="24"/>
                <w:rtl/>
                <w:lang w:bidi="ar-SA"/>
              </w:rPr>
              <w:t>- عوامل نجاح وفشل استراتيجيات دمج الشركات</w:t>
            </w:r>
          </w:p>
        </w:tc>
        <w:tc>
          <w:tcPr>
            <w:tcW w:w="1197" w:type="dxa"/>
            <w:vAlign w:val="bottom"/>
          </w:tcPr>
          <w:p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32</w:t>
            </w:r>
          </w:p>
        </w:tc>
      </w:tr>
      <w:tr w:rsidR="007C544A" w:rsidRPr="007C544A" w:rsidTr="006E0C69">
        <w:tc>
          <w:tcPr>
            <w:tcW w:w="7220" w:type="dxa"/>
            <w:gridSpan w:val="2"/>
          </w:tcPr>
          <w:p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الحادي عشر-</w:t>
            </w:r>
            <w:r w:rsidRPr="007C544A">
              <w:rPr>
                <w:rFonts w:ascii="Traditional Arabic" w:hAnsi="Traditional Arabic" w:cs="Traditional Arabic"/>
                <w:b/>
                <w:bCs/>
                <w:sz w:val="24"/>
                <w:szCs w:val="24"/>
                <w:rtl/>
                <w:lang w:bidi="ar-SA"/>
              </w:rPr>
              <w:t xml:space="preserve"> التحديات التي تواجه استراتيجيات الدمج في الأسواق الناشئة:</w:t>
            </w:r>
          </w:p>
        </w:tc>
        <w:tc>
          <w:tcPr>
            <w:tcW w:w="1197" w:type="dxa"/>
            <w:vAlign w:val="bottom"/>
          </w:tcPr>
          <w:p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33</w:t>
            </w:r>
          </w:p>
        </w:tc>
      </w:tr>
      <w:tr w:rsidR="007C544A" w:rsidRPr="007C544A" w:rsidTr="006E0C69">
        <w:tc>
          <w:tcPr>
            <w:tcW w:w="7220" w:type="dxa"/>
            <w:gridSpan w:val="2"/>
          </w:tcPr>
          <w:p w:rsidR="00027627" w:rsidRPr="007C544A" w:rsidRDefault="00027627" w:rsidP="005171F1">
            <w:pPr>
              <w:shd w:val="clear" w:color="auto" w:fill="FFFFFF" w:themeFill="background1"/>
              <w:bidi/>
              <w:spacing w:before="120" w:after="1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المبحث الثاني</w:t>
            </w:r>
            <w:r w:rsidR="00775B4E" w:rsidRPr="007C544A">
              <w:rPr>
                <w:rFonts w:ascii="Traditional Arabic" w:hAnsi="Traditional Arabic" w:cs="Traditional Arabic"/>
                <w:b/>
                <w:bCs/>
                <w:sz w:val="24"/>
                <w:szCs w:val="24"/>
                <w:rtl/>
              </w:rPr>
              <w:t xml:space="preserve">: </w:t>
            </w:r>
            <w:r w:rsidRPr="007C544A">
              <w:rPr>
                <w:rFonts w:ascii="Traditional Arabic" w:hAnsi="Traditional Arabic" w:cs="Traditional Arabic"/>
                <w:b/>
                <w:bCs/>
                <w:sz w:val="24"/>
                <w:szCs w:val="24"/>
                <w:rtl/>
              </w:rPr>
              <w:t>السوق الموازية الواقع</w:t>
            </w:r>
            <w:r w:rsidR="00155E99" w:rsidRPr="007C544A">
              <w:rPr>
                <w:rFonts w:ascii="Traditional Arabic" w:hAnsi="Traditional Arabic" w:cs="Traditional Arabic" w:hint="cs"/>
                <w:b/>
                <w:bCs/>
                <w:sz w:val="24"/>
                <w:szCs w:val="24"/>
                <w:rtl/>
              </w:rPr>
              <w:t xml:space="preserve"> </w:t>
            </w:r>
            <w:r w:rsidRPr="007C544A">
              <w:rPr>
                <w:rFonts w:ascii="Traditional Arabic" w:hAnsi="Traditional Arabic" w:cs="Traditional Arabic"/>
                <w:b/>
                <w:bCs/>
                <w:sz w:val="24"/>
                <w:szCs w:val="24"/>
                <w:rtl/>
              </w:rPr>
              <w:t>- الفعلي لخطوت دمج الشركات عينة الدراسة.</w:t>
            </w:r>
          </w:p>
        </w:tc>
        <w:tc>
          <w:tcPr>
            <w:tcW w:w="1197" w:type="dxa"/>
            <w:vAlign w:val="bottom"/>
          </w:tcPr>
          <w:p w:rsidR="00027627" w:rsidRPr="007C544A" w:rsidRDefault="00120405"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34</w:t>
            </w:r>
          </w:p>
        </w:tc>
      </w:tr>
      <w:tr w:rsidR="007C544A" w:rsidRPr="007C544A" w:rsidTr="006E0C69">
        <w:tc>
          <w:tcPr>
            <w:tcW w:w="7220" w:type="dxa"/>
            <w:gridSpan w:val="2"/>
          </w:tcPr>
          <w:p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b/>
                <w:bCs/>
                <w:sz w:val="24"/>
                <w:szCs w:val="24"/>
                <w:rtl/>
                <w:lang w:bidi="ar-SA"/>
              </w:rPr>
              <w:t xml:space="preserve">أولاً- خطوات دمج الشركات في النظام السعودي </w:t>
            </w:r>
          </w:p>
        </w:tc>
        <w:tc>
          <w:tcPr>
            <w:tcW w:w="1197" w:type="dxa"/>
            <w:vAlign w:val="bottom"/>
          </w:tcPr>
          <w:p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35</w:t>
            </w:r>
          </w:p>
        </w:tc>
      </w:tr>
      <w:tr w:rsidR="007C544A" w:rsidRPr="007C544A" w:rsidTr="006E0C69">
        <w:tc>
          <w:tcPr>
            <w:tcW w:w="7220" w:type="dxa"/>
            <w:gridSpan w:val="2"/>
          </w:tcPr>
          <w:p w:rsidR="00232759" w:rsidRPr="007C544A" w:rsidRDefault="00232759" w:rsidP="00232759">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 xml:space="preserve">ثانياً: </w:t>
            </w:r>
            <w:r w:rsidRPr="007C544A">
              <w:rPr>
                <w:rFonts w:ascii="Traditional Arabic" w:eastAsiaTheme="minorHAnsi" w:hAnsi="Traditional Arabic" w:cs="Traditional Arabic"/>
                <w:b/>
                <w:bCs/>
                <w:rtl/>
              </w:rPr>
              <w:t xml:space="preserve">واقع السوق الموازية الواقع: </w:t>
            </w:r>
          </w:p>
        </w:tc>
        <w:tc>
          <w:tcPr>
            <w:tcW w:w="1197" w:type="dxa"/>
            <w:vAlign w:val="bottom"/>
          </w:tcPr>
          <w:p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37</w:t>
            </w:r>
          </w:p>
        </w:tc>
      </w:tr>
      <w:tr w:rsidR="007C544A" w:rsidRPr="007C544A" w:rsidTr="006E0C69">
        <w:tc>
          <w:tcPr>
            <w:tcW w:w="7220" w:type="dxa"/>
            <w:gridSpan w:val="2"/>
          </w:tcPr>
          <w:p w:rsidR="00232759" w:rsidRPr="007C544A" w:rsidRDefault="00232759" w:rsidP="00232759">
            <w:pPr>
              <w:pStyle w:val="FootnoteText"/>
              <w:shd w:val="clear" w:color="auto" w:fill="FFFFFF" w:themeFill="background1"/>
              <w:bidi/>
              <w:spacing w:line="360" w:lineRule="auto"/>
              <w:jc w:val="both"/>
              <w:rPr>
                <w:rFonts w:ascii="Traditional Arabic" w:eastAsiaTheme="minorHAnsi" w:hAnsi="Traditional Arabic" w:cs="Traditional Arabic"/>
                <w:b/>
                <w:bCs/>
                <w:sz w:val="24"/>
                <w:szCs w:val="24"/>
                <w:rtl/>
                <w:lang w:bidi="ar-SA"/>
              </w:rPr>
            </w:pPr>
            <w:r w:rsidRPr="007C544A">
              <w:rPr>
                <w:rFonts w:ascii="Traditional Arabic" w:eastAsiaTheme="minorHAnsi" w:hAnsi="Traditional Arabic" w:cs="Traditional Arabic" w:hint="cs"/>
                <w:b/>
                <w:bCs/>
                <w:sz w:val="24"/>
                <w:szCs w:val="24"/>
                <w:rtl/>
                <w:lang w:bidi="ar-SA"/>
              </w:rPr>
              <w:t xml:space="preserve">ثالثا: </w:t>
            </w:r>
            <w:r w:rsidRPr="007C544A">
              <w:rPr>
                <w:rFonts w:ascii="Traditional Arabic" w:eastAsiaTheme="minorHAnsi" w:hAnsi="Traditional Arabic" w:cs="Traditional Arabic"/>
                <w:b/>
                <w:bCs/>
                <w:sz w:val="24"/>
                <w:szCs w:val="24"/>
                <w:rtl/>
                <w:lang w:bidi="ar-SA"/>
              </w:rPr>
              <w:t xml:space="preserve">مواجهة الدولة للمارسات الاحتكارية: </w:t>
            </w:r>
          </w:p>
        </w:tc>
        <w:tc>
          <w:tcPr>
            <w:tcW w:w="1197" w:type="dxa"/>
            <w:vAlign w:val="bottom"/>
          </w:tcPr>
          <w:p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42</w:t>
            </w:r>
          </w:p>
        </w:tc>
      </w:tr>
      <w:tr w:rsidR="007C544A" w:rsidRPr="007C544A" w:rsidTr="006E0C69">
        <w:tc>
          <w:tcPr>
            <w:tcW w:w="7220" w:type="dxa"/>
            <w:gridSpan w:val="2"/>
          </w:tcPr>
          <w:p w:rsidR="00027627"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خلاصة الفصل الثاني </w:t>
            </w:r>
          </w:p>
        </w:tc>
        <w:tc>
          <w:tcPr>
            <w:tcW w:w="1197" w:type="dxa"/>
            <w:vAlign w:val="bottom"/>
          </w:tcPr>
          <w:p w:rsidR="00027627"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45</w:t>
            </w:r>
          </w:p>
        </w:tc>
      </w:tr>
      <w:tr w:rsidR="007C544A" w:rsidRPr="007C544A" w:rsidTr="007C544A">
        <w:tc>
          <w:tcPr>
            <w:tcW w:w="7220" w:type="dxa"/>
            <w:gridSpan w:val="2"/>
            <w:shd w:val="clear" w:color="auto" w:fill="BDD6EE" w:themeFill="accent1" w:themeFillTint="66"/>
          </w:tcPr>
          <w:p w:rsidR="004007BC"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lastRenderedPageBreak/>
              <w:t>الفصل الثالث</w:t>
            </w:r>
          </w:p>
          <w:p w:rsidR="00CB42D2"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منهجية الدراسة</w:t>
            </w:r>
          </w:p>
        </w:tc>
        <w:tc>
          <w:tcPr>
            <w:tcW w:w="1197" w:type="dxa"/>
            <w:shd w:val="clear" w:color="auto" w:fill="BDD6EE" w:themeFill="accent1" w:themeFillTint="66"/>
            <w:vAlign w:val="bottom"/>
          </w:tcPr>
          <w:p w:rsidR="00CB42D2" w:rsidRPr="007C544A" w:rsidRDefault="006F104D"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46</w:t>
            </w:r>
            <w:r w:rsidR="00AD6BD4" w:rsidRPr="007C544A">
              <w:rPr>
                <w:rFonts w:ascii="Traditional Arabic" w:hAnsi="Traditional Arabic" w:cs="Traditional Arabic" w:hint="cs"/>
                <w:b/>
                <w:bCs/>
                <w:sz w:val="24"/>
                <w:szCs w:val="24"/>
                <w:rtl/>
                <w:lang w:bidi="ar-EG"/>
              </w:rPr>
              <w:t>-</w:t>
            </w:r>
            <w:r w:rsidR="000A3B8D" w:rsidRPr="007C544A">
              <w:rPr>
                <w:rFonts w:ascii="Traditional Arabic" w:hAnsi="Traditional Arabic" w:cs="Traditional Arabic" w:hint="cs"/>
                <w:b/>
                <w:bCs/>
                <w:sz w:val="24"/>
                <w:szCs w:val="24"/>
                <w:rtl/>
                <w:lang w:bidi="ar-EG"/>
              </w:rPr>
              <w:t>6</w:t>
            </w:r>
            <w:r w:rsidR="00EA20F8" w:rsidRPr="007C544A">
              <w:rPr>
                <w:rFonts w:ascii="Traditional Arabic" w:hAnsi="Traditional Arabic" w:cs="Traditional Arabic" w:hint="cs"/>
                <w:b/>
                <w:bCs/>
                <w:sz w:val="24"/>
                <w:szCs w:val="24"/>
                <w:rtl/>
                <w:lang w:bidi="ar-EG"/>
              </w:rPr>
              <w:t>0</w:t>
            </w:r>
          </w:p>
        </w:tc>
      </w:tr>
      <w:tr w:rsidR="007C544A" w:rsidRPr="007C544A" w:rsidTr="006E0C69">
        <w:tc>
          <w:tcPr>
            <w:tcW w:w="7220" w:type="dxa"/>
            <w:gridSpan w:val="2"/>
          </w:tcPr>
          <w:p w:rsidR="00CB42D2"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تمهيد</w:t>
            </w:r>
          </w:p>
        </w:tc>
        <w:tc>
          <w:tcPr>
            <w:tcW w:w="1197" w:type="dxa"/>
            <w:vAlign w:val="bottom"/>
          </w:tcPr>
          <w:p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47</w:t>
            </w:r>
          </w:p>
        </w:tc>
      </w:tr>
      <w:tr w:rsidR="007C544A" w:rsidRPr="007C544A" w:rsidTr="006E0C69">
        <w:tc>
          <w:tcPr>
            <w:tcW w:w="7220" w:type="dxa"/>
            <w:gridSpan w:val="2"/>
          </w:tcPr>
          <w:p w:rsidR="00772BBE" w:rsidRPr="007C544A" w:rsidRDefault="00086CDD" w:rsidP="005171F1">
            <w:pPr>
              <w:pStyle w:val="a"/>
              <w:shd w:val="clear" w:color="auto" w:fill="FFFFFF" w:themeFill="background1"/>
              <w:spacing w:before="120" w:after="120"/>
              <w:jc w:val="left"/>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أولاً</w:t>
            </w:r>
            <w:r w:rsidR="00772BBE" w:rsidRPr="007C544A">
              <w:rPr>
                <w:rFonts w:ascii="Traditional Arabic" w:hAnsi="Traditional Arabic" w:cs="Traditional Arabic"/>
                <w:b/>
                <w:bCs/>
                <w:sz w:val="24"/>
                <w:szCs w:val="24"/>
                <w:rtl/>
              </w:rPr>
              <w:t>- منهج الدراسة</w:t>
            </w:r>
            <w:r w:rsidR="00775B4E" w:rsidRPr="007C544A">
              <w:rPr>
                <w:rFonts w:ascii="Traditional Arabic" w:hAnsi="Traditional Arabic" w:cs="Traditional Arabic"/>
                <w:b/>
                <w:bCs/>
                <w:sz w:val="24"/>
                <w:szCs w:val="24"/>
                <w:rtl/>
              </w:rPr>
              <w:t xml:space="preserve">: </w:t>
            </w:r>
          </w:p>
        </w:tc>
        <w:tc>
          <w:tcPr>
            <w:tcW w:w="1197" w:type="dxa"/>
            <w:vAlign w:val="bottom"/>
          </w:tcPr>
          <w:p w:rsidR="00772BBE"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47</w:t>
            </w:r>
          </w:p>
        </w:tc>
      </w:tr>
      <w:tr w:rsidR="007C544A" w:rsidRPr="007C544A" w:rsidTr="006E0C69">
        <w:tc>
          <w:tcPr>
            <w:tcW w:w="7220" w:type="dxa"/>
            <w:gridSpan w:val="2"/>
          </w:tcPr>
          <w:p w:rsidR="00772BBE" w:rsidRPr="007C544A" w:rsidRDefault="00086CDD"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ثانياً- </w:t>
            </w:r>
            <w:r w:rsidR="00772BBE" w:rsidRPr="007C544A">
              <w:rPr>
                <w:rFonts w:ascii="Traditional Arabic" w:eastAsiaTheme="minorHAnsi" w:hAnsi="Traditional Arabic" w:cs="Traditional Arabic"/>
                <w:b/>
                <w:bCs/>
                <w:rtl/>
                <w:lang w:bidi="ar-EG"/>
              </w:rPr>
              <w:t>أنواع البيانات المطلوبة</w:t>
            </w:r>
            <w:r w:rsidR="00775B4E" w:rsidRPr="007C544A">
              <w:rPr>
                <w:rFonts w:ascii="Traditional Arabic" w:eastAsiaTheme="minorHAnsi" w:hAnsi="Traditional Arabic" w:cs="Traditional Arabic"/>
                <w:b/>
                <w:bCs/>
                <w:rtl/>
                <w:lang w:bidi="ar-EG"/>
              </w:rPr>
              <w:t xml:space="preserve">: </w:t>
            </w:r>
          </w:p>
        </w:tc>
        <w:tc>
          <w:tcPr>
            <w:tcW w:w="1197" w:type="dxa"/>
            <w:vAlign w:val="bottom"/>
          </w:tcPr>
          <w:p w:rsidR="00772BBE"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47</w:t>
            </w:r>
          </w:p>
        </w:tc>
      </w:tr>
      <w:tr w:rsidR="007C544A" w:rsidRPr="007C544A" w:rsidTr="006E0C69">
        <w:tc>
          <w:tcPr>
            <w:tcW w:w="7220" w:type="dxa"/>
            <w:gridSpan w:val="2"/>
          </w:tcPr>
          <w:p w:rsidR="00CB42D2" w:rsidRPr="007C544A" w:rsidRDefault="00086CDD"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ثالثاً- </w:t>
            </w:r>
            <w:r w:rsidR="00772BBE" w:rsidRPr="007C544A">
              <w:rPr>
                <w:rFonts w:ascii="Traditional Arabic" w:eastAsiaTheme="minorHAnsi" w:hAnsi="Traditional Arabic" w:cs="Traditional Arabic"/>
                <w:b/>
                <w:bCs/>
                <w:rtl/>
                <w:lang w:bidi="ar-EG"/>
              </w:rPr>
              <w:t>مجتمع وعينة الدراسة</w:t>
            </w:r>
            <w:r w:rsidR="00775B4E" w:rsidRPr="007C544A">
              <w:rPr>
                <w:rFonts w:ascii="Traditional Arabic" w:eastAsiaTheme="minorHAnsi" w:hAnsi="Traditional Arabic" w:cs="Traditional Arabic"/>
                <w:b/>
                <w:bCs/>
                <w:rtl/>
                <w:lang w:bidi="ar-EG"/>
              </w:rPr>
              <w:t xml:space="preserve">: </w:t>
            </w:r>
          </w:p>
        </w:tc>
        <w:tc>
          <w:tcPr>
            <w:tcW w:w="1197" w:type="dxa"/>
            <w:vAlign w:val="bottom"/>
          </w:tcPr>
          <w:p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48</w:t>
            </w:r>
          </w:p>
        </w:tc>
      </w:tr>
      <w:tr w:rsidR="007C544A" w:rsidRPr="007C544A" w:rsidTr="006E0C69">
        <w:tc>
          <w:tcPr>
            <w:tcW w:w="7220" w:type="dxa"/>
            <w:gridSpan w:val="2"/>
          </w:tcPr>
          <w:p w:rsidR="00CB42D2" w:rsidRPr="007C544A" w:rsidRDefault="00086CDD"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رابعاً- </w:t>
            </w:r>
            <w:r w:rsidR="00772BBE" w:rsidRPr="007C544A">
              <w:rPr>
                <w:rFonts w:ascii="Traditional Arabic" w:eastAsiaTheme="minorHAnsi" w:hAnsi="Traditional Arabic" w:cs="Traditional Arabic"/>
                <w:b/>
                <w:bCs/>
                <w:rtl/>
                <w:lang w:bidi="ar-EG"/>
              </w:rPr>
              <w:t xml:space="preserve">أداة جمع البيانات الأولية وقياس المتغيرات </w:t>
            </w:r>
          </w:p>
        </w:tc>
        <w:tc>
          <w:tcPr>
            <w:tcW w:w="1197" w:type="dxa"/>
            <w:vAlign w:val="bottom"/>
          </w:tcPr>
          <w:p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51</w:t>
            </w:r>
          </w:p>
        </w:tc>
      </w:tr>
      <w:tr w:rsidR="007C544A" w:rsidRPr="007C544A" w:rsidTr="006E0C69">
        <w:tc>
          <w:tcPr>
            <w:tcW w:w="7220" w:type="dxa"/>
            <w:gridSpan w:val="2"/>
          </w:tcPr>
          <w:p w:rsidR="00CB42D2" w:rsidRPr="007C544A" w:rsidRDefault="00772BBE"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خامساً- أساليب تحليل البيانات</w:t>
            </w:r>
            <w:r w:rsidR="00775B4E" w:rsidRPr="007C544A">
              <w:rPr>
                <w:rFonts w:ascii="Traditional Arabic" w:eastAsiaTheme="minorHAnsi" w:hAnsi="Traditional Arabic" w:cs="Traditional Arabic"/>
                <w:b/>
                <w:bCs/>
                <w:rtl/>
                <w:lang w:bidi="ar-EG"/>
              </w:rPr>
              <w:t xml:space="preserve">: </w:t>
            </w:r>
          </w:p>
        </w:tc>
        <w:tc>
          <w:tcPr>
            <w:tcW w:w="1197" w:type="dxa"/>
            <w:vAlign w:val="bottom"/>
          </w:tcPr>
          <w:p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55</w:t>
            </w:r>
          </w:p>
        </w:tc>
      </w:tr>
      <w:tr w:rsidR="007C544A" w:rsidRPr="007C544A" w:rsidTr="006E0C69">
        <w:tc>
          <w:tcPr>
            <w:tcW w:w="7220" w:type="dxa"/>
            <w:gridSpan w:val="2"/>
          </w:tcPr>
          <w:p w:rsidR="00CB42D2" w:rsidRPr="007C544A" w:rsidRDefault="00772BBE"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سادساً- اختبار الصدق</w:t>
            </w:r>
            <w:r w:rsidR="00D7278E" w:rsidRPr="007C544A">
              <w:rPr>
                <w:rFonts w:ascii="Traditional Arabic" w:eastAsiaTheme="minorHAnsi" w:hAnsi="Traditional Arabic" w:cs="Traditional Arabic"/>
                <w:b/>
                <w:bCs/>
                <w:rtl/>
                <w:lang w:bidi="ar-EG"/>
              </w:rPr>
              <w:t xml:space="preserve"> </w:t>
            </w:r>
            <w:r w:rsidRPr="007C544A">
              <w:rPr>
                <w:rFonts w:ascii="Traditional Arabic" w:eastAsiaTheme="minorHAnsi" w:hAnsi="Traditional Arabic" w:cs="Traditional Arabic"/>
                <w:b/>
                <w:bCs/>
                <w:rtl/>
                <w:lang w:bidi="ar-EG"/>
              </w:rPr>
              <w:t>والثبات</w:t>
            </w:r>
            <w:r w:rsidR="00775B4E" w:rsidRPr="007C544A">
              <w:rPr>
                <w:rFonts w:ascii="Traditional Arabic" w:eastAsiaTheme="minorHAnsi" w:hAnsi="Traditional Arabic" w:cs="Traditional Arabic"/>
                <w:b/>
                <w:bCs/>
                <w:rtl/>
                <w:lang w:bidi="ar-EG"/>
              </w:rPr>
              <w:t xml:space="preserve">: </w:t>
            </w:r>
          </w:p>
        </w:tc>
        <w:tc>
          <w:tcPr>
            <w:tcW w:w="1197" w:type="dxa"/>
            <w:vAlign w:val="bottom"/>
          </w:tcPr>
          <w:p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56</w:t>
            </w:r>
          </w:p>
        </w:tc>
      </w:tr>
      <w:tr w:rsidR="007C544A" w:rsidRPr="007C544A" w:rsidTr="006E0C69">
        <w:tc>
          <w:tcPr>
            <w:tcW w:w="7220" w:type="dxa"/>
            <w:gridSpan w:val="2"/>
          </w:tcPr>
          <w:p w:rsidR="00E16350" w:rsidRPr="007C544A" w:rsidRDefault="00E16350"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 xml:space="preserve">سابعا: الاعتبارات الاخلاقية للدراسة </w:t>
            </w:r>
          </w:p>
        </w:tc>
        <w:tc>
          <w:tcPr>
            <w:tcW w:w="1197" w:type="dxa"/>
            <w:vAlign w:val="bottom"/>
          </w:tcPr>
          <w:p w:rsidR="00E16350"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59</w:t>
            </w:r>
          </w:p>
        </w:tc>
      </w:tr>
      <w:tr w:rsidR="007C544A" w:rsidRPr="007C544A" w:rsidTr="006E0C69">
        <w:tc>
          <w:tcPr>
            <w:tcW w:w="7220" w:type="dxa"/>
            <w:gridSpan w:val="2"/>
          </w:tcPr>
          <w:p w:rsidR="00CB42D2" w:rsidRPr="007C544A" w:rsidRDefault="00772BBE" w:rsidP="005171F1">
            <w:pPr>
              <w:pStyle w:val="Heading3"/>
              <w:shd w:val="clear" w:color="auto" w:fill="FFFFFF" w:themeFill="background1"/>
              <w:bidi/>
              <w:spacing w:before="120" w:after="120"/>
              <w:outlineLvl w:val="2"/>
              <w:rPr>
                <w:rFonts w:ascii="Traditional Arabic" w:eastAsiaTheme="minorHAnsi" w:hAnsi="Traditional Arabic" w:cs="Traditional Arabic"/>
                <w:b/>
                <w:bCs/>
                <w:color w:val="auto"/>
                <w:rtl/>
                <w:lang w:bidi="ar-EG"/>
              </w:rPr>
            </w:pPr>
            <w:r w:rsidRPr="007C544A">
              <w:rPr>
                <w:rFonts w:ascii="Traditional Arabic" w:eastAsiaTheme="minorHAnsi" w:hAnsi="Traditional Arabic" w:cs="Traditional Arabic"/>
                <w:b/>
                <w:bCs/>
                <w:color w:val="auto"/>
                <w:rtl/>
                <w:lang w:bidi="ar-EG"/>
              </w:rPr>
              <w:t>خلاصة الفصل الثالث</w:t>
            </w:r>
          </w:p>
        </w:tc>
        <w:tc>
          <w:tcPr>
            <w:tcW w:w="1197" w:type="dxa"/>
            <w:vAlign w:val="bottom"/>
          </w:tcPr>
          <w:p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60</w:t>
            </w:r>
          </w:p>
        </w:tc>
      </w:tr>
      <w:tr w:rsidR="007C544A" w:rsidRPr="007C544A" w:rsidTr="007C544A">
        <w:tblPrEx>
          <w:jc w:val="center"/>
          <w:tblInd w:w="0" w:type="dxa"/>
          <w:shd w:val="clear" w:color="auto" w:fill="FFFFFF" w:themeFill="background1"/>
        </w:tblPrEx>
        <w:trPr>
          <w:jc w:val="center"/>
        </w:trPr>
        <w:tc>
          <w:tcPr>
            <w:tcW w:w="7197" w:type="dxa"/>
            <w:shd w:val="clear" w:color="auto" w:fill="BDD6EE" w:themeFill="accent1" w:themeFillTint="66"/>
            <w:hideMark/>
          </w:tcPr>
          <w:p w:rsidR="00755B2C" w:rsidRPr="007C544A" w:rsidRDefault="0082250B"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الرابع</w:t>
            </w:r>
          </w:p>
          <w:p w:rsidR="0082250B" w:rsidRPr="007C544A" w:rsidRDefault="00772BBE"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نتائج </w:t>
            </w:r>
            <w:r w:rsidR="0082250B" w:rsidRPr="007C544A">
              <w:rPr>
                <w:rFonts w:ascii="Traditional Arabic" w:hAnsi="Traditional Arabic" w:cs="Traditional Arabic"/>
                <w:b/>
                <w:bCs/>
                <w:sz w:val="24"/>
                <w:szCs w:val="24"/>
                <w:rtl/>
                <w:lang w:bidi="ar-EG"/>
              </w:rPr>
              <w:t>الدراسة الميدانية</w:t>
            </w:r>
          </w:p>
        </w:tc>
        <w:tc>
          <w:tcPr>
            <w:tcW w:w="1220" w:type="dxa"/>
            <w:gridSpan w:val="2"/>
            <w:shd w:val="clear" w:color="auto" w:fill="BDD6EE" w:themeFill="accent1" w:themeFillTint="66"/>
            <w:vAlign w:val="bottom"/>
          </w:tcPr>
          <w:p w:rsidR="0082250B" w:rsidRPr="007C544A" w:rsidRDefault="006F104D" w:rsidP="005171F1">
            <w:pPr>
              <w:tabs>
                <w:tab w:val="left" w:pos="219"/>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61</w:t>
            </w:r>
            <w:r w:rsidR="00F21E52" w:rsidRPr="007C544A">
              <w:rPr>
                <w:rFonts w:ascii="Traditional Arabic" w:hAnsi="Traditional Arabic" w:cs="Traditional Arabic"/>
                <w:b/>
                <w:bCs/>
                <w:sz w:val="24"/>
                <w:szCs w:val="24"/>
                <w:rtl/>
                <w:lang w:bidi="ar-EG"/>
              </w:rPr>
              <w:t xml:space="preserve">- </w:t>
            </w:r>
            <w:r w:rsidR="00EA20F8" w:rsidRPr="007C544A">
              <w:rPr>
                <w:rFonts w:ascii="Traditional Arabic" w:hAnsi="Traditional Arabic" w:cs="Traditional Arabic" w:hint="cs"/>
                <w:b/>
                <w:bCs/>
                <w:sz w:val="24"/>
                <w:szCs w:val="24"/>
                <w:rtl/>
                <w:lang w:bidi="ar-EG"/>
              </w:rPr>
              <w:t>85</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4956F0" w:rsidRPr="007C544A" w:rsidRDefault="004956F0"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تمهيد</w:t>
            </w:r>
          </w:p>
        </w:tc>
        <w:tc>
          <w:tcPr>
            <w:tcW w:w="1220" w:type="dxa"/>
            <w:gridSpan w:val="2"/>
            <w:shd w:val="clear" w:color="auto" w:fill="FFFFFF" w:themeFill="background1"/>
            <w:vAlign w:val="bottom"/>
          </w:tcPr>
          <w:p w:rsidR="004956F0" w:rsidRPr="007C544A" w:rsidRDefault="00E16350"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lang w:bidi="ar-EG"/>
              </w:rPr>
              <w:t>61</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302C32" w:rsidRPr="007C544A" w:rsidRDefault="00302C32"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أولاً- </w:t>
            </w:r>
            <w:r w:rsidRPr="007C544A">
              <w:rPr>
                <w:rFonts w:ascii="Traditional Arabic" w:hAnsi="Traditional Arabic" w:cs="Traditional Arabic" w:hint="cs"/>
                <w:b/>
                <w:bCs/>
                <w:sz w:val="24"/>
                <w:szCs w:val="24"/>
                <w:rtl/>
                <w:lang w:bidi="ar-EG"/>
              </w:rPr>
              <w:t>نتائج ا</w:t>
            </w:r>
            <w:r w:rsidRPr="007C544A">
              <w:rPr>
                <w:rFonts w:ascii="Traditional Arabic" w:hAnsi="Traditional Arabic" w:cs="Traditional Arabic"/>
                <w:b/>
                <w:bCs/>
                <w:sz w:val="24"/>
                <w:szCs w:val="24"/>
                <w:rtl/>
                <w:lang w:bidi="ar-EG"/>
              </w:rPr>
              <w:t xml:space="preserve">لدراسة </w:t>
            </w:r>
            <w:r w:rsidRPr="007C544A">
              <w:rPr>
                <w:rFonts w:ascii="Traditional Arabic" w:hAnsi="Traditional Arabic" w:cs="Traditional Arabic" w:hint="cs"/>
                <w:b/>
                <w:bCs/>
                <w:sz w:val="24"/>
                <w:szCs w:val="24"/>
                <w:rtl/>
                <w:lang w:bidi="ar-EG"/>
              </w:rPr>
              <w:t>الميدانية.</w:t>
            </w:r>
          </w:p>
        </w:tc>
        <w:tc>
          <w:tcPr>
            <w:tcW w:w="1220" w:type="dxa"/>
            <w:gridSpan w:val="2"/>
            <w:shd w:val="clear" w:color="auto" w:fill="FFFFFF" w:themeFill="background1"/>
            <w:vAlign w:val="bottom"/>
          </w:tcPr>
          <w:p w:rsidR="00302C32" w:rsidRPr="007C544A" w:rsidRDefault="00E16350"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lang w:bidi="ar-EG"/>
              </w:rPr>
              <w:t>61</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hideMark/>
          </w:tcPr>
          <w:p w:rsidR="00302C32" w:rsidRPr="007C544A" w:rsidRDefault="00302C32"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ثانياً- نتائج اختبارات فروض الدراسة</w:t>
            </w:r>
          </w:p>
        </w:tc>
        <w:tc>
          <w:tcPr>
            <w:tcW w:w="1220" w:type="dxa"/>
            <w:gridSpan w:val="2"/>
            <w:shd w:val="clear" w:color="auto" w:fill="FFFFFF" w:themeFill="background1"/>
            <w:vAlign w:val="bottom"/>
          </w:tcPr>
          <w:p w:rsidR="00302C32" w:rsidRPr="007C544A" w:rsidRDefault="006F104D"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lang w:bidi="ar-EG"/>
              </w:rPr>
              <w:t>71</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ثالثاً- </w:t>
            </w:r>
            <w:r w:rsidRPr="007C544A">
              <w:rPr>
                <w:rFonts w:ascii="Traditional Arabic" w:hAnsi="Traditional Arabic" w:cs="Traditional Arabic"/>
                <w:b/>
                <w:bCs/>
                <w:sz w:val="24"/>
                <w:szCs w:val="24"/>
                <w:rtl/>
                <w:lang w:bidi="ar-EG"/>
              </w:rPr>
              <w:t>نتائج المقابلات الشخصية</w:t>
            </w:r>
          </w:p>
        </w:tc>
        <w:tc>
          <w:tcPr>
            <w:tcW w:w="1220" w:type="dxa"/>
            <w:gridSpan w:val="2"/>
            <w:shd w:val="clear" w:color="auto" w:fill="FFFFFF" w:themeFill="background1"/>
            <w:vAlign w:val="bottom"/>
          </w:tcPr>
          <w:p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81</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7066CD" w:rsidRPr="007C544A" w:rsidRDefault="007066CD" w:rsidP="005171F1">
            <w:pPr>
              <w:pStyle w:val="Heading3"/>
              <w:shd w:val="clear" w:color="auto" w:fill="FFFFFF" w:themeFill="background1"/>
              <w:bidi/>
              <w:spacing w:before="120" w:after="120"/>
              <w:outlineLvl w:val="2"/>
              <w:rPr>
                <w:rFonts w:ascii="Traditional Arabic" w:eastAsiaTheme="minorHAnsi" w:hAnsi="Traditional Arabic" w:cs="Traditional Arabic"/>
                <w:b/>
                <w:bCs/>
                <w:color w:val="auto"/>
                <w:rtl/>
                <w:lang w:bidi="ar-EG"/>
              </w:rPr>
            </w:pPr>
            <w:r w:rsidRPr="007C544A">
              <w:rPr>
                <w:rFonts w:ascii="Traditional Arabic" w:eastAsiaTheme="minorHAnsi" w:hAnsi="Traditional Arabic" w:cs="Traditional Arabic"/>
                <w:b/>
                <w:bCs/>
                <w:color w:val="auto"/>
                <w:rtl/>
                <w:lang w:bidi="ar-EG"/>
              </w:rPr>
              <w:t xml:space="preserve">خلاصة الفصل </w:t>
            </w:r>
            <w:r w:rsidRPr="007C544A">
              <w:rPr>
                <w:rFonts w:ascii="Traditional Arabic" w:eastAsiaTheme="minorHAnsi" w:hAnsi="Traditional Arabic" w:cs="Traditional Arabic" w:hint="cs"/>
                <w:b/>
                <w:bCs/>
                <w:color w:val="auto"/>
                <w:rtl/>
                <w:lang w:bidi="ar-EG"/>
              </w:rPr>
              <w:t>الرابع</w:t>
            </w:r>
          </w:p>
        </w:tc>
        <w:tc>
          <w:tcPr>
            <w:tcW w:w="1220" w:type="dxa"/>
            <w:gridSpan w:val="2"/>
            <w:shd w:val="clear" w:color="auto" w:fill="FFFFFF" w:themeFill="background1"/>
            <w:vAlign w:val="bottom"/>
          </w:tcPr>
          <w:p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85</w:t>
            </w:r>
          </w:p>
        </w:tc>
      </w:tr>
      <w:tr w:rsidR="007C544A" w:rsidRPr="007C544A" w:rsidTr="007C544A">
        <w:tblPrEx>
          <w:jc w:val="center"/>
          <w:tblInd w:w="0" w:type="dxa"/>
          <w:shd w:val="clear" w:color="auto" w:fill="FFFFFF" w:themeFill="background1"/>
        </w:tblPrEx>
        <w:trPr>
          <w:jc w:val="center"/>
        </w:trPr>
        <w:tc>
          <w:tcPr>
            <w:tcW w:w="7197" w:type="dxa"/>
            <w:shd w:val="clear" w:color="auto" w:fill="BDD6EE" w:themeFill="accent1" w:themeFillTint="66"/>
          </w:tcPr>
          <w:p w:rsidR="007066CD" w:rsidRPr="007C544A" w:rsidRDefault="007066CD"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الخامس</w:t>
            </w:r>
          </w:p>
          <w:p w:rsidR="007066CD" w:rsidRPr="007C544A" w:rsidRDefault="007066CD"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مناقشة النتائج والتوصيات </w:t>
            </w:r>
          </w:p>
        </w:tc>
        <w:tc>
          <w:tcPr>
            <w:tcW w:w="1220" w:type="dxa"/>
            <w:gridSpan w:val="2"/>
            <w:shd w:val="clear" w:color="auto" w:fill="BDD6EE" w:themeFill="accent1" w:themeFillTint="66"/>
            <w:vAlign w:val="bottom"/>
          </w:tcPr>
          <w:p w:rsidR="007066CD" w:rsidRPr="007C544A" w:rsidRDefault="000A3B8D" w:rsidP="006E0C69">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w:t>
            </w:r>
            <w:r w:rsidR="006E0C69" w:rsidRPr="007C544A">
              <w:rPr>
                <w:rFonts w:ascii="Traditional Arabic" w:hAnsi="Traditional Arabic" w:cs="Traditional Arabic" w:hint="cs"/>
                <w:b/>
                <w:bCs/>
                <w:sz w:val="24"/>
                <w:szCs w:val="24"/>
                <w:rtl/>
                <w:lang w:bidi="ar-EG"/>
              </w:rPr>
              <w:t>6</w:t>
            </w:r>
            <w:r w:rsidR="007066CD" w:rsidRPr="007C544A">
              <w:rPr>
                <w:rFonts w:ascii="Traditional Arabic" w:hAnsi="Traditional Arabic" w:cs="Traditional Arabic" w:hint="cs"/>
                <w:b/>
                <w:bCs/>
                <w:sz w:val="24"/>
                <w:szCs w:val="24"/>
                <w:rtl/>
                <w:lang w:bidi="ar-EG"/>
              </w:rPr>
              <w:t>-</w:t>
            </w:r>
            <w:r w:rsidR="006E0C69" w:rsidRPr="007C544A">
              <w:rPr>
                <w:rFonts w:ascii="Traditional Arabic" w:hAnsi="Traditional Arabic" w:cs="Traditional Arabic" w:hint="cs"/>
                <w:b/>
                <w:bCs/>
                <w:sz w:val="24"/>
                <w:szCs w:val="24"/>
                <w:rtl/>
                <w:lang w:bidi="ar-EG"/>
              </w:rPr>
              <w:t>100</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تمهيد</w:t>
            </w:r>
          </w:p>
        </w:tc>
        <w:tc>
          <w:tcPr>
            <w:tcW w:w="1220" w:type="dxa"/>
            <w:gridSpan w:val="2"/>
            <w:shd w:val="clear" w:color="auto" w:fill="FFFFFF" w:themeFill="background1"/>
            <w:vAlign w:val="bottom"/>
          </w:tcPr>
          <w:p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87</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lastRenderedPageBreak/>
              <w:t xml:space="preserve">أولاً- مناقشة النتائج </w:t>
            </w:r>
          </w:p>
        </w:tc>
        <w:tc>
          <w:tcPr>
            <w:tcW w:w="1220" w:type="dxa"/>
            <w:gridSpan w:val="2"/>
            <w:shd w:val="clear" w:color="auto" w:fill="FFFFFF" w:themeFill="background1"/>
            <w:vAlign w:val="bottom"/>
          </w:tcPr>
          <w:p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87</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F55894" w:rsidRPr="007C544A" w:rsidRDefault="00F55894"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ثانياً- </w:t>
            </w:r>
            <w:r w:rsidR="003577FC" w:rsidRPr="007C544A">
              <w:rPr>
                <w:rFonts w:ascii="Traditional Arabic" w:hAnsi="Traditional Arabic" w:cs="Traditional Arabic" w:hint="cs"/>
                <w:b/>
                <w:bCs/>
                <w:sz w:val="24"/>
                <w:szCs w:val="24"/>
                <w:rtl/>
                <w:lang w:bidi="ar-EG"/>
              </w:rPr>
              <w:t>التوصيات</w:t>
            </w:r>
          </w:p>
        </w:tc>
        <w:tc>
          <w:tcPr>
            <w:tcW w:w="1220" w:type="dxa"/>
            <w:gridSpan w:val="2"/>
            <w:shd w:val="clear" w:color="auto" w:fill="FFFFFF" w:themeFill="background1"/>
            <w:vAlign w:val="bottom"/>
          </w:tcPr>
          <w:p w:rsidR="00F55894"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93</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7066CD" w:rsidRPr="007C544A" w:rsidRDefault="00F55894"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ثالثاً</w:t>
            </w:r>
            <w:r w:rsidR="007066CD" w:rsidRPr="007C544A">
              <w:rPr>
                <w:rFonts w:ascii="Traditional Arabic" w:hAnsi="Traditional Arabic" w:cs="Traditional Arabic"/>
                <w:b/>
                <w:bCs/>
                <w:sz w:val="24"/>
                <w:szCs w:val="24"/>
                <w:rtl/>
                <w:lang w:bidi="ar-EG"/>
              </w:rPr>
              <w:t xml:space="preserve">- </w:t>
            </w:r>
            <w:r w:rsidR="003577FC" w:rsidRPr="007C544A">
              <w:rPr>
                <w:rFonts w:ascii="Traditional Arabic" w:hAnsi="Traditional Arabic" w:cs="Traditional Arabic"/>
                <w:b/>
                <w:bCs/>
                <w:sz w:val="24"/>
                <w:szCs w:val="24"/>
                <w:rtl/>
                <w:lang w:bidi="ar-EG"/>
              </w:rPr>
              <w:t>الاستراتيجية المقترحة لتعزيز الجاهزية للإدراج في السوق الموازية</w:t>
            </w:r>
          </w:p>
        </w:tc>
        <w:tc>
          <w:tcPr>
            <w:tcW w:w="1220" w:type="dxa"/>
            <w:gridSpan w:val="2"/>
            <w:shd w:val="clear" w:color="auto" w:fill="FFFFFF" w:themeFill="background1"/>
            <w:vAlign w:val="bottom"/>
          </w:tcPr>
          <w:p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95</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7066CD" w:rsidRPr="007C544A" w:rsidRDefault="00F55894"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رابعاً</w:t>
            </w:r>
            <w:r w:rsidR="005C0E9A" w:rsidRPr="007C544A">
              <w:rPr>
                <w:rFonts w:ascii="Traditional Arabic" w:hAnsi="Traditional Arabic" w:cs="Traditional Arabic"/>
                <w:b/>
                <w:bCs/>
                <w:sz w:val="24"/>
                <w:szCs w:val="24"/>
                <w:rtl/>
                <w:lang w:bidi="ar-EG"/>
              </w:rPr>
              <w:t xml:space="preserve">- </w:t>
            </w:r>
            <w:r w:rsidR="005C0E9A" w:rsidRPr="007C544A">
              <w:rPr>
                <w:rFonts w:ascii="Traditional Arabic" w:hAnsi="Traditional Arabic" w:cs="Traditional Arabic" w:hint="cs"/>
                <w:b/>
                <w:bCs/>
                <w:sz w:val="24"/>
                <w:szCs w:val="24"/>
                <w:rtl/>
                <w:lang w:bidi="ar-EG"/>
              </w:rPr>
              <w:t>مقترحات ودراسات مستقبلية</w:t>
            </w:r>
          </w:p>
        </w:tc>
        <w:tc>
          <w:tcPr>
            <w:tcW w:w="1220" w:type="dxa"/>
            <w:gridSpan w:val="2"/>
            <w:shd w:val="clear" w:color="auto" w:fill="FFFFFF" w:themeFill="background1"/>
            <w:vAlign w:val="bottom"/>
          </w:tcPr>
          <w:p w:rsidR="007066CD" w:rsidRPr="007C544A" w:rsidRDefault="00D859D2"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9</w:t>
            </w:r>
            <w:r w:rsidR="005C0E9A" w:rsidRPr="007C544A">
              <w:rPr>
                <w:rFonts w:ascii="Traditional Arabic" w:hAnsi="Traditional Arabic" w:cs="Traditional Arabic" w:hint="cs"/>
                <w:b/>
                <w:bCs/>
                <w:sz w:val="24"/>
                <w:szCs w:val="24"/>
                <w:rtl/>
                <w:lang w:bidi="ar-EG"/>
              </w:rPr>
              <w:t>7</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7066CD" w:rsidRPr="007C544A" w:rsidRDefault="000A3B8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خامسًا</w:t>
            </w:r>
            <w:r w:rsidR="007066CD" w:rsidRPr="007C544A">
              <w:rPr>
                <w:rFonts w:ascii="Traditional Arabic" w:hAnsi="Traditional Arabic" w:cs="Traditional Arabic"/>
                <w:b/>
                <w:bCs/>
                <w:sz w:val="24"/>
                <w:szCs w:val="24"/>
                <w:rtl/>
                <w:lang w:bidi="ar-EG"/>
              </w:rPr>
              <w:t xml:space="preserve">- الخاتمة </w:t>
            </w:r>
          </w:p>
        </w:tc>
        <w:tc>
          <w:tcPr>
            <w:tcW w:w="1220" w:type="dxa"/>
            <w:gridSpan w:val="2"/>
            <w:shd w:val="clear" w:color="auto" w:fill="FFFFFF" w:themeFill="background1"/>
            <w:vAlign w:val="bottom"/>
          </w:tcPr>
          <w:p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100</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قائمة</w:t>
            </w:r>
            <w:r w:rsidR="00F55894" w:rsidRPr="007C544A">
              <w:rPr>
                <w:rFonts w:ascii="Traditional Arabic" w:hAnsi="Traditional Arabic" w:cs="Traditional Arabic" w:hint="cs"/>
                <w:b/>
                <w:bCs/>
                <w:sz w:val="24"/>
                <w:szCs w:val="24"/>
                <w:rtl/>
                <w:lang w:bidi="ar-EG"/>
              </w:rPr>
              <w:t xml:space="preserve"> المصادر</w:t>
            </w:r>
            <w:r w:rsidRPr="007C544A">
              <w:rPr>
                <w:rFonts w:ascii="Traditional Arabic" w:hAnsi="Traditional Arabic" w:cs="Traditional Arabic"/>
                <w:b/>
                <w:bCs/>
                <w:sz w:val="24"/>
                <w:szCs w:val="24"/>
                <w:rtl/>
                <w:lang w:bidi="ar-EG"/>
              </w:rPr>
              <w:t xml:space="preserve"> </w:t>
            </w:r>
            <w:r w:rsidR="00F55894" w:rsidRPr="007C544A">
              <w:rPr>
                <w:rFonts w:ascii="Traditional Arabic" w:hAnsi="Traditional Arabic" w:cs="Traditional Arabic" w:hint="cs"/>
                <w:b/>
                <w:bCs/>
                <w:sz w:val="24"/>
                <w:szCs w:val="24"/>
                <w:rtl/>
                <w:lang w:bidi="ar-EG"/>
              </w:rPr>
              <w:t>و</w:t>
            </w:r>
            <w:r w:rsidRPr="007C544A">
              <w:rPr>
                <w:rFonts w:ascii="Traditional Arabic" w:hAnsi="Traditional Arabic" w:cs="Traditional Arabic"/>
                <w:b/>
                <w:bCs/>
                <w:sz w:val="24"/>
                <w:szCs w:val="24"/>
                <w:rtl/>
                <w:lang w:bidi="ar-EG"/>
              </w:rPr>
              <w:t xml:space="preserve">المراجع </w:t>
            </w:r>
          </w:p>
        </w:tc>
        <w:tc>
          <w:tcPr>
            <w:tcW w:w="1220" w:type="dxa"/>
            <w:gridSpan w:val="2"/>
            <w:shd w:val="clear" w:color="auto" w:fill="FFFFFF" w:themeFill="background1"/>
            <w:vAlign w:val="bottom"/>
          </w:tcPr>
          <w:p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101</w:t>
            </w:r>
          </w:p>
        </w:tc>
      </w:tr>
      <w:tr w:rsidR="007C544A" w:rsidRPr="007C544A" w:rsidTr="006E0C69">
        <w:tblPrEx>
          <w:jc w:val="center"/>
          <w:tblInd w:w="0" w:type="dxa"/>
          <w:shd w:val="clear" w:color="auto" w:fill="FFFFFF" w:themeFill="background1"/>
        </w:tblPrEx>
        <w:trPr>
          <w:jc w:val="center"/>
        </w:trPr>
        <w:tc>
          <w:tcPr>
            <w:tcW w:w="7197" w:type="dxa"/>
            <w:shd w:val="clear" w:color="auto" w:fill="FFFFFF" w:themeFill="background1"/>
          </w:tcPr>
          <w:p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ملاحق </w:t>
            </w:r>
            <w:r w:rsidR="00F55894" w:rsidRPr="007C544A">
              <w:rPr>
                <w:rFonts w:ascii="Traditional Arabic" w:hAnsi="Traditional Arabic" w:cs="Traditional Arabic" w:hint="cs"/>
                <w:b/>
                <w:bCs/>
                <w:sz w:val="24"/>
                <w:szCs w:val="24"/>
                <w:rtl/>
                <w:lang w:bidi="ar-EG"/>
              </w:rPr>
              <w:t>الدراسة</w:t>
            </w:r>
          </w:p>
        </w:tc>
        <w:tc>
          <w:tcPr>
            <w:tcW w:w="1220" w:type="dxa"/>
            <w:gridSpan w:val="2"/>
            <w:shd w:val="clear" w:color="auto" w:fill="FFFFFF" w:themeFill="background1"/>
            <w:vAlign w:val="bottom"/>
          </w:tcPr>
          <w:p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116</w:t>
            </w:r>
          </w:p>
        </w:tc>
      </w:tr>
    </w:tbl>
    <w:p w:rsidR="0070012E" w:rsidRPr="007C544A" w:rsidRDefault="0070012E" w:rsidP="005171F1">
      <w:pPr>
        <w:shd w:val="clear" w:color="auto" w:fill="FFFFFF" w:themeFill="background1"/>
        <w:bidi/>
        <w:spacing w:after="0" w:line="240" w:lineRule="auto"/>
        <w:jc w:val="center"/>
        <w:rPr>
          <w:rFonts w:ascii="Simplified Arabic" w:hAnsi="Simplified Arabic" w:cs="Simplified Arabic"/>
          <w:b/>
          <w:bCs/>
          <w:sz w:val="32"/>
          <w:szCs w:val="32"/>
          <w:rtl/>
          <w:lang w:bidi="ar-EG"/>
        </w:rPr>
      </w:pPr>
    </w:p>
    <w:p w:rsidR="0070012E" w:rsidRPr="007C544A" w:rsidRDefault="0070012E" w:rsidP="003577FC">
      <w:pPr>
        <w:spacing w:line="360" w:lineRule="auto"/>
        <w:rPr>
          <w:rFonts w:ascii="Simplified Arabic" w:hAnsi="Simplified Arabic" w:cs="Simplified Arabic"/>
          <w:b/>
          <w:bCs/>
          <w:sz w:val="32"/>
          <w:szCs w:val="32"/>
          <w:rtl/>
          <w:lang w:bidi="ar-EG"/>
        </w:rPr>
      </w:pPr>
      <w:r w:rsidRPr="007C544A">
        <w:rPr>
          <w:rFonts w:ascii="Simplified Arabic" w:hAnsi="Simplified Arabic" w:cs="Simplified Arabic"/>
          <w:b/>
          <w:bCs/>
          <w:sz w:val="32"/>
          <w:szCs w:val="32"/>
          <w:rtl/>
          <w:lang w:bidi="ar-EG"/>
        </w:rPr>
        <w:br w:type="page"/>
      </w:r>
    </w:p>
    <w:p w:rsidR="0082250B" w:rsidRPr="007C544A" w:rsidRDefault="00F0777A" w:rsidP="003577FC">
      <w:pPr>
        <w:shd w:val="clear" w:color="auto" w:fill="FFFFFF" w:themeFill="background1"/>
        <w:bidi/>
        <w:spacing w:after="0" w:line="360" w:lineRule="auto"/>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lastRenderedPageBreak/>
        <w:t>قائمة ال</w:t>
      </w:r>
      <w:r w:rsidR="006A021A" w:rsidRPr="007C544A">
        <w:rPr>
          <w:rFonts w:ascii="Traditional Arabic" w:hAnsi="Traditional Arabic" w:cs="Traditional Arabic" w:hint="cs"/>
          <w:b/>
          <w:bCs/>
          <w:sz w:val="24"/>
          <w:szCs w:val="24"/>
          <w:rtl/>
          <w:lang w:bidi="ar-EG"/>
        </w:rPr>
        <w:t>جداول</w:t>
      </w:r>
      <w:r w:rsidRPr="007C544A">
        <w:rPr>
          <w:rFonts w:ascii="Traditional Arabic" w:hAnsi="Traditional Arabic" w:cs="Traditional Arabic" w:hint="cs"/>
          <w:b/>
          <w:bCs/>
          <w:sz w:val="24"/>
          <w:szCs w:val="24"/>
          <w:rtl/>
          <w:lang w:bidi="ar-EG"/>
        </w:rPr>
        <w:t xml:space="preserve"> </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7227"/>
        <w:gridCol w:w="1069"/>
      </w:tblGrid>
      <w:tr w:rsidR="007C544A" w:rsidRPr="007C544A" w:rsidTr="007C544A">
        <w:trPr>
          <w:tblHeader/>
          <w:jc w:val="center"/>
        </w:trPr>
        <w:tc>
          <w:tcPr>
            <w:tcW w:w="7227" w:type="dxa"/>
            <w:tcBorders>
              <w:top w:val="threeDEngrave" w:sz="24" w:space="0" w:color="auto"/>
              <w:bottom w:val="threeDEmboss" w:sz="24" w:space="0" w:color="auto"/>
            </w:tcBorders>
            <w:shd w:val="clear" w:color="auto" w:fill="BDD6EE" w:themeFill="accent1" w:themeFillTint="66"/>
          </w:tcPr>
          <w:p w:rsidR="009432EF" w:rsidRPr="007C544A" w:rsidRDefault="009432EF"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الجدول</w:t>
            </w:r>
          </w:p>
        </w:tc>
        <w:tc>
          <w:tcPr>
            <w:tcW w:w="1069" w:type="dxa"/>
            <w:tcBorders>
              <w:top w:val="threeDEngrave" w:sz="24" w:space="0" w:color="auto"/>
              <w:bottom w:val="threeDEmboss" w:sz="24" w:space="0" w:color="auto"/>
            </w:tcBorders>
            <w:shd w:val="clear" w:color="auto" w:fill="BDD6EE" w:themeFill="accent1" w:themeFillTint="66"/>
            <w:vAlign w:val="bottom"/>
          </w:tcPr>
          <w:p w:rsidR="009432EF" w:rsidRPr="007C544A" w:rsidRDefault="009432EF"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الصفحة</w:t>
            </w:r>
          </w:p>
        </w:tc>
      </w:tr>
      <w:tr w:rsidR="009432EF" w:rsidRPr="007C544A" w:rsidTr="00F77385">
        <w:trPr>
          <w:jc w:val="center"/>
        </w:trPr>
        <w:tc>
          <w:tcPr>
            <w:tcW w:w="7227" w:type="dxa"/>
            <w:tcBorders>
              <w:top w:val="threeDEmboss" w:sz="24" w:space="0" w:color="auto"/>
            </w:tcBorders>
          </w:tcPr>
          <w:p w:rsidR="009432EF" w:rsidRPr="007C544A" w:rsidRDefault="009432EF" w:rsidP="003577FC">
            <w:pPr>
              <w:pStyle w:val="NormalWeb"/>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(2-1): تطور أداء سوق نمو</w:t>
            </w:r>
            <w:r w:rsidRPr="007C544A">
              <w:rPr>
                <w:rFonts w:ascii="Traditional Arabic" w:eastAsiaTheme="minorHAnsi" w:hAnsi="Traditional Arabic" w:cs="Traditional Arabic" w:hint="cs"/>
                <w:b/>
                <w:bCs/>
                <w:rtl/>
                <w:lang w:bidi="ar-EG"/>
              </w:rPr>
              <w:t>.</w:t>
            </w:r>
          </w:p>
        </w:tc>
        <w:tc>
          <w:tcPr>
            <w:tcW w:w="1069" w:type="dxa"/>
            <w:tcBorders>
              <w:top w:val="threeDEmboss" w:sz="24" w:space="0" w:color="auto"/>
            </w:tcBorders>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38</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(2-2): تفاصيل الصفقات الخاصة على أسهم الشركات منذ بداية 2017</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38</w:t>
            </w:r>
          </w:p>
        </w:tc>
      </w:tr>
      <w:tr w:rsidR="009432EF" w:rsidRPr="007C544A" w:rsidTr="00F77385">
        <w:trPr>
          <w:trHeight w:val="377"/>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(2-3): تطور عدد شركات كل قطاع</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39</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(2-4): تفاصيل انتقال الشركات من السوق الموازية إلى السوق الرئيسية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41</w:t>
            </w:r>
          </w:p>
        </w:tc>
      </w:tr>
      <w:tr w:rsidR="009432EF" w:rsidRPr="007C544A" w:rsidTr="00F77385">
        <w:trPr>
          <w:jc w:val="center"/>
        </w:trPr>
        <w:tc>
          <w:tcPr>
            <w:tcW w:w="7227" w:type="dxa"/>
          </w:tcPr>
          <w:p w:rsidR="009432EF" w:rsidRPr="007C544A" w:rsidRDefault="009432EF" w:rsidP="005B0BB1">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جدول </w:t>
            </w:r>
            <w:r w:rsidR="005B0BB1" w:rsidRPr="007C544A">
              <w:rPr>
                <w:rFonts w:ascii="Traditional Arabic" w:eastAsiaTheme="minorHAnsi" w:hAnsi="Traditional Arabic" w:cs="Traditional Arabic" w:hint="cs"/>
                <w:b/>
                <w:bCs/>
                <w:rtl/>
                <w:lang w:bidi="ar-EG"/>
              </w:rPr>
              <w:t>(3-1)</w:t>
            </w:r>
            <w:r w:rsidRPr="007C544A">
              <w:rPr>
                <w:rFonts w:ascii="Traditional Arabic" w:eastAsiaTheme="minorHAnsi" w:hAnsi="Traditional Arabic" w:cs="Traditional Arabic"/>
                <w:b/>
                <w:bCs/>
                <w:rtl/>
                <w:lang w:bidi="ar-EG"/>
              </w:rPr>
              <w:t xml:space="preserve"> بيانات الشركات المدرجة في سوق نمو محل الدراسة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48</w:t>
            </w:r>
          </w:p>
        </w:tc>
      </w:tr>
      <w:tr w:rsidR="009432EF" w:rsidRPr="007C544A" w:rsidTr="00F77385">
        <w:trPr>
          <w:jc w:val="center"/>
        </w:trPr>
        <w:tc>
          <w:tcPr>
            <w:tcW w:w="7227" w:type="dxa"/>
          </w:tcPr>
          <w:p w:rsidR="009432EF" w:rsidRPr="007C544A" w:rsidRDefault="009432EF" w:rsidP="005B0BB1">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جدول </w:t>
            </w:r>
            <w:r w:rsidR="005B0BB1" w:rsidRPr="007C544A">
              <w:rPr>
                <w:rFonts w:ascii="Traditional Arabic" w:eastAsiaTheme="minorHAnsi" w:hAnsi="Traditional Arabic" w:cs="Traditional Arabic" w:hint="cs"/>
                <w:b/>
                <w:bCs/>
                <w:rtl/>
                <w:lang w:bidi="ar-EG"/>
              </w:rPr>
              <w:t>(3-2)</w:t>
            </w:r>
            <w:r w:rsidRPr="007C544A">
              <w:rPr>
                <w:rFonts w:ascii="Traditional Arabic" w:eastAsiaTheme="minorHAnsi" w:hAnsi="Traditional Arabic" w:cs="Traditional Arabic"/>
                <w:b/>
                <w:bCs/>
                <w:rtl/>
                <w:lang w:bidi="ar-EG"/>
              </w:rPr>
              <w:t>: توزيع عينة الدراسة على الشركات محل الدراسة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49</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(3-3): مستويات المتوسط الحسابي المرجح وفق مقياس لكريت الخماسي</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52</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(3-4): الدراسات المستخدمة في قياس متغيرات الدراسة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53</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(3-5): مقياس ليكرت الخماسي</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54</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(3-6): نتائج اختبار الصدق والثبات</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58</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(3-7): نتائج التحليل العاملي لمتغيرات الدراسة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58</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(3-8): نتائج اختبار</w:t>
            </w:r>
            <w:r w:rsidRPr="007C544A">
              <w:rPr>
                <w:rFonts w:ascii="Traditional Arabic" w:eastAsiaTheme="minorHAnsi" w:hAnsi="Traditional Arabic" w:cs="Traditional Arabic"/>
                <w:b/>
                <w:bCs/>
                <w:lang w:bidi="ar-EG"/>
              </w:rPr>
              <w:t xml:space="preserve"> KMO</w:t>
            </w:r>
            <w:r w:rsidRPr="007C544A">
              <w:rPr>
                <w:rFonts w:ascii="Traditional Arabic" w:eastAsiaTheme="minorHAnsi" w:hAnsi="Traditional Arabic" w:cs="Traditional Arabic"/>
                <w:b/>
                <w:bCs/>
                <w:rtl/>
                <w:lang w:bidi="ar-EG"/>
              </w:rPr>
              <w:t xml:space="preserve"> و</w:t>
            </w:r>
            <w:r w:rsidRPr="007C544A">
              <w:rPr>
                <w:rFonts w:ascii="Traditional Arabic" w:eastAsiaTheme="minorHAnsi" w:hAnsi="Traditional Arabic" w:cs="Traditional Arabic"/>
                <w:b/>
                <w:bCs/>
                <w:lang w:bidi="ar-EG"/>
              </w:rPr>
              <w:t>Bartlett</w:t>
            </w:r>
            <w:r w:rsidRPr="007C544A">
              <w:rPr>
                <w:rFonts w:ascii="Traditional Arabic" w:eastAsiaTheme="minorHAnsi" w:hAnsi="Traditional Arabic" w:cs="Traditional Arabic"/>
                <w:b/>
                <w:bCs/>
                <w:rtl/>
                <w:lang w:bidi="ar-EG"/>
              </w:rPr>
              <w:t xml:space="preserve"> لملاءمة البيانات للتحليل العاملي</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59</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 توزيع مبحوثي عينة الدراسة حسب المتغيرات الديمغرافية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63</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(4-2): المتوسط الحسابي والانحراف المعياري لإجابات عينة الدراسة عن العبارات المتعلقة لبعد الأداء المالي</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66</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(4-3): المتوسط الحسابي والانحراف المعياري لإجابات عينة الدراسة عن العبارات المتعلقة ببعد متطلبات الحوكمة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67</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(4-4): المتوسط الحسابي والانحراف المعياري لإجابات عينة الدراسة عن العبارات المتعلقة ببعد القدرة التنافسية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68</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(4-5): المتوسط الحسابي والانحراف المعياري لإجابات عينة الدراسة عن العبارات المتعلقة ببعد الحصول على التمويل</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69</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(4-6): المتوسطات الحسابية والانحرافات المعيارية لأبعاد الدراسة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70</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lastRenderedPageBreak/>
              <w:t>جدول (4-7): ربط أبعاد الدراسة بالفروض</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70</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(4-8): نتائج الانحدار الأحادي لكل بعد</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71</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(4-9): الانحدار البسيط</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72</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(4-10): الانحدار البسيط</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72</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جدول (4-11): اختبار </w:t>
            </w:r>
            <w:r w:rsidRPr="007C544A">
              <w:rPr>
                <w:rFonts w:ascii="Traditional Arabic" w:eastAsiaTheme="minorHAnsi" w:hAnsi="Traditional Arabic" w:cs="Traditional Arabic"/>
                <w:b/>
                <w:bCs/>
                <w:lang w:bidi="ar-EG"/>
              </w:rPr>
              <w:t xml:space="preserve">ANOVA </w:t>
            </w:r>
            <w:r w:rsidRPr="007C544A">
              <w:rPr>
                <w:rFonts w:ascii="Traditional Arabic" w:eastAsiaTheme="minorHAnsi" w:hAnsi="Traditional Arabic" w:cs="Traditional Arabic" w:hint="cs"/>
                <w:b/>
                <w:bCs/>
                <w:rtl/>
                <w:lang w:bidi="ar-EG"/>
              </w:rPr>
              <w:t xml:space="preserve"> </w:t>
            </w:r>
            <w:r w:rsidRPr="007C544A">
              <w:rPr>
                <w:rFonts w:ascii="Traditional Arabic" w:eastAsiaTheme="minorHAnsi" w:hAnsi="Traditional Arabic" w:cs="Traditional Arabic"/>
                <w:b/>
                <w:bCs/>
                <w:rtl/>
                <w:lang w:bidi="ar-EG"/>
              </w:rPr>
              <w:t>أحادي الاتجاه (</w:t>
            </w:r>
            <w:r w:rsidRPr="007C544A">
              <w:rPr>
                <w:rFonts w:ascii="Traditional Arabic" w:eastAsiaTheme="minorHAnsi" w:hAnsi="Traditional Arabic" w:cs="Traditional Arabic"/>
                <w:b/>
                <w:bCs/>
                <w:lang w:bidi="ar-EG"/>
              </w:rPr>
              <w:t>One-way 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73</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(4-12):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74</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(4-13): اختبار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أحادي الاتجاه (</w:t>
            </w:r>
            <w:r w:rsidRPr="007C544A">
              <w:rPr>
                <w:rFonts w:ascii="Traditional Arabic" w:eastAsiaTheme="minorHAnsi" w:hAnsi="Traditional Arabic" w:cs="Traditional Arabic"/>
                <w:b/>
                <w:bCs/>
                <w:lang w:bidi="ar-EG"/>
              </w:rPr>
              <w:t>One-way 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75</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(4-14):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75</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(4-15): اختبار</w:t>
            </w:r>
            <w:r w:rsidRPr="007C544A">
              <w:rPr>
                <w:rFonts w:ascii="Traditional Arabic" w:eastAsiaTheme="minorHAnsi" w:hAnsi="Traditional Arabic" w:cs="Traditional Arabic"/>
                <w:b/>
                <w:bCs/>
                <w:lang w:bidi="ar-EG"/>
              </w:rPr>
              <w:t xml:space="preserve"> ANOVA </w:t>
            </w:r>
            <w:r w:rsidRPr="007C544A">
              <w:rPr>
                <w:rFonts w:ascii="Traditional Arabic" w:eastAsiaTheme="minorHAnsi" w:hAnsi="Traditional Arabic" w:cs="Traditional Arabic"/>
                <w:b/>
                <w:bCs/>
                <w:rtl/>
                <w:lang w:bidi="ar-EG"/>
              </w:rPr>
              <w:t>أحادي الاتجاه لتحليل الفروق بين متوسطات تقييم أثر الدمج حسب المسمى الوظيفي</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76</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(4-16):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76</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(4-17): اختبار</w:t>
            </w:r>
            <w:r w:rsidRPr="007C544A">
              <w:rPr>
                <w:rFonts w:ascii="Traditional Arabic" w:eastAsiaTheme="minorHAnsi" w:hAnsi="Traditional Arabic" w:cs="Traditional Arabic"/>
                <w:b/>
                <w:bCs/>
                <w:lang w:bidi="ar-EG"/>
              </w:rPr>
              <w:t xml:space="preserve"> ANOVA </w:t>
            </w:r>
            <w:r w:rsidRPr="007C544A">
              <w:rPr>
                <w:rFonts w:ascii="Traditional Arabic" w:eastAsiaTheme="minorHAnsi" w:hAnsi="Traditional Arabic" w:cs="Traditional Arabic"/>
                <w:b/>
                <w:bCs/>
                <w:rtl/>
                <w:lang w:bidi="ar-EG"/>
              </w:rPr>
              <w:t>أحادي الاتجاه لتحليل الفروق بين متوسطات تقييم أثر الدمج حسب سنوات الخبرة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77</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(4-18):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78</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(4-19): نتائج اختبار الفروض</w:t>
            </w:r>
            <w:r w:rsidRPr="007C544A">
              <w:rPr>
                <w:rFonts w:ascii="Traditional Arabic" w:eastAsiaTheme="minorHAnsi" w:hAnsi="Traditional Arabic" w:cs="Traditional Arabic" w:hint="cs"/>
                <w:b/>
                <w:bCs/>
                <w:rtl/>
                <w:lang w:bidi="ar-EG"/>
              </w:rPr>
              <w:t xml:space="preserve"> </w:t>
            </w:r>
            <w:r w:rsidRPr="007C544A">
              <w:rPr>
                <w:rFonts w:ascii="Traditional Arabic" w:eastAsiaTheme="minorHAnsi" w:hAnsi="Traditional Arabic" w:cs="Traditional Arabic"/>
                <w:b/>
                <w:bCs/>
                <w:rtl/>
                <w:lang w:bidi="ar-EG"/>
              </w:rPr>
              <w:t>تأثير استراتيجية دمج الشركات على الجاهزية للإدراج في دخول سوق النمو (السوق الموازية)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79</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(4-20): ملخص تساؤلات الدراسة وربطها بالفروض وأساليب التحليل والنتائج</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80</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lastRenderedPageBreak/>
              <w:t>جدول (4-21): بيانات المسئولين في المقابلات الشخصية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82</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(4-22): ملخص أهم نتائج الدراسة الميدانية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83</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(5-1): المراحل التنفيذية المقترحة لاستراتيجية دمج الشركات لتعزيز الجاهزية للإدراج في الدخول السوق الموازية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94</w:t>
            </w:r>
          </w:p>
        </w:tc>
      </w:tr>
      <w:tr w:rsidR="009432EF" w:rsidRPr="007C544A" w:rsidTr="00F77385">
        <w:trPr>
          <w:jc w:val="center"/>
        </w:trPr>
        <w:tc>
          <w:tcPr>
            <w:tcW w:w="7227" w:type="dxa"/>
          </w:tcPr>
          <w:p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(5-2): توصيات الدراسة</w:t>
            </w:r>
            <w:r w:rsidRPr="007C544A">
              <w:rPr>
                <w:rFonts w:ascii="Traditional Arabic" w:eastAsiaTheme="minorHAnsi" w:hAnsi="Traditional Arabic" w:cs="Traditional Arabic" w:hint="cs"/>
                <w:b/>
                <w:bCs/>
                <w:rtl/>
                <w:lang w:bidi="ar-EG"/>
              </w:rPr>
              <w:t>.</w:t>
            </w:r>
          </w:p>
        </w:tc>
        <w:tc>
          <w:tcPr>
            <w:tcW w:w="1069" w:type="dxa"/>
            <w:vAlign w:val="bottom"/>
          </w:tcPr>
          <w:p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97</w:t>
            </w:r>
          </w:p>
        </w:tc>
      </w:tr>
    </w:tbl>
    <w:p w:rsidR="00EF3ADD" w:rsidRPr="007C544A" w:rsidRDefault="00EF3ADD" w:rsidP="003577FC">
      <w:pPr>
        <w:spacing w:after="0" w:line="240" w:lineRule="auto"/>
        <w:jc w:val="center"/>
        <w:rPr>
          <w:rFonts w:ascii="Traditional Arabic" w:hAnsi="Traditional Arabic" w:cs="Traditional Arabic"/>
          <w:b/>
          <w:bCs/>
          <w:sz w:val="34"/>
          <w:szCs w:val="34"/>
          <w:rtl/>
          <w:lang w:bidi="ar-EG"/>
        </w:rPr>
      </w:pPr>
    </w:p>
    <w:p w:rsidR="00EF3ADD" w:rsidRPr="007C544A" w:rsidRDefault="00EF3ADD" w:rsidP="003577FC">
      <w:pPr>
        <w:spacing w:after="0" w:line="240" w:lineRule="auto"/>
        <w:jc w:val="center"/>
        <w:rPr>
          <w:rFonts w:ascii="Traditional Arabic" w:hAnsi="Traditional Arabic" w:cs="Traditional Arabic"/>
          <w:b/>
          <w:bCs/>
          <w:sz w:val="34"/>
          <w:szCs w:val="34"/>
          <w:rtl/>
          <w:lang w:bidi="ar-EG"/>
        </w:rPr>
      </w:pPr>
    </w:p>
    <w:p w:rsidR="0082250B" w:rsidRPr="007C544A" w:rsidRDefault="0082250B" w:rsidP="003577FC">
      <w:pPr>
        <w:spacing w:after="0" w:line="24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hint="cs"/>
          <w:b/>
          <w:bCs/>
          <w:sz w:val="34"/>
          <w:szCs w:val="34"/>
          <w:rtl/>
          <w:lang w:bidi="ar-EG"/>
        </w:rPr>
        <w:t>قائمة الأشكال</w:t>
      </w:r>
    </w:p>
    <w:tbl>
      <w:tblPr>
        <w:tblStyle w:val="TableGrid"/>
        <w:bidiVisual/>
        <w:tblW w:w="8592" w:type="dxa"/>
        <w:jc w:val="center"/>
        <w:tblBorders>
          <w:top w:val="threeDEngrave" w:sz="24" w:space="0" w:color="auto"/>
          <w:bottom w:val="threeDEmboss" w:sz="24" w:space="0" w:color="auto"/>
        </w:tblBorders>
        <w:shd w:val="clear" w:color="auto" w:fill="FFFFFF" w:themeFill="background1"/>
        <w:tblLook w:val="01E0" w:firstRow="1" w:lastRow="1" w:firstColumn="1" w:lastColumn="1" w:noHBand="0" w:noVBand="0"/>
      </w:tblPr>
      <w:tblGrid>
        <w:gridCol w:w="1302"/>
        <w:gridCol w:w="6154"/>
        <w:gridCol w:w="1136"/>
      </w:tblGrid>
      <w:tr w:rsidR="007C544A" w:rsidRPr="007C544A" w:rsidTr="007C544A">
        <w:trPr>
          <w:jc w:val="center"/>
        </w:trPr>
        <w:tc>
          <w:tcPr>
            <w:tcW w:w="1302" w:type="dxa"/>
            <w:tcBorders>
              <w:top w:val="threeDEngrave" w:sz="24" w:space="0" w:color="auto"/>
              <w:bottom w:val="threeDEmboss" w:sz="24" w:space="0" w:color="auto"/>
            </w:tcBorders>
            <w:shd w:val="clear" w:color="auto" w:fill="BDD6EE" w:themeFill="accent1" w:themeFillTint="66"/>
            <w:vAlign w:val="center"/>
            <w:hideMark/>
          </w:tcPr>
          <w:p w:rsidR="0082250B" w:rsidRPr="007C544A" w:rsidRDefault="0082250B" w:rsidP="00706522">
            <w:pPr>
              <w:bidi/>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رقم الشكل</w:t>
            </w:r>
          </w:p>
        </w:tc>
        <w:tc>
          <w:tcPr>
            <w:tcW w:w="6154" w:type="dxa"/>
            <w:tcBorders>
              <w:top w:val="threeDEngrave" w:sz="24" w:space="0" w:color="auto"/>
              <w:bottom w:val="threeDEmboss" w:sz="24" w:space="0" w:color="auto"/>
            </w:tcBorders>
            <w:shd w:val="clear" w:color="auto" w:fill="BDD6EE" w:themeFill="accent1" w:themeFillTint="66"/>
            <w:vAlign w:val="center"/>
            <w:hideMark/>
          </w:tcPr>
          <w:p w:rsidR="0082250B" w:rsidRPr="007C544A" w:rsidRDefault="0082250B" w:rsidP="00706522">
            <w:pPr>
              <w:bidi/>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عنوان الشكل</w:t>
            </w:r>
          </w:p>
        </w:tc>
        <w:tc>
          <w:tcPr>
            <w:tcW w:w="1136" w:type="dxa"/>
            <w:tcBorders>
              <w:top w:val="threeDEngrave" w:sz="24" w:space="0" w:color="auto"/>
              <w:bottom w:val="threeDEmboss" w:sz="24" w:space="0" w:color="auto"/>
            </w:tcBorders>
            <w:shd w:val="clear" w:color="auto" w:fill="BDD6EE" w:themeFill="accent1" w:themeFillTint="66"/>
            <w:vAlign w:val="center"/>
            <w:hideMark/>
          </w:tcPr>
          <w:p w:rsidR="0082250B" w:rsidRPr="007C544A" w:rsidRDefault="0082250B" w:rsidP="00706522">
            <w:pPr>
              <w:autoSpaceDE w:val="0"/>
              <w:autoSpaceDN w:val="0"/>
              <w:bidi/>
              <w:adjustRightInd w:val="0"/>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الصفحة</w:t>
            </w:r>
          </w:p>
        </w:tc>
      </w:tr>
      <w:tr w:rsidR="00B07828" w:rsidRPr="007C544A" w:rsidTr="00020861">
        <w:trPr>
          <w:jc w:val="center"/>
        </w:trPr>
        <w:tc>
          <w:tcPr>
            <w:tcW w:w="1302" w:type="dxa"/>
            <w:shd w:val="clear" w:color="auto" w:fill="FFFFFF" w:themeFill="background1"/>
          </w:tcPr>
          <w:p w:rsidR="00B07828" w:rsidRPr="007C544A" w:rsidRDefault="00B07828" w:rsidP="00020861">
            <w:pPr>
              <w:shd w:val="clear" w:color="auto" w:fill="FFFFFF" w:themeFill="background1"/>
              <w:bidi/>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hint="cs"/>
                <w:b/>
                <w:bCs/>
                <w:sz w:val="34"/>
                <w:szCs w:val="34"/>
                <w:rtl/>
                <w:lang w:bidi="ar-EG"/>
              </w:rPr>
              <w:t>1-</w:t>
            </w:r>
            <w:r w:rsidR="00020861" w:rsidRPr="007C544A">
              <w:rPr>
                <w:rFonts w:ascii="Traditional Arabic" w:hAnsi="Traditional Arabic" w:cs="Traditional Arabic" w:hint="cs"/>
                <w:b/>
                <w:bCs/>
                <w:sz w:val="34"/>
                <w:szCs w:val="34"/>
                <w:rtl/>
                <w:lang w:bidi="ar-EG"/>
              </w:rPr>
              <w:t>1</w:t>
            </w:r>
          </w:p>
        </w:tc>
        <w:tc>
          <w:tcPr>
            <w:tcW w:w="6154" w:type="dxa"/>
            <w:shd w:val="clear" w:color="auto" w:fill="FFFFFF" w:themeFill="background1"/>
          </w:tcPr>
          <w:p w:rsidR="00B07828" w:rsidRPr="007C544A" w:rsidRDefault="00B07828" w:rsidP="00706522">
            <w:pPr>
              <w:shd w:val="clear" w:color="auto" w:fill="FFFFFF" w:themeFill="background1"/>
              <w:bidi/>
              <w:spacing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نموذج متغيرات الدراسة</w:t>
            </w:r>
          </w:p>
        </w:tc>
        <w:tc>
          <w:tcPr>
            <w:tcW w:w="1136" w:type="dxa"/>
            <w:shd w:val="clear" w:color="auto" w:fill="FFFFFF" w:themeFill="background1"/>
            <w:vAlign w:val="bottom"/>
          </w:tcPr>
          <w:p w:rsidR="00B07828" w:rsidRPr="007C544A" w:rsidRDefault="0058771A" w:rsidP="00644F1B">
            <w:pPr>
              <w:shd w:val="clear" w:color="auto" w:fill="FFFFFF" w:themeFill="background1"/>
              <w:autoSpaceDE w:val="0"/>
              <w:autoSpaceDN w:val="0"/>
              <w:bidi/>
              <w:adjustRightInd w:val="0"/>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hint="cs"/>
                <w:b/>
                <w:bCs/>
                <w:sz w:val="34"/>
                <w:szCs w:val="34"/>
                <w:rtl/>
                <w:lang w:bidi="ar-EG"/>
              </w:rPr>
              <w:t>16</w:t>
            </w:r>
          </w:p>
        </w:tc>
      </w:tr>
    </w:tbl>
    <w:p w:rsidR="0082250B" w:rsidRPr="007C544A" w:rsidRDefault="0082250B" w:rsidP="00706522">
      <w:pPr>
        <w:shd w:val="clear" w:color="auto" w:fill="FFFFFF" w:themeFill="background1"/>
        <w:spacing w:after="0" w:line="360" w:lineRule="auto"/>
        <w:rPr>
          <w:rFonts w:ascii="Times New Roman" w:eastAsia="Calibri" w:hAnsi="Times New Roman" w:cs="Andalus"/>
          <w:sz w:val="56"/>
          <w:szCs w:val="56"/>
          <w:rtl/>
          <w:lang w:bidi="ar-EG"/>
        </w:rPr>
        <w:sectPr w:rsidR="0082250B" w:rsidRPr="007C544A" w:rsidSect="00567003">
          <w:footerReference w:type="default" r:id="rId11"/>
          <w:pgSz w:w="11906" w:h="16838" w:code="9"/>
          <w:pgMar w:top="1440" w:right="1800" w:bottom="1440" w:left="1800" w:header="720" w:footer="720" w:gutter="0"/>
          <w:pgNumType w:fmt="arabicAbjad" w:start="1" w:chapStyle="1"/>
          <w:cols w:space="720"/>
          <w:docGrid w:linePitch="299"/>
        </w:sectPr>
      </w:pPr>
    </w:p>
    <w:p w:rsidR="00916075" w:rsidRPr="007C544A" w:rsidRDefault="00712E2A" w:rsidP="00706522">
      <w:pPr>
        <w:pStyle w:val="a"/>
        <w:shd w:val="clear" w:color="auto" w:fill="FFFFFF" w:themeFill="background1"/>
        <w:spacing w:line="360" w:lineRule="auto"/>
        <w:rPr>
          <w:rFonts w:ascii="Traditional Arabic" w:hAnsi="Traditional Arabic" w:cs="Traditional Arabic"/>
          <w:b/>
          <w:bCs/>
          <w:sz w:val="38"/>
          <w:szCs w:val="38"/>
          <w:rtl/>
        </w:rPr>
      </w:pPr>
      <w:r w:rsidRPr="007C544A">
        <w:rPr>
          <w:rFonts w:ascii="Traditional Arabic" w:hAnsi="Traditional Arabic" w:cs="Traditional Arabic"/>
          <w:b/>
          <w:bCs/>
          <w:sz w:val="38"/>
          <w:szCs w:val="38"/>
          <w:rtl/>
        </w:rPr>
        <w:lastRenderedPageBreak/>
        <w:t>الفصل ال</w:t>
      </w:r>
      <w:r w:rsidR="00B02E61" w:rsidRPr="007C544A">
        <w:rPr>
          <w:rFonts w:ascii="Traditional Arabic" w:hAnsi="Traditional Arabic" w:cs="Traditional Arabic"/>
          <w:b/>
          <w:bCs/>
          <w:sz w:val="38"/>
          <w:szCs w:val="38"/>
          <w:rtl/>
        </w:rPr>
        <w:t>أو</w:t>
      </w:r>
      <w:r w:rsidRPr="007C544A">
        <w:rPr>
          <w:rFonts w:ascii="Traditional Arabic" w:hAnsi="Traditional Arabic" w:cs="Traditional Arabic"/>
          <w:b/>
          <w:bCs/>
          <w:sz w:val="38"/>
          <w:szCs w:val="38"/>
          <w:rtl/>
        </w:rPr>
        <w:t>ل</w:t>
      </w:r>
    </w:p>
    <w:p w:rsidR="00712E2A" w:rsidRPr="007C544A" w:rsidRDefault="00097E72" w:rsidP="00706522">
      <w:pPr>
        <w:shd w:val="clear" w:color="auto" w:fill="FFFFFF" w:themeFill="background1"/>
        <w:bidi/>
        <w:spacing w:after="0" w:line="360" w:lineRule="auto"/>
        <w:jc w:val="center"/>
        <w:rPr>
          <w:rFonts w:ascii="Traditional Arabic" w:hAnsi="Traditional Arabic" w:cs="Traditional Arabic"/>
          <w:b/>
          <w:bCs/>
          <w:sz w:val="38"/>
          <w:szCs w:val="38"/>
          <w:rtl/>
          <w:lang w:bidi="ar-EG"/>
        </w:rPr>
      </w:pPr>
      <w:r w:rsidRPr="007C544A">
        <w:rPr>
          <w:rFonts w:ascii="Traditional Arabic" w:hAnsi="Traditional Arabic" w:cs="Traditional Arabic"/>
          <w:b/>
          <w:bCs/>
          <w:sz w:val="38"/>
          <w:szCs w:val="38"/>
          <w:rtl/>
          <w:lang w:bidi="ar-EG"/>
        </w:rPr>
        <w:t>مقدمة الدراسة</w:t>
      </w:r>
    </w:p>
    <w:p w:rsidR="00712E2A" w:rsidRPr="007C544A" w:rsidRDefault="008A4602"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مقدمة.</w:t>
      </w:r>
    </w:p>
    <w:p w:rsidR="00712E2A" w:rsidRPr="007C544A" w:rsidRDefault="00086CDD"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أولاً</w:t>
      </w:r>
      <w:r w:rsidR="00AE37A6" w:rsidRPr="007C544A">
        <w:rPr>
          <w:rFonts w:ascii="Traditional Arabic" w:hAnsi="Traditional Arabic" w:cs="Traditional Arabic"/>
          <w:b/>
          <w:bCs/>
          <w:sz w:val="32"/>
          <w:szCs w:val="32"/>
          <w:rtl/>
          <w:lang w:bidi="ar-EG"/>
        </w:rPr>
        <w:t xml:space="preserve">- </w:t>
      </w:r>
      <w:r w:rsidR="00712E2A" w:rsidRPr="007C544A">
        <w:rPr>
          <w:rFonts w:ascii="Traditional Arabic" w:hAnsi="Traditional Arabic" w:cs="Traditional Arabic"/>
          <w:b/>
          <w:bCs/>
          <w:sz w:val="32"/>
          <w:szCs w:val="32"/>
          <w:rtl/>
          <w:lang w:bidi="ar-EG"/>
        </w:rPr>
        <w:t xml:space="preserve">المصطلحات والمفاهيم الأساسية المستخدمة في الدراسة. </w:t>
      </w:r>
    </w:p>
    <w:p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ثانياً- </w:t>
      </w:r>
      <w:r w:rsidR="00712E2A" w:rsidRPr="007C544A">
        <w:rPr>
          <w:rFonts w:ascii="Traditional Arabic" w:hAnsi="Traditional Arabic" w:cs="Traditional Arabic"/>
          <w:b/>
          <w:bCs/>
          <w:sz w:val="32"/>
          <w:szCs w:val="32"/>
          <w:rtl/>
          <w:lang w:bidi="ar-EG"/>
        </w:rPr>
        <w:t>الدراسات السابقة.</w:t>
      </w:r>
    </w:p>
    <w:p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ثالثاً- </w:t>
      </w:r>
      <w:r w:rsidR="00712E2A" w:rsidRPr="007C544A">
        <w:rPr>
          <w:rFonts w:ascii="Traditional Arabic" w:hAnsi="Traditional Arabic" w:cs="Traditional Arabic"/>
          <w:b/>
          <w:bCs/>
          <w:sz w:val="32"/>
          <w:szCs w:val="32"/>
          <w:rtl/>
          <w:lang w:bidi="ar-EG"/>
        </w:rPr>
        <w:t>الدراسة الاستطلاعية.</w:t>
      </w:r>
    </w:p>
    <w:p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رابعاً- </w:t>
      </w:r>
      <w:r w:rsidR="00712E2A" w:rsidRPr="007C544A">
        <w:rPr>
          <w:rFonts w:ascii="Traditional Arabic" w:hAnsi="Traditional Arabic" w:cs="Traditional Arabic"/>
          <w:b/>
          <w:bCs/>
          <w:sz w:val="32"/>
          <w:szCs w:val="32"/>
          <w:rtl/>
          <w:lang w:bidi="ar-EG"/>
        </w:rPr>
        <w:t xml:space="preserve">مشكلة الدراسة. </w:t>
      </w:r>
    </w:p>
    <w:p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خامساً- </w:t>
      </w:r>
      <w:r w:rsidR="00977C76" w:rsidRPr="007C544A">
        <w:rPr>
          <w:rFonts w:ascii="Traditional Arabic" w:hAnsi="Traditional Arabic" w:cs="Traditional Arabic"/>
          <w:b/>
          <w:bCs/>
          <w:sz w:val="32"/>
          <w:szCs w:val="32"/>
          <w:rtl/>
          <w:lang w:bidi="ar-EG"/>
        </w:rPr>
        <w:t>أهداف</w:t>
      </w:r>
      <w:r w:rsidR="00362767" w:rsidRPr="007C544A">
        <w:rPr>
          <w:rFonts w:ascii="Traditional Arabic" w:hAnsi="Traditional Arabic" w:cs="Traditional Arabic"/>
          <w:b/>
          <w:bCs/>
          <w:sz w:val="32"/>
          <w:szCs w:val="32"/>
          <w:rtl/>
          <w:lang w:bidi="ar-EG"/>
        </w:rPr>
        <w:t xml:space="preserve"> </w:t>
      </w:r>
      <w:r w:rsidR="00712E2A" w:rsidRPr="007C544A">
        <w:rPr>
          <w:rFonts w:ascii="Traditional Arabic" w:hAnsi="Traditional Arabic" w:cs="Traditional Arabic"/>
          <w:b/>
          <w:bCs/>
          <w:sz w:val="32"/>
          <w:szCs w:val="32"/>
          <w:rtl/>
          <w:lang w:bidi="ar-EG"/>
        </w:rPr>
        <w:t>الدراسة.</w:t>
      </w:r>
    </w:p>
    <w:p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سادساً- </w:t>
      </w:r>
      <w:r w:rsidR="003F6CDC" w:rsidRPr="007C544A">
        <w:rPr>
          <w:rFonts w:ascii="Traditional Arabic" w:hAnsi="Traditional Arabic" w:cs="Traditional Arabic"/>
          <w:b/>
          <w:bCs/>
          <w:sz w:val="32"/>
          <w:szCs w:val="32"/>
          <w:rtl/>
          <w:lang w:bidi="ar-EG"/>
        </w:rPr>
        <w:t>أهمية</w:t>
      </w:r>
      <w:r w:rsidR="00712E2A" w:rsidRPr="007C544A">
        <w:rPr>
          <w:rFonts w:ascii="Traditional Arabic" w:hAnsi="Traditional Arabic" w:cs="Traditional Arabic"/>
          <w:b/>
          <w:bCs/>
          <w:sz w:val="32"/>
          <w:szCs w:val="32"/>
          <w:rtl/>
          <w:lang w:bidi="ar-EG"/>
        </w:rPr>
        <w:t xml:space="preserve"> الدراسة</w:t>
      </w:r>
      <w:r w:rsidR="008A4602" w:rsidRPr="007C544A">
        <w:rPr>
          <w:rFonts w:ascii="Traditional Arabic" w:hAnsi="Traditional Arabic" w:cs="Traditional Arabic"/>
          <w:b/>
          <w:bCs/>
          <w:sz w:val="32"/>
          <w:szCs w:val="32"/>
          <w:rtl/>
          <w:lang w:bidi="ar-EG"/>
        </w:rPr>
        <w:t>.</w:t>
      </w:r>
      <w:r w:rsidR="00712E2A" w:rsidRPr="007C544A">
        <w:rPr>
          <w:rFonts w:ascii="Traditional Arabic" w:hAnsi="Traditional Arabic" w:cs="Traditional Arabic"/>
          <w:b/>
          <w:bCs/>
          <w:sz w:val="32"/>
          <w:szCs w:val="32"/>
          <w:rtl/>
          <w:lang w:bidi="ar-EG"/>
        </w:rPr>
        <w:t xml:space="preserve"> </w:t>
      </w:r>
    </w:p>
    <w:p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سابعاً- </w:t>
      </w:r>
      <w:r w:rsidR="00712E2A" w:rsidRPr="007C544A">
        <w:rPr>
          <w:rFonts w:ascii="Traditional Arabic" w:hAnsi="Traditional Arabic" w:cs="Traditional Arabic"/>
          <w:b/>
          <w:bCs/>
          <w:sz w:val="32"/>
          <w:szCs w:val="32"/>
          <w:rtl/>
          <w:lang w:bidi="ar-EG"/>
        </w:rPr>
        <w:t>فروض الدراسة</w:t>
      </w:r>
      <w:r w:rsidR="008A4602" w:rsidRPr="007C544A">
        <w:rPr>
          <w:rFonts w:ascii="Traditional Arabic" w:hAnsi="Traditional Arabic" w:cs="Traditional Arabic"/>
          <w:b/>
          <w:bCs/>
          <w:sz w:val="32"/>
          <w:szCs w:val="32"/>
          <w:rtl/>
          <w:lang w:bidi="ar-EG"/>
        </w:rPr>
        <w:t>.</w:t>
      </w:r>
      <w:r w:rsidR="00712E2A" w:rsidRPr="007C544A">
        <w:rPr>
          <w:rFonts w:ascii="Traditional Arabic" w:hAnsi="Traditional Arabic" w:cs="Traditional Arabic"/>
          <w:b/>
          <w:bCs/>
          <w:sz w:val="32"/>
          <w:szCs w:val="32"/>
          <w:rtl/>
          <w:lang w:bidi="ar-EG"/>
        </w:rPr>
        <w:t xml:space="preserve"> </w:t>
      </w:r>
    </w:p>
    <w:p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ثامناً- </w:t>
      </w:r>
      <w:r w:rsidR="00712E2A" w:rsidRPr="007C544A">
        <w:rPr>
          <w:rFonts w:ascii="Traditional Arabic" w:hAnsi="Traditional Arabic" w:cs="Traditional Arabic"/>
          <w:b/>
          <w:bCs/>
          <w:sz w:val="32"/>
          <w:szCs w:val="32"/>
          <w:rtl/>
          <w:lang w:bidi="ar-EG"/>
        </w:rPr>
        <w:t>نموذج الدراسة.</w:t>
      </w:r>
    </w:p>
    <w:p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تاسعاً- </w:t>
      </w:r>
      <w:r w:rsidR="00712E2A" w:rsidRPr="007C544A">
        <w:rPr>
          <w:rFonts w:ascii="Traditional Arabic" w:hAnsi="Traditional Arabic" w:cs="Traditional Arabic"/>
          <w:b/>
          <w:bCs/>
          <w:sz w:val="32"/>
          <w:szCs w:val="32"/>
          <w:rtl/>
          <w:lang w:bidi="ar-EG"/>
        </w:rPr>
        <w:t>حدود الدراسة</w:t>
      </w:r>
      <w:r w:rsidR="008A4602" w:rsidRPr="007C544A">
        <w:rPr>
          <w:rFonts w:ascii="Traditional Arabic" w:hAnsi="Traditional Arabic" w:cs="Traditional Arabic"/>
          <w:b/>
          <w:bCs/>
          <w:sz w:val="32"/>
          <w:szCs w:val="32"/>
          <w:rtl/>
          <w:lang w:bidi="ar-EG"/>
        </w:rPr>
        <w:t>.</w:t>
      </w:r>
    </w:p>
    <w:p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عاشراً- </w:t>
      </w:r>
      <w:r w:rsidR="00712E2A" w:rsidRPr="007C544A">
        <w:rPr>
          <w:rFonts w:ascii="Traditional Arabic" w:hAnsi="Traditional Arabic" w:cs="Traditional Arabic"/>
          <w:b/>
          <w:bCs/>
          <w:sz w:val="32"/>
          <w:szCs w:val="32"/>
          <w:rtl/>
          <w:lang w:bidi="ar-EG"/>
        </w:rPr>
        <w:t>هيكل الدراسة</w:t>
      </w:r>
      <w:r w:rsidR="008A4602" w:rsidRPr="007C544A">
        <w:rPr>
          <w:rFonts w:ascii="Traditional Arabic" w:hAnsi="Traditional Arabic" w:cs="Traditional Arabic"/>
          <w:b/>
          <w:bCs/>
          <w:sz w:val="32"/>
          <w:szCs w:val="32"/>
          <w:rtl/>
          <w:lang w:bidi="ar-EG"/>
        </w:rPr>
        <w:t>.</w:t>
      </w:r>
      <w:r w:rsidR="001A5B2E" w:rsidRPr="007C544A">
        <w:rPr>
          <w:rFonts w:ascii="Traditional Arabic" w:hAnsi="Traditional Arabic" w:cs="Traditional Arabic"/>
          <w:b/>
          <w:bCs/>
          <w:sz w:val="32"/>
          <w:szCs w:val="32"/>
          <w:rtl/>
          <w:lang w:bidi="ar-EG"/>
        </w:rPr>
        <w:t xml:space="preserve"> </w:t>
      </w:r>
    </w:p>
    <w:p w:rsidR="00673CCB" w:rsidRPr="007C544A" w:rsidRDefault="00712E2A" w:rsidP="00706522">
      <w:pPr>
        <w:shd w:val="clear" w:color="auto" w:fill="FFFFFF" w:themeFill="background1"/>
        <w:bidi/>
        <w:spacing w:after="0" w:line="360" w:lineRule="auto"/>
        <w:ind w:firstLine="720"/>
        <w:jc w:val="both"/>
        <w:rPr>
          <w:rStyle w:val="fontstyle01"/>
          <w:rFonts w:ascii="Traditional Arabic" w:hAnsi="Traditional Arabic" w:cs="Traditional Arabic" w:hint="default"/>
          <w:b/>
          <w:bCs/>
          <w:color w:val="auto"/>
          <w:sz w:val="28"/>
          <w:szCs w:val="28"/>
          <w:rtl/>
        </w:rPr>
      </w:pPr>
      <w:r w:rsidRPr="007C544A">
        <w:rPr>
          <w:rFonts w:ascii="Traditional Arabic" w:hAnsi="Traditional Arabic" w:cs="Traditional Arabic"/>
          <w:b/>
          <w:bCs/>
          <w:sz w:val="28"/>
          <w:szCs w:val="28"/>
          <w:rtl/>
          <w:lang w:bidi="ar-EG"/>
        </w:rPr>
        <w:br w:type="page"/>
      </w:r>
    </w:p>
    <w:p w:rsidR="00673CCB" w:rsidRPr="007C544A" w:rsidRDefault="00673CCB"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الفصل الأول</w:t>
      </w:r>
    </w:p>
    <w:p w:rsidR="00673CCB" w:rsidRPr="007C544A" w:rsidRDefault="00EF3ADD" w:rsidP="00706522">
      <w:pPr>
        <w:pStyle w:val="a"/>
        <w:shd w:val="clear" w:color="auto" w:fill="FFFFFF" w:themeFill="background1"/>
        <w:spacing w:line="360" w:lineRule="auto"/>
        <w:rPr>
          <w:rFonts w:cs="Simplified Arabic"/>
          <w:b/>
          <w:bCs/>
          <w:sz w:val="34"/>
          <w:szCs w:val="34"/>
          <w:rtl/>
        </w:rPr>
      </w:pPr>
      <w:r w:rsidRPr="007C544A">
        <w:rPr>
          <w:rFonts w:ascii="Traditional Arabic" w:hAnsi="Traditional Arabic" w:cs="Traditional Arabic" w:hint="cs"/>
          <w:b/>
          <w:bCs/>
          <w:sz w:val="32"/>
          <w:szCs w:val="32"/>
          <w:rtl/>
        </w:rPr>
        <w:t xml:space="preserve">الإطار المنهجي للدراسة </w:t>
      </w:r>
    </w:p>
    <w:p w:rsidR="00E77842" w:rsidRPr="007C544A" w:rsidRDefault="002356EB"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مقدمة</w:t>
      </w:r>
      <w:r w:rsidR="00775B4E" w:rsidRPr="007C544A">
        <w:rPr>
          <w:rFonts w:ascii="Traditional Arabic" w:hAnsi="Traditional Arabic" w:cs="Traditional Arabic"/>
          <w:b/>
          <w:bCs/>
          <w:sz w:val="28"/>
          <w:szCs w:val="28"/>
          <w:rtl/>
        </w:rPr>
        <w:t xml:space="preserve">: </w:t>
      </w:r>
    </w:p>
    <w:p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تُعد الشركات العائلية من أكثر أشكال الأعمال انتشارًا وتأثيرًا في الاقتصاد العالمي، لما تؤديه من دور في النشاط الاقتصادي والتوظيف والاستثمار، فضلًا عن امتداد أنشطتها عبر أجيال متعاقبة. وتشير الأمم المتحدة للتجارة والتنمية إلى أن الشركات المملوكة أو المُدارة عائليًا تمثل نحو ثلثي الشركات على مستوى العالم، وتوفر فرص العمل لنحو 60% من القوى العاملة، كما تسهم بأكثر من 70% من الناتج المحلي الإجمالي العالمي، بما يعكس الأهمية الاقتصادية لهذه الشركات ودورها في دعم النشاط الاقتصادي وتعزيز النمو والتنمية المستدامة (الأمم المتحدة للتجارة والتنمية، 2021)</w:t>
      </w:r>
      <w:r w:rsidRPr="007C544A">
        <w:rPr>
          <w:rFonts w:ascii="Traditional Arabic" w:hAnsi="Traditional Arabic" w:cs="Traditional Arabic"/>
        </w:rPr>
        <w:t>.</w:t>
      </w:r>
    </w:p>
    <w:p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وتكتسب الشركات العائلية أهمية خاصة في المملكة العربية السعودية، نظرًا إلى انتشارها واتساع نطاق أنشطتها في مختلف القطاعات الاقتصادية. ووفقًا لدراسة أجراها المركز الوطني للمنشآت العائلية عام 2023، تمثل المنشآت العائلية قرابة 95% من المنشآت العاملة في المملكة، وتوظف نحو 57% من موظفي القطاع الخاص، ونحو 48% من إجمالي القوى العاملة في المملكة، الأمر الذي يعكس الوزن الاقتصادي والاجتماعي الكبير لهذا القطاع ودوره في دعم الاقتصاد الوطني وتوفير فرص العمل. كما تشير بيانات المركز إلى أن المنشآت العائلية تشمل نطاقًا واسعًا من أحجام المنشآت والأنشطة الاقتصادية، بما يجعل استدامتها وتطورها من الموضوعات ذات الأهمية بالنسبة للقطاع الخاص والاقتصاد الوطني (المركز الوطني للمنشآت العائلية، 2023)</w:t>
      </w:r>
      <w:r w:rsidRPr="007C544A">
        <w:rPr>
          <w:rFonts w:ascii="Traditional Arabic" w:hAnsi="Traditional Arabic" w:cs="Traditional Arabic"/>
        </w:rPr>
        <w:t>.</w:t>
      </w:r>
    </w:p>
    <w:p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وفي ظل اتساع حجم أعمال الشركات العائلية وتعدد أنشطتها، تبرز الحاجة إلى تطوير هياكلها الإدارية والمالية والانتقال التدريجي من الإدارة القائمة على الاعتبارات العائلية إلى نماذج أكثر مؤسسية، بما يدعم الحوكمة والشفافية، ويحسن كفاءة الإدارة، ويعزز القدرة على استقطاب الكفاءات وتنويع مصادر التمويل. وقد أشار المركز الوطني للمنشآت العائلية إلى عدد من التحديات التي تواجه المنشآت العائلية في المملكة، من بينها عوائق التمويل، وارتفاع نسبة المؤسسات الفردية، والحاجة إلى تعزيز ممارسات الحوكمة والتخطيط للتعاقب، بما يؤكد أهمية التحول المؤسسي في دعم استدامة هذه المنشآت ونموها (المركز الوطني للمنشآت العائلية، 2023)</w:t>
      </w:r>
      <w:r w:rsidRPr="007C544A">
        <w:rPr>
          <w:rFonts w:ascii="Traditional Arabic" w:hAnsi="Traditional Arabic" w:cs="Traditional Arabic"/>
        </w:rPr>
        <w:t>.</w:t>
      </w:r>
    </w:p>
    <w:p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وتأتي هذه المتغيرات في سياق اقتصادي تسعى فيه المملكة العربية السعودية إلى تعزيز دور القطاع الخاص وتنويع مصادر النمو الاقتصادي في إطار رؤية المملكة 2030، التي تستهدف رفع مساهمة القطاع الخاص في الناتج المحلي الإجمالي إلى 65% بحلول عام 2030، إلى جانب توفير بيئة داعمة للشركات بمختلف أحجامها وتمكينها من التوسع والنمو. وقد بلغت مساهمة القطاع الخاص في الناتج المحلي الإجمالي 47% في عام 2024، بما يعكس استمرار التوجه نحو توسيع دور القطاع الخاص في الاقتصاد السعودي (رؤية السعودية 2030، 2025)</w:t>
      </w:r>
      <w:r w:rsidRPr="007C544A">
        <w:rPr>
          <w:rFonts w:ascii="Traditional Arabic" w:hAnsi="Traditional Arabic" w:cs="Traditional Arabic"/>
        </w:rPr>
        <w:t>.</w:t>
      </w:r>
    </w:p>
    <w:p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lastRenderedPageBreak/>
        <w:t xml:space="preserve">وفي هذا </w:t>
      </w:r>
      <w:r w:rsidRPr="007C544A">
        <w:rPr>
          <w:rFonts w:ascii="Traditional Arabic" w:hAnsi="Traditional Arabic" w:cs="Traditional Arabic" w:hint="cs"/>
          <w:rtl/>
        </w:rPr>
        <w:t>الإطار</w:t>
      </w:r>
      <w:r w:rsidRPr="007C544A">
        <w:rPr>
          <w:rFonts w:ascii="Traditional Arabic" w:hAnsi="Traditional Arabic" w:cs="Traditional Arabic"/>
          <w:rtl/>
        </w:rPr>
        <w:t>، تمثل أسواق المال إحدى الآليات التي يمكن للشركات من خلالها الوصول إلى مصادر تمويل إضافية وتعزيز مستوى الإفصاح والشفافية والحوكمة، بما يدعم توسعها وقدرتها على الاستمرار والمنافسة. ومن بين الآليات التي أتاحتها السوق المالية السعودية السوق الموازية «نمو»، التي أُنشئت للشركات التي لا تستوفي متطلبات الإدراج في السوق الرئيسية وترغب في إدراج أسهمها للتداول، وتتميز بمرونة أعلى ومتطلبات إدراج أخف مقارنة بالسوق الرئيسية. ووفقًا للمتطلبات الحالية، يبلغ الحد الأدنى للقيمة السوقية للشركة عند الإدراج في «نمو» 50 مليون ريال سعودي، مقابل 300 مليون ريال سعودي في السوق الرئيسية، كما يتطلب الإدراج طرح ما لا يقل عن 20% من الأسهم المصدرة، أو ما يعادل 50 مليون ريال سعودي كحد أدنى لقيمة الأسهم المملوكة للجمهور، مع استيفاء المتطلبات التنظيمية الأخرى ذات الصلة (تداول السعودية، 2026)</w:t>
      </w:r>
      <w:r w:rsidRPr="007C544A">
        <w:rPr>
          <w:rFonts w:ascii="Traditional Arabic" w:hAnsi="Traditional Arabic" w:cs="Traditional Arabic"/>
        </w:rPr>
        <w:t>.</w:t>
      </w:r>
    </w:p>
    <w:p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ومن ثم، فإن انتقال الشركات العائلية إلى بيئة أكثر تنظيمًا وانفتاحًا على سوق المال لا يقتصر على توفير مصدر للتمويل، وإنما يرتبط كذلك بإعادة تنظيم هياكل الملكية والإدارة، وتعزيز الحوكمة والإفصاح، ورفع مستوى الانضباط المالي والإداري، بما يتطلب استعدادًا مؤسسيًا يتناسب مع متطلبات الإدراج والاستمرار في السوق. وتزداد أهمية هذا الأمر بالنسبة للشركات العائلية في المملكة في ضوء ما تواجهه من تحديات تتعلق بالتمويل والحوكمة والتعاقب واستدامة الأعمال، وهو ما يجعل دراسة الاستراتيجيات المرتبطة بدخولها إلى السوق الموازية «نمو» موضوعًا جديرًا بالبحث والتحليل</w:t>
      </w:r>
      <w:r w:rsidRPr="007C544A">
        <w:rPr>
          <w:rFonts w:ascii="Traditional Arabic" w:hAnsi="Traditional Arabic" w:cs="Traditional Arabic"/>
        </w:rPr>
        <w:t>.</w:t>
      </w:r>
    </w:p>
    <w:p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وبناءً على ما سبق، جاءت هذه الدراسة لتسليط الضوء على </w:t>
      </w:r>
      <w:r w:rsidRPr="007C544A">
        <w:rPr>
          <w:rFonts w:ascii="Traditional Arabic" w:hAnsi="Traditional Arabic" w:cs="Traditional Arabic"/>
          <w:b/>
          <w:bCs/>
          <w:rtl/>
        </w:rPr>
        <w:t>استراتيجية دمج الشركات العائلية في السوق الموازية «نمو» في المملكة العربية السعودية</w:t>
      </w:r>
      <w:r w:rsidRPr="007C544A">
        <w:rPr>
          <w:rFonts w:ascii="Traditional Arabic" w:hAnsi="Traditional Arabic" w:cs="Traditional Arabic"/>
          <w:rtl/>
        </w:rPr>
        <w:t>، وتحليل التداعيات المرتبطة بهذه الاستراتيجية على أداء الشركات ووضعها المالي، في ضوء المتطلبات التنظيمية والاقتصادية المرتبطة بالإدراج في السوق الموازية، وما يترتب على ذلك من متطلبات تتعلق بالتحول المؤسسي والحوكمة والإدارة المالية</w:t>
      </w:r>
      <w:r w:rsidRPr="007C544A">
        <w:rPr>
          <w:rFonts w:ascii="Traditional Arabic" w:hAnsi="Traditional Arabic" w:cs="Traditional Arabic"/>
        </w:rPr>
        <w:t>.</w:t>
      </w:r>
    </w:p>
    <w:p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ويتناول هذا الفصل الإطار المنهجي للدراسة، من خلال عرض المصطلحات والمفاهيم الأساسية، والدراسات السابقة، والدراسة الاستطلاعية، ومشكلة الدراسة، وأهدافها، وأهميتها، وفروضها، وحدودها، ومتغيراتها</w:t>
      </w:r>
      <w:r w:rsidRPr="007C544A">
        <w:rPr>
          <w:rFonts w:ascii="Traditional Arabic" w:hAnsi="Traditional Arabic" w:cs="Traditional Arabic"/>
        </w:rPr>
        <w:t>.</w:t>
      </w:r>
    </w:p>
    <w:p w:rsidR="00A70C3E" w:rsidRPr="007C544A" w:rsidRDefault="00086CDD" w:rsidP="000B4EAC">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أولاً</w:t>
      </w:r>
      <w:r w:rsidR="007B0F25" w:rsidRPr="007C544A">
        <w:rPr>
          <w:rFonts w:ascii="Traditional Arabic" w:hAnsi="Traditional Arabic" w:cs="Traditional Arabic"/>
          <w:b/>
          <w:bCs/>
          <w:sz w:val="28"/>
          <w:szCs w:val="28"/>
          <w:rtl/>
          <w:lang w:bidi="ar-EG"/>
        </w:rPr>
        <w:t xml:space="preserve">- </w:t>
      </w:r>
      <w:r w:rsidR="00A70C3E" w:rsidRPr="007C544A">
        <w:rPr>
          <w:rFonts w:ascii="Traditional Arabic" w:hAnsi="Traditional Arabic" w:cs="Traditional Arabic"/>
          <w:b/>
          <w:bCs/>
          <w:sz w:val="28"/>
          <w:szCs w:val="28"/>
          <w:rtl/>
          <w:lang w:bidi="ar-EG"/>
        </w:rPr>
        <w:t>المصطلحات</w:t>
      </w:r>
      <w:r w:rsidR="00674B70" w:rsidRPr="007C544A">
        <w:rPr>
          <w:rFonts w:ascii="Traditional Arabic" w:hAnsi="Traditional Arabic" w:cs="Traditional Arabic"/>
          <w:b/>
          <w:bCs/>
          <w:sz w:val="28"/>
          <w:szCs w:val="28"/>
          <w:rtl/>
          <w:lang w:bidi="ar-EG"/>
        </w:rPr>
        <w:t xml:space="preserve"> و</w:t>
      </w:r>
      <w:r w:rsidR="00A70C3E" w:rsidRPr="007C544A">
        <w:rPr>
          <w:rFonts w:ascii="Traditional Arabic" w:hAnsi="Traditional Arabic" w:cs="Traditional Arabic"/>
          <w:b/>
          <w:bCs/>
          <w:sz w:val="28"/>
          <w:szCs w:val="28"/>
          <w:rtl/>
          <w:lang w:bidi="ar-EG"/>
        </w:rPr>
        <w:t>المفاهي</w:t>
      </w:r>
      <w:r w:rsidR="00E77842" w:rsidRPr="007C544A">
        <w:rPr>
          <w:rFonts w:ascii="Traditional Arabic" w:hAnsi="Traditional Arabic" w:cs="Traditional Arabic"/>
          <w:b/>
          <w:bCs/>
          <w:sz w:val="28"/>
          <w:szCs w:val="28"/>
          <w:rtl/>
          <w:lang w:bidi="ar-EG"/>
        </w:rPr>
        <w:t>م الأساسية المستخدمة في الدراسة</w:t>
      </w:r>
      <w:r w:rsidR="00775B4E" w:rsidRPr="007C544A">
        <w:rPr>
          <w:rFonts w:ascii="Traditional Arabic" w:hAnsi="Traditional Arabic" w:cs="Traditional Arabic"/>
          <w:b/>
          <w:bCs/>
          <w:sz w:val="28"/>
          <w:szCs w:val="28"/>
          <w:rtl/>
          <w:lang w:bidi="ar-EG"/>
        </w:rPr>
        <w:t xml:space="preserve">: </w:t>
      </w:r>
    </w:p>
    <w:p w:rsidR="00085B98" w:rsidRPr="007C544A" w:rsidRDefault="00085B98" w:rsidP="00085B98">
      <w:pPr>
        <w:shd w:val="clear" w:color="auto" w:fill="FFFFFF" w:themeFill="background1"/>
        <w:tabs>
          <w:tab w:val="left" w:pos="2636"/>
        </w:tabs>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rPr>
        <w:t>يسهم تعريف مفاهيم ومتغيرات الدراسة في توضيح منهجية البحث وفهم إطاره المفاهيمي والميداني، وفيما يلي أهم المصطلحات والمفاهيم الأساسية للدراسة</w:t>
      </w:r>
      <w:r w:rsidRPr="007C544A">
        <w:rPr>
          <w:rFonts w:ascii="Traditional Arabic" w:hAnsi="Traditional Arabic" w:cs="Traditional Arabic" w:hint="cs"/>
          <w:sz w:val="24"/>
          <w:szCs w:val="24"/>
          <w:rtl/>
        </w:rPr>
        <w:t>:</w:t>
      </w:r>
    </w:p>
    <w:p w:rsidR="0035654D" w:rsidRPr="007C544A" w:rsidRDefault="00997417" w:rsidP="002D00D3">
      <w:pPr>
        <w:pStyle w:val="ListParagraph"/>
        <w:numPr>
          <w:ilvl w:val="0"/>
          <w:numId w:val="2"/>
        </w:numPr>
        <w:shd w:val="clear" w:color="auto" w:fill="FFFFFF" w:themeFill="background1"/>
        <w:tabs>
          <w:tab w:val="left" w:pos="2636"/>
        </w:tabs>
        <w:bidi/>
        <w:spacing w:after="0" w:line="360" w:lineRule="auto"/>
        <w:ind w:firstLine="357"/>
        <w:contextualSpacing w:val="0"/>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استراتيجية دمج الشركات</w:t>
      </w:r>
      <w:r w:rsidR="00775B4E" w:rsidRPr="007C544A">
        <w:rPr>
          <w:rFonts w:ascii="Traditional Arabic" w:hAnsi="Traditional Arabic" w:cs="Traditional Arabic"/>
          <w:b/>
          <w:bCs/>
          <w:sz w:val="28"/>
          <w:szCs w:val="28"/>
          <w:rtl/>
          <w:lang w:bidi="ar-EG"/>
        </w:rPr>
        <w:t xml:space="preserve">: </w:t>
      </w:r>
    </w:p>
    <w:p w:rsidR="00C51B36" w:rsidRPr="007C544A" w:rsidRDefault="00F77385" w:rsidP="00F77385">
      <w:pPr>
        <w:shd w:val="clear" w:color="auto" w:fill="FFFFFF" w:themeFill="background1"/>
        <w:tabs>
          <w:tab w:val="left" w:pos="26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hint="cs"/>
          <w:sz w:val="24"/>
          <w:szCs w:val="24"/>
          <w:rtl/>
          <w:lang w:bidi="ar-EG"/>
        </w:rPr>
        <w:t>تع</w:t>
      </w:r>
      <w:r w:rsidR="00997417" w:rsidRPr="007C544A">
        <w:rPr>
          <w:rFonts w:ascii="Traditional Arabic" w:hAnsi="Traditional Arabic" w:cs="Traditional Arabic"/>
          <w:sz w:val="24"/>
          <w:szCs w:val="24"/>
          <w:rtl/>
        </w:rPr>
        <w:t>رف</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استراتيجية دمج الشركات هي</w:t>
      </w:r>
      <w:r w:rsidR="00775B4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"عملية قانونية واقتصادية يتم بموجبها اتحاد شركتين أو أكثر في كيان قانوني واحد</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بهدف تحقيق كفاءة تشغيلية</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أو تعزيز القدرة التنافسية</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أو زيادة الحصة السوقية</w:t>
      </w:r>
      <w:r w:rsidR="00C51B36"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(أبو زينة، 2013)</w:t>
      </w:r>
    </w:p>
    <w:p w:rsidR="0035654D" w:rsidRPr="007C544A" w:rsidRDefault="0035654D" w:rsidP="002D00D3">
      <w:pPr>
        <w:pStyle w:val="ListParagraph"/>
        <w:numPr>
          <w:ilvl w:val="0"/>
          <w:numId w:val="3"/>
        </w:num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المشروعات العائلية</w:t>
      </w:r>
      <w:r w:rsidR="00775B4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تعرف المشروعات العائلية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بأنها</w:t>
      </w:r>
      <w:r w:rsidR="00775B4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المشروعات التي يعمل فيها اثنان أو اكثر بينهما صله عائلية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ويملكها احدهما </w:t>
      </w:r>
      <w:r w:rsidR="00A61D5D" w:rsidRPr="007C544A">
        <w:rPr>
          <w:rFonts w:ascii="Traditional Arabic" w:hAnsi="Traditional Arabic" w:cs="Traditional Arabic"/>
          <w:sz w:val="24"/>
          <w:szCs w:val="24"/>
          <w:rtl/>
        </w:rPr>
        <w:t>أ</w:t>
      </w:r>
      <w:r w:rsidRPr="007C544A">
        <w:rPr>
          <w:rFonts w:ascii="Traditional Arabic" w:hAnsi="Traditional Arabic" w:cs="Traditional Arabic"/>
          <w:sz w:val="24"/>
          <w:szCs w:val="24"/>
          <w:rtl/>
        </w:rPr>
        <w:t xml:space="preserve">و كلاهما </w:t>
      </w:r>
      <w:r w:rsidR="00A61D5D" w:rsidRPr="007C544A">
        <w:rPr>
          <w:rFonts w:ascii="Traditional Arabic" w:hAnsi="Traditional Arabic" w:cs="Traditional Arabic"/>
          <w:sz w:val="24"/>
          <w:szCs w:val="24"/>
          <w:rtl/>
        </w:rPr>
        <w:t>(</w:t>
      </w:r>
      <w:r w:rsidR="00F77385" w:rsidRPr="007C544A">
        <w:rPr>
          <w:rFonts w:ascii="Traditional Arabic" w:hAnsi="Traditional Arabic" w:cs="Traditional Arabic" w:hint="cs"/>
          <w:sz w:val="24"/>
          <w:szCs w:val="24"/>
          <w:rtl/>
        </w:rPr>
        <w:t>الزهراني</w:t>
      </w:r>
      <w:r w:rsidR="00A61D5D" w:rsidRPr="007C544A">
        <w:rPr>
          <w:rFonts w:ascii="Traditional Arabic" w:hAnsi="Traditional Arabic" w:cs="Traditional Arabic"/>
          <w:sz w:val="24"/>
          <w:szCs w:val="24"/>
          <w:rtl/>
        </w:rPr>
        <w:t>، 2</w:t>
      </w:r>
      <w:r w:rsidR="00FE7DE6" w:rsidRPr="007C544A">
        <w:rPr>
          <w:rFonts w:ascii="Traditional Arabic" w:hAnsi="Traditional Arabic" w:cs="Traditional Arabic" w:hint="cs"/>
          <w:sz w:val="24"/>
          <w:szCs w:val="24"/>
          <w:rtl/>
        </w:rPr>
        <w:t>021</w:t>
      </w:r>
      <w:r w:rsidR="00A61D5D" w:rsidRPr="007C544A">
        <w:rPr>
          <w:rFonts w:ascii="Traditional Arabic" w:hAnsi="Traditional Arabic" w:cs="Traditional Arabic"/>
          <w:sz w:val="24"/>
          <w:szCs w:val="24"/>
          <w:rtl/>
        </w:rPr>
        <w:t>).</w:t>
      </w:r>
    </w:p>
    <w:p w:rsidR="00A61D5D"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lang w:bidi="ar-EG"/>
        </w:rPr>
        <w:lastRenderedPageBreak/>
        <w:t>السوق الموازية</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تعرف</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هيئة السوق المالية السعودية</w:t>
      </w:r>
      <w:r w:rsidR="00A61D5D" w:rsidRPr="007C544A">
        <w:rPr>
          <w:rFonts w:ascii="Traditional Arabic" w:eastAsiaTheme="minorHAnsi" w:hAnsi="Traditional Arabic" w:cs="Traditional Arabic"/>
          <w:rtl/>
        </w:rPr>
        <w:t xml:space="preserve">، 2023) </w:t>
      </w:r>
      <w:r w:rsidRPr="007C544A">
        <w:rPr>
          <w:rFonts w:ascii="Traditional Arabic" w:eastAsiaTheme="minorHAnsi" w:hAnsi="Traditional Arabic" w:cs="Traditional Arabic"/>
          <w:rtl/>
        </w:rPr>
        <w:t>السوق الموازية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نمو) هي "سوق أسهم مخصصة للشركات الصغيرة والمتوسطة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تهدف</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 xml:space="preserve">تسهيل </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هذه الشركات في السوق المالية السعودية وفق متطلبات تنظيمية أكثر مرونة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وتوفير مصادر تمويل جديدة لها</w:t>
      </w:r>
      <w:r w:rsidR="00A61D5D" w:rsidRPr="007C544A">
        <w:rPr>
          <w:rFonts w:ascii="Traditional Arabic" w:eastAsiaTheme="minorHAnsi" w:hAnsi="Traditional Arabic" w:cs="Traditional Arabic"/>
          <w:rtl/>
        </w:rPr>
        <w:t>".</w:t>
      </w:r>
    </w:p>
    <w:p w:rsidR="0035654D" w:rsidRPr="007C544A" w:rsidRDefault="005C20E0"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lang w:bidi="ar-EG"/>
        </w:rPr>
        <w:t>الأداء</w:t>
      </w:r>
      <w:r w:rsidR="0035654D" w:rsidRPr="007C544A">
        <w:rPr>
          <w:rFonts w:ascii="Traditional Arabic" w:eastAsiaTheme="minorHAnsi" w:hAnsi="Traditional Arabic" w:cs="Traditional Arabic"/>
          <w:rtl/>
          <w:lang w:bidi="ar-EG"/>
        </w:rPr>
        <w:t xml:space="preserve"> المالي</w:t>
      </w:r>
      <w:r w:rsidR="00775B4E" w:rsidRPr="007C544A">
        <w:rPr>
          <w:rFonts w:ascii="Traditional Arabic" w:eastAsiaTheme="minorHAnsi" w:hAnsi="Traditional Arabic" w:cs="Traditional Arabic"/>
          <w:rtl/>
          <w:lang w:bidi="ar-EG"/>
        </w:rPr>
        <w:t xml:space="preserve">: </w:t>
      </w:r>
      <w:r w:rsidR="0035654D" w:rsidRPr="007C544A">
        <w:rPr>
          <w:rFonts w:ascii="Traditional Arabic" w:eastAsiaTheme="minorHAnsi" w:hAnsi="Traditional Arabic" w:cs="Traditional Arabic"/>
          <w:rtl/>
        </w:rPr>
        <w:t xml:space="preserve">يعرف </w:t>
      </w:r>
      <w:r w:rsidRPr="007C544A">
        <w:rPr>
          <w:rFonts w:ascii="Traditional Arabic" w:eastAsiaTheme="minorHAnsi" w:hAnsi="Traditional Arabic" w:cs="Traditional Arabic"/>
          <w:rtl/>
        </w:rPr>
        <w:t>الأداء</w:t>
      </w:r>
      <w:r w:rsidR="0035654D" w:rsidRPr="007C544A">
        <w:rPr>
          <w:rFonts w:ascii="Traditional Arabic" w:eastAsiaTheme="minorHAnsi" w:hAnsi="Traditional Arabic" w:cs="Traditional Arabic"/>
          <w:rtl/>
        </w:rPr>
        <w:t xml:space="preserve"> المالي</w:t>
      </w:r>
      <w:r w:rsidR="00D7278E" w:rsidRPr="007C544A">
        <w:rPr>
          <w:rFonts w:ascii="Traditional Arabic" w:eastAsiaTheme="minorHAnsi" w:hAnsi="Traditional Arabic" w:cs="Traditional Arabic"/>
          <w:rtl/>
        </w:rPr>
        <w:t xml:space="preserve"> </w:t>
      </w:r>
      <w:r w:rsidR="0035654D" w:rsidRPr="007C544A">
        <w:rPr>
          <w:rFonts w:ascii="Traditional Arabic" w:eastAsiaTheme="minorHAnsi" w:hAnsi="Traditional Arabic" w:cs="Traditional Arabic"/>
        </w:rPr>
        <w:t>Brigham &amp; Ehrhardt</w:t>
      </w:r>
      <w:r w:rsidR="00D7278E" w:rsidRPr="007C544A">
        <w:rPr>
          <w:rFonts w:ascii="Traditional Arabic" w:eastAsiaTheme="minorHAnsi" w:hAnsi="Traditional Arabic" w:cs="Traditional Arabic"/>
        </w:rPr>
        <w:t xml:space="preserve"> (</w:t>
      </w:r>
      <w:r w:rsidR="0035654D" w:rsidRPr="007C544A">
        <w:rPr>
          <w:rFonts w:ascii="Traditional Arabic" w:eastAsiaTheme="minorHAnsi" w:hAnsi="Traditional Arabic" w:cs="Traditional Arabic"/>
        </w:rPr>
        <w:t>2017)</w:t>
      </w:r>
      <w:r w:rsidR="0035654D" w:rsidRPr="007C544A">
        <w:rPr>
          <w:rFonts w:ascii="Traditional Arabic" w:eastAsiaTheme="minorHAnsi" w:hAnsi="Traditional Arabic" w:cs="Traditional Arabic"/>
          <w:rtl/>
        </w:rPr>
        <w:t xml:space="preserve">) </w:t>
      </w:r>
      <w:r w:rsidR="0035654D" w:rsidRPr="007C544A">
        <w:rPr>
          <w:rFonts w:ascii="Traditional Arabic" w:eastAsiaTheme="minorHAnsi" w:hAnsi="Traditional Arabic" w:cs="Traditional Arabic"/>
        </w:rPr>
        <w:t>"</w:t>
      </w:r>
      <w:r w:rsidRPr="007C544A">
        <w:rPr>
          <w:rFonts w:ascii="Traditional Arabic" w:eastAsiaTheme="minorHAnsi" w:hAnsi="Traditional Arabic" w:cs="Traditional Arabic"/>
          <w:rtl/>
        </w:rPr>
        <w:t>الأداء</w:t>
      </w:r>
      <w:r w:rsidR="0035654D" w:rsidRPr="007C544A">
        <w:rPr>
          <w:rFonts w:ascii="Traditional Arabic" w:eastAsiaTheme="minorHAnsi" w:hAnsi="Traditional Arabic" w:cs="Traditional Arabic"/>
          <w:rtl/>
        </w:rPr>
        <w:t xml:space="preserve"> المالي هو مقياس لمدى قدرة الشركة على استخدام أصولها في نشاطها الرئيسي لتوليد الإيرادات</w:t>
      </w:r>
      <w:r w:rsidR="0035654D" w:rsidRPr="007C544A">
        <w:rPr>
          <w:rFonts w:ascii="Traditional Arabic" w:eastAsiaTheme="minorHAnsi" w:hAnsi="Traditional Arabic" w:cs="Traditional Arabic"/>
        </w:rPr>
        <w:t>."</w:t>
      </w:r>
    </w:p>
    <w:p w:rsidR="0035654D"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lang w:bidi="ar-EG"/>
        </w:rPr>
        <w:t>الحوكمة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حوكمة الشركات) تعريف </w:t>
      </w:r>
      <w:r w:rsidR="002C0EBF" w:rsidRPr="007C544A">
        <w:rPr>
          <w:rFonts w:ascii="Traditional Arabic" w:eastAsiaTheme="minorHAnsi" w:hAnsi="Traditional Arabic" w:cs="Traditional Arabic" w:hint="cs"/>
          <w:rtl/>
        </w:rPr>
        <w:t>(</w:t>
      </w:r>
      <w:r w:rsidRPr="007C544A">
        <w:rPr>
          <w:rFonts w:ascii="Traditional Arabic" w:eastAsiaTheme="minorHAnsi" w:hAnsi="Traditional Arabic" w:cs="Traditional Arabic"/>
          <w:rtl/>
        </w:rPr>
        <w:t>هيئة السوق المالية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2022)</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الحوكمة هي مجموعة القواعد والإجراءات التي تضمن انضباط ال</w:t>
      </w:r>
      <w:r w:rsidR="00D6178F" w:rsidRPr="007C544A">
        <w:rPr>
          <w:rFonts w:ascii="Traditional Arabic" w:eastAsiaTheme="minorHAnsi" w:hAnsi="Traditional Arabic" w:cs="Traditional Arabic"/>
          <w:rtl/>
        </w:rPr>
        <w:t>إدارة</w:t>
      </w:r>
      <w:r w:rsidRPr="007C544A">
        <w:rPr>
          <w:rFonts w:ascii="Traditional Arabic" w:eastAsiaTheme="minorHAnsi" w:hAnsi="Traditional Arabic" w:cs="Traditional Arabic"/>
          <w:rtl/>
        </w:rPr>
        <w:t xml:space="preserve"> وشفافيتها وعدالتها تجاه جميع الأطراف ذات العلاقة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مثل المساهمين والدائنين والعاملين</w:t>
      </w:r>
      <w:r w:rsidRPr="007C544A">
        <w:rPr>
          <w:rFonts w:ascii="Traditional Arabic" w:eastAsiaTheme="minorHAnsi" w:hAnsi="Traditional Arabic" w:cs="Traditional Arabic"/>
        </w:rPr>
        <w:t>.</w:t>
      </w:r>
    </w:p>
    <w:p w:rsidR="0035654D"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القدرة التنافسية</w:t>
      </w:r>
      <w:r w:rsidR="00775B4E" w:rsidRPr="007C544A">
        <w:rPr>
          <w:rFonts w:ascii="Traditional Arabic" w:eastAsiaTheme="minorHAnsi" w:hAnsi="Traditional Arabic" w:cs="Traditional Arabic"/>
          <w:rtl/>
        </w:rPr>
        <w:t>:</w:t>
      </w:r>
      <w:r w:rsidR="002C0EBF" w:rsidRPr="007C544A">
        <w:rPr>
          <w:rFonts w:ascii="Traditional Arabic" w:eastAsiaTheme="minorHAnsi" w:hAnsi="Traditional Arabic" w:cs="Traditional Arabic"/>
          <w:rtl/>
        </w:rPr>
        <w:t xml:space="preserve"> تُعرَّف القدرة التنافسية بأنها قدرة المؤسسة على تقديم منتجات وخدمات تحقق قيمة للعملاء وتتميز عن عروض المنافسين، من خلال التركيز على عناصر مثل الجودة، والسعر، والابتكار، بما يعزز قدرة المؤسسة على المنافسة وتحسين موقعها في السوق</w:t>
      </w:r>
      <w:r w:rsidR="002C0EBF" w:rsidRPr="007C544A">
        <w:rPr>
          <w:rFonts w:ascii="Traditional Arabic" w:eastAsiaTheme="minorHAnsi" w:hAnsi="Traditional Arabic" w:cs="Traditional Arabic"/>
        </w:rPr>
        <w:t xml:space="preserve"> (Saad et al., 2018).</w:t>
      </w:r>
      <w:r w:rsidRPr="007C544A">
        <w:rPr>
          <w:rFonts w:ascii="Traditional Arabic" w:eastAsiaTheme="minorHAnsi" w:hAnsi="Traditional Arabic" w:cs="Traditional Arabic"/>
        </w:rPr>
        <w:t>.</w:t>
      </w:r>
    </w:p>
    <w:p w:rsidR="00155E99"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lang w:bidi="ar-EG"/>
        </w:rPr>
        <w:t>التمويل</w:t>
      </w:r>
      <w:r w:rsidR="00775B4E" w:rsidRPr="007C544A">
        <w:rPr>
          <w:rFonts w:ascii="Traditional Arabic" w:eastAsiaTheme="minorHAnsi" w:hAnsi="Traditional Arabic" w:cs="Traditional Arabic"/>
          <w:rtl/>
          <w:lang w:bidi="ar-EG"/>
        </w:rPr>
        <w:t xml:space="preserve">: </w:t>
      </w:r>
      <w:r w:rsidR="00FE7DE6" w:rsidRPr="007C544A">
        <w:rPr>
          <w:rFonts w:ascii="Traditional Arabic" w:eastAsiaTheme="minorHAnsi" w:hAnsi="Traditional Arabic" w:cs="Traditional Arabic" w:hint="cs"/>
          <w:rtl/>
        </w:rPr>
        <w:t xml:space="preserve">يعرف </w:t>
      </w:r>
      <w:r w:rsidRPr="007C544A">
        <w:rPr>
          <w:rFonts w:ascii="Traditional Arabic" w:eastAsiaTheme="minorHAnsi" w:hAnsi="Traditional Arabic" w:cs="Traditional Arabic"/>
          <w:rtl/>
        </w:rPr>
        <w:t>التمويل هو عملية توفير الموارد النقدية اللازمة لتمويل الأنشطة الاستثمارية والتشغيلية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سواء من مصادر داخلية أو خارجية</w:t>
      </w:r>
      <w:r w:rsidRPr="007C544A">
        <w:rPr>
          <w:rFonts w:ascii="Traditional Arabic" w:eastAsiaTheme="minorHAnsi" w:hAnsi="Traditional Arabic" w:cs="Traditional Arabic"/>
        </w:rPr>
        <w:t>.</w:t>
      </w:r>
      <w:r w:rsidR="00FE7DE6" w:rsidRPr="007C544A">
        <w:rPr>
          <w:rFonts w:ascii="Traditional Arabic" w:eastAsiaTheme="minorHAnsi" w:hAnsi="Traditional Arabic" w:cs="Traditional Arabic"/>
          <w:rtl/>
        </w:rPr>
        <w:t xml:space="preserve"> (عبد الفتاح، 2020):</w:t>
      </w:r>
    </w:p>
    <w:p w:rsidR="00A70C3E" w:rsidRPr="007C544A" w:rsidRDefault="007833AF" w:rsidP="00085B98">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ثانيا</w:t>
      </w:r>
      <w:r w:rsidR="00EB7FB0" w:rsidRPr="007C544A">
        <w:rPr>
          <w:rFonts w:ascii="Traditional Arabic" w:hAnsi="Traditional Arabic" w:cs="Traditional Arabic"/>
          <w:b/>
          <w:bCs/>
          <w:sz w:val="28"/>
          <w:szCs w:val="28"/>
          <w:rtl/>
          <w:lang w:bidi="ar-EG"/>
        </w:rPr>
        <w:t>ً-</w:t>
      </w:r>
      <w:r w:rsidR="00605B67" w:rsidRPr="007C544A">
        <w:rPr>
          <w:rFonts w:ascii="Traditional Arabic" w:hAnsi="Traditional Arabic" w:cs="Traditional Arabic"/>
          <w:b/>
          <w:bCs/>
          <w:sz w:val="28"/>
          <w:szCs w:val="28"/>
          <w:rtl/>
          <w:lang w:bidi="ar-EG"/>
        </w:rPr>
        <w:t xml:space="preserve"> </w:t>
      </w:r>
      <w:r w:rsidR="00A70C3E" w:rsidRPr="007C544A">
        <w:rPr>
          <w:rFonts w:ascii="Traditional Arabic" w:hAnsi="Traditional Arabic" w:cs="Traditional Arabic"/>
          <w:b/>
          <w:bCs/>
          <w:sz w:val="28"/>
          <w:szCs w:val="28"/>
          <w:rtl/>
          <w:lang w:bidi="ar-EG"/>
        </w:rPr>
        <w:t>الدراسات السابقة</w:t>
      </w:r>
      <w:r w:rsidR="00775B4E" w:rsidRPr="007C544A">
        <w:rPr>
          <w:rFonts w:ascii="Traditional Arabic" w:hAnsi="Traditional Arabic" w:cs="Traditional Arabic"/>
          <w:b/>
          <w:bCs/>
          <w:sz w:val="28"/>
          <w:szCs w:val="28"/>
          <w:rtl/>
          <w:lang w:bidi="ar-EG"/>
        </w:rPr>
        <w:t xml:space="preserve">: </w:t>
      </w:r>
    </w:p>
    <w:p w:rsidR="002356EB" w:rsidRPr="007C544A" w:rsidRDefault="002356EB"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eastAsiaTheme="minorHAnsi" w:hAnsi="Traditional Arabic" w:cs="Traditional Arabic"/>
          <w:rtl/>
          <w:lang w:bidi="ar-EG"/>
        </w:rPr>
        <w:t>قام الباحث بالاطلاع على الدراسات السابقة ذات الصلة بموضوع البحث</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تعد أحد</w:t>
      </w:r>
      <w:r w:rsidR="00334E78" w:rsidRPr="007C544A">
        <w:rPr>
          <w:rFonts w:ascii="Traditional Arabic" w:eastAsiaTheme="minorHAnsi" w:hAnsi="Traditional Arabic" w:cs="Traditional Arabic"/>
          <w:rtl/>
          <w:lang w:bidi="ar-EG"/>
        </w:rPr>
        <w:t xml:space="preserve"> أهم </w:t>
      </w:r>
      <w:r w:rsidRPr="007C544A">
        <w:rPr>
          <w:rFonts w:ascii="Traditional Arabic" w:eastAsiaTheme="minorHAnsi" w:hAnsi="Traditional Arabic" w:cs="Traditional Arabic"/>
          <w:rtl/>
          <w:lang w:bidi="ar-EG"/>
        </w:rPr>
        <w:t>الركائز الأساسية التي يتم ال</w:t>
      </w:r>
      <w:r w:rsidR="00E52D71" w:rsidRPr="007C544A">
        <w:rPr>
          <w:rFonts w:ascii="Traditional Arabic" w:eastAsiaTheme="minorHAnsi" w:hAnsi="Traditional Arabic" w:cs="Traditional Arabic"/>
          <w:rtl/>
          <w:lang w:bidi="ar-EG"/>
        </w:rPr>
        <w:t>اعتماد</w:t>
      </w:r>
      <w:r w:rsidRPr="007C544A">
        <w:rPr>
          <w:rFonts w:ascii="Traditional Arabic" w:eastAsiaTheme="minorHAnsi" w:hAnsi="Traditional Arabic" w:cs="Traditional Arabic"/>
          <w:rtl/>
          <w:lang w:bidi="ar-EG"/>
        </w:rPr>
        <w:t xml:space="preserve"> عليها في الدراسة الحالية</w:t>
      </w:r>
      <w:r w:rsidR="00D7278E" w:rsidRPr="007C544A">
        <w:rPr>
          <w:rFonts w:ascii="Traditional Arabic" w:eastAsiaTheme="minorHAnsi" w:hAnsi="Traditional Arabic" w:cs="Traditional Arabic"/>
          <w:rtl/>
          <w:lang w:bidi="ar-EG"/>
        </w:rPr>
        <w:t xml:space="preserve">، </w:t>
      </w:r>
      <w:r w:rsidR="00674B70" w:rsidRPr="007C544A">
        <w:rPr>
          <w:rFonts w:ascii="Traditional Arabic" w:eastAsiaTheme="minorHAnsi" w:hAnsi="Traditional Arabic" w:cs="Traditional Arabic"/>
          <w:rtl/>
          <w:lang w:bidi="ar-EG"/>
        </w:rPr>
        <w:t>و</w:t>
      </w:r>
      <w:r w:rsidRPr="007C544A">
        <w:rPr>
          <w:rFonts w:ascii="Traditional Arabic" w:eastAsiaTheme="minorHAnsi" w:hAnsi="Traditional Arabic" w:cs="Traditional Arabic"/>
          <w:rtl/>
          <w:lang w:bidi="ar-EG"/>
        </w:rPr>
        <w:t>قسمت الدراسات السابقة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دراسات عربية</w:t>
      </w:r>
      <w:r w:rsidR="00674B70" w:rsidRPr="007C544A">
        <w:rPr>
          <w:rFonts w:ascii="Traditional Arabic" w:eastAsiaTheme="minorHAnsi" w:hAnsi="Traditional Arabic" w:cs="Traditional Arabic"/>
          <w:rtl/>
          <w:lang w:bidi="ar-EG"/>
        </w:rPr>
        <w:t xml:space="preserve"> و</w:t>
      </w:r>
      <w:r w:rsidR="006A5EE0" w:rsidRPr="007C544A">
        <w:rPr>
          <w:rFonts w:ascii="Traditional Arabic" w:eastAsiaTheme="minorHAnsi" w:hAnsi="Traditional Arabic" w:cs="Traditional Arabic"/>
          <w:rtl/>
          <w:lang w:bidi="ar-EG"/>
        </w:rPr>
        <w:t>أ</w:t>
      </w:r>
      <w:r w:rsidRPr="007C544A">
        <w:rPr>
          <w:rFonts w:ascii="Traditional Arabic" w:eastAsiaTheme="minorHAnsi" w:hAnsi="Traditional Arabic" w:cs="Traditional Arabic"/>
          <w:rtl/>
          <w:lang w:bidi="ar-EG"/>
        </w:rPr>
        <w:t>جنبية</w:t>
      </w:r>
      <w:r w:rsidR="00D7278E" w:rsidRPr="007C544A">
        <w:rPr>
          <w:rFonts w:ascii="Traditional Arabic" w:eastAsiaTheme="minorHAnsi" w:hAnsi="Traditional Arabic" w:cs="Traditional Arabic"/>
          <w:rtl/>
          <w:lang w:bidi="ar-EG"/>
        </w:rPr>
        <w:t xml:space="preserve">، </w:t>
      </w:r>
      <w:r w:rsidR="00674B70" w:rsidRPr="007C544A">
        <w:rPr>
          <w:rFonts w:ascii="Traditional Arabic" w:eastAsiaTheme="minorHAnsi" w:hAnsi="Traditional Arabic" w:cs="Traditional Arabic"/>
          <w:rtl/>
          <w:lang w:bidi="ar-EG"/>
        </w:rPr>
        <w:t>و</w:t>
      </w:r>
      <w:r w:rsidRPr="007C544A">
        <w:rPr>
          <w:rFonts w:ascii="Traditional Arabic" w:eastAsiaTheme="minorHAnsi" w:hAnsi="Traditional Arabic" w:cs="Traditional Arabic"/>
          <w:rtl/>
          <w:lang w:bidi="ar-EG"/>
        </w:rPr>
        <w:t>عرضت الدراسات من ال</w:t>
      </w:r>
      <w:r w:rsidR="006A5EE0" w:rsidRPr="007C544A">
        <w:rPr>
          <w:rFonts w:ascii="Traditional Arabic" w:eastAsiaTheme="minorHAnsi" w:hAnsi="Traditional Arabic" w:cs="Traditional Arabic"/>
          <w:rtl/>
          <w:lang w:bidi="ar-EG"/>
        </w:rPr>
        <w:t>أ</w:t>
      </w:r>
      <w:r w:rsidRPr="007C544A">
        <w:rPr>
          <w:rFonts w:ascii="Traditional Arabic" w:eastAsiaTheme="minorHAnsi" w:hAnsi="Traditional Arabic" w:cs="Traditional Arabic"/>
          <w:rtl/>
          <w:lang w:bidi="ar-EG"/>
        </w:rPr>
        <w:t>قدم</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الأحدث في عدد من المجموعات مع التعليق على ك</w:t>
      </w:r>
      <w:r w:rsidR="007833AF" w:rsidRPr="007C544A">
        <w:rPr>
          <w:rFonts w:ascii="Traditional Arabic" w:eastAsiaTheme="minorHAnsi" w:hAnsi="Traditional Arabic" w:cs="Traditional Arabic"/>
          <w:rtl/>
          <w:lang w:bidi="ar-EG"/>
        </w:rPr>
        <w:t>ل مجموعة من هذه المجموعات</w:t>
      </w:r>
      <w:r w:rsidR="00D7278E" w:rsidRPr="007C544A">
        <w:rPr>
          <w:rFonts w:ascii="Traditional Arabic" w:eastAsiaTheme="minorHAnsi" w:hAnsi="Traditional Arabic" w:cs="Traditional Arabic"/>
          <w:rtl/>
          <w:lang w:bidi="ar-EG"/>
        </w:rPr>
        <w:t xml:space="preserve">، </w:t>
      </w:r>
      <w:r w:rsidR="007833AF" w:rsidRPr="007C544A">
        <w:rPr>
          <w:rFonts w:ascii="Traditional Arabic" w:eastAsiaTheme="minorHAnsi" w:hAnsi="Traditional Arabic" w:cs="Traditional Arabic"/>
          <w:rtl/>
          <w:lang w:bidi="ar-EG"/>
        </w:rPr>
        <w:t>كما يأت</w:t>
      </w:r>
      <w:r w:rsidRPr="007C544A">
        <w:rPr>
          <w:rFonts w:ascii="Traditional Arabic" w:eastAsiaTheme="minorHAnsi" w:hAnsi="Traditional Arabic" w:cs="Traditional Arabic"/>
          <w:rtl/>
          <w:lang w:bidi="ar-EG"/>
        </w:rPr>
        <w:t>ي</w:t>
      </w:r>
      <w:r w:rsidR="00775B4E" w:rsidRPr="007C544A">
        <w:rPr>
          <w:rFonts w:ascii="Traditional Arabic" w:hAnsi="Traditional Arabic" w:cs="Traditional Arabic"/>
          <w:rtl/>
        </w:rPr>
        <w:t xml:space="preserve">: </w:t>
      </w:r>
    </w:p>
    <w:p w:rsidR="00971FB9" w:rsidRPr="007C544A" w:rsidRDefault="002356EB" w:rsidP="002C0EBF">
      <w:pPr>
        <w:shd w:val="clear" w:color="auto" w:fill="FFFFFF" w:themeFill="background1"/>
        <w:bidi/>
        <w:spacing w:after="0" w:line="360" w:lineRule="auto"/>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lang w:bidi="ar-EG"/>
        </w:rPr>
        <w:t>المجموعة ال</w:t>
      </w:r>
      <w:r w:rsidR="00B02E61" w:rsidRPr="007C544A">
        <w:rPr>
          <w:rFonts w:ascii="Traditional Arabic" w:hAnsi="Traditional Arabic" w:cs="Traditional Arabic"/>
          <w:b/>
          <w:bCs/>
          <w:sz w:val="24"/>
          <w:szCs w:val="24"/>
          <w:rtl/>
          <w:lang w:bidi="ar-EG"/>
        </w:rPr>
        <w:t>أو</w:t>
      </w:r>
      <w:r w:rsidRPr="007C544A">
        <w:rPr>
          <w:rFonts w:ascii="Traditional Arabic" w:hAnsi="Traditional Arabic" w:cs="Traditional Arabic"/>
          <w:b/>
          <w:bCs/>
          <w:sz w:val="24"/>
          <w:szCs w:val="24"/>
          <w:rtl/>
          <w:lang w:bidi="ar-EG"/>
        </w:rPr>
        <w:t>لى</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دراسات مرتبطة بالمتغير المستقل</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دمج الشركات)</w:t>
      </w:r>
      <w:r w:rsidR="00A61D5D" w:rsidRPr="007C544A">
        <w:rPr>
          <w:rFonts w:ascii="Traditional Arabic" w:hAnsi="Traditional Arabic" w:cs="Traditional Arabic"/>
          <w:b/>
          <w:bCs/>
          <w:sz w:val="24"/>
          <w:szCs w:val="24"/>
          <w:rtl/>
        </w:rPr>
        <w:t>.</w:t>
      </w:r>
    </w:p>
    <w:p w:rsidR="00971FB9" w:rsidRPr="007C544A" w:rsidRDefault="002356EB" w:rsidP="002C0EBF">
      <w:pPr>
        <w:shd w:val="clear" w:color="auto" w:fill="FFFFFF" w:themeFill="background1"/>
        <w:bidi/>
        <w:spacing w:after="0" w:line="360" w:lineRule="auto"/>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lang w:bidi="ar-EG"/>
        </w:rPr>
        <w:t>المجموعة الثانية</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دراسات مرتبطة بالمتغير التابع</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دخول السوق الموازية</w:t>
      </w:r>
      <w:r w:rsidR="00D7278E" w:rsidRPr="007C544A">
        <w:rPr>
          <w:rFonts w:ascii="Traditional Arabic" w:hAnsi="Traditional Arabic" w:cs="Traditional Arabic"/>
          <w:b/>
          <w:bCs/>
          <w:sz w:val="24"/>
          <w:szCs w:val="24"/>
          <w:rtl/>
          <w:lang w:bidi="ar-EG"/>
        </w:rPr>
        <w:t>)</w:t>
      </w:r>
      <w:r w:rsidR="00A61D5D" w:rsidRPr="007C544A">
        <w:rPr>
          <w:rFonts w:ascii="Traditional Arabic" w:hAnsi="Traditional Arabic" w:cs="Traditional Arabic"/>
          <w:b/>
          <w:bCs/>
          <w:sz w:val="24"/>
          <w:szCs w:val="24"/>
          <w:rtl/>
        </w:rPr>
        <w:t>.</w:t>
      </w:r>
    </w:p>
    <w:p w:rsidR="0051488C" w:rsidRPr="007C544A" w:rsidRDefault="002356EB" w:rsidP="002C0EBF">
      <w:pPr>
        <w:shd w:val="clear" w:color="auto" w:fill="FFFFFF" w:themeFill="background1"/>
        <w:bidi/>
        <w:spacing w:after="0" w:line="360" w:lineRule="auto"/>
        <w:jc w:val="both"/>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rPr>
        <w:t>المجموعة الثالثة</w:t>
      </w:r>
      <w:r w:rsidR="00775B4E" w:rsidRPr="007C544A">
        <w:rPr>
          <w:rFonts w:ascii="Traditional Arabic" w:hAnsi="Traditional Arabic" w:cs="Traditional Arabic"/>
          <w:b/>
          <w:bCs/>
          <w:sz w:val="24"/>
          <w:szCs w:val="24"/>
          <w:rtl/>
        </w:rPr>
        <w:t xml:space="preserve">: </w:t>
      </w:r>
      <w:r w:rsidR="00971FB9" w:rsidRPr="007C544A">
        <w:rPr>
          <w:rFonts w:ascii="Traditional Arabic" w:hAnsi="Traditional Arabic" w:cs="Traditional Arabic"/>
          <w:b/>
          <w:bCs/>
          <w:sz w:val="24"/>
          <w:szCs w:val="24"/>
          <w:rtl/>
          <w:lang w:bidi="ar-EG"/>
        </w:rPr>
        <w:t>دراسات مرتبطة بالمتغير المستقل والمتغير التابع</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دمج الشركات العائلية لدخول السوق الموازية</w:t>
      </w:r>
      <w:r w:rsidR="00D7278E" w:rsidRPr="007C544A">
        <w:rPr>
          <w:rFonts w:ascii="Traditional Arabic" w:hAnsi="Traditional Arabic" w:cs="Traditional Arabic"/>
          <w:b/>
          <w:bCs/>
          <w:sz w:val="24"/>
          <w:szCs w:val="24"/>
          <w:rtl/>
          <w:lang w:bidi="ar-EG"/>
        </w:rPr>
        <w:t>)</w:t>
      </w:r>
      <w:r w:rsidR="003C1239" w:rsidRPr="007C544A">
        <w:rPr>
          <w:rFonts w:ascii="Traditional Arabic" w:hAnsi="Traditional Arabic" w:cs="Traditional Arabic"/>
          <w:b/>
          <w:bCs/>
          <w:sz w:val="24"/>
          <w:szCs w:val="24"/>
          <w:rtl/>
          <w:lang w:bidi="ar-EG"/>
        </w:rPr>
        <w:t>.</w:t>
      </w:r>
    </w:p>
    <w:p w:rsidR="00971FB9" w:rsidRPr="007C544A" w:rsidRDefault="00971FB9"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المجموعة الأولى</w:t>
      </w:r>
      <w:r w:rsidR="00A61D5D" w:rsidRPr="007C544A">
        <w:rPr>
          <w:rFonts w:ascii="Traditional Arabic" w:hAnsi="Traditional Arabic" w:cs="Traditional Arabic"/>
          <w:b/>
          <w:bCs/>
          <w:sz w:val="28"/>
          <w:szCs w:val="28"/>
          <w:rtl/>
          <w:lang w:bidi="ar-EG"/>
        </w:rPr>
        <w:t>-</w:t>
      </w:r>
      <w:r w:rsidRPr="007C544A">
        <w:rPr>
          <w:rFonts w:ascii="Traditional Arabic" w:hAnsi="Traditional Arabic" w:cs="Traditional Arabic"/>
          <w:b/>
          <w:bCs/>
          <w:sz w:val="28"/>
          <w:szCs w:val="28"/>
          <w:rtl/>
          <w:lang w:bidi="ar-EG"/>
        </w:rPr>
        <w:t xml:space="preserve"> </w:t>
      </w:r>
      <w:r w:rsidR="00A61D5D" w:rsidRPr="007C544A">
        <w:rPr>
          <w:rFonts w:ascii="Traditional Arabic" w:hAnsi="Traditional Arabic" w:cs="Traditional Arabic"/>
          <w:b/>
          <w:bCs/>
          <w:sz w:val="28"/>
          <w:szCs w:val="28"/>
          <w:rtl/>
          <w:lang w:bidi="ar-EG"/>
        </w:rPr>
        <w:t>ال</w:t>
      </w:r>
      <w:r w:rsidRPr="007C544A">
        <w:rPr>
          <w:rFonts w:ascii="Traditional Arabic" w:hAnsi="Traditional Arabic" w:cs="Traditional Arabic"/>
          <w:b/>
          <w:bCs/>
          <w:sz w:val="28"/>
          <w:szCs w:val="28"/>
          <w:rtl/>
          <w:lang w:bidi="ar-EG"/>
        </w:rPr>
        <w:t>دراسات المرتبطة بالمتغير المستقل</w:t>
      </w:r>
      <w:r w:rsidR="00D7278E" w:rsidRPr="007C544A">
        <w:rPr>
          <w:rFonts w:ascii="Traditional Arabic" w:hAnsi="Traditional Arabic" w:cs="Traditional Arabic"/>
          <w:b/>
          <w:bCs/>
          <w:sz w:val="28"/>
          <w:szCs w:val="28"/>
          <w:rtl/>
          <w:lang w:bidi="ar-EG"/>
        </w:rPr>
        <w:t xml:space="preserve"> (</w:t>
      </w:r>
      <w:r w:rsidR="00A61D5D" w:rsidRPr="007C544A">
        <w:rPr>
          <w:rFonts w:ascii="Traditional Arabic" w:hAnsi="Traditional Arabic" w:cs="Traditional Arabic"/>
          <w:b/>
          <w:bCs/>
          <w:sz w:val="28"/>
          <w:szCs w:val="28"/>
          <w:rtl/>
          <w:lang w:bidi="ar-EG"/>
        </w:rPr>
        <w:t>دمج الشركات)</w:t>
      </w:r>
      <w:r w:rsidR="00775B4E" w:rsidRPr="007C544A">
        <w:rPr>
          <w:rFonts w:ascii="Traditional Arabic" w:hAnsi="Traditional Arabic" w:cs="Traditional Arabic"/>
          <w:b/>
          <w:bCs/>
          <w:sz w:val="28"/>
          <w:szCs w:val="28"/>
          <w:rtl/>
          <w:lang w:bidi="ar-EG"/>
        </w:rPr>
        <w:t xml:space="preserve">: </w:t>
      </w:r>
    </w:p>
    <w:p w:rsidR="00630820" w:rsidRPr="007C544A" w:rsidRDefault="00BD78BC" w:rsidP="00BD78BC">
      <w:pPr>
        <w:shd w:val="clear" w:color="auto" w:fill="FFFFFF" w:themeFill="background1"/>
        <w:bidi/>
        <w:spacing w:after="0" w:line="360" w:lineRule="auto"/>
        <w:jc w:val="both"/>
        <w:rPr>
          <w:rFonts w:ascii="Traditional Arabic" w:hAnsi="Traditional Arabic" w:cs="Traditional Arabic"/>
        </w:rPr>
      </w:pPr>
      <w:r w:rsidRPr="007C544A">
        <w:rPr>
          <w:rFonts w:ascii="Traditional Arabic" w:hAnsi="Traditional Arabic" w:cs="Traditional Arabic" w:hint="cs"/>
          <w:b/>
          <w:bCs/>
          <w:sz w:val="24"/>
          <w:szCs w:val="24"/>
          <w:rtl/>
          <w:lang w:bidi="ar-EG"/>
        </w:rPr>
        <w:t xml:space="preserve">1. </w:t>
      </w:r>
      <w:r w:rsidR="00971FB9" w:rsidRPr="007C544A">
        <w:rPr>
          <w:rFonts w:ascii="Traditional Arabic" w:hAnsi="Traditional Arabic" w:cs="Traditional Arabic"/>
          <w:b/>
          <w:bCs/>
          <w:sz w:val="24"/>
          <w:szCs w:val="24"/>
          <w:rtl/>
          <w:lang w:bidi="ar-EG"/>
        </w:rPr>
        <w:t>دراسة المقدم</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العزمي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2024)</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"أثر تطبيق أبعاد الحوكمة على أداء الشركات العائلية بالمملكة العربية السعودية"</w:t>
      </w:r>
      <w:r w:rsidR="00A61D5D" w:rsidRPr="007C544A">
        <w:rPr>
          <w:rFonts w:ascii="Traditional Arabic" w:hAnsi="Traditional Arabic" w:cs="Traditional Arabic"/>
          <w:b/>
          <w:bCs/>
          <w:sz w:val="24"/>
          <w:szCs w:val="24"/>
          <w:rtl/>
          <w:lang w:bidi="ar-EG"/>
        </w:rPr>
        <w:t xml:space="preserve">. </w:t>
      </w:r>
      <w:r w:rsidRPr="007C544A">
        <w:rPr>
          <w:rFonts w:ascii="Traditional Arabic" w:hAnsi="Traditional Arabic" w:cs="Traditional Arabic" w:hint="cs"/>
          <w:b/>
          <w:bCs/>
          <w:sz w:val="24"/>
          <w:szCs w:val="24"/>
          <w:rtl/>
          <w:lang w:bidi="ar-EG"/>
        </w:rPr>
        <w:t xml:space="preserve"> </w:t>
      </w:r>
      <w:r w:rsidR="00630820" w:rsidRPr="007C544A">
        <w:rPr>
          <w:rFonts w:ascii="Traditional Arabic" w:hAnsi="Traditional Arabic" w:cs="Traditional Arabic"/>
          <w:sz w:val="24"/>
          <w:szCs w:val="24"/>
          <w:rtl/>
        </w:rPr>
        <w:t>قد هدفت الدراسة</w:t>
      </w:r>
      <w:r w:rsidR="000544F4" w:rsidRPr="007C544A">
        <w:rPr>
          <w:rFonts w:ascii="Traditional Arabic" w:hAnsi="Traditional Arabic" w:cs="Traditional Arabic"/>
          <w:sz w:val="24"/>
          <w:szCs w:val="24"/>
          <w:rtl/>
        </w:rPr>
        <w:t xml:space="preserve"> إلى </w:t>
      </w:r>
      <w:r w:rsidR="00630820" w:rsidRPr="007C544A">
        <w:rPr>
          <w:rFonts w:ascii="Traditional Arabic" w:hAnsi="Traditional Arabic" w:cs="Traditional Arabic"/>
          <w:sz w:val="24"/>
          <w:szCs w:val="24"/>
          <w:rtl/>
        </w:rPr>
        <w:t>التحقق من أثر أبعاد الحوكمة المتمثلة في</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العدالة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الشفافية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المساءلة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النزاهة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المشاركة) على مستوى أداء الشركات العائلية في المملكة العربية السعودية. وتضمنت عينة الدراسة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185) موظفًا من العاملين في عدد من الشركات العائلية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حيث تم جمع البيانات من خلال استبانة إلكترونية وُزِّعت عبر تطبيق "واتس آب". كما اعتمدت الدراسة على الأساليب ال</w:t>
      </w:r>
      <w:r w:rsidR="004C5D0F" w:rsidRPr="007C544A">
        <w:rPr>
          <w:rFonts w:ascii="Traditional Arabic" w:hAnsi="Traditional Arabic" w:cs="Traditional Arabic"/>
          <w:sz w:val="24"/>
          <w:szCs w:val="24"/>
          <w:rtl/>
        </w:rPr>
        <w:t>إحصائي</w:t>
      </w:r>
      <w:r w:rsidR="00630820" w:rsidRPr="007C544A">
        <w:rPr>
          <w:rFonts w:ascii="Traditional Arabic" w:hAnsi="Traditional Arabic" w:cs="Traditional Arabic"/>
          <w:sz w:val="24"/>
          <w:szCs w:val="24"/>
          <w:rtl/>
        </w:rPr>
        <w:t>ة الوصفية لتحليل خصائص العينة وتوصيف المتغيرات</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بالإضافة</w:t>
      </w:r>
      <w:r w:rsidR="000544F4" w:rsidRPr="007C544A">
        <w:rPr>
          <w:rFonts w:ascii="Traditional Arabic" w:hAnsi="Traditional Arabic" w:cs="Traditional Arabic"/>
          <w:sz w:val="24"/>
          <w:szCs w:val="24"/>
          <w:rtl/>
        </w:rPr>
        <w:t xml:space="preserve"> إلى </w:t>
      </w:r>
      <w:r w:rsidR="00630820" w:rsidRPr="007C544A">
        <w:rPr>
          <w:rFonts w:ascii="Traditional Arabic" w:hAnsi="Traditional Arabic" w:cs="Traditional Arabic"/>
          <w:sz w:val="24"/>
          <w:szCs w:val="24"/>
          <w:rtl/>
        </w:rPr>
        <w:t>استخدام نموذج الانحدار الخطي البسيط لاختبار فرضيات الدراسة وقياس طبيعة العلاقة بين متغيراتها</w:t>
      </w:r>
      <w:r w:rsidRPr="007C544A">
        <w:rPr>
          <w:rFonts w:ascii="Traditional Arabic" w:hAnsi="Traditional Arabic" w:cs="Traditional Arabic" w:hint="cs"/>
          <w:sz w:val="24"/>
          <w:szCs w:val="24"/>
          <w:rtl/>
        </w:rPr>
        <w:t xml:space="preserve">، </w:t>
      </w:r>
      <w:r w:rsidR="00630820" w:rsidRPr="007C544A">
        <w:rPr>
          <w:rFonts w:ascii="Traditional Arabic" w:hAnsi="Traditional Arabic" w:cs="Traditional Arabic"/>
          <w:rtl/>
        </w:rPr>
        <w:lastRenderedPageBreak/>
        <w:t>وأظهرت نتائج الدراسة أن أبعاد</w:t>
      </w:r>
      <w:r w:rsidR="00C862E1"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الحوكمة مجتمعة لها تأثير إيجابي ذو دلالة </w:t>
      </w:r>
      <w:r w:rsidR="004C5D0F" w:rsidRPr="007C544A">
        <w:rPr>
          <w:rFonts w:ascii="Traditional Arabic" w:hAnsi="Traditional Arabic" w:cs="Traditional Arabic"/>
          <w:rtl/>
        </w:rPr>
        <w:t>إحصائي</w:t>
      </w:r>
      <w:r w:rsidR="00630820" w:rsidRPr="007C544A">
        <w:rPr>
          <w:rFonts w:ascii="Traditional Arabic" w:hAnsi="Traditional Arabic" w:cs="Traditional Arabic"/>
          <w:rtl/>
        </w:rPr>
        <w:t>ة على أداء الشركات العائلية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حيث أسهمت الشفافية في تحسين تدفق المعلومات ورفع مستوى الثقة بين ال</w:t>
      </w:r>
      <w:r w:rsidR="00D6178F" w:rsidRPr="007C544A">
        <w:rPr>
          <w:rFonts w:ascii="Traditional Arabic" w:hAnsi="Traditional Arabic" w:cs="Traditional Arabic"/>
          <w:rtl/>
        </w:rPr>
        <w:t>إدارة</w:t>
      </w:r>
      <w:r w:rsidR="00630820" w:rsidRPr="007C544A">
        <w:rPr>
          <w:rFonts w:ascii="Traditional Arabic" w:hAnsi="Traditional Arabic" w:cs="Traditional Arabic"/>
          <w:rtl/>
        </w:rPr>
        <w:t xml:space="preserve"> وأصحاب المصالح</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بينما ساعدت المساءلة والنزاهة في تعزيز الانضباط الإداري والحد من الممارسات غير الرشيدة. كما تبين أن العدالة والمشاركة تلعبان دورًا مهمًا في تحسين بيئة العمل وزيادة رضا العاملين</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مما ينعكس إيجابًا على مستوى الإنتاجية و</w:t>
      </w:r>
      <w:r w:rsidR="005C20E0" w:rsidRPr="007C544A">
        <w:rPr>
          <w:rFonts w:ascii="Traditional Arabic" w:hAnsi="Traditional Arabic" w:cs="Traditional Arabic"/>
          <w:rtl/>
        </w:rPr>
        <w:t>الأداء</w:t>
      </w:r>
      <w:r w:rsidR="00630820" w:rsidRPr="007C544A">
        <w:rPr>
          <w:rFonts w:ascii="Traditional Arabic" w:hAnsi="Traditional Arabic" w:cs="Traditional Arabic"/>
          <w:rtl/>
        </w:rPr>
        <w:t xml:space="preserve"> العام</w:t>
      </w:r>
      <w:r w:rsidR="00630820" w:rsidRPr="007C544A">
        <w:rPr>
          <w:rFonts w:ascii="Traditional Arabic" w:hAnsi="Traditional Arabic" w:cs="Traditional Arabic"/>
        </w:rPr>
        <w:t>.</w:t>
      </w:r>
      <w:r w:rsidRPr="007C544A">
        <w:rPr>
          <w:rFonts w:ascii="Traditional Arabic" w:hAnsi="Traditional Arabic" w:cs="Traditional Arabic" w:hint="cs"/>
          <w:rtl/>
        </w:rPr>
        <w:t xml:space="preserve"> </w:t>
      </w:r>
      <w:r w:rsidR="00630820" w:rsidRPr="007C544A">
        <w:rPr>
          <w:rFonts w:ascii="Traditional Arabic" w:hAnsi="Traditional Arabic" w:cs="Traditional Arabic"/>
          <w:rtl/>
        </w:rPr>
        <w:t>وأشارت الدراسة كذلك</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أن تطبيق الحوكمة يسهم في تعزيز القدرة التنافسية للشركات العائلية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وتحسين جودة القرارات الاستراتيجية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ودعم استدامة ال</w:t>
      </w:r>
      <w:r w:rsidR="003F6CDC" w:rsidRPr="007C544A">
        <w:rPr>
          <w:rFonts w:ascii="Traditional Arabic" w:hAnsi="Traditional Arabic" w:cs="Traditional Arabic"/>
          <w:rtl/>
        </w:rPr>
        <w:t>أعمال</w:t>
      </w:r>
      <w:r w:rsidR="00630820" w:rsidRPr="007C544A">
        <w:rPr>
          <w:rFonts w:ascii="Traditional Arabic" w:hAnsi="Traditional Arabic" w:cs="Traditional Arabic"/>
          <w:rtl/>
        </w:rPr>
        <w:t xml:space="preserve"> على المدى الطويل. كما أوصت بضرورة تبني إطار متكامل للحوكمة داخل الشركات العائلية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وتكثيف برامج التوعية والتدريب حول أهميتها</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تطوير الأنظمة واللوائح الداخلية بما يضمن التطبيق الفعّال لمبادئ الحوكمة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بما يسهم في تحقيق النمو والاستقرار المؤسسي</w:t>
      </w:r>
      <w:r w:rsidR="00630820" w:rsidRPr="007C544A">
        <w:rPr>
          <w:rFonts w:ascii="Traditional Arabic" w:hAnsi="Traditional Arabic" w:cs="Traditional Arabic"/>
        </w:rPr>
        <w:t>.</w:t>
      </w:r>
    </w:p>
    <w:p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rPr>
      </w:pPr>
      <w:r w:rsidRPr="007C544A">
        <w:rPr>
          <w:rFonts w:ascii="Traditional Arabic" w:hAnsi="Traditional Arabic" w:cs="Traditional Arabic" w:hint="cs"/>
          <w:b/>
          <w:bCs/>
          <w:sz w:val="24"/>
          <w:szCs w:val="24"/>
          <w:rtl/>
          <w:lang w:bidi="ar-EG"/>
        </w:rPr>
        <w:t xml:space="preserve">2. </w:t>
      </w:r>
      <w:r w:rsidR="00971FB9" w:rsidRPr="007C544A">
        <w:rPr>
          <w:rFonts w:ascii="Traditional Arabic" w:hAnsi="Traditional Arabic" w:cs="Traditional Arabic"/>
          <w:b/>
          <w:bCs/>
          <w:sz w:val="24"/>
          <w:szCs w:val="24"/>
          <w:rtl/>
          <w:lang w:bidi="ar-EG"/>
        </w:rPr>
        <w:t>دراسة الخواصنة</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2024) بعنوان</w:t>
      </w:r>
      <w:r w:rsidR="00775B4E" w:rsidRPr="007C544A">
        <w:rPr>
          <w:rFonts w:ascii="Traditional Arabic" w:hAnsi="Traditional Arabic" w:cs="Traditional Arabic"/>
          <w:b/>
          <w:bCs/>
          <w:sz w:val="24"/>
          <w:szCs w:val="24"/>
          <w:rtl/>
          <w:lang w:bidi="ar-EG"/>
        </w:rPr>
        <w:t xml:space="preserve">: </w:t>
      </w:r>
      <w:r w:rsidR="00A61D5D"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الضوابط القانونية لاندماج الشركات وتحولها في ضوء نظام الشركات في المملكة العربية السعودية</w:t>
      </w:r>
      <w:r w:rsidR="00C862E1"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rtl/>
        </w:rPr>
        <w:t>يستكشف هذا البحث الإصلاحات والتطورات القانونية التي تم اتخاذها من قبل المنظم في المملكة العربية السعودية فيما يتعلق باندماج الشركات وتحولها وكيفية تنظيم هذه العمليات القانونية بموجب نظام الشركات السعودي الصادر في العام</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2022</w:t>
      </w:r>
      <w:r w:rsidR="00C862E1" w:rsidRPr="007C544A">
        <w:rPr>
          <w:rFonts w:ascii="Traditional Arabic" w:hAnsi="Traditional Arabic" w:cs="Traditional Arabic"/>
          <w:rtl/>
        </w:rPr>
        <w:t xml:space="preserve"> و</w:t>
      </w:r>
      <w:r w:rsidR="00971FB9" w:rsidRPr="007C544A">
        <w:rPr>
          <w:rFonts w:ascii="Traditional Arabic" w:hAnsi="Traditional Arabic" w:cs="Traditional Arabic"/>
          <w:rtl/>
        </w:rPr>
        <w:t xml:space="preserve">تم التركيز على </w:t>
      </w:r>
      <w:r w:rsidR="003F6CDC" w:rsidRPr="007C544A">
        <w:rPr>
          <w:rFonts w:ascii="Traditional Arabic" w:hAnsi="Traditional Arabic" w:cs="Traditional Arabic"/>
          <w:rtl/>
        </w:rPr>
        <w:t>أهمية</w:t>
      </w:r>
      <w:r w:rsidR="00971FB9" w:rsidRPr="007C544A">
        <w:rPr>
          <w:rFonts w:ascii="Traditional Arabic" w:hAnsi="Traditional Arabic" w:cs="Traditional Arabic"/>
          <w:rtl/>
        </w:rPr>
        <w:t xml:space="preserve"> هذه الإصلاحات التشريعية في تعزيز البيئة القانونية في جذب ال</w:t>
      </w:r>
      <w:r w:rsidR="003F6CDC" w:rsidRPr="007C544A">
        <w:rPr>
          <w:rFonts w:ascii="Traditional Arabic" w:hAnsi="Traditional Arabic" w:cs="Traditional Arabic"/>
          <w:rtl/>
        </w:rPr>
        <w:t>أعمال</w:t>
      </w:r>
      <w:r w:rsidR="00C862E1" w:rsidRPr="007C544A">
        <w:rPr>
          <w:rFonts w:ascii="Traditional Arabic" w:hAnsi="Traditional Arabic" w:cs="Traditional Arabic"/>
          <w:rtl/>
        </w:rPr>
        <w:t xml:space="preserve"> و</w:t>
      </w:r>
      <w:r w:rsidR="00971FB9" w:rsidRPr="007C544A">
        <w:rPr>
          <w:rFonts w:ascii="Traditional Arabic" w:hAnsi="Traditional Arabic" w:cs="Traditional Arabic"/>
          <w:rtl/>
        </w:rPr>
        <w:t>الاستمثارات</w:t>
      </w:r>
      <w:r w:rsidR="00C862E1" w:rsidRPr="007C544A">
        <w:rPr>
          <w:rFonts w:ascii="Traditional Arabic" w:hAnsi="Traditional Arabic" w:cs="Traditional Arabic"/>
          <w:rtl/>
        </w:rPr>
        <w:t xml:space="preserve"> و</w:t>
      </w:r>
      <w:r w:rsidR="00971FB9" w:rsidRPr="007C544A">
        <w:rPr>
          <w:rFonts w:ascii="Traditional Arabic" w:hAnsi="Traditional Arabic" w:cs="Traditional Arabic"/>
          <w:rtl/>
        </w:rPr>
        <w:t>العمل على تحفيز التنمية الاقتصادية في المملكة. ويسلط هذا البحث الضوء على المواد ذات الصلة في النظام السعودي التي تنظم اندماج الشركات وتحولها</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مع التأكيد على الإجراءات والشروط المطلوبة لتنفيذ هذه العمليات بشكل شفافية وقانونية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كما تم مناقشة الأثار الاقتصادية والقانونية لهذه العمليات على المساهمين والشركات والاقتصاد الوطني. ويتناول هذا ا الجهود التي قام بها المشرع السعودي لتنظيم هذه العمليات بشكل متقن البحث أي ومناسب في نظام الشركات</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مع تشجيع المستثمرين والشركات للاستفادة من هذا الإطار القانوني الجديد.</w:t>
      </w:r>
      <w:r w:rsidR="00C862E1" w:rsidRPr="007C544A">
        <w:rPr>
          <w:rFonts w:ascii="Traditional Arabic" w:hAnsi="Traditional Arabic" w:cs="Traditional Arabic"/>
          <w:rtl/>
        </w:rPr>
        <w:t xml:space="preserve"> و</w:t>
      </w:r>
      <w:r w:rsidR="00971FB9" w:rsidRPr="007C544A">
        <w:rPr>
          <w:rFonts w:ascii="Traditional Arabic" w:hAnsi="Traditional Arabic" w:cs="Traditional Arabic"/>
          <w:rtl/>
        </w:rPr>
        <w:t>يسلط هذا البحث الضوء على كيفية تحسين بيئة ال</w:t>
      </w:r>
      <w:r w:rsidR="003F6CDC" w:rsidRPr="007C544A">
        <w:rPr>
          <w:rFonts w:ascii="Traditional Arabic" w:hAnsi="Traditional Arabic" w:cs="Traditional Arabic"/>
          <w:rtl/>
        </w:rPr>
        <w:t>أعمال</w:t>
      </w:r>
      <w:r w:rsidR="00971FB9" w:rsidRPr="007C544A">
        <w:rPr>
          <w:rFonts w:ascii="Traditional Arabic" w:hAnsi="Traditional Arabic" w:cs="Traditional Arabic"/>
          <w:rtl/>
        </w:rPr>
        <w:t xml:space="preserve"> في المملكة العربية السعودية من خلال تنظيم تحول الشركات واندماجها</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وكيفية تعزيز الاستقرار والنمو الاقتصادي في البلاد</w:t>
      </w:r>
      <w:r w:rsidR="00FA5E7F" w:rsidRPr="007C544A">
        <w:rPr>
          <w:rFonts w:ascii="Traditional Arabic" w:hAnsi="Traditional Arabic" w:cs="Traditional Arabic"/>
          <w:rtl/>
        </w:rPr>
        <w:t xml:space="preserve">. </w:t>
      </w:r>
    </w:p>
    <w:p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 xml:space="preserve">3. </w:t>
      </w:r>
      <w:r w:rsidR="00971FB9" w:rsidRPr="007C544A">
        <w:rPr>
          <w:rFonts w:ascii="Traditional Arabic" w:hAnsi="Traditional Arabic" w:cs="Traditional Arabic"/>
          <w:b/>
          <w:bCs/>
          <w:sz w:val="24"/>
          <w:szCs w:val="24"/>
          <w:rtl/>
          <w:lang w:bidi="ar-EG"/>
        </w:rPr>
        <w:t>تناولت دراسة السقا</w:t>
      </w:r>
      <w:r w:rsidR="00D7278E" w:rsidRPr="007C544A">
        <w:rPr>
          <w:rFonts w:ascii="Traditional Arabic" w:hAnsi="Traditional Arabic" w:cs="Traditional Arabic"/>
          <w:b/>
          <w:bCs/>
          <w:sz w:val="24"/>
          <w:szCs w:val="24"/>
          <w:rtl/>
          <w:lang w:bidi="ar-EG"/>
        </w:rPr>
        <w:t xml:space="preserve"> </w:t>
      </w:r>
      <w:r w:rsidR="00C862E1" w:rsidRPr="007C544A">
        <w:rPr>
          <w:rFonts w:ascii="Traditional Arabic" w:hAnsi="Traditional Arabic" w:cs="Traditional Arabic"/>
          <w:b/>
          <w:bCs/>
          <w:sz w:val="24"/>
          <w:szCs w:val="24"/>
          <w:rtl/>
          <w:lang w:bidi="ar-EG"/>
        </w:rPr>
        <w:t xml:space="preserve">(2024)،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C862E1"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أثر </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 xml:space="preserve"> على عقود الشركات الدامجة والمندمجة</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تحليلية في ضوء مبادئ الحوكمة</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 xml:space="preserve">أثر </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 xml:space="preserve"> على عقود الشركات الدامجة والمندمجة</w:t>
      </w:r>
      <w:r w:rsidR="00C862E1"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C862E1" w:rsidRPr="007C544A">
        <w:rPr>
          <w:rFonts w:ascii="Traditional Arabic" w:hAnsi="Traditional Arabic" w:cs="Traditional Arabic"/>
          <w:sz w:val="24"/>
          <w:szCs w:val="24"/>
          <w:rtl/>
        </w:rPr>
        <w:t>و</w:t>
      </w:r>
      <w:r w:rsidR="00971FB9" w:rsidRPr="007C544A">
        <w:rPr>
          <w:rFonts w:ascii="Traditional Arabic" w:hAnsi="Traditional Arabic" w:cs="Traditional Arabic"/>
          <w:sz w:val="24"/>
          <w:szCs w:val="24"/>
          <w:rtl/>
        </w:rPr>
        <w:t xml:space="preserve">هدفت الدراسة على الوقوف على مدى تأثير حالة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على العقود المبرمة قبل </w:t>
      </w:r>
      <w:r w:rsidR="0022698D" w:rsidRPr="007C544A">
        <w:rPr>
          <w:rFonts w:ascii="Traditional Arabic" w:hAnsi="Traditional Arabic" w:cs="Traditional Arabic"/>
          <w:sz w:val="24"/>
          <w:szCs w:val="24"/>
          <w:rtl/>
        </w:rPr>
        <w:t xml:space="preserve">الدمج </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وتوصلت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مجموع من النتائج أهمها</w:t>
      </w:r>
      <w:r w:rsidR="00775B4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ينتقل عقد العمل بكافة شروطه كما هي</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ويستوي أن يكون الانتقال بسبب بيع المنشأة أو الإرث أو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أو غير ذلك من الأسباب</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وتطبيقاً للأحكام العامة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لم يعد لانتقال ملكية المنشأة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منشأة أخرى</w:t>
      </w:r>
      <w:r w:rsidR="00C862E1"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بسبب </w:t>
      </w:r>
      <w:r w:rsidR="0022698D" w:rsidRPr="007C544A">
        <w:rPr>
          <w:rFonts w:ascii="Traditional Arabic" w:hAnsi="Traditional Arabic" w:cs="Traditional Arabic"/>
          <w:sz w:val="24"/>
          <w:szCs w:val="24"/>
          <w:rtl/>
        </w:rPr>
        <w:t xml:space="preserve">الدمج </w:t>
      </w:r>
      <w:r w:rsidR="00C862E1" w:rsidRPr="007C544A">
        <w:rPr>
          <w:rFonts w:ascii="Traditional Arabic" w:hAnsi="Traditional Arabic" w:cs="Traditional Arabic"/>
          <w:sz w:val="24"/>
          <w:szCs w:val="24"/>
          <w:rtl/>
        </w:rPr>
        <w:t>-</w:t>
      </w:r>
      <w:r w:rsidR="00971FB9" w:rsidRPr="007C544A">
        <w:rPr>
          <w:rFonts w:ascii="Traditional Arabic" w:hAnsi="Traditional Arabic" w:cs="Traditional Arabic"/>
          <w:sz w:val="24"/>
          <w:szCs w:val="24"/>
          <w:rtl/>
        </w:rPr>
        <w:t xml:space="preserve"> أي أثر عقود العمل المبرمة بين العامل في هذه العقود</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وانما ينتقل العقد من الشركة أو الشركات المندمجة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الشركة الدامجة أو الجديدة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أو بمعنى أخر ينتقل العقد</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رب العمل الجديد</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ويتم ذلك على الرغم من عدم وجود نص في عقد العمل أو عقد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ينص على هذا الانتقال</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حيث يتم الانتقال في هذه الحالة بقوة القانون.</w:t>
      </w:r>
    </w:p>
    <w:p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 xml:space="preserve">4. </w:t>
      </w:r>
      <w:r w:rsidR="00971FB9" w:rsidRPr="007C544A">
        <w:rPr>
          <w:rFonts w:ascii="Traditional Arabic" w:hAnsi="Traditional Arabic" w:cs="Traditional Arabic"/>
          <w:b/>
          <w:bCs/>
          <w:sz w:val="24"/>
          <w:szCs w:val="24"/>
          <w:rtl/>
          <w:lang w:bidi="ar-EG"/>
        </w:rPr>
        <w:t>دراسة توفيق</w:t>
      </w:r>
      <w:r w:rsidR="00C862E1" w:rsidRPr="007C544A">
        <w:rPr>
          <w:rFonts w:ascii="Traditional Arabic" w:hAnsi="Traditional Arabic" w:cs="Traditional Arabic"/>
          <w:b/>
          <w:bCs/>
          <w:sz w:val="24"/>
          <w:szCs w:val="24"/>
          <w:rtl/>
          <w:lang w:bidi="ar-EG"/>
        </w:rPr>
        <w:t xml:space="preserve"> (2024)،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C862E1"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أثر تطبيق مبادئ الحوكمة الرشيدة على </w:t>
      </w:r>
      <w:r w:rsidR="005C20E0" w:rsidRPr="007C544A">
        <w:rPr>
          <w:rFonts w:ascii="Traditional Arabic" w:hAnsi="Traditional Arabic" w:cs="Traditional Arabic"/>
          <w:b/>
          <w:bCs/>
          <w:sz w:val="24"/>
          <w:szCs w:val="24"/>
          <w:rtl/>
          <w:lang w:bidi="ar-EG"/>
        </w:rPr>
        <w:t>الأداء</w:t>
      </w:r>
      <w:r w:rsidR="00971FB9" w:rsidRPr="007C544A">
        <w:rPr>
          <w:rFonts w:ascii="Traditional Arabic" w:hAnsi="Traditional Arabic" w:cs="Traditional Arabic"/>
          <w:b/>
          <w:bCs/>
          <w:sz w:val="24"/>
          <w:szCs w:val="24"/>
          <w:rtl/>
          <w:lang w:bidi="ar-EG"/>
        </w:rPr>
        <w:t xml:space="preserve"> الاستراتيجي للعمليات في الشركات العائلية" دراسة تطبيقية على عينة من الشركات العائلية العاملة في السوق المصري</w:t>
      </w:r>
      <w:r w:rsidR="00C862E1"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 البحث</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التعرف على العلاقة بين تطبيق مبادئ الحوكمة الرشيدة وبين تطوير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الاستراتيجي للعمليات في الشركات العائلية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العاملة في السوق المصري وذلك من خلال التطبيق على عينة مكونة من</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430) شركة من الشركات العائلية في إقليم القاهرة الكبرى</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محافظات القاهرة والجيزة والقليوبية) توصلت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وجود علاقة </w:t>
      </w:r>
      <w:r w:rsidR="00971FB9" w:rsidRPr="007C544A">
        <w:rPr>
          <w:rFonts w:ascii="Traditional Arabic" w:hAnsi="Traditional Arabic" w:cs="Traditional Arabic"/>
          <w:sz w:val="24"/>
          <w:szCs w:val="24"/>
          <w:rtl/>
        </w:rPr>
        <w:lastRenderedPageBreak/>
        <w:t xml:space="preserve">معنوية ذات دلالة </w:t>
      </w:r>
      <w:r w:rsidR="004C5D0F" w:rsidRPr="007C544A">
        <w:rPr>
          <w:rFonts w:ascii="Traditional Arabic" w:hAnsi="Traditional Arabic" w:cs="Traditional Arabic"/>
          <w:sz w:val="24"/>
          <w:szCs w:val="24"/>
          <w:rtl/>
        </w:rPr>
        <w:t>إحصائي</w:t>
      </w:r>
      <w:r w:rsidR="00971FB9" w:rsidRPr="007C544A">
        <w:rPr>
          <w:rFonts w:ascii="Traditional Arabic" w:hAnsi="Traditional Arabic" w:cs="Traditional Arabic"/>
          <w:sz w:val="24"/>
          <w:szCs w:val="24"/>
          <w:rtl/>
        </w:rPr>
        <w:t xml:space="preserve">ة بين تطبيق مبادئ الحوكمة الرشيدة وبين تطوير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الاستراتيجي للعمليات</w:t>
      </w:r>
      <w:r w:rsidR="00D7278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التنافسي للعمليات</w:t>
      </w:r>
      <w:r w:rsidR="00D7278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التنافسي للعمليات –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التشغيلي للعمليات-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المالي للعمليات) في الشركات العائلية العاملة محل الدراسة والبحث.</w:t>
      </w:r>
    </w:p>
    <w:p w:rsidR="003C123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b/>
          <w:bCs/>
          <w:sz w:val="24"/>
          <w:szCs w:val="24"/>
          <w:rtl/>
        </w:rPr>
        <w:t xml:space="preserve">5. </w:t>
      </w:r>
      <w:r w:rsidR="00971FB9" w:rsidRPr="007C544A">
        <w:rPr>
          <w:rFonts w:ascii="Traditional Arabic" w:hAnsi="Traditional Arabic" w:cs="Traditional Arabic"/>
          <w:b/>
          <w:bCs/>
          <w:sz w:val="24"/>
          <w:szCs w:val="24"/>
          <w:rtl/>
          <w:lang w:bidi="ar-EG"/>
        </w:rPr>
        <w:t>وفي دراسة حمود وقرامز</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2023)</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دور صناديق الاستثمار المسؤولة اجتماعيا في دمج الممارسات المسؤولة بالشركات"</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إشارة</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حالة مجموعة من الدول الأوروبية</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2C0EBF" w:rsidRPr="007C544A">
        <w:rPr>
          <w:rFonts w:ascii="Traditional Arabic" w:eastAsia="Georgia" w:hAnsi="Traditional Arabic" w:cs="Traditional Arabic" w:hint="cs"/>
          <w:sz w:val="24"/>
          <w:szCs w:val="24"/>
          <w:rtl/>
        </w:rPr>
        <w:t xml:space="preserve">هدفت </w:t>
      </w:r>
      <w:r w:rsidR="00971FB9" w:rsidRPr="007C544A">
        <w:rPr>
          <w:rFonts w:ascii="Traditional Arabic" w:eastAsia="Georgia" w:hAnsi="Traditional Arabic" w:cs="Traditional Arabic"/>
          <w:sz w:val="24"/>
          <w:szCs w:val="24"/>
          <w:rtl/>
        </w:rPr>
        <w:t>هذه الدراسة</w:t>
      </w:r>
      <w:r w:rsidR="000544F4" w:rsidRPr="007C544A">
        <w:rPr>
          <w:rFonts w:ascii="Traditional Arabic" w:eastAsia="Georgia" w:hAnsi="Traditional Arabic" w:cs="Traditional Arabic"/>
          <w:sz w:val="24"/>
          <w:szCs w:val="24"/>
          <w:rtl/>
        </w:rPr>
        <w:t xml:space="preserve"> إلى</w:t>
      </w:r>
      <w:r w:rsidR="000544F4"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إبراز دور صناديق الاستثمار المسؤولة اجتماعياً في دمج الممارسات المسؤولة بالشركات مع الإشارة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حالة مجموعة من الدول الأوروبية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وهي تفترض وجود مزجا بين عدة استراتيجيات ويتعلق الأمر بكل من استراتيجية الفحص السلبي واستراتيجية الفحص الإيجابي واستراتيجية المشاركة والتصويت. توصلت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أن صناديق الاستثمار المسؤولة اجتماعيا تطبق مزجا بين عدة استراتيجيات لكي تنجح في إعادة توجيه سلوك الشركات لصالح الممارسات المسؤولة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ويرتبط اختيار هذا المزج بالمنطقة الجغرافية ونوع القطاع المستهدف</w:t>
      </w:r>
      <w:r w:rsidR="00971FB9" w:rsidRPr="007C544A">
        <w:rPr>
          <w:rFonts w:ascii="Traditional Arabic" w:hAnsi="Traditional Arabic" w:cs="Traditional Arabic"/>
          <w:sz w:val="24"/>
          <w:szCs w:val="24"/>
        </w:rPr>
        <w:t>.</w:t>
      </w:r>
    </w:p>
    <w:p w:rsidR="00630820" w:rsidRPr="007C544A" w:rsidRDefault="00BD78BC" w:rsidP="00BD78BC">
      <w:pPr>
        <w:shd w:val="clear" w:color="auto" w:fill="FFFFFF" w:themeFill="background1"/>
        <w:bidi/>
        <w:spacing w:after="0" w:line="360" w:lineRule="auto"/>
        <w:jc w:val="both"/>
        <w:rPr>
          <w:rFonts w:ascii="Traditional Arabic" w:hAnsi="Traditional Arabic" w:cs="Traditional Arabic"/>
        </w:rPr>
      </w:pPr>
      <w:r w:rsidRPr="007C544A">
        <w:rPr>
          <w:rFonts w:ascii="Traditional Arabic" w:hAnsi="Traditional Arabic" w:cs="Traditional Arabic" w:hint="cs"/>
          <w:b/>
          <w:bCs/>
          <w:sz w:val="24"/>
          <w:szCs w:val="24"/>
          <w:rtl/>
          <w:lang w:bidi="ar-EG"/>
        </w:rPr>
        <w:t xml:space="preserve">6. </w:t>
      </w:r>
      <w:r w:rsidR="00971FB9" w:rsidRPr="007C544A">
        <w:rPr>
          <w:rFonts w:ascii="Traditional Arabic" w:hAnsi="Traditional Arabic" w:cs="Traditional Arabic"/>
          <w:b/>
          <w:bCs/>
          <w:sz w:val="24"/>
          <w:szCs w:val="24"/>
          <w:rtl/>
          <w:lang w:bidi="ar-EG"/>
        </w:rPr>
        <w:t>أما دراسة بوغمبوز</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جباري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2022)</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مساهمة بورصة الجزائر في دمج المؤسسات الناشئة"</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630820" w:rsidRPr="007C544A">
        <w:rPr>
          <w:rFonts w:ascii="Traditional Arabic" w:eastAsia="Georgia" w:hAnsi="Traditional Arabic" w:cs="Traditional Arabic"/>
          <w:rtl/>
        </w:rPr>
        <w:t>فقد هدفت الدراسة</w:t>
      </w:r>
      <w:r w:rsidR="000544F4" w:rsidRPr="007C544A">
        <w:rPr>
          <w:rFonts w:ascii="Traditional Arabic" w:eastAsia="Georgia" w:hAnsi="Traditional Arabic" w:cs="Traditional Arabic"/>
          <w:rtl/>
        </w:rPr>
        <w:t xml:space="preserve"> إلى</w:t>
      </w:r>
      <w:r w:rsidR="000544F4" w:rsidRPr="007C544A">
        <w:rPr>
          <w:rFonts w:ascii="Traditional Arabic" w:hAnsi="Traditional Arabic" w:cs="Traditional Arabic"/>
          <w:rtl/>
        </w:rPr>
        <w:t xml:space="preserve"> </w:t>
      </w:r>
      <w:r w:rsidR="00630820" w:rsidRPr="007C544A">
        <w:rPr>
          <w:rFonts w:ascii="Traditional Arabic" w:hAnsi="Traditional Arabic" w:cs="Traditional Arabic"/>
          <w:rtl/>
        </w:rPr>
        <w:t>التعرف على الدور الذي يمكن أن تلعبه المؤسسات الناشئة في تنشيط وتفعيل بورصة الجزائر</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ومدى قدرة السوق المالية على استيعاب هذا النوع من المؤسسات ودعم نموها. واعتمدت الدراسة على المنهج الوصفي التحليلي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من خلال تحليل عدد من حالات الشركات الناشئة المدرجة أو المرشحة لل</w:t>
      </w:r>
      <w:r w:rsidR="000544F4" w:rsidRPr="007C544A">
        <w:rPr>
          <w:rFonts w:ascii="Traditional Arabic" w:hAnsi="Traditional Arabic" w:cs="Traditional Arabic"/>
          <w:rtl/>
        </w:rPr>
        <w:t>إدراج</w:t>
      </w:r>
      <w:r w:rsidR="00630820" w:rsidRPr="007C544A">
        <w:rPr>
          <w:rFonts w:ascii="Traditional Arabic" w:hAnsi="Traditional Arabic" w:cs="Traditional Arabic"/>
          <w:rtl/>
        </w:rPr>
        <w:t xml:space="preserve"> في البورصة</w:t>
      </w:r>
      <w:r w:rsidR="00630820" w:rsidRPr="007C544A">
        <w:rPr>
          <w:rFonts w:ascii="Traditional Arabic" w:hAnsi="Traditional Arabic" w:cs="Traditional Arabic"/>
        </w:rPr>
        <w:t>.</w:t>
      </w:r>
      <w:r w:rsidRPr="007C544A">
        <w:rPr>
          <w:rFonts w:ascii="Traditional Arabic" w:hAnsi="Traditional Arabic" w:cs="Traditional Arabic" w:hint="cs"/>
          <w:rtl/>
        </w:rPr>
        <w:t xml:space="preserve"> </w:t>
      </w:r>
      <w:r w:rsidR="00630820" w:rsidRPr="007C544A">
        <w:rPr>
          <w:rFonts w:ascii="Traditional Arabic" w:hAnsi="Traditional Arabic" w:cs="Traditional Arabic"/>
          <w:rtl/>
        </w:rPr>
        <w:t>وتوصلت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مجموعة من النتائج</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من أهمها أن بورصة الجزائر تمثل آلية تمويلية واعدة تسهم في دعم المؤسسات الناشئة وتوفير مصادر تمويل بديلة بعيدًا عن القنوات التقليدية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كما تُعد دافعًا لتطوير هذه المؤسسات من خلال تحسين مستوى الشفافية والإفصاح</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ورفع كفاءة ال</w:t>
      </w:r>
      <w:r w:rsidR="00D6178F" w:rsidRPr="007C544A">
        <w:rPr>
          <w:rFonts w:ascii="Traditional Arabic" w:hAnsi="Traditional Arabic" w:cs="Traditional Arabic"/>
          <w:rtl/>
        </w:rPr>
        <w:t>إدارة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وتعزيز ثقة المستثمرين. كما أكدت النتائج على أن إدماج المؤسسات الناشئة في السوق المالية يحقق مبدأ "رابح – رابح"</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حيث تستفيد المؤسسات من فرص التمويل والتوسع</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بينما تستفيد البورصة من زيادة عدد الشركات المدرجة وتنشيط التداول</w:t>
      </w:r>
      <w:r w:rsidR="00630820" w:rsidRPr="007C544A">
        <w:rPr>
          <w:rFonts w:ascii="Traditional Arabic" w:hAnsi="Traditional Arabic" w:cs="Traditional Arabic"/>
        </w:rPr>
        <w:t>.</w:t>
      </w:r>
      <w:r w:rsidRPr="007C544A">
        <w:rPr>
          <w:rFonts w:ascii="Traditional Arabic" w:hAnsi="Traditional Arabic" w:cs="Traditional Arabic" w:hint="cs"/>
          <w:rtl/>
        </w:rPr>
        <w:t xml:space="preserve"> </w:t>
      </w:r>
      <w:r w:rsidR="00630820" w:rsidRPr="007C544A">
        <w:rPr>
          <w:rFonts w:ascii="Traditional Arabic" w:hAnsi="Traditional Arabic" w:cs="Traditional Arabic"/>
          <w:rtl/>
        </w:rPr>
        <w:t>وأشارت الدراسة كذلك</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وجود بعض التحديات التي قد تعوق هذا الدور</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مثل ضعف الثقافة الاستثمارية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وقلة الوعي ب</w:t>
      </w:r>
      <w:r w:rsidR="003F6CDC" w:rsidRPr="007C544A">
        <w:rPr>
          <w:rFonts w:ascii="Traditional Arabic" w:hAnsi="Traditional Arabic" w:cs="Traditional Arabic"/>
          <w:rtl/>
        </w:rPr>
        <w:t>أهمية</w:t>
      </w:r>
      <w:r w:rsidR="00630820" w:rsidRPr="007C544A">
        <w:rPr>
          <w:rFonts w:ascii="Traditional Arabic" w:hAnsi="Traditional Arabic" w:cs="Traditional Arabic"/>
          <w:rtl/>
        </w:rPr>
        <w:t xml:space="preserve"> البورصة لدى رواد ال</w:t>
      </w:r>
      <w:r w:rsidR="003F6CDC" w:rsidRPr="007C544A">
        <w:rPr>
          <w:rFonts w:ascii="Traditional Arabic" w:hAnsi="Traditional Arabic" w:cs="Traditional Arabic"/>
          <w:rtl/>
        </w:rPr>
        <w:t>أعمال</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إضافة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تعقيد الإجراءات التنظيمية. وأوصت بضرورة تبسيط متطلبات ال</w:t>
      </w:r>
      <w:r w:rsidR="000544F4" w:rsidRPr="007C544A">
        <w:rPr>
          <w:rFonts w:ascii="Traditional Arabic" w:hAnsi="Traditional Arabic" w:cs="Traditional Arabic"/>
          <w:rtl/>
        </w:rPr>
        <w:t>إدراج</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وتقديم حوافز للمؤسسات الناشئة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وتعزيز الإطار التشريعي والتنظيمي بما يدعم تكامل العلاقة بين هذه المؤسسات والسوق المالية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بما يسهم في تحقيق التنمية الاقتصادية المستدامة</w:t>
      </w:r>
      <w:r w:rsidR="00630820" w:rsidRPr="007C544A">
        <w:rPr>
          <w:rFonts w:ascii="Traditional Arabic" w:hAnsi="Traditional Arabic" w:cs="Traditional Arabic"/>
        </w:rPr>
        <w:t>.</w:t>
      </w:r>
    </w:p>
    <w:p w:rsidR="00FE7DE6"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 xml:space="preserve">7. </w:t>
      </w:r>
      <w:r w:rsidR="00FE7DE6" w:rsidRPr="007C544A">
        <w:rPr>
          <w:rFonts w:ascii="Traditional Arabic" w:hAnsi="Traditional Arabic" w:cs="Traditional Arabic"/>
          <w:b/>
          <w:bCs/>
          <w:sz w:val="24"/>
          <w:szCs w:val="24"/>
          <w:rtl/>
        </w:rPr>
        <w:t xml:space="preserve"> تناولت دراسة </w:t>
      </w:r>
      <w:r w:rsidR="00FE7DE6" w:rsidRPr="007C544A">
        <w:rPr>
          <w:rFonts w:ascii="Traditional Arabic" w:hAnsi="Traditional Arabic" w:cs="Traditional Arabic"/>
          <w:b/>
          <w:bCs/>
          <w:sz w:val="24"/>
          <w:szCs w:val="24"/>
        </w:rPr>
        <w:t>Santulli et al. (2022)</w:t>
      </w:r>
      <w:r w:rsidR="00FE7DE6" w:rsidRPr="007C544A">
        <w:rPr>
          <w:rFonts w:ascii="Traditional Arabic" w:hAnsi="Traditional Arabic" w:cs="Traditional Arabic"/>
          <w:b/>
          <w:bCs/>
          <w:sz w:val="24"/>
          <w:szCs w:val="24"/>
          <w:rtl/>
        </w:rPr>
        <w:t>، بعنوان</w:t>
      </w:r>
      <w:r w:rsidR="00FE7DE6" w:rsidRPr="007C544A">
        <w:rPr>
          <w:rFonts w:ascii="Traditional Arabic" w:hAnsi="Traditional Arabic" w:cs="Traditional Arabic"/>
          <w:b/>
          <w:bCs/>
          <w:sz w:val="24"/>
          <w:szCs w:val="24"/>
        </w:rPr>
        <w:t>: "</w:t>
      </w:r>
      <w:r w:rsidR="00FE7DE6" w:rsidRPr="007C544A">
        <w:rPr>
          <w:rFonts w:ascii="Traditional Arabic" w:hAnsi="Traditional Arabic" w:cs="Traditional Arabic"/>
          <w:b/>
          <w:bCs/>
          <w:sz w:val="24"/>
          <w:szCs w:val="24"/>
          <w:rtl/>
        </w:rPr>
        <w:t>ميل مديري الشركات العائلية نحو عمليات الاندماج والاستحواذ: دور التغذية الراجعة عن الأداء</w:t>
      </w:r>
      <w:r w:rsidR="00FE7DE6" w:rsidRPr="007C544A">
        <w:rPr>
          <w:rFonts w:ascii="Traditional Arabic" w:hAnsi="Traditional Arabic" w:cs="Traditional Arabic"/>
          <w:b/>
          <w:bCs/>
          <w:sz w:val="24"/>
          <w:szCs w:val="24"/>
        </w:rPr>
        <w:t>"</w:t>
      </w:r>
      <w:r w:rsidR="00FE7DE6" w:rsidRPr="007C544A">
        <w:rPr>
          <w:rFonts w:ascii="Traditional Arabic" w:hAnsi="Traditional Arabic" w:cs="Traditional Arabic"/>
          <w:b/>
          <w:bCs/>
          <w:sz w:val="24"/>
          <w:szCs w:val="24"/>
          <w:rtl/>
        </w:rPr>
        <w:t>،</w:t>
      </w:r>
      <w:r w:rsidR="00FE7DE6" w:rsidRPr="007C544A">
        <w:rPr>
          <w:rFonts w:ascii="Traditional Arabic" w:hAnsi="Traditional Arabic" w:cs="Traditional Arabic"/>
          <w:sz w:val="24"/>
          <w:szCs w:val="24"/>
          <w:rtl/>
        </w:rPr>
        <w:t xml:space="preserve"> ميل الشركات العائلية إلى عمليات الاندماج والاستحواذ، من خلال دراسة عينة من (111) شركة عائلية ألمانية</w:t>
      </w:r>
      <w:r w:rsidR="00F46CA8" w:rsidRPr="007C544A">
        <w:rPr>
          <w:rFonts w:ascii="Traditional Arabic" w:hAnsi="Traditional Arabic" w:cs="Traditional Arabic"/>
          <w:sz w:val="24"/>
          <w:szCs w:val="24"/>
          <w:rtl/>
        </w:rPr>
        <w:t xml:space="preserve"> واعتمدت الدراسة على نظرية السمات العليا ونظرية السلوك التنظيمي للشركة، بهدف تحليل دور مشاركة أفراد العائلة في الإدارة العليا في التوجه نحو عمليات الاندماج والاستحواذ، وعلاقة ذلك بأداء الشركات. وأظهرت النتائج وجود علاقة بين ارتفاع نسبة أفراد العائلة في فرق الإدارة العليا وزيادة الميل إلى عمليات الاندماج والاستحواذ، بما يرتبط بتحسن أداء الشركات، خاصة في الحالات التي يكون فيها تقييم الأداء السابق سلبيًا</w:t>
      </w:r>
      <w:r w:rsidR="00F46CA8" w:rsidRPr="007C544A">
        <w:rPr>
          <w:rFonts w:ascii="Traditional Arabic" w:hAnsi="Traditional Arabic" w:cs="Traditional Arabic"/>
          <w:sz w:val="24"/>
          <w:szCs w:val="24"/>
        </w:rPr>
        <w:t>.</w:t>
      </w:r>
    </w:p>
    <w:p w:rsidR="00BD78BC"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p>
    <w:p w:rsidR="00BD78BC"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p>
    <w:p w:rsidR="00123D6A"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lang w:bidi="ar-EG"/>
        </w:rPr>
        <w:lastRenderedPageBreak/>
        <w:t>8.</w:t>
      </w:r>
      <w:r w:rsidR="00971FB9" w:rsidRPr="007C544A">
        <w:rPr>
          <w:rFonts w:ascii="Traditional Arabic" w:hAnsi="Traditional Arabic" w:cs="Traditional Arabic"/>
          <w:b/>
          <w:bCs/>
          <w:sz w:val="24"/>
          <w:szCs w:val="24"/>
          <w:rtl/>
          <w:lang w:bidi="ar-EG"/>
        </w:rPr>
        <w:t>وتناولت دراسة الطراونة</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اثر </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 xml:space="preserve"> على القيمة السوقية للشركات المدرجة في بورصة عمان</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w:t>
      </w:r>
      <w:r w:rsidR="00630820" w:rsidRPr="007C544A">
        <w:rPr>
          <w:rFonts w:ascii="Traditional Arabic" w:hAnsi="Traditional Arabic" w:cs="Traditional Arabic"/>
          <w:rtl/>
        </w:rPr>
        <w:t>هدفت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قياس تأثير اندماج الشركات على القيمة السوقية باستخدام نموذج</w:t>
      </w:r>
      <w:r w:rsidR="00D7278E" w:rsidRPr="007C544A">
        <w:rPr>
          <w:rFonts w:ascii="Traditional Arabic" w:hAnsi="Traditional Arabic" w:cs="Traditional Arabic"/>
          <w:rtl/>
        </w:rPr>
        <w:t xml:space="preserve"> </w:t>
      </w:r>
      <w:r w:rsidR="00D7278E" w:rsidRPr="007C544A">
        <w:rPr>
          <w:rFonts w:ascii="Traditional Arabic" w:hAnsi="Traditional Arabic" w:cs="Traditional Arabic"/>
        </w:rPr>
        <w:t>(</w:t>
      </w:r>
      <w:r w:rsidR="00630820" w:rsidRPr="007C544A">
        <w:rPr>
          <w:rFonts w:ascii="Traditional Arabic" w:hAnsi="Traditional Arabic" w:cs="Traditional Arabic"/>
        </w:rPr>
        <w:t>Ohlson)</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وذلك على عينة من الشركات المساهمة العامة المدرجة في مختلف القطاعات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الصناعي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المالي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الخدمي) خلال فترة ست سنوات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ثلاث سنوات قبل </w:t>
      </w:r>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وثلاث سنوات بعده). واعتمدت الدراسة على المنهج الوصفي التحليلي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بالاستناد</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البيانات الثانوية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مع استخدام برامجي</w:t>
      </w:r>
      <w:r w:rsidR="006254A8" w:rsidRPr="007C544A">
        <w:rPr>
          <w:rFonts w:ascii="Traditional Arabic" w:hAnsi="Traditional Arabic" w:cs="Traditional Arabic"/>
          <w:rtl/>
        </w:rPr>
        <w:t xml:space="preserve"> (</w:t>
      </w:r>
      <w:r w:rsidR="006254A8" w:rsidRPr="007C544A">
        <w:rPr>
          <w:rFonts w:ascii="Traditional Arabic" w:hAnsi="Traditional Arabic" w:cs="Traditional Arabic"/>
        </w:rPr>
        <w:t>SPSS-22</w:t>
      </w:r>
      <w:r w:rsidR="006254A8" w:rsidRPr="007C544A">
        <w:rPr>
          <w:rFonts w:ascii="Traditional Arabic" w:hAnsi="Traditional Arabic" w:cs="Traditional Arabic"/>
          <w:rtl/>
        </w:rPr>
        <w:t>)، و(</w:t>
      </w:r>
      <w:r w:rsidR="006254A8" w:rsidRPr="007C544A">
        <w:rPr>
          <w:rFonts w:ascii="Traditional Arabic" w:hAnsi="Traditional Arabic" w:cs="Traditional Arabic"/>
        </w:rPr>
        <w:t>STATA-15</w:t>
      </w:r>
      <w:r w:rsidR="006254A8" w:rsidRPr="007C544A">
        <w:rPr>
          <w:rFonts w:ascii="Traditional Arabic" w:hAnsi="Traditional Arabic" w:cs="Traditional Arabic"/>
          <w:rtl/>
        </w:rPr>
        <w:t xml:space="preserve">)، </w:t>
      </w:r>
      <w:r w:rsidR="00630820" w:rsidRPr="007C544A">
        <w:rPr>
          <w:rFonts w:ascii="Traditional Arabic" w:hAnsi="Traditional Arabic" w:cs="Traditional Arabic"/>
          <w:rtl/>
        </w:rPr>
        <w:t>وتحليل الانحدار الخطي البسيط لاختبار الفرضيات</w:t>
      </w:r>
      <w:r w:rsidR="00630820" w:rsidRPr="007C544A">
        <w:rPr>
          <w:rFonts w:ascii="Traditional Arabic" w:hAnsi="Traditional Arabic" w:cs="Traditional Arabic"/>
        </w:rPr>
        <w:t>.</w:t>
      </w:r>
      <w:r w:rsidR="00630820" w:rsidRPr="007C544A">
        <w:rPr>
          <w:rFonts w:ascii="Traditional Arabic" w:hAnsi="Traditional Arabic" w:cs="Traditional Arabic"/>
          <w:rtl/>
        </w:rPr>
        <w:t>وتوصلت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 xml:space="preserve">وجود علاقة إيجابية ذات دلالة </w:t>
      </w:r>
      <w:r w:rsidR="004C5D0F" w:rsidRPr="007C544A">
        <w:rPr>
          <w:rFonts w:ascii="Traditional Arabic" w:hAnsi="Traditional Arabic" w:cs="Traditional Arabic"/>
          <w:rtl/>
        </w:rPr>
        <w:t>إحصائي</w:t>
      </w:r>
      <w:r w:rsidR="00630820" w:rsidRPr="007C544A">
        <w:rPr>
          <w:rFonts w:ascii="Traditional Arabic" w:hAnsi="Traditional Arabic" w:cs="Traditional Arabic"/>
          <w:rtl/>
        </w:rPr>
        <w:t xml:space="preserve">ة بين </w:t>
      </w:r>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وكل من حقوق المساهمين والأرباح وقيمة الشركة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في حين أظهر التنوع أثرًا سلبيًا على القيمة. وأوصت الدراسة بضرورة إجراء دراسات دقيقة من قبل لجان متخصصة قبل تنفيذ </w:t>
      </w:r>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تشمل تقييم الجوانب المالية والإدارية وتحديد القيم العادلة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لتجنب </w:t>
      </w:r>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ات غير الناجحة التي قد تؤثر سلبًا على </w:t>
      </w:r>
      <w:r w:rsidR="005C20E0" w:rsidRPr="007C544A">
        <w:rPr>
          <w:rFonts w:ascii="Traditional Arabic" w:hAnsi="Traditional Arabic" w:cs="Traditional Arabic"/>
          <w:rtl/>
        </w:rPr>
        <w:t>الأداء</w:t>
      </w:r>
      <w:r w:rsidR="00630820" w:rsidRPr="007C544A">
        <w:rPr>
          <w:rFonts w:ascii="Traditional Arabic" w:hAnsi="Traditional Arabic" w:cs="Traditional Arabic"/>
          <w:rtl/>
        </w:rPr>
        <w:t xml:space="preserve"> المالي واستمرارية الشركات</w:t>
      </w:r>
      <w:r w:rsidR="0051488C" w:rsidRPr="007C544A">
        <w:rPr>
          <w:rFonts w:ascii="Traditional Arabic" w:hAnsi="Traditional Arabic" w:cs="Traditional Arabic"/>
        </w:rPr>
        <w:t>.</w:t>
      </w:r>
    </w:p>
    <w:p w:rsidR="00630820"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rPr>
        <w:t>9.</w:t>
      </w:r>
      <w:r w:rsidR="00971FB9" w:rsidRPr="007C544A">
        <w:rPr>
          <w:rFonts w:ascii="Traditional Arabic" w:hAnsi="Traditional Arabic" w:cs="Traditional Arabic"/>
          <w:b/>
          <w:bCs/>
          <w:sz w:val="24"/>
          <w:szCs w:val="24"/>
          <w:rtl/>
          <w:lang w:bidi="ar-EG"/>
        </w:rPr>
        <w:t xml:space="preserve">ومن ناحية </w:t>
      </w:r>
      <w:r w:rsidR="006254A8" w:rsidRPr="007C544A">
        <w:rPr>
          <w:rFonts w:ascii="Traditional Arabic" w:hAnsi="Traditional Arabic" w:cs="Traditional Arabic"/>
          <w:b/>
          <w:bCs/>
          <w:sz w:val="24"/>
          <w:szCs w:val="24"/>
          <w:rtl/>
          <w:lang w:bidi="ar-EG"/>
        </w:rPr>
        <w:t>أخرى</w:t>
      </w:r>
      <w:r w:rsidR="00971FB9" w:rsidRPr="007C544A">
        <w:rPr>
          <w:rFonts w:ascii="Traditional Arabic" w:hAnsi="Traditional Arabic" w:cs="Traditional Arabic"/>
          <w:b/>
          <w:bCs/>
          <w:sz w:val="24"/>
          <w:szCs w:val="24"/>
          <w:rtl/>
          <w:lang w:bidi="ar-EG"/>
        </w:rPr>
        <w:t xml:space="preserve"> تناولت دراسة عثمان</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الأثار القانونية التي تنتج عن دمج الشركات وفقا للقانون السوداني والقانون المقارن"</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630820" w:rsidRPr="007C544A">
        <w:rPr>
          <w:rFonts w:ascii="Traditional Arabic" w:hAnsi="Traditional Arabic" w:cs="Traditional Arabic"/>
          <w:rtl/>
        </w:rPr>
        <w:t>هدفت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تحليل ظاهرة اندماج الشركات من منظور قانوني وبيان آثارها وفق التشريعات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مع مقارنة بين القانون السوداني والقانونين المصري والفرنسي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باستخدام المنهج التحليلي المقارن من خلال استعراض النصوص القانونية والأحكام القضائية. وتوصلت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 xml:space="preserve">أن عملية </w:t>
      </w:r>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لا تؤثر بشكل مباشر على </w:t>
      </w:r>
      <w:r w:rsidR="005C20E0" w:rsidRPr="007C544A">
        <w:rPr>
          <w:rFonts w:ascii="Traditional Arabic" w:hAnsi="Traditional Arabic" w:cs="Traditional Arabic"/>
          <w:rtl/>
        </w:rPr>
        <w:t>الأداء</w:t>
      </w:r>
      <w:r w:rsidR="00630820" w:rsidRPr="007C544A">
        <w:rPr>
          <w:rFonts w:ascii="Traditional Arabic" w:hAnsi="Traditional Arabic" w:cs="Traditional Arabic"/>
          <w:rtl/>
        </w:rPr>
        <w:t xml:space="preserve"> المالي أو التشغيلي للشركات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بل يعتمد نجاحها على عوامل إدارية واقتصادية أخرى</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كما يسهم </w:t>
      </w:r>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في حماية الاقتصاد من تقلبات الأسواق والقرارات المالية والسياسية. وأكدت الدراسة </w:t>
      </w:r>
      <w:r w:rsidR="003F6CDC" w:rsidRPr="007C544A">
        <w:rPr>
          <w:rFonts w:ascii="Traditional Arabic" w:hAnsi="Traditional Arabic" w:cs="Traditional Arabic"/>
          <w:rtl/>
        </w:rPr>
        <w:t>أهمية</w:t>
      </w:r>
      <w:r w:rsidR="00630820" w:rsidRPr="007C544A">
        <w:rPr>
          <w:rFonts w:ascii="Traditional Arabic" w:hAnsi="Traditional Arabic" w:cs="Traditional Arabic"/>
          <w:rtl/>
        </w:rPr>
        <w:t xml:space="preserve"> حماية حقوق الدائنين والمساهمين عبر ضوابط مثل الإفصاح والرقابة المسبقة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وأوصت بتطوير الإطار القانوني لعمليات </w:t>
      </w:r>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في السودان بما يتوافق مع الممارسات الدولية ويعزز الاستقرار الاقتصادي</w:t>
      </w:r>
      <w:r w:rsidR="00630820" w:rsidRPr="007C544A">
        <w:rPr>
          <w:rFonts w:ascii="Traditional Arabic" w:hAnsi="Traditional Arabic" w:cs="Traditional Arabic"/>
        </w:rPr>
        <w:t>.</w:t>
      </w:r>
    </w:p>
    <w:p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lang w:bidi="ar-EG"/>
        </w:rPr>
        <w:t>10.</w:t>
      </w:r>
      <w:r w:rsidR="00971FB9" w:rsidRPr="007C544A">
        <w:rPr>
          <w:rFonts w:ascii="Traditional Arabic" w:hAnsi="Traditional Arabic" w:cs="Traditional Arabic"/>
          <w:b/>
          <w:bCs/>
          <w:sz w:val="24"/>
          <w:szCs w:val="24"/>
          <w:rtl/>
          <w:lang w:bidi="ar-EG"/>
        </w:rPr>
        <w:t>دراسة فتوح</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اندماج الشركات</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rtl/>
        </w:rPr>
        <w:t>هدف البحث</w:t>
      </w:r>
      <w:r w:rsidR="000544F4" w:rsidRPr="007C544A">
        <w:rPr>
          <w:rFonts w:ascii="Traditional Arabic" w:hAnsi="Traditional Arabic" w:cs="Traditional Arabic"/>
          <w:rtl/>
        </w:rPr>
        <w:t xml:space="preserve"> إلى </w:t>
      </w:r>
      <w:r w:rsidR="00971FB9" w:rsidRPr="007C544A">
        <w:rPr>
          <w:rFonts w:ascii="Traditional Arabic" w:hAnsi="Traditional Arabic" w:cs="Traditional Arabic"/>
          <w:rtl/>
        </w:rPr>
        <w:t>التعرف على اندماج الشركات. كشف البحث عن اندماج الشركات</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يوجد نوعان من </w:t>
      </w:r>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 وأشتمل أربعة مباحث</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وعرض المبحث الأول مقدمة عامة تعريف الشركة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وأنواعها</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والشركات التجارية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w:t>
      </w:r>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 xml:space="preserve"> كوسيلة لانقضاء الشركة. وبين أنواع </w:t>
      </w:r>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وكيفية </w:t>
      </w:r>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 xml:space="preserve">. وركز المبحث الثاني على كيفية تقييم أصول وخصوم الشركة الراغبة في </w:t>
      </w:r>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النصوص القانونية الحاكمة لموضوع التقييم. أهتم بعرض إجراءات تقييم أصول وخصوم الشركة الراغبة في </w:t>
      </w:r>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 xml:space="preserve"> وفقا لما جاء بالنصوص القانونية. وركز المبحث الثالث على الإجراءات الواجب اتباعها عند </w:t>
      </w:r>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 xml:space="preserve"> وأشتمل على عده مواد. وعرض المبحث الرابع الآثار المترتبة على </w:t>
      </w:r>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وجاء بالآثار غير الضريبية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والآثار الضريبية. واختتم البحث بالإشارة</w:t>
      </w:r>
      <w:r w:rsidR="000544F4" w:rsidRPr="007C544A">
        <w:rPr>
          <w:rFonts w:ascii="Traditional Arabic" w:hAnsi="Traditional Arabic" w:cs="Traditional Arabic"/>
          <w:rtl/>
        </w:rPr>
        <w:t xml:space="preserve"> إلى </w:t>
      </w:r>
      <w:r w:rsidR="006254A8" w:rsidRPr="007C544A">
        <w:rPr>
          <w:rFonts w:ascii="Traditional Arabic" w:hAnsi="Traditional Arabic" w:cs="Traditional Arabic"/>
          <w:rtl/>
        </w:rPr>
        <w:t>الأثار</w:t>
      </w:r>
      <w:r w:rsidR="00971FB9" w:rsidRPr="007C544A">
        <w:rPr>
          <w:rFonts w:ascii="Traditional Arabic" w:hAnsi="Traditional Arabic" w:cs="Traditional Arabic"/>
          <w:rtl/>
        </w:rPr>
        <w:t xml:space="preserve"> الضريبية للاندماج</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من ناحية تاريخ </w:t>
      </w:r>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ومن الناحية المحاسبية الضريبية عن الأرباح الرأسمالية.</w:t>
      </w:r>
    </w:p>
    <w:p w:rsidR="00F46CA8"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11.</w:t>
      </w:r>
      <w:r w:rsidR="00F46CA8" w:rsidRPr="007C544A">
        <w:rPr>
          <w:rFonts w:ascii="Traditional Arabic" w:hAnsi="Traditional Arabic" w:cs="Traditional Arabic" w:hint="cs"/>
          <w:sz w:val="24"/>
          <w:szCs w:val="24"/>
          <w:rtl/>
        </w:rPr>
        <w:t>و</w:t>
      </w:r>
      <w:r w:rsidR="00F46CA8" w:rsidRPr="007C544A">
        <w:rPr>
          <w:rFonts w:ascii="Traditional Arabic" w:hAnsi="Traditional Arabic" w:cs="Traditional Arabic"/>
          <w:sz w:val="24"/>
          <w:szCs w:val="24"/>
          <w:rtl/>
        </w:rPr>
        <w:t xml:space="preserve">تناولت دراسة </w:t>
      </w:r>
      <w:r w:rsidR="00F46CA8" w:rsidRPr="007C544A">
        <w:rPr>
          <w:rFonts w:ascii="Traditional Arabic" w:hAnsi="Traditional Arabic" w:cs="Traditional Arabic"/>
          <w:b/>
          <w:bCs/>
          <w:sz w:val="24"/>
          <w:szCs w:val="24"/>
        </w:rPr>
        <w:t>Duarte Alonso et al. (2018)</w:t>
      </w:r>
      <w:r w:rsidR="00F46CA8" w:rsidRPr="007C544A">
        <w:rPr>
          <w:rFonts w:ascii="Traditional Arabic" w:hAnsi="Traditional Arabic" w:cs="Traditional Arabic"/>
          <w:sz w:val="24"/>
          <w:szCs w:val="24"/>
          <w:rtl/>
        </w:rPr>
        <w:t>، بعنوان</w:t>
      </w:r>
      <w:r w:rsidR="00F46CA8" w:rsidRPr="007C544A">
        <w:rPr>
          <w:rFonts w:ascii="Traditional Arabic" w:hAnsi="Traditional Arabic" w:cs="Traditional Arabic"/>
          <w:sz w:val="24"/>
          <w:szCs w:val="24"/>
        </w:rPr>
        <w:t xml:space="preserve">: </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b/>
          <w:bCs/>
          <w:sz w:val="24"/>
          <w:szCs w:val="24"/>
          <w:rtl/>
        </w:rPr>
        <w:t>الشركات العائلية والتكيف: مدخل القدرات الديناميكية</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sz w:val="24"/>
          <w:szCs w:val="24"/>
          <w:rtl/>
        </w:rPr>
        <w:t>، كيفية تكيف الشركات العائلية مع التغيرات التي تطرأ على بيئة الأعمال، وذلك من خلال اقتراح إطار يستند إلى مدخل القدرات الديناميكية لفهم الآليات التي تعتمد عليها الشركات العائلية في التكيف والاستجابة للمتغيرات البيئية. واعتمدت الدراسة على منهج نوعي، من خلال إجراء مقابلات مع عينة من (10) شركات عائلية عاملة في غرب أستراليا. وأظهرت النتائج أن عمليات الاستشعار، واقتناص الفرص، والتحويل تمثل عوامل أساسية في قدرة الشركات العائلية على التكيف مع البيئة المتغيرة، كما ارتبطت هذه القدرة بثقافة تنظيمية منفتحة، وتراكم المعرفة والخبرات، والعمليات التنظيمية المميزة، والموارد والقدرات التي يصعب تقليدها أو استبدالها. وأكدت الدراسة أهمية تطوير القدرات الديناميكية للشركات العائلية بما يساعدها على الاستجابة للتغيرات وتحقيق الاستمرارية والقدرة التنافسية على المدى الطويل</w:t>
      </w:r>
      <w:r w:rsidR="00F46CA8" w:rsidRPr="007C544A">
        <w:rPr>
          <w:rFonts w:ascii="Traditional Arabic" w:hAnsi="Traditional Arabic" w:cs="Traditional Arabic"/>
          <w:sz w:val="24"/>
          <w:szCs w:val="24"/>
        </w:rPr>
        <w:t>.</w:t>
      </w:r>
      <w:r w:rsidR="00F46CA8" w:rsidRPr="007C544A">
        <w:rPr>
          <w:rFonts w:ascii="Traditional Arabic" w:hAnsi="Traditional Arabic" w:cs="Traditional Arabic"/>
          <w:sz w:val="24"/>
          <w:szCs w:val="24"/>
          <w:rtl/>
        </w:rPr>
        <w:t xml:space="preserve"> </w:t>
      </w:r>
    </w:p>
    <w:p w:rsidR="00F46CA8" w:rsidRPr="007C544A" w:rsidRDefault="00BD78BC" w:rsidP="00BD78BC">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lastRenderedPageBreak/>
        <w:t>12.</w:t>
      </w:r>
      <w:r w:rsidR="00F46CA8" w:rsidRPr="007C544A">
        <w:rPr>
          <w:rFonts w:ascii="Traditional Arabic" w:eastAsiaTheme="minorHAnsi" w:hAnsi="Traditional Arabic" w:cs="Traditional Arabic" w:hint="cs"/>
          <w:rtl/>
        </w:rPr>
        <w:t>و</w:t>
      </w:r>
      <w:r w:rsidR="00F46CA8" w:rsidRPr="007C544A">
        <w:rPr>
          <w:rFonts w:ascii="Traditional Arabic" w:eastAsiaTheme="minorHAnsi" w:hAnsi="Traditional Arabic" w:cs="Traditional Arabic"/>
          <w:rtl/>
        </w:rPr>
        <w:t xml:space="preserve">دراسة </w:t>
      </w:r>
      <w:r w:rsidR="00F46CA8" w:rsidRPr="007C544A">
        <w:rPr>
          <w:rFonts w:ascii="Traditional Arabic" w:eastAsiaTheme="minorHAnsi" w:hAnsi="Traditional Arabic" w:cs="Traditional Arabic"/>
        </w:rPr>
        <w:t>Worek (2017)</w:t>
      </w:r>
      <w:r w:rsidR="00F46CA8" w:rsidRPr="007C544A">
        <w:rPr>
          <w:rFonts w:ascii="Traditional Arabic" w:eastAsiaTheme="minorHAnsi" w:hAnsi="Traditional Arabic" w:cs="Traditional Arabic"/>
          <w:rtl/>
        </w:rPr>
        <w:t>، بعنوان</w:t>
      </w:r>
      <w:r w:rsidR="00F46CA8" w:rsidRPr="007C544A">
        <w:rPr>
          <w:rFonts w:ascii="Traditional Arabic" w:eastAsiaTheme="minorHAnsi" w:hAnsi="Traditional Arabic" w:cs="Traditional Arabic"/>
        </w:rPr>
        <w:t xml:space="preserve">: </w:t>
      </w:r>
      <w:r w:rsidR="00F46CA8" w:rsidRPr="007C544A">
        <w:rPr>
          <w:rFonts w:ascii="Traditional Arabic" w:eastAsiaTheme="minorHAnsi" w:hAnsi="Traditional Arabic" w:cs="Traditional Arabic"/>
          <w:rtl/>
        </w:rPr>
        <w:t>عمليات الاندماج والاستحواذ في الشركات العائلية: الأدبيات الحالية والرؤى المستقبلية</w:t>
      </w:r>
      <w:r w:rsidR="00F46CA8" w:rsidRPr="007C544A">
        <w:rPr>
          <w:rFonts w:ascii="Traditional Arabic" w:eastAsiaTheme="minorHAnsi" w:hAnsi="Traditional Arabic" w:cs="Traditional Arabic"/>
        </w:rPr>
        <w:t>»</w:t>
      </w:r>
      <w:r w:rsidR="00F46CA8" w:rsidRPr="007C544A">
        <w:rPr>
          <w:rFonts w:ascii="Traditional Arabic" w:eastAsiaTheme="minorHAnsi" w:hAnsi="Traditional Arabic" w:cs="Traditional Arabic"/>
          <w:rtl/>
        </w:rPr>
        <w:t>، هدفت الدراسة إلى تحليل الأدبيات العلمية المتعلقة بعمليات الاندماج والاستحواذ في الشركات العائلية، من خلال مراجعة منهجية شملت (41) دراسة منشورة في دوريات علمية محكمة. وركزت الدراسة على ثلاثة محاور رئيسية، تمثلت في الميل إلى عمليات الاندماج والاستحواذ، وإجراءات هذه العمليات، وأدائها</w:t>
      </w:r>
      <w:r w:rsidR="00F46CA8" w:rsidRPr="007C544A">
        <w:rPr>
          <w:rFonts w:ascii="Traditional Arabic" w:eastAsiaTheme="minorHAnsi" w:hAnsi="Traditional Arabic" w:cs="Traditional Arabic"/>
        </w:rPr>
        <w:t>.</w:t>
      </w:r>
      <w:r w:rsidR="00F46CA8" w:rsidRPr="007C544A">
        <w:rPr>
          <w:rFonts w:ascii="Traditional Arabic" w:eastAsiaTheme="minorHAnsi" w:hAnsi="Traditional Arabic" w:cs="Traditional Arabic" w:hint="cs"/>
          <w:rtl/>
        </w:rPr>
        <w:t xml:space="preserve">  </w:t>
      </w:r>
      <w:r w:rsidR="00F46CA8" w:rsidRPr="007C544A">
        <w:rPr>
          <w:rFonts w:ascii="Traditional Arabic" w:eastAsiaTheme="minorHAnsi" w:hAnsi="Traditional Arabic" w:cs="Traditional Arabic"/>
          <w:rtl/>
        </w:rPr>
        <w:t>وأظهرت الدراسة أهمية التمييز بين أنماط الحوكمة، وبصفة خاصة الحوكمة العائلية وغير العائلية، عند دراسة عمليات الاندماج والاستحواذ، نظرًا إلى اختلاف خصائص الشركات العائلية وتأثيرها في اختياراتها الاستراتيجية وأهدافها وسلوكها تجاه هذه العمليات. كما بينت أن مشاركة الأسرة وخصائص الشركات العائلية يمكن أن تؤثر في التوجه نحو عمليات الاندماج والاستحواذ، وأن هذه العمليات قد تمثل في الوقت نفسه فرصة للنمو والتوسع، ومصدرًا لبعض التحديات المرتبطة بالملكية والسيطرة والاستقلالية المالية للأسرة</w:t>
      </w:r>
      <w:r w:rsidR="00F46CA8" w:rsidRPr="007C544A">
        <w:rPr>
          <w:rFonts w:ascii="Traditional Arabic" w:eastAsiaTheme="minorHAnsi" w:hAnsi="Traditional Arabic" w:cs="Traditional Arabic"/>
        </w:rPr>
        <w:t>.</w:t>
      </w:r>
    </w:p>
    <w:p w:rsidR="00922B00"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13.</w:t>
      </w:r>
      <w:r w:rsidR="00971FB9" w:rsidRPr="007C544A">
        <w:rPr>
          <w:rFonts w:ascii="Traditional Arabic" w:hAnsi="Traditional Arabic" w:cs="Traditional Arabic"/>
          <w:b/>
          <w:bCs/>
          <w:sz w:val="24"/>
          <w:szCs w:val="24"/>
          <w:rtl/>
          <w:lang w:bidi="ar-EG"/>
        </w:rPr>
        <w:t>دراسة الحاج</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2017)</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دور الحوكمة في استمرار ونجاح الشركات العائلية</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تطبيقية على الشركات العائلية السعودية</w:t>
      </w:r>
      <w:r w:rsidR="00951A47"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8E5C70"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8E5C70" w:rsidRPr="007C544A">
        <w:rPr>
          <w:rFonts w:ascii="Traditional Arabic" w:hAnsi="Traditional Arabic" w:cs="Traditional Arabic"/>
          <w:sz w:val="24"/>
          <w:szCs w:val="24"/>
          <w:rtl/>
        </w:rPr>
        <w:t xml:space="preserve">تحليل أثر تطبيق مبادئ الحوكمة الرشيدة على كفاءة </w:t>
      </w:r>
      <w:r w:rsidR="005C20E0" w:rsidRPr="007C544A">
        <w:rPr>
          <w:rFonts w:ascii="Traditional Arabic" w:hAnsi="Traditional Arabic" w:cs="Traditional Arabic"/>
          <w:sz w:val="24"/>
          <w:szCs w:val="24"/>
          <w:rtl/>
        </w:rPr>
        <w:t>الأداء</w:t>
      </w:r>
      <w:r w:rsidR="008E5C70" w:rsidRPr="007C544A">
        <w:rPr>
          <w:rFonts w:ascii="Traditional Arabic" w:hAnsi="Traditional Arabic" w:cs="Traditional Arabic"/>
          <w:sz w:val="24"/>
          <w:szCs w:val="24"/>
          <w:rtl/>
        </w:rPr>
        <w:t xml:space="preserve"> واستدامة الشركات العائلية في المملكة العربية السعودية. وقد أثبتت نتائج الدراسة أن تطبيق مبادئ الحوكمة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وفصل الملكية عن ال</w:t>
      </w:r>
      <w:r w:rsidR="00D6178F" w:rsidRPr="007C544A">
        <w:rPr>
          <w:rFonts w:ascii="Traditional Arabic" w:hAnsi="Traditional Arabic" w:cs="Traditional Arabic"/>
          <w:sz w:val="24"/>
          <w:szCs w:val="24"/>
          <w:rtl/>
        </w:rPr>
        <w:t>إدارة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 xml:space="preserve">يسهمان بشكل مباشر في تحسين </w:t>
      </w:r>
      <w:r w:rsidR="005C20E0" w:rsidRPr="007C544A">
        <w:rPr>
          <w:rFonts w:ascii="Traditional Arabic" w:hAnsi="Traditional Arabic" w:cs="Traditional Arabic"/>
          <w:sz w:val="24"/>
          <w:szCs w:val="24"/>
          <w:rtl/>
        </w:rPr>
        <w:t>الأداء</w:t>
      </w:r>
      <w:r w:rsidR="008E5C70" w:rsidRPr="007C544A">
        <w:rPr>
          <w:rFonts w:ascii="Traditional Arabic" w:hAnsi="Traditional Arabic" w:cs="Traditional Arabic"/>
          <w:sz w:val="24"/>
          <w:szCs w:val="24"/>
          <w:rtl/>
        </w:rPr>
        <w:t xml:space="preserve"> الإداري ورفع كفاءة اتخاذ القرارات داخل الشركات العائلية. كما توصلت الدراسة</w:t>
      </w:r>
      <w:r w:rsidR="000544F4" w:rsidRPr="007C544A">
        <w:rPr>
          <w:rFonts w:ascii="Traditional Arabic" w:hAnsi="Traditional Arabic" w:cs="Traditional Arabic"/>
          <w:sz w:val="24"/>
          <w:szCs w:val="24"/>
          <w:rtl/>
        </w:rPr>
        <w:t xml:space="preserve"> إلى </w:t>
      </w:r>
      <w:r w:rsidR="008E5C70" w:rsidRPr="007C544A">
        <w:rPr>
          <w:rFonts w:ascii="Traditional Arabic" w:hAnsi="Traditional Arabic" w:cs="Traditional Arabic"/>
          <w:sz w:val="24"/>
          <w:szCs w:val="24"/>
          <w:rtl/>
        </w:rPr>
        <w:t>أن الالتزام بمبادئ الحوكمة مثل المساءلة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والإفصاح</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والشفافية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وتعزيز دور مجالس ال</w:t>
      </w:r>
      <w:r w:rsidR="00D6178F" w:rsidRPr="007C544A">
        <w:rPr>
          <w:rFonts w:ascii="Traditional Arabic" w:hAnsi="Traditional Arabic" w:cs="Traditional Arabic"/>
          <w:sz w:val="24"/>
          <w:szCs w:val="24"/>
          <w:rtl/>
        </w:rPr>
        <w:t>إدارة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يؤدي</w:t>
      </w:r>
      <w:r w:rsidR="000544F4" w:rsidRPr="007C544A">
        <w:rPr>
          <w:rFonts w:ascii="Traditional Arabic" w:hAnsi="Traditional Arabic" w:cs="Traditional Arabic"/>
          <w:sz w:val="24"/>
          <w:szCs w:val="24"/>
          <w:rtl/>
        </w:rPr>
        <w:t xml:space="preserve"> إلى </w:t>
      </w:r>
      <w:r w:rsidR="008E5C70" w:rsidRPr="007C544A">
        <w:rPr>
          <w:rFonts w:ascii="Traditional Arabic" w:hAnsi="Traditional Arabic" w:cs="Traditional Arabic"/>
          <w:sz w:val="24"/>
          <w:szCs w:val="24"/>
          <w:rtl/>
        </w:rPr>
        <w:t>الحد من المشكلات الإدارية والصراعات الداخلية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ويعزز الثقة بين الشركاء وأصحاب المصالح. وبالتالي</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فإن تبني هذه المبادئ يسهم في تحقيق الاستقرار المؤسسي</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وضمان استمرارية الشركات العائلية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ودعم قدرتها على النمو والتوسع في بيئة تنافسية متغيرة</w:t>
      </w:r>
      <w:r w:rsidR="00951A47" w:rsidRPr="007C544A">
        <w:rPr>
          <w:rFonts w:ascii="Traditional Arabic" w:hAnsi="Traditional Arabic" w:cs="Traditional Arabic"/>
          <w:sz w:val="24"/>
          <w:szCs w:val="24"/>
          <w:rtl/>
        </w:rPr>
        <w:t>.</w:t>
      </w:r>
    </w:p>
    <w:p w:rsidR="00971FB9" w:rsidRPr="007C544A" w:rsidRDefault="005940E7" w:rsidP="00706522">
      <w:pPr>
        <w:shd w:val="clear" w:color="auto" w:fill="FFFFFF" w:themeFill="background1"/>
        <w:bidi/>
        <w:spacing w:after="0" w:line="360" w:lineRule="auto"/>
        <w:ind w:left="2077" w:hanging="2016"/>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المجموعة الثانية</w:t>
      </w:r>
      <w:r w:rsidR="00775B4E" w:rsidRPr="007C544A">
        <w:rPr>
          <w:rFonts w:ascii="Traditional Arabic" w:hAnsi="Traditional Arabic" w:cs="Traditional Arabic"/>
          <w:b/>
          <w:bCs/>
          <w:sz w:val="28"/>
          <w:szCs w:val="28"/>
          <w:rtl/>
          <w:lang w:bidi="ar-EG"/>
        </w:rPr>
        <w:t xml:space="preserve">: </w:t>
      </w:r>
      <w:r w:rsidR="001A2301" w:rsidRPr="007C544A">
        <w:rPr>
          <w:rFonts w:ascii="Traditional Arabic" w:hAnsi="Traditional Arabic" w:cs="Traditional Arabic"/>
          <w:b/>
          <w:bCs/>
          <w:sz w:val="28"/>
          <w:szCs w:val="28"/>
          <w:rtl/>
          <w:lang w:bidi="ar-EG"/>
        </w:rPr>
        <w:t>ال</w:t>
      </w:r>
      <w:r w:rsidR="00971FB9" w:rsidRPr="007C544A">
        <w:rPr>
          <w:rFonts w:ascii="Traditional Arabic" w:hAnsi="Traditional Arabic" w:cs="Traditional Arabic"/>
          <w:b/>
          <w:bCs/>
          <w:sz w:val="28"/>
          <w:szCs w:val="28"/>
          <w:rtl/>
          <w:lang w:bidi="ar-EG"/>
        </w:rPr>
        <w:t>دراسات المرتبطة بالمتغير التابع</w:t>
      </w:r>
      <w:r w:rsidR="00D7278E" w:rsidRPr="007C544A">
        <w:rPr>
          <w:rFonts w:ascii="Traditional Arabic" w:hAnsi="Traditional Arabic" w:cs="Traditional Arabic"/>
          <w:b/>
          <w:bCs/>
          <w:sz w:val="28"/>
          <w:szCs w:val="28"/>
          <w:rtl/>
          <w:lang w:bidi="ar-EG"/>
        </w:rPr>
        <w:t xml:space="preserve"> (</w:t>
      </w:r>
      <w:r w:rsidR="00971FB9" w:rsidRPr="007C544A">
        <w:rPr>
          <w:rFonts w:ascii="Traditional Arabic" w:hAnsi="Traditional Arabic" w:cs="Traditional Arabic"/>
          <w:b/>
          <w:bCs/>
          <w:sz w:val="28"/>
          <w:szCs w:val="28"/>
          <w:rtl/>
          <w:lang w:bidi="ar-EG"/>
        </w:rPr>
        <w:t>دخول السوق الموازية</w:t>
      </w:r>
      <w:r w:rsidR="00D7278E" w:rsidRPr="007C544A">
        <w:rPr>
          <w:rFonts w:ascii="Traditional Arabic" w:hAnsi="Traditional Arabic" w:cs="Traditional Arabic"/>
          <w:b/>
          <w:bCs/>
          <w:sz w:val="28"/>
          <w:szCs w:val="28"/>
          <w:rtl/>
          <w:lang w:bidi="ar-EG"/>
        </w:rPr>
        <w:t>)</w:t>
      </w:r>
      <w:r w:rsidR="00775B4E" w:rsidRPr="007C544A">
        <w:rPr>
          <w:rFonts w:ascii="Traditional Arabic" w:hAnsi="Traditional Arabic" w:cs="Traditional Arabic"/>
          <w:b/>
          <w:bCs/>
          <w:sz w:val="28"/>
          <w:szCs w:val="28"/>
          <w:rtl/>
          <w:lang w:bidi="ar-EG"/>
        </w:rPr>
        <w:t xml:space="preserve">: </w:t>
      </w:r>
    </w:p>
    <w:p w:rsidR="0039455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1.</w:t>
      </w:r>
      <w:r w:rsidR="00394559" w:rsidRPr="007C544A">
        <w:rPr>
          <w:rFonts w:ascii="Traditional Arabic" w:hAnsi="Traditional Arabic" w:cs="Traditional Arabic"/>
          <w:sz w:val="24"/>
          <w:szCs w:val="24"/>
          <w:rtl/>
        </w:rPr>
        <w:t xml:space="preserve">تناولت دراسة </w:t>
      </w:r>
      <w:r w:rsidR="00394559" w:rsidRPr="007C544A">
        <w:rPr>
          <w:rFonts w:ascii="Traditional Arabic" w:hAnsi="Traditional Arabic" w:cs="Traditional Arabic"/>
          <w:b/>
          <w:bCs/>
          <w:sz w:val="24"/>
          <w:szCs w:val="24"/>
        </w:rPr>
        <w:t>Lam et al. (2026)</w:t>
      </w:r>
      <w:r w:rsidR="00394559" w:rsidRPr="007C544A">
        <w:rPr>
          <w:rFonts w:ascii="Traditional Arabic" w:hAnsi="Traditional Arabic" w:cs="Traditional Arabic"/>
          <w:sz w:val="24"/>
          <w:szCs w:val="24"/>
          <w:rtl/>
        </w:rPr>
        <w:t>، بعنوان</w:t>
      </w:r>
      <w:r w:rsidR="00394559" w:rsidRPr="007C544A">
        <w:rPr>
          <w:rFonts w:ascii="Traditional Arabic" w:hAnsi="Traditional Arabic" w:cs="Traditional Arabic"/>
          <w:sz w:val="24"/>
          <w:szCs w:val="24"/>
        </w:rPr>
        <w:t xml:space="preserve">: </w:t>
      </w:r>
      <w:r w:rsidR="00394559" w:rsidRPr="007C544A">
        <w:rPr>
          <w:rFonts w:ascii="Traditional Arabic" w:hAnsi="Traditional Arabic" w:cs="Traditional Arabic"/>
          <w:b/>
          <w:bCs/>
          <w:sz w:val="24"/>
          <w:szCs w:val="24"/>
        </w:rPr>
        <w:t>«</w:t>
      </w:r>
      <w:r w:rsidR="00394559" w:rsidRPr="007C544A">
        <w:rPr>
          <w:rFonts w:ascii="Traditional Arabic" w:hAnsi="Traditional Arabic" w:cs="Traditional Arabic"/>
          <w:b/>
          <w:bCs/>
          <w:sz w:val="24"/>
          <w:szCs w:val="24"/>
          <w:rtl/>
        </w:rPr>
        <w:t>إعادة النظر في لعنة الفائز: كيف يؤثر الاكتتاب العام للمستثمرين على عوائد اليوم الأول لعمليات الطرح العام في سوق المشاريع النامية في هونغ كونغ</w:t>
      </w:r>
      <w:r w:rsidR="00394559" w:rsidRPr="007C544A">
        <w:rPr>
          <w:rFonts w:ascii="Traditional Arabic" w:hAnsi="Traditional Arabic" w:cs="Traditional Arabic"/>
          <w:b/>
          <w:bCs/>
          <w:sz w:val="24"/>
          <w:szCs w:val="24"/>
        </w:rPr>
        <w:t>»</w:t>
      </w:r>
      <w:r w:rsidR="00394559" w:rsidRPr="007C544A">
        <w:rPr>
          <w:rFonts w:ascii="Traditional Arabic" w:hAnsi="Traditional Arabic" w:cs="Traditional Arabic"/>
          <w:sz w:val="24"/>
          <w:szCs w:val="24"/>
          <w:rtl/>
        </w:rPr>
        <w:t>، العلاقة بين مشاركة المستثمرين الأفراد وطريقة توزيع الأسهم وبين أداء الأسهم في اليوم الأول للإدراج في سوق المشاريع النامية</w:t>
      </w:r>
      <w:r w:rsidR="00394559" w:rsidRPr="007C544A">
        <w:rPr>
          <w:rFonts w:ascii="Traditional Arabic" w:hAnsi="Traditional Arabic" w:cs="Traditional Arabic"/>
          <w:sz w:val="24"/>
          <w:szCs w:val="24"/>
        </w:rPr>
        <w:t xml:space="preserve"> (GEM) </w:t>
      </w:r>
      <w:r w:rsidR="00394559" w:rsidRPr="007C544A">
        <w:rPr>
          <w:rFonts w:ascii="Traditional Arabic" w:hAnsi="Traditional Arabic" w:cs="Traditional Arabic"/>
          <w:sz w:val="24"/>
          <w:szCs w:val="24"/>
          <w:rtl/>
        </w:rPr>
        <w:t>في هونغ كونغ. واعتمدت الدراسة على بيانات عمليات الطرح العام الأولي خلال الفترة من 1999 إلى 2023، واستخدمت التحليل الإحصائي لدراسة العوائد الأولية والعوامل المرتبطة بها. وأظهرت النتائج اختلاف عوائد اليوم الأول باختلاف طريقة تخصيص الأسهم للمستثمرين، كما كشفت عن وجود علاقة عكسية بين نسبة التخصيص للمستثمرين الأفراد والعوائد الأولية. وأشارت الدراسة إلى أن التغيرات التنظيمية التي طرأت على سوق المشاريع النامية أثرت في نشاط الطروحات الجديدة، بما يعكس أهمية القواعد التنظيمية وآليات الإدراج في قدرة الأسواق المخصصة للشركات النامية على جذب الشركات والمستثمرين</w:t>
      </w:r>
      <w:r w:rsidR="00394559" w:rsidRPr="007C544A">
        <w:rPr>
          <w:rFonts w:ascii="Traditional Arabic" w:hAnsi="Traditional Arabic" w:cs="Traditional Arabic"/>
          <w:sz w:val="24"/>
          <w:szCs w:val="24"/>
        </w:rPr>
        <w:t>.</w:t>
      </w:r>
    </w:p>
    <w:p w:rsidR="00F46CA8"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2.</w:t>
      </w:r>
      <w:r w:rsidR="00F46CA8" w:rsidRPr="007C544A">
        <w:rPr>
          <w:rFonts w:ascii="Traditional Arabic" w:hAnsi="Traditional Arabic" w:cs="Traditional Arabic"/>
          <w:sz w:val="24"/>
          <w:szCs w:val="24"/>
          <w:rtl/>
        </w:rPr>
        <w:t xml:space="preserve">تناولت دراسة </w:t>
      </w:r>
      <w:r w:rsidR="00F46CA8" w:rsidRPr="007C544A">
        <w:rPr>
          <w:rFonts w:ascii="Traditional Arabic" w:hAnsi="Traditional Arabic" w:cs="Traditional Arabic"/>
          <w:b/>
          <w:bCs/>
          <w:sz w:val="24"/>
          <w:szCs w:val="24"/>
        </w:rPr>
        <w:t>Al-Shehab and Al-Omran (2024)</w:t>
      </w:r>
      <w:r w:rsidR="00F46CA8" w:rsidRPr="007C544A">
        <w:rPr>
          <w:rFonts w:ascii="Traditional Arabic" w:hAnsi="Traditional Arabic" w:cs="Traditional Arabic"/>
          <w:sz w:val="24"/>
          <w:szCs w:val="24"/>
          <w:rtl/>
        </w:rPr>
        <w:t>، بعنوان</w:t>
      </w:r>
      <w:r w:rsidR="00F46CA8" w:rsidRPr="007C544A">
        <w:rPr>
          <w:rFonts w:ascii="Traditional Arabic" w:hAnsi="Traditional Arabic" w:cs="Traditional Arabic"/>
          <w:sz w:val="24"/>
          <w:szCs w:val="24"/>
        </w:rPr>
        <w:t xml:space="preserve">: </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b/>
          <w:bCs/>
          <w:sz w:val="24"/>
          <w:szCs w:val="24"/>
          <w:rtl/>
        </w:rPr>
        <w:t>أثر هيكل رأس المال على أداء المنشآت الصغيرة والمتوسطة: السوق المالية السعودية الموازية</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sz w:val="24"/>
          <w:szCs w:val="24"/>
          <w:rtl/>
        </w:rPr>
        <w:t xml:space="preserve">، أثر هيكل رأس المال على الأداء المالي للمنشآت الصغيرة والمتوسطة المدرجة في السوق الموازية </w:t>
      </w:r>
      <w:r w:rsidR="00F46CA8" w:rsidRPr="007C544A">
        <w:rPr>
          <w:rFonts w:ascii="Traditional Arabic" w:hAnsi="Traditional Arabic" w:cs="Traditional Arabic"/>
          <w:sz w:val="24"/>
          <w:szCs w:val="24"/>
          <w:rtl/>
        </w:rPr>
        <w:lastRenderedPageBreak/>
        <w:t>السعودية «نمو». واعتمدت الدراسة على بيانات ثانوية للشركات المدرجة في السوق خلال الفترة من 2017 إلى 2022، واستخدمت الإحصاءات الوصفية وتحليل الانحدار بطريقة المربعات الصغرى المجمعة</w:t>
      </w:r>
      <w:r w:rsidR="00F46CA8" w:rsidRPr="007C544A">
        <w:rPr>
          <w:rFonts w:ascii="Traditional Arabic" w:hAnsi="Traditional Arabic" w:cs="Traditional Arabic"/>
          <w:sz w:val="24"/>
          <w:szCs w:val="24"/>
        </w:rPr>
        <w:t xml:space="preserve"> (Pooled OLS). </w:t>
      </w:r>
      <w:r w:rsidR="00F46CA8" w:rsidRPr="007C544A">
        <w:rPr>
          <w:rFonts w:ascii="Traditional Arabic" w:hAnsi="Traditional Arabic" w:cs="Traditional Arabic"/>
          <w:sz w:val="24"/>
          <w:szCs w:val="24"/>
          <w:rtl/>
        </w:rPr>
        <w:t>وأظهرت النتائج وجود تأثير إيجابي لهيكل رأس المال في الأداء المالي للمنشآت الصغيرة والمتوسطة المدرجة في السوق الموازية، وبصفة خاصة فيما يتعلق بالديون طويلة الأجل. وأكدت الدراسة أهمية قرارات التمويل وهيكل رأس المال في تعزيز الأداء المالي للمنشآت الصغيرة والمتوسطة العاملة في السوق الموازية السعودية</w:t>
      </w:r>
      <w:r w:rsidR="00F46CA8" w:rsidRPr="007C544A">
        <w:rPr>
          <w:rFonts w:ascii="Traditional Arabic" w:hAnsi="Traditional Arabic" w:cs="Traditional Arabic"/>
          <w:sz w:val="24"/>
          <w:szCs w:val="24"/>
        </w:rPr>
        <w:t>.</w:t>
      </w:r>
    </w:p>
    <w:p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lang w:bidi="ar-EG"/>
        </w:rPr>
        <w:t>3.</w:t>
      </w:r>
      <w:r w:rsidR="00971FB9" w:rsidRPr="007C544A">
        <w:rPr>
          <w:rFonts w:ascii="Traditional Arabic" w:hAnsi="Traditional Arabic" w:cs="Traditional Arabic"/>
          <w:b/>
          <w:bCs/>
          <w:sz w:val="24"/>
          <w:szCs w:val="24"/>
          <w:rtl/>
          <w:lang w:bidi="ar-EG"/>
        </w:rPr>
        <w:t>دراسة الحربي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2022)</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"دور السوق الموازية في تنمية الاقتصاد الوطني</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تحليلية مقارنة بين السوق الرئيسية والسوق الموازية في المملكة العربية السعودية</w:t>
      </w:r>
      <w:r w:rsidR="00951A47"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rtl/>
        </w:rPr>
        <w:t>هدفت الدراسة</w:t>
      </w:r>
      <w:r w:rsidR="000544F4" w:rsidRPr="007C544A">
        <w:rPr>
          <w:rFonts w:ascii="Traditional Arabic" w:hAnsi="Traditional Arabic" w:cs="Traditional Arabic"/>
          <w:rtl/>
        </w:rPr>
        <w:t xml:space="preserve"> إلى </w:t>
      </w:r>
      <w:r w:rsidR="00971FB9" w:rsidRPr="007C544A">
        <w:rPr>
          <w:rFonts w:ascii="Traditional Arabic" w:hAnsi="Traditional Arabic" w:cs="Traditional Arabic"/>
          <w:rtl/>
        </w:rPr>
        <w:t>مقارنة دور كل من السوق الرئيسية والسوق الموازية في دعم الاقتصاد الوطني وتنمية قطاع الاستثمار</w:t>
      </w:r>
      <w:r w:rsidR="00971FB9" w:rsidRPr="007C544A">
        <w:rPr>
          <w:rFonts w:ascii="Traditional Arabic" w:hAnsi="Traditional Arabic" w:cs="Traditional Arabic"/>
        </w:rPr>
        <w:t>.</w:t>
      </w:r>
      <w:r w:rsidR="00971FB9" w:rsidRPr="007C544A">
        <w:rPr>
          <w:rFonts w:ascii="Traditional Arabic" w:hAnsi="Traditional Arabic" w:cs="Traditional Arabic"/>
          <w:rtl/>
        </w:rPr>
        <w:t xml:space="preserve"> واستخدمت الدراسة المنهج المقارن التحليلي من خلال تحليل المؤشرات الاقتصادية وحجم </w:t>
      </w:r>
      <w:r w:rsidR="001A2301" w:rsidRPr="007C544A">
        <w:rPr>
          <w:rFonts w:ascii="Traditional Arabic" w:hAnsi="Traditional Arabic" w:cs="Traditional Arabic"/>
          <w:rtl/>
        </w:rPr>
        <w:t>التداولات</w:t>
      </w:r>
      <w:r w:rsidR="00971FB9" w:rsidRPr="007C544A">
        <w:rPr>
          <w:rFonts w:ascii="Traditional Arabic" w:hAnsi="Traditional Arabic" w:cs="Traditional Arabic"/>
          <w:rtl/>
        </w:rPr>
        <w:t xml:space="preserve"> وعدد الشركات المدرجة في كل من السوقين</w:t>
      </w:r>
      <w:r w:rsidR="00971FB9" w:rsidRPr="007C544A">
        <w:rPr>
          <w:rFonts w:ascii="Traditional Arabic" w:hAnsi="Traditional Arabic" w:cs="Traditional Arabic"/>
        </w:rPr>
        <w:t>.</w:t>
      </w:r>
      <w:r w:rsidR="00971FB9" w:rsidRPr="007C544A">
        <w:rPr>
          <w:rFonts w:ascii="Traditional Arabic" w:hAnsi="Traditional Arabic" w:cs="Traditional Arabic"/>
          <w:rtl/>
        </w:rPr>
        <w:t xml:space="preserve"> وتوصلت</w:t>
      </w:r>
      <w:r w:rsidR="000544F4" w:rsidRPr="007C544A">
        <w:rPr>
          <w:rFonts w:ascii="Traditional Arabic" w:hAnsi="Traditional Arabic" w:cs="Traditional Arabic"/>
          <w:rtl/>
        </w:rPr>
        <w:t xml:space="preserve"> إلى </w:t>
      </w:r>
      <w:r w:rsidR="00971FB9" w:rsidRPr="007C544A">
        <w:rPr>
          <w:rFonts w:ascii="Traditional Arabic" w:hAnsi="Traditional Arabic" w:cs="Traditional Arabic"/>
          <w:rtl/>
        </w:rPr>
        <w:t>أن السوق الموازية تلعب دورًا داعمًا في تنويع الاقتصاد وتشجيع ريادة ال</w:t>
      </w:r>
      <w:r w:rsidR="003F6CDC" w:rsidRPr="007C544A">
        <w:rPr>
          <w:rFonts w:ascii="Traditional Arabic" w:hAnsi="Traditional Arabic" w:cs="Traditional Arabic"/>
          <w:rtl/>
        </w:rPr>
        <w:t>أعمال</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إلا أن نشاطها لا يزال محدودًا مقارنة بالسوق الرئيسية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مما يستدعي تعزيز التوعية وتقديم حوافز إضافية للشركات والمستثمرين</w:t>
      </w:r>
      <w:r w:rsidR="00971FB9" w:rsidRPr="007C544A">
        <w:rPr>
          <w:rFonts w:ascii="Traditional Arabic" w:hAnsi="Traditional Arabic" w:cs="Traditional Arabic"/>
        </w:rPr>
        <w:t>.</w:t>
      </w:r>
    </w:p>
    <w:p w:rsidR="00D05F39" w:rsidRPr="007C544A" w:rsidRDefault="00BD78BC" w:rsidP="00BD78BC">
      <w:pPr>
        <w:shd w:val="clear" w:color="auto" w:fill="FFFFFF" w:themeFill="background1"/>
        <w:bidi/>
        <w:spacing w:after="0" w:line="360" w:lineRule="auto"/>
        <w:jc w:val="both"/>
        <w:rPr>
          <w:rFonts w:ascii="Traditional Arabic" w:hAnsi="Traditional Arabic" w:cs="Traditional Arabic"/>
          <w:b/>
          <w:bCs/>
          <w:sz w:val="24"/>
          <w:szCs w:val="24"/>
          <w:lang w:bidi="ar-EG"/>
        </w:rPr>
      </w:pPr>
      <w:r w:rsidRPr="007C544A">
        <w:rPr>
          <w:rFonts w:ascii="Traditional Arabic" w:hAnsi="Traditional Arabic" w:cs="Traditional Arabic" w:hint="cs"/>
          <w:sz w:val="24"/>
          <w:szCs w:val="24"/>
          <w:rtl/>
        </w:rPr>
        <w:t>4.</w:t>
      </w:r>
      <w:r w:rsidR="00D05F39" w:rsidRPr="007C544A">
        <w:rPr>
          <w:rFonts w:ascii="Traditional Arabic" w:hAnsi="Traditional Arabic" w:cs="Traditional Arabic"/>
          <w:sz w:val="24"/>
          <w:szCs w:val="24"/>
          <w:rtl/>
        </w:rPr>
        <w:t xml:space="preserve">كما تناولت دراسة </w:t>
      </w:r>
      <w:r w:rsidR="00D05F39" w:rsidRPr="007C544A">
        <w:rPr>
          <w:rFonts w:ascii="Traditional Arabic" w:hAnsi="Traditional Arabic" w:cs="Traditional Arabic"/>
          <w:b/>
          <w:bCs/>
          <w:sz w:val="24"/>
          <w:szCs w:val="24"/>
        </w:rPr>
        <w:t>Nguyen et al. (2020)</w:t>
      </w:r>
      <w:r w:rsidR="00D05F39" w:rsidRPr="007C544A">
        <w:rPr>
          <w:rFonts w:ascii="Traditional Arabic" w:hAnsi="Traditional Arabic" w:cs="Traditional Arabic"/>
          <w:sz w:val="24"/>
          <w:szCs w:val="24"/>
          <w:rtl/>
        </w:rPr>
        <w:t>، بعنوان</w:t>
      </w:r>
      <w:r w:rsidR="00D05F39" w:rsidRPr="007C544A">
        <w:rPr>
          <w:rFonts w:ascii="Traditional Arabic" w:hAnsi="Traditional Arabic" w:cs="Traditional Arabic"/>
          <w:sz w:val="24"/>
          <w:szCs w:val="24"/>
        </w:rPr>
        <w:t xml:space="preserve">: </w:t>
      </w:r>
      <w:r w:rsidR="00D05F39" w:rsidRPr="007C544A">
        <w:rPr>
          <w:rFonts w:ascii="Traditional Arabic" w:hAnsi="Traditional Arabic" w:cs="Traditional Arabic"/>
          <w:b/>
          <w:bCs/>
          <w:sz w:val="24"/>
          <w:szCs w:val="24"/>
        </w:rPr>
        <w:t>«</w:t>
      </w:r>
      <w:r w:rsidR="00D05F39" w:rsidRPr="007C544A">
        <w:rPr>
          <w:rFonts w:ascii="Traditional Arabic" w:hAnsi="Traditional Arabic" w:cs="Traditional Arabic"/>
          <w:b/>
          <w:bCs/>
          <w:sz w:val="24"/>
          <w:szCs w:val="24"/>
          <w:rtl/>
        </w:rPr>
        <w:t>سوق المشاريع النامية في هونغ كونغ: تطور الكفاءة والذاكرة طويلة الأجل في العوائد والتقلبات</w:t>
      </w:r>
      <w:r w:rsidR="00D05F39" w:rsidRPr="007C544A">
        <w:rPr>
          <w:rFonts w:ascii="Traditional Arabic" w:hAnsi="Traditional Arabic" w:cs="Traditional Arabic"/>
          <w:b/>
          <w:bCs/>
          <w:sz w:val="24"/>
          <w:szCs w:val="24"/>
        </w:rPr>
        <w:t>»</w:t>
      </w:r>
      <w:r w:rsidR="00D05F39" w:rsidRPr="007C544A">
        <w:rPr>
          <w:rFonts w:ascii="Traditional Arabic" w:hAnsi="Traditional Arabic" w:cs="Traditional Arabic"/>
          <w:sz w:val="24"/>
          <w:szCs w:val="24"/>
          <w:rtl/>
        </w:rPr>
        <w:t>، تطور كفاءة سوق المشاريع النامية</w:t>
      </w:r>
      <w:r w:rsidR="00D05F39" w:rsidRPr="007C544A">
        <w:rPr>
          <w:rFonts w:ascii="Traditional Arabic" w:hAnsi="Traditional Arabic" w:cs="Traditional Arabic"/>
          <w:sz w:val="24"/>
          <w:szCs w:val="24"/>
        </w:rPr>
        <w:t xml:space="preserve"> (GEM) </w:t>
      </w:r>
      <w:r w:rsidR="00D05F39" w:rsidRPr="007C544A">
        <w:rPr>
          <w:rFonts w:ascii="Traditional Arabic" w:hAnsi="Traditional Arabic" w:cs="Traditional Arabic"/>
          <w:sz w:val="24"/>
          <w:szCs w:val="24"/>
          <w:rtl/>
        </w:rPr>
        <w:t>في هونغ كونغ، باعتباره سوقًا مخصصًا بدرجة كبيرة للشركات الصغيرة والمتوسطة. واعتمدت الدراسة على نماذج كمية متقدمة لتحليل كفاءة السوق والعوائد والتقلبات، إلى جانب دراسة أثر التداول المحدود والتغيرات الهيكلية والتضخم. وأظهرت النتائج أن السوق ظل يتسم بدرجة من عدم الكفاءة وفقًا لصيغة الكفاءة الضعيفة، مع وجود اتجاه نحو تحسن الكفاءة بمرور الوقت، كما كشفت عن وجود خصائص طويلة الأجل في العوائد والتقلبات. وأكدت الدراسة أهمية تطوير كفاءة السوق وتحسين آليات التداول بما يدعم فاعلية سوق الشركات الصغيرة والمتوسطة</w:t>
      </w:r>
    </w:p>
    <w:p w:rsidR="005940E7" w:rsidRPr="007C544A" w:rsidRDefault="00D05F39" w:rsidP="00BD78BC">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 </w:t>
      </w:r>
      <w:r w:rsidR="005940E7" w:rsidRPr="007C544A">
        <w:rPr>
          <w:rFonts w:ascii="Traditional Arabic" w:hAnsi="Traditional Arabic" w:cs="Traditional Arabic"/>
          <w:b/>
          <w:bCs/>
          <w:sz w:val="28"/>
          <w:szCs w:val="28"/>
          <w:rtl/>
          <w:lang w:bidi="ar-EG"/>
        </w:rPr>
        <w:t>المجموعة الثالثة</w:t>
      </w:r>
      <w:r w:rsidR="00775B4E" w:rsidRPr="007C544A">
        <w:rPr>
          <w:rFonts w:ascii="Traditional Arabic" w:hAnsi="Traditional Arabic" w:cs="Traditional Arabic"/>
          <w:b/>
          <w:bCs/>
          <w:sz w:val="28"/>
          <w:szCs w:val="28"/>
          <w:rtl/>
          <w:lang w:bidi="ar-EG"/>
        </w:rPr>
        <w:t xml:space="preserve">: </w:t>
      </w:r>
      <w:r w:rsidR="00951A47" w:rsidRPr="007C544A">
        <w:rPr>
          <w:rFonts w:ascii="Traditional Arabic" w:hAnsi="Traditional Arabic" w:cs="Traditional Arabic"/>
          <w:b/>
          <w:bCs/>
          <w:sz w:val="28"/>
          <w:szCs w:val="28"/>
          <w:rtl/>
          <w:lang w:bidi="ar-EG"/>
        </w:rPr>
        <w:t>ال</w:t>
      </w:r>
      <w:r w:rsidR="00971FB9" w:rsidRPr="007C544A">
        <w:rPr>
          <w:rFonts w:ascii="Traditional Arabic" w:hAnsi="Traditional Arabic" w:cs="Traditional Arabic"/>
          <w:b/>
          <w:bCs/>
          <w:sz w:val="28"/>
          <w:szCs w:val="28"/>
          <w:rtl/>
          <w:lang w:bidi="ar-EG"/>
        </w:rPr>
        <w:t>دراسات المرتبطة بالمتغير المستقل والمتغير التابع</w:t>
      </w:r>
      <w:r w:rsidR="00D7278E" w:rsidRPr="007C544A">
        <w:rPr>
          <w:rFonts w:ascii="Traditional Arabic" w:hAnsi="Traditional Arabic" w:cs="Traditional Arabic"/>
          <w:b/>
          <w:bCs/>
          <w:sz w:val="28"/>
          <w:szCs w:val="28"/>
          <w:rtl/>
          <w:lang w:bidi="ar-EG"/>
        </w:rPr>
        <w:t xml:space="preserve"> (</w:t>
      </w:r>
      <w:r w:rsidR="00971FB9" w:rsidRPr="007C544A">
        <w:rPr>
          <w:rFonts w:ascii="Traditional Arabic" w:hAnsi="Traditional Arabic" w:cs="Traditional Arabic"/>
          <w:b/>
          <w:bCs/>
          <w:sz w:val="28"/>
          <w:szCs w:val="28"/>
          <w:rtl/>
          <w:lang w:bidi="ar-EG"/>
        </w:rPr>
        <w:t>دمج الشركات العائلية لدخول السوق الموازية</w:t>
      </w:r>
      <w:r w:rsidR="00D7278E" w:rsidRPr="007C544A">
        <w:rPr>
          <w:rFonts w:ascii="Traditional Arabic" w:hAnsi="Traditional Arabic" w:cs="Traditional Arabic"/>
          <w:b/>
          <w:bCs/>
          <w:sz w:val="28"/>
          <w:szCs w:val="28"/>
          <w:rtl/>
          <w:lang w:bidi="ar-EG"/>
        </w:rPr>
        <w:t>)</w:t>
      </w:r>
      <w:r w:rsidR="00971FB9" w:rsidRPr="007C544A">
        <w:rPr>
          <w:rFonts w:ascii="Traditional Arabic" w:hAnsi="Traditional Arabic" w:cs="Traditional Arabic"/>
          <w:b/>
          <w:bCs/>
          <w:sz w:val="28"/>
          <w:szCs w:val="28"/>
          <w:rtl/>
          <w:lang w:bidi="ar-EG"/>
        </w:rPr>
        <w:t xml:space="preserve"> </w:t>
      </w:r>
    </w:p>
    <w:p w:rsidR="00FF763E"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 xml:space="preserve">1. </w:t>
      </w:r>
      <w:r w:rsidR="00971FB9" w:rsidRPr="007C544A">
        <w:rPr>
          <w:rFonts w:ascii="Traditional Arabic" w:hAnsi="Traditional Arabic" w:cs="Traditional Arabic"/>
          <w:b/>
          <w:bCs/>
          <w:sz w:val="24"/>
          <w:szCs w:val="24"/>
          <w:rtl/>
          <w:lang w:bidi="ar-EG"/>
        </w:rPr>
        <w:t>دراسة السليمان</w:t>
      </w:r>
      <w:r w:rsidR="00951A47" w:rsidRPr="007C544A">
        <w:rPr>
          <w:rFonts w:ascii="Traditional Arabic" w:hAnsi="Traditional Arabic" w:cs="Traditional Arabic"/>
          <w:b/>
          <w:bCs/>
          <w:sz w:val="24"/>
          <w:szCs w:val="24"/>
          <w:rtl/>
          <w:lang w:bidi="ar-EG"/>
        </w:rPr>
        <w:t xml:space="preserve"> (2022)،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دور استراتيجية الدمج في تعزيز القدرة التنافسية للشركات الصغيرة والمتوسطة في السوق الموازية السعودية</w:t>
      </w:r>
      <w:r w:rsidR="00951A47"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FF763E" w:rsidRPr="007C544A">
        <w:rPr>
          <w:rFonts w:ascii="Traditional Arabic" w:hAnsi="Traditional Arabic" w:cs="Traditional Arabic"/>
          <w:sz w:val="24"/>
          <w:szCs w:val="24"/>
          <w:rtl/>
        </w:rPr>
        <w:t>هدفت</w:t>
      </w:r>
      <w:r w:rsidR="000544F4" w:rsidRPr="007C544A">
        <w:rPr>
          <w:rFonts w:ascii="Traditional Arabic" w:hAnsi="Traditional Arabic" w:cs="Traditional Arabic"/>
          <w:sz w:val="24"/>
          <w:szCs w:val="24"/>
          <w:rtl/>
        </w:rPr>
        <w:t xml:space="preserve"> إلى </w:t>
      </w:r>
      <w:r w:rsidR="00FF763E" w:rsidRPr="007C544A">
        <w:rPr>
          <w:rFonts w:ascii="Traditional Arabic" w:hAnsi="Traditional Arabic" w:cs="Traditional Arabic"/>
          <w:sz w:val="24"/>
          <w:szCs w:val="24"/>
          <w:rtl/>
        </w:rPr>
        <w:t>الكشف عن أثر الدمج على قدرة الشركات على البقاء والمنافسة بعد ال</w:t>
      </w:r>
      <w:r w:rsidR="000544F4" w:rsidRPr="007C544A">
        <w:rPr>
          <w:rFonts w:ascii="Traditional Arabic" w:hAnsi="Traditional Arabic" w:cs="Traditional Arabic"/>
          <w:sz w:val="24"/>
          <w:szCs w:val="24"/>
          <w:rtl/>
        </w:rPr>
        <w:t>إدراج</w:t>
      </w:r>
      <w:r w:rsidR="00FF763E" w:rsidRPr="007C544A">
        <w:rPr>
          <w:rFonts w:ascii="Traditional Arabic" w:hAnsi="Traditional Arabic" w:cs="Traditional Arabic"/>
          <w:sz w:val="24"/>
          <w:szCs w:val="24"/>
          <w:rtl/>
        </w:rPr>
        <w:t xml:space="preserve"> في سوق "نمو". واعتمدت الدراسة المنهج المسحي التحليلي على عينة من الشركات المدرجة بالسوق الموازية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 xml:space="preserve">لتحليل أثر الدمج على </w:t>
      </w:r>
      <w:r w:rsidR="005C20E0" w:rsidRPr="007C544A">
        <w:rPr>
          <w:rFonts w:ascii="Traditional Arabic" w:hAnsi="Traditional Arabic" w:cs="Traditional Arabic"/>
          <w:sz w:val="24"/>
          <w:szCs w:val="24"/>
          <w:rtl/>
        </w:rPr>
        <w:t>الأداء</w:t>
      </w:r>
      <w:r w:rsidR="00FF763E" w:rsidRPr="007C544A">
        <w:rPr>
          <w:rFonts w:ascii="Traditional Arabic" w:hAnsi="Traditional Arabic" w:cs="Traditional Arabic"/>
          <w:sz w:val="24"/>
          <w:szCs w:val="24"/>
          <w:rtl/>
        </w:rPr>
        <w:t xml:space="preserve"> والقدرة التنافسية. وتوصلت الدراسة</w:t>
      </w:r>
      <w:r w:rsidR="000544F4" w:rsidRPr="007C544A">
        <w:rPr>
          <w:rFonts w:ascii="Traditional Arabic" w:hAnsi="Traditional Arabic" w:cs="Traditional Arabic"/>
          <w:sz w:val="24"/>
          <w:szCs w:val="24"/>
          <w:rtl/>
        </w:rPr>
        <w:t xml:space="preserve"> إلى </w:t>
      </w:r>
      <w:r w:rsidR="00FF763E" w:rsidRPr="007C544A">
        <w:rPr>
          <w:rFonts w:ascii="Traditional Arabic" w:hAnsi="Traditional Arabic" w:cs="Traditional Arabic"/>
          <w:sz w:val="24"/>
          <w:szCs w:val="24"/>
          <w:rtl/>
        </w:rPr>
        <w:t>أن الدمج يعد استراتيجية فعالة لتحقيق وفورات الحجم وتقليل التكاليف التشغيلية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وزيادة الكفاءة الاقتصادية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لكنه قد يواجه تحديات قانونية وتنظيمية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خصوصًا في مراحل تقييم الشركات والمصادقة الرقابية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مما يستدعي وضع آليات واضحة لضمان نجاح عمليات الدمج وتحقيق أهدافها الاستراتيجية على المدى الطويل</w:t>
      </w:r>
      <w:r w:rsidR="00951A47" w:rsidRPr="007C544A">
        <w:rPr>
          <w:rFonts w:ascii="Traditional Arabic" w:hAnsi="Traditional Arabic" w:cs="Traditional Arabic"/>
          <w:sz w:val="24"/>
          <w:szCs w:val="24"/>
          <w:rtl/>
        </w:rPr>
        <w:t>.</w:t>
      </w:r>
    </w:p>
    <w:p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2.</w:t>
      </w:r>
      <w:r w:rsidR="00971FB9" w:rsidRPr="007C544A">
        <w:rPr>
          <w:rFonts w:ascii="Traditional Arabic" w:hAnsi="Traditional Arabic" w:cs="Traditional Arabic"/>
          <w:b/>
          <w:bCs/>
          <w:sz w:val="24"/>
          <w:szCs w:val="24"/>
          <w:rtl/>
          <w:lang w:bidi="ar-EG"/>
        </w:rPr>
        <w:t>دراسة الغامدي</w:t>
      </w:r>
      <w:r w:rsidR="00951A47" w:rsidRPr="007C544A">
        <w:rPr>
          <w:rFonts w:ascii="Traditional Arabic" w:hAnsi="Traditional Arabic" w:cs="Traditional Arabic"/>
          <w:b/>
          <w:bCs/>
          <w:sz w:val="24"/>
          <w:szCs w:val="24"/>
          <w:rtl/>
          <w:lang w:bidi="ar-EG"/>
        </w:rPr>
        <w:t xml:space="preserve"> (2021)،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130915" w:rsidRPr="007C544A">
        <w:rPr>
          <w:rFonts w:ascii="Traditional Arabic" w:hAnsi="Traditional Arabic" w:cs="Traditional Arabic"/>
          <w:b/>
          <w:bCs/>
          <w:sz w:val="24"/>
          <w:szCs w:val="24"/>
          <w:rtl/>
          <w:lang w:bidi="ar-EG"/>
        </w:rPr>
        <w:t>"</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والاستحواذات كمدخل استراتيجي لدخول السوق المالية السعودية "نمو</w:t>
      </w:r>
      <w:r w:rsidR="00130915"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تحليل مدى استخدام الشركات لعمليات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أو الاستحواذ كأداة للتهيئة وال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السوق الموازية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واستخدمت المنهج التحليلي من خلال مراجعة حالات واقعية لشركات تم </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ها بعد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وتوصلت</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أن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يتيح تعزيز المركز المالي وتحسين الجدارة </w:t>
      </w:r>
      <w:r w:rsidR="00971FB9" w:rsidRPr="007C544A">
        <w:rPr>
          <w:rFonts w:ascii="Traditional Arabic" w:hAnsi="Traditional Arabic" w:cs="Traditional Arabic"/>
          <w:sz w:val="24"/>
          <w:szCs w:val="24"/>
          <w:rtl/>
        </w:rPr>
        <w:lastRenderedPageBreak/>
        <w:t>الائتمانية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مما يسهم في تيسير متطلبات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"نمو". كما أظهرت أن بعض الشركات لجأت</w:t>
      </w:r>
      <w:r w:rsidR="000544F4" w:rsidRPr="007C544A">
        <w:rPr>
          <w:rFonts w:ascii="Traditional Arabic" w:hAnsi="Traditional Arabic" w:cs="Traditional Arabic"/>
          <w:sz w:val="24"/>
          <w:szCs w:val="24"/>
          <w:rtl/>
        </w:rPr>
        <w:t xml:space="preserve"> إلى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لتجاوز شرط الحد الأدنى لرأس المال وعدد المساهمين</w:t>
      </w:r>
      <w:r w:rsidR="00130915" w:rsidRPr="007C544A">
        <w:rPr>
          <w:rFonts w:ascii="Traditional Arabic" w:hAnsi="Traditional Arabic" w:cs="Traditional Arabic"/>
          <w:sz w:val="24"/>
          <w:szCs w:val="24"/>
          <w:rtl/>
        </w:rPr>
        <w:t>.</w:t>
      </w:r>
    </w:p>
    <w:p w:rsidR="00922B00"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3.</w:t>
      </w:r>
      <w:r w:rsidR="00971FB9" w:rsidRPr="007C544A">
        <w:rPr>
          <w:rFonts w:ascii="Traditional Arabic" w:hAnsi="Traditional Arabic" w:cs="Traditional Arabic"/>
          <w:b/>
          <w:bCs/>
          <w:sz w:val="24"/>
          <w:szCs w:val="24"/>
          <w:rtl/>
          <w:lang w:bidi="ar-EG"/>
        </w:rPr>
        <w:t>دراسة الزهراني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 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 xml:space="preserve">"أثر </w:t>
      </w:r>
      <w:r w:rsidR="000544F4" w:rsidRPr="007C544A">
        <w:rPr>
          <w:rFonts w:ascii="Traditional Arabic" w:hAnsi="Traditional Arabic" w:cs="Traditional Arabic"/>
          <w:b/>
          <w:bCs/>
          <w:sz w:val="24"/>
          <w:szCs w:val="24"/>
          <w:rtl/>
          <w:lang w:bidi="ar-EG"/>
        </w:rPr>
        <w:t>إدراج</w:t>
      </w:r>
      <w:r w:rsidR="00971FB9" w:rsidRPr="007C544A">
        <w:rPr>
          <w:rFonts w:ascii="Traditional Arabic" w:hAnsi="Traditional Arabic" w:cs="Traditional Arabic"/>
          <w:b/>
          <w:bCs/>
          <w:sz w:val="24"/>
          <w:szCs w:val="24"/>
          <w:rtl/>
          <w:lang w:bidi="ar-EG"/>
        </w:rPr>
        <w:t xml:space="preserve"> الشركات في السوق الموازية على أدائها المالي</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تطبيقية على السوق المالية السعودية</w:t>
      </w:r>
      <w:r w:rsidR="00BA042B"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تقييم أثر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السوق الموازية على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المالي للشركات المدرجة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واستخدمت الدراسة المنهج الكمي التحليلي</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حيث قامت بتحليل المؤشرات المالية للشركات المدرجة قبل وبعد ال</w:t>
      </w:r>
      <w:r w:rsidR="000544F4" w:rsidRPr="007C544A">
        <w:rPr>
          <w:rFonts w:ascii="Traditional Arabic" w:hAnsi="Traditional Arabic" w:cs="Traditional Arabic"/>
          <w:sz w:val="24"/>
          <w:szCs w:val="24"/>
          <w:rtl/>
        </w:rPr>
        <w:t>إدراج</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مثل</w:t>
      </w:r>
      <w:r w:rsidR="00775B4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العائد على الأصول</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نسبة الربحية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ومعدل السيولة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وتوصلت</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أن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السوق الموازية أدى</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تحسن طفيف في المؤشرات المالية للشركات</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غير أن الفروق لم تكن ذات دلالة </w:t>
      </w:r>
      <w:r w:rsidR="004C5D0F" w:rsidRPr="007C544A">
        <w:rPr>
          <w:rFonts w:ascii="Traditional Arabic" w:hAnsi="Traditional Arabic" w:cs="Traditional Arabic"/>
          <w:sz w:val="24"/>
          <w:szCs w:val="24"/>
          <w:rtl/>
        </w:rPr>
        <w:t>إحصائي</w:t>
      </w:r>
      <w:r w:rsidR="00971FB9" w:rsidRPr="007C544A">
        <w:rPr>
          <w:rFonts w:ascii="Traditional Arabic" w:hAnsi="Traditional Arabic" w:cs="Traditional Arabic"/>
          <w:sz w:val="24"/>
          <w:szCs w:val="24"/>
          <w:rtl/>
        </w:rPr>
        <w:t>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مما يشير</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أن تأثير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على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المالي لا يظهر بوضوح في المدى القصير</w:t>
      </w:r>
      <w:r w:rsidR="00971FB9" w:rsidRPr="007C544A">
        <w:rPr>
          <w:rFonts w:ascii="Traditional Arabic" w:hAnsi="Traditional Arabic" w:cs="Traditional Arabic"/>
          <w:sz w:val="24"/>
          <w:szCs w:val="24"/>
        </w:rPr>
        <w:t>.</w:t>
      </w:r>
    </w:p>
    <w:p w:rsidR="00BA042B"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4.</w:t>
      </w:r>
      <w:r w:rsidR="00BA042B" w:rsidRPr="007C544A">
        <w:rPr>
          <w:rFonts w:ascii="Traditional Arabic" w:hAnsi="Traditional Arabic" w:cs="Traditional Arabic"/>
          <w:b/>
          <w:bCs/>
          <w:sz w:val="24"/>
          <w:szCs w:val="24"/>
          <w:rtl/>
          <w:lang w:bidi="ar-EG"/>
        </w:rPr>
        <w:t>دراسة (</w:t>
      </w:r>
      <w:r w:rsidR="00BA042B" w:rsidRPr="007C544A">
        <w:rPr>
          <w:rFonts w:ascii="Traditional Arabic" w:hAnsi="Traditional Arabic" w:cs="Traditional Arabic"/>
          <w:b/>
          <w:bCs/>
          <w:sz w:val="24"/>
          <w:szCs w:val="24"/>
          <w:lang w:bidi="ar-EG"/>
        </w:rPr>
        <w:t>2020</w:t>
      </w:r>
      <w:r w:rsidR="00BA042B"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lang w:bidi="ar-EG"/>
        </w:rPr>
        <w:t>Zhao, X., &amp; Chen, L.</w:t>
      </w:r>
      <w:r w:rsidR="00BA042B"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ات الاستراتيجية والدخول</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أسواق المال الثانوية في الاقتصادات الناشئة</w:t>
      </w:r>
      <w:r w:rsidR="00BA042B"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استكشاف كيف تستخدم الشركات في الأسواق الناشئة عمليات الدمج كاستراتيجية للتهيئة لدخول الأسواق الموازية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واستخدمت الدراسة المنهج المقارن بين أسواق آسيا والشرق الأوسط</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وأظهرت النتائج أن عمليات الدمج تُستخدم في كثير من الأحيان كآلية لتحسين الموقف المالي وتلبية شروط ال</w:t>
      </w:r>
      <w:r w:rsidR="000544F4" w:rsidRPr="007C544A">
        <w:rPr>
          <w:rFonts w:ascii="Traditional Arabic" w:hAnsi="Traditional Arabic" w:cs="Traditional Arabic"/>
          <w:sz w:val="24"/>
          <w:szCs w:val="24"/>
          <w:rtl/>
        </w:rPr>
        <w:t>إدراج</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ولكنها تحتاج</w:t>
      </w:r>
      <w:r w:rsidR="000544F4" w:rsidRPr="007C544A">
        <w:rPr>
          <w:rFonts w:ascii="Traditional Arabic" w:hAnsi="Traditional Arabic" w:cs="Traditional Arabic"/>
          <w:sz w:val="24"/>
          <w:szCs w:val="24"/>
          <w:rtl/>
        </w:rPr>
        <w:t xml:space="preserve"> إلى </w:t>
      </w:r>
      <w:r w:rsidR="00D6178F" w:rsidRPr="007C544A">
        <w:rPr>
          <w:rFonts w:ascii="Traditional Arabic" w:hAnsi="Traditional Arabic" w:cs="Traditional Arabic"/>
          <w:sz w:val="24"/>
          <w:szCs w:val="24"/>
          <w:rtl/>
        </w:rPr>
        <w:t>إدارة</w:t>
      </w:r>
      <w:r w:rsidR="00971FB9" w:rsidRPr="007C544A">
        <w:rPr>
          <w:rFonts w:ascii="Traditional Arabic" w:hAnsi="Traditional Arabic" w:cs="Traditional Arabic"/>
          <w:sz w:val="24"/>
          <w:szCs w:val="24"/>
          <w:rtl/>
        </w:rPr>
        <w:t xml:space="preserve"> دقيقة لتفادي فشل التقييمات أو التعثر الإداري</w:t>
      </w:r>
      <w:r w:rsidR="00BA042B" w:rsidRPr="007C544A">
        <w:rPr>
          <w:rFonts w:ascii="Traditional Arabic" w:hAnsi="Traditional Arabic" w:cs="Traditional Arabic"/>
          <w:sz w:val="24"/>
          <w:szCs w:val="24"/>
          <w:rtl/>
        </w:rPr>
        <w:t>.</w:t>
      </w:r>
    </w:p>
    <w:p w:rsidR="009F7418" w:rsidRPr="007C544A" w:rsidRDefault="00BD78BC" w:rsidP="00BD78BC">
      <w:pPr>
        <w:shd w:val="clear" w:color="auto" w:fill="FFFFFF" w:themeFill="background1"/>
        <w:bidi/>
        <w:spacing w:after="0" w:line="360" w:lineRule="auto"/>
        <w:jc w:val="both"/>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rPr>
        <w:t>5.</w:t>
      </w:r>
      <w:r w:rsidR="00BA042B" w:rsidRPr="007C544A">
        <w:rPr>
          <w:rFonts w:ascii="Traditional Arabic" w:hAnsi="Traditional Arabic" w:cs="Traditional Arabic"/>
          <w:b/>
          <w:bCs/>
          <w:sz w:val="24"/>
          <w:szCs w:val="24"/>
          <w:rtl/>
          <w:lang w:bidi="ar-EG"/>
        </w:rPr>
        <w:t>دراسة (</w:t>
      </w:r>
      <w:r w:rsidR="00BA042B" w:rsidRPr="007C544A">
        <w:rPr>
          <w:rFonts w:ascii="Traditional Arabic" w:hAnsi="Traditional Arabic" w:cs="Traditional Arabic"/>
          <w:b/>
          <w:bCs/>
          <w:sz w:val="24"/>
          <w:szCs w:val="24"/>
          <w:lang w:bidi="ar-EG"/>
        </w:rPr>
        <w:t>2015</w:t>
      </w:r>
      <w:r w:rsidR="00BA042B" w:rsidRPr="007C544A">
        <w:rPr>
          <w:rFonts w:ascii="Traditional Arabic" w:hAnsi="Traditional Arabic" w:cs="Traditional Arabic"/>
          <w:b/>
          <w:bCs/>
          <w:sz w:val="24"/>
          <w:szCs w:val="24"/>
          <w:rtl/>
          <w:lang w:bidi="ar-EG"/>
        </w:rPr>
        <w:t xml:space="preserve">) </w:t>
      </w:r>
      <w:r w:rsidR="00BA042B" w:rsidRPr="007C544A">
        <w:rPr>
          <w:rFonts w:ascii="Traditional Arabic" w:hAnsi="Traditional Arabic" w:cs="Traditional Arabic"/>
          <w:b/>
          <w:bCs/>
          <w:sz w:val="24"/>
          <w:szCs w:val="24"/>
          <w:lang w:bidi="ar-EG"/>
        </w:rPr>
        <w:t>Wong, M., &amp; Tse, A.</w:t>
      </w:r>
      <w:r w:rsidR="00BA042B"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BA042B"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إعادة الهيكلة المؤسسية والدخول</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أسواق النمو</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دليل من سوق</w:t>
      </w:r>
      <w:r w:rsidR="00971FB9" w:rsidRPr="007C544A">
        <w:rPr>
          <w:rFonts w:ascii="Traditional Arabic" w:hAnsi="Traditional Arabic" w:cs="Traditional Arabic"/>
          <w:b/>
          <w:bCs/>
          <w:sz w:val="24"/>
          <w:szCs w:val="24"/>
          <w:lang w:bidi="ar-EG"/>
        </w:rPr>
        <w:t xml:space="preserve"> GEM </w:t>
      </w:r>
      <w:r w:rsidR="00971FB9" w:rsidRPr="007C544A">
        <w:rPr>
          <w:rFonts w:ascii="Traditional Arabic" w:hAnsi="Traditional Arabic" w:cs="Traditional Arabic"/>
          <w:b/>
          <w:bCs/>
          <w:sz w:val="24"/>
          <w:szCs w:val="24"/>
          <w:rtl/>
          <w:lang w:bidi="ar-EG"/>
        </w:rPr>
        <w:t>في هونغ كونغ</w:t>
      </w:r>
      <w:r w:rsidR="00BA042B"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F7418" w:rsidRPr="007C544A">
        <w:rPr>
          <w:rtl/>
        </w:rPr>
        <w:t>ه</w:t>
      </w:r>
      <w:r w:rsidR="009F7418" w:rsidRPr="007C544A">
        <w:rPr>
          <w:rFonts w:ascii="Traditional Arabic" w:hAnsi="Traditional Arabic" w:cs="Traditional Arabic"/>
          <w:sz w:val="24"/>
          <w:szCs w:val="24"/>
          <w:rtl/>
        </w:rPr>
        <w:t>دفت الدراسة إلى تحليل دور إعادة الهيكلة المؤسسية في تهيئة الشركات للدخول إلى أسواق النمو، مع التركيز على سوق المشروعات النامية</w:t>
      </w:r>
      <w:r w:rsidR="009F7418" w:rsidRPr="007C544A">
        <w:rPr>
          <w:rFonts w:ascii="Traditional Arabic" w:hAnsi="Traditional Arabic" w:cs="Traditional Arabic"/>
          <w:sz w:val="24"/>
          <w:szCs w:val="24"/>
        </w:rPr>
        <w:t xml:space="preserve"> (GEM) </w:t>
      </w:r>
      <w:r w:rsidR="009F7418" w:rsidRPr="007C544A">
        <w:rPr>
          <w:rFonts w:ascii="Traditional Arabic" w:hAnsi="Traditional Arabic" w:cs="Traditional Arabic"/>
          <w:sz w:val="24"/>
          <w:szCs w:val="24"/>
          <w:rtl/>
        </w:rPr>
        <w:t>في هونغ كونغ. واعتمدت الدراسة على المنهج التحليلي، من خلال دراسة مجموعة من الشركات التي اتجهت إلى الإدراج في سوق</w:t>
      </w:r>
      <w:r w:rsidR="009F7418" w:rsidRPr="007C544A">
        <w:rPr>
          <w:rFonts w:ascii="Traditional Arabic" w:hAnsi="Traditional Arabic" w:cs="Traditional Arabic"/>
          <w:sz w:val="24"/>
          <w:szCs w:val="24"/>
        </w:rPr>
        <w:t xml:space="preserve"> GEM</w:t>
      </w:r>
      <w:r w:rsidR="009F7418" w:rsidRPr="007C544A">
        <w:rPr>
          <w:rFonts w:ascii="Traditional Arabic" w:hAnsi="Traditional Arabic" w:cs="Traditional Arabic"/>
          <w:sz w:val="24"/>
          <w:szCs w:val="24"/>
          <w:rtl/>
        </w:rPr>
        <w:t>، وتحليل التغيرات التي طرأت على هياكلها التنظيمية والمالية قبل الإدراج. وتوصلت الدراسة إلى أن إعادة الهيكلة المؤسسية يمكن أن تسهم في تحسين الهيكل المالي والتنظيمي للشركات وتهيئتها لاستيفاء متطلبات الإدراج، كما قد تساعد الشركات الصغيرة والمتوسطة على تعزيز قدرتها على الوصول إلى مصادر تمويل جديدة</w:t>
      </w:r>
      <w:r w:rsidR="009F7418" w:rsidRPr="007C544A">
        <w:rPr>
          <w:rFonts w:ascii="Traditional Arabic" w:hAnsi="Traditional Arabic" w:cs="Traditional Arabic"/>
          <w:sz w:val="24"/>
          <w:szCs w:val="24"/>
        </w:rPr>
        <w:t>.</w:t>
      </w:r>
    </w:p>
    <w:p w:rsidR="009F7418"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6.</w:t>
      </w:r>
      <w:r w:rsidR="00E47936" w:rsidRPr="007C544A">
        <w:rPr>
          <w:rFonts w:ascii="Traditional Arabic" w:hAnsi="Traditional Arabic" w:cs="Traditional Arabic"/>
          <w:b/>
          <w:bCs/>
          <w:sz w:val="24"/>
          <w:szCs w:val="24"/>
          <w:rtl/>
          <w:lang w:bidi="ar-EG"/>
        </w:rPr>
        <w:t>دراسة (</w:t>
      </w:r>
      <w:r w:rsidR="00E47936" w:rsidRPr="007C544A">
        <w:rPr>
          <w:rFonts w:ascii="Traditional Arabic" w:hAnsi="Traditional Arabic" w:cs="Traditional Arabic"/>
          <w:b/>
          <w:bCs/>
          <w:sz w:val="24"/>
          <w:szCs w:val="24"/>
          <w:lang w:bidi="ar-EG"/>
        </w:rPr>
        <w:t>2008</w:t>
      </w:r>
      <w:r w:rsidR="00E47936" w:rsidRPr="007C544A">
        <w:rPr>
          <w:rFonts w:ascii="Traditional Arabic" w:hAnsi="Traditional Arabic" w:cs="Traditional Arabic"/>
          <w:b/>
          <w:bCs/>
          <w:sz w:val="24"/>
          <w:szCs w:val="24"/>
          <w:rtl/>
          <w:lang w:bidi="ar-EG"/>
        </w:rPr>
        <w:t xml:space="preserve">) </w:t>
      </w:r>
      <w:r w:rsidR="00E47936" w:rsidRPr="007C544A">
        <w:rPr>
          <w:rFonts w:ascii="Traditional Arabic" w:hAnsi="Traditional Arabic" w:cs="Traditional Arabic"/>
          <w:b/>
          <w:bCs/>
          <w:sz w:val="24"/>
          <w:szCs w:val="24"/>
          <w:lang w:bidi="ar-EG"/>
        </w:rPr>
        <w:t>Dunne, P. &amp; Hughes, A.</w:t>
      </w:r>
      <w:r w:rsidR="00E47936"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E47936"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نشاط </w:t>
      </w:r>
      <w:r w:rsidR="009F7418" w:rsidRPr="007C544A">
        <w:rPr>
          <w:rFonts w:ascii="Traditional Arabic" w:hAnsi="Traditional Arabic" w:cs="Traditional Arabic" w:hint="cs"/>
          <w:b/>
          <w:bCs/>
          <w:sz w:val="24"/>
          <w:szCs w:val="24"/>
          <w:rtl/>
          <w:lang w:bidi="ar-EG"/>
        </w:rPr>
        <w:t>الدمج</w:t>
      </w:r>
      <w:r w:rsidR="00971FB9" w:rsidRPr="007C544A">
        <w:rPr>
          <w:rFonts w:ascii="Traditional Arabic" w:hAnsi="Traditional Arabic" w:cs="Traditional Arabic"/>
          <w:b/>
          <w:bCs/>
          <w:sz w:val="24"/>
          <w:szCs w:val="24"/>
          <w:rtl/>
          <w:lang w:bidi="ar-EG"/>
        </w:rPr>
        <w:t xml:space="preserve"> والاستحواذات ودخول الشركات الصغيرة والمتوسطة</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السوق</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دليل من سوق</w:t>
      </w:r>
      <w:r w:rsidR="00971FB9" w:rsidRPr="007C544A">
        <w:rPr>
          <w:rFonts w:ascii="Traditional Arabic" w:hAnsi="Traditional Arabic" w:cs="Traditional Arabic"/>
          <w:b/>
          <w:bCs/>
          <w:sz w:val="24"/>
          <w:szCs w:val="24"/>
          <w:lang w:bidi="ar-EG"/>
        </w:rPr>
        <w:t xml:space="preserve"> AIM </w:t>
      </w:r>
      <w:r w:rsidR="00971FB9" w:rsidRPr="007C544A">
        <w:rPr>
          <w:rFonts w:ascii="Traditional Arabic" w:hAnsi="Traditional Arabic" w:cs="Traditional Arabic"/>
          <w:b/>
          <w:bCs/>
          <w:sz w:val="24"/>
          <w:szCs w:val="24"/>
          <w:rtl/>
          <w:lang w:bidi="ar-EG"/>
        </w:rPr>
        <w:t>في المملكة المتحدة</w:t>
      </w:r>
      <w:r w:rsidR="00E47936" w:rsidRPr="007C544A">
        <w:rPr>
          <w:rFonts w:ascii="Traditional Arabic" w:hAnsi="Traditional Arabic" w:cs="Traditional Arabic"/>
          <w:b/>
          <w:bCs/>
          <w:sz w:val="24"/>
          <w:szCs w:val="24"/>
          <w:rtl/>
          <w:lang w:bidi="ar-EG"/>
        </w:rPr>
        <w:t>".</w:t>
      </w:r>
      <w:r w:rsidR="009F7418" w:rsidRPr="007C544A">
        <w:rPr>
          <w:rFonts w:ascii="Traditional Arabic" w:hAnsi="Traditional Arabic" w:cs="Traditional Arabic"/>
          <w:sz w:val="24"/>
          <w:szCs w:val="24"/>
          <w:rtl/>
        </w:rPr>
        <w:t>هدفت الدراسة إلى فحص العلاقة بين نشاط الاندماج والاستحواذ وقرار الشركات الصغيرة والمتوسطة الدخول إلى السوق البديلة البريطانية</w:t>
      </w:r>
      <w:r w:rsidR="009F7418" w:rsidRPr="007C544A">
        <w:rPr>
          <w:rFonts w:ascii="Traditional Arabic" w:hAnsi="Traditional Arabic" w:cs="Traditional Arabic"/>
          <w:sz w:val="24"/>
          <w:szCs w:val="24"/>
        </w:rPr>
        <w:t xml:space="preserve"> (AIM)</w:t>
      </w:r>
      <w:r w:rsidR="009F7418" w:rsidRPr="007C544A">
        <w:rPr>
          <w:rFonts w:ascii="Traditional Arabic" w:hAnsi="Traditional Arabic" w:cs="Traditional Arabic"/>
          <w:sz w:val="24"/>
          <w:szCs w:val="24"/>
          <w:rtl/>
        </w:rPr>
        <w:t>، مع التركيز على الدور الذي يمكن أن تؤديه عمليات الاندماج والاستحواذ في تهيئة الشركات للإدراج في أسواق النمو. واعتمدت الدراسة على المنهج الكمي التحليلي، من خلال تحليل بيانات عينة من الشركات الصغيرة والمتوسطة التي اتجهت إلى الإدراج في سوق</w:t>
      </w:r>
      <w:r w:rsidR="009F7418" w:rsidRPr="007C544A">
        <w:rPr>
          <w:rFonts w:ascii="Traditional Arabic" w:hAnsi="Traditional Arabic" w:cs="Traditional Arabic"/>
          <w:sz w:val="24"/>
          <w:szCs w:val="24"/>
        </w:rPr>
        <w:t xml:space="preserve"> AIM. </w:t>
      </w:r>
      <w:r w:rsidR="009F7418" w:rsidRPr="007C544A">
        <w:rPr>
          <w:rFonts w:ascii="Traditional Arabic" w:hAnsi="Traditional Arabic" w:cs="Traditional Arabic"/>
          <w:sz w:val="24"/>
          <w:szCs w:val="24"/>
          <w:rtl/>
        </w:rPr>
        <w:t>وتوصلت الدراسة إلى أن عمليات الاندماج والاستحواذ قد تسهم في تحسين المركز المالي للشركات وتعزيز قدرتها على استيفاء متطلبات الإدراج، كما أشارت إلى أن الشركات التي خضعت لإعادة هيكلة أو عمليات اندماج قبل الإدراج قد تتمتع بقدرة أكبر على جذب المستثمرين وتحسين السيولة بعد الإدراج</w:t>
      </w:r>
      <w:r w:rsidR="009F7418" w:rsidRPr="007C544A">
        <w:rPr>
          <w:rFonts w:ascii="Traditional Arabic" w:hAnsi="Traditional Arabic" w:cs="Traditional Arabic"/>
          <w:sz w:val="24"/>
          <w:szCs w:val="24"/>
        </w:rPr>
        <w:t>.</w:t>
      </w:r>
    </w:p>
    <w:p w:rsidR="001416F4" w:rsidRPr="007C544A" w:rsidRDefault="001416F4" w:rsidP="009F7418">
      <w:pPr>
        <w:shd w:val="clear" w:color="auto" w:fill="FFFFFF" w:themeFill="background1"/>
        <w:bidi/>
        <w:spacing w:after="0" w:line="360" w:lineRule="auto"/>
        <w:jc w:val="both"/>
        <w:rPr>
          <w:rFonts w:ascii="Traditional Arabic" w:hAnsi="Traditional Arabic" w:cs="Traditional Arabic"/>
          <w:b/>
          <w:bCs/>
          <w:sz w:val="24"/>
          <w:szCs w:val="24"/>
          <w:rtl/>
        </w:rPr>
      </w:pPr>
    </w:p>
    <w:p w:rsidR="00971FB9" w:rsidRPr="007C544A" w:rsidRDefault="00971FB9" w:rsidP="001416F4">
      <w:pPr>
        <w:shd w:val="clear" w:color="auto" w:fill="FFFFFF" w:themeFill="background1"/>
        <w:bidi/>
        <w:spacing w:after="0" w:line="360" w:lineRule="auto"/>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lastRenderedPageBreak/>
        <w:t>التعليق على الدراسات السابقة</w:t>
      </w:r>
      <w:r w:rsidR="00775B4E" w:rsidRPr="007C544A">
        <w:rPr>
          <w:rFonts w:ascii="Traditional Arabic" w:hAnsi="Traditional Arabic" w:cs="Traditional Arabic"/>
          <w:b/>
          <w:bCs/>
          <w:sz w:val="24"/>
          <w:szCs w:val="24"/>
          <w:rtl/>
        </w:rPr>
        <w:t xml:space="preserve">: </w:t>
      </w:r>
    </w:p>
    <w:p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يتضح من استعراض الدراسات السابقة تنوع الاهتمام البحثي بموضوع الشركات العائلية وعمليات الاندماج والتحول المؤسسي ودخول الشركات إلى الأسواق المالية، مع اختلاف زوايا تناول هذه الموضوعات باختلاف أهداف الدراسات وبيئاتها التطبيقية. فقد ركزت بعض الدراسات على حوكمة الشركات العائلية وأثرها في الأداء والاستدامة، كما في دراسة المقدم والعزمي (2024)، التي تناولت أثر أبعاد الحوكمة على أداء الشركات العائلية في المملكة العربية السعودية، وأظهرت وجود أثر لأبعاد الحوكمة في تحسين أداء هذه الشركات. كما تناولت دراسة توفيق (2024) العلاقة بين تطبيق مبادئ الحوكمة الرشيدة والأداء الاستراتيجي للعمليات في الشركات العائلية العاملة في السوق المصري، بما يؤكد أهمية الحوكمة في دعم الأداء المؤسسي وتعزيز قدرة الشركات العائلية على الاستمرار والتطور</w:t>
      </w:r>
      <w:r w:rsidRPr="007C544A">
        <w:rPr>
          <w:rFonts w:ascii="Traditional Arabic" w:eastAsiaTheme="minorHAnsi" w:hAnsi="Traditional Arabic" w:cs="Traditional Arabic"/>
        </w:rPr>
        <w:t>.</w:t>
      </w:r>
    </w:p>
    <w:p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ومن جانب آخر، اهتمت مجموعة من الدراسات بالجانب القانوني والتنظيمي لعمليات الاندماج والتحول، ومن أبرزها دراسة الخصاونة (2024)، التي تناولت الضوابط القانونية لاندماج الشركات وتحولها في ضوء نظام الشركات في المملكة العربية السعودية، وركزت على الإصلاحات التشريعية التي جاء بها نظام الشركات السعودي لعام 2022 والإجراءات والآثار القانونية المرتبطة بعمليات الاندماج والتحول. كما تناولت دراسة السقا (2024) الآثار المترتبة على الدمج بالنسبة إلى العقود المبرمة قبل عملية الدمج، بينما تناولت دراسة عثمان (2022) الآثار القانونية الناتجة عن اندماج الشركات في ضوء القانون السوداني والقانون المقارن، بما يعكس أهمية البعد القانوني في تنظيم عمليات الاندماج وحماية حقوق الأطراف ذات العلاقة</w:t>
      </w:r>
      <w:r w:rsidRPr="007C544A">
        <w:rPr>
          <w:rFonts w:ascii="Traditional Arabic" w:eastAsiaTheme="minorHAnsi" w:hAnsi="Traditional Arabic" w:cs="Traditional Arabic"/>
        </w:rPr>
        <w:t>.</w:t>
      </w:r>
    </w:p>
    <w:p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وفيما يتعلق بعمليات الاندماج والاستحواذ في الشركات العائلية، تمثل دراسة</w:t>
      </w:r>
      <w:r w:rsidRPr="007C544A">
        <w:rPr>
          <w:rFonts w:ascii="Traditional Arabic" w:eastAsiaTheme="minorHAnsi" w:hAnsi="Traditional Arabic" w:cs="Traditional Arabic"/>
        </w:rPr>
        <w:t xml:space="preserve"> Worek (2017) </w:t>
      </w:r>
      <w:r w:rsidRPr="007C544A">
        <w:rPr>
          <w:rFonts w:ascii="Traditional Arabic" w:eastAsiaTheme="minorHAnsi" w:hAnsi="Traditional Arabic" w:cs="Traditional Arabic"/>
          <w:rtl/>
        </w:rPr>
        <w:t>أهمية خاصة؛ إذ قدمت مراجعة منهجية للأدبيات المتعلقة بعمليات الاندماج والاستحواذ في الشركات العائلية، وشملت 41 دراسة منشورة، وركزت على ثلاثة محاور رئيسية هي: الميل إلى عمليات الاندماج والاستحواذ، وإجراءات هذه العمليات، وأدائها. كما أكدت الدراسة أهمية مراعاة طبيعة الحوكمة العائلية عند تحليل قرارات الاندماج والاستحواذ، نظرًا لاختلاف أهداف الشركات العائلية وسلوكها الاستراتيجي عن غيرها من الشركات</w:t>
      </w:r>
      <w:r w:rsidRPr="007C544A">
        <w:rPr>
          <w:rFonts w:ascii="Traditional Arabic" w:eastAsiaTheme="minorHAnsi" w:hAnsi="Traditional Arabic" w:cs="Traditional Arabic"/>
        </w:rPr>
        <w:t>.</w:t>
      </w:r>
    </w:p>
    <w:p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وفي الاتجاه نفسه، تناولت دراسة</w:t>
      </w:r>
      <w:r w:rsidRPr="007C544A">
        <w:rPr>
          <w:rFonts w:ascii="Traditional Arabic" w:eastAsiaTheme="minorHAnsi" w:hAnsi="Traditional Arabic" w:cs="Traditional Arabic"/>
        </w:rPr>
        <w:t xml:space="preserve"> Santulli et al. (2022) </w:t>
      </w:r>
      <w:r w:rsidRPr="007C544A">
        <w:rPr>
          <w:rFonts w:ascii="Traditional Arabic" w:eastAsiaTheme="minorHAnsi" w:hAnsi="Traditional Arabic" w:cs="Traditional Arabic"/>
          <w:rtl/>
        </w:rPr>
        <w:t>العلاقة بين مشاركة أفراد العائلة في الإدارة العليا والميل إلى عمليات الاندماج والاستحواذ وأداء الشركات، من خلال عينة بلغت 111 شركة عائلية ألمانية. وأظهرت النتائج أن ارتفاع نسبة أفراد العائلة في فريق الإدارة العليا ارتبط بتحسن الأداء، وأن الميل إلى عمليات الاندماج والاستحواذ أدى دورًا وسيطًا في هذه العلاقة، خاصة في الحالات التي يكون فيها تقييم الأداء السابق سلبيًا</w:t>
      </w:r>
      <w:r w:rsidRPr="007C544A">
        <w:rPr>
          <w:rFonts w:ascii="Traditional Arabic" w:eastAsiaTheme="minorHAnsi" w:hAnsi="Traditional Arabic" w:cs="Traditional Arabic"/>
        </w:rPr>
        <w:t>.</w:t>
      </w:r>
    </w:p>
    <w:p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كما تناولت بعض الدراسات دور الأسواق المالية في دعم نمو الشركات وتوفير مصادر بديلة للتمويل، فقد بحثت دراسة بوغمبوز وجباري (2022) دور بورصة الجزائر في دعم المؤسسات الناشئة، وأكدت أهمية السوق المالية في توفير مصادر تمويل بديلة وتعزيز الشفافية والإفصاح. كما تناولت بعض الدراسات الأجنبية أسواق النمو والأسواق المخصصة للشركات الصغيرة والمتوسطة، وهو ما يبرز أهمية البيئة السوقية والتنظيمية في تسهيل وصول الشركات إلى مصادر التمويل والتوسع</w:t>
      </w:r>
      <w:r w:rsidRPr="007C544A">
        <w:rPr>
          <w:rFonts w:ascii="Traditional Arabic" w:eastAsiaTheme="minorHAnsi" w:hAnsi="Traditional Arabic" w:cs="Traditional Arabic"/>
        </w:rPr>
        <w:t>.</w:t>
      </w:r>
    </w:p>
    <w:p w:rsidR="009F7418" w:rsidRPr="007C544A" w:rsidRDefault="009F7418" w:rsidP="001416F4">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lastRenderedPageBreak/>
        <w:t>وفيما يتعلق بأداء الشركات بعد الاندماج، تناولت دراسة الطراونة (2020) أثر الاندماج على القيمة السوقية للشركات المدرجة في بورصة عمان، بينما ركزت دراسة</w:t>
      </w:r>
      <w:r w:rsidRPr="007C544A">
        <w:rPr>
          <w:rFonts w:ascii="Traditional Arabic" w:eastAsiaTheme="minorHAnsi" w:hAnsi="Traditional Arabic" w:cs="Traditional Arabic"/>
        </w:rPr>
        <w:t xml:space="preserve"> Al-Shehab and Al-Omran (2024) </w:t>
      </w:r>
      <w:r w:rsidRPr="007C544A">
        <w:rPr>
          <w:rFonts w:ascii="Traditional Arabic" w:eastAsiaTheme="minorHAnsi" w:hAnsi="Traditional Arabic" w:cs="Traditional Arabic"/>
          <w:rtl/>
        </w:rPr>
        <w:t>على أثر هيكل رأس المال في أداء المنشآت الصغيرة والمتوسطة المدرجة في السوق المالية السعودية الموازية، بما يوضح أهمية القرارات المالية والهيكل التمويلي في تفسير أداء الشركات العاملة في الأسواق الموازية</w:t>
      </w:r>
      <w:r w:rsidRPr="007C544A">
        <w:rPr>
          <w:rFonts w:ascii="Traditional Arabic" w:eastAsiaTheme="minorHAnsi" w:hAnsi="Traditional Arabic" w:cs="Traditional Arabic"/>
        </w:rPr>
        <w:t>.</w:t>
      </w:r>
    </w:p>
    <w:p w:rsidR="009F7418" w:rsidRPr="007C544A" w:rsidRDefault="009F7418" w:rsidP="001416F4">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وبصفة عامة، تكشف الدراسات السابقة عن وجود اهتمام واضح بكل من الشركات العائلية، والحوكمة، والاندماج والاستحواذ، والأطر القانونية المنظمة للاندماج، وأداء الشركات، والأسواق المالية الموازية، إلا أن هذه الموضوعات عولجت في معظم الدراسات بصورة منفصلة؛ فبعض الدراسات ركز على حوكمة الشركات العائلية وأدائها، وبعضها تناول الجوانب القانونية للاندماج، بينما ركزت دراسات أخرى على عمليات الاندماج والاستحواذ أو على الأسواق المالية والأسواق الموازية. وتؤكد مراجعة</w:t>
      </w:r>
      <w:r w:rsidRPr="007C544A">
        <w:rPr>
          <w:rFonts w:ascii="Traditional Arabic" w:eastAsiaTheme="minorHAnsi" w:hAnsi="Traditional Arabic" w:cs="Traditional Arabic"/>
        </w:rPr>
        <w:t xml:space="preserve"> Worek (2017) </w:t>
      </w:r>
      <w:r w:rsidRPr="007C544A">
        <w:rPr>
          <w:rFonts w:ascii="Traditional Arabic" w:eastAsiaTheme="minorHAnsi" w:hAnsi="Traditional Arabic" w:cs="Traditional Arabic"/>
          <w:rtl/>
        </w:rPr>
        <w:t>نفسها وجود حاجة إلى مزيد من البحث في عمليات الاندماج والاستحواذ في سياق الشركات العائلية، ولا سيما في المراحل السابقة على إتمام الصفقة</w:t>
      </w:r>
      <w:r w:rsidRPr="007C544A">
        <w:rPr>
          <w:rFonts w:ascii="Traditional Arabic" w:eastAsiaTheme="minorHAnsi" w:hAnsi="Traditional Arabic" w:cs="Traditional Arabic"/>
        </w:rPr>
        <w:t>.</w:t>
      </w:r>
    </w:p>
    <w:p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ومن هنا تتمثل الفجوة البحثية التي تسعى الدراسة الحالية إلى تناولها في الربط بين هذه الموضوعات في إطار واحد، من خلال دراسة دمج الشركات العائلية في المملكة العربية السعودية باعتباره استراتيجية محتملة للتهيؤ لدخول السوق المالية الموازية «نمو</w:t>
      </w:r>
      <w:r w:rsidRPr="007C544A">
        <w:rPr>
          <w:rFonts w:ascii="Traditional Arabic" w:eastAsiaTheme="minorHAnsi" w:hAnsi="Traditional Arabic" w:cs="Traditional Arabic"/>
        </w:rPr>
        <w:t>»</w:t>
      </w:r>
      <w:r w:rsidRPr="007C544A">
        <w:rPr>
          <w:rFonts w:ascii="Traditional Arabic" w:eastAsiaTheme="minorHAnsi" w:hAnsi="Traditional Arabic" w:cs="Traditional Arabic"/>
          <w:rtl/>
        </w:rPr>
        <w:t>، مع الاهتمام بالآثار المرتبطة بالأداء المالي، والحوكمة، والهيكل القانوني، والتحديات التنظيمية والتشغيلية المصاحبة لهذه العملية. وبذلك تختلف الدراسة الحالية عن الدراسات السابقة التي تناولت هذه المتغيرات بصورة منفردة أو في بيئات قانونية وسوقية مختلفة، وتسعى إلى تقديم معالجة أكثر تكاملًا للموضوع في ضوء البيئة التنظيمية السعودية الحديثة</w:t>
      </w:r>
      <w:r w:rsidRPr="007C544A">
        <w:rPr>
          <w:rFonts w:ascii="Traditional Arabic" w:eastAsiaTheme="minorHAnsi" w:hAnsi="Traditional Arabic" w:cs="Traditional Arabic"/>
        </w:rPr>
        <w:t>.</w:t>
      </w:r>
    </w:p>
    <w:p w:rsidR="00971FB9" w:rsidRPr="007C544A" w:rsidRDefault="00971FB9"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الاستفادة من الدراسات السابقة</w:t>
      </w:r>
      <w:r w:rsidR="00775B4E" w:rsidRPr="007C544A">
        <w:rPr>
          <w:rFonts w:ascii="Traditional Arabic" w:hAnsi="Traditional Arabic" w:cs="Traditional Arabic"/>
          <w:b/>
          <w:bCs/>
          <w:sz w:val="28"/>
          <w:szCs w:val="28"/>
          <w:rtl/>
          <w:lang w:bidi="ar-EG"/>
        </w:rPr>
        <w:t xml:space="preserve">: </w:t>
      </w:r>
    </w:p>
    <w:p w:rsidR="00971FB9" w:rsidRPr="007C544A" w:rsidRDefault="00971FB9" w:rsidP="00706522">
      <w:pPr>
        <w:shd w:val="clear" w:color="auto" w:fill="FFFFFF" w:themeFill="background1"/>
        <w:tabs>
          <w:tab w:val="left" w:pos="1074"/>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استفادة الدراسة الحالية من الدراسات السابقة في التعرف على كيفية صياغة المشكلة</w:t>
      </w:r>
      <w:r w:rsidR="00756E3F"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وتحديد </w:t>
      </w:r>
      <w:r w:rsidR="00756E3F" w:rsidRPr="007C544A">
        <w:rPr>
          <w:rFonts w:ascii="Traditional Arabic" w:hAnsi="Traditional Arabic" w:cs="Traditional Arabic"/>
          <w:sz w:val="24"/>
          <w:szCs w:val="24"/>
          <w:rtl/>
        </w:rPr>
        <w:t>الأهداف،</w:t>
      </w:r>
      <w:r w:rsidRPr="007C544A">
        <w:rPr>
          <w:rFonts w:ascii="Traditional Arabic" w:hAnsi="Traditional Arabic" w:cs="Traditional Arabic"/>
          <w:sz w:val="24"/>
          <w:szCs w:val="24"/>
          <w:rtl/>
        </w:rPr>
        <w:t xml:space="preserve"> </w:t>
      </w:r>
      <w:r w:rsidR="00756E3F" w:rsidRPr="007C544A">
        <w:rPr>
          <w:rFonts w:ascii="Traditional Arabic" w:hAnsi="Traditional Arabic" w:cs="Traditional Arabic"/>
          <w:sz w:val="24"/>
          <w:szCs w:val="24"/>
          <w:rtl/>
        </w:rPr>
        <w:t>وال</w:t>
      </w:r>
      <w:r w:rsidR="003F6CDC" w:rsidRPr="007C544A">
        <w:rPr>
          <w:rFonts w:ascii="Traditional Arabic" w:hAnsi="Traditional Arabic" w:cs="Traditional Arabic"/>
          <w:sz w:val="24"/>
          <w:szCs w:val="24"/>
          <w:rtl/>
        </w:rPr>
        <w:t>أهمية</w:t>
      </w:r>
      <w:r w:rsidR="00756E3F"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والمنهج المستخدم</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وتحديد المصطلحات والتعريفات.</w:t>
      </w:r>
    </w:p>
    <w:p w:rsidR="00A70C3E" w:rsidRPr="007C544A" w:rsidRDefault="009F4649" w:rsidP="00706522">
      <w:pPr>
        <w:bidi/>
        <w:spacing w:after="0" w:line="360" w:lineRule="auto"/>
        <w:rPr>
          <w:rFonts w:ascii="Traditional Arabic" w:hAnsi="Traditional Arabic" w:cs="Traditional Arabic"/>
          <w:b/>
          <w:bCs/>
          <w:sz w:val="28"/>
          <w:szCs w:val="28"/>
          <w:rtl/>
          <w:lang w:bidi="ar-EG"/>
        </w:rPr>
      </w:pPr>
      <w:r w:rsidRPr="007C544A">
        <w:rPr>
          <w:rFonts w:ascii="Traditional Arabic" w:hAnsi="Traditional Arabic" w:cs="Traditional Arabic" w:hint="cs"/>
          <w:b/>
          <w:bCs/>
          <w:sz w:val="28"/>
          <w:szCs w:val="28"/>
          <w:rtl/>
          <w:lang w:bidi="ar-EG"/>
        </w:rPr>
        <w:t>ث</w:t>
      </w:r>
      <w:r w:rsidR="00AE37A6" w:rsidRPr="007C544A">
        <w:rPr>
          <w:rFonts w:ascii="Traditional Arabic" w:hAnsi="Traditional Arabic" w:cs="Traditional Arabic"/>
          <w:b/>
          <w:bCs/>
          <w:sz w:val="28"/>
          <w:szCs w:val="28"/>
          <w:rtl/>
          <w:lang w:bidi="ar-EG"/>
        </w:rPr>
        <w:t xml:space="preserve">الثاً- </w:t>
      </w:r>
      <w:r w:rsidR="00E5243B" w:rsidRPr="007C544A">
        <w:rPr>
          <w:rFonts w:ascii="Traditional Arabic" w:hAnsi="Traditional Arabic" w:cs="Traditional Arabic"/>
          <w:b/>
          <w:bCs/>
          <w:sz w:val="28"/>
          <w:szCs w:val="28"/>
          <w:rtl/>
          <w:lang w:bidi="ar-EG"/>
        </w:rPr>
        <w:t>الدراسة الاستطلاعية</w:t>
      </w:r>
      <w:r w:rsidR="00775B4E" w:rsidRPr="007C544A">
        <w:rPr>
          <w:rFonts w:ascii="Traditional Arabic" w:hAnsi="Traditional Arabic" w:cs="Traditional Arabic"/>
          <w:b/>
          <w:bCs/>
          <w:sz w:val="28"/>
          <w:szCs w:val="28"/>
          <w:rtl/>
          <w:lang w:bidi="ar-EG"/>
        </w:rPr>
        <w:t xml:space="preserve">: </w:t>
      </w:r>
    </w:p>
    <w:p w:rsidR="00673C6C" w:rsidRPr="007C544A" w:rsidRDefault="006B7C3B" w:rsidP="00706522">
      <w:pPr>
        <w:shd w:val="clear" w:color="auto" w:fill="FFFFFF" w:themeFill="background1"/>
        <w:tabs>
          <w:tab w:val="left" w:pos="1074"/>
        </w:tabs>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rPr>
        <w:t>من خلال المقابلات المتعمقة التي تمت في الدراسة الاستطلاعية لعدد</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5)</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من </w:t>
      </w:r>
      <w:r w:rsidR="00756E3F" w:rsidRPr="007C544A">
        <w:rPr>
          <w:rFonts w:ascii="Traditional Arabic" w:hAnsi="Traditional Arabic" w:cs="Traditional Arabic"/>
          <w:sz w:val="24"/>
          <w:szCs w:val="24"/>
          <w:rtl/>
        </w:rPr>
        <w:t>أصحاب</w:t>
      </w:r>
      <w:r w:rsidRPr="007C544A">
        <w:rPr>
          <w:rFonts w:ascii="Traditional Arabic" w:hAnsi="Traditional Arabic" w:cs="Traditional Arabic"/>
          <w:sz w:val="24"/>
          <w:szCs w:val="24"/>
          <w:rtl/>
        </w:rPr>
        <w:t xml:space="preserve"> الشركات العائلية عن سبب اتجاه الشركات العائلية ودخولها</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سوق-نمو السوق الموازية خلال العام 2024 ومعرفة المشاكل التي تواجه الشركات في الانتقال من جيل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جيل</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والتي تؤثر على أدائها والدور الإيجابي لدخولها سوق–نمو السوق الموازية من الانهيار واستمراريتها في دخلوها سوق نمو السوق الموازية</w:t>
      </w:r>
      <w:r w:rsidR="000544F4" w:rsidRPr="007C544A">
        <w:rPr>
          <w:rFonts w:ascii="Traditional Arabic" w:hAnsi="Traditional Arabic" w:cs="Traditional Arabic"/>
          <w:sz w:val="24"/>
          <w:szCs w:val="24"/>
          <w:rtl/>
        </w:rPr>
        <w:t>،</w:t>
      </w:r>
      <w:r w:rsidR="005C3D3D" w:rsidRPr="007C544A">
        <w:rPr>
          <w:rFonts w:ascii="Traditional Arabic" w:hAnsi="Traditional Arabic" w:cs="Traditional Arabic"/>
          <w:sz w:val="24"/>
          <w:szCs w:val="24"/>
          <w:rtl/>
        </w:rPr>
        <w:t xml:space="preserve"> </w:t>
      </w:r>
      <w:r w:rsidR="00674B70" w:rsidRPr="007C544A">
        <w:rPr>
          <w:rFonts w:ascii="Traditional Arabic" w:hAnsi="Traditional Arabic" w:cs="Traditional Arabic"/>
          <w:sz w:val="24"/>
          <w:szCs w:val="24"/>
          <w:rtl/>
          <w:lang w:bidi="ar-EG"/>
        </w:rPr>
        <w:t>و</w:t>
      </w:r>
      <w:r w:rsidR="00334A7E" w:rsidRPr="007C544A">
        <w:rPr>
          <w:rFonts w:ascii="Traditional Arabic" w:hAnsi="Traditional Arabic" w:cs="Traditional Arabic"/>
          <w:sz w:val="24"/>
          <w:szCs w:val="24"/>
          <w:rtl/>
          <w:lang w:bidi="ar-EG"/>
        </w:rPr>
        <w:t>كانت النتيجة كالآتي</w:t>
      </w:r>
      <w:r w:rsidR="00775B4E" w:rsidRPr="007C544A">
        <w:rPr>
          <w:rFonts w:ascii="Traditional Arabic" w:hAnsi="Traditional Arabic" w:cs="Traditional Arabic"/>
          <w:sz w:val="24"/>
          <w:szCs w:val="24"/>
          <w:rtl/>
          <w:lang w:bidi="ar-EG"/>
        </w:rPr>
        <w:t xml:space="preserve">: </w:t>
      </w:r>
    </w:p>
    <w:p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قلة الانضباط الإداري للشركات</w:t>
      </w:r>
      <w:r w:rsidRPr="007C544A">
        <w:rPr>
          <w:rFonts w:ascii="Traditional Arabic" w:hAnsi="Traditional Arabic" w:cs="Traditional Arabic"/>
          <w:sz w:val="24"/>
          <w:szCs w:val="24"/>
        </w:rPr>
        <w:t>.</w:t>
      </w:r>
    </w:p>
    <w:p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ضعف أداء الشركات ومواجهة عثرات مالية وفنية دون وجود خطط لحل تلك </w:t>
      </w:r>
      <w:r w:rsidR="000544F4" w:rsidRPr="007C544A">
        <w:rPr>
          <w:rFonts w:ascii="Traditional Arabic" w:hAnsi="Traditional Arabic" w:cs="Traditional Arabic"/>
          <w:sz w:val="24"/>
          <w:szCs w:val="24"/>
          <w:rtl/>
        </w:rPr>
        <w:t>الأزمات</w:t>
      </w:r>
      <w:r w:rsidRPr="007C544A">
        <w:rPr>
          <w:rFonts w:ascii="Traditional Arabic" w:hAnsi="Traditional Arabic" w:cs="Traditional Arabic"/>
          <w:sz w:val="24"/>
          <w:szCs w:val="24"/>
          <w:rtl/>
        </w:rPr>
        <w:t xml:space="preserve">. </w:t>
      </w:r>
    </w:p>
    <w:p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عدم وجود </w:t>
      </w:r>
      <w:r w:rsidR="000544F4" w:rsidRPr="007C544A">
        <w:rPr>
          <w:rFonts w:ascii="Traditional Arabic" w:hAnsi="Traditional Arabic" w:cs="Traditional Arabic"/>
          <w:sz w:val="24"/>
          <w:szCs w:val="24"/>
          <w:rtl/>
        </w:rPr>
        <w:t>آ</w:t>
      </w:r>
      <w:r w:rsidRPr="007C544A">
        <w:rPr>
          <w:rFonts w:ascii="Traditional Arabic" w:hAnsi="Traditional Arabic" w:cs="Traditional Arabic"/>
          <w:sz w:val="24"/>
          <w:szCs w:val="24"/>
          <w:rtl/>
        </w:rPr>
        <w:t xml:space="preserve">ليات لحل المنازعات. </w:t>
      </w:r>
    </w:p>
    <w:p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استخدام الأصول المملوكة للشركة في الأغراض الشخصية.</w:t>
      </w:r>
    </w:p>
    <w:p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التنافس العائلي بين أفراد</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العائلة للوصول</w:t>
      </w:r>
      <w:r w:rsidR="000544F4" w:rsidRPr="007C544A">
        <w:rPr>
          <w:rFonts w:ascii="Traditional Arabic" w:hAnsi="Traditional Arabic" w:cs="Traditional Arabic"/>
          <w:sz w:val="24"/>
          <w:szCs w:val="24"/>
          <w:rtl/>
        </w:rPr>
        <w:t xml:space="preserve"> إلى </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الشركة بحجة </w:t>
      </w:r>
      <w:r w:rsidR="000544F4" w:rsidRPr="007C544A">
        <w:rPr>
          <w:rFonts w:ascii="Traditional Arabic" w:hAnsi="Traditional Arabic" w:cs="Traditional Arabic"/>
          <w:sz w:val="24"/>
          <w:szCs w:val="24"/>
          <w:rtl/>
        </w:rPr>
        <w:t>إدخال</w:t>
      </w:r>
      <w:r w:rsidRPr="007C544A">
        <w:rPr>
          <w:rFonts w:ascii="Traditional Arabic" w:hAnsi="Traditional Arabic" w:cs="Traditional Arabic"/>
          <w:sz w:val="24"/>
          <w:szCs w:val="24"/>
          <w:rtl/>
        </w:rPr>
        <w:t xml:space="preserve"> أفكار جديدة وطرق حديثة لإدارتها </w:t>
      </w:r>
    </w:p>
    <w:p w:rsidR="005C3D3D" w:rsidRPr="007C544A" w:rsidRDefault="005C3D3D" w:rsidP="002D00D3">
      <w:pPr>
        <w:pStyle w:val="NormalWeb"/>
        <w:numPr>
          <w:ilvl w:val="0"/>
          <w:numId w:val="4"/>
        </w:numPr>
        <w:shd w:val="clear" w:color="auto" w:fill="FFFFFF" w:themeFill="background1"/>
        <w:bidi/>
        <w:spacing w:before="0" w:beforeAutospacing="0" w:after="0" w:afterAutospacing="0" w:line="360" w:lineRule="auto"/>
        <w:ind w:hanging="211"/>
        <w:jc w:val="both"/>
        <w:rPr>
          <w:rFonts w:ascii="Traditional Arabic" w:hAnsi="Traditional Arabic" w:cs="Traditional Arabic"/>
          <w:rtl/>
        </w:rPr>
      </w:pPr>
      <w:r w:rsidRPr="007C544A">
        <w:rPr>
          <w:rFonts w:ascii="Traditional Arabic" w:hAnsi="Traditional Arabic" w:cs="Traditional Arabic"/>
          <w:rtl/>
        </w:rPr>
        <w:t xml:space="preserve">سيطرة التعامل بالأسلوب </w:t>
      </w:r>
      <w:r w:rsidR="000544F4" w:rsidRPr="007C544A">
        <w:rPr>
          <w:rFonts w:ascii="Traditional Arabic" w:hAnsi="Traditional Arabic" w:cs="Traditional Arabic"/>
          <w:rtl/>
        </w:rPr>
        <w:t>الأبوي.</w:t>
      </w:r>
      <w:r w:rsidR="00D7278E" w:rsidRPr="007C544A">
        <w:rPr>
          <w:rFonts w:ascii="Traditional Arabic" w:hAnsi="Traditional Arabic" w:cs="Traditional Arabic"/>
          <w:rtl/>
        </w:rPr>
        <w:t xml:space="preserve"> </w:t>
      </w:r>
    </w:p>
    <w:p w:rsidR="005C3D3D" w:rsidRPr="007C544A" w:rsidRDefault="005C3D3D"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من خلال عرض الدراسة الاستطلاعية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يلاحظ أن المملكة العربية السعودية تحرص على استقرار هذه الشركات والمحافظة على نموها في المستقبل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لما لها من تأثير على السوق والمجتمع</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وعلى الرغم من نجاح الشركات العائلية بشكل عام في تحقيق العديد من الأهداف الاقتصادية للعائلة نفسها وللمجتمع المحلي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إلا أن عددًا قليلا من هذه الشركات يستمر حتى الجيل الثالث في الملكية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وهذه الشركات العائلية تواجه تحديات وعقبات كثيرة كغيرها من الشركات الأخرى</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وتبدأ المشكلات بالتعاظم والتفاقم عند عدم وجود حوكمة وشفافية واضحة تقر وتبين ما يختلف فيه من قرارات وتنظيمات. </w:t>
      </w:r>
    </w:p>
    <w:p w:rsidR="00922B00" w:rsidRPr="007C544A" w:rsidRDefault="005C3D3D" w:rsidP="00E14FC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كما تواج</w:t>
      </w:r>
      <w:r w:rsidR="000544F4" w:rsidRPr="007C544A">
        <w:rPr>
          <w:rFonts w:ascii="Traditional Arabic" w:hAnsi="Traditional Arabic" w:cs="Traditional Arabic"/>
          <w:rtl/>
        </w:rPr>
        <w:t>ه</w:t>
      </w:r>
      <w:r w:rsidRPr="007C544A">
        <w:rPr>
          <w:rFonts w:ascii="Traditional Arabic" w:hAnsi="Traditional Arabic" w:cs="Traditional Arabic"/>
          <w:rtl/>
        </w:rPr>
        <w:t xml:space="preserve"> الشركات العائلية كغيرها من الشركات مشكلة عدم استمرارية الشركة نتيجة لعوامل خارجية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والانهيارات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أو عوامل داخلية نتيجة سوء ال</w:t>
      </w:r>
      <w:r w:rsidR="00D6178F" w:rsidRPr="007C544A">
        <w:rPr>
          <w:rFonts w:ascii="Traditional Arabic" w:hAnsi="Traditional Arabic" w:cs="Traditional Arabic"/>
          <w:rtl/>
        </w:rPr>
        <w:t>إدارة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وضعف نظام الشركة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وخاصة عندما تنتقل الشركة من جيل المؤسسين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الجيل الثاني أو الثالث</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فتؤدي هذه العوامل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انهيار الشركة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ومن هنا لابد من معالجة هذه المشكلات من خلال دمج الشركات والمؤسسات العائلية في كيان سمي نمو السوق الموازية وهو سوق موازي يمتاز بمتطلبات </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أقل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يعتبر منصة بديلة للشركات الراغبة بال</w:t>
      </w:r>
      <w:r w:rsidR="000544F4" w:rsidRPr="007C544A">
        <w:rPr>
          <w:rFonts w:ascii="Traditional Arabic" w:hAnsi="Traditional Arabic" w:cs="Traditional Arabic"/>
          <w:rtl/>
        </w:rPr>
        <w:t>إدراج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علما بأن الاستثمار في هذا السوق مخصص للمستثمرين المؤهلين فقط</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يعد نمو – السوق الموازية- زيادة تنوع الأدوات الاستثمارية المتاحة</w:t>
      </w:r>
      <w:r w:rsidR="00C862E1" w:rsidRPr="007C544A">
        <w:rPr>
          <w:rFonts w:ascii="Traditional Arabic" w:hAnsi="Traditional Arabic" w:cs="Traditional Arabic"/>
          <w:rtl/>
        </w:rPr>
        <w:t xml:space="preserve"> و</w:t>
      </w:r>
      <w:r w:rsidRPr="007C544A">
        <w:rPr>
          <w:rFonts w:ascii="Traditional Arabic" w:hAnsi="Traditional Arabic" w:cs="Traditional Arabic"/>
          <w:rtl/>
        </w:rPr>
        <w:t>تعميق السوق المالية السعودية التي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تمكن الشركة العائلية من الاستمرار في ظل الظروف والتغيرات التي تطرأ على الش</w:t>
      </w:r>
      <w:r w:rsidR="00E14FC2" w:rsidRPr="007C544A">
        <w:rPr>
          <w:rFonts w:ascii="Traditional Arabic" w:hAnsi="Traditional Arabic" w:cs="Traditional Arabic"/>
          <w:rtl/>
        </w:rPr>
        <w:t>ركة على المستوى المحلي والدولي.</w:t>
      </w:r>
    </w:p>
    <w:p w:rsidR="00A70C3E"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رابعاً- </w:t>
      </w:r>
      <w:r w:rsidR="00E5243B" w:rsidRPr="007C544A">
        <w:rPr>
          <w:rFonts w:ascii="Traditional Arabic" w:hAnsi="Traditional Arabic" w:cs="Traditional Arabic"/>
          <w:b/>
          <w:bCs/>
          <w:sz w:val="28"/>
          <w:szCs w:val="28"/>
          <w:rtl/>
          <w:lang w:bidi="ar-EG"/>
        </w:rPr>
        <w:t>مشكلة الدراسة</w:t>
      </w:r>
      <w:r w:rsidR="00775B4E" w:rsidRPr="007C544A">
        <w:rPr>
          <w:rFonts w:ascii="Traditional Arabic" w:hAnsi="Traditional Arabic" w:cs="Traditional Arabic"/>
          <w:b/>
          <w:bCs/>
          <w:sz w:val="28"/>
          <w:szCs w:val="28"/>
          <w:rtl/>
          <w:lang w:bidi="ar-EG"/>
        </w:rPr>
        <w:t xml:space="preserve">: </w:t>
      </w:r>
    </w:p>
    <w:p w:rsidR="005A732E" w:rsidRPr="007C544A" w:rsidRDefault="005A732E"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تتمحور مشكلة الدراسة حول عدم وضوح دور استراتيجية دمج الشركات في تعزيز القدرة التنافسية واستدامة الشركات العائلية السعودية عند دخول سوق النمو – السوق الموازية لسوق المال السعودي. فبينما تسعى هذه الشركات للتوسع وتحقيق وفورات الحجم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تظل هناك فجوة معرفية حول مدى فعالية الاستراتيجيات المتبعة في دمج الشركات وتأثيرها على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 والإداري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واختيار الشركاء المناسبين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والتكيف مع البيئة القانونية والتنظيمية للسوق الموازية. وبناءً على ذلك</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تبرز الحاجة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دراسة معمقة لتحديد دور استراتيجية الدمج في نجاح الشركات العائلية وضمان استمراريتها وتحقيق أهدافها التوسعية</w:t>
      </w:r>
      <w:r w:rsidRPr="007C544A">
        <w:rPr>
          <w:rFonts w:ascii="Traditional Arabic" w:hAnsi="Traditional Arabic" w:cs="Traditional Arabic"/>
        </w:rPr>
        <w:t>.</w:t>
      </w:r>
    </w:p>
    <w:p w:rsidR="005A732E" w:rsidRPr="007C544A" w:rsidRDefault="005A732E"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أظهرت الدراسات السابقة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استراتيجيات الدمج في تعزيز قدرة الشركات على التوسع وتحقيق الاستدامة. فدراسة السليمان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 بينت أن الدمج يُعد وسيلة فعالة لخفض التكاليف وتحقيق وفورات الحجم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بينما دراسة</w:t>
      </w:r>
      <w:r w:rsidRPr="007C544A">
        <w:rPr>
          <w:rFonts w:ascii="Traditional Arabic" w:hAnsi="Traditional Arabic" w:cs="Traditional Arabic"/>
        </w:rPr>
        <w:t xml:space="preserve"> Maija Worek</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2017) </w:t>
      </w:r>
      <w:r w:rsidRPr="007C544A">
        <w:rPr>
          <w:rFonts w:ascii="Traditional Arabic" w:hAnsi="Traditional Arabic" w:cs="Traditional Arabic"/>
          <w:rtl/>
        </w:rPr>
        <w:t xml:space="preserve">أكدت أن خصائص الحوكمة العائلية تؤثر على توجهات الشركات نحو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والاستحواذ ونجاحها. كما أشارت دراسة المقدم والعزمي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2024)</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أثر تطبيق مبادئ الحوكمة على أداء الشركات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يعزز قدرتها على الاستمرار بعد عمليات الدمج. هذه الدراسات تؤكد أن هناك حاجة لفهم دور استراتيجية الدمج بشكل محدد في الشركات العائلية السعودية عند دخول 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تسعى إليه هذه الدراسة</w:t>
      </w:r>
      <w:r w:rsidRPr="007C544A">
        <w:rPr>
          <w:rFonts w:ascii="Traditional Arabic" w:hAnsi="Traditional Arabic" w:cs="Traditional Arabic"/>
        </w:rPr>
        <w:t>.</w:t>
      </w:r>
    </w:p>
    <w:p w:rsidR="007E69F6" w:rsidRPr="007C544A" w:rsidRDefault="00462ECC" w:rsidP="00706522">
      <w:pPr>
        <w:pStyle w:val="BodyTextIndent"/>
        <w:shd w:val="clear" w:color="auto" w:fill="FFFFFF" w:themeFill="background1"/>
        <w:tabs>
          <w:tab w:val="left" w:pos="2980"/>
        </w:tabs>
        <w:spacing w:before="0" w:after="0" w:line="360" w:lineRule="auto"/>
        <w:rPr>
          <w:rFonts w:ascii="Traditional Arabic" w:hAnsi="Traditional Arabic" w:cs="Traditional Arabic"/>
          <w:sz w:val="24"/>
          <w:szCs w:val="24"/>
          <w:rtl/>
        </w:rPr>
      </w:pPr>
      <w:r w:rsidRPr="007C544A">
        <w:rPr>
          <w:rFonts w:ascii="Traditional Arabic" w:hAnsi="Traditional Arabic" w:cs="Traditional Arabic"/>
          <w:sz w:val="24"/>
          <w:szCs w:val="24"/>
          <w:rtl/>
        </w:rPr>
        <w:t>عليه يطرح ا</w:t>
      </w:r>
      <w:r w:rsidR="00C34053" w:rsidRPr="007C544A">
        <w:rPr>
          <w:rFonts w:ascii="Traditional Arabic" w:hAnsi="Traditional Arabic" w:cs="Traditional Arabic"/>
          <w:sz w:val="24"/>
          <w:szCs w:val="24"/>
          <w:rtl/>
        </w:rPr>
        <w:t>لبحث السؤال الرئيس الآتي</w:t>
      </w:r>
      <w:r w:rsidR="00775B4E" w:rsidRPr="007C544A">
        <w:rPr>
          <w:rFonts w:ascii="Traditional Arabic" w:hAnsi="Traditional Arabic" w:cs="Traditional Arabic"/>
          <w:sz w:val="24"/>
          <w:szCs w:val="24"/>
          <w:rtl/>
        </w:rPr>
        <w:t xml:space="preserve">: </w:t>
      </w:r>
    </w:p>
    <w:p w:rsidR="00101D27" w:rsidRPr="007C544A" w:rsidRDefault="00101D27" w:rsidP="00706522">
      <w:pPr>
        <w:pStyle w:val="ListParagraph"/>
        <w:numPr>
          <w:ilvl w:val="0"/>
          <w:numId w:val="1"/>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ما مدى فاعلية استراتيجية دمج الشركات التي تمكّن الشركات من دخول سوق النمو– السوق الموازية لسوق المال السعودي؟ </w:t>
      </w:r>
    </w:p>
    <w:p w:rsidR="00462ECC" w:rsidRPr="007C544A" w:rsidRDefault="00C34053" w:rsidP="00706522">
      <w:pPr>
        <w:pStyle w:val="BodyTextIndent"/>
        <w:shd w:val="clear" w:color="auto" w:fill="FFFFFF" w:themeFill="background1"/>
        <w:tabs>
          <w:tab w:val="left" w:pos="2980"/>
        </w:tabs>
        <w:spacing w:before="0" w:after="0" w:line="360" w:lineRule="auto"/>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lastRenderedPageBreak/>
        <w:t>وتتفرع ع</w:t>
      </w:r>
      <w:r w:rsidR="00462ECC" w:rsidRPr="007C544A">
        <w:rPr>
          <w:rFonts w:ascii="Traditional Arabic" w:hAnsi="Traditional Arabic" w:cs="Traditional Arabic"/>
          <w:b/>
          <w:bCs/>
          <w:sz w:val="24"/>
          <w:szCs w:val="24"/>
          <w:rtl/>
        </w:rPr>
        <w:t>نه ال</w:t>
      </w:r>
      <w:r w:rsidR="00940A90" w:rsidRPr="007C544A">
        <w:rPr>
          <w:rFonts w:ascii="Traditional Arabic" w:hAnsi="Traditional Arabic" w:cs="Traditional Arabic"/>
          <w:b/>
          <w:bCs/>
          <w:sz w:val="24"/>
          <w:szCs w:val="24"/>
          <w:rtl/>
        </w:rPr>
        <w:t>أسئلة</w:t>
      </w:r>
      <w:r w:rsidRPr="007C544A">
        <w:rPr>
          <w:rFonts w:ascii="Traditional Arabic" w:hAnsi="Traditional Arabic" w:cs="Traditional Arabic"/>
          <w:b/>
          <w:bCs/>
          <w:sz w:val="24"/>
          <w:szCs w:val="24"/>
          <w:rtl/>
        </w:rPr>
        <w:t xml:space="preserve"> الآتي</w:t>
      </w:r>
      <w:r w:rsidR="00462ECC" w:rsidRPr="007C544A">
        <w:rPr>
          <w:rFonts w:ascii="Traditional Arabic" w:hAnsi="Traditional Arabic" w:cs="Traditional Arabic"/>
          <w:b/>
          <w:bCs/>
          <w:sz w:val="24"/>
          <w:szCs w:val="24"/>
          <w:rtl/>
        </w:rPr>
        <w:t>ة</w:t>
      </w:r>
      <w:r w:rsidR="00775B4E" w:rsidRPr="007C544A">
        <w:rPr>
          <w:rFonts w:ascii="Traditional Arabic" w:hAnsi="Traditional Arabic" w:cs="Traditional Arabic"/>
          <w:b/>
          <w:bCs/>
          <w:sz w:val="24"/>
          <w:szCs w:val="24"/>
          <w:rtl/>
        </w:rPr>
        <w:t xml:space="preserve">: </w:t>
      </w:r>
    </w:p>
    <w:p w:rsidR="00250E4C" w:rsidRPr="007C544A" w:rsidRDefault="00250E4C" w:rsidP="002D00D3">
      <w:pPr>
        <w:pStyle w:val="ListParagraph"/>
        <w:numPr>
          <w:ilvl w:val="0"/>
          <w:numId w:val="5"/>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هل يوجد تأثير لاستراتيجية دمج الشركات على تحسين المؤشرات المالية</w:t>
      </w:r>
      <w:r w:rsidR="00D7278E" w:rsidRPr="007C544A">
        <w:rPr>
          <w:rFonts w:ascii="Traditional Arabic" w:hAnsi="Traditional Arabic" w:cs="Traditional Arabic"/>
          <w:sz w:val="24"/>
          <w:szCs w:val="24"/>
          <w:rtl/>
        </w:rPr>
        <w:t xml:space="preserve"> (</w:t>
      </w:r>
      <w:r w:rsidR="000544F4" w:rsidRPr="007C544A">
        <w:rPr>
          <w:rFonts w:ascii="Traditional Arabic" w:hAnsi="Traditional Arabic" w:cs="Traditional Arabic"/>
          <w:sz w:val="24"/>
          <w:szCs w:val="24"/>
          <w:rtl/>
        </w:rPr>
        <w:t>الإيرادات</w:t>
      </w:r>
      <w:r w:rsidRPr="007C544A">
        <w:rPr>
          <w:rFonts w:ascii="Traditional Arabic" w:hAnsi="Traditional Arabic" w:cs="Traditional Arabic"/>
          <w:sz w:val="24"/>
          <w:szCs w:val="24"/>
          <w:rtl/>
        </w:rPr>
        <w:t xml:space="preserve">- </w:t>
      </w:r>
      <w:r w:rsidR="000544F4" w:rsidRPr="007C544A">
        <w:rPr>
          <w:rFonts w:ascii="Traditional Arabic" w:hAnsi="Traditional Arabic" w:cs="Traditional Arabic"/>
          <w:sz w:val="24"/>
          <w:szCs w:val="24"/>
          <w:rtl/>
        </w:rPr>
        <w:t>الأرباح</w:t>
      </w:r>
      <w:r w:rsidRPr="007C544A">
        <w:rPr>
          <w:rFonts w:ascii="Traditional Arabic" w:hAnsi="Traditional Arabic" w:cs="Traditional Arabic"/>
          <w:sz w:val="24"/>
          <w:szCs w:val="24"/>
          <w:rtl/>
        </w:rPr>
        <w:t xml:space="preserve">) اللازمة </w:t>
      </w:r>
      <w:r w:rsidR="000544F4" w:rsidRPr="007C544A">
        <w:rPr>
          <w:rFonts w:ascii="Traditional Arabic" w:hAnsi="Traditional Arabic" w:cs="Traditional Arabic"/>
          <w:sz w:val="24"/>
          <w:szCs w:val="24"/>
          <w:rtl/>
        </w:rPr>
        <w:t>للإدراج في السوق الموازية.</w:t>
      </w:r>
    </w:p>
    <w:p w:rsidR="00250E4C" w:rsidRPr="007C544A" w:rsidRDefault="00250E4C" w:rsidP="002D00D3">
      <w:pPr>
        <w:pStyle w:val="ListParagraph"/>
        <w:numPr>
          <w:ilvl w:val="0"/>
          <w:numId w:val="5"/>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هل يوجد تأثير لاستراتيجية دمج شركات م</w:t>
      </w:r>
      <w:r w:rsidR="000544F4" w:rsidRPr="007C544A">
        <w:rPr>
          <w:rFonts w:ascii="Traditional Arabic" w:hAnsi="Traditional Arabic" w:cs="Traditional Arabic"/>
          <w:sz w:val="24"/>
          <w:szCs w:val="24"/>
          <w:rtl/>
        </w:rPr>
        <w:t>ع متطلبات الحوكمة في سوق النمو؟</w:t>
      </w:r>
    </w:p>
    <w:p w:rsidR="00250E4C" w:rsidRPr="007C544A" w:rsidRDefault="00250E4C" w:rsidP="002D00D3">
      <w:pPr>
        <w:pStyle w:val="ListParagraph"/>
        <w:numPr>
          <w:ilvl w:val="0"/>
          <w:numId w:val="5"/>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هل تؤدي استراتيجية دمج الشركات في تعزيز القدرة التنافسية </w:t>
      </w:r>
      <w:r w:rsidR="000544F4" w:rsidRPr="007C544A">
        <w:rPr>
          <w:rFonts w:ascii="Traditional Arabic" w:hAnsi="Traditional Arabic" w:cs="Traditional Arabic"/>
          <w:sz w:val="24"/>
          <w:szCs w:val="24"/>
          <w:rtl/>
        </w:rPr>
        <w:t>لدخولها السوق المالية السعودية؟</w:t>
      </w:r>
      <w:r w:rsidRPr="007C544A">
        <w:rPr>
          <w:rFonts w:ascii="Traditional Arabic" w:hAnsi="Traditional Arabic" w:cs="Traditional Arabic"/>
          <w:sz w:val="24"/>
          <w:szCs w:val="24"/>
          <w:rtl/>
        </w:rPr>
        <w:t xml:space="preserve"> </w:t>
      </w:r>
    </w:p>
    <w:p w:rsidR="00250E4C" w:rsidRPr="007C544A" w:rsidRDefault="00250E4C" w:rsidP="002D00D3">
      <w:pPr>
        <w:pStyle w:val="ListParagraph"/>
        <w:numPr>
          <w:ilvl w:val="0"/>
          <w:numId w:val="5"/>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هل تؤثر استراتيجية الدمج على فرص الشركات في الحصول على تمويل بعد ال</w:t>
      </w:r>
      <w:r w:rsidR="000544F4" w:rsidRPr="007C544A">
        <w:rPr>
          <w:rFonts w:ascii="Traditional Arabic" w:hAnsi="Traditional Arabic" w:cs="Traditional Arabic"/>
          <w:sz w:val="24"/>
          <w:szCs w:val="24"/>
          <w:rtl/>
        </w:rPr>
        <w:t xml:space="preserve">إدراج في السوق الموازية؟ </w:t>
      </w:r>
    </w:p>
    <w:p w:rsidR="00E721E0" w:rsidRPr="007C544A" w:rsidRDefault="00E721E0" w:rsidP="002D00D3">
      <w:pPr>
        <w:pStyle w:val="ListParagraph"/>
        <w:numPr>
          <w:ilvl w:val="0"/>
          <w:numId w:val="5"/>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هل توجد فروق ذات دلالة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 في تقييم أثر استراتيجية دمج الشركات على دخول السوق الموازية تُعزى</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المتغيرات الديموغرافية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الجنس</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السن</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المؤهل التعليمي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المستوى الوظيفي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سنوات الخبرة)</w:t>
      </w:r>
      <w:r w:rsidR="000544F4" w:rsidRPr="007C544A">
        <w:rPr>
          <w:rFonts w:ascii="Traditional Arabic" w:hAnsi="Traditional Arabic" w:cs="Traditional Arabic"/>
          <w:sz w:val="24"/>
          <w:szCs w:val="24"/>
          <w:rtl/>
        </w:rPr>
        <w:t>؟</w:t>
      </w:r>
    </w:p>
    <w:p w:rsidR="00A70C3E"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خامساً- </w:t>
      </w:r>
      <w:r w:rsidR="00977C76" w:rsidRPr="007C544A">
        <w:rPr>
          <w:rFonts w:ascii="Traditional Arabic" w:hAnsi="Traditional Arabic" w:cs="Traditional Arabic"/>
          <w:b/>
          <w:bCs/>
          <w:sz w:val="28"/>
          <w:szCs w:val="28"/>
          <w:rtl/>
          <w:lang w:bidi="ar-EG"/>
        </w:rPr>
        <w:t>أهداف</w:t>
      </w:r>
      <w:r w:rsidR="00362767" w:rsidRPr="007C544A">
        <w:rPr>
          <w:rFonts w:ascii="Traditional Arabic" w:hAnsi="Traditional Arabic" w:cs="Traditional Arabic"/>
          <w:b/>
          <w:bCs/>
          <w:sz w:val="28"/>
          <w:szCs w:val="28"/>
          <w:rtl/>
          <w:lang w:bidi="ar-EG"/>
        </w:rPr>
        <w:t xml:space="preserve"> </w:t>
      </w:r>
      <w:r w:rsidR="00E5243B" w:rsidRPr="007C544A">
        <w:rPr>
          <w:rFonts w:ascii="Traditional Arabic" w:hAnsi="Traditional Arabic" w:cs="Traditional Arabic"/>
          <w:b/>
          <w:bCs/>
          <w:sz w:val="28"/>
          <w:szCs w:val="28"/>
          <w:rtl/>
          <w:lang w:bidi="ar-EG"/>
        </w:rPr>
        <w:t>الدراسة</w:t>
      </w:r>
      <w:r w:rsidR="00775B4E" w:rsidRPr="007C544A">
        <w:rPr>
          <w:rFonts w:ascii="Traditional Arabic" w:hAnsi="Traditional Arabic" w:cs="Traditional Arabic"/>
          <w:b/>
          <w:bCs/>
          <w:sz w:val="28"/>
          <w:szCs w:val="28"/>
          <w:rtl/>
          <w:lang w:bidi="ar-EG"/>
        </w:rPr>
        <w:t xml:space="preserve">: </w:t>
      </w:r>
    </w:p>
    <w:p w:rsidR="00250E4C" w:rsidRPr="007C544A" w:rsidRDefault="00250E4C" w:rsidP="00706522">
      <w:pPr>
        <w:shd w:val="clear" w:color="auto" w:fill="FFFFFF" w:themeFill="background1"/>
        <w:bidi/>
        <w:spacing w:after="0" w:line="360" w:lineRule="auto"/>
        <w:ind w:firstLine="720"/>
        <w:jc w:val="both"/>
        <w:rPr>
          <w:rFonts w:ascii="Traditional Arabic" w:eastAsia="Times New Roman" w:hAnsi="Traditional Arabic" w:cs="Traditional Arabic"/>
          <w:b/>
          <w:bCs/>
          <w:sz w:val="24"/>
          <w:szCs w:val="24"/>
          <w:rtl/>
        </w:rPr>
      </w:pPr>
      <w:r w:rsidRPr="007C544A">
        <w:rPr>
          <w:rFonts w:ascii="Traditional Arabic" w:eastAsia="Times New Roman" w:hAnsi="Traditional Arabic" w:cs="Traditional Arabic"/>
          <w:b/>
          <w:bCs/>
          <w:sz w:val="24"/>
          <w:szCs w:val="24"/>
          <w:rtl/>
        </w:rPr>
        <w:t>هدفت هذه الدراسة</w:t>
      </w:r>
      <w:r w:rsidR="000544F4" w:rsidRPr="007C544A">
        <w:rPr>
          <w:rFonts w:ascii="Traditional Arabic" w:eastAsia="Times New Roman" w:hAnsi="Traditional Arabic" w:cs="Traditional Arabic"/>
          <w:b/>
          <w:bCs/>
          <w:sz w:val="24"/>
          <w:szCs w:val="24"/>
          <w:rtl/>
        </w:rPr>
        <w:t xml:space="preserve"> إلى </w:t>
      </w:r>
      <w:r w:rsidRPr="007C544A">
        <w:rPr>
          <w:rFonts w:ascii="Traditional Arabic" w:eastAsia="Times New Roman" w:hAnsi="Traditional Arabic" w:cs="Traditional Arabic"/>
          <w:b/>
          <w:bCs/>
          <w:sz w:val="24"/>
          <w:szCs w:val="24"/>
          <w:rtl/>
        </w:rPr>
        <w:t>تحديد مدى فاعلية استراتيجية دمج الشركات لتمكينها من دخول سوق النمو</w:t>
      </w:r>
      <w:r w:rsidR="00775B4E" w:rsidRPr="007C544A">
        <w:rPr>
          <w:rFonts w:ascii="Traditional Arabic" w:eastAsia="Times New Roman" w:hAnsi="Traditional Arabic" w:cs="Traditional Arabic"/>
          <w:b/>
          <w:bCs/>
          <w:sz w:val="24"/>
          <w:szCs w:val="24"/>
          <w:rtl/>
        </w:rPr>
        <w:t xml:space="preserve"> </w:t>
      </w:r>
      <w:r w:rsidRPr="007C544A">
        <w:rPr>
          <w:rFonts w:ascii="Traditional Arabic" w:eastAsia="Times New Roman" w:hAnsi="Traditional Arabic" w:cs="Traditional Arabic"/>
          <w:b/>
          <w:bCs/>
          <w:sz w:val="24"/>
          <w:szCs w:val="24"/>
          <w:rtl/>
        </w:rPr>
        <w:t xml:space="preserve">السوق الموازية لسوق المال السعودي. </w:t>
      </w:r>
    </w:p>
    <w:p w:rsidR="00250E4C" w:rsidRPr="007C544A" w:rsidRDefault="00250E4C" w:rsidP="00706522">
      <w:pPr>
        <w:shd w:val="clear" w:color="auto" w:fill="FFFFFF" w:themeFill="background1"/>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 والذي يتفرع منه الأهداف الفرعية التالية</w:t>
      </w:r>
      <w:r w:rsidR="00775B4E" w:rsidRPr="007C544A">
        <w:rPr>
          <w:rFonts w:ascii="Traditional Arabic" w:hAnsi="Traditional Arabic" w:cs="Traditional Arabic"/>
          <w:b/>
          <w:bCs/>
          <w:sz w:val="24"/>
          <w:szCs w:val="24"/>
          <w:rtl/>
        </w:rPr>
        <w:t xml:space="preserve">: </w:t>
      </w:r>
    </w:p>
    <w:p w:rsidR="00250E4C" w:rsidRPr="007C544A" w:rsidRDefault="00250E4C" w:rsidP="002D00D3">
      <w:pPr>
        <w:pStyle w:val="ListParagraph"/>
        <w:numPr>
          <w:ilvl w:val="0"/>
          <w:numId w:val="6"/>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تحليل أثر دمج الشركات على قدرة الشركات الصغيرة والمتوسطة على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 السوق الموازية في السوق المالية السعودية.</w:t>
      </w:r>
    </w:p>
    <w:p w:rsidR="00250E4C" w:rsidRPr="007C544A" w:rsidRDefault="00250E4C" w:rsidP="002D00D3">
      <w:pPr>
        <w:pStyle w:val="ListParagraph"/>
        <w:numPr>
          <w:ilvl w:val="0"/>
          <w:numId w:val="6"/>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تحديد مدى مساهمة استراتيجية الدمج في تحسين المؤشرات المالية والإدارية التي تؤهل الشركات للدخول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السوق.</w:t>
      </w:r>
    </w:p>
    <w:p w:rsidR="00250E4C" w:rsidRPr="007C544A" w:rsidRDefault="00250E4C" w:rsidP="002D00D3">
      <w:pPr>
        <w:pStyle w:val="ListParagraph"/>
        <w:numPr>
          <w:ilvl w:val="0"/>
          <w:numId w:val="6"/>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قياس تأثير الدمج على توافق الشركات مع متطلبات الحوكمة المحددة من قبل هيئة السوق المالية.</w:t>
      </w:r>
    </w:p>
    <w:p w:rsidR="00A70C3E"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سادساً- </w:t>
      </w:r>
      <w:r w:rsidR="003F6CDC" w:rsidRPr="007C544A">
        <w:rPr>
          <w:rFonts w:ascii="Traditional Arabic" w:hAnsi="Traditional Arabic" w:cs="Traditional Arabic"/>
          <w:b/>
          <w:bCs/>
          <w:sz w:val="28"/>
          <w:szCs w:val="28"/>
          <w:rtl/>
          <w:lang w:bidi="ar-EG"/>
        </w:rPr>
        <w:t>أهمية</w:t>
      </w:r>
      <w:r w:rsidR="00A70C3E" w:rsidRPr="007C544A">
        <w:rPr>
          <w:rFonts w:ascii="Traditional Arabic" w:hAnsi="Traditional Arabic" w:cs="Traditional Arabic"/>
          <w:b/>
          <w:bCs/>
          <w:sz w:val="28"/>
          <w:szCs w:val="28"/>
          <w:rtl/>
          <w:lang w:bidi="ar-EG"/>
        </w:rPr>
        <w:t xml:space="preserve"> الدراسة</w:t>
      </w:r>
      <w:r w:rsidR="00775B4E" w:rsidRPr="007C544A">
        <w:rPr>
          <w:rFonts w:ascii="Traditional Arabic" w:hAnsi="Traditional Arabic" w:cs="Traditional Arabic"/>
          <w:b/>
          <w:bCs/>
          <w:sz w:val="28"/>
          <w:szCs w:val="28"/>
          <w:rtl/>
          <w:lang w:bidi="ar-EG"/>
        </w:rPr>
        <w:t xml:space="preserve">: </w:t>
      </w:r>
    </w:p>
    <w:p w:rsidR="000963CA" w:rsidRPr="007C544A" w:rsidRDefault="00CE3709" w:rsidP="00085764">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تنقسم الدراسة</w:t>
      </w:r>
      <w:r w:rsidR="000544F4" w:rsidRPr="007C544A">
        <w:rPr>
          <w:rFonts w:ascii="Traditional Arabic" w:hAnsi="Traditional Arabic" w:cs="Traditional Arabic"/>
          <w:sz w:val="24"/>
          <w:szCs w:val="24"/>
          <w:rtl/>
        </w:rPr>
        <w:t xml:space="preserve"> إلى </w:t>
      </w:r>
      <w:r w:rsidR="003F6CDC" w:rsidRPr="007C544A">
        <w:rPr>
          <w:rFonts w:ascii="Traditional Arabic" w:hAnsi="Traditional Arabic" w:cs="Traditional Arabic"/>
          <w:sz w:val="24"/>
          <w:szCs w:val="24"/>
          <w:rtl/>
        </w:rPr>
        <w:t>أهمية</w:t>
      </w:r>
      <w:r w:rsidR="00811149" w:rsidRPr="007C544A">
        <w:rPr>
          <w:rFonts w:ascii="Traditional Arabic" w:hAnsi="Traditional Arabic" w:cs="Traditional Arabic"/>
          <w:sz w:val="24"/>
          <w:szCs w:val="24"/>
          <w:rtl/>
        </w:rPr>
        <w:t xml:space="preserve"> </w:t>
      </w:r>
      <w:r w:rsidR="002B6309" w:rsidRPr="007C544A">
        <w:rPr>
          <w:rFonts w:ascii="Traditional Arabic" w:hAnsi="Traditional Arabic" w:cs="Traditional Arabic"/>
          <w:sz w:val="24"/>
          <w:szCs w:val="24"/>
          <w:rtl/>
        </w:rPr>
        <w:t>علمية</w:t>
      </w:r>
      <w:r w:rsidR="00811149" w:rsidRPr="007C544A">
        <w:rPr>
          <w:rFonts w:ascii="Traditional Arabic" w:hAnsi="Traditional Arabic" w:cs="Traditional Arabic"/>
          <w:sz w:val="24"/>
          <w:szCs w:val="24"/>
          <w:rtl/>
        </w:rPr>
        <w:t xml:space="preserve"> و</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w:t>
      </w:r>
      <w:r w:rsidR="002B6309" w:rsidRPr="007C544A">
        <w:rPr>
          <w:rFonts w:ascii="Traditional Arabic" w:hAnsi="Traditional Arabic" w:cs="Traditional Arabic"/>
          <w:sz w:val="24"/>
          <w:szCs w:val="24"/>
          <w:rtl/>
        </w:rPr>
        <w:t>عملية</w:t>
      </w:r>
      <w:r w:rsidR="00D7278E" w:rsidRPr="007C544A">
        <w:rPr>
          <w:rFonts w:ascii="Traditional Arabic" w:hAnsi="Traditional Arabic" w:cs="Traditional Arabic"/>
          <w:sz w:val="24"/>
          <w:szCs w:val="24"/>
          <w:rtl/>
        </w:rPr>
        <w:t xml:space="preserve"> </w:t>
      </w:r>
      <w:r w:rsidR="00811149" w:rsidRPr="007C544A">
        <w:rPr>
          <w:rFonts w:ascii="Traditional Arabic" w:hAnsi="Traditional Arabic" w:cs="Traditional Arabic"/>
          <w:sz w:val="24"/>
          <w:szCs w:val="24"/>
          <w:rtl/>
        </w:rPr>
        <w:t>كما يأت</w:t>
      </w:r>
      <w:r w:rsidRPr="007C544A">
        <w:rPr>
          <w:rFonts w:ascii="Traditional Arabic" w:hAnsi="Traditional Arabic" w:cs="Traditional Arabic"/>
          <w:sz w:val="24"/>
          <w:szCs w:val="24"/>
          <w:rtl/>
        </w:rPr>
        <w:t>ي</w:t>
      </w:r>
      <w:r w:rsidR="00775B4E" w:rsidRPr="007C544A">
        <w:rPr>
          <w:rFonts w:ascii="Traditional Arabic" w:hAnsi="Traditional Arabic" w:cs="Traditional Arabic"/>
          <w:sz w:val="24"/>
          <w:szCs w:val="24"/>
          <w:rtl/>
        </w:rPr>
        <w:t xml:space="preserve">: </w:t>
      </w:r>
    </w:p>
    <w:p w:rsidR="00CE3709" w:rsidRPr="007C544A" w:rsidRDefault="00CE3709" w:rsidP="002D00D3">
      <w:pPr>
        <w:pStyle w:val="ListParagraph"/>
        <w:numPr>
          <w:ilvl w:val="0"/>
          <w:numId w:val="7"/>
        </w:numPr>
        <w:shd w:val="clear" w:color="auto" w:fill="FFFFFF" w:themeFill="background1"/>
        <w:bidi/>
        <w:spacing w:after="0" w:line="360" w:lineRule="auto"/>
        <w:ind w:left="714" w:hanging="204"/>
        <w:contextualSpacing w:val="0"/>
        <w:jc w:val="both"/>
        <w:rPr>
          <w:rFonts w:ascii="Traditional Arabic" w:hAnsi="Traditional Arabic" w:cs="Traditional Arabic"/>
          <w:b/>
          <w:bCs/>
          <w:sz w:val="24"/>
          <w:szCs w:val="24"/>
        </w:rPr>
      </w:pPr>
      <w:r w:rsidRPr="007C544A">
        <w:rPr>
          <w:rFonts w:ascii="Traditional Arabic" w:hAnsi="Traditional Arabic" w:cs="Traditional Arabic"/>
          <w:b/>
          <w:bCs/>
          <w:sz w:val="24"/>
          <w:szCs w:val="24"/>
          <w:rtl/>
        </w:rPr>
        <w:t>ال</w:t>
      </w:r>
      <w:r w:rsidR="003F6CDC" w:rsidRPr="007C544A">
        <w:rPr>
          <w:rFonts w:ascii="Traditional Arabic" w:hAnsi="Traditional Arabic" w:cs="Traditional Arabic"/>
          <w:b/>
          <w:bCs/>
          <w:sz w:val="24"/>
          <w:szCs w:val="24"/>
          <w:rtl/>
        </w:rPr>
        <w:t>أهمية</w:t>
      </w:r>
      <w:r w:rsidRPr="007C544A">
        <w:rPr>
          <w:rFonts w:ascii="Traditional Arabic" w:hAnsi="Traditional Arabic" w:cs="Traditional Arabic"/>
          <w:b/>
          <w:bCs/>
          <w:sz w:val="24"/>
          <w:szCs w:val="24"/>
          <w:rtl/>
        </w:rPr>
        <w:t xml:space="preserve"> </w:t>
      </w:r>
      <w:r w:rsidR="002B6309" w:rsidRPr="007C544A">
        <w:rPr>
          <w:rFonts w:ascii="Traditional Arabic" w:hAnsi="Traditional Arabic" w:cs="Traditional Arabic"/>
          <w:b/>
          <w:bCs/>
          <w:sz w:val="24"/>
          <w:szCs w:val="24"/>
          <w:rtl/>
        </w:rPr>
        <w:t>العلمية</w:t>
      </w:r>
      <w:r w:rsidR="00775B4E" w:rsidRPr="007C544A">
        <w:rPr>
          <w:rFonts w:ascii="Traditional Arabic" w:hAnsi="Traditional Arabic" w:cs="Traditional Arabic"/>
          <w:b/>
          <w:bCs/>
          <w:sz w:val="24"/>
          <w:szCs w:val="24"/>
          <w:rtl/>
        </w:rPr>
        <w:t xml:space="preserve">: </w:t>
      </w:r>
    </w:p>
    <w:p w:rsidR="00A300F4" w:rsidRPr="007C544A" w:rsidRDefault="00910DBD" w:rsidP="00706522">
      <w:pPr>
        <w:pStyle w:val="ListParagraph"/>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تتمثل الأهمية العلمية لهذه الدراسة في إثراء الأدبيات العربية المتعلقة بعمليات دمج الشركات في الشركات العائلية، ولا سيما في بيئة السوق الموازية بالمملكة العربية السعودية، من خلال تقديم إطار علمي يوضح العلاقة بين متغيرات الدراسة. كما تسهم في سد جانب من الفجوة البحثية في هذا المجال، وتوفير نتائج يمكن أن تشكل مرجعًا للباحثين، وتمهد لإجراء دراسات مستقبلية تتناول دمج الشركات العائلية في أسواق مالية وقطاعات اقتصادية مختلفة</w:t>
      </w:r>
      <w:r w:rsidRPr="007C544A">
        <w:rPr>
          <w:rFonts w:ascii="Traditional Arabic" w:eastAsia="Times New Roman" w:hAnsi="Traditional Arabic" w:cs="Traditional Arabic"/>
          <w:sz w:val="24"/>
          <w:szCs w:val="24"/>
        </w:rPr>
        <w:t>.</w:t>
      </w:r>
    </w:p>
    <w:p w:rsidR="00CE3709" w:rsidRPr="007C544A" w:rsidRDefault="00CE3709" w:rsidP="002D00D3">
      <w:pPr>
        <w:pStyle w:val="ListParagraph"/>
        <w:numPr>
          <w:ilvl w:val="0"/>
          <w:numId w:val="7"/>
        </w:numPr>
        <w:shd w:val="clear" w:color="auto" w:fill="FFFFFF" w:themeFill="background1"/>
        <w:bidi/>
        <w:spacing w:after="0" w:line="360" w:lineRule="auto"/>
        <w:ind w:left="714" w:hanging="204"/>
        <w:contextualSpacing w:val="0"/>
        <w:jc w:val="both"/>
        <w:rPr>
          <w:rFonts w:ascii="Traditional Arabic" w:hAnsi="Traditional Arabic" w:cs="Traditional Arabic"/>
          <w:b/>
          <w:bCs/>
          <w:sz w:val="24"/>
          <w:szCs w:val="24"/>
        </w:rPr>
      </w:pPr>
      <w:r w:rsidRPr="007C544A">
        <w:rPr>
          <w:rFonts w:ascii="Traditional Arabic" w:hAnsi="Traditional Arabic" w:cs="Traditional Arabic"/>
          <w:b/>
          <w:bCs/>
          <w:sz w:val="24"/>
          <w:szCs w:val="24"/>
          <w:rtl/>
        </w:rPr>
        <w:t>ال</w:t>
      </w:r>
      <w:r w:rsidR="003F6CDC" w:rsidRPr="007C544A">
        <w:rPr>
          <w:rFonts w:ascii="Traditional Arabic" w:hAnsi="Traditional Arabic" w:cs="Traditional Arabic"/>
          <w:b/>
          <w:bCs/>
          <w:sz w:val="24"/>
          <w:szCs w:val="24"/>
          <w:rtl/>
        </w:rPr>
        <w:t>أهمية</w:t>
      </w:r>
      <w:r w:rsidRPr="007C544A">
        <w:rPr>
          <w:rFonts w:ascii="Traditional Arabic" w:hAnsi="Traditional Arabic" w:cs="Traditional Arabic"/>
          <w:b/>
          <w:bCs/>
          <w:sz w:val="24"/>
          <w:szCs w:val="24"/>
          <w:rtl/>
        </w:rPr>
        <w:t xml:space="preserve"> </w:t>
      </w:r>
      <w:r w:rsidR="002B6309" w:rsidRPr="007C544A">
        <w:rPr>
          <w:rFonts w:ascii="Traditional Arabic" w:hAnsi="Traditional Arabic" w:cs="Traditional Arabic"/>
          <w:b/>
          <w:bCs/>
          <w:sz w:val="24"/>
          <w:szCs w:val="24"/>
          <w:rtl/>
        </w:rPr>
        <w:t>العملية</w:t>
      </w:r>
      <w:r w:rsidR="00775B4E" w:rsidRPr="007C544A">
        <w:rPr>
          <w:rFonts w:ascii="Traditional Arabic" w:hAnsi="Traditional Arabic" w:cs="Traditional Arabic"/>
          <w:b/>
          <w:bCs/>
          <w:sz w:val="24"/>
          <w:szCs w:val="24"/>
          <w:rtl/>
        </w:rPr>
        <w:t xml:space="preserve">: </w:t>
      </w:r>
    </w:p>
    <w:p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تتمثل </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الدراسة العملية في التعرف على خطوات </w:t>
      </w:r>
      <w:r w:rsidR="003F6CDC" w:rsidRPr="007C544A">
        <w:rPr>
          <w:rFonts w:ascii="Traditional Arabic" w:eastAsia="Times New Roman" w:hAnsi="Traditional Arabic" w:cs="Traditional Arabic"/>
          <w:sz w:val="24"/>
          <w:szCs w:val="24"/>
          <w:rtl/>
        </w:rPr>
        <w:t>إنشاء</w:t>
      </w:r>
      <w:r w:rsidRPr="007C544A">
        <w:rPr>
          <w:rFonts w:ascii="Traditional Arabic" w:eastAsia="Times New Roman" w:hAnsi="Traditional Arabic" w:cs="Traditional Arabic"/>
          <w:sz w:val="24"/>
          <w:szCs w:val="24"/>
          <w:rtl/>
        </w:rPr>
        <w:t xml:space="preserve"> شركات مساهمة لدخول سوق نمو السوق الموازية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في المملكة العربية السعودية.</w:t>
      </w:r>
    </w:p>
    <w:p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lastRenderedPageBreak/>
        <w:t xml:space="preserve">الاستفادة من نتائج الدراسة </w:t>
      </w:r>
      <w:r w:rsidR="003F6CDC" w:rsidRPr="007C544A">
        <w:rPr>
          <w:rFonts w:ascii="Traditional Arabic" w:eastAsia="Times New Roman" w:hAnsi="Traditional Arabic" w:cs="Traditional Arabic"/>
          <w:sz w:val="24"/>
          <w:szCs w:val="24"/>
          <w:rtl/>
        </w:rPr>
        <w:t>الميدانية</w:t>
      </w:r>
      <w:r w:rsidRPr="007C544A">
        <w:rPr>
          <w:rFonts w:ascii="Traditional Arabic" w:eastAsia="Times New Roman" w:hAnsi="Traditional Arabic" w:cs="Traditional Arabic"/>
          <w:sz w:val="24"/>
          <w:szCs w:val="24"/>
          <w:rtl/>
        </w:rPr>
        <w:t xml:space="preserve"> للمستثمرين والمسئولين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تعد نتائج دمج الشركات العائلية في هذه الدراسة تمهيدا للعديد من الدراسات التالية لها ذات ال</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بموضوع الدراسة.</w:t>
      </w:r>
      <w:r w:rsidR="00D7278E" w:rsidRPr="007C544A">
        <w:rPr>
          <w:rFonts w:ascii="Traditional Arabic" w:eastAsia="Times New Roman" w:hAnsi="Traditional Arabic" w:cs="Traditional Arabic"/>
          <w:sz w:val="24"/>
          <w:szCs w:val="24"/>
          <w:rtl/>
        </w:rPr>
        <w:t xml:space="preserve"> </w:t>
      </w:r>
    </w:p>
    <w:p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تضع أمام المهتمين بمجال </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w:t>
      </w:r>
      <w:r w:rsidR="003F6CDC" w:rsidRPr="007C544A">
        <w:rPr>
          <w:rFonts w:ascii="Traditional Arabic" w:eastAsia="Times New Roman" w:hAnsi="Traditional Arabic" w:cs="Traditional Arabic"/>
          <w:sz w:val="24"/>
          <w:szCs w:val="24"/>
          <w:rtl/>
        </w:rPr>
        <w:t>الأعمال</w:t>
      </w:r>
      <w:r w:rsidRPr="007C544A">
        <w:rPr>
          <w:rFonts w:ascii="Traditional Arabic" w:eastAsia="Times New Roman" w:hAnsi="Traditional Arabic" w:cs="Traditional Arabic"/>
          <w:sz w:val="24"/>
          <w:szCs w:val="24"/>
          <w:rtl/>
        </w:rPr>
        <w:t xml:space="preserve"> نموذج لدمج شركات عائلية لدخول سوق نمو السوق الموازية في المملكة العربية السعودية والتي تعرض حالة الشركات العائلية ووضعها قبل وبعد الدمج وقبل وبعد الدخول في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سوق نمو السوق الموازية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ليستفيد منها أصحاب الشركات العائلية بالإضافة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تقييم هذا النموذج للخروج بنتائج وتوصيات يستفاد منها المهتمين بهذا المجال.</w:t>
      </w:r>
      <w:r w:rsidR="00D7278E" w:rsidRPr="007C544A">
        <w:rPr>
          <w:rFonts w:ascii="Traditional Arabic" w:eastAsia="Times New Roman" w:hAnsi="Traditional Arabic" w:cs="Traditional Arabic"/>
          <w:sz w:val="24"/>
          <w:szCs w:val="24"/>
          <w:rtl/>
        </w:rPr>
        <w:t xml:space="preserve"> </w:t>
      </w:r>
    </w:p>
    <w:p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تساعد عملية دمج الشركات تعزيز القدرة التنافسية التنافسية للشركة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في السوق حيث يمكن الاستفادة من موارد اكبر وتقنيات متطورة وخبرات متنوعة وتوسيع نطاق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 xml:space="preserve"> التجارية والاستفادة من </w:t>
      </w:r>
      <w:r w:rsidR="003F6CDC" w:rsidRPr="007C544A">
        <w:rPr>
          <w:rFonts w:ascii="Traditional Arabic" w:eastAsia="Times New Roman" w:hAnsi="Traditional Arabic" w:cs="Traditional Arabic"/>
          <w:sz w:val="24"/>
          <w:szCs w:val="24"/>
          <w:rtl/>
        </w:rPr>
        <w:t>أسواق</w:t>
      </w:r>
      <w:r w:rsidRPr="007C544A">
        <w:rPr>
          <w:rFonts w:ascii="Traditional Arabic" w:eastAsia="Times New Roman" w:hAnsi="Traditional Arabic" w:cs="Traditional Arabic"/>
          <w:sz w:val="24"/>
          <w:szCs w:val="24"/>
          <w:rtl/>
        </w:rPr>
        <w:t xml:space="preserve"> جديدة مما يزيد من فرص النمو والعائدات </w:t>
      </w:r>
      <w:r w:rsidR="003F6CDC" w:rsidRPr="007C544A">
        <w:rPr>
          <w:rFonts w:ascii="Traditional Arabic" w:eastAsia="Times New Roman" w:hAnsi="Traditional Arabic" w:cs="Traditional Arabic"/>
          <w:sz w:val="24"/>
          <w:szCs w:val="24"/>
          <w:rtl/>
        </w:rPr>
        <w:t>بالإضافة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تحسين الكفاءة التشغيلية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فتساعد عملية الدمج تقليل التكاليف وزيادة الكفاءة مما يسهم في تحسين الربحية.</w:t>
      </w:r>
    </w:p>
    <w:p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دخول سوق نمو السوق الموازية للشركات العائلية الدامجة تكون اكثر جاذبية للمستثمرين حيث تقدم فرص الحصول على تمويل من البنوك </w:t>
      </w:r>
      <w:r w:rsidR="003F6CDC" w:rsidRPr="007C544A">
        <w:rPr>
          <w:rFonts w:ascii="Traditional Arabic" w:eastAsia="Times New Roman" w:hAnsi="Traditional Arabic" w:cs="Traditional Arabic"/>
          <w:sz w:val="24"/>
          <w:szCs w:val="24"/>
          <w:rtl/>
        </w:rPr>
        <w:t>والمستثمرين</w:t>
      </w:r>
      <w:r w:rsidRPr="007C544A">
        <w:rPr>
          <w:rFonts w:ascii="Traditional Arabic" w:eastAsia="Times New Roman" w:hAnsi="Traditional Arabic" w:cs="Traditional Arabic"/>
          <w:sz w:val="24"/>
          <w:szCs w:val="24"/>
          <w:rtl/>
        </w:rPr>
        <w:t xml:space="preserve"> وتحسين مركزها المالي وتوسيع الشبكات التجارية وبناء علاقات استراتيجية مع شركاء جدد. </w:t>
      </w:r>
    </w:p>
    <w:p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وتتمثل </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عملية دمج الشركات العائلية ودخولها لسوق نمو</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السوق الموازية في تحقيق استدامة على المدى الطويل</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وضمان استمرارية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 xml:space="preserve"> للأجيال القادمة بالتالي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يعتبر دمج الشركات العائلية خطوة استراتيجية لدخول سوق نمو السوق الموازية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يمكن أن يحقق فوائد كبيرة تعزز من موقعها في السوق وتساعدها على التوسع والنمو</w:t>
      </w:r>
    </w:p>
    <w:p w:rsidR="00A70C3E" w:rsidRPr="007C544A" w:rsidRDefault="00AE37A6" w:rsidP="00E14FC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سابعاً- </w:t>
      </w:r>
      <w:r w:rsidR="00A70C3E" w:rsidRPr="007C544A">
        <w:rPr>
          <w:rFonts w:ascii="Traditional Arabic" w:hAnsi="Traditional Arabic" w:cs="Traditional Arabic"/>
          <w:b/>
          <w:bCs/>
          <w:sz w:val="28"/>
          <w:szCs w:val="28"/>
          <w:rtl/>
          <w:lang w:bidi="ar-EG"/>
        </w:rPr>
        <w:t>فروض الدراسة</w:t>
      </w:r>
      <w:r w:rsidR="00775B4E" w:rsidRPr="007C544A">
        <w:rPr>
          <w:rFonts w:ascii="Traditional Arabic" w:hAnsi="Traditional Arabic" w:cs="Traditional Arabic"/>
          <w:b/>
          <w:bCs/>
          <w:sz w:val="28"/>
          <w:szCs w:val="28"/>
          <w:rtl/>
          <w:lang w:bidi="ar-EG"/>
        </w:rPr>
        <w:t xml:space="preserve">: </w:t>
      </w:r>
    </w:p>
    <w:p w:rsidR="003F6CDC" w:rsidRPr="007C544A" w:rsidRDefault="003F6CDC" w:rsidP="002D00D3">
      <w:pPr>
        <w:pStyle w:val="ListParagraph"/>
        <w:numPr>
          <w:ilvl w:val="0"/>
          <w:numId w:val="9"/>
        </w:numPr>
        <w:bidi/>
        <w:spacing w:after="0" w:line="36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الرئيسي الأول</w:t>
      </w:r>
      <w:r w:rsidR="00775B4E" w:rsidRPr="007C544A">
        <w:rPr>
          <w:rFonts w:ascii="Traditional Arabic" w:hAnsi="Traditional Arabic" w:cs="Traditional Arabic"/>
          <w:sz w:val="24"/>
          <w:szCs w:val="24"/>
          <w:rtl/>
          <w:lang w:bidi="ar-EG"/>
        </w:rPr>
        <w:t xml:space="preserve">: </w:t>
      </w:r>
      <w:r w:rsidRPr="007C544A">
        <w:rPr>
          <w:rFonts w:ascii="Traditional Arabic" w:eastAsia="Times New Roman" w:hAnsi="Traditional Arabic" w:cs="Traditional Arabic"/>
          <w:sz w:val="24"/>
          <w:szCs w:val="24"/>
          <w:rtl/>
        </w:rPr>
        <w:t xml:space="preserve">يوجد أثر ذو دلالة </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ة لاستراتيجية دمج الشركات على الجاهزية للإدراج في سوق النمو (السوق الموازية) لدى الشركات العائلية السعودية</w:t>
      </w:r>
      <w:r w:rsidRPr="007C544A">
        <w:rPr>
          <w:rFonts w:ascii="Traditional Arabic" w:eastAsia="Times New Roman" w:hAnsi="Traditional Arabic" w:cs="Traditional Arabic"/>
          <w:sz w:val="24"/>
          <w:szCs w:val="24"/>
        </w:rPr>
        <w:t>.</w:t>
      </w:r>
    </w:p>
    <w:p w:rsidR="003F6CDC" w:rsidRPr="007C544A" w:rsidRDefault="003F6CDC" w:rsidP="002D00D3">
      <w:pPr>
        <w:pStyle w:val="ListParagraph"/>
        <w:numPr>
          <w:ilvl w:val="0"/>
          <w:numId w:val="9"/>
        </w:numPr>
        <w:bidi/>
        <w:spacing w:after="0" w:line="36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الأول</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 xml:space="preserve">ة لاستراتيجية دمج الشركات على تحسين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المالي (الإيرادات– الأرباح)</w:t>
      </w:r>
      <w:r w:rsidRPr="007C544A">
        <w:rPr>
          <w:rFonts w:ascii="Traditional Arabic" w:hAnsi="Traditional Arabic" w:cs="Traditional Arabic"/>
          <w:sz w:val="24"/>
          <w:szCs w:val="24"/>
          <w:lang w:bidi="ar-EG"/>
        </w:rPr>
        <w:t>.</w:t>
      </w:r>
    </w:p>
    <w:p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الثاني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لاستراتيجية دمج الشركات على التوافق مع متطلبات الحوكمة في سوق النمو</w:t>
      </w:r>
      <w:r w:rsidR="006D5F52" w:rsidRPr="007C544A">
        <w:rPr>
          <w:rFonts w:ascii="Traditional Arabic" w:hAnsi="Traditional Arabic" w:cs="Traditional Arabic" w:hint="cs"/>
          <w:sz w:val="24"/>
          <w:szCs w:val="24"/>
          <w:rtl/>
          <w:lang w:bidi="ar-EG"/>
        </w:rPr>
        <w:t>.</w:t>
      </w:r>
    </w:p>
    <w:p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الثالث</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لاستراتيجية دمج الشركات على تعزيز القدرة التنافسية للشركات</w:t>
      </w:r>
      <w:r w:rsidRPr="007C544A">
        <w:rPr>
          <w:rFonts w:ascii="Traditional Arabic" w:hAnsi="Traditional Arabic" w:cs="Traditional Arabic"/>
          <w:sz w:val="24"/>
          <w:szCs w:val="24"/>
          <w:lang w:bidi="ar-EG"/>
        </w:rPr>
        <w:t>.</w:t>
      </w:r>
    </w:p>
    <w:p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الرابع</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لاستراتيجية دمج الشركات على زيادة فرص الحصول على التمويل بعد الإدراج في السوق الموازية</w:t>
      </w:r>
      <w:r w:rsidRPr="007C544A">
        <w:rPr>
          <w:rFonts w:ascii="Traditional Arabic" w:hAnsi="Traditional Arabic" w:cs="Traditional Arabic"/>
          <w:sz w:val="24"/>
          <w:szCs w:val="24"/>
          <w:lang w:bidi="ar-EG"/>
        </w:rPr>
        <w:t>.</w:t>
      </w:r>
    </w:p>
    <w:p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الرئيسي الثالث</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في تقييم أثر استراتيجية دمج الشركات على دخول السوق الموازية تُعزى إلى المتغيرات الديموغرافية (الجنس، العمر، المؤهل التعليمي، المسمى الوظيفي، سنوات الخبرة)</w:t>
      </w:r>
      <w:r w:rsidRPr="007C544A">
        <w:rPr>
          <w:rFonts w:ascii="Traditional Arabic" w:hAnsi="Traditional Arabic" w:cs="Traditional Arabic"/>
          <w:sz w:val="24"/>
          <w:szCs w:val="24"/>
          <w:lang w:bidi="ar-EG"/>
        </w:rPr>
        <w:t>.</w:t>
      </w:r>
    </w:p>
    <w:p w:rsidR="001416F4" w:rsidRPr="007C544A" w:rsidRDefault="001416F4" w:rsidP="00120405">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rsidR="00A70C3E" w:rsidRPr="007C544A" w:rsidRDefault="00AE37A6"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lastRenderedPageBreak/>
        <w:t xml:space="preserve">ثامناً- </w:t>
      </w:r>
      <w:r w:rsidR="00783B00" w:rsidRPr="007C544A">
        <w:rPr>
          <w:rFonts w:ascii="Traditional Arabic" w:hAnsi="Traditional Arabic" w:cs="Traditional Arabic"/>
          <w:b/>
          <w:bCs/>
          <w:sz w:val="28"/>
          <w:szCs w:val="28"/>
          <w:rtl/>
          <w:lang w:bidi="ar-EG"/>
        </w:rPr>
        <w:t>نموذج الدراسة</w:t>
      </w:r>
      <w:r w:rsidR="00775B4E" w:rsidRPr="007C544A">
        <w:rPr>
          <w:rFonts w:ascii="Traditional Arabic" w:hAnsi="Traditional Arabic" w:cs="Traditional Arabic"/>
          <w:b/>
          <w:bCs/>
          <w:sz w:val="28"/>
          <w:szCs w:val="28"/>
          <w:rtl/>
          <w:lang w:bidi="ar-EG"/>
        </w:rPr>
        <w:t xml:space="preserve">: </w:t>
      </w:r>
    </w:p>
    <w:p w:rsidR="00506A1B" w:rsidRPr="007C544A" w:rsidRDefault="00AD1B76" w:rsidP="00120405">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raditional Arabic" w:hAnsi="Traditional Arabic" w:cs="Traditional Arabic"/>
          <w:sz w:val="24"/>
          <w:szCs w:val="24"/>
          <w:rtl/>
          <w:lang w:bidi="ar-EG"/>
        </w:rPr>
        <w:t>في ضوء مراجعة الدارسات السابقة و</w:t>
      </w:r>
      <w:r w:rsidR="00811149" w:rsidRPr="007C544A">
        <w:rPr>
          <w:rFonts w:ascii="Traditional Arabic" w:hAnsi="Traditional Arabic" w:cs="Traditional Arabic"/>
          <w:sz w:val="24"/>
          <w:szCs w:val="24"/>
          <w:rtl/>
          <w:lang w:bidi="ar-EG"/>
        </w:rPr>
        <w:t>بالا</w:t>
      </w:r>
      <w:r w:rsidR="00E52D71" w:rsidRPr="007C544A">
        <w:rPr>
          <w:rFonts w:ascii="Traditional Arabic" w:hAnsi="Traditional Arabic" w:cs="Traditional Arabic"/>
          <w:sz w:val="24"/>
          <w:szCs w:val="24"/>
          <w:rtl/>
          <w:lang w:bidi="ar-EG"/>
        </w:rPr>
        <w:t>عتماد</w:t>
      </w:r>
      <w:r w:rsidRPr="007C544A">
        <w:rPr>
          <w:rFonts w:ascii="Traditional Arabic" w:hAnsi="Traditional Arabic" w:cs="Traditional Arabic"/>
          <w:sz w:val="24"/>
          <w:szCs w:val="24"/>
          <w:rtl/>
          <w:lang w:bidi="ar-EG"/>
        </w:rPr>
        <w:t xml:space="preserve"> على المرجعيات ذات العلاقة</w:t>
      </w:r>
      <w:r w:rsidR="00811149" w:rsidRPr="007C544A">
        <w:rPr>
          <w:rFonts w:ascii="Traditional Arabic" w:hAnsi="Traditional Arabic" w:cs="Traditional Arabic"/>
          <w:sz w:val="24"/>
          <w:szCs w:val="24"/>
          <w:rtl/>
          <w:lang w:bidi="ar-EG"/>
        </w:rPr>
        <w:t xml:space="preserve"> بين متغيرات البحث يتبين نموذج الدراسة</w:t>
      </w:r>
      <w:r w:rsidR="00D7278E" w:rsidRPr="007C544A">
        <w:rPr>
          <w:rFonts w:ascii="Traditional Arabic" w:hAnsi="Traditional Arabic" w:cs="Traditional Arabic"/>
          <w:sz w:val="24"/>
          <w:szCs w:val="24"/>
          <w:rtl/>
          <w:lang w:bidi="ar-EG"/>
        </w:rPr>
        <w:t xml:space="preserve">، </w:t>
      </w:r>
      <w:r w:rsidR="00811149" w:rsidRPr="007C544A">
        <w:rPr>
          <w:rFonts w:ascii="Traditional Arabic" w:hAnsi="Traditional Arabic" w:cs="Traditional Arabic"/>
          <w:sz w:val="24"/>
          <w:szCs w:val="24"/>
          <w:rtl/>
          <w:lang w:bidi="ar-EG"/>
        </w:rPr>
        <w:t xml:space="preserve">كما هو موضح في </w:t>
      </w:r>
      <w:r w:rsidRPr="007C544A">
        <w:rPr>
          <w:rFonts w:ascii="Traditional Arabic" w:hAnsi="Traditional Arabic" w:cs="Traditional Arabic"/>
          <w:sz w:val="24"/>
          <w:szCs w:val="24"/>
          <w:rtl/>
          <w:lang w:bidi="ar-EG"/>
        </w:rPr>
        <w:t>الشكل الآتي</w:t>
      </w:r>
      <w:r w:rsidR="00775B4E" w:rsidRPr="007C544A">
        <w:rPr>
          <w:rFonts w:ascii="Traditional Arabic" w:hAnsi="Traditional Arabic" w:cs="Traditional Arabic"/>
          <w:sz w:val="24"/>
          <w:szCs w:val="24"/>
          <w:rtl/>
          <w:lang w:bidi="ar-EG"/>
        </w:rPr>
        <w:t>:</w:t>
      </w:r>
      <w:r w:rsidR="00775B4E" w:rsidRPr="007C544A">
        <w:rPr>
          <w:rFonts w:ascii="Times New Roman" w:hAnsi="Times New Roman" w:cs="Simplified Arabic"/>
          <w:sz w:val="28"/>
          <w:szCs w:val="28"/>
          <w:rtl/>
          <w:lang w:bidi="ar-EG"/>
        </w:rPr>
        <w:t xml:space="preserve"> </w:t>
      </w:r>
    </w:p>
    <w:p w:rsidR="00D576D5" w:rsidRPr="007C544A" w:rsidRDefault="00D576D5" w:rsidP="00D576D5">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g">
            <w:drawing>
              <wp:anchor distT="0" distB="0" distL="114300" distR="114300" simplePos="0" relativeHeight="251666432" behindDoc="0" locked="0" layoutInCell="1" allowOverlap="1" wp14:anchorId="1D4EF7E5" wp14:editId="7988CBA7">
                <wp:simplePos x="0" y="0"/>
                <wp:positionH relativeFrom="column">
                  <wp:posOffset>895536</wp:posOffset>
                </wp:positionH>
                <wp:positionV relativeFrom="paragraph">
                  <wp:posOffset>48895</wp:posOffset>
                </wp:positionV>
                <wp:extent cx="3656965" cy="618678"/>
                <wp:effectExtent l="0" t="57150" r="19685" b="105410"/>
                <wp:wrapNone/>
                <wp:docPr id="1" name="Group 1"/>
                <wp:cNvGraphicFramePr/>
                <a:graphic xmlns:a="http://schemas.openxmlformats.org/drawingml/2006/main">
                  <a:graphicData uri="http://schemas.microsoft.com/office/word/2010/wordprocessingGroup">
                    <wpg:wgp>
                      <wpg:cNvGrpSpPr/>
                      <wpg:grpSpPr>
                        <a:xfrm>
                          <a:off x="0" y="0"/>
                          <a:ext cx="3656965" cy="618678"/>
                          <a:chOff x="0" y="0"/>
                          <a:chExt cx="3656965" cy="618678"/>
                        </a:xfrm>
                      </wpg:grpSpPr>
                      <wps:wsp>
                        <wps:cNvPr id="9" name="Text Box 9"/>
                        <wps:cNvSpPr txBox="1"/>
                        <wps:spPr>
                          <a:xfrm>
                            <a:off x="1038039" y="0"/>
                            <a:ext cx="1537970" cy="380365"/>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rsidR="00C812AA" w:rsidRPr="004A4A08" w:rsidRDefault="00C812AA" w:rsidP="004A4A08">
                              <w:pPr>
                                <w:jc w:val="center"/>
                                <w:rPr>
                                  <w:b/>
                                  <w:bCs/>
                                </w:rPr>
                              </w:pPr>
                              <w:r>
                                <w:rPr>
                                  <w:rFonts w:hint="cs"/>
                                  <w:b/>
                                  <w:bCs/>
                                  <w:rtl/>
                                </w:rPr>
                                <w:t xml:space="preserve">نموذج الدراسة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Left Brace 12"/>
                        <wps:cNvSpPr/>
                        <wps:spPr>
                          <a:xfrm rot="5400000">
                            <a:off x="1728601" y="-1309687"/>
                            <a:ext cx="199764" cy="3656965"/>
                          </a:xfrm>
                          <a:prstGeom prst="leftBrace">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4EF7E5" id="Group 1" o:spid="_x0000_s1026" style="position:absolute;left:0;text-align:left;margin-left:70.5pt;margin-top:3.85pt;width:287.95pt;height:48.7pt;z-index:251666432" coordsize="36569,6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">
                <v:shapetype id="_x0000_t202" coordsize="21600,21600" o:spt="202" path="m,l,21600r21600,l21600,xe">
                  <v:stroke joinstyle="miter"/>
                  <v:path gradientshapeok="t" o:connecttype="rect"/>
                </v:shapetype>
                <v:shape id="Text Box 9" o:spid="_x0000_s1027" type="#_x0000_t202" style="position:absolute;left:10380;width:15380;height:3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" fillcolor="#77b64e [3033]" stroked="f" strokeweight=".5pt">
                  <v:fill color2="#6eaa46 [3177]" rotate="t" colors="0 #81b861;.5 #6fb242;1 #61a235" focus="100%" type="gradient">
                    <o:fill v:ext="view" type="gradientUnscaled"/>
                  </v:fill>
                  <v:shadow on="t" color="black" opacity="19660f" offset="4.49014mm,4.49014mm"/>
                  <v:textbox>
                    <w:txbxContent>
                      <w:p w:rsidR="00C812AA" w:rsidRPr="004A4A08" w:rsidRDefault="00C812AA" w:rsidP="004A4A08">
                        <w:pPr>
                          <w:jc w:val="center"/>
                          <w:rPr>
                            <w:b/>
                            <w:bCs/>
                          </w:rPr>
                        </w:pPr>
                        <w:r>
                          <w:rPr>
                            <w:rFonts w:hint="cs"/>
                            <w:b/>
                            <w:bCs/>
                            <w:rtl/>
                          </w:rPr>
                          <w:t xml:space="preserve">نموذج الدراسة </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2" o:spid="_x0000_s1028" type="#_x0000_t87" style="position:absolute;left:17286;top:-13097;width:1997;height:365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" adj="98" strokecolor="black [3200]" strokeweight="1.5pt">
                  <v:stroke joinstyle="miter"/>
                </v:shape>
              </v:group>
            </w:pict>
          </mc:Fallback>
        </mc:AlternateContent>
      </w:r>
    </w:p>
    <w:p w:rsidR="004A4A08" w:rsidRPr="007C544A" w:rsidRDefault="004A4A08"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p>
    <w:p w:rsidR="004A4A08" w:rsidRPr="007C544A" w:rsidRDefault="008A2C1C"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82816" behindDoc="0" locked="0" layoutInCell="1" allowOverlap="1" wp14:anchorId="0FF9C01B" wp14:editId="7B4B77CA">
                <wp:simplePos x="0" y="0"/>
                <wp:positionH relativeFrom="column">
                  <wp:posOffset>530225</wp:posOffset>
                </wp:positionH>
                <wp:positionV relativeFrom="paragraph">
                  <wp:posOffset>3764280</wp:posOffset>
                </wp:positionV>
                <wp:extent cx="8890" cy="561340"/>
                <wp:effectExtent l="0" t="0" r="29210" b="29210"/>
                <wp:wrapNone/>
                <wp:docPr id="24" name="Straight Connector 24"/>
                <wp:cNvGraphicFramePr/>
                <a:graphic xmlns:a="http://schemas.openxmlformats.org/drawingml/2006/main">
                  <a:graphicData uri="http://schemas.microsoft.com/office/word/2010/wordprocessingShape">
                    <wps:wsp>
                      <wps:cNvCnPr/>
                      <wps:spPr>
                        <a:xfrm>
                          <a:off x="0" y="0"/>
                          <a:ext cx="8890" cy="5613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9FF8B75" id="Straight Connector 2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1.75pt,296.4pt" to="42.45pt,3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" strokecolor="black [3200]" strokeweight="1.5pt">
                <v:stroke joinstyle="miter"/>
              </v:lin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73600" behindDoc="0" locked="0" layoutInCell="1" allowOverlap="1" wp14:anchorId="193F7220" wp14:editId="320A0546">
                <wp:simplePos x="0" y="0"/>
                <wp:positionH relativeFrom="column">
                  <wp:posOffset>-201295</wp:posOffset>
                </wp:positionH>
                <wp:positionV relativeFrom="paragraph">
                  <wp:posOffset>1152525</wp:posOffset>
                </wp:positionV>
                <wp:extent cx="1537970" cy="515620"/>
                <wp:effectExtent l="57150" t="57150" r="367030" b="341630"/>
                <wp:wrapNone/>
                <wp:docPr id="19" name="Text Box 19"/>
                <wp:cNvGraphicFramePr/>
                <a:graphic xmlns:a="http://schemas.openxmlformats.org/drawingml/2006/main">
                  <a:graphicData uri="http://schemas.microsoft.com/office/word/2010/wordprocessingShape">
                    <wps:wsp>
                      <wps:cNvSpPr txBox="1"/>
                      <wps:spPr>
                        <a:xfrm>
                          <a:off x="0" y="0"/>
                          <a:ext cx="1537970" cy="515620"/>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rsidR="00C812AA" w:rsidRPr="004A4A08" w:rsidRDefault="00C812AA" w:rsidP="00ED3664">
                            <w:pPr>
                              <w:jc w:val="center"/>
                              <w:rPr>
                                <w:b/>
                                <w:bCs/>
                                <w:rtl/>
                              </w:rPr>
                            </w:pPr>
                            <w:r>
                              <w:rPr>
                                <w:rFonts w:hint="cs"/>
                                <w:b/>
                                <w:bCs/>
                                <w:rtl/>
                              </w:rPr>
                              <w:t>الأداء المالي بعد الدمج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F7220" id="Text Box 19" o:spid="_x0000_s1029" type="#_x0000_t202" style="position:absolute;left:0;text-align:left;margin-left:-15.85pt;margin-top:90.75pt;width:121.1pt;height:40.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" fillcolor="#77b64e [3033]" stroked="f" strokeweight=".5pt">
                <v:fill color2="#6eaa46 [3177]" rotate="t" colors="0 #81b861;.5 #6fb242;1 #61a235" focus="100%" type="gradient">
                  <o:fill v:ext="view" type="gradientUnscaled"/>
                </v:fill>
                <v:shadow on="t" color="black" opacity="19660f" offset="4.49014mm,4.49014mm"/>
                <v:textbox>
                  <w:txbxContent>
                    <w:p w:rsidR="00C812AA" w:rsidRPr="004A4A08" w:rsidRDefault="00C812AA" w:rsidP="00ED3664">
                      <w:pPr>
                        <w:jc w:val="center"/>
                        <w:rPr>
                          <w:b/>
                          <w:bCs/>
                          <w:rtl/>
                        </w:rPr>
                      </w:pPr>
                      <w:r>
                        <w:rPr>
                          <w:rFonts w:hint="cs"/>
                          <w:b/>
                          <w:bCs/>
                          <w:rtl/>
                        </w:rPr>
                        <w:t>الأداء المالي بعد الدمج</w:t>
                      </w:r>
                    </w:p>
                  </w:txbxContent>
                </v:textbox>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88960" behindDoc="0" locked="0" layoutInCell="1" allowOverlap="1" wp14:anchorId="45792B7E" wp14:editId="54864B2D">
                <wp:simplePos x="0" y="0"/>
                <wp:positionH relativeFrom="column">
                  <wp:posOffset>1316990</wp:posOffset>
                </wp:positionH>
                <wp:positionV relativeFrom="paragraph">
                  <wp:posOffset>930910</wp:posOffset>
                </wp:positionV>
                <wp:extent cx="2693670" cy="2633980"/>
                <wp:effectExtent l="38100" t="0" r="30480" b="52070"/>
                <wp:wrapNone/>
                <wp:docPr id="27" name="Straight Arrow Connector 27"/>
                <wp:cNvGraphicFramePr/>
                <a:graphic xmlns:a="http://schemas.openxmlformats.org/drawingml/2006/main">
                  <a:graphicData uri="http://schemas.microsoft.com/office/word/2010/wordprocessingShape">
                    <wps:wsp>
                      <wps:cNvCnPr/>
                      <wps:spPr>
                        <a:xfrm flipH="1">
                          <a:off x="0" y="0"/>
                          <a:ext cx="2693670" cy="26339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EEEC8B" id="_x0000_t32" coordsize="21600,21600" o:spt="32" o:oned="t" path="m,l21600,21600e" filled="f">
                <v:path arrowok="t" fillok="f" o:connecttype="none"/>
                <o:lock v:ext="edit" shapetype="t"/>
              </v:shapetype>
              <v:shape id="Straight Arrow Connector 27" o:spid="_x0000_s1026" type="#_x0000_t32" style="position:absolute;margin-left:103.7pt;margin-top:73.3pt;width:212.1pt;height:207.4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91008" behindDoc="0" locked="0" layoutInCell="1" allowOverlap="1" wp14:anchorId="3EFEE559" wp14:editId="53B165AA">
                <wp:simplePos x="0" y="0"/>
                <wp:positionH relativeFrom="column">
                  <wp:posOffset>1313815</wp:posOffset>
                </wp:positionH>
                <wp:positionV relativeFrom="paragraph">
                  <wp:posOffset>930910</wp:posOffset>
                </wp:positionV>
                <wp:extent cx="2693670" cy="1873885"/>
                <wp:effectExtent l="38100" t="0" r="30480" b="50165"/>
                <wp:wrapNone/>
                <wp:docPr id="28" name="Straight Arrow Connector 28"/>
                <wp:cNvGraphicFramePr/>
                <a:graphic xmlns:a="http://schemas.openxmlformats.org/drawingml/2006/main">
                  <a:graphicData uri="http://schemas.microsoft.com/office/word/2010/wordprocessingShape">
                    <wps:wsp>
                      <wps:cNvCnPr/>
                      <wps:spPr>
                        <a:xfrm flipH="1">
                          <a:off x="0" y="0"/>
                          <a:ext cx="2693670" cy="187388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9F034F" id="Straight Arrow Connector 28" o:spid="_x0000_s1026" type="#_x0000_t32" style="position:absolute;margin-left:103.45pt;margin-top:73.3pt;width:212.1pt;height:147.5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93056" behindDoc="0" locked="0" layoutInCell="1" allowOverlap="1" wp14:anchorId="57961EE5" wp14:editId="352C25DD">
                <wp:simplePos x="0" y="0"/>
                <wp:positionH relativeFrom="column">
                  <wp:posOffset>1313815</wp:posOffset>
                </wp:positionH>
                <wp:positionV relativeFrom="paragraph">
                  <wp:posOffset>930910</wp:posOffset>
                </wp:positionV>
                <wp:extent cx="2693670" cy="1094740"/>
                <wp:effectExtent l="38100" t="0" r="30480" b="67310"/>
                <wp:wrapNone/>
                <wp:docPr id="29" name="Straight Arrow Connector 29"/>
                <wp:cNvGraphicFramePr/>
                <a:graphic xmlns:a="http://schemas.openxmlformats.org/drawingml/2006/main">
                  <a:graphicData uri="http://schemas.microsoft.com/office/word/2010/wordprocessingShape">
                    <wps:wsp>
                      <wps:cNvCnPr/>
                      <wps:spPr>
                        <a:xfrm flipH="1">
                          <a:off x="0" y="0"/>
                          <a:ext cx="2693670" cy="10947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1927F5" id="Straight Arrow Connector 29" o:spid="_x0000_s1026" type="#_x0000_t32" style="position:absolute;margin-left:103.45pt;margin-top:73.3pt;width:212.1pt;height:86.2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95104" behindDoc="0" locked="0" layoutInCell="1" allowOverlap="1" wp14:anchorId="79B54D9F" wp14:editId="3B6FD1C3">
                <wp:simplePos x="0" y="0"/>
                <wp:positionH relativeFrom="column">
                  <wp:posOffset>1309370</wp:posOffset>
                </wp:positionH>
                <wp:positionV relativeFrom="paragraph">
                  <wp:posOffset>890270</wp:posOffset>
                </wp:positionV>
                <wp:extent cx="2698115" cy="514350"/>
                <wp:effectExtent l="38100" t="0" r="26035" b="76200"/>
                <wp:wrapNone/>
                <wp:docPr id="31" name="Straight Arrow Connector 31"/>
                <wp:cNvGraphicFramePr/>
                <a:graphic xmlns:a="http://schemas.openxmlformats.org/drawingml/2006/main">
                  <a:graphicData uri="http://schemas.microsoft.com/office/word/2010/wordprocessingShape">
                    <wps:wsp>
                      <wps:cNvCnPr/>
                      <wps:spPr>
                        <a:xfrm flipH="1">
                          <a:off x="0" y="0"/>
                          <a:ext cx="2698115" cy="5143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966B64" id="Straight Arrow Connector 31" o:spid="_x0000_s1026" type="#_x0000_t32" style="position:absolute;margin-left:103.1pt;margin-top:70.1pt;width:212.45pt;height:40.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71552" behindDoc="0" locked="0" layoutInCell="1" allowOverlap="1" wp14:anchorId="4BCEE933" wp14:editId="5BD52EAE">
                <wp:simplePos x="0" y="0"/>
                <wp:positionH relativeFrom="column">
                  <wp:posOffset>2164715</wp:posOffset>
                </wp:positionH>
                <wp:positionV relativeFrom="paragraph">
                  <wp:posOffset>455930</wp:posOffset>
                </wp:positionV>
                <wp:extent cx="1122045" cy="330200"/>
                <wp:effectExtent l="0" t="0" r="20955" b="12700"/>
                <wp:wrapNone/>
                <wp:docPr id="17" name="Text Box 17"/>
                <wp:cNvGraphicFramePr/>
                <a:graphic xmlns:a="http://schemas.openxmlformats.org/drawingml/2006/main">
                  <a:graphicData uri="http://schemas.microsoft.com/office/word/2010/wordprocessingShape">
                    <wps:wsp>
                      <wps:cNvSpPr txBox="1"/>
                      <wps:spPr>
                        <a:xfrm>
                          <a:off x="0" y="0"/>
                          <a:ext cx="1122045" cy="330200"/>
                        </a:xfrm>
                        <a:prstGeom prst="rect">
                          <a:avLst/>
                        </a:prstGeom>
                        <a:ln/>
                      </wps:spPr>
                      <wps:style>
                        <a:lnRef idx="2">
                          <a:schemeClr val="dk1"/>
                        </a:lnRef>
                        <a:fillRef idx="1">
                          <a:schemeClr val="lt1"/>
                        </a:fillRef>
                        <a:effectRef idx="0">
                          <a:schemeClr val="dk1"/>
                        </a:effectRef>
                        <a:fontRef idx="minor">
                          <a:schemeClr val="dk1"/>
                        </a:fontRef>
                      </wps:style>
                      <wps:txbx>
                        <w:txbxContent>
                          <w:p w:rsidR="00C812AA" w:rsidRDefault="00C812AA" w:rsidP="00ED3664">
                            <w:pPr>
                              <w:jc w:val="center"/>
                            </w:pPr>
                            <w:r>
                              <w:t>H1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CEE933" id="Text Box 17" o:spid="_x0000_s1030" type="#_x0000_t202" style="position:absolute;left:0;text-align:left;margin-left:170.45pt;margin-top:35.9pt;width:88.35pt;height:2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" fillcolor="white [3201]" strokecolor="black [3200]" strokeweight="1pt">
                <v:textbox>
                  <w:txbxContent>
                    <w:p w:rsidR="00C812AA" w:rsidRDefault="00C812AA" w:rsidP="00ED3664">
                      <w:pPr>
                        <w:jc w:val="center"/>
                      </w:pPr>
                      <w:r>
                        <w:t>H1</w:t>
                      </w:r>
                    </w:p>
                  </w:txbxContent>
                </v:textbox>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62336" behindDoc="0" locked="0" layoutInCell="1" allowOverlap="1" wp14:anchorId="1C6CAB4B" wp14:editId="0FF42D2C">
                <wp:simplePos x="0" y="0"/>
                <wp:positionH relativeFrom="column">
                  <wp:posOffset>-221615</wp:posOffset>
                </wp:positionH>
                <wp:positionV relativeFrom="paragraph">
                  <wp:posOffset>83185</wp:posOffset>
                </wp:positionV>
                <wp:extent cx="1537970" cy="374650"/>
                <wp:effectExtent l="57150" t="57150" r="367030" b="349250"/>
                <wp:wrapNone/>
                <wp:docPr id="7" name="Text Box 7"/>
                <wp:cNvGraphicFramePr/>
                <a:graphic xmlns:a="http://schemas.openxmlformats.org/drawingml/2006/main">
                  <a:graphicData uri="http://schemas.microsoft.com/office/word/2010/wordprocessingShape">
                    <wps:wsp>
                      <wps:cNvSpPr txBox="1"/>
                      <wps:spPr>
                        <a:xfrm>
                          <a:off x="0" y="0"/>
                          <a:ext cx="1537970" cy="374650"/>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rsidR="00C812AA" w:rsidRPr="004A4A08" w:rsidRDefault="00C812AA" w:rsidP="004A4A08">
                            <w:pPr>
                              <w:jc w:val="center"/>
                              <w:rPr>
                                <w:b/>
                                <w:bCs/>
                              </w:rPr>
                            </w:pPr>
                            <w:r w:rsidRPr="004A4A08">
                              <w:rPr>
                                <w:rFonts w:hint="cs"/>
                                <w:b/>
                                <w:bCs/>
                                <w:rtl/>
                              </w:rPr>
                              <w:t xml:space="preserve">المتغير </w:t>
                            </w:r>
                            <w:r>
                              <w:rPr>
                                <w:rFonts w:hint="cs"/>
                                <w:b/>
                                <w:bCs/>
                                <w:rtl/>
                              </w:rPr>
                              <w:t>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CAB4B" id="Text Box 7" o:spid="_x0000_s1031" type="#_x0000_t202" style="position:absolute;left:0;text-align:left;margin-left:-17.45pt;margin-top:6.55pt;width:121.1pt;height: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" fillcolor="#77b64e [3033]" stroked="f" strokeweight=".5pt">
                <v:fill color2="#6eaa46 [3177]" rotate="t" colors="0 #81b861;.5 #6fb242;1 #61a235" focus="100%" type="gradient">
                  <o:fill v:ext="view" type="gradientUnscaled"/>
                </v:fill>
                <v:shadow on="t" color="black" opacity="19660f" offset="4.49014mm,4.49014mm"/>
                <v:textbox>
                  <w:txbxContent>
                    <w:p w:rsidR="00C812AA" w:rsidRPr="004A4A08" w:rsidRDefault="00C812AA" w:rsidP="004A4A08">
                      <w:pPr>
                        <w:jc w:val="center"/>
                        <w:rPr>
                          <w:b/>
                          <w:bCs/>
                        </w:rPr>
                      </w:pPr>
                      <w:r w:rsidRPr="004A4A08">
                        <w:rPr>
                          <w:rFonts w:hint="cs"/>
                          <w:b/>
                          <w:bCs/>
                          <w:rtl/>
                        </w:rPr>
                        <w:t xml:space="preserve">المتغير </w:t>
                      </w:r>
                      <w:r>
                        <w:rPr>
                          <w:rFonts w:hint="cs"/>
                          <w:b/>
                          <w:bCs/>
                          <w:rtl/>
                        </w:rPr>
                        <w:t>التابع</w:t>
                      </w:r>
                    </w:p>
                  </w:txbxContent>
                </v:textbox>
              </v:shape>
            </w:pict>
          </mc:Fallback>
        </mc:AlternateContent>
      </w:r>
      <w:r w:rsidR="00ED3664" w:rsidRPr="007C544A">
        <w:rPr>
          <w:rFonts w:ascii="Times New Roman" w:hAnsi="Times New Roman" w:cs="Simplified Arabic"/>
          <w:noProof/>
          <w:sz w:val="28"/>
          <w:szCs w:val="28"/>
          <w:rtl/>
        </w:rPr>
        <mc:AlternateContent>
          <mc:Choice Requires="wps">
            <w:drawing>
              <wp:anchor distT="0" distB="0" distL="114300" distR="114300" simplePos="0" relativeHeight="251660288" behindDoc="0" locked="0" layoutInCell="1" allowOverlap="1" wp14:anchorId="2575AB0E" wp14:editId="2E300929">
                <wp:simplePos x="0" y="0"/>
                <wp:positionH relativeFrom="column">
                  <wp:posOffset>3994554</wp:posOffset>
                </wp:positionH>
                <wp:positionV relativeFrom="paragraph">
                  <wp:posOffset>78161</wp:posOffset>
                </wp:positionV>
                <wp:extent cx="1537970" cy="379936"/>
                <wp:effectExtent l="57150" t="57150" r="367030" b="344170"/>
                <wp:wrapNone/>
                <wp:docPr id="6" name="Text Box 6"/>
                <wp:cNvGraphicFramePr/>
                <a:graphic xmlns:a="http://schemas.openxmlformats.org/drawingml/2006/main">
                  <a:graphicData uri="http://schemas.microsoft.com/office/word/2010/wordprocessingShape">
                    <wps:wsp>
                      <wps:cNvSpPr txBox="1"/>
                      <wps:spPr>
                        <a:xfrm>
                          <a:off x="0" y="0"/>
                          <a:ext cx="1537970" cy="379936"/>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rsidR="00C812AA" w:rsidRPr="004A4A08" w:rsidRDefault="00C812AA" w:rsidP="004A4A08">
                            <w:pPr>
                              <w:jc w:val="center"/>
                              <w:rPr>
                                <w:b/>
                                <w:bCs/>
                              </w:rPr>
                            </w:pPr>
                            <w:r w:rsidRPr="004A4A08">
                              <w:rPr>
                                <w:rFonts w:hint="cs"/>
                                <w:b/>
                                <w:bCs/>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5AB0E" id="Text Box 6" o:spid="_x0000_s1032" type="#_x0000_t202" style="position:absolute;left:0;text-align:left;margin-left:314.55pt;margin-top:6.15pt;width:121.1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" fillcolor="#77b64e [3033]" stroked="f" strokeweight=".5pt">
                <v:fill color2="#6eaa46 [3177]" rotate="t" colors="0 #81b861;.5 #6fb242;1 #61a235" focus="100%" type="gradient">
                  <o:fill v:ext="view" type="gradientUnscaled"/>
                </v:fill>
                <v:shadow on="t" color="black" opacity="19660f" offset="4.49014mm,4.49014mm"/>
                <v:textbox>
                  <w:txbxContent>
                    <w:p w:rsidR="00C812AA" w:rsidRPr="004A4A08" w:rsidRDefault="00C812AA" w:rsidP="004A4A08">
                      <w:pPr>
                        <w:jc w:val="center"/>
                        <w:rPr>
                          <w:b/>
                          <w:bCs/>
                        </w:rPr>
                      </w:pPr>
                      <w:r w:rsidRPr="004A4A08">
                        <w:rPr>
                          <w:rFonts w:hint="cs"/>
                          <w:b/>
                          <w:bCs/>
                          <w:rtl/>
                        </w:rPr>
                        <w:t>المتغير المستقل</w:t>
                      </w:r>
                    </w:p>
                  </w:txbxContent>
                </v:textbox>
              </v:shape>
            </w:pict>
          </mc:Fallback>
        </mc:AlternateContent>
      </w:r>
    </w:p>
    <w:p w:rsidR="004A4A08" w:rsidRPr="007C544A" w:rsidRDefault="00ED3664"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69504" behindDoc="0" locked="0" layoutInCell="1" allowOverlap="1" wp14:anchorId="03DC31E8" wp14:editId="317333C0">
                <wp:simplePos x="0" y="0"/>
                <wp:positionH relativeFrom="column">
                  <wp:posOffset>-220128</wp:posOffset>
                </wp:positionH>
                <wp:positionV relativeFrom="paragraph">
                  <wp:posOffset>165735</wp:posOffset>
                </wp:positionV>
                <wp:extent cx="1537970" cy="516048"/>
                <wp:effectExtent l="57150" t="57150" r="367030" b="341630"/>
                <wp:wrapNone/>
                <wp:docPr id="14" name="Text Box 14"/>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rsidR="00C812AA" w:rsidRPr="004A4A08" w:rsidRDefault="00C812AA" w:rsidP="004A4A08">
                            <w:pPr>
                              <w:jc w:val="center"/>
                              <w:rPr>
                                <w:b/>
                                <w:bCs/>
                              </w:rPr>
                            </w:pPr>
                            <w:r>
                              <w:rPr>
                                <w:rFonts w:hint="cs"/>
                                <w:b/>
                                <w:bCs/>
                                <w:rtl/>
                              </w:rPr>
                              <w:t>دخول سوق النمو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C31E8" id="Text Box 14" o:spid="_x0000_s1033" type="#_x0000_t202" style="position:absolute;left:0;text-align:left;margin-left:-17.35pt;margin-top:13.05pt;width:121.1pt;height:4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" fillcolor="#77b64e [3033]" stroked="f" strokeweight=".5pt">
                <v:fill color2="#6eaa46 [3177]" rotate="t" colors="0 #81b861;.5 #6fb242;1 #61a235" focus="100%" type="gradient">
                  <o:fill v:ext="view" type="gradientUnscaled"/>
                </v:fill>
                <v:shadow on="t" color="black" opacity="19660f" offset="4.49014mm,4.49014mm"/>
                <v:textbox>
                  <w:txbxContent>
                    <w:p w:rsidR="00C812AA" w:rsidRPr="004A4A08" w:rsidRDefault="00C812AA" w:rsidP="004A4A08">
                      <w:pPr>
                        <w:jc w:val="center"/>
                        <w:rPr>
                          <w:b/>
                          <w:bCs/>
                        </w:rPr>
                      </w:pPr>
                      <w:r>
                        <w:rPr>
                          <w:rFonts w:hint="cs"/>
                          <w:b/>
                          <w:bCs/>
                          <w:rtl/>
                        </w:rPr>
                        <w:t>دخول سوق النمو</w:t>
                      </w:r>
                    </w:p>
                  </w:txbxContent>
                </v:textbox>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68480" behindDoc="0" locked="0" layoutInCell="1" allowOverlap="1" wp14:anchorId="2B951582" wp14:editId="1166DE04">
                <wp:simplePos x="0" y="0"/>
                <wp:positionH relativeFrom="column">
                  <wp:posOffset>3994842</wp:posOffset>
                </wp:positionH>
                <wp:positionV relativeFrom="paragraph">
                  <wp:posOffset>161541</wp:posOffset>
                </wp:positionV>
                <wp:extent cx="1537970" cy="574896"/>
                <wp:effectExtent l="57150" t="57150" r="367030" b="339725"/>
                <wp:wrapNone/>
                <wp:docPr id="13" name="Text Box 13"/>
                <wp:cNvGraphicFramePr/>
                <a:graphic xmlns:a="http://schemas.openxmlformats.org/drawingml/2006/main">
                  <a:graphicData uri="http://schemas.microsoft.com/office/word/2010/wordprocessingShape">
                    <wps:wsp>
                      <wps:cNvSpPr txBox="1"/>
                      <wps:spPr>
                        <a:xfrm>
                          <a:off x="0" y="0"/>
                          <a:ext cx="1537970" cy="574896"/>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rsidR="00C812AA" w:rsidRPr="004A4A08" w:rsidRDefault="00C812AA" w:rsidP="004A4A08">
                            <w:pPr>
                              <w:jc w:val="center"/>
                              <w:rPr>
                                <w:b/>
                                <w:bCs/>
                              </w:rPr>
                            </w:pPr>
                            <w:r>
                              <w:rPr>
                                <w:rFonts w:hint="cs"/>
                                <w:b/>
                                <w:bCs/>
                                <w:rtl/>
                              </w:rPr>
                              <w:t xml:space="preserve">استراتيجية دمج الشركات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51582" id="Text Box 13" o:spid="_x0000_s1034" type="#_x0000_t202" style="position:absolute;left:0;text-align:left;margin-left:314.55pt;margin-top:12.7pt;width:121.1pt;height:4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" fillcolor="#77b64e [3033]" stroked="f" strokeweight=".5pt">
                <v:fill color2="#6eaa46 [3177]" rotate="t" colors="0 #81b861;.5 #6fb242;1 #61a235" focus="100%" type="gradient">
                  <o:fill v:ext="view" type="gradientUnscaled"/>
                </v:fill>
                <v:shadow on="t" color="black" opacity="19660f" offset="4.49014mm,4.49014mm"/>
                <v:textbox>
                  <w:txbxContent>
                    <w:p w:rsidR="00C812AA" w:rsidRPr="004A4A08" w:rsidRDefault="00C812AA" w:rsidP="004A4A08">
                      <w:pPr>
                        <w:jc w:val="center"/>
                        <w:rPr>
                          <w:b/>
                          <w:bCs/>
                        </w:rPr>
                      </w:pPr>
                      <w:r>
                        <w:rPr>
                          <w:rFonts w:hint="cs"/>
                          <w:b/>
                          <w:bCs/>
                          <w:rtl/>
                        </w:rPr>
                        <w:t xml:space="preserve">استراتيجية دمج الشركات </w:t>
                      </w:r>
                    </w:p>
                  </w:txbxContent>
                </v:textbox>
              </v:shape>
            </w:pict>
          </mc:Fallback>
        </mc:AlternateContent>
      </w:r>
    </w:p>
    <w:p w:rsidR="004A4A08" w:rsidRPr="007C544A" w:rsidRDefault="00B05A30"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97152" behindDoc="0" locked="0" layoutInCell="1" allowOverlap="1" wp14:anchorId="3260055D" wp14:editId="28BA8652">
                <wp:simplePos x="0" y="0"/>
                <wp:positionH relativeFrom="column">
                  <wp:posOffset>2599272</wp:posOffset>
                </wp:positionH>
                <wp:positionV relativeFrom="paragraph">
                  <wp:posOffset>273685</wp:posOffset>
                </wp:positionV>
                <wp:extent cx="511175" cy="289560"/>
                <wp:effectExtent l="0" t="0" r="22225" b="15240"/>
                <wp:wrapNone/>
                <wp:docPr id="33" name="Text Box 33"/>
                <wp:cNvGraphicFramePr/>
                <a:graphic xmlns:a="http://schemas.openxmlformats.org/drawingml/2006/main">
                  <a:graphicData uri="http://schemas.microsoft.com/office/word/2010/wordprocessingShape">
                    <wps:wsp>
                      <wps:cNvSpPr txBox="1"/>
                      <wps:spPr>
                        <a:xfrm>
                          <a:off x="0" y="0"/>
                          <a:ext cx="511175" cy="289560"/>
                        </a:xfrm>
                        <a:prstGeom prst="rect">
                          <a:avLst/>
                        </a:prstGeom>
                        <a:ln/>
                      </wps:spPr>
                      <wps:style>
                        <a:lnRef idx="2">
                          <a:schemeClr val="dk1"/>
                        </a:lnRef>
                        <a:fillRef idx="1">
                          <a:schemeClr val="lt1"/>
                        </a:fillRef>
                        <a:effectRef idx="0">
                          <a:schemeClr val="dk1"/>
                        </a:effectRef>
                        <a:fontRef idx="minor">
                          <a:schemeClr val="dk1"/>
                        </a:fontRef>
                      </wps:style>
                      <wps:txbx>
                        <w:txbxContent>
                          <w:p w:rsidR="00C812AA" w:rsidRDefault="00C812AA" w:rsidP="0090553D">
                            <w:pPr>
                              <w:jc w:val="center"/>
                            </w:pPr>
                            <w:r>
                              <w:t>H1-a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0055D" id="Text Box 33" o:spid="_x0000_s1035" type="#_x0000_t202" style="position:absolute;left:0;text-align:left;margin-left:204.65pt;margin-top:21.55pt;width:40.25pt;height:22.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" fillcolor="white [3201]" strokecolor="black [3200]" strokeweight="1pt">
                <v:textbox>
                  <w:txbxContent>
                    <w:p w:rsidR="00C812AA" w:rsidRDefault="00C812AA" w:rsidP="0090553D">
                      <w:pPr>
                        <w:jc w:val="center"/>
                      </w:pPr>
                      <w:r>
                        <w:t>H1-a</w:t>
                      </w:r>
                    </w:p>
                  </w:txbxContent>
                </v:textbox>
              </v:shape>
            </w:pict>
          </mc:Fallback>
        </mc:AlternateContent>
      </w:r>
      <w:r w:rsidR="00ED3664" w:rsidRPr="007C544A">
        <w:rPr>
          <w:rFonts w:ascii="Times New Roman" w:hAnsi="Times New Roman" w:cs="Simplified Arabic"/>
          <w:noProof/>
          <w:sz w:val="28"/>
          <w:szCs w:val="28"/>
          <w:rtl/>
        </w:rPr>
        <mc:AlternateContent>
          <mc:Choice Requires="wps">
            <w:drawing>
              <wp:anchor distT="0" distB="0" distL="114300" distR="114300" simplePos="0" relativeHeight="251670528" behindDoc="0" locked="0" layoutInCell="1" allowOverlap="1" wp14:anchorId="16BFC0D9" wp14:editId="5555FC21">
                <wp:simplePos x="0" y="0"/>
                <wp:positionH relativeFrom="column">
                  <wp:posOffset>1215428</wp:posOffset>
                </wp:positionH>
                <wp:positionV relativeFrom="paragraph">
                  <wp:posOffset>47971</wp:posOffset>
                </wp:positionV>
                <wp:extent cx="2829208" cy="0"/>
                <wp:effectExtent l="38100" t="76200" r="0" b="95250"/>
                <wp:wrapNone/>
                <wp:docPr id="16" name="Straight Arrow Connector 16"/>
                <wp:cNvGraphicFramePr/>
                <a:graphic xmlns:a="http://schemas.openxmlformats.org/drawingml/2006/main">
                  <a:graphicData uri="http://schemas.microsoft.com/office/word/2010/wordprocessingShape">
                    <wps:wsp>
                      <wps:cNvCnPr/>
                      <wps:spPr>
                        <a:xfrm flipH="1">
                          <a:off x="0" y="0"/>
                          <a:ext cx="2829208"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FB6BDAE" id="Straight Arrow Connector 16" o:spid="_x0000_s1026" type="#_x0000_t32" style="position:absolute;margin-left:95.7pt;margin-top:3.8pt;width:222.75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" strokecolor="black [3200]" strokeweight="1.5pt">
                <v:stroke endarrow="block" joinstyle="miter"/>
              </v:shape>
            </w:pict>
          </mc:Fallback>
        </mc:AlternateContent>
      </w:r>
    </w:p>
    <w:p w:rsidR="004A4A08" w:rsidRPr="007C544A" w:rsidRDefault="00B05A30"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705344" behindDoc="0" locked="0" layoutInCell="1" allowOverlap="1" wp14:anchorId="5EB659C6" wp14:editId="149EEE54">
                <wp:simplePos x="0" y="0"/>
                <wp:positionH relativeFrom="column">
                  <wp:posOffset>4727792</wp:posOffset>
                </wp:positionH>
                <wp:positionV relativeFrom="paragraph">
                  <wp:posOffset>191770</wp:posOffset>
                </wp:positionV>
                <wp:extent cx="40741" cy="3240896"/>
                <wp:effectExtent l="0" t="0" r="35560" b="36195"/>
                <wp:wrapNone/>
                <wp:docPr id="38" name="Straight Connector 38"/>
                <wp:cNvGraphicFramePr/>
                <a:graphic xmlns:a="http://schemas.openxmlformats.org/drawingml/2006/main">
                  <a:graphicData uri="http://schemas.microsoft.com/office/word/2010/wordprocessingShape">
                    <wps:wsp>
                      <wps:cNvCnPr/>
                      <wps:spPr>
                        <a:xfrm>
                          <a:off x="0" y="0"/>
                          <a:ext cx="40741" cy="324089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F9EFABC" id="Straight Connector 3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372.25pt,15.1pt" to="375.45pt,2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" strokecolor="black [3200]" strokeweight="1.5pt">
                <v:stroke joinstyle="miter"/>
              </v:line>
            </w:pict>
          </mc:Fallback>
        </mc:AlternateContent>
      </w:r>
    </w:p>
    <w:p w:rsidR="004A4A08" w:rsidRPr="007C544A" w:rsidRDefault="00B05A30"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99200" behindDoc="0" locked="0" layoutInCell="1" allowOverlap="1" wp14:anchorId="3029C77C" wp14:editId="4DD6B803">
                <wp:simplePos x="0" y="0"/>
                <wp:positionH relativeFrom="column">
                  <wp:posOffset>2450047</wp:posOffset>
                </wp:positionH>
                <wp:positionV relativeFrom="paragraph">
                  <wp:posOffset>86360</wp:posOffset>
                </wp:positionV>
                <wp:extent cx="479833" cy="253497"/>
                <wp:effectExtent l="0" t="0" r="15875" b="13335"/>
                <wp:wrapNone/>
                <wp:docPr id="34" name="Text Box 34"/>
                <wp:cNvGraphicFramePr/>
                <a:graphic xmlns:a="http://schemas.openxmlformats.org/drawingml/2006/main">
                  <a:graphicData uri="http://schemas.microsoft.com/office/word/2010/wordprocessingShape">
                    <wps:wsp>
                      <wps:cNvSpPr txBox="1"/>
                      <wps:spPr>
                        <a:xfrm>
                          <a:off x="0" y="0"/>
                          <a:ext cx="479833" cy="253497"/>
                        </a:xfrm>
                        <a:prstGeom prst="rect">
                          <a:avLst/>
                        </a:prstGeom>
                        <a:ln/>
                      </wps:spPr>
                      <wps:style>
                        <a:lnRef idx="2">
                          <a:schemeClr val="dk1"/>
                        </a:lnRef>
                        <a:fillRef idx="1">
                          <a:schemeClr val="lt1"/>
                        </a:fillRef>
                        <a:effectRef idx="0">
                          <a:schemeClr val="dk1"/>
                        </a:effectRef>
                        <a:fontRef idx="minor">
                          <a:schemeClr val="dk1"/>
                        </a:fontRef>
                      </wps:style>
                      <wps:txbx>
                        <w:txbxContent>
                          <w:p w:rsidR="00C812AA" w:rsidRDefault="00C812AA" w:rsidP="0090553D">
                            <w:pPr>
                              <w:jc w:val="center"/>
                            </w:pPr>
                            <w:r>
                              <w:t>H1-b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9C77C" id="Text Box 34" o:spid="_x0000_s1036" type="#_x0000_t202" style="position:absolute;left:0;text-align:left;margin-left:192.9pt;margin-top:6.8pt;width:37.8pt;height:19.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" fillcolor="white [3201]" strokecolor="black [3200]" strokeweight="1pt">
                <v:textbox>
                  <w:txbxContent>
                    <w:p w:rsidR="00C812AA" w:rsidRDefault="00C812AA" w:rsidP="0090553D">
                      <w:pPr>
                        <w:jc w:val="center"/>
                      </w:pPr>
                      <w:r>
                        <w:t>H1-b</w:t>
                      </w:r>
                    </w:p>
                  </w:txbxContent>
                </v:textbox>
              </v:shape>
            </w:pict>
          </mc:Fallback>
        </mc:AlternateContent>
      </w:r>
    </w:p>
    <w:p w:rsidR="00ED3664" w:rsidRPr="007C544A" w:rsidRDefault="00B05A30"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701248" behindDoc="0" locked="0" layoutInCell="1" allowOverlap="1" wp14:anchorId="415E2E5F" wp14:editId="5525BFD6">
                <wp:simplePos x="0" y="0"/>
                <wp:positionH relativeFrom="column">
                  <wp:posOffset>2295742</wp:posOffset>
                </wp:positionH>
                <wp:positionV relativeFrom="paragraph">
                  <wp:posOffset>252095</wp:posOffset>
                </wp:positionV>
                <wp:extent cx="479833" cy="253497"/>
                <wp:effectExtent l="0" t="0" r="15875" b="13335"/>
                <wp:wrapNone/>
                <wp:docPr id="35" name="Text Box 35"/>
                <wp:cNvGraphicFramePr/>
                <a:graphic xmlns:a="http://schemas.openxmlformats.org/drawingml/2006/main">
                  <a:graphicData uri="http://schemas.microsoft.com/office/word/2010/wordprocessingShape">
                    <wps:wsp>
                      <wps:cNvSpPr txBox="1"/>
                      <wps:spPr>
                        <a:xfrm>
                          <a:off x="0" y="0"/>
                          <a:ext cx="479833" cy="253497"/>
                        </a:xfrm>
                        <a:prstGeom prst="rect">
                          <a:avLst/>
                        </a:prstGeom>
                        <a:ln/>
                      </wps:spPr>
                      <wps:style>
                        <a:lnRef idx="2">
                          <a:schemeClr val="dk1"/>
                        </a:lnRef>
                        <a:fillRef idx="1">
                          <a:schemeClr val="lt1"/>
                        </a:fillRef>
                        <a:effectRef idx="0">
                          <a:schemeClr val="dk1"/>
                        </a:effectRef>
                        <a:fontRef idx="minor">
                          <a:schemeClr val="dk1"/>
                        </a:fontRef>
                      </wps:style>
                      <wps:txbx>
                        <w:txbxContent>
                          <w:p w:rsidR="00C812AA" w:rsidRDefault="00C812AA" w:rsidP="0090553D">
                            <w:pPr>
                              <w:jc w:val="center"/>
                            </w:pPr>
                            <w:r>
                              <w:t>H1-c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E2E5F" id="Text Box 35" o:spid="_x0000_s1037" type="#_x0000_t202" style="position:absolute;left:0;text-align:left;margin-left:180.75pt;margin-top:19.85pt;width:37.8pt;height:19.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" fillcolor="white [3201]" strokecolor="black [3200]" strokeweight="1pt">
                <v:textbox>
                  <w:txbxContent>
                    <w:p w:rsidR="00C812AA" w:rsidRDefault="00C812AA" w:rsidP="0090553D">
                      <w:pPr>
                        <w:jc w:val="center"/>
                      </w:pPr>
                      <w:r>
                        <w:t>H1-c</w:t>
                      </w:r>
                    </w:p>
                  </w:txbxContent>
                </v:textbox>
              </v:shape>
            </w:pict>
          </mc:Fallback>
        </mc:AlternateContent>
      </w:r>
    </w:p>
    <w:p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75648" behindDoc="0" locked="0" layoutInCell="1" allowOverlap="1" wp14:anchorId="243D5FF7" wp14:editId="61975DCC">
                <wp:simplePos x="0" y="0"/>
                <wp:positionH relativeFrom="column">
                  <wp:posOffset>-197903</wp:posOffset>
                </wp:positionH>
                <wp:positionV relativeFrom="paragraph">
                  <wp:posOffset>52070</wp:posOffset>
                </wp:positionV>
                <wp:extent cx="1537970" cy="516048"/>
                <wp:effectExtent l="57150" t="57150" r="367030" b="341630"/>
                <wp:wrapNone/>
                <wp:docPr id="20" name="Text Box 20"/>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rsidR="00C812AA" w:rsidRPr="004A4A08" w:rsidRDefault="00C812AA" w:rsidP="00ED3664">
                            <w:pPr>
                              <w:jc w:val="center"/>
                              <w:rPr>
                                <w:b/>
                                <w:bCs/>
                                <w:rtl/>
                              </w:rPr>
                            </w:pPr>
                            <w:r>
                              <w:rPr>
                                <w:rFonts w:hint="cs"/>
                                <w:b/>
                                <w:bCs/>
                                <w:rtl/>
                              </w:rPr>
                              <w:t xml:space="preserve">متطلبات الحوكمة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D5FF7" id="Text Box 20" o:spid="_x0000_s1038" type="#_x0000_t202" style="position:absolute;left:0;text-align:left;margin-left:-15.6pt;margin-top:4.1pt;width:121.1pt;height:40.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" fillcolor="#77b64e [3033]" stroked="f" strokeweight=".5pt">
                <v:fill color2="#6eaa46 [3177]" rotate="t" colors="0 #81b861;.5 #6fb242;1 #61a235" focus="100%" type="gradient">
                  <o:fill v:ext="view" type="gradientUnscaled"/>
                </v:fill>
                <v:shadow on="t" color="black" opacity="19660f" offset="4.49014mm,4.49014mm"/>
                <v:textbox>
                  <w:txbxContent>
                    <w:p w:rsidR="00C812AA" w:rsidRPr="004A4A08" w:rsidRDefault="00C812AA" w:rsidP="00ED3664">
                      <w:pPr>
                        <w:jc w:val="center"/>
                        <w:rPr>
                          <w:b/>
                          <w:bCs/>
                          <w:rtl/>
                        </w:rPr>
                      </w:pPr>
                      <w:r>
                        <w:rPr>
                          <w:rFonts w:hint="cs"/>
                          <w:b/>
                          <w:bCs/>
                          <w:rtl/>
                        </w:rPr>
                        <w:t xml:space="preserve">متطلبات الحوكمة </w:t>
                      </w:r>
                    </w:p>
                  </w:txbxContent>
                </v:textbox>
              </v:shape>
            </w:pict>
          </mc:Fallback>
        </mc:AlternateContent>
      </w:r>
    </w:p>
    <w:p w:rsidR="00ED3664" w:rsidRPr="007C544A" w:rsidRDefault="00B05A30"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703296" behindDoc="0" locked="0" layoutInCell="1" allowOverlap="1" wp14:anchorId="06F63780" wp14:editId="2EBBDB8E">
                <wp:simplePos x="0" y="0"/>
                <wp:positionH relativeFrom="column">
                  <wp:posOffset>2141437</wp:posOffset>
                </wp:positionH>
                <wp:positionV relativeFrom="paragraph">
                  <wp:posOffset>123825</wp:posOffset>
                </wp:positionV>
                <wp:extent cx="479833" cy="253497"/>
                <wp:effectExtent l="0" t="0" r="15875" b="13335"/>
                <wp:wrapNone/>
                <wp:docPr id="36" name="Text Box 36"/>
                <wp:cNvGraphicFramePr/>
                <a:graphic xmlns:a="http://schemas.openxmlformats.org/drawingml/2006/main">
                  <a:graphicData uri="http://schemas.microsoft.com/office/word/2010/wordprocessingShape">
                    <wps:wsp>
                      <wps:cNvSpPr txBox="1"/>
                      <wps:spPr>
                        <a:xfrm>
                          <a:off x="0" y="0"/>
                          <a:ext cx="479833" cy="253497"/>
                        </a:xfrm>
                        <a:prstGeom prst="rect">
                          <a:avLst/>
                        </a:prstGeom>
                        <a:ln/>
                      </wps:spPr>
                      <wps:style>
                        <a:lnRef idx="2">
                          <a:schemeClr val="dk1"/>
                        </a:lnRef>
                        <a:fillRef idx="1">
                          <a:schemeClr val="lt1"/>
                        </a:fillRef>
                        <a:effectRef idx="0">
                          <a:schemeClr val="dk1"/>
                        </a:effectRef>
                        <a:fontRef idx="minor">
                          <a:schemeClr val="dk1"/>
                        </a:fontRef>
                      </wps:style>
                      <wps:txbx>
                        <w:txbxContent>
                          <w:p w:rsidR="00C812AA" w:rsidRDefault="00C812AA" w:rsidP="0090553D">
                            <w:pPr>
                              <w:jc w:val="center"/>
                            </w:pPr>
                            <w:r>
                              <w:t>H1-d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F63780" id="Text Box 36" o:spid="_x0000_s1039" type="#_x0000_t202" style="position:absolute;left:0;text-align:left;margin-left:168.6pt;margin-top:9.75pt;width:37.8pt;height:19.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" fillcolor="white [3201]" strokecolor="black [3200]" strokeweight="1pt">
                <v:textbox>
                  <w:txbxContent>
                    <w:p w:rsidR="00C812AA" w:rsidRDefault="00C812AA" w:rsidP="0090553D">
                      <w:pPr>
                        <w:jc w:val="center"/>
                      </w:pPr>
                      <w:r>
                        <w:t>H1-d</w:t>
                      </w:r>
                    </w:p>
                  </w:txbxContent>
                </v:textbox>
              </v:shape>
            </w:pict>
          </mc:Fallback>
        </mc:AlternateContent>
      </w:r>
    </w:p>
    <w:p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77696" behindDoc="0" locked="0" layoutInCell="1" allowOverlap="1" wp14:anchorId="77E296F2" wp14:editId="4AC5C33D">
                <wp:simplePos x="0" y="0"/>
                <wp:positionH relativeFrom="column">
                  <wp:posOffset>-206158</wp:posOffset>
                </wp:positionH>
                <wp:positionV relativeFrom="paragraph">
                  <wp:posOffset>140970</wp:posOffset>
                </wp:positionV>
                <wp:extent cx="1537970" cy="516048"/>
                <wp:effectExtent l="57150" t="57150" r="367030" b="341630"/>
                <wp:wrapNone/>
                <wp:docPr id="21" name="Text Box 21"/>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rsidR="00C812AA" w:rsidRPr="004A4A08" w:rsidRDefault="00C812AA" w:rsidP="00ED3664">
                            <w:pPr>
                              <w:jc w:val="center"/>
                              <w:rPr>
                                <w:b/>
                                <w:bCs/>
                                <w:rtl/>
                              </w:rPr>
                            </w:pPr>
                            <w:r>
                              <w:rPr>
                                <w:rFonts w:hint="cs"/>
                                <w:b/>
                                <w:bCs/>
                                <w:rtl/>
                              </w:rPr>
                              <w:t xml:space="preserve">تعزيز القدرة التنافسية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E296F2" id="Text Box 21" o:spid="_x0000_s1040" type="#_x0000_t202" style="position:absolute;left:0;text-align:left;margin-left:-16.25pt;margin-top:11.1pt;width:121.1pt;height:40.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" fillcolor="#77b64e [3033]" stroked="f" strokeweight=".5pt">
                <v:fill color2="#6eaa46 [3177]" rotate="t" colors="0 #81b861;.5 #6fb242;1 #61a235" focus="100%" type="gradient">
                  <o:fill v:ext="view" type="gradientUnscaled"/>
                </v:fill>
                <v:shadow on="t" color="black" opacity="19660f" offset="4.49014mm,4.49014mm"/>
                <v:textbox>
                  <w:txbxContent>
                    <w:p w:rsidR="00C812AA" w:rsidRPr="004A4A08" w:rsidRDefault="00C812AA" w:rsidP="00ED3664">
                      <w:pPr>
                        <w:jc w:val="center"/>
                        <w:rPr>
                          <w:b/>
                          <w:bCs/>
                          <w:rtl/>
                        </w:rPr>
                      </w:pPr>
                      <w:r>
                        <w:rPr>
                          <w:rFonts w:hint="cs"/>
                          <w:b/>
                          <w:bCs/>
                          <w:rtl/>
                        </w:rPr>
                        <w:t xml:space="preserve">تعزيز القدرة التنافسية </w:t>
                      </w:r>
                    </w:p>
                  </w:txbxContent>
                </v:textbox>
              </v:shape>
            </w:pict>
          </mc:Fallback>
        </mc:AlternateContent>
      </w:r>
    </w:p>
    <w:p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p>
    <w:p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79744" behindDoc="0" locked="0" layoutInCell="1" allowOverlap="1" wp14:anchorId="1FDFE8C8" wp14:editId="6BF21087">
                <wp:simplePos x="0" y="0"/>
                <wp:positionH relativeFrom="column">
                  <wp:posOffset>-196633</wp:posOffset>
                </wp:positionH>
                <wp:positionV relativeFrom="paragraph">
                  <wp:posOffset>302260</wp:posOffset>
                </wp:positionV>
                <wp:extent cx="1537970" cy="516048"/>
                <wp:effectExtent l="57150" t="57150" r="367030" b="341630"/>
                <wp:wrapNone/>
                <wp:docPr id="22" name="Text Box 22"/>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rsidR="00C812AA" w:rsidRPr="004A4A08" w:rsidRDefault="00C812AA" w:rsidP="00ED3664">
                            <w:pPr>
                              <w:jc w:val="center"/>
                              <w:rPr>
                                <w:b/>
                                <w:bCs/>
                                <w:rtl/>
                              </w:rPr>
                            </w:pPr>
                            <w:r>
                              <w:rPr>
                                <w:rFonts w:hint="cs"/>
                                <w:b/>
                                <w:bCs/>
                                <w:rtl/>
                              </w:rPr>
                              <w:t xml:space="preserve">الحصول على التمويل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FE8C8" id="Text Box 22" o:spid="_x0000_s1041" type="#_x0000_t202" style="position:absolute;left:0;text-align:left;margin-left:-15.5pt;margin-top:23.8pt;width:121.1pt;height:40.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" fillcolor="#77b64e [3033]" stroked="f" strokeweight=".5pt">
                <v:fill color2="#6eaa46 [3177]" rotate="t" colors="0 #81b861;.5 #6fb242;1 #61a235" focus="100%" type="gradient">
                  <o:fill v:ext="view" type="gradientUnscaled"/>
                </v:fill>
                <v:shadow on="t" color="black" opacity="19660f" offset="4.49014mm,4.49014mm"/>
                <v:textbox>
                  <w:txbxContent>
                    <w:p w:rsidR="00C812AA" w:rsidRPr="004A4A08" w:rsidRDefault="00C812AA" w:rsidP="00ED3664">
                      <w:pPr>
                        <w:jc w:val="center"/>
                        <w:rPr>
                          <w:b/>
                          <w:bCs/>
                          <w:rtl/>
                        </w:rPr>
                      </w:pPr>
                      <w:r>
                        <w:rPr>
                          <w:rFonts w:hint="cs"/>
                          <w:b/>
                          <w:bCs/>
                          <w:rtl/>
                        </w:rPr>
                        <w:t xml:space="preserve">الحصول على التمويل </w:t>
                      </w:r>
                    </w:p>
                  </w:txbxContent>
                </v:textbox>
              </v:shape>
            </w:pict>
          </mc:Fallback>
        </mc:AlternateContent>
      </w:r>
    </w:p>
    <w:p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p>
    <w:p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86912" behindDoc="0" locked="0" layoutInCell="1" allowOverlap="1" wp14:anchorId="4070FD02" wp14:editId="49A71A35">
                <wp:simplePos x="0" y="0"/>
                <wp:positionH relativeFrom="column">
                  <wp:posOffset>2159217</wp:posOffset>
                </wp:positionH>
                <wp:positionV relativeFrom="paragraph">
                  <wp:posOffset>167640</wp:posOffset>
                </wp:positionV>
                <wp:extent cx="1122629" cy="330452"/>
                <wp:effectExtent l="0" t="0" r="20955" b="12700"/>
                <wp:wrapNone/>
                <wp:docPr id="26" name="Text Box 26"/>
                <wp:cNvGraphicFramePr/>
                <a:graphic xmlns:a="http://schemas.openxmlformats.org/drawingml/2006/main">
                  <a:graphicData uri="http://schemas.microsoft.com/office/word/2010/wordprocessingShape">
                    <wps:wsp>
                      <wps:cNvSpPr txBox="1"/>
                      <wps:spPr>
                        <a:xfrm>
                          <a:off x="0" y="0"/>
                          <a:ext cx="1122629" cy="330452"/>
                        </a:xfrm>
                        <a:prstGeom prst="rect">
                          <a:avLst/>
                        </a:prstGeom>
                        <a:ln/>
                      </wps:spPr>
                      <wps:style>
                        <a:lnRef idx="2">
                          <a:schemeClr val="dk1"/>
                        </a:lnRef>
                        <a:fillRef idx="1">
                          <a:schemeClr val="lt1"/>
                        </a:fillRef>
                        <a:effectRef idx="0">
                          <a:schemeClr val="dk1"/>
                        </a:effectRef>
                        <a:fontRef idx="minor">
                          <a:schemeClr val="dk1"/>
                        </a:fontRef>
                      </wps:style>
                      <wps:txbx>
                        <w:txbxContent>
                          <w:p w:rsidR="00C812AA" w:rsidRDefault="00C812AA" w:rsidP="00ED3664">
                            <w:pPr>
                              <w:jc w:val="center"/>
                            </w:pPr>
                            <w:r>
                              <w:t>H2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70FD02" id="Text Box 26" o:spid="_x0000_s1042" type="#_x0000_t202" style="position:absolute;left:0;text-align:left;margin-left:170pt;margin-top:13.2pt;width:88.4pt;height:26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" fillcolor="white [3201]" strokecolor="black [3200]" strokeweight="1pt">
                <v:textbox>
                  <w:txbxContent>
                    <w:p w:rsidR="00C812AA" w:rsidRDefault="00C812AA" w:rsidP="00ED3664">
                      <w:pPr>
                        <w:jc w:val="center"/>
                      </w:pPr>
                      <w:r>
                        <w:t>H2</w:t>
                      </w:r>
                    </w:p>
                  </w:txbxContent>
                </v:textbox>
              </v:shape>
            </w:pict>
          </mc:Fallback>
        </mc:AlternateContent>
      </w:r>
    </w:p>
    <w:p w:rsidR="004A4A08" w:rsidRPr="007C544A" w:rsidRDefault="004A4A08" w:rsidP="004A4A08">
      <w:pPr>
        <w:shd w:val="clear" w:color="auto" w:fill="FFFFFF" w:themeFill="background1"/>
        <w:bidi/>
        <w:spacing w:after="0" w:line="240" w:lineRule="auto"/>
        <w:ind w:firstLine="720"/>
        <w:rPr>
          <w:rtl/>
        </w:rPr>
      </w:pPr>
    </w:p>
    <w:p w:rsidR="00ED3664" w:rsidRPr="007C544A" w:rsidRDefault="00ED3664" w:rsidP="00ED3664">
      <w:pPr>
        <w:shd w:val="clear" w:color="auto" w:fill="FFFFFF" w:themeFill="background1"/>
        <w:bidi/>
        <w:spacing w:after="0" w:line="240" w:lineRule="auto"/>
        <w:ind w:firstLine="720"/>
        <w:rPr>
          <w:rtl/>
        </w:rPr>
      </w:pPr>
      <w:r w:rsidRPr="007C544A">
        <w:rPr>
          <w:rFonts w:ascii="Times New Roman" w:hAnsi="Times New Roman" w:cs="Simplified Arabic"/>
          <w:noProof/>
          <w:sz w:val="28"/>
          <w:szCs w:val="28"/>
          <w:rtl/>
        </w:rPr>
        <mc:AlternateContent>
          <mc:Choice Requires="wps">
            <w:drawing>
              <wp:anchor distT="0" distB="0" distL="114300" distR="114300" simplePos="0" relativeHeight="251681792" behindDoc="0" locked="0" layoutInCell="1" allowOverlap="1" wp14:anchorId="2AA52CFC" wp14:editId="1DBB8F33">
                <wp:simplePos x="0" y="0"/>
                <wp:positionH relativeFrom="column">
                  <wp:posOffset>1843622</wp:posOffset>
                </wp:positionH>
                <wp:positionV relativeFrom="paragraph">
                  <wp:posOffset>62230</wp:posOffset>
                </wp:positionV>
                <wp:extent cx="1651138" cy="516048"/>
                <wp:effectExtent l="57150" t="57150" r="368300" b="341630"/>
                <wp:wrapNone/>
                <wp:docPr id="23" name="Text Box 23"/>
                <wp:cNvGraphicFramePr/>
                <a:graphic xmlns:a="http://schemas.openxmlformats.org/drawingml/2006/main">
                  <a:graphicData uri="http://schemas.microsoft.com/office/word/2010/wordprocessingShape">
                    <wps:wsp>
                      <wps:cNvSpPr txBox="1"/>
                      <wps:spPr>
                        <a:xfrm>
                          <a:off x="0" y="0"/>
                          <a:ext cx="1651138"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rsidR="00C812AA" w:rsidRPr="004A4A08" w:rsidRDefault="00C812AA" w:rsidP="00ED3664">
                            <w:pPr>
                              <w:jc w:val="center"/>
                              <w:rPr>
                                <w:b/>
                                <w:bCs/>
                                <w:rtl/>
                              </w:rPr>
                            </w:pPr>
                            <w:r>
                              <w:rPr>
                                <w:rFonts w:hint="cs"/>
                                <w:b/>
                                <w:bCs/>
                                <w:rtl/>
                              </w:rPr>
                              <w:t xml:space="preserve">المتغيرات الضابطة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52CFC" id="Text Box 23" o:spid="_x0000_s1043" type="#_x0000_t202" style="position:absolute;left:0;text-align:left;margin-left:145.15pt;margin-top:4.9pt;width:130pt;height:40.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" fillcolor="#77b64e [3033]" stroked="f" strokeweight=".5pt">
                <v:fill color2="#6eaa46 [3177]" rotate="t" colors="0 #81b861;.5 #6fb242;1 #61a235" focus="100%" type="gradient">
                  <o:fill v:ext="view" type="gradientUnscaled"/>
                </v:fill>
                <v:shadow on="t" color="black" opacity="19660f" offset="4.49014mm,4.49014mm"/>
                <v:textbox>
                  <w:txbxContent>
                    <w:p w:rsidR="00C812AA" w:rsidRPr="004A4A08" w:rsidRDefault="00C812AA" w:rsidP="00ED3664">
                      <w:pPr>
                        <w:jc w:val="center"/>
                        <w:rPr>
                          <w:b/>
                          <w:bCs/>
                          <w:rtl/>
                        </w:rPr>
                      </w:pPr>
                      <w:r>
                        <w:rPr>
                          <w:rFonts w:hint="cs"/>
                          <w:b/>
                          <w:bCs/>
                          <w:rtl/>
                        </w:rPr>
                        <w:t xml:space="preserve">المتغيرات الضابطة </w:t>
                      </w:r>
                    </w:p>
                  </w:txbxContent>
                </v:textbox>
              </v:shape>
            </w:pict>
          </mc:Fallback>
        </mc:AlternateContent>
      </w:r>
    </w:p>
    <w:p w:rsidR="00ED3664" w:rsidRPr="007C544A" w:rsidRDefault="00B05A30" w:rsidP="00B05A30">
      <w:pPr>
        <w:shd w:val="clear" w:color="auto" w:fill="FFFFFF" w:themeFill="background1"/>
        <w:tabs>
          <w:tab w:val="left" w:pos="6317"/>
        </w:tabs>
        <w:bidi/>
        <w:spacing w:after="0" w:line="240" w:lineRule="auto"/>
        <w:ind w:firstLine="720"/>
      </w:pPr>
      <w:r w:rsidRPr="007C544A">
        <w:rPr>
          <w:noProof/>
          <w:rtl/>
        </w:rPr>
        <mc:AlternateContent>
          <mc:Choice Requires="wps">
            <w:drawing>
              <wp:anchor distT="0" distB="0" distL="114300" distR="114300" simplePos="0" relativeHeight="251704320" behindDoc="0" locked="0" layoutInCell="1" allowOverlap="1" wp14:anchorId="3F714E3A" wp14:editId="78D2D179">
                <wp:simplePos x="0" y="0"/>
                <wp:positionH relativeFrom="column">
                  <wp:posOffset>3494622</wp:posOffset>
                </wp:positionH>
                <wp:positionV relativeFrom="paragraph">
                  <wp:posOffset>128270</wp:posOffset>
                </wp:positionV>
                <wp:extent cx="1286711" cy="13580"/>
                <wp:effectExtent l="0" t="0" r="27940" b="24765"/>
                <wp:wrapNone/>
                <wp:docPr id="37" name="Straight Connector 37"/>
                <wp:cNvGraphicFramePr/>
                <a:graphic xmlns:a="http://schemas.openxmlformats.org/drawingml/2006/main">
                  <a:graphicData uri="http://schemas.microsoft.com/office/word/2010/wordprocessingShape">
                    <wps:wsp>
                      <wps:cNvCnPr/>
                      <wps:spPr>
                        <a:xfrm>
                          <a:off x="0" y="0"/>
                          <a:ext cx="1286711" cy="135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4492512" id="Straight Connector 37"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75.15pt,10.1pt" to="376.4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" strokecolor="black [3200]" strokeweight="1.5pt">
                <v:stroke joinstyle="miter"/>
              </v:line>
            </w:pict>
          </mc:Fallback>
        </mc:AlternateContent>
      </w:r>
      <w:r w:rsidRPr="007C544A">
        <w:rPr>
          <w:rtl/>
        </w:rPr>
        <w:tab/>
      </w:r>
    </w:p>
    <w:p w:rsidR="00ED3664" w:rsidRPr="007C544A" w:rsidRDefault="00ED3664" w:rsidP="00644F1B">
      <w:pPr>
        <w:shd w:val="clear" w:color="auto" w:fill="FFFFFF" w:themeFill="background1"/>
        <w:tabs>
          <w:tab w:val="left" w:pos="7390"/>
        </w:tabs>
        <w:bidi/>
        <w:spacing w:after="0" w:line="360" w:lineRule="auto"/>
        <w:jc w:val="center"/>
        <w:rPr>
          <w:rFonts w:ascii="Traditional Arabic" w:hAnsi="Traditional Arabic" w:cs="Traditional Arabic"/>
          <w:b/>
          <w:bCs/>
          <w:sz w:val="24"/>
          <w:szCs w:val="24"/>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84864" behindDoc="0" locked="0" layoutInCell="1" allowOverlap="1" wp14:anchorId="4ABAF6F5" wp14:editId="01A0F358">
                <wp:simplePos x="0" y="0"/>
                <wp:positionH relativeFrom="column">
                  <wp:posOffset>531890</wp:posOffset>
                </wp:positionH>
                <wp:positionV relativeFrom="paragraph">
                  <wp:posOffset>3458</wp:posOffset>
                </wp:positionV>
                <wp:extent cx="1271779" cy="0"/>
                <wp:effectExtent l="0" t="0" r="24130" b="19050"/>
                <wp:wrapNone/>
                <wp:docPr id="25" name="Straight Connector 25"/>
                <wp:cNvGraphicFramePr/>
                <a:graphic xmlns:a="http://schemas.openxmlformats.org/drawingml/2006/main">
                  <a:graphicData uri="http://schemas.microsoft.com/office/word/2010/wordprocessingShape">
                    <wps:wsp>
                      <wps:cNvCnPr/>
                      <wps:spPr>
                        <a:xfrm flipH="1">
                          <a:off x="0" y="0"/>
                          <a:ext cx="1271779"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1A4DB2" id="Straight Connector 25"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pt,.25pt" to="142.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" strokecolor="black [3200]" strokeweight="1.5pt">
                <v:stroke joinstyle="miter"/>
              </v:line>
            </w:pict>
          </mc:Fallback>
        </mc:AlternateContent>
      </w:r>
    </w:p>
    <w:p w:rsidR="00AD1B76" w:rsidRPr="007C544A" w:rsidRDefault="00AD1B76" w:rsidP="00ED3664">
      <w:pPr>
        <w:shd w:val="clear" w:color="auto" w:fill="FFFFFF" w:themeFill="background1"/>
        <w:tabs>
          <w:tab w:val="left" w:pos="7390"/>
        </w:tabs>
        <w:bidi/>
        <w:spacing w:after="0" w:line="360" w:lineRule="auto"/>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شكل</w:t>
      </w:r>
      <w:r w:rsidR="00D7278E" w:rsidRPr="007C544A">
        <w:rPr>
          <w:rFonts w:ascii="Traditional Arabic" w:hAnsi="Traditional Arabic" w:cs="Traditional Arabic"/>
          <w:b/>
          <w:bCs/>
          <w:sz w:val="24"/>
          <w:szCs w:val="24"/>
          <w:rtl/>
          <w:lang w:bidi="ar-EG"/>
        </w:rPr>
        <w:t xml:space="preserve"> (</w:t>
      </w:r>
      <w:r w:rsidR="00F0777A" w:rsidRPr="007C544A">
        <w:rPr>
          <w:rFonts w:ascii="Traditional Arabic" w:hAnsi="Traditional Arabic" w:cs="Traditional Arabic"/>
          <w:b/>
          <w:bCs/>
          <w:sz w:val="24"/>
          <w:szCs w:val="24"/>
          <w:rtl/>
          <w:lang w:bidi="ar-EG"/>
        </w:rPr>
        <w:t>1-</w:t>
      </w:r>
      <w:r w:rsidR="00644F1B" w:rsidRPr="007C544A">
        <w:rPr>
          <w:rFonts w:ascii="Traditional Arabic" w:hAnsi="Traditional Arabic" w:cs="Traditional Arabic" w:hint="cs"/>
          <w:b/>
          <w:bCs/>
          <w:sz w:val="24"/>
          <w:szCs w:val="24"/>
          <w:rtl/>
          <w:lang w:bidi="ar-EG"/>
        </w:rPr>
        <w:t>1</w:t>
      </w:r>
      <w:r w:rsidRPr="007C544A">
        <w:rPr>
          <w:rFonts w:ascii="Traditional Arabic" w:hAnsi="Traditional Arabic" w:cs="Traditional Arabic"/>
          <w:b/>
          <w:bCs/>
          <w:sz w:val="24"/>
          <w:szCs w:val="24"/>
          <w:rtl/>
          <w:lang w:bidi="ar-EG"/>
        </w:rPr>
        <w:t>)</w:t>
      </w:r>
    </w:p>
    <w:p w:rsidR="00AD1B76" w:rsidRPr="007C544A" w:rsidRDefault="00AD1B76" w:rsidP="00706522">
      <w:pPr>
        <w:shd w:val="clear" w:color="auto" w:fill="FFFFFF" w:themeFill="background1"/>
        <w:tabs>
          <w:tab w:val="left" w:pos="7390"/>
        </w:tabs>
        <w:bidi/>
        <w:spacing w:after="0" w:line="360" w:lineRule="auto"/>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نموذج متغيرات الدراسة</w:t>
      </w:r>
    </w:p>
    <w:p w:rsidR="00AD1B76" w:rsidRPr="007C544A" w:rsidRDefault="00276DAD" w:rsidP="00706522">
      <w:pPr>
        <w:shd w:val="clear" w:color="auto" w:fill="FFFFFF" w:themeFill="background1"/>
        <w:tabs>
          <w:tab w:val="left" w:pos="7390"/>
        </w:tabs>
        <w:bidi/>
        <w:spacing w:after="0"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المصدر</w:t>
      </w:r>
      <w:r w:rsidR="00775B4E" w:rsidRPr="007C544A">
        <w:rPr>
          <w:rFonts w:ascii="Traditional Arabic" w:hAnsi="Traditional Arabic" w:cs="Traditional Arabic"/>
          <w:sz w:val="24"/>
          <w:szCs w:val="24"/>
          <w:rtl/>
          <w:lang w:bidi="ar-EG"/>
        </w:rPr>
        <w:t xml:space="preserve">: </w:t>
      </w:r>
      <w:r w:rsidR="00811149" w:rsidRPr="007C544A">
        <w:rPr>
          <w:rFonts w:ascii="Traditional Arabic" w:hAnsi="Traditional Arabic" w:cs="Traditional Arabic"/>
          <w:sz w:val="24"/>
          <w:szCs w:val="24"/>
          <w:rtl/>
          <w:lang w:bidi="ar-EG"/>
        </w:rPr>
        <w:t>من إ</w:t>
      </w:r>
      <w:r w:rsidRPr="007C544A">
        <w:rPr>
          <w:rFonts w:ascii="Traditional Arabic" w:hAnsi="Traditional Arabic" w:cs="Traditional Arabic"/>
          <w:sz w:val="24"/>
          <w:szCs w:val="24"/>
          <w:rtl/>
          <w:lang w:bidi="ar-EG"/>
        </w:rPr>
        <w:t>عداد الباحث بعد الاطلاع على الدراسات السابقة والدراسة الاستطلاعية</w:t>
      </w:r>
    </w:p>
    <w:p w:rsidR="00B01720" w:rsidRPr="007C544A" w:rsidRDefault="00276DAD" w:rsidP="00E14FC2">
      <w:pPr>
        <w:shd w:val="clear" w:color="auto" w:fill="FFFFFF" w:themeFill="background1"/>
        <w:bidi/>
        <w:spacing w:after="0" w:line="360" w:lineRule="auto"/>
        <w:ind w:firstLine="509"/>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واستطاع الباحث من خلال مراجعة الدراسات السابقة والدراسة الاستطلاعية تحديد</w:t>
      </w:r>
      <w:r w:rsidR="00334E78" w:rsidRPr="007C544A">
        <w:rPr>
          <w:rFonts w:ascii="Traditional Arabic" w:hAnsi="Traditional Arabic" w:cs="Traditional Arabic"/>
          <w:sz w:val="24"/>
          <w:szCs w:val="24"/>
          <w:rtl/>
          <w:lang w:bidi="ar-EG"/>
        </w:rPr>
        <w:t xml:space="preserve"> أهم </w:t>
      </w:r>
      <w:r w:rsidRPr="007C544A">
        <w:rPr>
          <w:rFonts w:ascii="Traditional Arabic" w:hAnsi="Traditional Arabic" w:cs="Traditional Arabic"/>
          <w:sz w:val="24"/>
          <w:szCs w:val="24"/>
          <w:rtl/>
          <w:lang w:bidi="ar-EG"/>
        </w:rPr>
        <w:t xml:space="preserve">متغيرات </w:t>
      </w:r>
      <w:r w:rsidR="000760F7" w:rsidRPr="007C544A">
        <w:rPr>
          <w:rFonts w:ascii="Traditional Arabic" w:hAnsi="Traditional Arabic" w:cs="Traditional Arabic"/>
          <w:sz w:val="24"/>
          <w:szCs w:val="24"/>
          <w:rtl/>
          <w:lang w:bidi="ar-EG"/>
        </w:rPr>
        <w:t>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811149" w:rsidRPr="007C544A">
        <w:rPr>
          <w:rFonts w:ascii="Traditional Arabic" w:hAnsi="Traditional Arabic" w:cs="Traditional Arabic"/>
          <w:sz w:val="24"/>
          <w:szCs w:val="24"/>
          <w:rtl/>
          <w:lang w:bidi="ar-EG"/>
        </w:rPr>
        <w:t>التي تتمثل فيما يأت</w:t>
      </w:r>
      <w:r w:rsidRPr="007C544A">
        <w:rPr>
          <w:rFonts w:ascii="Traditional Arabic" w:hAnsi="Traditional Arabic" w:cs="Traditional Arabic"/>
          <w:sz w:val="24"/>
          <w:szCs w:val="24"/>
          <w:rtl/>
          <w:lang w:bidi="ar-EG"/>
        </w:rPr>
        <w:t>ي</w:t>
      </w:r>
      <w:r w:rsidR="00775B4E" w:rsidRPr="007C544A">
        <w:rPr>
          <w:rFonts w:ascii="Traditional Arabic" w:hAnsi="Traditional Arabic" w:cs="Traditional Arabic"/>
          <w:sz w:val="24"/>
          <w:szCs w:val="24"/>
          <w:rtl/>
          <w:lang w:bidi="ar-EG"/>
        </w:rPr>
        <w:t xml:space="preserve">: </w:t>
      </w:r>
    </w:p>
    <w:p w:rsidR="005E67D2" w:rsidRPr="007C544A" w:rsidRDefault="00276DAD" w:rsidP="001416F4">
      <w:pPr>
        <w:shd w:val="clear" w:color="auto" w:fill="FFFFFF" w:themeFill="background1"/>
        <w:autoSpaceDE w:val="0"/>
        <w:autoSpaceDN w:val="0"/>
        <w:bidi/>
        <w:adjustRightInd w:val="0"/>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b/>
          <w:bCs/>
          <w:sz w:val="24"/>
          <w:szCs w:val="24"/>
          <w:rtl/>
          <w:lang w:bidi="ar-EG"/>
        </w:rPr>
        <w:t>المتغير المستقل</w:t>
      </w:r>
      <w:r w:rsidR="00775B4E" w:rsidRPr="007C544A">
        <w:rPr>
          <w:rFonts w:ascii="Traditional Arabic" w:hAnsi="Traditional Arabic" w:cs="Traditional Arabic"/>
          <w:b/>
          <w:bCs/>
          <w:sz w:val="24"/>
          <w:szCs w:val="24"/>
          <w:rtl/>
          <w:lang w:bidi="ar-EG"/>
        </w:rPr>
        <w:t xml:space="preserve">: </w:t>
      </w:r>
      <w:r w:rsidR="001416F4" w:rsidRPr="007C544A">
        <w:rPr>
          <w:rFonts w:ascii="Traditional Arabic" w:hAnsi="Traditional Arabic" w:cs="Traditional Arabic" w:hint="cs"/>
          <w:b/>
          <w:bCs/>
          <w:sz w:val="24"/>
          <w:szCs w:val="24"/>
          <w:rtl/>
          <w:lang w:bidi="ar-EG"/>
        </w:rPr>
        <w:t xml:space="preserve"> </w:t>
      </w:r>
      <w:r w:rsidRPr="007C544A">
        <w:rPr>
          <w:rFonts w:ascii="Traditional Arabic" w:hAnsi="Traditional Arabic" w:cs="Traditional Arabic"/>
          <w:sz w:val="24"/>
          <w:szCs w:val="24"/>
          <w:rtl/>
        </w:rPr>
        <w:t>ويتمثل</w:t>
      </w:r>
      <w:r w:rsidR="002B6309" w:rsidRPr="007C544A">
        <w:rPr>
          <w:rFonts w:ascii="Traditional Arabic" w:hAnsi="Traditional Arabic" w:cs="Traditional Arabic"/>
          <w:sz w:val="24"/>
          <w:szCs w:val="24"/>
          <w:rtl/>
        </w:rPr>
        <w:t xml:space="preserve"> في</w:t>
      </w:r>
      <w:r w:rsidR="00D7278E" w:rsidRPr="007C544A">
        <w:rPr>
          <w:rFonts w:ascii="Traditional Arabic" w:hAnsi="Traditional Arabic" w:cs="Traditional Arabic"/>
          <w:sz w:val="24"/>
          <w:szCs w:val="24"/>
          <w:rtl/>
        </w:rPr>
        <w:t xml:space="preserve"> </w:t>
      </w:r>
      <w:r w:rsidR="002B6309" w:rsidRPr="007C544A">
        <w:rPr>
          <w:rFonts w:ascii="Traditional Arabic" w:hAnsi="Traditional Arabic" w:cs="Traditional Arabic"/>
          <w:sz w:val="24"/>
          <w:szCs w:val="24"/>
          <w:rtl/>
        </w:rPr>
        <w:t>استراتيجية دمج الشركات</w:t>
      </w:r>
      <w:r w:rsidR="005C20E0" w:rsidRPr="007C544A">
        <w:rPr>
          <w:rFonts w:ascii="Traditional Arabic" w:hAnsi="Traditional Arabic" w:cs="Traditional Arabic"/>
          <w:sz w:val="24"/>
          <w:szCs w:val="24"/>
          <w:rtl/>
        </w:rPr>
        <w:t>.</w:t>
      </w:r>
    </w:p>
    <w:p w:rsidR="002B6309" w:rsidRPr="007C544A" w:rsidRDefault="00276DAD" w:rsidP="002A6C6A">
      <w:pPr>
        <w:shd w:val="clear" w:color="auto" w:fill="FFFFFF" w:themeFill="background1"/>
        <w:autoSpaceDE w:val="0"/>
        <w:autoSpaceDN w:val="0"/>
        <w:bidi/>
        <w:adjustRightInd w:val="0"/>
        <w:spacing w:after="0" w:line="360" w:lineRule="auto"/>
        <w:jc w:val="both"/>
        <w:rPr>
          <w:rFonts w:ascii="Traditional Arabic" w:hAnsi="Traditional Arabic" w:cs="Traditional Arabic"/>
          <w:sz w:val="24"/>
          <w:szCs w:val="24"/>
        </w:rPr>
      </w:pPr>
      <w:r w:rsidRPr="007C544A">
        <w:rPr>
          <w:rFonts w:ascii="Traditional Arabic" w:hAnsi="Traditional Arabic" w:cs="Traditional Arabic"/>
          <w:b/>
          <w:bCs/>
          <w:sz w:val="24"/>
          <w:szCs w:val="24"/>
          <w:rtl/>
          <w:lang w:bidi="ar-EG"/>
        </w:rPr>
        <w:t>المتغير التابع</w:t>
      </w:r>
      <w:r w:rsidR="00775B4E" w:rsidRPr="007C544A">
        <w:rPr>
          <w:rFonts w:ascii="Traditional Arabic" w:hAnsi="Traditional Arabic" w:cs="Traditional Arabic"/>
          <w:b/>
          <w:bCs/>
          <w:sz w:val="24"/>
          <w:szCs w:val="24"/>
          <w:rtl/>
          <w:lang w:bidi="ar-EG"/>
        </w:rPr>
        <w:t xml:space="preserve">: </w:t>
      </w:r>
      <w:r w:rsidR="002B6309" w:rsidRPr="007C544A">
        <w:rPr>
          <w:rFonts w:ascii="Traditional Arabic" w:hAnsi="Traditional Arabic" w:cs="Traditional Arabic"/>
          <w:sz w:val="24"/>
          <w:szCs w:val="24"/>
          <w:rtl/>
        </w:rPr>
        <w:t xml:space="preserve">دخول سوق </w:t>
      </w:r>
      <w:r w:rsidR="002C0F1A" w:rsidRPr="007C544A">
        <w:rPr>
          <w:rFonts w:ascii="Traditional Arabic" w:hAnsi="Traditional Arabic" w:cs="Traditional Arabic"/>
          <w:sz w:val="24"/>
          <w:szCs w:val="24"/>
          <w:rtl/>
        </w:rPr>
        <w:t>النمو</w:t>
      </w:r>
      <w:r w:rsidR="00D7278E" w:rsidRPr="007C544A">
        <w:rPr>
          <w:rFonts w:ascii="Traditional Arabic" w:hAnsi="Traditional Arabic" w:cs="Traditional Arabic"/>
          <w:sz w:val="24"/>
          <w:szCs w:val="24"/>
          <w:rtl/>
        </w:rPr>
        <w:t xml:space="preserve"> (</w:t>
      </w:r>
      <w:r w:rsidR="002C0F1A" w:rsidRPr="007C544A">
        <w:rPr>
          <w:rFonts w:ascii="Traditional Arabic" w:hAnsi="Traditional Arabic" w:cs="Traditional Arabic"/>
          <w:sz w:val="24"/>
          <w:szCs w:val="24"/>
          <w:rtl/>
        </w:rPr>
        <w:t>السوق الموازية)</w:t>
      </w:r>
      <w:r w:rsidR="00D7278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002B6309" w:rsidRPr="007C544A">
        <w:rPr>
          <w:rFonts w:ascii="Traditional Arabic" w:hAnsi="Traditional Arabic" w:cs="Traditional Arabic"/>
          <w:sz w:val="24"/>
          <w:szCs w:val="24"/>
          <w:rtl/>
        </w:rPr>
        <w:t xml:space="preserve"> المالي بعد الدمج- متطلبات الحوكمة في سوق النمو- تعزيز القدرة التنافسية- فرص الشركات في الحصول على تمويل) </w:t>
      </w:r>
    </w:p>
    <w:p w:rsidR="001416F4" w:rsidRPr="007C544A" w:rsidRDefault="001416F4"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p>
    <w:p w:rsidR="00A70C3E" w:rsidRPr="007C544A" w:rsidRDefault="00AE37A6" w:rsidP="001416F4">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lastRenderedPageBreak/>
        <w:t xml:space="preserve">تاسعاً- </w:t>
      </w:r>
      <w:r w:rsidR="00A70C3E" w:rsidRPr="007C544A">
        <w:rPr>
          <w:rFonts w:ascii="Traditional Arabic" w:hAnsi="Traditional Arabic" w:cs="Traditional Arabic"/>
          <w:b/>
          <w:bCs/>
          <w:sz w:val="28"/>
          <w:szCs w:val="28"/>
          <w:rtl/>
          <w:lang w:bidi="ar-EG"/>
        </w:rPr>
        <w:t>حدود الدراسة</w:t>
      </w:r>
      <w:r w:rsidR="00775B4E" w:rsidRPr="007C544A">
        <w:rPr>
          <w:rFonts w:ascii="Traditional Arabic" w:hAnsi="Traditional Arabic" w:cs="Traditional Arabic"/>
          <w:b/>
          <w:bCs/>
          <w:sz w:val="28"/>
          <w:szCs w:val="28"/>
          <w:rtl/>
          <w:lang w:bidi="ar-EG"/>
        </w:rPr>
        <w:t xml:space="preserve">: </w:t>
      </w:r>
    </w:p>
    <w:p w:rsidR="00EC4411" w:rsidRPr="007C544A" w:rsidRDefault="00EC4411" w:rsidP="002D00D3">
      <w:pPr>
        <w:pStyle w:val="NormalWeb"/>
        <w:numPr>
          <w:ilvl w:val="0"/>
          <w:numId w:val="10"/>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rtl/>
        </w:rPr>
      </w:pPr>
      <w:r w:rsidRPr="007C544A">
        <w:rPr>
          <w:rFonts w:ascii="Traditional Arabic" w:eastAsiaTheme="minorHAnsi" w:hAnsi="Traditional Arabic" w:cs="Traditional Arabic"/>
          <w:rtl/>
          <w:lang w:bidi="ar-EG"/>
        </w:rPr>
        <w:t>الحدود البشرية</w:t>
      </w:r>
      <w:r w:rsidR="00775B4E" w:rsidRPr="007C544A">
        <w:rPr>
          <w:rFonts w:ascii="Traditional Arabic" w:hAnsi="Traditional Arabic" w:cs="Traditional Arabic"/>
          <w:rtl/>
        </w:rPr>
        <w:t xml:space="preserve">: </w:t>
      </w:r>
      <w:r w:rsidR="00917756" w:rsidRPr="007C544A">
        <w:rPr>
          <w:rFonts w:ascii="Traditional Arabic" w:hAnsi="Traditional Arabic" w:cs="Traditional Arabic"/>
          <w:rtl/>
        </w:rPr>
        <w:t>اقتصر</w:t>
      </w:r>
      <w:r w:rsidR="00811149" w:rsidRPr="007C544A">
        <w:rPr>
          <w:rFonts w:ascii="Traditional Arabic" w:hAnsi="Traditional Arabic" w:cs="Traditional Arabic"/>
          <w:rtl/>
        </w:rPr>
        <w:t xml:space="preserve"> البحث على العاملين في </w:t>
      </w:r>
      <w:r w:rsidR="00D65014" w:rsidRPr="007C544A">
        <w:rPr>
          <w:rFonts w:ascii="Traditional Arabic" w:hAnsi="Traditional Arabic" w:cs="Traditional Arabic"/>
          <w:rtl/>
        </w:rPr>
        <w:t xml:space="preserve">الشركات السعودية </w:t>
      </w:r>
    </w:p>
    <w:p w:rsidR="00EC4411" w:rsidRPr="007C544A" w:rsidRDefault="00EC4411" w:rsidP="002D00D3">
      <w:pPr>
        <w:pStyle w:val="NormalWeb"/>
        <w:numPr>
          <w:ilvl w:val="0"/>
          <w:numId w:val="10"/>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rtl/>
        </w:rPr>
      </w:pPr>
      <w:r w:rsidRPr="007C544A">
        <w:rPr>
          <w:rFonts w:ascii="Traditional Arabic" w:eastAsiaTheme="minorHAnsi" w:hAnsi="Traditional Arabic" w:cs="Traditional Arabic"/>
          <w:rtl/>
          <w:lang w:bidi="ar-EG"/>
        </w:rPr>
        <w:t>الحدود الزمانية</w:t>
      </w:r>
      <w:r w:rsidR="00775B4E" w:rsidRPr="007C544A">
        <w:rPr>
          <w:rFonts w:ascii="Traditional Arabic" w:eastAsiaTheme="minorHAnsi" w:hAnsi="Traditional Arabic" w:cs="Traditional Arabic"/>
          <w:rtl/>
          <w:lang w:bidi="ar-EG"/>
        </w:rPr>
        <w:t xml:space="preserve">: </w:t>
      </w:r>
      <w:r w:rsidR="00F2262C" w:rsidRPr="007C544A">
        <w:rPr>
          <w:rFonts w:ascii="Traditional Arabic" w:hAnsi="Traditional Arabic" w:cs="Traditional Arabic"/>
          <w:rtl/>
        </w:rPr>
        <w:t>أجري</w:t>
      </w:r>
      <w:r w:rsidRPr="007C544A">
        <w:rPr>
          <w:rFonts w:ascii="Traditional Arabic" w:hAnsi="Traditional Arabic" w:cs="Traditional Arabic"/>
          <w:rtl/>
        </w:rPr>
        <w:t xml:space="preserve"> البحث </w:t>
      </w:r>
      <w:r w:rsidR="00811149" w:rsidRPr="007C544A">
        <w:rPr>
          <w:rFonts w:ascii="Traditional Arabic" w:hAnsi="Traditional Arabic" w:cs="Traditional Arabic"/>
          <w:rtl/>
        </w:rPr>
        <w:t xml:space="preserve">في </w:t>
      </w:r>
      <w:r w:rsidR="004C1B01" w:rsidRPr="007C544A">
        <w:rPr>
          <w:rFonts w:ascii="Traditional Arabic" w:hAnsi="Traditional Arabic" w:cs="Traditional Arabic" w:hint="cs"/>
          <w:rtl/>
        </w:rPr>
        <w:t>16 -</w:t>
      </w:r>
      <w:r w:rsidR="00917756" w:rsidRPr="007C544A">
        <w:rPr>
          <w:rFonts w:ascii="Traditional Arabic" w:hAnsi="Traditional Arabic" w:cs="Traditional Arabic"/>
          <w:rtl/>
        </w:rPr>
        <w:t xml:space="preserve">شهر </w:t>
      </w:r>
      <w:r w:rsidR="00D65014" w:rsidRPr="007C544A">
        <w:rPr>
          <w:rFonts w:ascii="Traditional Arabic" w:hAnsi="Traditional Arabic" w:cs="Traditional Arabic"/>
          <w:rtl/>
        </w:rPr>
        <w:t>ديسمبر</w:t>
      </w:r>
      <w:r w:rsidR="004C1B01" w:rsidRPr="007C544A">
        <w:rPr>
          <w:rFonts w:ascii="Traditional Arabic" w:hAnsi="Traditional Arabic" w:cs="Traditional Arabic" w:hint="cs"/>
          <w:rtl/>
        </w:rPr>
        <w:t xml:space="preserve"> </w:t>
      </w:r>
      <w:r w:rsidRPr="007C544A">
        <w:rPr>
          <w:rFonts w:ascii="Traditional Arabic" w:hAnsi="Traditional Arabic" w:cs="Traditional Arabic"/>
          <w:rtl/>
        </w:rPr>
        <w:t>من العام</w:t>
      </w:r>
      <w:r w:rsidR="00FC506F" w:rsidRPr="007C544A">
        <w:rPr>
          <w:rFonts w:ascii="Traditional Arabic" w:hAnsi="Traditional Arabic" w:cs="Traditional Arabic"/>
          <w:rtl/>
        </w:rPr>
        <w:t xml:space="preserve"> </w:t>
      </w:r>
      <w:r w:rsidRPr="007C544A">
        <w:rPr>
          <w:rFonts w:ascii="Traditional Arabic" w:hAnsi="Traditional Arabic" w:cs="Traditional Arabic"/>
          <w:rtl/>
        </w:rPr>
        <w:t>202</w:t>
      </w:r>
      <w:r w:rsidR="00D65014" w:rsidRPr="007C544A">
        <w:rPr>
          <w:rFonts w:ascii="Traditional Arabic" w:hAnsi="Traditional Arabic" w:cs="Traditional Arabic"/>
          <w:rtl/>
        </w:rPr>
        <w:t>5</w:t>
      </w:r>
      <w:r w:rsidR="004C1B01" w:rsidRPr="007C544A">
        <w:rPr>
          <w:rFonts w:ascii="Traditional Arabic" w:hAnsi="Traditional Arabic" w:cs="Traditional Arabic" w:hint="cs"/>
          <w:rtl/>
        </w:rPr>
        <w:t xml:space="preserve"> الى 16 يناير 2026</w:t>
      </w:r>
    </w:p>
    <w:p w:rsidR="00EC4411" w:rsidRPr="007C544A" w:rsidRDefault="00EC4411" w:rsidP="002D00D3">
      <w:pPr>
        <w:pStyle w:val="NormalWeb"/>
        <w:numPr>
          <w:ilvl w:val="0"/>
          <w:numId w:val="10"/>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rtl/>
        </w:rPr>
      </w:pPr>
      <w:r w:rsidRPr="007C544A">
        <w:rPr>
          <w:rFonts w:ascii="Traditional Arabic" w:eastAsiaTheme="minorHAnsi" w:hAnsi="Traditional Arabic" w:cs="Traditional Arabic"/>
          <w:rtl/>
          <w:lang w:bidi="ar-EG"/>
        </w:rPr>
        <w:t>الحدود المكانية</w:t>
      </w:r>
      <w:r w:rsidR="00775B4E" w:rsidRPr="007C544A">
        <w:rPr>
          <w:rFonts w:ascii="Traditional Arabic" w:eastAsiaTheme="minorHAnsi" w:hAnsi="Traditional Arabic" w:cs="Traditional Arabic"/>
          <w:rtl/>
          <w:lang w:bidi="ar-EG"/>
        </w:rPr>
        <w:t xml:space="preserve">: </w:t>
      </w:r>
      <w:r w:rsidR="00917756" w:rsidRPr="007C544A">
        <w:rPr>
          <w:rFonts w:ascii="Traditional Arabic" w:hAnsi="Traditional Arabic" w:cs="Traditional Arabic"/>
          <w:rtl/>
        </w:rPr>
        <w:t>اجري</w:t>
      </w:r>
      <w:r w:rsidRPr="007C544A">
        <w:rPr>
          <w:rFonts w:ascii="Traditional Arabic" w:hAnsi="Traditional Arabic" w:cs="Traditional Arabic"/>
          <w:rtl/>
        </w:rPr>
        <w:t xml:space="preserve"> البحث </w:t>
      </w:r>
      <w:r w:rsidR="00811149" w:rsidRPr="007C544A">
        <w:rPr>
          <w:rFonts w:ascii="Traditional Arabic" w:hAnsi="Traditional Arabic" w:cs="Traditional Arabic"/>
          <w:rtl/>
        </w:rPr>
        <w:t xml:space="preserve">على </w:t>
      </w:r>
      <w:r w:rsidR="00D65014" w:rsidRPr="007C544A">
        <w:rPr>
          <w:rFonts w:ascii="Traditional Arabic" w:hAnsi="Traditional Arabic" w:cs="Traditional Arabic"/>
          <w:rtl/>
        </w:rPr>
        <w:t xml:space="preserve">الشركات السعودية التي قامت بعملية الدمج. </w:t>
      </w:r>
    </w:p>
    <w:p w:rsidR="00AD1B76"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عاشراً- </w:t>
      </w:r>
      <w:r w:rsidR="00A70C3E" w:rsidRPr="007C544A">
        <w:rPr>
          <w:rFonts w:ascii="Traditional Arabic" w:hAnsi="Traditional Arabic" w:cs="Traditional Arabic"/>
          <w:b/>
          <w:bCs/>
          <w:sz w:val="28"/>
          <w:szCs w:val="28"/>
          <w:rtl/>
          <w:lang w:bidi="ar-EG"/>
        </w:rPr>
        <w:t>هيكل الدراسة</w:t>
      </w:r>
      <w:r w:rsidR="00775B4E" w:rsidRPr="007C544A">
        <w:rPr>
          <w:rFonts w:ascii="Traditional Arabic" w:hAnsi="Traditional Arabic" w:cs="Traditional Arabic"/>
          <w:b/>
          <w:bCs/>
          <w:sz w:val="28"/>
          <w:szCs w:val="28"/>
          <w:rtl/>
          <w:lang w:bidi="ar-EG"/>
        </w:rPr>
        <w:t xml:space="preserve">: </w:t>
      </w:r>
    </w:p>
    <w:p w:rsidR="00FC35AE" w:rsidRPr="007C544A" w:rsidRDefault="00FC35A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تتكون الدراسة من </w:t>
      </w:r>
      <w:r w:rsidR="00917756" w:rsidRPr="007C544A">
        <w:rPr>
          <w:rFonts w:ascii="Traditional Arabic" w:hAnsi="Traditional Arabic" w:cs="Traditional Arabic"/>
          <w:sz w:val="24"/>
          <w:szCs w:val="24"/>
          <w:rtl/>
          <w:lang w:bidi="ar-EG"/>
        </w:rPr>
        <w:t>أربعة</w:t>
      </w:r>
      <w:r w:rsidRPr="007C544A">
        <w:rPr>
          <w:rFonts w:ascii="Traditional Arabic" w:hAnsi="Traditional Arabic" w:cs="Traditional Arabic"/>
          <w:sz w:val="24"/>
          <w:szCs w:val="24"/>
          <w:rtl/>
          <w:lang w:bidi="ar-EG"/>
        </w:rPr>
        <w:t xml:space="preserve"> فصول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يبدأ كل فصل منها بمقدمة تعبر عن محتوياته بشكل مختصر</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F63DC8" w:rsidRPr="007C544A">
        <w:rPr>
          <w:rFonts w:ascii="Traditional Arabic" w:hAnsi="Traditional Arabic" w:cs="Traditional Arabic"/>
          <w:sz w:val="24"/>
          <w:szCs w:val="24"/>
          <w:rtl/>
          <w:lang w:bidi="ar-EG"/>
        </w:rPr>
        <w:t>تندرج فصول الدراسة كما يأت</w:t>
      </w:r>
      <w:r w:rsidRPr="007C544A">
        <w:rPr>
          <w:rFonts w:ascii="Traditional Arabic" w:hAnsi="Traditional Arabic" w:cs="Traditional Arabic"/>
          <w:sz w:val="24"/>
          <w:szCs w:val="24"/>
          <w:rtl/>
          <w:lang w:bidi="ar-EG"/>
        </w:rPr>
        <w:t>ي</w:t>
      </w:r>
      <w:r w:rsidR="00775B4E" w:rsidRPr="007C544A">
        <w:rPr>
          <w:rFonts w:ascii="Traditional Arabic" w:hAnsi="Traditional Arabic" w:cs="Traditional Arabic"/>
          <w:sz w:val="24"/>
          <w:szCs w:val="24"/>
          <w:rtl/>
          <w:lang w:bidi="ar-EG"/>
        </w:rPr>
        <w:t xml:space="preserve">: </w:t>
      </w:r>
    </w:p>
    <w:p w:rsidR="00AD1B76" w:rsidRPr="007C544A" w:rsidRDefault="00AD1B76"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الفصل ال</w:t>
      </w:r>
      <w:r w:rsidR="00B02E61" w:rsidRPr="007C544A">
        <w:rPr>
          <w:rFonts w:ascii="Traditional Arabic" w:hAnsi="Traditional Arabic" w:cs="Traditional Arabic"/>
          <w:sz w:val="24"/>
          <w:szCs w:val="24"/>
          <w:rtl/>
          <w:lang w:bidi="ar-EG"/>
        </w:rPr>
        <w:t>أو</w:t>
      </w:r>
      <w:r w:rsidRPr="007C544A">
        <w:rPr>
          <w:rFonts w:ascii="Traditional Arabic" w:hAnsi="Traditional Arabic" w:cs="Traditional Arabic"/>
          <w:sz w:val="24"/>
          <w:szCs w:val="24"/>
          <w:rtl/>
          <w:lang w:bidi="ar-EG"/>
        </w:rPr>
        <w:t>ل</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w:t>
      </w:r>
      <w:r w:rsidR="00977C76" w:rsidRPr="007C544A">
        <w:rPr>
          <w:rFonts w:ascii="Traditional Arabic" w:hAnsi="Traditional Arabic" w:cs="Traditional Arabic"/>
          <w:sz w:val="24"/>
          <w:szCs w:val="24"/>
          <w:rtl/>
          <w:lang w:bidi="ar-EG"/>
        </w:rPr>
        <w:t xml:space="preserve">إطار </w:t>
      </w:r>
      <w:r w:rsidR="00D65014" w:rsidRPr="007C544A">
        <w:rPr>
          <w:rFonts w:ascii="Traditional Arabic" w:hAnsi="Traditional Arabic" w:cs="Traditional Arabic"/>
          <w:sz w:val="24"/>
          <w:szCs w:val="24"/>
          <w:rtl/>
          <w:lang w:bidi="ar-EG"/>
        </w:rPr>
        <w:t>المنهجي</w:t>
      </w:r>
      <w:r w:rsidRPr="007C544A">
        <w:rPr>
          <w:rFonts w:ascii="Traditional Arabic" w:hAnsi="Traditional Arabic" w:cs="Traditional Arabic"/>
          <w:sz w:val="24"/>
          <w:szCs w:val="24"/>
          <w:rtl/>
          <w:lang w:bidi="ar-EG"/>
        </w:rPr>
        <w:t xml:space="preserve"> للدراسة</w:t>
      </w:r>
      <w:r w:rsidR="00775B4E" w:rsidRPr="007C544A">
        <w:rPr>
          <w:rFonts w:ascii="Traditional Arabic" w:hAnsi="Traditional Arabic" w:cs="Traditional Arabic"/>
          <w:sz w:val="24"/>
          <w:szCs w:val="24"/>
          <w:rtl/>
          <w:lang w:bidi="ar-EG"/>
        </w:rPr>
        <w:t xml:space="preserve">: </w:t>
      </w:r>
    </w:p>
    <w:p w:rsidR="00B75C62" w:rsidRPr="007C544A" w:rsidRDefault="00B75C62"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يشمل بنود</w:t>
      </w:r>
      <w:r w:rsidR="00F63DC8" w:rsidRPr="007C544A">
        <w:rPr>
          <w:rFonts w:ascii="Traditional Arabic" w:hAnsi="Traditional Arabic" w:cs="Traditional Arabic"/>
          <w:sz w:val="24"/>
          <w:szCs w:val="24"/>
          <w:rtl/>
          <w:lang w:bidi="ar-EG"/>
        </w:rPr>
        <w:t>ا</w:t>
      </w:r>
      <w:r w:rsidR="00AA6F5A" w:rsidRPr="007C544A">
        <w:rPr>
          <w:rFonts w:ascii="Traditional Arabic" w:hAnsi="Traditional Arabic" w:cs="Traditional Arabic"/>
          <w:sz w:val="24"/>
          <w:szCs w:val="24"/>
          <w:rtl/>
          <w:lang w:bidi="ar-EG"/>
        </w:rPr>
        <w:t>ً</w:t>
      </w:r>
      <w:r w:rsidR="00F63DC8" w:rsidRPr="007C544A">
        <w:rPr>
          <w:rFonts w:ascii="Traditional Arabic" w:hAnsi="Traditional Arabic" w:cs="Traditional Arabic"/>
          <w:sz w:val="24"/>
          <w:szCs w:val="24"/>
          <w:rtl/>
          <w:lang w:bidi="ar-EG"/>
        </w:rPr>
        <w:t xml:space="preserve"> رئيس</w:t>
      </w:r>
      <w:r w:rsidR="00AA6F5A" w:rsidRPr="007C544A">
        <w:rPr>
          <w:rFonts w:ascii="Traditional Arabic" w:hAnsi="Traditional Arabic" w:cs="Traditional Arabic"/>
          <w:sz w:val="24"/>
          <w:szCs w:val="24"/>
          <w:rtl/>
          <w:lang w:bidi="ar-EG"/>
        </w:rPr>
        <w:t>ي</w:t>
      </w:r>
      <w:r w:rsidRPr="007C544A">
        <w:rPr>
          <w:rFonts w:ascii="Traditional Arabic" w:hAnsi="Traditional Arabic" w:cs="Traditional Arabic"/>
          <w:sz w:val="24"/>
          <w:szCs w:val="24"/>
          <w:rtl/>
          <w:lang w:bidi="ar-EG"/>
        </w:rPr>
        <w:t>ة</w:t>
      </w:r>
      <w:r w:rsidR="00F63DC8" w:rsidRPr="007C544A">
        <w:rPr>
          <w:rFonts w:ascii="Traditional Arabic" w:hAnsi="Traditional Arabic" w:cs="Traditional Arabic"/>
          <w:sz w:val="24"/>
          <w:szCs w:val="24"/>
          <w:rtl/>
          <w:lang w:bidi="ar-EG"/>
        </w:rPr>
        <w:t xml:space="preserve"> عدة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هي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مصطلحات 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الدراسات السابقة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الدراسة الاستطلاعية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مشكلة 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977C76" w:rsidRPr="007C544A">
        <w:rPr>
          <w:rFonts w:ascii="Traditional Arabic" w:hAnsi="Traditional Arabic" w:cs="Traditional Arabic"/>
          <w:sz w:val="24"/>
          <w:szCs w:val="24"/>
          <w:rtl/>
          <w:lang w:bidi="ar-EG"/>
        </w:rPr>
        <w:t>أهداف</w:t>
      </w:r>
      <w:r w:rsidR="00362767"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3F6CDC" w:rsidRPr="007C544A">
        <w:rPr>
          <w:rFonts w:ascii="Traditional Arabic" w:hAnsi="Traditional Arabic" w:cs="Traditional Arabic"/>
          <w:sz w:val="24"/>
          <w:szCs w:val="24"/>
          <w:rtl/>
          <w:lang w:bidi="ar-EG"/>
        </w:rPr>
        <w:t>أهمية</w:t>
      </w:r>
      <w:r w:rsidRPr="007C544A">
        <w:rPr>
          <w:rFonts w:ascii="Traditional Arabic" w:hAnsi="Traditional Arabic" w:cs="Traditional Arabic"/>
          <w:sz w:val="24"/>
          <w:szCs w:val="24"/>
          <w:rtl/>
          <w:lang w:bidi="ar-EG"/>
        </w:rPr>
        <w:t xml:space="preserve"> الدراسة</w:t>
      </w:r>
      <w:r w:rsidR="00D7278E" w:rsidRPr="007C544A">
        <w:rPr>
          <w:rFonts w:ascii="Traditional Arabic" w:hAnsi="Traditional Arabic" w:cs="Traditional Arabic"/>
          <w:sz w:val="24"/>
          <w:szCs w:val="24"/>
          <w:rtl/>
          <w:lang w:bidi="ar-EG"/>
        </w:rPr>
        <w:t xml:space="preserve">، </w:t>
      </w:r>
      <w:r w:rsidR="007F4C13"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فروض الدراسة</w:t>
      </w:r>
      <w:r w:rsidR="00D7278E" w:rsidRPr="007C544A">
        <w:rPr>
          <w:rFonts w:ascii="Traditional Arabic" w:hAnsi="Traditional Arabic" w:cs="Traditional Arabic"/>
          <w:sz w:val="24"/>
          <w:szCs w:val="24"/>
          <w:rtl/>
          <w:lang w:bidi="ar-EG"/>
        </w:rPr>
        <w:t xml:space="preserve">، </w:t>
      </w:r>
      <w:r w:rsidR="007F4C13"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نموذج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بالإضافة</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حدود 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 xml:space="preserve">أخيرا هيكل الدراسة. </w:t>
      </w:r>
    </w:p>
    <w:p w:rsidR="00B75C62" w:rsidRPr="007C544A" w:rsidRDefault="00B75C62"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الفصل الثاني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w:t>
      </w:r>
      <w:r w:rsidR="00977C76" w:rsidRPr="007C544A">
        <w:rPr>
          <w:rFonts w:ascii="Traditional Arabic" w:hAnsi="Traditional Arabic" w:cs="Traditional Arabic"/>
          <w:sz w:val="24"/>
          <w:szCs w:val="24"/>
          <w:rtl/>
          <w:lang w:bidi="ar-EG"/>
        </w:rPr>
        <w:t xml:space="preserve">إطار </w:t>
      </w:r>
      <w:r w:rsidR="0078233F" w:rsidRPr="007C544A">
        <w:rPr>
          <w:rFonts w:ascii="Traditional Arabic" w:hAnsi="Traditional Arabic" w:cs="Traditional Arabic"/>
          <w:sz w:val="24"/>
          <w:szCs w:val="24"/>
          <w:rtl/>
          <w:lang w:bidi="ar-EG"/>
        </w:rPr>
        <w:t>النظري</w:t>
      </w:r>
      <w:r w:rsidR="00674B70" w:rsidRPr="007C544A">
        <w:rPr>
          <w:rFonts w:ascii="Traditional Arabic" w:hAnsi="Traditional Arabic" w:cs="Traditional Arabic"/>
          <w:sz w:val="24"/>
          <w:szCs w:val="24"/>
          <w:rtl/>
          <w:lang w:bidi="ar-EG"/>
        </w:rPr>
        <w:t xml:space="preserve"> و</w:t>
      </w:r>
      <w:r w:rsidR="0078233F" w:rsidRPr="007C544A">
        <w:rPr>
          <w:rFonts w:ascii="Traditional Arabic" w:hAnsi="Traditional Arabic" w:cs="Traditional Arabic"/>
          <w:sz w:val="24"/>
          <w:szCs w:val="24"/>
          <w:rtl/>
          <w:lang w:bidi="ar-EG"/>
        </w:rPr>
        <w:t>المفاهيمي</w:t>
      </w:r>
      <w:r w:rsidRPr="007C544A">
        <w:rPr>
          <w:rFonts w:ascii="Traditional Arabic" w:hAnsi="Traditional Arabic" w:cs="Traditional Arabic"/>
          <w:sz w:val="24"/>
          <w:szCs w:val="24"/>
          <w:rtl/>
          <w:lang w:bidi="ar-EG"/>
        </w:rPr>
        <w:t xml:space="preserve"> للدراسة</w:t>
      </w:r>
      <w:r w:rsidR="00775B4E" w:rsidRPr="007C544A">
        <w:rPr>
          <w:rFonts w:ascii="Traditional Arabic" w:hAnsi="Traditional Arabic" w:cs="Traditional Arabic"/>
          <w:sz w:val="24"/>
          <w:szCs w:val="24"/>
          <w:rtl/>
          <w:lang w:bidi="ar-EG"/>
        </w:rPr>
        <w:t xml:space="preserve">: </w:t>
      </w:r>
    </w:p>
    <w:p w:rsidR="00245829" w:rsidRPr="007C544A" w:rsidRDefault="00B75C62"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ي</w:t>
      </w:r>
      <w:r w:rsidR="000760F7" w:rsidRPr="007C544A">
        <w:rPr>
          <w:rFonts w:ascii="Traditional Arabic" w:eastAsiaTheme="minorHAnsi" w:hAnsi="Traditional Arabic" w:cs="Traditional Arabic"/>
          <w:rtl/>
          <w:lang w:bidi="ar-EG"/>
        </w:rPr>
        <w:t>تناول</w:t>
      </w:r>
      <w:r w:rsidRPr="007C544A">
        <w:rPr>
          <w:rFonts w:ascii="Traditional Arabic" w:eastAsiaTheme="minorHAnsi" w:hAnsi="Traditional Arabic" w:cs="Traditional Arabic"/>
          <w:rtl/>
          <w:lang w:bidi="ar-EG"/>
        </w:rPr>
        <w:t xml:space="preserve"> الفصل الثاني</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w:t>
      </w:r>
      <w:r w:rsidR="00977C76" w:rsidRPr="007C544A">
        <w:rPr>
          <w:rFonts w:ascii="Traditional Arabic" w:eastAsiaTheme="minorHAnsi" w:hAnsi="Traditional Arabic" w:cs="Traditional Arabic"/>
          <w:rtl/>
          <w:lang w:bidi="ar-EG"/>
        </w:rPr>
        <w:t xml:space="preserve">إطار </w:t>
      </w:r>
      <w:r w:rsidRPr="007C544A">
        <w:rPr>
          <w:rFonts w:ascii="Traditional Arabic" w:eastAsiaTheme="minorHAnsi" w:hAnsi="Traditional Arabic" w:cs="Traditional Arabic"/>
          <w:rtl/>
          <w:lang w:bidi="ar-EG"/>
        </w:rPr>
        <w:t>المفاهيم</w:t>
      </w:r>
      <w:r w:rsidR="00AA6F5A" w:rsidRPr="007C544A">
        <w:rPr>
          <w:rFonts w:ascii="Traditional Arabic" w:eastAsiaTheme="minorHAnsi" w:hAnsi="Traditional Arabic" w:cs="Traditional Arabic"/>
          <w:rtl/>
          <w:lang w:bidi="ar-EG"/>
        </w:rPr>
        <w:t>ي</w:t>
      </w:r>
      <w:r w:rsidRPr="007C544A">
        <w:rPr>
          <w:rFonts w:ascii="Traditional Arabic" w:eastAsiaTheme="minorHAnsi" w:hAnsi="Traditional Arabic" w:cs="Traditional Arabic"/>
          <w:rtl/>
          <w:lang w:bidi="ar-EG"/>
        </w:rPr>
        <w:t xml:space="preserve"> للدراسة من خلال </w:t>
      </w:r>
      <w:r w:rsidR="00245829" w:rsidRPr="007C544A">
        <w:rPr>
          <w:rFonts w:ascii="Traditional Arabic" w:eastAsiaTheme="minorHAnsi" w:hAnsi="Traditional Arabic" w:cs="Traditional Arabic"/>
          <w:rtl/>
          <w:lang w:bidi="ar-EG"/>
        </w:rPr>
        <w:t>التطرق</w:t>
      </w:r>
      <w:r w:rsidR="000544F4" w:rsidRPr="007C544A">
        <w:rPr>
          <w:rFonts w:ascii="Traditional Arabic" w:eastAsiaTheme="minorHAnsi" w:hAnsi="Traditional Arabic" w:cs="Traditional Arabic"/>
          <w:rtl/>
          <w:lang w:bidi="ar-EG"/>
        </w:rPr>
        <w:t xml:space="preserve"> إلى </w:t>
      </w:r>
      <w:r w:rsidR="00245829" w:rsidRPr="007C544A">
        <w:rPr>
          <w:rFonts w:ascii="Traditional Arabic" w:eastAsiaTheme="minorHAnsi" w:hAnsi="Traditional Arabic" w:cs="Traditional Arabic"/>
          <w:rtl/>
          <w:lang w:bidi="ar-EG"/>
        </w:rPr>
        <w:t>مفهوم استراتيجية دمج الشركات وأهميتها</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وأهدافها</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وأبعادها. كما يتناول أنواع الدمج والاستحواذ</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والمحددات الاستراتيجية والقانونية لها</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والربط بين استراتيجية الدمج وأداء الشركات العائلية</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وتأثيرها على القدرة التنافسية واستدامة ال</w:t>
      </w:r>
      <w:r w:rsidR="003F6CDC" w:rsidRPr="007C544A">
        <w:rPr>
          <w:rFonts w:ascii="Traditional Arabic" w:eastAsiaTheme="minorHAnsi" w:hAnsi="Traditional Arabic" w:cs="Traditional Arabic"/>
          <w:rtl/>
          <w:lang w:bidi="ar-EG"/>
        </w:rPr>
        <w:t>أعمال</w:t>
      </w:r>
      <w:r w:rsidR="00245829" w:rsidRPr="007C544A">
        <w:rPr>
          <w:rFonts w:ascii="Traditional Arabic" w:eastAsiaTheme="minorHAnsi" w:hAnsi="Traditional Arabic" w:cs="Traditional Arabic"/>
          <w:rtl/>
          <w:lang w:bidi="ar-EG"/>
        </w:rPr>
        <w:t xml:space="preserve"> عند دخول السوق الموازية لسوق المال السعودي</w:t>
      </w:r>
      <w:r w:rsidR="00245829" w:rsidRPr="007C544A">
        <w:rPr>
          <w:rFonts w:ascii="Traditional Arabic" w:eastAsiaTheme="minorHAnsi" w:hAnsi="Traditional Arabic" w:cs="Traditional Arabic"/>
          <w:lang w:bidi="ar-EG"/>
        </w:rPr>
        <w:t>.</w:t>
      </w:r>
    </w:p>
    <w:p w:rsidR="00276DAD" w:rsidRPr="007C544A" w:rsidRDefault="00276DAD"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الفصل الثالث</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منهجية الدراسة والدراسة الميدانية</w:t>
      </w:r>
      <w:r w:rsidR="00775B4E" w:rsidRPr="007C544A">
        <w:rPr>
          <w:rFonts w:ascii="Traditional Arabic" w:hAnsi="Traditional Arabic" w:cs="Traditional Arabic"/>
          <w:sz w:val="24"/>
          <w:szCs w:val="24"/>
          <w:rtl/>
          <w:lang w:bidi="ar-EG"/>
        </w:rPr>
        <w:t xml:space="preserve">: </w:t>
      </w:r>
    </w:p>
    <w:p w:rsidR="007F4C13" w:rsidRPr="007C544A" w:rsidRDefault="00276DAD"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يتكون من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أسلوب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مجتمع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عينة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أدوات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خطوات بناء قائمة الاستقصاء</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صدق الاستبيان</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ثبات الاستبيان</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007F4C13" w:rsidRPr="007C544A">
        <w:rPr>
          <w:rFonts w:ascii="Traditional Arabic" w:eastAsia="Times New Roman" w:hAnsi="Traditional Arabic" w:cs="Traditional Arabic"/>
          <w:sz w:val="24"/>
          <w:szCs w:val="24"/>
          <w:rtl/>
        </w:rPr>
        <w:t>الأ</w:t>
      </w:r>
      <w:r w:rsidRPr="007C544A">
        <w:rPr>
          <w:rFonts w:ascii="Traditional Arabic" w:eastAsia="Times New Roman" w:hAnsi="Traditional Arabic" w:cs="Traditional Arabic"/>
          <w:sz w:val="24"/>
          <w:szCs w:val="24"/>
          <w:rtl/>
        </w:rPr>
        <w:t>ساليب ال</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ة المستخدمة في التحليل ال</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 xml:space="preserve"> للبيانات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ثم </w:t>
      </w:r>
      <w:r w:rsidR="000760F7" w:rsidRPr="007C544A">
        <w:rPr>
          <w:rFonts w:ascii="Traditional Arabic" w:eastAsia="Times New Roman" w:hAnsi="Traditional Arabic" w:cs="Traditional Arabic"/>
          <w:sz w:val="24"/>
          <w:szCs w:val="24"/>
          <w:rtl/>
        </w:rPr>
        <w:t>تناول</w:t>
      </w:r>
      <w:r w:rsidRPr="007C544A">
        <w:rPr>
          <w:rFonts w:ascii="Traditional Arabic" w:eastAsia="Times New Roman" w:hAnsi="Traditional Arabic" w:cs="Traditional Arabic"/>
          <w:sz w:val="24"/>
          <w:szCs w:val="24"/>
          <w:rtl/>
        </w:rPr>
        <w:t xml:space="preserve"> الفصل </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فروض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أهم النتائج التي توصلت إليها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ذلك من خلال استقصاء مفردات عينة مجتمع الدراسة</w:t>
      </w:r>
      <w:r w:rsidR="00674B70" w:rsidRPr="007C544A">
        <w:rPr>
          <w:rFonts w:ascii="Traditional Arabic" w:eastAsia="Times New Roman" w:hAnsi="Traditional Arabic" w:cs="Traditional Arabic"/>
          <w:sz w:val="24"/>
          <w:szCs w:val="24"/>
          <w:rtl/>
        </w:rPr>
        <w:t xml:space="preserve"> و</w:t>
      </w:r>
      <w:r w:rsidRPr="007C544A">
        <w:rPr>
          <w:rFonts w:ascii="Traditional Arabic" w:eastAsia="Times New Roman" w:hAnsi="Traditional Arabic" w:cs="Traditional Arabic"/>
          <w:sz w:val="24"/>
          <w:szCs w:val="24"/>
          <w:rtl/>
        </w:rPr>
        <w:t>التحليل ال</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 xml:space="preserve"> </w:t>
      </w:r>
      <w:r w:rsidR="000760F7" w:rsidRPr="007C544A">
        <w:rPr>
          <w:rFonts w:ascii="Traditional Arabic" w:eastAsia="Times New Roman" w:hAnsi="Traditional Arabic" w:cs="Traditional Arabic"/>
          <w:sz w:val="24"/>
          <w:szCs w:val="24"/>
          <w:rtl/>
        </w:rPr>
        <w:t>لآ</w:t>
      </w:r>
      <w:r w:rsidR="007F4C13" w:rsidRPr="007C544A">
        <w:rPr>
          <w:rFonts w:ascii="Traditional Arabic" w:eastAsia="Times New Roman" w:hAnsi="Traditional Arabic" w:cs="Traditional Arabic"/>
          <w:sz w:val="24"/>
          <w:szCs w:val="24"/>
          <w:rtl/>
        </w:rPr>
        <w:t>راء العاملين في شركة أ</w:t>
      </w:r>
      <w:r w:rsidRPr="007C544A">
        <w:rPr>
          <w:rFonts w:ascii="Traditional Arabic" w:eastAsia="Times New Roman" w:hAnsi="Traditional Arabic" w:cs="Traditional Arabic"/>
          <w:sz w:val="24"/>
          <w:szCs w:val="24"/>
          <w:rtl/>
        </w:rPr>
        <w:t>رما التجارية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 xml:space="preserve">يشمل </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فروض الدراسة</w:t>
      </w:r>
      <w:r w:rsidR="00674B70" w:rsidRPr="007C544A">
        <w:rPr>
          <w:rFonts w:ascii="Traditional Arabic" w:eastAsia="Times New Roman" w:hAnsi="Traditional Arabic" w:cs="Traditional Arabic"/>
          <w:sz w:val="24"/>
          <w:szCs w:val="24"/>
          <w:rtl/>
        </w:rPr>
        <w:t xml:space="preserve"> و</w:t>
      </w:r>
      <w:r w:rsidRPr="007C544A">
        <w:rPr>
          <w:rFonts w:ascii="Traditional Arabic" w:eastAsia="Times New Roman" w:hAnsi="Traditional Arabic" w:cs="Traditional Arabic"/>
          <w:sz w:val="24"/>
          <w:szCs w:val="24"/>
          <w:rtl/>
        </w:rPr>
        <w:t>نتائج الدراسة الميدانية.</w:t>
      </w:r>
    </w:p>
    <w:p w:rsidR="002C0F1A" w:rsidRPr="007C544A" w:rsidRDefault="002C0F1A" w:rsidP="00706522">
      <w:pPr>
        <w:shd w:val="clear" w:color="auto" w:fill="FFFFFF" w:themeFill="background1"/>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الفصل الرابع</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نتائج الدراسة الميدانية وتحليل البيانات</w:t>
      </w:r>
    </w:p>
    <w:p w:rsidR="002C0F1A" w:rsidRPr="007C544A" w:rsidRDefault="002C0F1A"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يتناول هذا الفصل عرض وتحليل البيانات التي تم جمعها من أفراد عينة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وذلك بهدف التعرف على أثر استراتيجية دمج الشركات في تعزيز جاهزية الشركات العائلية السعودية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وقد تم الاعتماد على الأساليب ال</w:t>
      </w:r>
      <w:r w:rsidR="004C5D0F" w:rsidRPr="007C544A">
        <w:rPr>
          <w:rFonts w:ascii="Traditional Arabic" w:hAnsi="Traditional Arabic" w:cs="Traditional Arabic"/>
          <w:rtl/>
        </w:rPr>
        <w:t>إحصائي</w:t>
      </w:r>
      <w:r w:rsidRPr="007C544A">
        <w:rPr>
          <w:rFonts w:ascii="Traditional Arabic" w:hAnsi="Traditional Arabic" w:cs="Traditional Arabic"/>
          <w:rtl/>
        </w:rPr>
        <w:t>ة المناسبة لتحليل البيانات واستخلاص النتائج التي تسهم في تحقيق أهداف الدراسة والإجابة عن تساؤلاتها واختبار فروضها</w:t>
      </w:r>
      <w:r w:rsidRPr="007C544A">
        <w:rPr>
          <w:rFonts w:ascii="Traditional Arabic" w:hAnsi="Traditional Arabic" w:cs="Traditional Arabic"/>
        </w:rPr>
        <w:t>.</w:t>
      </w:r>
    </w:p>
    <w:p w:rsidR="002C0F1A" w:rsidRPr="007C544A" w:rsidRDefault="002C0F1A"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ويبدأ الفصل بعرض التحليل الوصفي للبيانات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والذي يتضمن وصف الخصائص الديموغرافية والوظيفية لأفراد العينة</w:t>
      </w:r>
      <w:r w:rsidR="00D7278E" w:rsidRPr="007C544A">
        <w:rPr>
          <w:rFonts w:ascii="Traditional Arabic" w:hAnsi="Traditional Arabic" w:cs="Traditional Arabic"/>
          <w:rtl/>
        </w:rPr>
        <w:t>،</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جانب تحليل استجاباتهم تجاه متغيرات الدراسة وأبعادها المختلفة من خلال المتوسطات الحسابية والانحرافات المعيارية. كما يتناول الفصل اختبار فروض الدراسة الرئيسة والفرعية باستخدام الأساليب ال</w:t>
      </w:r>
      <w:r w:rsidR="004C5D0F" w:rsidRPr="007C544A">
        <w:rPr>
          <w:rFonts w:ascii="Traditional Arabic" w:hAnsi="Traditional Arabic" w:cs="Traditional Arabic"/>
          <w:rtl/>
        </w:rPr>
        <w:t>إحصائي</w:t>
      </w:r>
      <w:r w:rsidRPr="007C544A">
        <w:rPr>
          <w:rFonts w:ascii="Traditional Arabic" w:hAnsi="Traditional Arabic" w:cs="Traditional Arabic"/>
          <w:rtl/>
        </w:rPr>
        <w:t>ة الملائمة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بهدف تحديد طبيعة العلاقة بين استراتيجية دمج الشركات وأبعاد </w:t>
      </w:r>
      <w:r w:rsidRPr="007C544A">
        <w:rPr>
          <w:rFonts w:ascii="Traditional Arabic" w:hAnsi="Traditional Arabic" w:cs="Traditional Arabic"/>
          <w:rtl/>
        </w:rPr>
        <w:lastRenderedPageBreak/>
        <w:t>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والمتمثلة في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ومتطلبات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اختبار الفروق المرتبطة بالمتغيرات الديموغرافية</w:t>
      </w:r>
      <w:r w:rsidRPr="007C544A">
        <w:rPr>
          <w:rFonts w:ascii="Traditional Arabic" w:hAnsi="Traditional Arabic" w:cs="Traditional Arabic"/>
        </w:rPr>
        <w:t>.</w:t>
      </w:r>
    </w:p>
    <w:p w:rsidR="002C0F1A" w:rsidRPr="007C544A" w:rsidRDefault="002C0F1A"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ويختتم الفصل بعرض ومناقشة النتائج التي تم التوصل إليها في ضوء أهداف الدراسة وتساؤلاتها</w:t>
      </w:r>
      <w:r w:rsidR="00D7278E" w:rsidRPr="007C544A">
        <w:rPr>
          <w:rFonts w:ascii="Traditional Arabic" w:hAnsi="Traditional Arabic" w:cs="Traditional Arabic"/>
          <w:rtl/>
        </w:rPr>
        <w:t xml:space="preserve">، </w:t>
      </w:r>
      <w:r w:rsidRPr="007C544A">
        <w:rPr>
          <w:rFonts w:ascii="Traditional Arabic" w:eastAsiaTheme="minorHAnsi" w:hAnsi="Traditional Arabic" w:cs="Traditional Arabic"/>
          <w:rtl/>
          <w:lang w:bidi="ar-EG"/>
        </w:rPr>
        <w:t>الفصل الخامس</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التوصيات والمقترحات</w:t>
      </w:r>
      <w:r w:rsidRPr="007C544A">
        <w:rPr>
          <w:rFonts w:ascii="Traditional Arabic" w:hAnsi="Traditional Arabic" w:cs="Traditional Arabic"/>
          <w:rtl/>
        </w:rPr>
        <w:t xml:space="preserve"> </w:t>
      </w:r>
    </w:p>
    <w:p w:rsidR="00B07828" w:rsidRPr="007C544A" w:rsidRDefault="00B07828"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تم تخصيص هذا الفصل لعرض</w:t>
      </w:r>
      <w:r w:rsidR="00D7278E" w:rsidRPr="007C544A">
        <w:rPr>
          <w:rFonts w:ascii="Traditional Arabic" w:hAnsi="Traditional Arabic" w:cs="Traditional Arabic"/>
          <w:rtl/>
        </w:rPr>
        <w:t xml:space="preserve"> </w:t>
      </w:r>
      <w:r w:rsidR="00DC1247" w:rsidRPr="007C544A">
        <w:rPr>
          <w:rFonts w:ascii="Traditional Arabic" w:hAnsi="Traditional Arabic" w:cs="Traditional Arabic"/>
          <w:rtl/>
        </w:rPr>
        <w:t>الاستراتيجية المقترحة و</w:t>
      </w:r>
      <w:r w:rsidRPr="007C544A">
        <w:rPr>
          <w:rFonts w:ascii="Traditional Arabic" w:hAnsi="Traditional Arabic" w:cs="Traditional Arabic"/>
          <w:rtl/>
        </w:rPr>
        <w:t>التوصيات المستخلصة من نتائج الدراسة الميدانية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والتي تم بناؤها في ضوء ما توصلت إليه الدراسة من نتائج تتعلق بأثر استراتيجية دمج الشركات في تعزيز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لدى الشركات العائلية السعودية. كما يتضمن الفصل عددًا من المقترحات البحثية المستقبلية التي يمكن أن تسهم في استكمال الجوانب التي لم تتناولها الدراسة الحالية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وينتهي بخاتمة تلخص أهم ما توصلت إليه الدراسة من دلالات علمية وتطبيقية</w:t>
      </w:r>
      <w:r w:rsidRPr="007C544A">
        <w:rPr>
          <w:rFonts w:ascii="Traditional Arabic" w:hAnsi="Traditional Arabic" w:cs="Traditional Arabic"/>
        </w:rPr>
        <w:t>.</w:t>
      </w:r>
    </w:p>
    <w:p w:rsidR="000D0259" w:rsidRPr="007C544A" w:rsidRDefault="00E04F9D"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خلاصة الفصل ال</w:t>
      </w:r>
      <w:r w:rsidR="00B02E61" w:rsidRPr="007C544A">
        <w:rPr>
          <w:rFonts w:ascii="Traditional Arabic" w:hAnsi="Traditional Arabic" w:cs="Traditional Arabic"/>
          <w:b/>
          <w:bCs/>
          <w:sz w:val="28"/>
          <w:szCs w:val="28"/>
          <w:rtl/>
          <w:lang w:bidi="ar-EG"/>
        </w:rPr>
        <w:t>أو</w:t>
      </w:r>
      <w:r w:rsidRPr="007C544A">
        <w:rPr>
          <w:rFonts w:ascii="Traditional Arabic" w:hAnsi="Traditional Arabic" w:cs="Traditional Arabic"/>
          <w:b/>
          <w:bCs/>
          <w:sz w:val="28"/>
          <w:szCs w:val="28"/>
          <w:rtl/>
          <w:lang w:bidi="ar-EG"/>
        </w:rPr>
        <w:t>ل</w:t>
      </w:r>
      <w:r w:rsidR="00775B4E" w:rsidRPr="007C544A">
        <w:rPr>
          <w:rFonts w:ascii="Traditional Arabic" w:hAnsi="Traditional Arabic" w:cs="Traditional Arabic"/>
          <w:b/>
          <w:bCs/>
          <w:sz w:val="28"/>
          <w:szCs w:val="28"/>
          <w:rtl/>
          <w:lang w:bidi="ar-EG"/>
        </w:rPr>
        <w:t xml:space="preserve">: </w:t>
      </w:r>
    </w:p>
    <w:p w:rsidR="00245829" w:rsidRPr="007C544A"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تم عرض مقدمة عن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والتي تناولت متغيرات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تناولت استراتيجية دمج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أشارت</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أبعاد الدمج وأهدافه</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تم طرح مصطلحات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عرضت مفهوم الدمج وأنواعه وأطره القانونية والاستراتيجية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كما تناولت الدراسات السابقة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وعرضت في المحور الأول الدراسات التي تناولت استراتيجيات الدمج وأثرها على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المحور الثاني الذي عرض الدراسات التي تناولت أداء الشركات العائلية بعد الدمج</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أما المحور الثالث فعرض الدراسات التي تناولت العلاقة بين استراتيجية الدمج والقدرة التنافسية والاستدامة للشركات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اختتم بالتعليق على الدراسات السابقة وعرض الفجوة البحثية</w:t>
      </w:r>
      <w:r w:rsidRPr="007C544A">
        <w:rPr>
          <w:rFonts w:ascii="Traditional Arabic" w:eastAsia="Times New Roman" w:hAnsi="Traditional Arabic" w:cs="Traditional Arabic"/>
          <w:sz w:val="24"/>
          <w:szCs w:val="24"/>
        </w:rPr>
        <w:t>.</w:t>
      </w:r>
    </w:p>
    <w:p w:rsidR="00245829" w:rsidRPr="007C544A"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أما الدراسة الاستطلاعية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فتم عرض أسئلة على بعض المسؤولين والموظفين في الشركات العائلية المدرجة في السوق الموازية؛ لمعرفة آرائهم حول أثر استراتيجية الدمج على أداء الشركة وقدرتها التنافسية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عرض مشكلة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وأهدافها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وأهميتها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وفروض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ونموذج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بالإضافة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حدود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وأخيرًا هيكل الدراسة</w:t>
      </w:r>
      <w:r w:rsidR="00FA5E7F" w:rsidRPr="007C544A">
        <w:rPr>
          <w:rFonts w:ascii="Traditional Arabic" w:eastAsia="Times New Roman" w:hAnsi="Traditional Arabic" w:cs="Traditional Arabic"/>
          <w:sz w:val="24"/>
          <w:szCs w:val="24"/>
          <w:rtl/>
        </w:rPr>
        <w:t>.</w:t>
      </w:r>
    </w:p>
    <w:p w:rsidR="00FC506F" w:rsidRPr="007C544A"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وسيتناول الفصل الثاني الإطار النظري والمفاهيمي للدراسة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سيتم عرض مفهوم استراتيجية دمج الشركات وأبعادها وأنواعها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أثرها على الشركات العائلية من خلال التعريفات والمفاهيم والأطر التحليلية</w:t>
      </w:r>
      <w:r w:rsidRPr="007C544A">
        <w:rPr>
          <w:rFonts w:ascii="Traditional Arabic" w:eastAsia="Times New Roman" w:hAnsi="Traditional Arabic" w:cs="Traditional Arabic"/>
          <w:sz w:val="24"/>
          <w:szCs w:val="24"/>
        </w:rPr>
        <w:t>.</w:t>
      </w:r>
      <w:r w:rsidR="00FC506F" w:rsidRPr="007C544A">
        <w:rPr>
          <w:rFonts w:ascii="Traditional Arabic" w:eastAsia="Times New Roman" w:hAnsi="Traditional Arabic" w:cs="Traditional Arabic"/>
          <w:sz w:val="24"/>
          <w:szCs w:val="24"/>
          <w:rtl/>
        </w:rPr>
        <w:br w:type="page"/>
      </w:r>
    </w:p>
    <w:p w:rsidR="00094D54" w:rsidRPr="007C544A" w:rsidRDefault="00094D54" w:rsidP="00706522">
      <w:pPr>
        <w:shd w:val="clear" w:color="auto" w:fill="FFFFFF" w:themeFill="background1"/>
        <w:tabs>
          <w:tab w:val="left" w:pos="2636"/>
        </w:tabs>
        <w:bidi/>
        <w:spacing w:after="0" w:line="360" w:lineRule="auto"/>
        <w:ind w:firstLine="720"/>
        <w:jc w:val="both"/>
        <w:rPr>
          <w:rFonts w:ascii="Times New Roman" w:eastAsia="Times New Roman" w:hAnsi="Times New Roman" w:cs="Simplified Arabic"/>
          <w:sz w:val="28"/>
          <w:szCs w:val="28"/>
          <w:rtl/>
          <w:lang w:bidi="ar-EG"/>
        </w:rPr>
        <w:sectPr w:rsidR="00094D54" w:rsidRPr="007C544A" w:rsidSect="002B5903">
          <w:headerReference w:type="default" r:id="rId12"/>
          <w:footerReference w:type="default" r:id="rId13"/>
          <w:headerReference w:type="first" r:id="rId14"/>
          <w:footerReference w:type="first" r:id="rId15"/>
          <w:pgSz w:w="11906" w:h="16838" w:code="9"/>
          <w:pgMar w:top="1440" w:right="1800" w:bottom="1440" w:left="1800" w:header="720" w:footer="720" w:gutter="0"/>
          <w:pgNumType w:fmt="numberInDash" w:start="1" w:chapStyle="1"/>
          <w:cols w:space="720"/>
          <w:titlePg/>
          <w:docGrid w:linePitch="299"/>
        </w:sectPr>
      </w:pPr>
    </w:p>
    <w:p w:rsidR="001416F4" w:rsidRPr="007C544A" w:rsidRDefault="001416F4" w:rsidP="00706522">
      <w:pPr>
        <w:pStyle w:val="a"/>
        <w:shd w:val="clear" w:color="auto" w:fill="FFFFFF" w:themeFill="background1"/>
        <w:spacing w:line="360" w:lineRule="auto"/>
        <w:rPr>
          <w:rFonts w:ascii="Traditional Arabic" w:hAnsi="Traditional Arabic" w:cs="Traditional Arabic"/>
          <w:b/>
          <w:bCs/>
          <w:sz w:val="40"/>
          <w:szCs w:val="40"/>
          <w:rtl/>
        </w:rPr>
      </w:pPr>
    </w:p>
    <w:p w:rsidR="001416F4" w:rsidRPr="007C544A" w:rsidRDefault="001416F4" w:rsidP="00706522">
      <w:pPr>
        <w:pStyle w:val="a"/>
        <w:shd w:val="clear" w:color="auto" w:fill="FFFFFF" w:themeFill="background1"/>
        <w:spacing w:line="360" w:lineRule="auto"/>
        <w:rPr>
          <w:rFonts w:ascii="Traditional Arabic" w:hAnsi="Traditional Arabic" w:cs="Traditional Arabic"/>
          <w:b/>
          <w:bCs/>
          <w:sz w:val="40"/>
          <w:szCs w:val="40"/>
          <w:rtl/>
        </w:rPr>
      </w:pPr>
    </w:p>
    <w:p w:rsidR="00F5627F" w:rsidRPr="007C544A" w:rsidRDefault="00F5627F"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 xml:space="preserve">الفصل </w:t>
      </w:r>
      <w:r w:rsidR="00097E72" w:rsidRPr="007C544A">
        <w:rPr>
          <w:rFonts w:ascii="Traditional Arabic" w:hAnsi="Traditional Arabic" w:cs="Traditional Arabic"/>
          <w:b/>
          <w:bCs/>
          <w:sz w:val="40"/>
          <w:szCs w:val="40"/>
          <w:rtl/>
        </w:rPr>
        <w:t>الثاني</w:t>
      </w:r>
    </w:p>
    <w:p w:rsidR="00F5627F" w:rsidRPr="007C544A" w:rsidRDefault="00F5627F"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الإطار النظري والمفاهيمي للدراسة</w:t>
      </w:r>
    </w:p>
    <w:p w:rsidR="00FA5E7F" w:rsidRPr="007C544A" w:rsidRDefault="00FA5E7F"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p>
    <w:p w:rsidR="00F5627F" w:rsidRPr="007C544A" w:rsidRDefault="00F5627F"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المبحث الأول</w:t>
      </w:r>
      <w:r w:rsidR="00775B4E" w:rsidRPr="007C544A">
        <w:rPr>
          <w:rFonts w:ascii="Traditional Arabic" w:hAnsi="Traditional Arabic" w:cs="Traditional Arabic"/>
          <w:b/>
          <w:bCs/>
          <w:sz w:val="34"/>
          <w:szCs w:val="34"/>
          <w:rtl/>
          <w:lang w:bidi="ar-EG"/>
        </w:rPr>
        <w:t xml:space="preserve">: </w:t>
      </w:r>
      <w:r w:rsidRPr="007C544A">
        <w:rPr>
          <w:rFonts w:ascii="Traditional Arabic" w:hAnsi="Traditional Arabic" w:cs="Traditional Arabic"/>
          <w:b/>
          <w:bCs/>
          <w:sz w:val="34"/>
          <w:szCs w:val="34"/>
          <w:rtl/>
          <w:lang w:bidi="ar-EG"/>
        </w:rPr>
        <w:t>المفهوم العام لدمج الشركات واستراتيجياته</w:t>
      </w:r>
      <w:r w:rsidR="00D7278E" w:rsidRPr="007C544A">
        <w:rPr>
          <w:rFonts w:ascii="Traditional Arabic" w:hAnsi="Traditional Arabic" w:cs="Traditional Arabic"/>
          <w:b/>
          <w:bCs/>
          <w:sz w:val="34"/>
          <w:szCs w:val="34"/>
          <w:rtl/>
          <w:lang w:bidi="ar-EG"/>
        </w:rPr>
        <w:t xml:space="preserve"> </w:t>
      </w:r>
    </w:p>
    <w:p w:rsidR="00F5627F" w:rsidRPr="007C544A" w:rsidRDefault="00F5627F" w:rsidP="00706522">
      <w:pPr>
        <w:shd w:val="clear" w:color="auto" w:fill="FFFFFF" w:themeFill="background1"/>
        <w:bidi/>
        <w:spacing w:after="0" w:line="360" w:lineRule="auto"/>
        <w:ind w:left="1769" w:hanging="1764"/>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المبحث الثاني</w:t>
      </w:r>
      <w:r w:rsidR="00775B4E" w:rsidRPr="007C544A">
        <w:rPr>
          <w:rFonts w:ascii="Traditional Arabic" w:hAnsi="Traditional Arabic" w:cs="Traditional Arabic"/>
          <w:b/>
          <w:bCs/>
          <w:sz w:val="34"/>
          <w:szCs w:val="34"/>
          <w:rtl/>
          <w:lang w:bidi="ar-EG"/>
        </w:rPr>
        <w:t xml:space="preserve">: </w:t>
      </w:r>
      <w:r w:rsidRPr="007C544A">
        <w:rPr>
          <w:rFonts w:ascii="Traditional Arabic" w:hAnsi="Traditional Arabic" w:cs="Traditional Arabic"/>
          <w:b/>
          <w:bCs/>
          <w:sz w:val="34"/>
          <w:szCs w:val="34"/>
          <w:rtl/>
          <w:lang w:bidi="ar-EG"/>
        </w:rPr>
        <w:t>السوق الموازية الواقع- الفعلي لخطوت دمج الشركات عينة الدراسة.</w:t>
      </w:r>
    </w:p>
    <w:p w:rsidR="00F5627F" w:rsidRPr="007C544A" w:rsidRDefault="00F5627F"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خلاصة الفصل</w:t>
      </w:r>
      <w:r w:rsidR="00027627" w:rsidRPr="007C544A">
        <w:rPr>
          <w:rFonts w:ascii="Traditional Arabic" w:hAnsi="Traditional Arabic" w:cs="Traditional Arabic"/>
          <w:b/>
          <w:bCs/>
          <w:sz w:val="34"/>
          <w:szCs w:val="34"/>
          <w:rtl/>
          <w:lang w:bidi="ar-EG"/>
        </w:rPr>
        <w:t xml:space="preserve"> الثاني</w:t>
      </w:r>
      <w:r w:rsidR="00FA5E7F" w:rsidRPr="007C544A">
        <w:rPr>
          <w:rFonts w:ascii="Traditional Arabic" w:hAnsi="Traditional Arabic" w:cs="Traditional Arabic"/>
          <w:b/>
          <w:bCs/>
          <w:sz w:val="34"/>
          <w:szCs w:val="34"/>
          <w:rtl/>
          <w:lang w:bidi="ar-EG"/>
        </w:rPr>
        <w:t>.</w:t>
      </w:r>
    </w:p>
    <w:p w:rsidR="00094D54" w:rsidRPr="007C544A" w:rsidRDefault="00094D54" w:rsidP="00706522">
      <w:pPr>
        <w:shd w:val="clear" w:color="auto" w:fill="FFFFFF" w:themeFill="background1"/>
        <w:bidi/>
        <w:spacing w:after="0" w:line="360" w:lineRule="auto"/>
        <w:ind w:firstLine="720"/>
        <w:jc w:val="both"/>
        <w:rPr>
          <w:rFonts w:ascii="Traditional Arabic" w:hAnsi="Traditional Arabic" w:cs="Traditional Arabic"/>
          <w:sz w:val="28"/>
          <w:szCs w:val="28"/>
          <w:rtl/>
          <w:lang w:bidi="ar-EG"/>
        </w:rPr>
      </w:pPr>
      <w:r w:rsidRPr="007C544A">
        <w:rPr>
          <w:rFonts w:ascii="Traditional Arabic" w:hAnsi="Traditional Arabic" w:cs="Traditional Arabic"/>
          <w:sz w:val="28"/>
          <w:szCs w:val="28"/>
          <w:rtl/>
          <w:lang w:bidi="ar-EG"/>
        </w:rPr>
        <w:br w:type="page"/>
      </w:r>
    </w:p>
    <w:p w:rsidR="00094D54" w:rsidRPr="007C544A" w:rsidRDefault="00094D54"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الفصل الثاني</w:t>
      </w:r>
    </w:p>
    <w:p w:rsidR="00094D54" w:rsidRPr="007C544A" w:rsidRDefault="00094D54" w:rsidP="00706522">
      <w:pPr>
        <w:pStyle w:val="a"/>
        <w:shd w:val="clear" w:color="auto" w:fill="FFFFFF" w:themeFill="background1"/>
        <w:spacing w:line="360" w:lineRule="auto"/>
        <w:rPr>
          <w:rFonts w:ascii="Traditional Arabic" w:hAnsi="Traditional Arabic" w:cs="Traditional Arabic"/>
          <w:b/>
          <w:bCs/>
          <w:sz w:val="28"/>
          <w:szCs w:val="28"/>
          <w:rtl/>
        </w:rPr>
      </w:pPr>
      <w:r w:rsidRPr="007C544A">
        <w:rPr>
          <w:rFonts w:ascii="Traditional Arabic" w:hAnsi="Traditional Arabic" w:cs="Traditional Arabic"/>
          <w:b/>
          <w:bCs/>
          <w:sz w:val="32"/>
          <w:szCs w:val="32"/>
          <w:rtl/>
        </w:rPr>
        <w:t>الإطار النظري</w:t>
      </w:r>
      <w:r w:rsidR="00F5627F" w:rsidRPr="007C544A">
        <w:rPr>
          <w:rFonts w:ascii="Traditional Arabic" w:hAnsi="Traditional Arabic" w:cs="Traditional Arabic"/>
          <w:b/>
          <w:bCs/>
          <w:sz w:val="32"/>
          <w:szCs w:val="32"/>
          <w:rtl/>
        </w:rPr>
        <w:t xml:space="preserve"> والمفاهيمي</w:t>
      </w:r>
      <w:r w:rsidRPr="007C544A">
        <w:rPr>
          <w:rFonts w:ascii="Traditional Arabic" w:hAnsi="Traditional Arabic" w:cs="Traditional Arabic"/>
          <w:b/>
          <w:bCs/>
          <w:sz w:val="32"/>
          <w:szCs w:val="32"/>
          <w:rtl/>
        </w:rPr>
        <w:t xml:space="preserve"> للدراسة </w:t>
      </w:r>
    </w:p>
    <w:p w:rsidR="00CE3709" w:rsidRPr="007C544A" w:rsidRDefault="00CE3709"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تمهيد</w:t>
      </w:r>
      <w:r w:rsidR="00775B4E" w:rsidRPr="007C544A">
        <w:rPr>
          <w:rFonts w:ascii="Traditional Arabic" w:hAnsi="Traditional Arabic" w:cs="Traditional Arabic"/>
          <w:b/>
          <w:bCs/>
          <w:sz w:val="28"/>
          <w:szCs w:val="28"/>
          <w:rtl/>
        </w:rPr>
        <w:t xml:space="preserve">: </w:t>
      </w:r>
    </w:p>
    <w:p w:rsidR="00C363C7" w:rsidRPr="007C544A" w:rsidRDefault="00C363C7" w:rsidP="002F4398">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يُعد دمج الشركات آلية استراتيجية لتحقيق التوسع وتعزيز القدرة التنافسية والاستدامة، وقد تزايدت أهميته مع الإصلاحات الاقتصادية الرامية إلى رفع الكفاءة ومواكبة المتغيرات وتحقيق النمو المستدام</w:t>
      </w:r>
      <w:r w:rsidRPr="007C544A">
        <w:rPr>
          <w:rFonts w:ascii="Traditional Arabic" w:hAnsi="Traditional Arabic" w:cs="Traditional Arabic"/>
          <w:sz w:val="24"/>
          <w:szCs w:val="24"/>
        </w:rPr>
        <w:t>.</w:t>
      </w:r>
    </w:p>
    <w:p w:rsidR="00C363C7" w:rsidRPr="007C544A" w:rsidRDefault="00C363C7" w:rsidP="002F4398">
      <w:pPr>
        <w:pStyle w:val="pdq2pgselectionanchorcontainer"/>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في السوق السعودي، يُعد سوق «نمو</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منصة تتيح للشركات، خاصة الصغيرة والمتوسطة والعائلية، الوصول إلى التمويل وتوسيع قاعدة الملاك وتعزيز الحوكمة</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ونظرًا لما قد تفرضه متطلبات الإدراج من تحديات قانونية وإدارية وفنية، قد تلجأ بعض الشركات إلى الدمج كخيار استراتيجي لتجميع رأس المال والموارد وتحسين الجاهزية المؤسسية للإدراج</w:t>
      </w:r>
      <w:r w:rsidRPr="007C544A">
        <w:rPr>
          <w:rFonts w:ascii="Traditional Arabic" w:eastAsiaTheme="minorHAnsi" w:hAnsi="Traditional Arabic" w:cs="Traditional Arabic"/>
        </w:rPr>
        <w:t>.</w:t>
      </w:r>
    </w:p>
    <w:p w:rsidR="0007200F" w:rsidRPr="007C544A" w:rsidRDefault="0007200F"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وانطلاقًا من ذلك، يتناول هذا الفصل المفاهيم النظرية المرتبطة </w:t>
      </w:r>
      <w:r w:rsidRPr="007C544A">
        <w:rPr>
          <w:rFonts w:ascii="Traditional Arabic" w:hAnsi="Traditional Arabic" w:cs="Traditional Arabic"/>
          <w:b/>
          <w:bCs/>
          <w:sz w:val="24"/>
          <w:szCs w:val="24"/>
          <w:rtl/>
        </w:rPr>
        <w:t>بدمج الشركات</w:t>
      </w:r>
      <w:r w:rsidRPr="007C544A">
        <w:rPr>
          <w:rFonts w:ascii="Traditional Arabic" w:hAnsi="Traditional Arabic" w:cs="Traditional Arabic"/>
          <w:sz w:val="24"/>
          <w:szCs w:val="24"/>
          <w:rtl/>
        </w:rPr>
        <w:t>، وأبعاده القانونية والمالية والتنظيمية، باعتباره استراتيجية للنمو والتوسع المؤسسي، كما يناقش الأطر النظرية المفسرة لعمليات التحول المؤسسي، و</w:t>
      </w:r>
      <w:r w:rsidRPr="007C544A">
        <w:rPr>
          <w:rFonts w:ascii="Traditional Arabic" w:hAnsi="Traditional Arabic" w:cs="Traditional Arabic"/>
          <w:b/>
          <w:bCs/>
          <w:sz w:val="24"/>
          <w:szCs w:val="24"/>
          <w:rtl/>
        </w:rPr>
        <w:t>دمج الشركات</w:t>
      </w:r>
      <w:r w:rsidRPr="007C544A">
        <w:rPr>
          <w:rFonts w:ascii="Traditional Arabic" w:hAnsi="Traditional Arabic" w:cs="Traditional Arabic"/>
          <w:sz w:val="24"/>
          <w:szCs w:val="24"/>
          <w:rtl/>
        </w:rPr>
        <w:t xml:space="preserve"> كاستراتيجية للنمو، والعوامل المؤثرة في نجاحه أو تعثره</w:t>
      </w:r>
      <w:r w:rsidRPr="007C544A">
        <w:rPr>
          <w:rFonts w:ascii="Traditional Arabic" w:hAnsi="Traditional Arabic" w:cs="Traditional Arabic"/>
          <w:sz w:val="24"/>
          <w:szCs w:val="24"/>
        </w:rPr>
        <w:t>.</w:t>
      </w:r>
    </w:p>
    <w:p w:rsidR="00F5627F" w:rsidRPr="007C544A" w:rsidRDefault="00F5627F" w:rsidP="0007200F">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ويمثل هذا الإطار النظري مرجعية أساسية لفهم العلاقة بين </w:t>
      </w:r>
      <w:r w:rsidR="0007200F" w:rsidRPr="007C544A">
        <w:rPr>
          <w:rFonts w:ascii="Traditional Arabic" w:hAnsi="Traditional Arabic" w:cs="Traditional Arabic" w:hint="cs"/>
          <w:sz w:val="24"/>
          <w:szCs w:val="24"/>
          <w:rtl/>
        </w:rPr>
        <w:t>دمج</w:t>
      </w:r>
      <w:r w:rsidRPr="007C544A">
        <w:rPr>
          <w:rFonts w:ascii="Traditional Arabic" w:hAnsi="Traditional Arabic" w:cs="Traditional Arabic"/>
          <w:sz w:val="24"/>
          <w:szCs w:val="24"/>
          <w:rtl/>
        </w:rPr>
        <w:t xml:space="preserve"> الشركات العائلية وبين دخولها الفعّال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سوق "نمو"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كما يتيح للباحث تحليل أعمق للمتغيرات البحثية واستكشاف أبعادها القانونية والمؤسسية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وذلك في مبحثين التاليين</w:t>
      </w:r>
      <w:r w:rsidR="00775B4E" w:rsidRPr="007C544A">
        <w:rPr>
          <w:rFonts w:ascii="Traditional Arabic" w:hAnsi="Traditional Arabic" w:cs="Traditional Arabic"/>
          <w:sz w:val="24"/>
          <w:szCs w:val="24"/>
          <w:rtl/>
        </w:rPr>
        <w:t xml:space="preserve">: </w:t>
      </w:r>
    </w:p>
    <w:p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المبحث </w:t>
      </w:r>
      <w:r w:rsidR="00FA5E7F" w:rsidRPr="007C544A">
        <w:rPr>
          <w:rFonts w:ascii="Traditional Arabic" w:hAnsi="Traditional Arabic" w:cs="Traditional Arabic"/>
          <w:b/>
          <w:bCs/>
          <w:sz w:val="24"/>
          <w:szCs w:val="24"/>
          <w:rtl/>
        </w:rPr>
        <w:t>الأول-</w:t>
      </w:r>
      <w:r w:rsidRPr="007C544A">
        <w:rPr>
          <w:rFonts w:ascii="Traditional Arabic" w:hAnsi="Traditional Arabic" w:cs="Traditional Arabic"/>
          <w:b/>
          <w:bCs/>
          <w:sz w:val="24"/>
          <w:szCs w:val="24"/>
          <w:rtl/>
        </w:rPr>
        <w:t xml:space="preserve"> المفهوم العام لدمج الشركات واستراتيجياته.</w:t>
      </w:r>
    </w:p>
    <w:p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المبحث الثاني</w:t>
      </w:r>
      <w:r w:rsidR="00FA5E7F" w:rsidRPr="007C544A">
        <w:rPr>
          <w:rFonts w:ascii="Traditional Arabic" w:hAnsi="Traditional Arabic" w:cs="Traditional Arabic"/>
          <w:b/>
          <w:bCs/>
          <w:sz w:val="24"/>
          <w:szCs w:val="24"/>
          <w:rtl/>
        </w:rPr>
        <w:t>-</w:t>
      </w:r>
      <w:r w:rsidRPr="007C544A">
        <w:rPr>
          <w:rFonts w:ascii="Traditional Arabic" w:hAnsi="Traditional Arabic" w:cs="Traditional Arabic"/>
          <w:b/>
          <w:bCs/>
          <w:sz w:val="24"/>
          <w:szCs w:val="24"/>
          <w:rtl/>
        </w:rPr>
        <w:t xml:space="preserve"> السوق الموازية الواقع- الفعلي لخطوت دمج الشركات عينة الدراسة.</w:t>
      </w:r>
    </w:p>
    <w:p w:rsidR="00FA5E7F" w:rsidRPr="007C544A" w:rsidRDefault="00FA5E7F" w:rsidP="00706522">
      <w:pPr>
        <w:spacing w:after="0" w:line="360" w:lineRule="auto"/>
        <w:rPr>
          <w:rFonts w:ascii="Traditional Arabic" w:hAnsi="Traditional Arabic" w:cs="Traditional Arabic"/>
          <w:sz w:val="24"/>
          <w:szCs w:val="24"/>
          <w:rtl/>
        </w:rPr>
      </w:pPr>
      <w:r w:rsidRPr="007C544A">
        <w:rPr>
          <w:rFonts w:ascii="Traditional Arabic" w:hAnsi="Traditional Arabic" w:cs="Traditional Arabic"/>
          <w:sz w:val="24"/>
          <w:szCs w:val="24"/>
          <w:rtl/>
        </w:rPr>
        <w:br w:type="page"/>
      </w:r>
    </w:p>
    <w:p w:rsidR="00F5627F" w:rsidRPr="007C544A" w:rsidRDefault="00F5627F" w:rsidP="00706522">
      <w:pPr>
        <w:shd w:val="clear" w:color="auto" w:fill="FFFFFF" w:themeFill="background1"/>
        <w:bidi/>
        <w:spacing w:after="0" w:line="360" w:lineRule="auto"/>
        <w:jc w:val="center"/>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 xml:space="preserve">المبحث </w:t>
      </w:r>
      <w:r w:rsidR="00FA5E7F" w:rsidRPr="007C544A">
        <w:rPr>
          <w:rFonts w:ascii="Traditional Arabic" w:hAnsi="Traditional Arabic" w:cs="Traditional Arabic"/>
          <w:b/>
          <w:bCs/>
          <w:sz w:val="32"/>
          <w:szCs w:val="32"/>
          <w:rtl/>
        </w:rPr>
        <w:t>الأول</w:t>
      </w:r>
    </w:p>
    <w:p w:rsidR="00F5627F" w:rsidRPr="007C544A" w:rsidRDefault="00F5627F" w:rsidP="00706522">
      <w:pPr>
        <w:shd w:val="clear" w:color="auto" w:fill="FFFFFF" w:themeFill="background1"/>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b/>
          <w:bCs/>
          <w:sz w:val="32"/>
          <w:szCs w:val="32"/>
          <w:rtl/>
        </w:rPr>
        <w:t>المفهوم العام لدمج الشركات واستراتيجياته</w:t>
      </w:r>
      <w:r w:rsidRPr="007C544A">
        <w:rPr>
          <w:rFonts w:ascii="Traditional Arabic" w:hAnsi="Traditional Arabic" w:cs="Traditional Arabic"/>
          <w:sz w:val="32"/>
          <w:szCs w:val="32"/>
          <w:rtl/>
        </w:rPr>
        <w:t xml:space="preserve"> </w:t>
      </w:r>
    </w:p>
    <w:p w:rsidR="0007200F" w:rsidRPr="007C544A" w:rsidRDefault="001E2EE2"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يتناول هذا المبحث دمج الشركات باعتباره من أبرز الظواهر الاقتصادية المعاصرة، لما له من دور في إعادة هيكلة الشركات، وتحقيق النمو، وتعزيز القدرة التنافسية</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07200F" w:rsidRPr="007C544A">
        <w:rPr>
          <w:rFonts w:ascii="Traditional Arabic" w:hAnsi="Traditional Arabic" w:cs="Traditional Arabic"/>
          <w:sz w:val="24"/>
          <w:szCs w:val="24"/>
          <w:rtl/>
        </w:rPr>
        <w:t xml:space="preserve">(إسماعيل، 2018). كما فرضت المتغيرات الاقتصادية تحديات سوقية متلاحقة على العديد من الشركات، دفعتها إلى البحث عن استراتيجيات وأدوات قانونية تمكّنها من المحافظة على مكانتها وتعزيز موقعها في السوق، فضلًا عن تحسين أدائها وضمان استمراريتها في ظل المنافسة المتزايدة؛ لذلك برز </w:t>
      </w:r>
      <w:r w:rsidR="0007200F" w:rsidRPr="007C544A">
        <w:rPr>
          <w:rFonts w:ascii="Traditional Arabic" w:hAnsi="Traditional Arabic" w:cs="Traditional Arabic"/>
          <w:b/>
          <w:bCs/>
          <w:sz w:val="24"/>
          <w:szCs w:val="24"/>
          <w:rtl/>
        </w:rPr>
        <w:t>مفهوم دمج الشركات</w:t>
      </w:r>
      <w:r w:rsidR="0007200F" w:rsidRPr="007C544A">
        <w:rPr>
          <w:rFonts w:ascii="Traditional Arabic" w:hAnsi="Traditional Arabic" w:cs="Traditional Arabic"/>
          <w:sz w:val="24"/>
          <w:szCs w:val="24"/>
          <w:rtl/>
        </w:rPr>
        <w:t xml:space="preserve"> بوصفه أحد الخيارات الاستراتيجية المهمة التي تجمع بين الأبعاد القانونية والتنظيمية من جهة، والأبعاد الاستراتيجية والإدارية من جهة أخرى (عبد الرحمن، 2020)</w:t>
      </w:r>
      <w:r w:rsidR="0007200F" w:rsidRPr="007C544A">
        <w:rPr>
          <w:rFonts w:ascii="Traditional Arabic" w:hAnsi="Traditional Arabic" w:cs="Traditional Arabic"/>
          <w:sz w:val="24"/>
          <w:szCs w:val="24"/>
        </w:rPr>
        <w:t>.</w:t>
      </w:r>
    </w:p>
    <w:p w:rsidR="00F2262C" w:rsidRPr="007C544A" w:rsidRDefault="001E2EE2" w:rsidP="0022698D">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جب التمييز بين دمج الشركات كإجراء قانوني لنقل الكيان القانوني والمالي، واستراتيجية دمج الشركات كخيار إداري لتحقيق أهداف محددة، إذ ترتبط عمليات الدمج بأهدافها الاستراتيجية وأطرها القانونية</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F2262C" w:rsidRPr="007C544A">
        <w:rPr>
          <w:rFonts w:ascii="Traditional Arabic" w:hAnsi="Traditional Arabic" w:cs="Traditional Arabic"/>
          <w:sz w:val="24"/>
          <w:szCs w:val="24"/>
          <w:rtl/>
        </w:rPr>
        <w:t>(</w:t>
      </w:r>
      <w:r w:rsidR="00F2262C" w:rsidRPr="007C544A">
        <w:rPr>
          <w:rFonts w:ascii="Traditional Arabic" w:hAnsi="Traditional Arabic" w:cs="Traditional Arabic"/>
          <w:sz w:val="24"/>
          <w:szCs w:val="24"/>
        </w:rPr>
        <w:t>DePamphilis, 2019</w:t>
      </w:r>
      <w:r w:rsidR="00F2262C" w:rsidRPr="007C544A">
        <w:rPr>
          <w:rFonts w:ascii="Traditional Arabic" w:hAnsi="Traditional Arabic" w:cs="Traditional Arabic"/>
          <w:sz w:val="24"/>
          <w:szCs w:val="24"/>
          <w:rtl/>
        </w:rPr>
        <w:t>).</w:t>
      </w:r>
    </w:p>
    <w:p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لذلك فإن المبحث الحالي يسعى</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عرض المفهوم العام لدمج الشركات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من خلال عرض التعريفات المختلفة له</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ثم بيان مفهوم استراتيجية دمج الشركات والتمييز بين الدمج </w:t>
      </w:r>
      <w:r w:rsidR="00F2262C" w:rsidRPr="007C544A">
        <w:rPr>
          <w:rFonts w:ascii="Traditional Arabic" w:hAnsi="Traditional Arabic" w:cs="Traditional Arabic"/>
          <w:sz w:val="24"/>
          <w:szCs w:val="24"/>
          <w:rtl/>
        </w:rPr>
        <w:t>كإجراء</w:t>
      </w:r>
      <w:r w:rsidRPr="007C544A">
        <w:rPr>
          <w:rFonts w:ascii="Traditional Arabic" w:hAnsi="Traditional Arabic" w:cs="Traditional Arabic"/>
          <w:sz w:val="24"/>
          <w:szCs w:val="24"/>
          <w:rtl/>
        </w:rPr>
        <w:t xml:space="preserve"> قانوني وبين الدمج كخيار </w:t>
      </w:r>
      <w:r w:rsidR="00F2262C" w:rsidRPr="007C544A">
        <w:rPr>
          <w:rFonts w:ascii="Traditional Arabic" w:hAnsi="Traditional Arabic" w:cs="Traditional Arabic"/>
          <w:sz w:val="24"/>
          <w:szCs w:val="24"/>
          <w:rtl/>
        </w:rPr>
        <w:t>إداري</w:t>
      </w:r>
      <w:r w:rsidRPr="007C544A">
        <w:rPr>
          <w:rFonts w:ascii="Traditional Arabic" w:hAnsi="Traditional Arabic" w:cs="Traditional Arabic"/>
          <w:sz w:val="24"/>
          <w:szCs w:val="24"/>
          <w:rtl/>
        </w:rPr>
        <w:t>- اقتصادي وصولا</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إبراز العلاقة بين الدمج واستراتيجيات النمو المؤسسي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للشركات</w:t>
      </w:r>
      <w:r w:rsidR="00D7278E" w:rsidRPr="007C544A">
        <w:rPr>
          <w:rFonts w:ascii="Traditional Arabic" w:hAnsi="Traditional Arabic" w:cs="Traditional Arabic"/>
          <w:sz w:val="24"/>
          <w:szCs w:val="24"/>
          <w:rtl/>
        </w:rPr>
        <w:t xml:space="preserve"> </w:t>
      </w:r>
    </w:p>
    <w:p w:rsidR="00C51FD3" w:rsidRPr="007C544A" w:rsidRDefault="00086CDD" w:rsidP="00706522">
      <w:pPr>
        <w:pStyle w:val="a"/>
        <w:shd w:val="clear" w:color="auto" w:fill="FFFFFF" w:themeFill="background1"/>
        <w:spacing w:line="360" w:lineRule="auto"/>
        <w:jc w:val="left"/>
        <w:rPr>
          <w:rFonts w:ascii="Traditional Arabic" w:hAnsi="Traditional Arabic" w:cs="Traditional Arabic"/>
          <w:sz w:val="28"/>
          <w:szCs w:val="28"/>
          <w:rtl/>
        </w:rPr>
      </w:pPr>
      <w:r w:rsidRPr="007C544A">
        <w:rPr>
          <w:rFonts w:ascii="Traditional Arabic" w:hAnsi="Traditional Arabic" w:cs="Traditional Arabic"/>
          <w:sz w:val="28"/>
          <w:szCs w:val="28"/>
          <w:rtl/>
        </w:rPr>
        <w:t>أولاً</w:t>
      </w:r>
      <w:r w:rsidR="00C51FD3" w:rsidRPr="007C544A">
        <w:rPr>
          <w:rFonts w:ascii="Traditional Arabic" w:hAnsi="Traditional Arabic" w:cs="Traditional Arabic"/>
          <w:b/>
          <w:bCs/>
          <w:sz w:val="28"/>
          <w:szCs w:val="28"/>
          <w:rtl/>
        </w:rPr>
        <w:t>-</w:t>
      </w:r>
      <w:r w:rsidR="00F5627F" w:rsidRPr="007C544A">
        <w:rPr>
          <w:rFonts w:ascii="Traditional Arabic" w:hAnsi="Traditional Arabic" w:cs="Traditional Arabic"/>
          <w:b/>
          <w:bCs/>
          <w:sz w:val="28"/>
          <w:szCs w:val="28"/>
          <w:rtl/>
        </w:rPr>
        <w:t xml:space="preserve"> تعريف دمج الشركات</w:t>
      </w:r>
      <w:r w:rsidR="00775B4E" w:rsidRPr="007C544A">
        <w:rPr>
          <w:rFonts w:ascii="Traditional Arabic" w:hAnsi="Traditional Arabic" w:cs="Traditional Arabic"/>
          <w:b/>
          <w:bCs/>
          <w:sz w:val="28"/>
          <w:szCs w:val="28"/>
          <w:rtl/>
        </w:rPr>
        <w:t>:</w:t>
      </w:r>
      <w:r w:rsidR="00775B4E" w:rsidRPr="007C544A">
        <w:rPr>
          <w:rFonts w:ascii="Traditional Arabic" w:hAnsi="Traditional Arabic" w:cs="Traditional Arabic"/>
          <w:sz w:val="28"/>
          <w:szCs w:val="28"/>
          <w:rtl/>
        </w:rPr>
        <w:t xml:space="preserve"> </w:t>
      </w:r>
    </w:p>
    <w:p w:rsidR="00E112AE" w:rsidRPr="007C544A" w:rsidRDefault="00E112AE" w:rsidP="001416F4">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وقبل تناول مفهوم دمج الشركات، يجدر التعريف بمفهوم الشركات العائلية (المشروعات العائلية)، باعتبارها البيئة التي تُطبق عليها الدراسة. وقد تعددت تعريفات الشركات العائلية في الأدبيات، نتيجة اختلاف المعايير المستخدمة في تحديد طبيعة الملكية والسيطرة والمشاركة العائلية، ومن أبرز هذه التعريفات ما يأتي</w:t>
      </w:r>
      <w:r w:rsidRPr="007C544A">
        <w:rPr>
          <w:rFonts w:ascii="Traditional Arabic" w:eastAsiaTheme="minorHAnsi" w:hAnsi="Traditional Arabic" w:cs="Traditional Arabic"/>
        </w:rPr>
        <w:t>:</w:t>
      </w:r>
    </w:p>
    <w:p w:rsidR="00E112AE" w:rsidRPr="007C544A" w:rsidRDefault="00E112AE"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تُعرف الشركة العائلية في ضوء درجة تأثير الأسرة في الشركة، من خلال مجموعة من الأبعاد التي تشمل القوة والخبرة والثقافة، بما يعكس مدى تأثير الأسرة في ملكية الشركة وإدارتها وتوجهاتها الاستراتيجية</w:t>
      </w:r>
      <w:r w:rsidRPr="007C544A">
        <w:rPr>
          <w:rFonts w:ascii="Traditional Arabic" w:eastAsiaTheme="minorHAnsi" w:hAnsi="Traditional Arabic" w:cs="Traditional Arabic"/>
        </w:rPr>
        <w:t xml:space="preserve"> (Astrachan et al., 2002).</w:t>
      </w:r>
    </w:p>
    <w:p w:rsidR="00E112AE" w:rsidRPr="007C544A" w:rsidRDefault="00E112AE"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تُعرف الشركة العائلية بأنها الشركة التي تكون فيها الأغلبية التصويتية في يد الأسرة المسيطرة، بما يسمح لها بممارسة تأثير رئيسي في القرارات المتعلقة بإدارة الشركة وتوجهاتها، ويشمل ذلك الشركات التي يسعى ملاكها العائليون إلى انتقال ملكيتها إلى الأجيال اللاحقة</w:t>
      </w:r>
      <w:r w:rsidRPr="007C544A">
        <w:rPr>
          <w:rFonts w:ascii="Traditional Arabic" w:eastAsiaTheme="minorHAnsi" w:hAnsi="Traditional Arabic" w:cs="Traditional Arabic"/>
        </w:rPr>
        <w:t xml:space="preserve"> (International Finance Corporation [IFC], 2008).</w:t>
      </w:r>
    </w:p>
    <w:p w:rsidR="00E112AE" w:rsidRPr="007C544A" w:rsidRDefault="00E112AE"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sz w:val="20"/>
          <w:szCs w:val="20"/>
          <w:rtl/>
        </w:rPr>
      </w:pPr>
      <w:r w:rsidRPr="007C544A">
        <w:rPr>
          <w:rFonts w:ascii="Traditional Arabic" w:eastAsiaTheme="minorHAnsi" w:hAnsi="Traditional Arabic" w:cs="Traditional Arabic"/>
          <w:rtl/>
        </w:rPr>
        <w:t>تُعرَّف الشركة العائلية بأنها الشركة التي تكون فيها غالبية حقوق اتخاذ القرار مملوكة بصورة مباشرة أو غير مباشرة للمؤسس أو لأفراد أسرته، مع وجود مشاركة رسمية لأحد أفراد الأسرة أو أقاربها في إدارة الشركة أو الرقابة عليها، كما يمكن اعتبار الشركة المدرجة شركة عائلية عندما تمتلك الأسرة نسبة مؤثرة من حقوق اتخاذ القرار المرتبطة بملكية أسهمها</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sz w:val="20"/>
          <w:szCs w:val="20"/>
        </w:rPr>
        <w:t>Foundation for Family Businesses, 2025).</w:t>
      </w:r>
    </w:p>
    <w:p w:rsidR="0007200F" w:rsidRPr="007C544A" w:rsidRDefault="0007200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sz w:val="24"/>
          <w:szCs w:val="24"/>
          <w:rtl/>
        </w:rPr>
        <w:lastRenderedPageBreak/>
        <w:t>ويعرفها الباحث إجرائيًا بأنها</w:t>
      </w:r>
      <w:r w:rsidRPr="007C544A">
        <w:rPr>
          <w:rFonts w:ascii="Traditional Arabic" w:hAnsi="Traditional Arabic" w:cs="Traditional Arabic"/>
          <w:sz w:val="24"/>
          <w:szCs w:val="24"/>
        </w:rPr>
        <w:t xml:space="preserve">: </w:t>
      </w:r>
      <w:r w:rsidRPr="007C544A">
        <w:rPr>
          <w:rFonts w:ascii="Traditional Arabic" w:hAnsi="Traditional Arabic" w:cs="Traditional Arabic"/>
          <w:b/>
          <w:bCs/>
          <w:sz w:val="24"/>
          <w:szCs w:val="24"/>
        </w:rPr>
        <w:t>"</w:t>
      </w:r>
      <w:r w:rsidRPr="007C544A">
        <w:rPr>
          <w:rFonts w:ascii="Traditional Arabic" w:hAnsi="Traditional Arabic" w:cs="Traditional Arabic"/>
          <w:b/>
          <w:bCs/>
          <w:sz w:val="24"/>
          <w:szCs w:val="24"/>
          <w:rtl/>
        </w:rPr>
        <w:t>المشروع الذي تتركز ملكيته وسيطرة إدارته واتخاذ قراراته الاستراتيجية في أفراد عائلة واحدة أو أكثر، بما يضمن استمرار تأثير العائلة في توجيه أعماله وإدارته</w:t>
      </w:r>
      <w:r w:rsidRPr="007C544A">
        <w:rPr>
          <w:rFonts w:ascii="Traditional Arabic" w:hAnsi="Traditional Arabic" w:cs="Traditional Arabic"/>
          <w:b/>
          <w:bCs/>
          <w:sz w:val="24"/>
          <w:szCs w:val="24"/>
        </w:rPr>
        <w:t>."</w:t>
      </w:r>
    </w:p>
    <w:p w:rsidR="00F5627F" w:rsidRPr="007C544A" w:rsidRDefault="00F5627F" w:rsidP="0007200F">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وتعد دمج الشركات من أبرز الآليات التي تلجأ إليها الكيانات الاقتصادية بهدف إعادة الهيكلة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قدراتها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وتحقيق النمو المستدام في الأسواق. وقد عرّف الفقه القانوني والاقتصادي مفهوم </w:t>
      </w:r>
      <w:r w:rsidR="0007200F" w:rsidRPr="007C544A">
        <w:rPr>
          <w:rFonts w:ascii="Traditional Arabic" w:hAnsi="Traditional Arabic" w:cs="Traditional Arabic" w:hint="cs"/>
          <w:sz w:val="24"/>
          <w:szCs w:val="24"/>
          <w:rtl/>
        </w:rPr>
        <w:t>الدمج</w:t>
      </w:r>
      <w:r w:rsidRPr="007C544A">
        <w:rPr>
          <w:rFonts w:ascii="Traditional Arabic" w:hAnsi="Traditional Arabic" w:cs="Traditional Arabic"/>
          <w:sz w:val="24"/>
          <w:szCs w:val="24"/>
          <w:rtl/>
        </w:rPr>
        <w:t xml:space="preserve"> بصور متعددة</w:t>
      </w:r>
      <w:r w:rsidR="00775B4E" w:rsidRPr="007C544A">
        <w:rPr>
          <w:rFonts w:ascii="Traditional Arabic" w:hAnsi="Traditional Arabic" w:cs="Traditional Arabic"/>
          <w:sz w:val="24"/>
          <w:szCs w:val="24"/>
          <w:rtl/>
        </w:rPr>
        <w:t xml:space="preserve">: </w:t>
      </w:r>
    </w:p>
    <w:p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hint="cs"/>
          <w:sz w:val="24"/>
          <w:szCs w:val="24"/>
          <w:rtl/>
        </w:rPr>
        <w:t>ي</w:t>
      </w:r>
      <w:r w:rsidRPr="007C544A">
        <w:rPr>
          <w:rFonts w:ascii="Traditional Arabic" w:hAnsi="Traditional Arabic" w:cs="Traditional Arabic"/>
          <w:sz w:val="24"/>
          <w:szCs w:val="24"/>
          <w:rtl/>
        </w:rPr>
        <w:t>عد دمج الشركات عملية اقتصادية يتم من خلالها توحيد شركتين أو أكثر في كيان واحد بهدف رفع الكفاءة، وخفض التكاليف، وتوسيع الحصة السوقية، وتعزيز القدرة التنافسية وتحقيق التآزر</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Gaughan, 2017</w:t>
      </w:r>
      <w:r w:rsidRPr="007C544A">
        <w:rPr>
          <w:rFonts w:ascii="Traditional Arabic" w:hAnsi="Traditional Arabic" w:cs="Traditional Arabic"/>
          <w:sz w:val="24"/>
          <w:szCs w:val="24"/>
          <w:rtl/>
        </w:rPr>
        <w:t>).</w:t>
      </w:r>
    </w:p>
    <w:p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18"/>
          <w:szCs w:val="18"/>
          <w:rtl/>
        </w:rPr>
      </w:pPr>
      <w:r w:rsidRPr="007C544A">
        <w:rPr>
          <w:rFonts w:ascii="Traditional Arabic" w:hAnsi="Traditional Arabic" w:cs="Traditional Arabic"/>
          <w:sz w:val="24"/>
          <w:szCs w:val="24"/>
          <w:rtl/>
        </w:rPr>
        <w:t>يمكن النظر إلى عمليات الاندماج والاستحواذ باعتبارها معاملات استراتيجية يمكن أن تؤثر في أداء الشركات وقدرتها التنافسية، وترتبط نتائجها بعوامل من بينها القدرات الإدارية وكيفية إدارة عملية الدمج والاستفادة من الموارد المشتركة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18"/>
          <w:szCs w:val="18"/>
        </w:rPr>
        <w:t>(Suryaningrum et al., 2023).</w:t>
      </w:r>
    </w:p>
    <w:p w:rsidR="00F5627F" w:rsidRPr="007C544A" w:rsidRDefault="00F5627F" w:rsidP="0007200F">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ويعرف "دمج الشركات هو عملية اقتصادية تهدف</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توحيد كيانين أو أكثر في كيان واحد</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بهدف تعزيز الكفاءة الاقتصادية من خلال تحقيق وفورات الحجم</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وزيادة القوة السوقية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وتحسين استخدام الموارد المتاحة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وتقليل التكاليف التشغيلية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يؤدي</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 xml:space="preserve">تحسين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 والقدرة التنافسية في السوق</w:t>
      </w:r>
      <w:r w:rsidR="00F2262C" w:rsidRPr="007C544A">
        <w:rPr>
          <w:rFonts w:ascii="Traditional Arabic" w:hAnsi="Traditional Arabic" w:cs="Traditional Arabic"/>
          <w:sz w:val="24"/>
          <w:szCs w:val="24"/>
          <w:rtl/>
        </w:rPr>
        <w:t>"</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الزهراني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2021). </w:t>
      </w:r>
    </w:p>
    <w:p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يُعرَّف دمج الشركات بأنه عملية قانونية واقتصادية تتحد بموجبها شركتان أو أكثر في كيان اقتصادي واحد، بما يترتب عليه توحيد أنشطتها ومواردها وانتقال الحقوق والالتزامات والأصول وفقًا للشكل القانوني للاندماج، سواء من خلال استمرار الشخصية المعنوية لإحدى الشركات أو بتكوين شركة جديدة. ويشمل ذلك الاندماج بطريق الضم والاندماج بتكوين شركة جديدة وغيرها من صور الاندماج، ويُعد من الوسائل التي قد تلجأ إليها الشركات لتحقيق التركّز الاقتصادي وتعزيز قدرتها على ممارسة النشاط في إطار أكثر تكاملًا</w:t>
      </w:r>
      <w:r w:rsidRPr="007C544A">
        <w:rPr>
          <w:rFonts w:ascii="Traditional Arabic" w:hAnsi="Traditional Arabic" w:cs="Traditional Arabic"/>
          <w:sz w:val="24"/>
          <w:szCs w:val="24"/>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المحاميد، 2024</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ويتفق هذا التعريف مع ما أشار إليه</w:t>
      </w:r>
      <w:r w:rsidRPr="007C544A">
        <w:rPr>
          <w:rFonts w:ascii="Traditional Arabic" w:hAnsi="Traditional Arabic" w:cs="Traditional Arabic"/>
          <w:sz w:val="24"/>
          <w:szCs w:val="24"/>
        </w:rPr>
        <w:t xml:space="preserve"> OECD (2025) </w:t>
      </w:r>
      <w:r w:rsidRPr="007C544A">
        <w:rPr>
          <w:rFonts w:ascii="Traditional Arabic" w:hAnsi="Traditional Arabic" w:cs="Traditional Arabic"/>
          <w:sz w:val="24"/>
          <w:szCs w:val="24"/>
          <w:rtl/>
        </w:rPr>
        <w:t>من أن الاندماج يتمثل في اتحاد شركتين أو أكثر في عملية واحدة، مع اختلاف الشكل القانوني الذي تتم من خلاله العملية</w:t>
      </w:r>
      <w:r w:rsidRPr="007C544A">
        <w:rPr>
          <w:rFonts w:ascii="Traditional Arabic" w:hAnsi="Traditional Arabic" w:cs="Traditional Arabic"/>
          <w:sz w:val="24"/>
          <w:szCs w:val="24"/>
        </w:rPr>
        <w:t>.</w:t>
      </w:r>
    </w:p>
    <w:p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يُعرَّف دمج الشركات بأنه عملية تتحد بموجبها شركتان أو أكثر في كيان واحد، بما يؤدي إلى انتهاء الشركات الداخلة في عملية الاندماج وتكوين كيان جديد، وذلك وفقًا للإجراءات والأحكام النظامية المنظمة لعملية الاندماج (هيئة السوق المالية السعودية، 2026)</w:t>
      </w:r>
      <w:r w:rsidRPr="007C544A">
        <w:rPr>
          <w:rFonts w:ascii="Traditional Arabic" w:hAnsi="Traditional Arabic" w:cs="Traditional Arabic"/>
          <w:sz w:val="24"/>
          <w:szCs w:val="24"/>
        </w:rPr>
        <w:t>.</w:t>
      </w:r>
    </w:p>
    <w:p w:rsidR="00160B61" w:rsidRPr="007C544A" w:rsidRDefault="00160B61" w:rsidP="009E4DCA">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ويلاحظ مما سبق أن مفهوم دمج الشركات يتضمن عدة أبعاد مترابطة؛ فمن الناحية القانونية يُنظر إليه باعتباره عملية رسمية تخضع للأطر والتشريعات المنظمة، وقد يترتب عليها انتقال الحقوق والالتزامات وزوال الشخصية المعنوية للشركات المندمجة، بينما يركز الجانب الاقتصادي على توحيد الموارد والقدرات والأنشطة وتحقيق أهداف اقتصادية، مثل زيادة الكفاءة وتحقيق وفورات الحجم وتعزيز القدرة على المنافسة. كما يرتبط الدمج بأهداف استراتيجية وسوقية، من بينها التوسع في النشاط، وتعزيز المركز التنافسي، والاستفادة من الموارد والإمكانات المتاحة. وبناءً على ذلك، يمكن النظر إلى دمج الشركات باعتباره عملية متكاملة تجمع بين الأبعاد القانونية والاقتصادية والاستراتيجية، وتتجاوز مجرد اتحاد الكيانات إلى إحداث تغييرات في الهياكل والموارد والأنشطة والمراكز السوقية للشركات المشاركة (الزهراني، 2021)</w:t>
      </w:r>
      <w:r w:rsidRPr="007C544A">
        <w:rPr>
          <w:rFonts w:ascii="Traditional Arabic" w:hAnsi="Traditional Arabic" w:cs="Traditional Arabic"/>
          <w:sz w:val="24"/>
          <w:szCs w:val="24"/>
        </w:rPr>
        <w:t>.</w:t>
      </w:r>
    </w:p>
    <w:p w:rsidR="009E4DCA" w:rsidRPr="007C544A" w:rsidRDefault="0007200F"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lastRenderedPageBreak/>
        <w:t xml:space="preserve">ويُعرِّف الباحث </w:t>
      </w:r>
      <w:r w:rsidRPr="007C544A">
        <w:rPr>
          <w:rFonts w:ascii="Traditional Arabic" w:hAnsi="Traditional Arabic" w:cs="Traditional Arabic"/>
          <w:b/>
          <w:bCs/>
          <w:sz w:val="24"/>
          <w:szCs w:val="24"/>
          <w:rtl/>
        </w:rPr>
        <w:t>دمج الشركات</w:t>
      </w:r>
      <w:r w:rsidRPr="007C544A">
        <w:rPr>
          <w:rFonts w:ascii="Traditional Arabic" w:hAnsi="Traditional Arabic" w:cs="Traditional Arabic"/>
          <w:sz w:val="24"/>
          <w:szCs w:val="24"/>
          <w:rtl/>
        </w:rPr>
        <w:t xml:space="preserve"> إجرائيًا بأنه</w:t>
      </w:r>
      <w:r w:rsidR="009E4DCA" w:rsidRPr="007C544A">
        <w:rPr>
          <w:rFonts w:ascii="Traditional Arabic" w:hAnsi="Traditional Arabic" w:cs="Traditional Arabic" w:hint="cs"/>
          <w:b/>
          <w:bCs/>
          <w:sz w:val="24"/>
          <w:szCs w:val="24"/>
          <w:rtl/>
        </w:rPr>
        <w:t>:</w:t>
      </w:r>
      <w:r w:rsidR="005B5D4B" w:rsidRPr="007C544A">
        <w:rPr>
          <w:rFonts w:ascii="Traditional Arabic" w:hAnsi="Traditional Arabic" w:cs="Traditional Arabic" w:hint="cs"/>
          <w:b/>
          <w:bCs/>
          <w:sz w:val="24"/>
          <w:szCs w:val="24"/>
          <w:rtl/>
        </w:rPr>
        <w:t xml:space="preserve"> "</w:t>
      </w:r>
      <w:r w:rsidR="009E4DCA" w:rsidRPr="007C544A">
        <w:rPr>
          <w:rFonts w:ascii="Traditional Arabic" w:hAnsi="Traditional Arabic" w:cs="Traditional Arabic"/>
          <w:b/>
          <w:bCs/>
          <w:sz w:val="24"/>
          <w:szCs w:val="24"/>
          <w:rtl/>
        </w:rPr>
        <w:t>عملية قانونية وتنظيمية لتوحيد شركتين أو أكثر في كيان اقتصادي واحد، من خلال ضم شركة إلى أخرى أو تأسيس شركة جديدة، مع انتقال الحقوق والالتزامات والأصول والخصوم وفق الضوابط التشريعية والتنظيمية وموافقات الجهات المختصة</w:t>
      </w:r>
      <w:r w:rsidR="005B5D4B" w:rsidRPr="007C544A">
        <w:rPr>
          <w:rFonts w:ascii="Traditional Arabic" w:hAnsi="Traditional Arabic" w:cs="Traditional Arabic" w:hint="cs"/>
          <w:b/>
          <w:bCs/>
          <w:sz w:val="24"/>
          <w:szCs w:val="24"/>
          <w:rtl/>
        </w:rPr>
        <w:t>"</w:t>
      </w:r>
      <w:r w:rsidR="009E4DCA" w:rsidRPr="007C544A">
        <w:rPr>
          <w:rFonts w:ascii="Traditional Arabic" w:hAnsi="Traditional Arabic" w:cs="Traditional Arabic"/>
          <w:sz w:val="24"/>
          <w:szCs w:val="24"/>
        </w:rPr>
        <w:t>.</w:t>
      </w:r>
    </w:p>
    <w:p w:rsidR="00E14FC2" w:rsidRPr="007C544A" w:rsidRDefault="0007493E" w:rsidP="005B5D4B">
      <w:pPr>
        <w:shd w:val="clear" w:color="auto" w:fill="FFFFFF" w:themeFill="background1"/>
        <w:tabs>
          <w:tab w:val="right" w:pos="1736"/>
        </w:tabs>
        <w:bidi/>
        <w:spacing w:after="0" w:line="360" w:lineRule="auto"/>
        <w:ind w:firstLine="720"/>
        <w:jc w:val="both"/>
        <w:rPr>
          <w:rFonts w:ascii="Traditional Arabic" w:hAnsi="Traditional Arabic" w:cs="Traditional Arabic"/>
          <w:rtl/>
        </w:rPr>
      </w:pPr>
      <w:r w:rsidRPr="007C544A">
        <w:rPr>
          <w:rFonts w:ascii="Traditional Arabic" w:hAnsi="Traditional Arabic" w:cs="Traditional Arabic"/>
          <w:rtl/>
        </w:rPr>
        <w:t xml:space="preserve">ويرى الباحث أن تعدد تعريفات </w:t>
      </w:r>
      <w:r w:rsidRPr="007C544A">
        <w:rPr>
          <w:rFonts w:ascii="Traditional Arabic" w:hAnsi="Traditional Arabic" w:cs="Traditional Arabic"/>
          <w:b/>
          <w:bCs/>
          <w:rtl/>
        </w:rPr>
        <w:t>دمج الشركات</w:t>
      </w:r>
      <w:r w:rsidRPr="007C544A">
        <w:rPr>
          <w:rFonts w:ascii="Traditional Arabic" w:hAnsi="Traditional Arabic" w:cs="Traditional Arabic"/>
          <w:rtl/>
        </w:rPr>
        <w:t xml:space="preserve"> يُثري الإطار النظري للدراسة؛ إذ يعكس اختلاف الزوايا التي تناولت بها الأدبيات هذا المفهوم، ويُبرز أنه لا يقتصر على كونه إجراءً قانونيًا، بل يُعد أيضًا خيارًا استراتيجيًا ذا أبعاد اقتصادية وقانونية وإدارية مترابطة، وهو ما يتوافق مع طبيعة الدراسة وأهدافها</w:t>
      </w:r>
      <w:r w:rsidRPr="007C544A">
        <w:rPr>
          <w:rFonts w:ascii="Traditional Arabic" w:hAnsi="Traditional Arabic" w:cs="Traditional Arabic"/>
        </w:rPr>
        <w:t>.</w:t>
      </w:r>
    </w:p>
    <w:p w:rsidR="00F5627F"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ثانياً- </w:t>
      </w:r>
      <w:r w:rsidR="00F5627F" w:rsidRPr="007C544A">
        <w:rPr>
          <w:rFonts w:ascii="Traditional Arabic" w:hAnsi="Traditional Arabic" w:cs="Traditional Arabic"/>
          <w:b/>
          <w:bCs/>
          <w:sz w:val="28"/>
          <w:szCs w:val="28"/>
          <w:rtl/>
        </w:rPr>
        <w:t>استراتيجية دمج الشركات</w:t>
      </w:r>
      <w:r w:rsidR="00232759" w:rsidRPr="007C544A">
        <w:rPr>
          <w:rFonts w:ascii="Traditional Arabic" w:hAnsi="Traditional Arabic" w:cs="Traditional Arabic" w:hint="cs"/>
          <w:b/>
          <w:bCs/>
          <w:sz w:val="28"/>
          <w:szCs w:val="28"/>
          <w:rtl/>
        </w:rPr>
        <w:t>:</w:t>
      </w:r>
    </w:p>
    <w:p w:rsidR="00F5627F" w:rsidRPr="007C544A" w:rsidRDefault="00F5627F" w:rsidP="00160B61">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مفهوم الاستراتيجية بوجه عام</w:t>
      </w:r>
      <w:r w:rsidR="00775B4E" w:rsidRPr="007C544A">
        <w:rPr>
          <w:rFonts w:ascii="Traditional Arabic" w:eastAsiaTheme="minorHAnsi" w:hAnsi="Traditional Arabic" w:cs="Traditional Arabic"/>
          <w:b/>
          <w:bCs/>
          <w:rtl/>
        </w:rPr>
        <w:t xml:space="preserve">: </w:t>
      </w:r>
    </w:p>
    <w:p w:rsidR="00160B61" w:rsidRPr="007C544A" w:rsidRDefault="00160B61"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تشير الاستراتيجية بوجه عام إلى التوجه طويل الأجل الذي تتبناه المنظمة لتحديد مسارها المستقبلي وتحقيق أهدافها، من خلال اختيار البدائل المناسبة وتوجيه مواردها بما يتلاءم مع طبيعة البيئة التي تعمل فيها. وتمثل الاستراتيجية إطارًا يساعد المنظمة على تحديد أولوياتها واتخاذ القرارات المرتبطة بمستقبلها، بما يدعم قدرتها على التكيف مع المتغيرات البيئية وتحقيق أهدافها التنظيمية (النعيمي، 2023)</w:t>
      </w:r>
      <w:r w:rsidRPr="007C544A">
        <w:rPr>
          <w:rFonts w:ascii="Traditional Arabic" w:eastAsiaTheme="minorHAnsi" w:hAnsi="Traditional Arabic" w:cs="Traditional Arabic"/>
        </w:rPr>
        <w:t>.</w:t>
      </w:r>
    </w:p>
    <w:p w:rsidR="00160B61" w:rsidRPr="007C544A" w:rsidRDefault="00160B61" w:rsidP="00160B61">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تشير الاستراتيجية في العلوم الإدارية إلى إطار عام يوجه المنظمة في تحديد أهدافها طويلة الأجل واختيار الوسائل والبدائل المناسبة لتحقيقها، مع مراعاة المتغيرات الداخلية والخارجية المؤثرة في نشاط المنظمة. كما تمثل الاستراتيجية أساسًا لتوجيه القرارات والأنشطة التنظيمية، وربط أهداف المنظمة بمتطلبات البيئة التي تعمل فيها، بما يساعدها على التكيف مع التغيرات وتحقيق أهدافها والمحافظة على قدرتها التنافسية (كولال وغول، 2023)</w:t>
      </w:r>
      <w:r w:rsidRPr="007C544A">
        <w:rPr>
          <w:rFonts w:ascii="Traditional Arabic" w:eastAsiaTheme="minorHAnsi" w:hAnsi="Traditional Arabic" w:cs="Traditional Arabic"/>
        </w:rPr>
        <w:t>.</w:t>
      </w:r>
    </w:p>
    <w:p w:rsidR="00643A4E" w:rsidRPr="007C544A" w:rsidRDefault="00F5627F" w:rsidP="00160B61">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hAnsi="Traditional Arabic" w:cs="Traditional Arabic"/>
          <w:rtl/>
        </w:rPr>
        <w:t>وقد عرّف</w:t>
      </w:r>
      <w:r w:rsidR="00160B61" w:rsidRPr="007C544A">
        <w:rPr>
          <w:rFonts w:ascii="Traditional Arabic" w:hAnsi="Traditional Arabic" w:cs="Traditional Arabic" w:hint="cs"/>
          <w:rtl/>
        </w:rPr>
        <w:t>ت الاتستراتيجية بأنها</w:t>
      </w:r>
      <w:r w:rsidR="00775B4E" w:rsidRPr="007C544A">
        <w:rPr>
          <w:rFonts w:ascii="Traditional Arabic" w:hAnsi="Traditional Arabic" w:cs="Traditional Arabic"/>
          <w:rtl/>
        </w:rPr>
        <w:t>:</w:t>
      </w:r>
      <w:r w:rsidR="00643A4E" w:rsidRPr="007C544A">
        <w:rPr>
          <w:rFonts w:ascii="Traditional Arabic" w:hAnsi="Traditional Arabic" w:cs="Traditional Arabic"/>
          <w:rtl/>
        </w:rPr>
        <w:t xml:space="preserve"> "</w:t>
      </w:r>
      <w:r w:rsidRPr="007C544A">
        <w:rPr>
          <w:rFonts w:ascii="Traditional Arabic" w:eastAsiaTheme="minorHAnsi" w:hAnsi="Traditional Arabic" w:cs="Traditional Arabic"/>
          <w:rtl/>
        </w:rPr>
        <w:t>مجموعة من الإجراءات المتكاملة التي تتخذها المؤسسة لتحقيق ميزة تنافسية والحفاظ عليها من خلال التوافق بين البيئة الخارجية والقدرات الداخلية</w:t>
      </w:r>
      <w:r w:rsidR="00643A4E" w:rsidRPr="007C544A">
        <w:rPr>
          <w:rFonts w:ascii="Traditional Arabic" w:eastAsiaTheme="minorHAnsi" w:hAnsi="Traditional Arabic" w:cs="Traditional Arabic"/>
          <w:rtl/>
        </w:rPr>
        <w:t>".</w:t>
      </w:r>
      <w:r w:rsidR="00160B61" w:rsidRPr="007C544A">
        <w:rPr>
          <w:rFonts w:ascii="Traditional Arabic" w:hAnsi="Traditional Arabic" w:cs="Traditional Arabic"/>
          <w:rtl/>
        </w:rPr>
        <w:t xml:space="preserve"> </w:t>
      </w:r>
      <w:r w:rsidR="00160B61" w:rsidRPr="007C544A">
        <w:rPr>
          <w:rStyle w:val="Strong"/>
          <w:rFonts w:ascii="Traditional Arabic" w:hAnsi="Traditional Arabic" w:cs="Traditional Arabic"/>
          <w:b w:val="0"/>
          <w:bCs w:val="0"/>
        </w:rPr>
        <w:t>Hill, Jones &amp; Schilling, 2020)</w:t>
      </w:r>
      <w:r w:rsidR="00160B61" w:rsidRPr="007C544A">
        <w:rPr>
          <w:rStyle w:val="Strong"/>
          <w:rFonts w:ascii="Traditional Arabic" w:hAnsi="Traditional Arabic" w:cs="Traditional Arabic" w:hint="cs"/>
          <w:b w:val="0"/>
          <w:bCs w:val="0"/>
          <w:rtl/>
        </w:rPr>
        <w:t>)</w:t>
      </w:r>
    </w:p>
    <w:p w:rsidR="00F5627F" w:rsidRPr="007C544A" w:rsidRDefault="00160B61" w:rsidP="00160B61">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hint="cs"/>
          <w:rtl/>
        </w:rPr>
        <w:t>وهناك من يرى أن</w:t>
      </w:r>
      <w:r w:rsidR="00775B4E" w:rsidRPr="007C544A">
        <w:rPr>
          <w:rFonts w:ascii="Traditional Arabic" w:eastAsiaTheme="minorHAnsi" w:hAnsi="Traditional Arabic" w:cs="Traditional Arabic"/>
          <w:rtl/>
        </w:rPr>
        <w:t>:</w:t>
      </w:r>
      <w:r w:rsidR="00643A4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الاستراتيجية هي وسيلة لتحقيق الأهداف التنظيمية طويلة الأجل عبر تحديد الاتجاهات العامة</w:t>
      </w:r>
      <w:r w:rsidR="00D7278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وتخصيص الموارد</w:t>
      </w:r>
      <w:r w:rsidR="00D7278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ومتابعة تنفيذ السياسات التي تضمن النجاح في بيئة ديناميكية".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Pr>
        <w:t xml:space="preserve">David &amp; David 2023) </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rPr>
        <w:t>)</w:t>
      </w:r>
    </w:p>
    <w:p w:rsidR="00C95635" w:rsidRPr="007C544A" w:rsidRDefault="00C95635" w:rsidP="00C95635">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ab/>
      </w:r>
      <w:r w:rsidRPr="007C544A">
        <w:rPr>
          <w:rFonts w:ascii="Traditional Arabic" w:eastAsiaTheme="minorHAnsi" w:hAnsi="Traditional Arabic" w:cs="Traditional Arabic" w:hint="cs"/>
          <w:rtl/>
        </w:rPr>
        <w:t xml:space="preserve">    </w:t>
      </w:r>
      <w:r w:rsidRPr="007C544A">
        <w:rPr>
          <w:rFonts w:ascii="Traditional Arabic" w:eastAsiaTheme="minorHAnsi" w:hAnsi="Traditional Arabic" w:cs="Traditional Arabic"/>
          <w:rtl/>
        </w:rPr>
        <w:t>ويلاحظ مما سبق اتفاق التعريفات السابقة على أن الاستراتيجية بوجه عام تمثل إطارًا منهجيًا شاملًا لتوجيه المنظمة نحو تحقيق أهدافها طويلة الأجل، من خلال تحديد الاتجاهات والأولويات، واختيار البدائل المناسبة، وتخصيص الموارد، مع مراعاة المتغيرات الداخلية والخارجية المؤثرة في نشاط المنظمة، بما يساعدها على التكيف مع التغيرات البيئية وتحقيق أهدافها والحفاظ على استمرارية نشاطها</w:t>
      </w:r>
      <w:r w:rsidRPr="007C544A">
        <w:rPr>
          <w:rFonts w:ascii="Traditional Arabic" w:eastAsiaTheme="minorHAnsi" w:hAnsi="Traditional Arabic" w:cs="Traditional Arabic" w:hint="cs"/>
          <w:rtl/>
        </w:rPr>
        <w:t>.</w:t>
      </w:r>
    </w:p>
    <w:p w:rsidR="00C95635" w:rsidRPr="007C544A" w:rsidRDefault="00C95635" w:rsidP="00C95635">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المقصود بـ «استراتيجية الدمج» في أدبيات الاقتصاد والإدارة</w:t>
      </w:r>
      <w:r w:rsidRPr="007C544A">
        <w:rPr>
          <w:rFonts w:ascii="Traditional Arabic" w:eastAsiaTheme="minorHAnsi" w:hAnsi="Traditional Arabic" w:cs="Traditional Arabic"/>
          <w:b/>
          <w:bCs/>
        </w:rPr>
        <w:t>:</w:t>
      </w:r>
    </w:p>
    <w:p w:rsidR="00C95635" w:rsidRPr="007C544A" w:rsidRDefault="00C95635" w:rsidP="00C95635">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rtl/>
        </w:rPr>
        <w:tab/>
      </w:r>
      <w:r w:rsidRPr="007C544A">
        <w:rPr>
          <w:rFonts w:ascii="Traditional Arabic" w:eastAsiaTheme="minorHAnsi" w:hAnsi="Traditional Arabic" w:cs="Traditional Arabic" w:hint="cs"/>
          <w:rtl/>
        </w:rPr>
        <w:t xml:space="preserve">     ت</w:t>
      </w:r>
      <w:r w:rsidRPr="007C544A">
        <w:rPr>
          <w:rFonts w:ascii="Traditional Arabic" w:eastAsiaTheme="minorHAnsi" w:hAnsi="Traditional Arabic" w:cs="Traditional Arabic"/>
          <w:rtl/>
        </w:rPr>
        <w:t>شير استراتيجية الدمج</w:t>
      </w:r>
      <w:r w:rsidRPr="007C544A">
        <w:rPr>
          <w:rFonts w:ascii="Traditional Arabic" w:eastAsiaTheme="minorHAnsi" w:hAnsi="Traditional Arabic" w:cs="Traditional Arabic"/>
        </w:rPr>
        <w:t xml:space="preserve"> (M&amp;A Strategy) </w:t>
      </w:r>
      <w:r w:rsidRPr="007C544A">
        <w:rPr>
          <w:rFonts w:ascii="Traditional Arabic" w:eastAsiaTheme="minorHAnsi" w:hAnsi="Traditional Arabic" w:cs="Traditional Arabic"/>
          <w:rtl/>
        </w:rPr>
        <w:t>إلى النهج الاستراتيجي الذي تتبناه المنظمة عند اتخاذ قرار الاندماج مع منظمة أخرى أو الاستحواذ عليها، بهدف تحقيق أهداف محددة تتعلق بالنمو والتوسع، وتعزيز الموارد والقدرات، والاستفادة من أوجه التكامل بين الشركات، بما يدعم تحقيق الأهداف الاستراتيجية للمنظمة</w:t>
      </w:r>
      <w:r w:rsidRPr="007C544A">
        <w:rPr>
          <w:rFonts w:ascii="Traditional Arabic" w:eastAsiaTheme="minorHAnsi" w:hAnsi="Traditional Arabic" w:cs="Traditional Arabic"/>
        </w:rPr>
        <w:t xml:space="preserve"> (Gaughan, 2018).</w:t>
      </w:r>
    </w:p>
    <w:p w:rsidR="00C95635" w:rsidRPr="007C544A" w:rsidRDefault="00C95635" w:rsidP="001416F4">
      <w:pPr>
        <w:pStyle w:val="isselectedend"/>
        <w:bidi/>
        <w:spacing w:before="0" w:beforeAutospacing="0" w:after="0" w:afterAutospacing="0"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rtl/>
        </w:rPr>
        <w:lastRenderedPageBreak/>
        <w:t>كما يُنظر إلى استراتيجية الدمج باعتبارها أحد الخيارات الاستراتيجية التي يمكن للمنظمة استخدامها لتسريع التوسع في الأسواق، والوصول إلى موارد أو قدرات جديدة، وتحقيق التكامل بين الأنشطة، بدلًا من الاعتماد على النمو الداخلي وحده</w:t>
      </w:r>
      <w:r w:rsidRPr="007C544A">
        <w:rPr>
          <w:rFonts w:ascii="Traditional Arabic" w:eastAsiaTheme="minorHAnsi" w:hAnsi="Traditional Arabic" w:cs="Traditional Arabic"/>
        </w:rPr>
        <w:t xml:space="preserve"> (Bruner, 2019).</w:t>
      </w:r>
    </w:p>
    <w:p w:rsidR="00C95635" w:rsidRPr="007C544A" w:rsidRDefault="00C95635" w:rsidP="001416F4">
      <w:pPr>
        <w:pStyle w:val="isselectedend"/>
        <w:bidi/>
        <w:spacing w:before="0" w:beforeAutospacing="0" w:after="0" w:afterAutospacing="0"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ومن منظور استراتيجي، تمثل عمليات الاندماج والاستحواذ وسيلة لإعادة تشكيل نطاق أعمال المنظمة وتطوير قاعدة مواردها وقدراتها، من خلال الجمع بين موارد الشركات المشاركة بما قد يحقق أوجه تكامل وقيمة إضافية للمنظمة</w:t>
      </w:r>
      <w:r w:rsidRPr="007C544A">
        <w:rPr>
          <w:rFonts w:ascii="Traditional Arabic" w:eastAsiaTheme="minorHAnsi" w:hAnsi="Traditional Arabic" w:cs="Traditional Arabic"/>
        </w:rPr>
        <w:t xml:space="preserve"> (DePamphilis, 2022).</w:t>
      </w:r>
    </w:p>
    <w:p w:rsidR="00C95635" w:rsidRPr="007C544A" w:rsidRDefault="00C95635" w:rsidP="001416F4">
      <w:pPr>
        <w:pStyle w:val="NormalWeb"/>
        <w:bidi/>
        <w:spacing w:before="0" w:beforeAutospacing="0" w:after="0" w:afterAutospacing="0" w:line="360" w:lineRule="auto"/>
        <w:ind w:firstLine="357"/>
        <w:jc w:val="both"/>
        <w:rPr>
          <w:rFonts w:ascii="Traditional Arabic" w:eastAsiaTheme="minorHAnsi" w:hAnsi="Traditional Arabic" w:cs="Traditional Arabic"/>
        </w:rPr>
      </w:pPr>
      <w:r w:rsidRPr="007C544A">
        <w:rPr>
          <w:rFonts w:ascii="Traditional Arabic" w:eastAsiaTheme="minorHAnsi" w:hAnsi="Traditional Arabic" w:cs="Traditional Arabic"/>
          <w:rtl/>
        </w:rPr>
        <w:t>ويلاحظ مما سبق أن استراتيجية الدمج لا تقتصر على مجرد اتحاد شركتين أو انتقال الأصول والالتزامات بينهما، وإنما تمثل اختيارًا استراتيجيًا تلجأ إليه المنظمة لتحقيق أهداف تتعلق بالنمو والتوسع، وتعزيز الموارد والقدرات، وتحقيق التكامل، والوصول إلى الأسواق أو التقنيات والموارد بصورة أسرع، ومن ثم فإن جوهر استراتيجية الدمج يتمثل في توظيف عملية الدمج أو الاستحواذ كوسيلة لتحقيق أهداف استراتيجية للمنظمة</w:t>
      </w:r>
      <w:r w:rsidRPr="007C544A">
        <w:rPr>
          <w:rFonts w:ascii="Traditional Arabic" w:eastAsiaTheme="minorHAnsi" w:hAnsi="Traditional Arabic" w:cs="Traditional Arabic"/>
        </w:rPr>
        <w:t>.</w:t>
      </w:r>
    </w:p>
    <w:p w:rsidR="00F5627F" w:rsidRPr="007C544A" w:rsidRDefault="00F5627F" w:rsidP="001416F4">
      <w:pPr>
        <w:pStyle w:val="a"/>
        <w:shd w:val="clear" w:color="auto" w:fill="FFFFFF" w:themeFill="background1"/>
        <w:spacing w:line="360" w:lineRule="auto"/>
        <w:jc w:val="left"/>
        <w:rPr>
          <w:rFonts w:ascii="Traditional Arabic" w:hAnsi="Traditional Arabic" w:cs="Traditional Arabic"/>
          <w:b/>
          <w:bCs/>
          <w:sz w:val="24"/>
          <w:szCs w:val="24"/>
        </w:rPr>
      </w:pPr>
      <w:r w:rsidRPr="007C544A">
        <w:rPr>
          <w:rFonts w:ascii="Traditional Arabic" w:hAnsi="Traditional Arabic" w:cs="Traditional Arabic"/>
          <w:b/>
          <w:bCs/>
          <w:sz w:val="24"/>
          <w:szCs w:val="24"/>
          <w:rtl/>
        </w:rPr>
        <w:t>تعريف إجرائي لاستراتيجية دمج الشركات</w:t>
      </w:r>
      <w:r w:rsidR="00775B4E" w:rsidRPr="007C544A">
        <w:rPr>
          <w:rFonts w:ascii="Traditional Arabic" w:hAnsi="Traditional Arabic" w:cs="Traditional Arabic"/>
          <w:b/>
          <w:bCs/>
          <w:sz w:val="24"/>
          <w:szCs w:val="24"/>
          <w:rtl/>
        </w:rPr>
        <w:t xml:space="preserve">: </w:t>
      </w:r>
    </w:p>
    <w:p w:rsidR="0007493E" w:rsidRPr="007C544A" w:rsidRDefault="0007493E" w:rsidP="00DE22B4">
      <w:pPr>
        <w:pStyle w:val="a"/>
        <w:shd w:val="clear" w:color="auto" w:fill="FFFFFF" w:themeFill="background1"/>
        <w:spacing w:line="360" w:lineRule="auto"/>
        <w:ind w:firstLine="357"/>
        <w:jc w:val="left"/>
        <w:rPr>
          <w:rFonts w:ascii="Traditional Arabic" w:hAnsi="Traditional Arabic" w:cs="Traditional Arabic"/>
          <w:sz w:val="24"/>
          <w:szCs w:val="24"/>
          <w:rtl/>
        </w:rPr>
      </w:pPr>
      <w:r w:rsidRPr="007C544A">
        <w:rPr>
          <w:rFonts w:ascii="Traditional Arabic" w:hAnsi="Traditional Arabic" w:cs="Traditional Arabic"/>
          <w:sz w:val="24"/>
          <w:szCs w:val="24"/>
          <w:rtl/>
        </w:rPr>
        <w:t>يقصد باستراتيجية دمج الشركات في هذه الدراسة</w:t>
      </w:r>
      <w:r w:rsidRPr="007C544A">
        <w:rPr>
          <w:rFonts w:ascii="Traditional Arabic" w:hAnsi="Traditional Arabic" w:cs="Traditional Arabic"/>
          <w:sz w:val="24"/>
          <w:szCs w:val="24"/>
        </w:rPr>
        <w:t>: "</w:t>
      </w:r>
      <w:r w:rsidRPr="007C544A">
        <w:rPr>
          <w:rFonts w:ascii="Traditional Arabic" w:hAnsi="Traditional Arabic" w:cs="Traditional Arabic"/>
          <w:sz w:val="24"/>
          <w:szCs w:val="24"/>
          <w:rtl/>
        </w:rPr>
        <w:t>الإجراءات والخطط الاستراتيجية التي تتبعها إدارة الشركات لتوحيد شركتين أو أكثر في كيان اقتصادي واحد، سواء من خلال ضم شركة إلى شركة قائمة أو تأسيس شركة جديدة، بهدف تحسين المؤشرات المالية، وتعزيز القدرة التنافسية، وتوسيع نطاق السوق، والتوافق مع متطلبات الحوكمة والإدراج في سوق نمو (السوق الموازية)</w:t>
      </w:r>
      <w:r w:rsidRPr="007C544A">
        <w:rPr>
          <w:rFonts w:ascii="Traditional Arabic" w:hAnsi="Traditional Arabic" w:cs="Traditional Arabic"/>
          <w:sz w:val="24"/>
          <w:szCs w:val="24"/>
        </w:rPr>
        <w:t>."</w:t>
      </w:r>
    </w:p>
    <w:p w:rsidR="00F5627F" w:rsidRPr="007C544A" w:rsidRDefault="00086CDD" w:rsidP="009A682F">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ثالثاً- </w:t>
      </w:r>
      <w:r w:rsidR="00F5627F" w:rsidRPr="007C544A">
        <w:rPr>
          <w:rFonts w:ascii="Traditional Arabic" w:hAnsi="Traditional Arabic" w:cs="Traditional Arabic"/>
          <w:b/>
          <w:bCs/>
          <w:sz w:val="28"/>
          <w:szCs w:val="28"/>
          <w:rtl/>
        </w:rPr>
        <w:t xml:space="preserve">الفرق بين </w:t>
      </w:r>
      <w:r w:rsidR="009A682F" w:rsidRPr="007C544A">
        <w:rPr>
          <w:rFonts w:ascii="Traditional Arabic" w:hAnsi="Traditional Arabic" w:cs="Traditional Arabic" w:hint="cs"/>
          <w:b/>
          <w:bCs/>
          <w:sz w:val="28"/>
          <w:szCs w:val="28"/>
          <w:rtl/>
        </w:rPr>
        <w:t>الدمج</w:t>
      </w:r>
      <w:r w:rsidR="00F5627F" w:rsidRPr="007C544A">
        <w:rPr>
          <w:rFonts w:ascii="Traditional Arabic" w:hAnsi="Traditional Arabic" w:cs="Traditional Arabic"/>
          <w:b/>
          <w:bCs/>
          <w:sz w:val="28"/>
          <w:szCs w:val="28"/>
          <w:rtl/>
        </w:rPr>
        <w:t xml:space="preserve"> كفعل قانوني </w:t>
      </w:r>
      <w:r w:rsidR="009A682F" w:rsidRPr="007C544A">
        <w:rPr>
          <w:rFonts w:ascii="Traditional Arabic" w:hAnsi="Traditional Arabic" w:cs="Traditional Arabic" w:hint="cs"/>
          <w:b/>
          <w:bCs/>
          <w:sz w:val="28"/>
          <w:szCs w:val="28"/>
          <w:rtl/>
        </w:rPr>
        <w:t>والدمج</w:t>
      </w:r>
      <w:r w:rsidR="00F5627F" w:rsidRPr="007C544A">
        <w:rPr>
          <w:rFonts w:ascii="Traditional Arabic" w:hAnsi="Traditional Arabic" w:cs="Traditional Arabic"/>
          <w:b/>
          <w:bCs/>
          <w:sz w:val="28"/>
          <w:szCs w:val="28"/>
          <w:rtl/>
        </w:rPr>
        <w:t xml:space="preserve"> كخيار استراتيجي</w:t>
      </w:r>
      <w:r w:rsidR="00775B4E" w:rsidRPr="007C544A">
        <w:rPr>
          <w:rFonts w:ascii="Traditional Arabic" w:hAnsi="Traditional Arabic" w:cs="Traditional Arabic"/>
          <w:b/>
          <w:bCs/>
          <w:sz w:val="28"/>
          <w:szCs w:val="28"/>
          <w:rtl/>
        </w:rPr>
        <w:t xml:space="preserve">: </w:t>
      </w:r>
    </w:p>
    <w:p w:rsidR="00F5627F" w:rsidRPr="007C544A" w:rsidRDefault="00F5627F" w:rsidP="001416F4">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rPr>
        <w:t xml:space="preserve">يمثل </w:t>
      </w:r>
      <w:r w:rsidR="0022698D" w:rsidRPr="007C544A">
        <w:rPr>
          <w:rFonts w:ascii="Traditional Arabic" w:hAnsi="Traditional Arabic" w:cs="Traditional Arabic"/>
          <w:sz w:val="24"/>
          <w:szCs w:val="24"/>
          <w:rtl/>
        </w:rPr>
        <w:t xml:space="preserve">الدمج </w:t>
      </w:r>
      <w:r w:rsidRPr="007C544A">
        <w:rPr>
          <w:rFonts w:ascii="Traditional Arabic" w:hAnsi="Traditional Arabic" w:cs="Traditional Arabic"/>
          <w:sz w:val="24"/>
          <w:szCs w:val="24"/>
          <w:rtl/>
        </w:rPr>
        <w:t xml:space="preserve"> كفعل قانوني إجراءً منظَّمًا يخضع للقوانين واللوائح التي تنظم انتقال الذمم المالية والشخصية الاعتبارية من شركة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أخرى</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ويتطلب قرارات رسمية وموافقات تنظيمية. أما </w:t>
      </w:r>
      <w:r w:rsidR="0022698D" w:rsidRPr="007C544A">
        <w:rPr>
          <w:rFonts w:ascii="Traditional Arabic" w:hAnsi="Traditional Arabic" w:cs="Traditional Arabic"/>
          <w:sz w:val="24"/>
          <w:szCs w:val="24"/>
          <w:rtl/>
        </w:rPr>
        <w:t xml:space="preserve">الدمج </w:t>
      </w:r>
      <w:r w:rsidRPr="007C544A">
        <w:rPr>
          <w:rFonts w:ascii="Traditional Arabic" w:hAnsi="Traditional Arabic" w:cs="Traditional Arabic"/>
          <w:sz w:val="24"/>
          <w:szCs w:val="24"/>
          <w:rtl/>
        </w:rPr>
        <w:t xml:space="preserve"> كخيار استراتيجي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فهو توجه إداري</w:t>
      </w:r>
      <w:r w:rsidR="00760AFC"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اقتصادي يُتخذ في ضوء تحليل الفرص والتحديات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ويُعد جزءًا من الخطة الشاملة للمؤسسة</w:t>
      </w:r>
      <w:r w:rsidR="001416F4" w:rsidRPr="007C544A">
        <w:rPr>
          <w:rFonts w:ascii="Traditional Arabic" w:hAnsi="Traditional Arabic" w:cs="Traditional Arabic" w:hint="cs"/>
          <w:sz w:val="24"/>
          <w:szCs w:val="24"/>
          <w:rtl/>
        </w:rPr>
        <w:t xml:space="preserve">، </w:t>
      </w:r>
      <w:r w:rsidR="00D91447" w:rsidRPr="007C544A">
        <w:rPr>
          <w:rFonts w:ascii="Traditional Arabic" w:hAnsi="Traditional Arabic" w:cs="Traditional Arabic"/>
          <w:rtl/>
        </w:rPr>
        <w:t>يوضح المشرع السعودي أن الدمج يتم بضم شركة إلى أخرى قائمة أو بإنشاء شركة جديدة من شركتين أو أكثر، مع تحديد شروط الدمج وتقويم حقوق الشركة المندمجة، إلا أن ذلك يبين صور الدمج ولا يُعد تعريفًا له لعدم توضيح طبيعته القانونية</w:t>
      </w:r>
      <w:r w:rsidR="00D91447" w:rsidRPr="007C544A">
        <w:rPr>
          <w:rFonts w:ascii="Traditional Arabic" w:hAnsi="Traditional Arabic" w:cs="Traditional Arabic"/>
        </w:rPr>
        <w:t>.</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bidi="ar-EG"/>
        </w:rPr>
        <w:t>المادة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191/1)</w:t>
      </w:r>
      <w:r w:rsidR="001416F4" w:rsidRPr="007C544A">
        <w:rPr>
          <w:rFonts w:ascii="Traditional Arabic" w:hAnsi="Traditional Arabic" w:cs="Traditional Arabic" w:hint="cs"/>
          <w:sz w:val="24"/>
          <w:szCs w:val="24"/>
          <w:rtl/>
          <w:lang w:val="de-DE" w:bidi="ar-EG"/>
        </w:rPr>
        <w:t xml:space="preserve">، </w:t>
      </w:r>
      <w:r w:rsidRPr="007C544A">
        <w:rPr>
          <w:rFonts w:ascii="Traditional Arabic" w:hAnsi="Traditional Arabic" w:cs="Traditional Arabic"/>
          <w:sz w:val="24"/>
          <w:szCs w:val="24"/>
          <w:rtl/>
          <w:lang w:val="de-DE" w:bidi="ar-EG"/>
        </w:rPr>
        <w:t xml:space="preserve">ويترتب على هذا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 xml:space="preserve"> زوال الشَّخصيّة المعنوية للشَّركة المندمجة</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 xml:space="preserve">وانتقال أصولها وخصومها للشَّركة الناتجة عن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w:t>
      </w:r>
      <w:r w:rsidR="00D7278E" w:rsidRPr="007C544A">
        <w:rPr>
          <w:rFonts w:ascii="Traditional Arabic" w:hAnsi="Traditional Arabic" w:cs="Traditional Arabic"/>
          <w:sz w:val="24"/>
          <w:szCs w:val="24"/>
          <w:rtl/>
          <w:lang w:val="de-DE"/>
        </w:rPr>
        <w:t xml:space="preserve"> (</w:t>
      </w:r>
      <w:r w:rsidRPr="007C544A">
        <w:rPr>
          <w:rFonts w:ascii="Traditional Arabic" w:hAnsi="Traditional Arabic" w:cs="Traditional Arabic"/>
          <w:sz w:val="24"/>
          <w:szCs w:val="24"/>
          <w:rtl/>
          <w:lang w:val="de-DE"/>
        </w:rPr>
        <w:t>عياد</w:t>
      </w:r>
      <w:r w:rsidR="00D7278E" w:rsidRPr="007C544A">
        <w:rPr>
          <w:rFonts w:ascii="Traditional Arabic" w:hAnsi="Traditional Arabic" w:cs="Traditional Arabic"/>
          <w:sz w:val="24"/>
          <w:szCs w:val="24"/>
          <w:rtl/>
          <w:lang w:val="de-DE"/>
        </w:rPr>
        <w:t xml:space="preserve">، </w:t>
      </w:r>
      <w:r w:rsidRPr="007C544A">
        <w:rPr>
          <w:rFonts w:ascii="Traditional Arabic" w:hAnsi="Traditional Arabic" w:cs="Traditional Arabic"/>
          <w:sz w:val="24"/>
          <w:szCs w:val="24"/>
          <w:rtl/>
          <w:lang w:val="de-DE"/>
        </w:rPr>
        <w:t>2016)</w:t>
      </w:r>
      <w:r w:rsidR="00760AFC" w:rsidRPr="007C544A">
        <w:rPr>
          <w:rFonts w:ascii="Traditional Arabic" w:hAnsi="Traditional Arabic" w:cs="Traditional Arabic"/>
          <w:sz w:val="24"/>
          <w:szCs w:val="24"/>
          <w:rtl/>
          <w:lang w:bidi="ar-EG"/>
        </w:rPr>
        <w:t>.</w:t>
      </w:r>
    </w:p>
    <w:p w:rsidR="00F5627F" w:rsidRPr="007C544A"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lang w:val="de-DE" w:bidi="ar-EG"/>
        </w:rPr>
      </w:pPr>
      <w:r w:rsidRPr="007C544A">
        <w:rPr>
          <w:rFonts w:ascii="Traditional Arabic" w:hAnsi="Traditional Arabic" w:cs="Traditional Arabic"/>
          <w:sz w:val="24"/>
          <w:szCs w:val="24"/>
          <w:rtl/>
          <w:lang w:val="de-DE" w:bidi="ar-EG"/>
        </w:rPr>
        <w:t xml:space="preserve">ويختلف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 xml:space="preserve"> بهذا المفهوم عن الاستحواذ على الشركات</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 xml:space="preserve">والاختلاف الجوهري بينهما أن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 xml:space="preserve"> ينتج عنه بالضرورة انقضاء إحدى الشركتين على الأقل</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أما استحواذ شَّركة على أخري فتبقى لكلٍّ منهما شخصيتها المعنوية</w:t>
      </w:r>
      <w:r w:rsidR="00D7278E" w:rsidRPr="007C544A">
        <w:rPr>
          <w:rFonts w:ascii="Traditional Arabic" w:hAnsi="Traditional Arabic" w:cs="Traditional Arabic"/>
          <w:sz w:val="24"/>
          <w:szCs w:val="24"/>
          <w:vertAlign w:val="superscript"/>
          <w:rtl/>
        </w:rPr>
        <w:t xml:space="preserve"> </w:t>
      </w:r>
      <w:r w:rsidR="00D7278E"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lang w:val="de-DE" w:bidi="ar-EG"/>
        </w:rPr>
        <w:t>المؤمني</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2021</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24)</w:t>
      </w:r>
      <w:r w:rsidR="00760AFC" w:rsidRPr="007C544A">
        <w:rPr>
          <w:rFonts w:ascii="Traditional Arabic" w:hAnsi="Traditional Arabic" w:cs="Traditional Arabic"/>
          <w:sz w:val="24"/>
          <w:szCs w:val="24"/>
          <w:rtl/>
          <w:lang w:val="de-DE" w:bidi="ar-EG"/>
        </w:rPr>
        <w:t>.</w:t>
      </w:r>
    </w:p>
    <w:p w:rsidR="00DC675D" w:rsidRPr="007C544A" w:rsidRDefault="00DC675D"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lang w:val="de-DE" w:bidi="ar-EG"/>
        </w:rPr>
      </w:pPr>
      <w:r w:rsidRPr="007C544A">
        <w:rPr>
          <w:rFonts w:ascii="Traditional Arabic" w:hAnsi="Traditional Arabic" w:cs="Traditional Arabic"/>
          <w:sz w:val="24"/>
          <w:szCs w:val="24"/>
          <w:rtl/>
          <w:lang w:val="de-DE" w:bidi="ar-EG"/>
        </w:rPr>
        <w:t>يؤدي دمج الشركات إلى توحيد ذممها المالية واجتماع الشركاء في كيان واحد، وانقضاء الشخصية الاعتبارية للشركة المندمجة، لذلك يُعد الدمج من أسباب انقضاء الشركات وحلها قبل انتهاء مدتها</w:t>
      </w:r>
      <w:r w:rsidRPr="007C544A">
        <w:rPr>
          <w:rFonts w:ascii="Traditional Arabic" w:hAnsi="Traditional Arabic" w:cs="Traditional Arabic"/>
          <w:sz w:val="24"/>
          <w:szCs w:val="24"/>
          <w:lang w:val="de-DE" w:bidi="ar-EG"/>
        </w:rPr>
        <w:t>.</w:t>
      </w:r>
    </w:p>
    <w:p w:rsidR="00C95635" w:rsidRPr="007C544A" w:rsidRDefault="00C95635" w:rsidP="00C95635">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hint="cs"/>
          <w:sz w:val="24"/>
          <w:szCs w:val="24"/>
          <w:rtl/>
        </w:rPr>
        <w:t xml:space="preserve">لذلك يرى النظام السعودي </w:t>
      </w:r>
      <w:r w:rsidRPr="007C544A">
        <w:rPr>
          <w:rFonts w:ascii="Traditional Arabic" w:hAnsi="Traditional Arabic" w:cs="Traditional Arabic"/>
          <w:sz w:val="24"/>
          <w:szCs w:val="24"/>
          <w:rtl/>
        </w:rPr>
        <w:t>أن الدمج قد لا يكون حلًّا مبتسرًا للشركة إذا كانت الشركة قد انتهت مدتها ودخلت في دور التصفية، إذ أجاز نظام الشركات السعودي للشركة، ولو كانت في دور التصفية، أن تندمج في شركة أخرى من شكلها أو من شكل آخر، وذلك وفقًا للأحكام والإجراءات النظامية المنظمة لعملية الاندماج (نظام الشركات السعودي، المادة 225)</w:t>
      </w:r>
      <w:r w:rsidRPr="007C544A">
        <w:rPr>
          <w:rFonts w:ascii="Traditional Arabic" w:hAnsi="Traditional Arabic" w:cs="Traditional Arabic"/>
          <w:sz w:val="24"/>
          <w:szCs w:val="24"/>
        </w:rPr>
        <w:t>.</w:t>
      </w:r>
    </w:p>
    <w:p w:rsidR="00760AFC" w:rsidRPr="007C544A" w:rsidRDefault="00F5627F" w:rsidP="00C95635">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lastRenderedPageBreak/>
        <w:t>أما في المنظور الاستراتيجي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فيُنظر</w:t>
      </w:r>
      <w:r w:rsidR="000544F4" w:rsidRPr="007C544A">
        <w:rPr>
          <w:rFonts w:ascii="Traditional Arabic" w:hAnsi="Traditional Arabic" w:cs="Traditional Arabic"/>
          <w:sz w:val="24"/>
          <w:szCs w:val="24"/>
          <w:rtl/>
        </w:rPr>
        <w:t xml:space="preserve"> إلى </w:t>
      </w:r>
      <w:r w:rsidR="0022698D" w:rsidRPr="007C544A">
        <w:rPr>
          <w:rFonts w:ascii="Traditional Arabic" w:hAnsi="Traditional Arabic" w:cs="Traditional Arabic"/>
          <w:sz w:val="24"/>
          <w:szCs w:val="24"/>
          <w:rtl/>
        </w:rPr>
        <w:t xml:space="preserve">الدمج </w:t>
      </w:r>
      <w:r w:rsidRPr="007C544A">
        <w:rPr>
          <w:rFonts w:ascii="Traditional Arabic" w:hAnsi="Traditional Arabic" w:cs="Traditional Arabic"/>
          <w:sz w:val="24"/>
          <w:szCs w:val="24"/>
          <w:rtl/>
        </w:rPr>
        <w:t xml:space="preserve"> كأداة لنمو غير عضوي</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تسعى من خلالها الشركات</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تسريع تحقيق الأهداف دون الحاجة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التوسع التدريجي</w:t>
      </w:r>
      <w:r w:rsidR="00760AFC" w:rsidRPr="007C544A">
        <w:rPr>
          <w:rFonts w:ascii="Traditional Arabic" w:hAnsi="Traditional Arabic" w:cs="Traditional Arabic"/>
          <w:sz w:val="24"/>
          <w:szCs w:val="24"/>
          <w:rtl/>
        </w:rPr>
        <w:t xml:space="preserve"> (</w:t>
      </w:r>
      <w:r w:rsidR="00760AFC" w:rsidRPr="007C544A">
        <w:rPr>
          <w:rFonts w:ascii="Traditional Arabic" w:hAnsi="Traditional Arabic" w:cs="Traditional Arabic"/>
          <w:sz w:val="24"/>
          <w:szCs w:val="24"/>
        </w:rPr>
        <w:t>Weston, et al., 2020</w:t>
      </w:r>
      <w:r w:rsidR="00760AFC" w:rsidRPr="007C544A">
        <w:rPr>
          <w:rFonts w:ascii="Traditional Arabic" w:hAnsi="Traditional Arabic" w:cs="Traditional Arabic"/>
          <w:sz w:val="24"/>
          <w:szCs w:val="24"/>
          <w:rtl/>
        </w:rPr>
        <w:t>).</w:t>
      </w:r>
    </w:p>
    <w:p w:rsidR="00B31643" w:rsidRPr="007C544A" w:rsidRDefault="00B31643" w:rsidP="00B31643">
      <w:pPr>
        <w:pStyle w:val="Heading3"/>
        <w:bidi/>
        <w:spacing w:line="360" w:lineRule="auto"/>
        <w:jc w:val="both"/>
        <w:rPr>
          <w:rFonts w:ascii="Traditional Arabic" w:eastAsiaTheme="minorHAnsi" w:hAnsi="Traditional Arabic" w:cs="Traditional Arabic"/>
          <w:b/>
          <w:bCs/>
          <w:color w:val="auto"/>
          <w:lang w:bidi="ar-SA"/>
        </w:rPr>
      </w:pPr>
      <w:r w:rsidRPr="007C544A">
        <w:rPr>
          <w:rFonts w:ascii="Traditional Arabic" w:eastAsiaTheme="minorHAnsi" w:hAnsi="Traditional Arabic" w:cs="Traditional Arabic" w:hint="cs"/>
          <w:b/>
          <w:bCs/>
          <w:color w:val="auto"/>
          <w:rtl/>
          <w:lang w:bidi="ar-SA"/>
        </w:rPr>
        <w:t>ر</w:t>
      </w:r>
      <w:r w:rsidRPr="007C544A">
        <w:rPr>
          <w:rFonts w:ascii="Traditional Arabic" w:eastAsiaTheme="minorHAnsi" w:hAnsi="Traditional Arabic" w:cs="Traditional Arabic"/>
          <w:b/>
          <w:bCs/>
          <w:color w:val="auto"/>
          <w:rtl/>
          <w:lang w:bidi="ar-SA"/>
        </w:rPr>
        <w:t>ابعًا</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دوافع</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تبني</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استراتيجية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الدمج</w:t>
      </w:r>
    </w:p>
    <w:p w:rsidR="00B31643" w:rsidRPr="007C544A" w:rsidRDefault="00B31643" w:rsidP="00B31643">
      <w:pPr>
        <w:pStyle w:val="isselectedend"/>
        <w:bidi/>
        <w:spacing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تُتخذ استراتيجية دمج الشركات في الغالب استجابةً لمجموعة من الدوافع الاستراتيجية والاقتصادية التي تسعى الشركات من خلالها إلى تحقيق النمو، وتحسين الكفاءة، وتعزيز قدرتها على مواجهة التحديات السوقية، ومن أبرز هذه الدوافع ما يأتي</w:t>
      </w:r>
      <w:r w:rsidRPr="007C544A">
        <w:rPr>
          <w:rFonts w:ascii="Traditional Arabic" w:eastAsiaTheme="minorHAnsi" w:hAnsi="Traditional Arabic" w:cs="Traditional Arabic"/>
        </w:rPr>
        <w:t>:</w:t>
      </w:r>
    </w:p>
    <w:p w:rsidR="0088316B" w:rsidRPr="007C544A" w:rsidRDefault="0088316B"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1.</w:t>
      </w:r>
      <w:r w:rsidR="00B31643" w:rsidRPr="007C544A">
        <w:rPr>
          <w:rFonts w:ascii="Traditional Arabic" w:eastAsiaTheme="minorHAnsi" w:hAnsi="Traditional Arabic" w:cs="Traditional Arabic"/>
          <w:b/>
          <w:bCs/>
          <w:rtl/>
        </w:rPr>
        <w:t>تحقيق النمو السريع</w:t>
      </w:r>
      <w:r w:rsidR="00B31643" w:rsidRPr="007C544A">
        <w:rPr>
          <w:rFonts w:ascii="Traditional Arabic" w:eastAsiaTheme="minorHAnsi" w:hAnsi="Traditional Arabic" w:cs="Traditional Arabic"/>
          <w:b/>
          <w:bCs/>
        </w:rPr>
        <w:t>:</w:t>
      </w:r>
      <w:r w:rsidR="00B31643" w:rsidRPr="007C544A">
        <w:rPr>
          <w:rFonts w:ascii="Traditional Arabic" w:eastAsiaTheme="minorHAnsi" w:hAnsi="Traditional Arabic" w:cs="Traditional Arabic" w:hint="cs"/>
          <w:b/>
          <w:bCs/>
          <w:rtl/>
        </w:rPr>
        <w:t xml:space="preserve"> </w:t>
      </w:r>
    </w:p>
    <w:p w:rsidR="00B31643" w:rsidRPr="007C544A" w:rsidRDefault="00B31643" w:rsidP="0088316B">
      <w:pPr>
        <w:pStyle w:val="isselectedend"/>
        <w:bidi/>
        <w:spacing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تسعى الشركات إلى تسريع نمو حجم عملياتها بدلًا من الاعتماد على النمو التدريجي، ويتيح الدمج توسيع نطاق الأعمال والوصول إلى الموارد والأسواق والعملاء بصورة أسرع، دون تحمل الوقت والتكاليف المرتبطة بتأسيس كيان جديد</w:t>
      </w:r>
      <w:r w:rsidRPr="007C544A">
        <w:rPr>
          <w:rFonts w:ascii="Traditional Arabic" w:eastAsiaTheme="minorHAnsi" w:hAnsi="Traditional Arabic" w:cs="Traditional Arabic"/>
        </w:rPr>
        <w:t xml:space="preserve"> (Gaughan, 2017).</w:t>
      </w:r>
    </w:p>
    <w:p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2.</w:t>
      </w:r>
      <w:r w:rsidRPr="007C544A">
        <w:rPr>
          <w:rFonts w:ascii="Traditional Arabic" w:eastAsiaTheme="minorHAnsi" w:hAnsi="Traditional Arabic" w:cs="Traditional Arabic"/>
          <w:b/>
          <w:bCs/>
        </w:rPr>
        <w:t xml:space="preserve"> </w:t>
      </w:r>
      <w:r w:rsidRPr="007C544A">
        <w:rPr>
          <w:rFonts w:ascii="Traditional Arabic" w:eastAsiaTheme="minorHAnsi" w:hAnsi="Traditional Arabic" w:cs="Traditional Arabic"/>
          <w:b/>
          <w:bCs/>
          <w:rtl/>
        </w:rPr>
        <w:t>البقاء في السوق ومواجهة التحديات التنافسية</w:t>
      </w:r>
      <w:r w:rsidRPr="007C544A">
        <w:rPr>
          <w:rFonts w:ascii="Traditional Arabic" w:eastAsiaTheme="minorHAnsi" w:hAnsi="Traditional Arabic" w:cs="Traditional Arabic"/>
          <w:b/>
          <w:bCs/>
        </w:rPr>
        <w:t>:</w:t>
      </w:r>
    </w:p>
    <w:p w:rsidR="00B31643" w:rsidRPr="007C544A" w:rsidRDefault="00B31643" w:rsidP="0088316B">
      <w:pPr>
        <w:pStyle w:val="isselectedend"/>
        <w:bidi/>
        <w:spacing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قد تلجأ بعض الشركات إلى الدمج باعتباره خيارًا استراتيجيًا للتعامل مع الضغوط التنافسية أو الصعوبات المالية والتقلبات الاقتصادية التي قد تؤثر في قدرتها على الاستمرار، بما يدعم قدرتها على المحافظة على موقعها في السوق (الزهراني، 2021)</w:t>
      </w:r>
      <w:r w:rsidRPr="007C544A">
        <w:rPr>
          <w:rFonts w:ascii="Traditional Arabic" w:eastAsiaTheme="minorHAnsi" w:hAnsi="Traditional Arabic" w:cs="Traditional Arabic"/>
        </w:rPr>
        <w:t>.</w:t>
      </w:r>
    </w:p>
    <w:p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3.</w:t>
      </w:r>
      <w:r w:rsidRPr="007C544A">
        <w:rPr>
          <w:rFonts w:ascii="Traditional Arabic" w:eastAsiaTheme="minorHAnsi" w:hAnsi="Traditional Arabic" w:cs="Traditional Arabic"/>
          <w:b/>
          <w:bCs/>
          <w:rtl/>
        </w:rPr>
        <w:t>تحقيق وفورات الحجم وتحسين الكفاءة</w:t>
      </w:r>
    </w:p>
    <w:p w:rsidR="00B31643" w:rsidRPr="007C544A" w:rsidRDefault="0088316B" w:rsidP="00B31643">
      <w:pPr>
        <w:pStyle w:val="isselectedend"/>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يسهم الدمج في تجميع الموارد والأنشطة وتوحيد بعض العمليات والأنظمة، والحد من ازدواجية الهياكل والنفقات الإدارية والتشغيلية، بما قد يؤدي إلى خفض التكاليف وتحسين الكفاءة الاقتصادية والتشغيلية للشركة المندمجة (أبو زينة، 2013؛</w:t>
      </w:r>
      <w:r w:rsidR="00B31643" w:rsidRPr="007C544A">
        <w:rPr>
          <w:rFonts w:ascii="Traditional Arabic" w:eastAsiaTheme="minorHAnsi" w:hAnsi="Traditional Arabic" w:cs="Traditional Arabic"/>
        </w:rPr>
        <w:t xml:space="preserve"> Kalsie &amp; Singh, 2023).</w:t>
      </w:r>
    </w:p>
    <w:p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4.</w:t>
      </w:r>
      <w:r w:rsidRPr="007C544A">
        <w:rPr>
          <w:rFonts w:ascii="Traditional Arabic" w:eastAsiaTheme="minorHAnsi" w:hAnsi="Traditional Arabic" w:cs="Traditional Arabic"/>
          <w:b/>
          <w:bCs/>
          <w:rtl/>
        </w:rPr>
        <w:t>تحسين الأداء المالي</w:t>
      </w:r>
      <w:r w:rsidRPr="007C544A">
        <w:rPr>
          <w:rFonts w:ascii="Traditional Arabic" w:eastAsiaTheme="minorHAnsi" w:hAnsi="Traditional Arabic" w:cs="Traditional Arabic"/>
          <w:b/>
          <w:bCs/>
        </w:rPr>
        <w:t>:</w:t>
      </w:r>
    </w:p>
    <w:p w:rsidR="00B31643" w:rsidRPr="007C544A" w:rsidRDefault="0088316B" w:rsidP="00B31643">
      <w:pPr>
        <w:pStyle w:val="isselectedend"/>
        <w:bidi/>
        <w:spacing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قد تستهدف الشركات من خلال الدمج رفع كفاءة استخدام الأصول والموارد، وتحسين الربحية، وتعزيز قدرتها على تحقيق العوائد، وذلك من خلال إعادة تنظيم الموارد والاستفادة من أوجه التكامل والتآزر بين الشركات المندمجة. وقد أظهرت الدراسات أن عمليات الدمج والاستحواذ يمكن أن تسهم في تحسين الكفاءة من خلال إعادة تنظيم الموارد وتطوير العمليات التشغيلية</w:t>
      </w:r>
      <w:r w:rsidRPr="007C544A">
        <w:rPr>
          <w:rFonts w:ascii="Traditional Arabic" w:eastAsiaTheme="minorHAnsi" w:hAnsi="Traditional Arabic" w:cs="Traditional Arabic" w:hint="cs"/>
          <w:rtl/>
        </w:rPr>
        <w:t xml:space="preserve"> بما يساهم في  رفع اداء هذه الشركات.</w:t>
      </w:r>
      <w:r w:rsidR="00B31643" w:rsidRPr="007C544A">
        <w:rPr>
          <w:rFonts w:ascii="Traditional Arabic" w:eastAsiaTheme="minorHAnsi" w:hAnsi="Traditional Arabic" w:cs="Traditional Arabic"/>
        </w:rPr>
        <w:t xml:space="preserve"> (Demirer &amp; Karaduman, 2024).</w:t>
      </w:r>
    </w:p>
    <w:p w:rsidR="0088316B" w:rsidRPr="007C544A" w:rsidRDefault="0088316B" w:rsidP="0088316B">
      <w:pPr>
        <w:pStyle w:val="isselectedend"/>
        <w:bidi/>
        <w:spacing w:line="360" w:lineRule="auto"/>
        <w:jc w:val="both"/>
        <w:rPr>
          <w:rFonts w:ascii="Traditional Arabic" w:eastAsiaTheme="minorHAnsi" w:hAnsi="Traditional Arabic" w:cs="Traditional Arabic"/>
        </w:rPr>
      </w:pPr>
    </w:p>
    <w:p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lastRenderedPageBreak/>
        <w:t>5.</w:t>
      </w:r>
      <w:r w:rsidRPr="007C544A">
        <w:rPr>
          <w:rFonts w:ascii="Traditional Arabic" w:eastAsiaTheme="minorHAnsi" w:hAnsi="Traditional Arabic" w:cs="Traditional Arabic"/>
          <w:b/>
          <w:bCs/>
          <w:rtl/>
        </w:rPr>
        <w:t>الدخول إلى أسواق جديدة وتوسيع الحصة السوقية</w:t>
      </w:r>
    </w:p>
    <w:p w:rsidR="00B31643" w:rsidRPr="007C544A" w:rsidRDefault="00B31643" w:rsidP="0088316B">
      <w:pPr>
        <w:pStyle w:val="isselectedend"/>
        <w:bidi/>
        <w:spacing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يمكن أن يمثل الدمج وسيلة للدخول إلى أسواق جغرافية أو قطاعية جديدة، من خلال الاستفادة من الموارد والخبرات وقاعدة العملاء والقنوات التسويقية المتاحة لدى الشركة الأخرى، بما يدعم التوسع وزيادة الحصة السوقية</w:t>
      </w:r>
      <w:r w:rsidRPr="007C544A">
        <w:rPr>
          <w:rFonts w:ascii="Traditional Arabic" w:eastAsiaTheme="minorHAnsi" w:hAnsi="Traditional Arabic" w:cs="Traditional Arabic"/>
        </w:rPr>
        <w:t>.</w:t>
      </w:r>
    </w:p>
    <w:p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rtl/>
        </w:rPr>
        <w:t>6.</w:t>
      </w:r>
      <w:r w:rsidRPr="007C544A">
        <w:rPr>
          <w:rFonts w:ascii="Traditional Arabic" w:eastAsiaTheme="minorHAnsi" w:hAnsi="Traditional Arabic" w:cs="Traditional Arabic"/>
          <w:b/>
          <w:bCs/>
          <w:rtl/>
        </w:rPr>
        <w:t>تعزيز القدرة التنافسية</w:t>
      </w:r>
      <w:r w:rsidRPr="007C544A">
        <w:rPr>
          <w:rFonts w:ascii="Traditional Arabic" w:eastAsiaTheme="minorHAnsi" w:hAnsi="Traditional Arabic" w:cs="Traditional Arabic" w:hint="cs"/>
          <w:b/>
          <w:bCs/>
          <w:rtl/>
        </w:rPr>
        <w:t xml:space="preserve"> </w:t>
      </w:r>
    </w:p>
    <w:p w:rsidR="00B31643" w:rsidRPr="007C544A" w:rsidRDefault="00B31643" w:rsidP="0088316B">
      <w:pPr>
        <w:pStyle w:val="isselectedend"/>
        <w:bidi/>
        <w:spacing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تسهم استراتيجية الدمج في تعزيز القدرة التنافسية من خلال توسيع قاعدة الموارد والقدرات، وتحسين الكفاءة، وزيادة القدرة على مواجهة المنافسين، وتقديم قيمة أفضل للعملاء. وتشير القدرة التنافسية إلى قدرة الشركة على العمل والاستمرار والازدهار في بيئة تنافسية من خلال تطوير مواردها وقدراتها وتحسين قدرتها على تقديم القيمة للعملاء</w:t>
      </w:r>
      <w:r w:rsidRPr="007C544A">
        <w:rPr>
          <w:rFonts w:ascii="Traditional Arabic" w:eastAsiaTheme="minorHAnsi" w:hAnsi="Traditional Arabic" w:cs="Traditional Arabic"/>
        </w:rPr>
        <w:t xml:space="preserve"> (Agyemang et al., 2023).</w:t>
      </w:r>
    </w:p>
    <w:p w:rsidR="00B31643" w:rsidRPr="007C544A" w:rsidRDefault="00B31643" w:rsidP="002D00D3">
      <w:pPr>
        <w:pStyle w:val="isselectedend"/>
        <w:numPr>
          <w:ilvl w:val="0"/>
          <w:numId w:val="9"/>
        </w:numPr>
        <w:bidi/>
        <w:spacing w:line="360" w:lineRule="auto"/>
        <w:ind w:left="116" w:firstLine="0"/>
        <w:jc w:val="both"/>
        <w:rPr>
          <w:rFonts w:ascii="Traditional Arabic" w:eastAsiaTheme="minorHAnsi" w:hAnsi="Traditional Arabic" w:cs="Traditional Arabic"/>
        </w:rPr>
      </w:pPr>
      <w:r w:rsidRPr="007C544A">
        <w:rPr>
          <w:rFonts w:ascii="Traditional Arabic" w:eastAsiaTheme="minorHAnsi" w:hAnsi="Traditional Arabic" w:cs="Traditional Arabic"/>
          <w:b/>
          <w:bCs/>
          <w:rtl/>
        </w:rPr>
        <w:t>الامتثال للمتطلبات التنظيمية</w:t>
      </w:r>
    </w:p>
    <w:p w:rsidR="00B31643" w:rsidRPr="007C544A" w:rsidRDefault="0088316B" w:rsidP="0088316B">
      <w:pPr>
        <w:pStyle w:val="isselectedend"/>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في المملكة العربية السعودية، قد ترتبط بعض عمليات الدمج بالمتطلبات النظامية والتنظيمية ذات الصلة بالشركات والإدراج في السوق المالية، بما في ذلك متطلبات زيادة رأس المال أو توسيع قاعدة المساهمين، وفقًا للضوابط والإجراءات المعمول بها (الضبعان، 2020)</w:t>
      </w:r>
      <w:r w:rsidR="00B31643" w:rsidRPr="007C544A">
        <w:rPr>
          <w:rFonts w:ascii="Traditional Arabic" w:eastAsiaTheme="minorHAnsi" w:hAnsi="Traditional Arabic" w:cs="Traditional Arabic"/>
        </w:rPr>
        <w:t>.</w:t>
      </w:r>
    </w:p>
    <w:p w:rsidR="00B31643" w:rsidRPr="007C544A" w:rsidRDefault="0088316B" w:rsidP="00B31643">
      <w:pPr>
        <w:pStyle w:val="isselectedend"/>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وبذلك، تتعدد دوافع تبني استراتيجية دمج الشركات بين تحقيق النمو السريع، ومواجهة التحديات السوقية، وتحسين الكفاءة والأداء المالي، وخفض التكاليف، والتوسع في الأسواق، وتعزيز القدرة التنافسية، والامتثال للمتطلبات التنظيمية، بما يجعل الدمج أحد الخيارات الاستراتيجية التي يمكن للشركات الاستفادة منها لتحقيق أهدافها الاقتصادية والتنافسية</w:t>
      </w:r>
      <w:r w:rsidR="00B31643" w:rsidRPr="007C544A">
        <w:rPr>
          <w:rFonts w:ascii="Traditional Arabic" w:eastAsiaTheme="minorHAnsi" w:hAnsi="Traditional Arabic" w:cs="Traditional Arabic"/>
        </w:rPr>
        <w:t>.</w:t>
      </w:r>
    </w:p>
    <w:p w:rsidR="00B31643" w:rsidRPr="007C544A" w:rsidRDefault="00B31643" w:rsidP="00B31643">
      <w:pPr>
        <w:shd w:val="clear" w:color="auto" w:fill="FFFFFF" w:themeFill="background1"/>
        <w:tabs>
          <w:tab w:val="right" w:pos="1736"/>
        </w:tabs>
        <w:bidi/>
        <w:spacing w:after="0" w:line="360" w:lineRule="auto"/>
        <w:jc w:val="both"/>
        <w:rPr>
          <w:b/>
          <w:bCs/>
          <w:rtl/>
        </w:rPr>
      </w:pPr>
      <w:r w:rsidRPr="007C544A">
        <w:rPr>
          <w:rFonts w:hint="cs"/>
          <w:b/>
          <w:bCs/>
          <w:rtl/>
        </w:rPr>
        <w:t xml:space="preserve">خامسا: العوامل المؤثرة في نجاح استراتيجية الدمج </w:t>
      </w:r>
      <w:r w:rsidR="0088316B" w:rsidRPr="007C544A">
        <w:rPr>
          <w:rFonts w:hint="cs"/>
          <w:b/>
          <w:bCs/>
          <w:rtl/>
        </w:rPr>
        <w:t>:</w:t>
      </w:r>
    </w:p>
    <w:p w:rsidR="0088316B" w:rsidRPr="007C544A" w:rsidRDefault="0088316B" w:rsidP="0088316B">
      <w:pPr>
        <w:shd w:val="clear" w:color="auto" w:fill="FFFFFF" w:themeFill="background1"/>
        <w:tabs>
          <w:tab w:val="right" w:pos="1736"/>
        </w:tabs>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sz w:val="24"/>
          <w:szCs w:val="24"/>
          <w:rtl/>
        </w:rPr>
        <w:tab/>
      </w:r>
      <w:r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بعد استعراض دوافع تبني استراتيجية دمج الشركات، فإن نجاح عملية الدمج لا يتوقف على وجود هذه الدوافع، وإنما يرتبط بمجموعة من العوامل التي تؤثر في قدرة الشركة على تنفيذ عملية الدمج والاستفادة من نتائجها، ومن أبرزها الأداء المالي، والحوكمة، والتمويل، والقدرة التنافسية</w:t>
      </w:r>
      <w:r w:rsidRPr="007C544A">
        <w:rPr>
          <w:rFonts w:ascii="Traditional Arabic" w:hAnsi="Traditional Arabic" w:cs="Traditional Arabic"/>
          <w:sz w:val="24"/>
          <w:szCs w:val="24"/>
        </w:rPr>
        <w:t>.</w:t>
      </w:r>
    </w:p>
    <w:p w:rsidR="00F5627F" w:rsidRPr="007C544A" w:rsidRDefault="005C20E0" w:rsidP="002D00D3">
      <w:pPr>
        <w:pStyle w:val="NormalWeb"/>
        <w:numPr>
          <w:ilvl w:val="0"/>
          <w:numId w:val="31"/>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الأداء</w:t>
      </w:r>
      <w:r w:rsidR="00F5627F" w:rsidRPr="007C544A">
        <w:rPr>
          <w:rFonts w:ascii="Traditional Arabic" w:eastAsiaTheme="minorHAnsi" w:hAnsi="Traditional Arabic" w:cs="Traditional Arabic"/>
          <w:b/>
          <w:bCs/>
          <w:sz w:val="28"/>
          <w:szCs w:val="28"/>
          <w:rtl/>
        </w:rPr>
        <w:t xml:space="preserve"> المالي</w:t>
      </w:r>
      <w:r w:rsidR="00775B4E" w:rsidRPr="007C544A">
        <w:rPr>
          <w:rFonts w:ascii="Traditional Arabic" w:eastAsiaTheme="minorHAnsi" w:hAnsi="Traditional Arabic" w:cs="Traditional Arabic"/>
          <w:b/>
          <w:bCs/>
          <w:sz w:val="28"/>
          <w:szCs w:val="28"/>
          <w:rtl/>
        </w:rPr>
        <w:t xml:space="preserve">: </w:t>
      </w:r>
    </w:p>
    <w:p w:rsidR="00461A64" w:rsidRPr="007C544A" w:rsidRDefault="00F5627F" w:rsidP="0088316B">
      <w:pPr>
        <w:pStyle w:val="NormalWeb"/>
        <w:shd w:val="clear" w:color="auto" w:fill="FFFFFF" w:themeFill="background1"/>
        <w:bidi/>
        <w:spacing w:before="0" w:beforeAutospacing="0" w:after="0" w:afterAutospacing="0" w:line="360" w:lineRule="auto"/>
        <w:ind w:firstLine="36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يُعرف </w:t>
      </w:r>
      <w:r w:rsidR="005C20E0" w:rsidRPr="007C544A">
        <w:rPr>
          <w:rFonts w:ascii="Traditional Arabic" w:eastAsiaTheme="minorHAnsi" w:hAnsi="Traditional Arabic" w:cs="Traditional Arabic"/>
          <w:rtl/>
        </w:rPr>
        <w:t>الأداء</w:t>
      </w:r>
      <w:r w:rsidRPr="007C544A">
        <w:rPr>
          <w:rFonts w:ascii="Traditional Arabic" w:eastAsiaTheme="minorHAnsi" w:hAnsi="Traditional Arabic" w:cs="Traditional Arabic"/>
          <w:rtl/>
        </w:rPr>
        <w:t xml:space="preserve"> المالي بأنه</w:t>
      </w:r>
      <w:r w:rsidR="0098368E"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"مقياس لمدى قدرة الشركة على استخدام أصولها في نشاطها الرئيسي لتوليد الإيرادات</w:t>
      </w:r>
      <w:r w:rsidR="00BF4C0B" w:rsidRPr="007C544A">
        <w:rPr>
          <w:rFonts w:ascii="Traditional Arabic" w:eastAsiaTheme="minorHAnsi" w:hAnsi="Traditional Arabic" w:cs="Traditional Arabic"/>
          <w:rtl/>
        </w:rPr>
        <w:t xml:space="preserve"> (</w:t>
      </w:r>
      <w:r w:rsidR="00BF4C0B" w:rsidRPr="007C544A">
        <w:rPr>
          <w:rFonts w:ascii="Traditional Arabic" w:eastAsiaTheme="minorHAnsi" w:hAnsi="Traditional Arabic" w:cs="Traditional Arabic"/>
        </w:rPr>
        <w:t>Brigham &amp; Ehrhardt, 2017</w:t>
      </w:r>
      <w:r w:rsidR="00BF4C0B" w:rsidRPr="007C544A">
        <w:rPr>
          <w:rFonts w:ascii="Traditional Arabic" w:eastAsiaTheme="minorHAnsi" w:hAnsi="Traditional Arabic" w:cs="Traditional Arabic"/>
          <w:rtl/>
        </w:rPr>
        <w:t>)،</w:t>
      </w:r>
      <w:r w:rsidR="00C95635" w:rsidRPr="007C544A">
        <w:rPr>
          <w:rFonts w:ascii="Traditional Arabic" w:eastAsiaTheme="minorHAnsi" w:hAnsi="Traditional Arabic" w:cs="Traditional Arabic" w:hint="cs"/>
          <w:rtl/>
        </w:rPr>
        <w:t xml:space="preserve"> </w:t>
      </w:r>
      <w:r w:rsidR="00C95635" w:rsidRPr="007C544A">
        <w:rPr>
          <w:rFonts w:ascii="Traditional Arabic" w:eastAsiaTheme="minorHAnsi" w:hAnsi="Traditional Arabic" w:cs="Traditional Arabic"/>
          <w:rtl/>
        </w:rPr>
        <w:t xml:space="preserve">يُعرَّف الأداء المالي بأنه وسيلة شاملة لتقييم المركز الاقتصادي والمالي للشركة، ومدى كفاءتها في إدارة مواردها المتاحة، بما يشمل الأصول والالتزامات والتدفقات النقدية، وتحقيق التوازن بين السيولة والملاءة والربحية (الشحادات ولافي، 2024). </w:t>
      </w:r>
    </w:p>
    <w:p w:rsidR="0073703F" w:rsidRPr="007C544A" w:rsidRDefault="0073703F" w:rsidP="00C95635">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lastRenderedPageBreak/>
        <w:t>كما يُنظر إلى الأداء المالي باعتباره أحد الأبعاد الأساسية لتقييم أداء الشركات، ويُقاس من خلال مجموعة من المؤشرات والنسب المالية، من أبرزها مؤشرات الربحية، والعائد على الأصول</w:t>
      </w:r>
      <w:r w:rsidRPr="007C544A">
        <w:rPr>
          <w:rFonts w:ascii="Traditional Arabic" w:eastAsiaTheme="minorHAnsi" w:hAnsi="Traditional Arabic" w:cs="Traditional Arabic"/>
        </w:rPr>
        <w:t xml:space="preserve"> (ROA)</w:t>
      </w:r>
      <w:r w:rsidRPr="007C544A">
        <w:rPr>
          <w:rFonts w:ascii="Traditional Arabic" w:eastAsiaTheme="minorHAnsi" w:hAnsi="Traditional Arabic" w:cs="Traditional Arabic"/>
          <w:rtl/>
        </w:rPr>
        <w:t>، والعائد على حقوق الملكية</w:t>
      </w:r>
      <w:r w:rsidRPr="007C544A">
        <w:rPr>
          <w:rFonts w:ascii="Traditional Arabic" w:eastAsiaTheme="minorHAnsi" w:hAnsi="Traditional Arabic" w:cs="Traditional Arabic"/>
        </w:rPr>
        <w:t xml:space="preserve"> (ROE)</w:t>
      </w:r>
      <w:r w:rsidRPr="007C544A">
        <w:rPr>
          <w:rFonts w:ascii="Traditional Arabic" w:eastAsiaTheme="minorHAnsi" w:hAnsi="Traditional Arabic" w:cs="Traditional Arabic"/>
          <w:rtl/>
        </w:rPr>
        <w:t>، والسيولة، وكفاءة استخدام الأصول والموارد، بما يساعد في تقييم قدرة الشركة على تحقيق الأرباح، واستخدام مواردها بكفاءة، والوفاء بالتزاماتها المالية</w:t>
      </w:r>
      <w:r w:rsidRPr="007C544A">
        <w:rPr>
          <w:rFonts w:ascii="Traditional Arabic" w:eastAsiaTheme="minorHAnsi" w:hAnsi="Traditional Arabic" w:cs="Traditional Arabic"/>
        </w:rPr>
        <w:t xml:space="preserve"> (Delen et al., 2013).</w:t>
      </w:r>
    </w:p>
    <w:p w:rsidR="0088316B" w:rsidRPr="007C544A" w:rsidRDefault="0088316B" w:rsidP="0088316B">
      <w:pPr>
        <w:pStyle w:val="NormalWeb"/>
        <w:shd w:val="clear" w:color="auto" w:fill="FFFFFF" w:themeFill="background1"/>
        <w:bidi/>
        <w:spacing w:before="0" w:beforeAutospacing="0" w:after="0" w:afterAutospacing="0"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Pr="007C544A">
        <w:rPr>
          <w:rFonts w:ascii="Traditional Arabic" w:eastAsiaTheme="minorHAnsi" w:hAnsi="Traditional Arabic" w:cs="Traditional Arabic"/>
          <w:rtl/>
        </w:rPr>
        <w:t>وتزداد أهمية الأداء المالي في عمليات الدمج باعتباره مؤشرًا على قدرة الشركة الناتجة عن الدمج على تحقيق أهدافها الاقتصادية والاستفادة من الموارد المشتركة، وتحقيق وفورات الحجم والتكامل بين الأنشطة، بما قد ينعكس على الربحية والكفاءة التشغيلية والقيمة الاقتصادية للشركة</w:t>
      </w:r>
      <w:r w:rsidRPr="007C544A">
        <w:rPr>
          <w:rFonts w:ascii="Traditional Arabic" w:eastAsiaTheme="minorHAnsi" w:hAnsi="Traditional Arabic" w:cs="Traditional Arabic"/>
        </w:rPr>
        <w:t>.</w:t>
      </w:r>
    </w:p>
    <w:p w:rsidR="004B004F" w:rsidRPr="007C544A" w:rsidRDefault="00F5627F" w:rsidP="002D00D3">
      <w:pPr>
        <w:pStyle w:val="NormalWeb"/>
        <w:numPr>
          <w:ilvl w:val="0"/>
          <w:numId w:val="31"/>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الحوكمة</w:t>
      </w:r>
      <w:r w:rsidR="00775B4E" w:rsidRPr="007C544A">
        <w:rPr>
          <w:rFonts w:ascii="Traditional Arabic" w:eastAsiaTheme="minorHAnsi" w:hAnsi="Traditional Arabic" w:cs="Traditional Arabic"/>
          <w:b/>
          <w:bCs/>
          <w:sz w:val="28"/>
          <w:szCs w:val="28"/>
          <w:rtl/>
        </w:rPr>
        <w:t xml:space="preserve">: </w:t>
      </w:r>
    </w:p>
    <w:p w:rsidR="00F5627F" w:rsidRPr="007C544A" w:rsidRDefault="00364162" w:rsidP="004B004F">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تُعرَّف حوكمة الشركات بأنها</w:t>
      </w:r>
      <w:r w:rsidRPr="007C544A">
        <w:rPr>
          <w:rFonts w:ascii="Traditional Arabic" w:eastAsiaTheme="minorHAnsi" w:hAnsi="Traditional Arabic" w:cs="Traditional Arabic" w:hint="cs"/>
          <w:rtl/>
        </w:rPr>
        <w:t>:</w:t>
      </w:r>
      <w:r w:rsidRPr="007C544A">
        <w:rPr>
          <w:rFonts w:ascii="Traditional Arabic" w:eastAsiaTheme="minorHAnsi" w:hAnsi="Traditional Arabic" w:cs="Traditional Arabic"/>
          <w:rtl/>
        </w:rPr>
        <w:t xml:space="preserve"> مجموعة من القواعد والإجراءات التي تضمن انضباط الإدارة وشفافيتها وعدالتها تجاه أصحاب المصلحة، بما في ذلك المساهمون والدائنون والعاملون </w:t>
      </w:r>
      <w:r w:rsidR="00D7278E" w:rsidRPr="007C544A">
        <w:rPr>
          <w:rFonts w:ascii="Traditional Arabic" w:eastAsiaTheme="minorHAnsi" w:hAnsi="Traditional Arabic" w:cs="Traditional Arabic"/>
          <w:rtl/>
        </w:rPr>
        <w:t>(</w:t>
      </w:r>
      <w:r w:rsidR="00F5627F" w:rsidRPr="007C544A">
        <w:rPr>
          <w:rFonts w:ascii="Traditional Arabic" w:eastAsiaTheme="minorHAnsi" w:hAnsi="Traditional Arabic" w:cs="Traditional Arabic"/>
          <w:rtl/>
        </w:rPr>
        <w:t>هيئة السوق المالية</w:t>
      </w:r>
      <w:r w:rsidR="00D7278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 xml:space="preserve">2022). </w:t>
      </w:r>
      <w:r w:rsidR="004B004F" w:rsidRPr="007C544A">
        <w:rPr>
          <w:rFonts w:ascii="Traditional Arabic" w:eastAsiaTheme="minorHAnsi" w:hAnsi="Traditional Arabic" w:cs="Traditional Arabic" w:hint="cs"/>
          <w:rtl/>
        </w:rPr>
        <w:t>و</w:t>
      </w:r>
      <w:r w:rsidRPr="007C544A">
        <w:rPr>
          <w:rFonts w:ascii="Traditional Arabic" w:eastAsiaTheme="minorHAnsi" w:hAnsi="Traditional Arabic" w:cs="Traditional Arabic"/>
          <w:rtl/>
        </w:rPr>
        <w:t>تلعب الحوكمة دورًا أساسيًا في نجاح عمليات الدمج من خلال تنظيم اتخاذ القرارات، وتقليل المخاطر الإدارية والثقافية، وتعزيز الثقة بين المستثمرين وأصحاب المصلحة، إلى جانب مراقبة الأداء وتحقيق الامتثال والاستقرار</w:t>
      </w:r>
      <w:r w:rsidRPr="007C544A">
        <w:rPr>
          <w:rFonts w:ascii="Traditional Arabic" w:eastAsiaTheme="minorHAnsi" w:hAnsi="Traditional Arabic" w:cs="Traditional Arabic"/>
        </w:rPr>
        <w:t>.</w:t>
      </w:r>
      <w:r w:rsidRPr="007C544A">
        <w:rPr>
          <w:rFonts w:ascii="Traditional Arabic" w:eastAsiaTheme="minorHAnsi" w:hAnsi="Traditional Arabic" w:cs="Traditional Arabic" w:hint="cs"/>
          <w:rtl/>
        </w:rPr>
        <w:t xml:space="preserve"> </w:t>
      </w:r>
      <w:r w:rsidRPr="007C544A">
        <w:rPr>
          <w:rFonts w:ascii="Traditional Arabic" w:eastAsiaTheme="minorHAnsi" w:hAnsi="Traditional Arabic" w:cs="Traditional Arabic"/>
          <w:rtl/>
        </w:rPr>
        <w:t>القدرة التنافسية</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تسهم في نجاح الدمج من خلال تحسين الكفاءة، وتعزيز القدرة على مواجهة المنافسة، وتوسيع الحصة السوقية</w:t>
      </w:r>
      <w:r w:rsidRPr="007C544A">
        <w:rPr>
          <w:rFonts w:ascii="Traditional Arabic" w:eastAsiaTheme="minorHAnsi" w:hAnsi="Traditional Arabic" w:cs="Traditional Arabic"/>
        </w:rPr>
        <w:t>.</w:t>
      </w:r>
    </w:p>
    <w:p w:rsidR="00F5627F" w:rsidRPr="007C544A" w:rsidRDefault="00F5627F" w:rsidP="002D00D3">
      <w:pPr>
        <w:pStyle w:val="NormalWeb"/>
        <w:numPr>
          <w:ilvl w:val="0"/>
          <w:numId w:val="31"/>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التمويل</w:t>
      </w:r>
      <w:r w:rsidR="00775B4E" w:rsidRPr="007C544A">
        <w:rPr>
          <w:rFonts w:ascii="Traditional Arabic" w:eastAsiaTheme="minorHAnsi" w:hAnsi="Traditional Arabic" w:cs="Traditional Arabic"/>
          <w:b/>
          <w:bCs/>
          <w:sz w:val="28"/>
          <w:szCs w:val="28"/>
          <w:rtl/>
        </w:rPr>
        <w:t xml:space="preserve">: </w:t>
      </w:r>
    </w:p>
    <w:p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يُعرف التمويل بأنه</w:t>
      </w:r>
      <w:r w:rsidR="0098368E"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"عملية توفير الموارد النقدية اللازمة لتمويل الأنشطة الاستثمارية والتشغيلية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سواء من مصادر داخلية أو خارجية"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عبد الفتاح</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2020). يلعب التمويل دورًا حيويًا في دعم عمليات دمج الشركات</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حيث يتيح توفير السيولة الكافية لتغطية تكاليف الدمج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مثل إعادة هيكلة الأصول</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ومواءمة الأنظمة الإدارية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وتغطية النفقات التشغيلية خلال فترة الدمج. كما يسهم التمويل الفعّال في تعزيز القدرة على الاستثمار في الفرص الجديدة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وتحقيق التوسع في السوق</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وضمان استمرارية العمليات التشغيلية دون تأثر سلبي على </w:t>
      </w:r>
      <w:r w:rsidR="005C20E0" w:rsidRPr="007C544A">
        <w:rPr>
          <w:rFonts w:ascii="Traditional Arabic" w:eastAsiaTheme="minorHAnsi" w:hAnsi="Traditional Arabic" w:cs="Traditional Arabic"/>
          <w:rtl/>
        </w:rPr>
        <w:t>الأداء</w:t>
      </w:r>
      <w:r w:rsidRPr="007C544A">
        <w:rPr>
          <w:rFonts w:ascii="Traditional Arabic" w:eastAsiaTheme="minorHAnsi" w:hAnsi="Traditional Arabic" w:cs="Traditional Arabic"/>
          <w:rtl/>
        </w:rPr>
        <w:t xml:space="preserve"> المالي للشركة الناتجة عن الدمج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مما يعكس أهميته الاستراتيجية</w:t>
      </w:r>
      <w:r w:rsidRPr="007C544A">
        <w:rPr>
          <w:rFonts w:ascii="Traditional Arabic" w:eastAsiaTheme="minorHAnsi" w:hAnsi="Traditional Arabic" w:cs="Traditional Arabic"/>
        </w:rPr>
        <w:t>.</w:t>
      </w:r>
    </w:p>
    <w:p w:rsidR="00F5627F" w:rsidRPr="007C544A" w:rsidRDefault="00E700DB" w:rsidP="0073703F">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تُعد الأداء المالي والحوكمة والتمويل والقدرة التنافسية عناصر أساسية لنجاح دمج الشركات، إذ يحدد الأداء المالي قدرة الكيان الجديد على استغلال الموارد وتحقيق العوائد ووفورات الحجم</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98368E" w:rsidRPr="007C544A">
        <w:rPr>
          <w:rFonts w:ascii="Traditional Arabic" w:hAnsi="Traditional Arabic" w:cs="Traditional Arabic"/>
          <w:sz w:val="24"/>
          <w:szCs w:val="24"/>
          <w:rtl/>
        </w:rPr>
        <w:t>(</w:t>
      </w:r>
      <w:r w:rsidR="0098368E" w:rsidRPr="007C544A">
        <w:rPr>
          <w:rFonts w:ascii="Traditional Arabic" w:hAnsi="Traditional Arabic" w:cs="Traditional Arabic"/>
          <w:sz w:val="24"/>
          <w:szCs w:val="24"/>
        </w:rPr>
        <w:t>Brigham &amp; Ehrhardt, 2017</w:t>
      </w:r>
      <w:r w:rsidR="0098368E" w:rsidRPr="007C544A">
        <w:rPr>
          <w:rFonts w:ascii="Traditional Arabic" w:hAnsi="Traditional Arabic" w:cs="Traditional Arabic"/>
          <w:sz w:val="24"/>
          <w:szCs w:val="24"/>
          <w:rtl/>
        </w:rPr>
        <w:t>)</w:t>
      </w:r>
      <w:r w:rsidR="0098368E" w:rsidRPr="007C544A">
        <w:rPr>
          <w:rFonts w:ascii="Traditional Arabic" w:hAnsi="Traditional Arabic" w:cs="Traditional Arabic"/>
          <w:sz w:val="24"/>
          <w:szCs w:val="24"/>
          <w:rtl/>
          <w:lang w:bidi="ar-EG"/>
        </w:rPr>
        <w:t xml:space="preserve">، </w:t>
      </w:r>
      <w:r w:rsidR="00F5627F" w:rsidRPr="007C544A">
        <w:rPr>
          <w:rFonts w:ascii="Traditional Arabic" w:hAnsi="Traditional Arabic" w:cs="Traditional Arabic"/>
          <w:sz w:val="24"/>
          <w:szCs w:val="24"/>
          <w:rtl/>
        </w:rPr>
        <w:t xml:space="preserve">في حين تضمن الحوكمة تطبيق القواعد والإجراءات التي تعزز الشفافية والعدالة في </w:t>
      </w:r>
      <w:r w:rsidR="00D6178F" w:rsidRPr="007C544A">
        <w:rPr>
          <w:rFonts w:ascii="Traditional Arabic" w:hAnsi="Traditional Arabic" w:cs="Traditional Arabic"/>
          <w:sz w:val="24"/>
          <w:szCs w:val="24"/>
          <w:rtl/>
        </w:rPr>
        <w:t>إدارة</w:t>
      </w:r>
      <w:r w:rsidR="00F5627F" w:rsidRPr="007C544A">
        <w:rPr>
          <w:rFonts w:ascii="Traditional Arabic" w:hAnsi="Traditional Arabic" w:cs="Traditional Arabic"/>
          <w:sz w:val="24"/>
          <w:szCs w:val="24"/>
          <w:rtl/>
        </w:rPr>
        <w:t xml:space="preserve"> الشركات</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وتحمي حقوق المساهمين والدائنين</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هيئة السوق المالية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2022). أما التمويل</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فيوفر الموارد النقدية اللازمة لتنفيذ عمليات الدمج وتوسيع الأنشطة التشغيلية والاستثمارية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عبد الفتاح</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2020)</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فيما تعكس القدرة التنافسية قدرة الشركة على تقديم منتجات وخدمات متميزة في السوق</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مما يرفع من مكانتها ويسهم في استدامة النمو</w:t>
      </w:r>
      <w:r w:rsidR="00D7278E" w:rsidRPr="007C544A">
        <w:rPr>
          <w:rFonts w:ascii="Traditional Arabic" w:hAnsi="Traditional Arabic" w:cs="Traditional Arabic"/>
          <w:sz w:val="24"/>
          <w:szCs w:val="24"/>
          <w:rtl/>
        </w:rPr>
        <w:t xml:space="preserve"> (</w:t>
      </w:r>
      <w:r w:rsidR="0073703F" w:rsidRPr="007C544A">
        <w:rPr>
          <w:rFonts w:ascii="Traditional Arabic" w:hAnsi="Traditional Arabic" w:cs="Traditional Arabic" w:hint="cs"/>
          <w:sz w:val="24"/>
          <w:szCs w:val="24"/>
          <w:rtl/>
        </w:rPr>
        <w:t>السقا</w:t>
      </w:r>
      <w:r w:rsidR="00D7278E" w:rsidRPr="007C544A">
        <w:rPr>
          <w:rFonts w:ascii="Traditional Arabic" w:hAnsi="Traditional Arabic" w:cs="Traditional Arabic"/>
          <w:sz w:val="24"/>
          <w:szCs w:val="24"/>
          <w:rtl/>
        </w:rPr>
        <w:t xml:space="preserve">، </w:t>
      </w:r>
      <w:r w:rsidR="0073703F" w:rsidRPr="007C544A">
        <w:rPr>
          <w:rFonts w:ascii="Traditional Arabic" w:hAnsi="Traditional Arabic" w:cs="Traditional Arabic"/>
          <w:sz w:val="24"/>
          <w:szCs w:val="24"/>
          <w:rtl/>
        </w:rPr>
        <w:lastRenderedPageBreak/>
        <w:t>20</w:t>
      </w:r>
      <w:r w:rsidR="0073703F" w:rsidRPr="007C544A">
        <w:rPr>
          <w:rFonts w:ascii="Traditional Arabic" w:hAnsi="Traditional Arabic" w:cs="Traditional Arabic" w:hint="cs"/>
          <w:sz w:val="24"/>
          <w:szCs w:val="24"/>
          <w:rtl/>
        </w:rPr>
        <w:t>24</w:t>
      </w:r>
      <w:r w:rsidR="00F5627F" w:rsidRPr="007C544A">
        <w:rPr>
          <w:rFonts w:ascii="Traditional Arabic" w:hAnsi="Traditional Arabic" w:cs="Traditional Arabic"/>
          <w:sz w:val="24"/>
          <w:szCs w:val="24"/>
          <w:rtl/>
        </w:rPr>
        <w:t>). وبذلك</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يشكل التكامل بين هذه المتغيرات إطارًا عمليًا يتيح توجيه استراتيجية الدمج نحو تحقيق الكفاءة التشغيلية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تعزيز الموقع السوقي</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وضمان النجاح المستدام للكيان المندمج</w:t>
      </w:r>
      <w:r w:rsidR="00F5627F" w:rsidRPr="007C544A">
        <w:rPr>
          <w:rFonts w:ascii="Traditional Arabic" w:hAnsi="Traditional Arabic" w:cs="Traditional Arabic"/>
          <w:sz w:val="24"/>
          <w:szCs w:val="24"/>
        </w:rPr>
        <w:t>.</w:t>
      </w:r>
    </w:p>
    <w:p w:rsidR="00F5627F" w:rsidRPr="007C544A" w:rsidRDefault="00213969"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وفي دمج الشركات بالمملكة العربية السعودية، يُعد الإطار القانوني والتنظيمي أساسًا لتنفيذ عمليات الدمج بصورة منظمة وفعّالة، في ظل أحكام نظام الشركات الجديد</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tl/>
        </w:rPr>
        <w:t>(</w:t>
      </w:r>
      <w:r w:rsidR="00F5627F" w:rsidRPr="007C544A">
        <w:rPr>
          <w:rFonts w:ascii="Traditional Arabic" w:hAnsi="Traditional Arabic" w:cs="Traditional Arabic"/>
          <w:sz w:val="24"/>
          <w:szCs w:val="24"/>
          <w:rtl/>
        </w:rPr>
        <w:t>المُرسم الملكي رقم م/132</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1443هـ) يحدد الإجراءات القانونية التي تنظم انتقال الذمم المالية وانقضاء الشخصية المعنوية للشركة المندمجة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بما يضمن حماية حقوق المساهمين والدائنين</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وامتثال الشركات للحوكمة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هيئة السوق المالية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 xml:space="preserve">2022). هذا الإطار يسهم في دعم </w:t>
      </w:r>
      <w:r w:rsidR="005C20E0" w:rsidRPr="007C544A">
        <w:rPr>
          <w:rFonts w:ascii="Traditional Arabic" w:hAnsi="Traditional Arabic" w:cs="Traditional Arabic"/>
          <w:sz w:val="24"/>
          <w:szCs w:val="24"/>
          <w:rtl/>
        </w:rPr>
        <w:t>الأداء</w:t>
      </w:r>
      <w:r w:rsidR="00F5627F" w:rsidRPr="007C544A">
        <w:rPr>
          <w:rFonts w:ascii="Traditional Arabic" w:hAnsi="Traditional Arabic" w:cs="Traditional Arabic"/>
          <w:sz w:val="24"/>
          <w:szCs w:val="24"/>
          <w:rtl/>
        </w:rPr>
        <w:t xml:space="preserve"> المالي للشركات من خلال تقليل المخاطر القانونية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ويعزز القدرة التنافسية عبر تمكين الشركات من تنفيذ استراتيجيات التمويل والتوسع السوقي بشكل آمن وشفاف</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بما يحقق أهداف الدمج ويضمن استفادة جميع الأطراف ذات العلاقة</w:t>
      </w:r>
      <w:r w:rsidR="00F5627F" w:rsidRPr="007C544A">
        <w:rPr>
          <w:rFonts w:ascii="Traditional Arabic" w:hAnsi="Traditional Arabic" w:cs="Traditional Arabic"/>
          <w:sz w:val="24"/>
          <w:szCs w:val="24"/>
        </w:rPr>
        <w:t>.</w:t>
      </w:r>
    </w:p>
    <w:p w:rsidR="00213969" w:rsidRPr="007C544A" w:rsidRDefault="00213969" w:rsidP="00213969">
      <w:pPr>
        <w:pStyle w:val="a"/>
        <w:shd w:val="clear" w:color="auto" w:fill="FFFFFF" w:themeFill="background1"/>
        <w:spacing w:line="360" w:lineRule="auto"/>
        <w:ind w:firstLine="720"/>
        <w:jc w:val="left"/>
        <w:rPr>
          <w:rFonts w:ascii="Traditional Arabic" w:eastAsia="Times New Roman" w:hAnsi="Traditional Arabic" w:cs="Traditional Arabic"/>
          <w:sz w:val="24"/>
          <w:szCs w:val="24"/>
          <w:rtl/>
          <w:lang w:bidi="ar-SA"/>
        </w:rPr>
      </w:pPr>
      <w:r w:rsidRPr="007C544A">
        <w:rPr>
          <w:rFonts w:ascii="Traditional Arabic" w:eastAsia="Times New Roman" w:hAnsi="Traditional Arabic" w:cs="Traditional Arabic"/>
          <w:sz w:val="24"/>
          <w:szCs w:val="24"/>
          <w:rtl/>
          <w:lang w:bidi="ar-SA"/>
        </w:rPr>
        <w:t>شهدت السعودية صفقات دمج كبرى، خاصة في قطاعي التأمين والخدمات المالية، بهدف توطيد القطاع ورفع كفاءته، وتحسين الأداء المالي من خلال تعزيز العائد على الأصول وتقليل تكرار الهياكل الإدارية والتشغيلية</w:t>
      </w:r>
      <w:r w:rsidRPr="007C544A">
        <w:rPr>
          <w:rFonts w:ascii="Traditional Arabic" w:eastAsia="Times New Roman" w:hAnsi="Traditional Arabic" w:cs="Traditional Arabic"/>
          <w:sz w:val="24"/>
          <w:szCs w:val="24"/>
          <w:lang w:bidi="ar-SA"/>
        </w:rPr>
        <w:t>.</w:t>
      </w:r>
    </w:p>
    <w:p w:rsidR="00F5627F" w:rsidRPr="007C544A" w:rsidRDefault="0088316B"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سادساً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العلاقة بين دمج الشركات واستراتيجيات النمو المؤسسي</w:t>
      </w:r>
      <w:r w:rsidR="00531155" w:rsidRPr="007C544A">
        <w:rPr>
          <w:rFonts w:ascii="Traditional Arabic" w:hAnsi="Traditional Arabic" w:cs="Traditional Arabic"/>
          <w:b/>
          <w:bCs/>
          <w:sz w:val="28"/>
          <w:szCs w:val="28"/>
          <w:rtl/>
        </w:rPr>
        <w:t>:</w:t>
      </w:r>
    </w:p>
    <w:p w:rsidR="00F5627F" w:rsidRPr="007C544A" w:rsidRDefault="0022698D" w:rsidP="002D00D3">
      <w:pPr>
        <w:pStyle w:val="NormalWeb"/>
        <w:numPr>
          <w:ilvl w:val="0"/>
          <w:numId w:val="3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ضمن استراتيجيات التوسع الأفقي والرأسي</w:t>
      </w:r>
      <w:r w:rsidR="00775B4E" w:rsidRPr="007C544A">
        <w:rPr>
          <w:rFonts w:ascii="Traditional Arabic" w:eastAsiaTheme="minorHAnsi" w:hAnsi="Traditional Arabic" w:cs="Traditional Arabic"/>
          <w:b/>
          <w:bCs/>
          <w:rtl/>
        </w:rPr>
        <w:t xml:space="preserve">: </w:t>
      </w:r>
    </w:p>
    <w:p w:rsidR="00531155" w:rsidRPr="007C544A" w:rsidRDefault="0073164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يُعد الدمج آلية لتحقيق التوسع الأفقي والرأسي؛ فالأفقي يزيد الحصة السوقية ويحقق وفورات الحجم، بينما يعزز الرأسي السيطرة على سلسلة التوريد ويقلل الاعتماد على الأطراف الخارجية، بما يدعم كفاءة العمليات والنمو المؤسسي</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أبو زينة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2013)</w:t>
      </w:r>
      <w:r w:rsidR="00531155" w:rsidRPr="007C544A">
        <w:rPr>
          <w:rFonts w:ascii="Traditional Arabic" w:hAnsi="Traditional Arabic" w:cs="Traditional Arabic"/>
          <w:rtl/>
        </w:rPr>
        <w:t>.</w:t>
      </w:r>
    </w:p>
    <w:p w:rsidR="00F5627F" w:rsidRPr="007C544A" w:rsidRDefault="00F5627F" w:rsidP="002D00D3">
      <w:pPr>
        <w:pStyle w:val="NormalWeb"/>
        <w:numPr>
          <w:ilvl w:val="0"/>
          <w:numId w:val="3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اندماج الشركات في سياق التحالفات الاستراتيجية</w:t>
      </w:r>
      <w:r w:rsidR="00775B4E" w:rsidRPr="007C544A">
        <w:rPr>
          <w:rFonts w:ascii="Traditional Arabic" w:eastAsiaTheme="minorHAnsi" w:hAnsi="Traditional Arabic" w:cs="Traditional Arabic"/>
          <w:b/>
          <w:bCs/>
          <w:rtl/>
        </w:rPr>
        <w:t xml:space="preserve">: </w:t>
      </w:r>
    </w:p>
    <w:p w:rsidR="00F5627F" w:rsidRPr="007C544A" w:rsidRDefault="0022698D" w:rsidP="000F0500">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يُعد أحد أشكال </w:t>
      </w:r>
      <w:r w:rsidR="00F5627F" w:rsidRPr="007C544A">
        <w:rPr>
          <w:rStyle w:val="Strong"/>
          <w:rFonts w:ascii="Traditional Arabic" w:hAnsi="Traditional Arabic" w:cs="Traditional Arabic"/>
          <w:b w:val="0"/>
          <w:bCs w:val="0"/>
          <w:rtl/>
        </w:rPr>
        <w:t>التحالفات الاستراتيجية</w:t>
      </w:r>
      <w:r w:rsidR="00F5627F" w:rsidRPr="007C544A">
        <w:rPr>
          <w:rFonts w:ascii="Traditional Arabic" w:hAnsi="Traditional Arabic" w:cs="Traditional Arabic"/>
          <w:rtl/>
        </w:rPr>
        <w:t xml:space="preserve"> بعيدة المدى</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 xml:space="preserve">التي تتجاوز التعاون المؤقت نحو تكامل فعلي بين الكيانات بهدف مواجهة تحديات السوق والتوسع الجغرافي أو التكنولوجي. فبعض الشركات تسلك طريق </w:t>
      </w:r>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عندما ترى أن التعاون التقليدي لم يعد كافيًا لتحقيق مصالحها</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 xml:space="preserve">وبذلك يشكل </w:t>
      </w:r>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نقلة من الشراكة</w:t>
      </w:r>
      <w:r w:rsidR="000544F4" w:rsidRPr="007C544A">
        <w:rPr>
          <w:rFonts w:ascii="Traditional Arabic" w:hAnsi="Traditional Arabic" w:cs="Traditional Arabic"/>
          <w:rtl/>
        </w:rPr>
        <w:t xml:space="preserve"> إلى </w:t>
      </w:r>
      <w:r w:rsidR="00F5627F" w:rsidRPr="007C544A">
        <w:rPr>
          <w:rFonts w:ascii="Traditional Arabic" w:hAnsi="Traditional Arabic" w:cs="Traditional Arabic"/>
          <w:rtl/>
        </w:rPr>
        <w:t>الوحدة المؤسسية لتحقيق تكامل استراتيجي عميق</w:t>
      </w:r>
      <w:r w:rsidR="00531155" w:rsidRPr="007C544A">
        <w:rPr>
          <w:rFonts w:ascii="Traditional Arabic" w:hAnsi="Traditional Arabic" w:cs="Traditional Arabic"/>
          <w:rtl/>
        </w:rPr>
        <w:t xml:space="preserve"> </w:t>
      </w:r>
      <w:r w:rsidR="000F0500" w:rsidRPr="007C544A">
        <w:rPr>
          <w:rFonts w:ascii="Traditional Arabic" w:hAnsi="Traditional Arabic" w:cs="Traditional Arabic" w:hint="cs"/>
          <w:rtl/>
        </w:rPr>
        <w:t>(</w:t>
      </w:r>
      <w:r w:rsidR="00531155" w:rsidRPr="007C544A">
        <w:rPr>
          <w:rFonts w:ascii="Traditional Arabic" w:hAnsi="Traditional Arabic" w:cs="Traditional Arabic"/>
          <w:rtl/>
        </w:rPr>
        <w:t xml:space="preserve"> الزهراني، 2021)، </w:t>
      </w:r>
      <w:r w:rsidR="00F5627F" w:rsidRPr="007C544A">
        <w:rPr>
          <w:rFonts w:ascii="Traditional Arabic" w:hAnsi="Traditional Arabic" w:cs="Traditional Arabic"/>
          <w:rtl/>
        </w:rPr>
        <w:t xml:space="preserve">وهذا النوع من </w:t>
      </w:r>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يشيع في القطاعات الديناميكية مثل الاتصالات</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والتكنولوجيا</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والطاقة</w:t>
      </w:r>
      <w:r w:rsidR="00F5627F" w:rsidRPr="007C544A">
        <w:rPr>
          <w:rFonts w:ascii="Traditional Arabic" w:hAnsi="Traditional Arabic" w:cs="Traditional Arabic"/>
        </w:rPr>
        <w:t>.</w:t>
      </w:r>
    </w:p>
    <w:p w:rsidR="00CB6B1C" w:rsidRPr="007C544A" w:rsidRDefault="00F5627F" w:rsidP="002D00D3">
      <w:pPr>
        <w:pStyle w:val="NormalWeb"/>
        <w:numPr>
          <w:ilvl w:val="0"/>
          <w:numId w:val="3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الدمج كبديل عن التصفية أو الخروج من السوق</w:t>
      </w:r>
      <w:r w:rsidR="00775B4E" w:rsidRPr="007C544A">
        <w:rPr>
          <w:rFonts w:ascii="Traditional Arabic" w:eastAsiaTheme="minorHAnsi" w:hAnsi="Traditional Arabic" w:cs="Traditional Arabic"/>
          <w:b/>
          <w:bCs/>
          <w:rtl/>
        </w:rPr>
        <w:t xml:space="preserve">: </w:t>
      </w:r>
    </w:p>
    <w:p w:rsidR="00F5627F" w:rsidRPr="007C544A" w:rsidRDefault="00EA42CA" w:rsidP="00EA42CA">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hAnsi="Traditional Arabic" w:cs="Traditional Arabic"/>
          <w:rtl/>
        </w:rPr>
      </w:pPr>
      <w:r w:rsidRPr="007C544A">
        <w:rPr>
          <w:rFonts w:ascii="Traditional Arabic" w:eastAsiaTheme="minorHAnsi" w:hAnsi="Traditional Arabic" w:cs="Traditional Arabic"/>
          <w:b/>
          <w:bCs/>
          <w:rtl/>
        </w:rPr>
        <w:tab/>
      </w:r>
      <w:r w:rsidRPr="007C544A">
        <w:rPr>
          <w:rFonts w:ascii="Traditional Arabic" w:eastAsiaTheme="minorHAnsi" w:hAnsi="Traditional Arabic" w:cs="Traditional Arabic"/>
          <w:b/>
          <w:bCs/>
          <w:rtl/>
        </w:rPr>
        <w:tab/>
      </w:r>
      <w:r w:rsidR="00CB6B1C" w:rsidRPr="007C544A">
        <w:rPr>
          <w:rFonts w:ascii="Traditional Arabic" w:hAnsi="Traditional Arabic" w:cs="Traditional Arabic"/>
          <w:rtl/>
        </w:rPr>
        <w:t>يُعد الدمج خيارًا استراتيجيًا بديلًا عن التصفية أو الإفلاس، خاصة للشركات المتعثرة، إذ يساعد على استمرار الأصول والقدرات ضمن كيان أكثر كفاءة، وقد أسهم في توطيد بعض القطاعات كقطاع التأمين في السعودية</w:t>
      </w:r>
      <w:r w:rsidR="00CB6B1C" w:rsidRPr="007C544A">
        <w:t>.</w:t>
      </w:r>
      <w:r w:rsidR="00CB6B1C"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الضبعان</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2020؛ الهيئة العامة للمنافسة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2022)</w:t>
      </w:r>
      <w:r w:rsidR="00F5627F" w:rsidRPr="007C544A">
        <w:rPr>
          <w:rFonts w:ascii="Traditional Arabic" w:hAnsi="Traditional Arabic" w:cs="Traditional Arabic"/>
        </w:rPr>
        <w:t>.</w:t>
      </w:r>
    </w:p>
    <w:p w:rsidR="0088316B" w:rsidRPr="007C544A" w:rsidRDefault="0088316B" w:rsidP="0088316B">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hAnsi="Traditional Arabic" w:cs="Traditional Arabic"/>
          <w:rtl/>
        </w:rPr>
      </w:pPr>
    </w:p>
    <w:p w:rsidR="0088316B" w:rsidRPr="007C544A" w:rsidRDefault="0088316B" w:rsidP="0088316B">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hAnsi="Traditional Arabic" w:cs="Traditional Arabic"/>
          <w:rtl/>
        </w:rPr>
      </w:pPr>
    </w:p>
    <w:p w:rsidR="0088316B" w:rsidRPr="007C544A" w:rsidRDefault="0088316B" w:rsidP="0088316B">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eastAsiaTheme="minorHAnsi" w:hAnsi="Traditional Arabic" w:cs="Traditional Arabic"/>
          <w:b/>
          <w:bCs/>
          <w:rtl/>
        </w:rPr>
      </w:pPr>
    </w:p>
    <w:p w:rsidR="00F5627F" w:rsidRPr="007C544A" w:rsidRDefault="00086CDD" w:rsidP="0088316B">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سا</w:t>
      </w:r>
      <w:r w:rsidR="0088316B" w:rsidRPr="007C544A">
        <w:rPr>
          <w:rFonts w:ascii="Traditional Arabic" w:hAnsi="Traditional Arabic" w:cs="Traditional Arabic" w:hint="cs"/>
          <w:b/>
          <w:bCs/>
          <w:sz w:val="28"/>
          <w:szCs w:val="28"/>
          <w:rtl/>
        </w:rPr>
        <w:t>بعاَ</w:t>
      </w:r>
      <w:r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صور دمج الشركات</w:t>
      </w:r>
      <w:r w:rsidR="00531155" w:rsidRPr="007C544A">
        <w:rPr>
          <w:rFonts w:ascii="Traditional Arabic" w:hAnsi="Traditional Arabic" w:cs="Traditional Arabic"/>
          <w:b/>
          <w:bCs/>
          <w:sz w:val="28"/>
          <w:szCs w:val="28"/>
          <w:rtl/>
        </w:rPr>
        <w:t>:</w:t>
      </w:r>
      <w:r w:rsidR="00F5627F" w:rsidRPr="007C544A">
        <w:rPr>
          <w:rFonts w:ascii="Traditional Arabic" w:hAnsi="Traditional Arabic" w:cs="Traditional Arabic"/>
          <w:b/>
          <w:bCs/>
          <w:sz w:val="28"/>
          <w:szCs w:val="28"/>
          <w:rtl/>
        </w:rPr>
        <w:t xml:space="preserve"> </w:t>
      </w:r>
    </w:p>
    <w:p w:rsidR="00F5627F" w:rsidRPr="007C544A" w:rsidRDefault="0022698D" w:rsidP="002D00D3">
      <w:pPr>
        <w:pStyle w:val="NormalWeb"/>
        <w:numPr>
          <w:ilvl w:val="0"/>
          <w:numId w:val="33"/>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بطريق الضم</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الكلي)</w:t>
      </w:r>
      <w:r w:rsidR="00531155" w:rsidRPr="007C544A">
        <w:rPr>
          <w:rFonts w:ascii="Traditional Arabic" w:eastAsiaTheme="minorHAnsi" w:hAnsi="Traditional Arabic" w:cs="Traditional Arabic"/>
          <w:b/>
          <w:bCs/>
          <w:rtl/>
        </w:rPr>
        <w:t>:</w:t>
      </w:r>
      <w:r w:rsidR="00F5627F" w:rsidRPr="007C544A">
        <w:rPr>
          <w:rFonts w:ascii="Traditional Arabic" w:eastAsiaTheme="minorHAnsi" w:hAnsi="Traditional Arabic" w:cs="Traditional Arabic"/>
          <w:b/>
          <w:bCs/>
          <w:rtl/>
        </w:rPr>
        <w:t xml:space="preserve"> </w:t>
      </w:r>
    </w:p>
    <w:p w:rsidR="000F0500" w:rsidRPr="007C544A" w:rsidRDefault="000F0500" w:rsidP="0088316B">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يُقصد بالدمج بطريق الضم اندماج شركة أو أكثر في شركة أخرى قائمة، بحيث تنقضي الشركة المندمجة وتزول شخصيتها المعنوية، وتنتقل حقوقها والتزاماتها وأصولها إلى الشركة الدامجة، التي تستمر محتفظة بشخصيتها المعنوية والقانونية. ويترتب على هذا النوع من الاندماج حلول الشركة الدامجة محل الشركة المندمجة في حقوقها والتزاماتها، بما يؤدي إلى توحيد الذمة المالية والأنشطة في إطار الشركة الدامجة (الرويس، 2017)</w:t>
      </w:r>
      <w:r w:rsidRPr="007C544A">
        <w:rPr>
          <w:rFonts w:ascii="Traditional Arabic" w:eastAsiaTheme="minorHAnsi" w:hAnsi="Traditional Arabic" w:cs="Traditional Arabic"/>
        </w:rPr>
        <w:t>.</w:t>
      </w:r>
    </w:p>
    <w:p w:rsidR="00F5627F" w:rsidRPr="007C544A" w:rsidRDefault="00F5627F" w:rsidP="0088316B">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تتمثل الإجراءات في إعداد عقد اندماج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والحصول على موافقة الشركاء أو المساهمين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ثم التقديم لهيئة السوق المالية ووزارة التجارة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وإجراء التعديلات النظامية في السجل التجاري</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هيئة السوق المالية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2021).</w:t>
      </w:r>
    </w:p>
    <w:p w:rsidR="000F0500" w:rsidRPr="007C544A" w:rsidRDefault="000F0500" w:rsidP="0088316B">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وتتمثل أهم الآثار المترتبة على الدمج بطريق الضم في انتقال الذمة المالية للشركة المندمجة بما تشتمل عليه من أصول وخصوم إلى الشركة الدامجة، وانقضاء الشركة المندمجة وزوال شخصيتها المعنوية، فضلًا عما قد يترتب على ذلك من زيادة رأس مال الشركة الدامجة وإصدار حصص أو أسهم وتوزيعها على الشركاء أو المساهمين في الشركة المندمجة وفقًا لشروط عملية الاندماج، إلى جانب ما قد يترتب عليه من إعادة تنظيم الهياكل الإدارية للشركة الدامجة (البدالي، 2021)</w:t>
      </w:r>
      <w:r w:rsidRPr="007C544A">
        <w:rPr>
          <w:rFonts w:ascii="Traditional Arabic" w:eastAsiaTheme="minorHAnsi" w:hAnsi="Traditional Arabic" w:cs="Traditional Arabic"/>
        </w:rPr>
        <w:t>.</w:t>
      </w:r>
    </w:p>
    <w:p w:rsidR="000F0500" w:rsidRPr="007C544A" w:rsidRDefault="000F0500" w:rsidP="0088316B">
      <w:pPr>
        <w:pStyle w:val="NormalWeb"/>
        <w:shd w:val="clear" w:color="auto" w:fill="FFFFFF" w:themeFill="background1"/>
        <w:tabs>
          <w:tab w:val="right" w:pos="1736"/>
        </w:tabs>
        <w:bidi/>
        <w:spacing w:before="0" w:beforeAutospacing="0" w:after="0" w:afterAutospacing="0" w:line="360" w:lineRule="auto"/>
        <w:ind w:firstLine="720"/>
        <w:jc w:val="both"/>
        <w:rPr>
          <w:rFonts w:eastAsiaTheme="minorHAnsi"/>
          <w:rtl/>
        </w:rPr>
      </w:pPr>
      <w:r w:rsidRPr="007C544A">
        <w:rPr>
          <w:rFonts w:ascii="Traditional Arabic" w:eastAsiaTheme="minorHAnsi" w:hAnsi="Traditional Arabic" w:cs="Traditional Arabic"/>
          <w:rtl/>
        </w:rPr>
        <w:t>يُقصد بالدمج بطريق الضم العملية التي تنقضي بموجبها شركة أو أكثر دون الدخول في مرحلة التصفية، وتنتقل جميع أصولها والتزاماتها إلى شركة أخرى قائمة، وهي الشركة الدامجة، التي تستمر في ممارسة نشاطها وتحتفظ بشخصيتها القانونية، بينما تنتهي الشخصية القانونية للشركة المندمجة. ويترتب على ذلك انتقال حقوق والتزامات الشركة المندمجة إلى الشركة الدامجة وفقًا للأحكام القانونية المنظمة لعملية الاندماج</w:t>
      </w:r>
      <w:r w:rsidRPr="007C544A">
        <w:rPr>
          <w:rFonts w:ascii="Traditional Arabic" w:eastAsiaTheme="minorHAnsi" w:hAnsi="Traditional Arabic" w:cs="Traditional Arabic"/>
        </w:rPr>
        <w:t xml:space="preserve"> (Companies (Corporate Governance, Enforcement and Regulatory Provisions) Act, 2024).</w:t>
      </w:r>
    </w:p>
    <w:p w:rsidR="00F5627F" w:rsidRPr="007C544A" w:rsidRDefault="0022698D" w:rsidP="002D00D3">
      <w:pPr>
        <w:pStyle w:val="NormalWeb"/>
        <w:numPr>
          <w:ilvl w:val="0"/>
          <w:numId w:val="33"/>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بطريق المزج</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الجزئي). </w:t>
      </w:r>
    </w:p>
    <w:p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هو اتحاد شركتين أو أكثر لإنشاء شركة جديدة تنشأ من اندماج الكيانات الأصلية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بحيث تزول الشخصيات القانونية للشركات السابقة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وتحل محلها شركة جديدة مستقلة</w:t>
      </w:r>
      <w:r w:rsidR="00D7278E" w:rsidRPr="007C544A">
        <w:rPr>
          <w:rFonts w:ascii="Traditional Arabic" w:hAnsi="Traditional Arabic" w:cs="Traditional Arabic"/>
          <w:rtl/>
        </w:rPr>
        <w:t xml:space="preserve"> </w:t>
      </w:r>
      <w:r w:rsidR="00D7278E" w:rsidRPr="007C544A">
        <w:rPr>
          <w:rStyle w:val="Strong"/>
          <w:rFonts w:ascii="Traditional Arabic" w:hAnsi="Traditional Arabic" w:cs="Traditional Arabic"/>
          <w:b w:val="0"/>
          <w:bCs w:val="0"/>
          <w:rtl/>
        </w:rPr>
        <w:t>(</w:t>
      </w:r>
      <w:r w:rsidRPr="007C544A">
        <w:rPr>
          <w:rStyle w:val="Strong"/>
          <w:rFonts w:ascii="Traditional Arabic" w:hAnsi="Traditional Arabic" w:cs="Traditional Arabic"/>
          <w:b w:val="0"/>
          <w:bCs w:val="0"/>
          <w:rtl/>
        </w:rPr>
        <w:t>أبو زينة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2013).</w:t>
      </w:r>
    </w:p>
    <w:p w:rsidR="001543FC" w:rsidRPr="007C544A" w:rsidRDefault="001543FC"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من أبرز مميزات هذا النوع من الدمج تحقيق قدر أكبر من التوازن في تمثيل الأطراف المشاركة، والاستفادة من الموارد والخبرات والقدرات المتاحة لدى كل شركة، بما يدعم بناء نموذج تشغيلي موحد وتحقيق أوجه التكامل. وفي المقابل، قد تواجه عملية الدمج تحديات مرتبطة بتوحيد الأنظمة والإجراءات الإدارية والتشغيلية، فضلًا عن ضرورة مراعاة المتطلبات التنظيمية والمالية والضريبية والمحاسبية المصاحبة لعملية الدمج</w:t>
      </w:r>
      <w:r w:rsidRPr="007C544A">
        <w:rPr>
          <w:rFonts w:ascii="Traditional Arabic" w:eastAsiaTheme="minorHAnsi" w:hAnsi="Traditional Arabic" w:cs="Traditional Arabic"/>
        </w:rPr>
        <w:t xml:space="preserve"> (EY, 2024).</w:t>
      </w:r>
    </w:p>
    <w:p w:rsidR="00F5627F" w:rsidRPr="007C544A" w:rsidRDefault="00F5627F" w:rsidP="001543FC">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ab/>
      </w:r>
      <w:r w:rsidR="001543FC" w:rsidRPr="007C544A">
        <w:rPr>
          <w:rFonts w:ascii="Traditional Arabic" w:eastAsiaTheme="minorHAnsi" w:hAnsi="Traditional Arabic" w:cs="Traditional Arabic"/>
          <w:rtl/>
        </w:rPr>
        <w:t xml:space="preserve">يُقصد بالدمج بطريق المزج اتحاد شركتين أو أكثر لتأسيس شركة جديدة تنتقل إليها أصول والتزامات الشركات المندمجة، وتنقضي الشركات الداخلة في الاندماج وتزول شخصيتها الاعتبارية، بينما تكتسب الشركة الجديدة شخصية اعتبارية مستقلة. ويترتب على هذا النوع </w:t>
      </w:r>
      <w:r w:rsidR="001543FC" w:rsidRPr="007C544A">
        <w:rPr>
          <w:rFonts w:ascii="Traditional Arabic" w:eastAsiaTheme="minorHAnsi" w:hAnsi="Traditional Arabic" w:cs="Traditional Arabic"/>
          <w:rtl/>
        </w:rPr>
        <w:lastRenderedPageBreak/>
        <w:t>من الدمج إعادة تنظيم الملكية ورأس المال والهياكل التنظيمية للشركات المشاركة، بما يتطلب وضع إطار إداري واستراتيجي جديد يراعي تكامل الموارد والأنشطة والهياكل السابقة</w:t>
      </w:r>
      <w:r w:rsidR="001543FC" w:rsidRPr="007C544A">
        <w:rPr>
          <w:rFonts w:ascii="Traditional Arabic" w:eastAsiaTheme="minorHAnsi" w:hAnsi="Traditional Arabic" w:cs="Traditional Arabic"/>
        </w:rPr>
        <w:t xml:space="preserve"> (OECD, 2025).</w:t>
      </w:r>
    </w:p>
    <w:p w:rsidR="001543FC" w:rsidRPr="007C544A" w:rsidRDefault="001543FC" w:rsidP="001543FC">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يُقصد بالدمج بطريق المزج اتحاد شركتين أو أكثر لتأسيس شركة جديدة، وتنقضي الشركات المندمجة نتيجة الاندماج، وتنتقل حقوقها والتزاماتها وأصولها وعقودها إلى الشركة الناشئة عن الاندماج، وفقًا للأحكام النظامية المنظمة لذلك. ويترتب على هذا النوع من الاندماج نشوء شركة جديدة تُقيد في السجل التجاري وتكتسب الشخصية الاعتبارية، بما يستلزم تنظيم ملكيتها ورأس مالها وهيكلها الإداري بما يتناسب مع الكيان الجديد (نظام الشركات السعودي، 2022، المواد 225، 228، 229)</w:t>
      </w:r>
      <w:r w:rsidRPr="007C544A">
        <w:rPr>
          <w:rFonts w:ascii="Traditional Arabic" w:eastAsiaTheme="minorHAnsi" w:hAnsi="Traditional Arabic" w:cs="Traditional Arabic"/>
        </w:rPr>
        <w:t>.</w:t>
      </w:r>
    </w:p>
    <w:p w:rsidR="00F5627F" w:rsidRPr="007C544A" w:rsidRDefault="0088316B"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hint="cs"/>
          <w:b/>
          <w:bCs/>
          <w:sz w:val="28"/>
          <w:szCs w:val="28"/>
          <w:rtl/>
        </w:rPr>
        <w:t>ثامناً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 xml:space="preserve">التصنيف الاقتصادي لصور الدمج </w:t>
      </w:r>
    </w:p>
    <w:p w:rsidR="001543FC" w:rsidRPr="007C544A" w:rsidRDefault="001543FC" w:rsidP="002D00D3">
      <w:pPr>
        <w:pStyle w:val="NormalWeb"/>
        <w:numPr>
          <w:ilvl w:val="0"/>
          <w:numId w:val="34"/>
        </w:numPr>
        <w:shd w:val="clear" w:color="auto" w:fill="FFFFFF" w:themeFill="background1"/>
        <w:tabs>
          <w:tab w:val="right" w:pos="1736"/>
        </w:tabs>
        <w:bidi/>
        <w:spacing w:before="0" w:beforeAutospacing="0" w:after="0" w:afterAutospacing="0" w:line="360" w:lineRule="auto"/>
        <w:ind w:left="714" w:hanging="205"/>
        <w:jc w:val="both"/>
        <w:rPr>
          <w:rFonts w:ascii="Traditional Arabic" w:eastAsiaTheme="minorHAnsi" w:hAnsi="Traditional Arabic" w:cs="Traditional Arabic"/>
        </w:rPr>
      </w:pPr>
      <w:r w:rsidRPr="007C544A">
        <w:rPr>
          <w:rFonts w:ascii="Traditional Arabic" w:eastAsiaTheme="minorHAnsi" w:hAnsi="Traditional Arabic" w:cs="Traditional Arabic"/>
          <w:b/>
          <w:bCs/>
        </w:rPr>
        <w:t xml:space="preserve">. </w:t>
      </w:r>
      <w:r w:rsidRPr="007C544A">
        <w:rPr>
          <w:rFonts w:ascii="Traditional Arabic" w:eastAsiaTheme="minorHAnsi" w:hAnsi="Traditional Arabic" w:cs="Traditional Arabic"/>
          <w:b/>
          <w:bCs/>
          <w:rtl/>
        </w:rPr>
        <w:t>الدمج الأفقي</w:t>
      </w:r>
      <w:r w:rsidRPr="007C544A">
        <w:rPr>
          <w:rFonts w:ascii="Traditional Arabic" w:eastAsiaTheme="minorHAnsi" w:hAnsi="Traditional Arabic" w:cs="Traditional Arabic"/>
          <w:b/>
          <w:bCs/>
        </w:rPr>
        <w:t>:</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 xml:space="preserve">ويحدث بين شركات تعمل في القطاع نفسه أو في سوق متقارب، ويستهدف عادةً توسيع الحصة السوقية، وتعزيز القدرة التنافسية، والاستفادة من أوجه التكامل، وتحقيق وفورات في التكاليف. ومن الأمثلة على ذلك اندماج شركة </w:t>
      </w:r>
      <w:r w:rsidRPr="007C544A">
        <w:rPr>
          <w:rFonts w:ascii="Traditional Arabic" w:eastAsiaTheme="minorHAnsi" w:hAnsi="Traditional Arabic" w:cs="Traditional Arabic"/>
          <w:b/>
          <w:bCs/>
          <w:rtl/>
        </w:rPr>
        <w:t>الأهلية للتأمين التعاوني</w:t>
      </w:r>
      <w:r w:rsidRPr="007C544A">
        <w:rPr>
          <w:rFonts w:ascii="Traditional Arabic" w:eastAsiaTheme="minorHAnsi" w:hAnsi="Traditional Arabic" w:cs="Traditional Arabic"/>
          <w:rtl/>
        </w:rPr>
        <w:t xml:space="preserve"> في شركة </w:t>
      </w:r>
      <w:r w:rsidRPr="007C544A">
        <w:rPr>
          <w:rFonts w:ascii="Traditional Arabic" w:eastAsiaTheme="minorHAnsi" w:hAnsi="Traditional Arabic" w:cs="Traditional Arabic"/>
          <w:b/>
          <w:bCs/>
          <w:rtl/>
        </w:rPr>
        <w:t>اتحاد الخليج للتأمين التعاوني</w:t>
      </w:r>
      <w:r w:rsidRPr="007C544A">
        <w:rPr>
          <w:rFonts w:ascii="Traditional Arabic" w:eastAsiaTheme="minorHAnsi" w:hAnsi="Traditional Arabic" w:cs="Traditional Arabic"/>
          <w:rtl/>
        </w:rPr>
        <w:t>، حيث تم الاتفاق على نقل أصول الشركة الأهلية والتزاماتها إلى شركة اتحاد الخليج مقابل إصدار أسهم لصالح مساهمي الشركة الأهلية (هيئة السوق المالية، 2020)</w:t>
      </w:r>
      <w:r w:rsidRPr="007C544A">
        <w:rPr>
          <w:rFonts w:ascii="Traditional Arabic" w:eastAsiaTheme="minorHAnsi" w:hAnsi="Traditional Arabic" w:cs="Traditional Arabic"/>
        </w:rPr>
        <w:t>.</w:t>
      </w:r>
    </w:p>
    <w:p w:rsidR="00F5627F" w:rsidRPr="007C544A" w:rsidRDefault="0022698D" w:rsidP="002D00D3">
      <w:pPr>
        <w:pStyle w:val="NormalWeb"/>
        <w:numPr>
          <w:ilvl w:val="0"/>
          <w:numId w:val="34"/>
        </w:numPr>
        <w:shd w:val="clear" w:color="auto" w:fill="FFFFFF" w:themeFill="background1"/>
        <w:tabs>
          <w:tab w:val="right" w:pos="1736"/>
        </w:tabs>
        <w:bidi/>
        <w:spacing w:before="0" w:beforeAutospacing="0" w:after="0" w:afterAutospacing="0" w:line="360" w:lineRule="auto"/>
        <w:ind w:left="714" w:hanging="205"/>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t xml:space="preserve">الدمج </w:t>
      </w:r>
      <w:r w:rsidR="00F5627F" w:rsidRPr="007C544A">
        <w:rPr>
          <w:rStyle w:val="Strong"/>
          <w:rFonts w:ascii="Traditional Arabic" w:hAnsi="Traditional Arabic" w:cs="Traditional Arabic"/>
          <w:b w:val="0"/>
          <w:bCs w:val="0"/>
          <w:rtl/>
        </w:rPr>
        <w:t xml:space="preserve"> الرأسي</w:t>
      </w:r>
      <w:r w:rsidR="00775B4E" w:rsidRPr="007C544A">
        <w:rPr>
          <w:rStyle w:val="Strong"/>
          <w:rFonts w:ascii="Traditional Arabic" w:hAnsi="Traditional Arabic" w:cs="Traditional Arabic"/>
          <w:b w:val="0"/>
          <w:bCs w:val="0"/>
          <w:rtl/>
        </w:rPr>
        <w:t xml:space="preserve">: </w:t>
      </w:r>
      <w:r w:rsidR="00F5627F" w:rsidRPr="007C544A">
        <w:rPr>
          <w:rFonts w:ascii="Traditional Arabic" w:hAnsi="Traditional Arabic" w:cs="Traditional Arabic"/>
          <w:rtl/>
        </w:rPr>
        <w:t>هو اندماج شركات تعمل في مراحل إنتاجية مختلفة ضمن نفس سلسلة القيمة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مثل اندماج شركة سعودية متخصصة في المواد الخام مع شركة تصنيع. يحقق هذا النوع السيطرة على سلسلة التوريد</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العامري</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2020</w:t>
      </w:r>
      <w:r w:rsidR="00F5627F" w:rsidRPr="007C544A">
        <w:rPr>
          <w:rStyle w:val="Strong"/>
          <w:rFonts w:ascii="Traditional Arabic" w:hAnsi="Traditional Arabic" w:cs="Traditional Arabic"/>
          <w:b w:val="0"/>
          <w:bCs w:val="0"/>
          <w:rtl/>
        </w:rPr>
        <w:t>).</w:t>
      </w:r>
    </w:p>
    <w:p w:rsidR="00F5627F" w:rsidRPr="007C544A" w:rsidRDefault="0022698D" w:rsidP="002D00D3">
      <w:pPr>
        <w:pStyle w:val="NormalWeb"/>
        <w:numPr>
          <w:ilvl w:val="0"/>
          <w:numId w:val="34"/>
        </w:numPr>
        <w:shd w:val="clear" w:color="auto" w:fill="FFFFFF" w:themeFill="background1"/>
        <w:tabs>
          <w:tab w:val="right" w:pos="1736"/>
        </w:tabs>
        <w:bidi/>
        <w:spacing w:before="0" w:beforeAutospacing="0" w:after="0" w:afterAutospacing="0" w:line="360" w:lineRule="auto"/>
        <w:ind w:left="714" w:hanging="205"/>
        <w:jc w:val="both"/>
        <w:rPr>
          <w:rFonts w:ascii="Traditional Arabic" w:hAnsi="Traditional Arabic" w:cs="Traditional Arabic"/>
        </w:rPr>
      </w:pPr>
      <w:r w:rsidRPr="007C544A">
        <w:rPr>
          <w:rStyle w:val="Strong"/>
          <w:rFonts w:ascii="Traditional Arabic" w:hAnsi="Traditional Arabic" w:cs="Traditional Arabic"/>
          <w:b w:val="0"/>
          <w:bCs w:val="0"/>
          <w:rtl/>
        </w:rPr>
        <w:t xml:space="preserve">الدمج </w:t>
      </w:r>
      <w:r w:rsidR="00F5627F" w:rsidRPr="007C544A">
        <w:rPr>
          <w:rStyle w:val="Strong"/>
          <w:rFonts w:ascii="Traditional Arabic" w:hAnsi="Traditional Arabic" w:cs="Traditional Arabic"/>
          <w:b w:val="0"/>
          <w:bCs w:val="0"/>
          <w:rtl/>
        </w:rPr>
        <w:t xml:space="preserve"> التكتلي</w:t>
      </w:r>
      <w:r w:rsidR="00D7278E" w:rsidRPr="007C544A">
        <w:rPr>
          <w:rStyle w:val="Strong"/>
          <w:rFonts w:ascii="Traditional Arabic" w:hAnsi="Traditional Arabic" w:cs="Traditional Arabic"/>
          <w:b w:val="0"/>
          <w:bCs w:val="0"/>
          <w:rtl/>
        </w:rPr>
        <w:t xml:space="preserve"> (</w:t>
      </w:r>
      <w:r w:rsidR="00F5627F" w:rsidRPr="007C544A">
        <w:rPr>
          <w:rStyle w:val="Strong"/>
          <w:rFonts w:ascii="Traditional Arabic" w:hAnsi="Traditional Arabic" w:cs="Traditional Arabic"/>
          <w:b w:val="0"/>
          <w:bCs w:val="0"/>
          <w:rtl/>
        </w:rPr>
        <w:t>الكونجلوميراتي)</w:t>
      </w:r>
      <w:r w:rsidR="00775B4E" w:rsidRPr="007C544A">
        <w:rPr>
          <w:rStyle w:val="Strong"/>
          <w:rFonts w:ascii="Traditional Arabic" w:hAnsi="Traditional Arabic" w:cs="Traditional Arabic"/>
          <w:b w:val="0"/>
          <w:bCs w:val="0"/>
          <w:rtl/>
        </w:rPr>
        <w:t xml:space="preserve">: </w:t>
      </w:r>
      <w:r w:rsidR="00017502" w:rsidRPr="007C544A">
        <w:rPr>
          <w:rtl/>
        </w:rPr>
        <w:t>ي</w:t>
      </w:r>
      <w:r w:rsidR="00017502" w:rsidRPr="007C544A">
        <w:rPr>
          <w:rFonts w:ascii="Traditional Arabic" w:hAnsi="Traditional Arabic" w:cs="Traditional Arabic"/>
          <w:rtl/>
        </w:rPr>
        <w:t>حدث بين شركات تنشط في قطاعات غير متشابهة، ويهدف إلى تنويع مصادر الإيرادات والحد من المخاطر المرتبطة بالاعتماد على نشاط اقتصادي واحد. ويتيح هذا النوع من الدمج توسيع نطاق أنشطة الشركة والاستفادة من تنوع مجالات العمل، بما قد يساعد على مواجهة بعض المخاطر وتحسين القدرة على تخصيص الموارد بين الأنشطة المختلفة</w:t>
      </w:r>
      <w:r w:rsidR="00017502" w:rsidRPr="007C544A">
        <w:rPr>
          <w:rFonts w:ascii="Traditional Arabic" w:hAnsi="Traditional Arabic" w:cs="Traditional Arabic"/>
        </w:rPr>
        <w:t xml:space="preserve"> (Hassan, 2023).</w:t>
      </w:r>
    </w:p>
    <w:p w:rsidR="00F5627F" w:rsidRPr="007C544A" w:rsidRDefault="00F5627F" w:rsidP="00017502">
      <w:pPr>
        <w:pStyle w:val="NormalWeb"/>
        <w:shd w:val="clear" w:color="auto" w:fill="FFFFFF" w:themeFill="background1"/>
        <w:tabs>
          <w:tab w:val="right" w:pos="1736"/>
        </w:tabs>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t xml:space="preserve">وقد </w:t>
      </w:r>
      <w:r w:rsidRPr="007C544A">
        <w:rPr>
          <w:rFonts w:ascii="Traditional Arabic" w:hAnsi="Traditional Arabic" w:cs="Traditional Arabic"/>
          <w:rtl/>
        </w:rPr>
        <w:t>شهدت السعودية في الأعوام الأخيرة عدة اندماجات مهمة كاندماج "سامبا" و"الأهلي التجاري" لتكوين أكبر بنك سعودي</w:t>
      </w:r>
      <w:r w:rsidRPr="007C544A">
        <w:rPr>
          <w:rFonts w:ascii="Traditional Arabic" w:hAnsi="Traditional Arabic" w:cs="Traditional Arabic"/>
        </w:rPr>
        <w:t>.</w:t>
      </w:r>
      <w:r w:rsidRPr="007C544A">
        <w:rPr>
          <w:rFonts w:ascii="Traditional Arabic" w:hAnsi="Traditional Arabic" w:cs="Traditional Arabic"/>
          <w:rtl/>
        </w:rPr>
        <w:t xml:space="preserve"> واندماج شركات التأمين لتلبية متطلبات "ساما" لرفع كفاءة رأس المال</w:t>
      </w:r>
      <w:r w:rsidR="00D7278E" w:rsidRPr="007C544A">
        <w:rPr>
          <w:rFonts w:ascii="Traditional Arabic" w:hAnsi="Traditional Arabic" w:cs="Traditional Arabic"/>
          <w:rtl/>
        </w:rPr>
        <w:t xml:space="preserve"> </w:t>
      </w:r>
      <w:r w:rsidR="00D7278E" w:rsidRPr="007C544A">
        <w:rPr>
          <w:rStyle w:val="Strong"/>
          <w:rFonts w:ascii="Traditional Arabic" w:hAnsi="Traditional Arabic" w:cs="Traditional Arabic"/>
          <w:b w:val="0"/>
          <w:bCs w:val="0"/>
          <w:rtl/>
        </w:rPr>
        <w:t>(</w:t>
      </w:r>
      <w:r w:rsidRPr="007C544A">
        <w:rPr>
          <w:rStyle w:val="Strong"/>
          <w:rFonts w:ascii="Traditional Arabic" w:hAnsi="Traditional Arabic" w:cs="Traditional Arabic"/>
          <w:b w:val="0"/>
          <w:bCs w:val="0"/>
          <w:rtl/>
        </w:rPr>
        <w:t>هيئة السوق المالية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2022؛ </w:t>
      </w:r>
      <w:r w:rsidR="003D2C23" w:rsidRPr="007C544A">
        <w:rPr>
          <w:rStyle w:val="Strong"/>
          <w:rFonts w:ascii="Traditional Arabic" w:hAnsi="Traditional Arabic" w:cs="Traditional Arabic"/>
          <w:b w:val="0"/>
          <w:bCs w:val="0"/>
          <w:rtl/>
        </w:rPr>
        <w:t>البنك ال</w:t>
      </w:r>
      <w:r w:rsidR="003D2C23" w:rsidRPr="007C544A">
        <w:rPr>
          <w:rStyle w:val="Strong"/>
          <w:rFonts w:ascii="Traditional Arabic" w:hAnsi="Traditional Arabic" w:cs="Traditional Arabic" w:hint="cs"/>
          <w:b w:val="0"/>
          <w:bCs w:val="0"/>
          <w:rtl/>
        </w:rPr>
        <w:t xml:space="preserve">مركزي </w:t>
      </w:r>
      <w:r w:rsidRPr="007C544A">
        <w:rPr>
          <w:rStyle w:val="Strong"/>
          <w:rFonts w:ascii="Traditional Arabic" w:hAnsi="Traditional Arabic" w:cs="Traditional Arabic"/>
          <w:b w:val="0"/>
          <w:bCs w:val="0"/>
          <w:rtl/>
        </w:rPr>
        <w:t>السعودي</w:t>
      </w:r>
      <w:r w:rsidR="00D7278E" w:rsidRPr="007C544A">
        <w:rPr>
          <w:rStyle w:val="Strong"/>
          <w:rFonts w:ascii="Traditional Arabic" w:hAnsi="Traditional Arabic" w:cs="Traditional Arabic"/>
          <w:b w:val="0"/>
          <w:bCs w:val="0"/>
          <w:rtl/>
        </w:rPr>
        <w:t>،</w:t>
      </w:r>
      <w:r w:rsidR="00017502" w:rsidRPr="007C544A">
        <w:rPr>
          <w:rStyle w:val="Strong"/>
          <w:rFonts w:ascii="Traditional Arabic" w:hAnsi="Traditional Arabic" w:cs="Traditional Arabic" w:hint="cs"/>
          <w:b w:val="0"/>
          <w:bCs w:val="0"/>
          <w:rtl/>
        </w:rPr>
        <w:t>2022)</w:t>
      </w:r>
    </w:p>
    <w:p w:rsidR="00F5627F" w:rsidRPr="007C544A" w:rsidRDefault="0088316B"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hint="cs"/>
          <w:b/>
          <w:bCs/>
          <w:sz w:val="28"/>
          <w:szCs w:val="28"/>
          <w:rtl/>
        </w:rPr>
        <w:t>تاسعاً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محددات اختيار استراتيجية الدمج</w:t>
      </w:r>
      <w:r w:rsidR="00775B4E" w:rsidRPr="007C544A">
        <w:rPr>
          <w:rFonts w:ascii="Traditional Arabic" w:hAnsi="Traditional Arabic" w:cs="Traditional Arabic"/>
          <w:b/>
          <w:bCs/>
          <w:sz w:val="28"/>
          <w:szCs w:val="28"/>
          <w:rtl/>
        </w:rPr>
        <w:t xml:space="preserve">: </w:t>
      </w:r>
    </w:p>
    <w:p w:rsidR="00D378E7" w:rsidRPr="007C544A" w:rsidRDefault="00D378E7" w:rsidP="00D378E7">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تتأثر عملية دمج الشركات بمجموعة من المحددات المرتبطة بطبيعة الشركات، وظروف السوق، والإطار القانوني والتنظيمي، بما يؤثر في نجاح الدمج وجدواه في البيئة السعودية</w:t>
      </w:r>
      <w:r w:rsidRPr="007C544A">
        <w:rPr>
          <w:rFonts w:ascii="Traditional Arabic" w:hAnsi="Traditional Arabic" w:cs="Traditional Arabic"/>
        </w:rPr>
        <w:t>.</w:t>
      </w:r>
    </w:p>
    <w:p w:rsidR="00F5627F"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hAnsi="Traditional Arabic" w:cs="Traditional Arabic"/>
          <w:rtl/>
        </w:rPr>
      </w:pPr>
      <w:r w:rsidRPr="007C544A">
        <w:rPr>
          <w:rFonts w:ascii="Traditional Arabic" w:eastAsiaTheme="minorHAnsi" w:hAnsi="Traditional Arabic" w:cs="Traditional Arabic" w:hint="cs"/>
          <w:b/>
          <w:bCs/>
          <w:rtl/>
        </w:rPr>
        <w:t>1.</w:t>
      </w:r>
      <w:r w:rsidR="00F5627F" w:rsidRPr="007C544A">
        <w:rPr>
          <w:rFonts w:ascii="Traditional Arabic" w:eastAsiaTheme="minorHAnsi" w:hAnsi="Traditional Arabic" w:cs="Traditional Arabic"/>
          <w:b/>
          <w:bCs/>
          <w:rtl/>
        </w:rPr>
        <w:t>حجم الشركة وطبيعة نشاطها</w:t>
      </w:r>
      <w:r w:rsidR="00775B4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hint="cs"/>
          <w:b/>
          <w:bCs/>
          <w:rtl/>
        </w:rPr>
        <w:t xml:space="preserve"> </w:t>
      </w:r>
      <w:r w:rsidR="00D378E7" w:rsidRPr="007C544A">
        <w:rPr>
          <w:rFonts w:ascii="Traditional Arabic" w:hAnsi="Traditional Arabic" w:cs="Traditional Arabic"/>
          <w:rtl/>
        </w:rPr>
        <w:t xml:space="preserve">يُعد حجم الشركة وطبيعة نشاطها من أهم محددات استراتيجية الدمج؛ فالشركات الكبيرة تستهدف تعزيز مكانتها، بينما تسعى الأصغر إلى النمو وتقليل المخاطر، كما يختلف نوع الدمج باختلاف النشاط. ويُعد اندماج البنك الأهلي التجاري </w:t>
      </w:r>
      <w:r w:rsidR="00D378E7" w:rsidRPr="007C544A">
        <w:rPr>
          <w:rFonts w:ascii="Traditional Arabic" w:hAnsi="Traditional Arabic" w:cs="Traditional Arabic"/>
          <w:rtl/>
        </w:rPr>
        <w:lastRenderedPageBreak/>
        <w:t>ومجموعة سامبا المالية عام 2021 مثالًا على دمج شركتين كبيرتين في القطاع المصرفي لتعزيز الريادة وتوسيع الخدمات</w:t>
      </w:r>
      <w:r w:rsidR="00D378E7" w:rsidRPr="007C544A">
        <w:rPr>
          <w:rFonts w:ascii="Traditional Arabic" w:hAnsi="Traditional Arabic" w:cs="Traditional Arabic"/>
        </w:rPr>
        <w:t>.</w:t>
      </w:r>
      <w:r w:rsidR="00D378E7"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2021)</w:t>
      </w:r>
      <w:r w:rsidR="00F5627F" w:rsidRPr="007C544A">
        <w:rPr>
          <w:rFonts w:ascii="Traditional Arabic" w:hAnsi="Traditional Arabic" w:cs="Traditional Arabic"/>
        </w:rPr>
        <w:t>.</w:t>
      </w:r>
    </w:p>
    <w:p w:rsidR="00F5627F"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hint="cs"/>
          <w:b/>
          <w:bCs/>
          <w:rtl/>
        </w:rPr>
        <w:t>2.</w:t>
      </w:r>
      <w:r w:rsidR="00F5627F" w:rsidRPr="007C544A">
        <w:rPr>
          <w:rFonts w:ascii="Traditional Arabic" w:eastAsiaTheme="minorHAnsi" w:hAnsi="Traditional Arabic" w:cs="Traditional Arabic"/>
          <w:b/>
          <w:bCs/>
          <w:rtl/>
        </w:rPr>
        <w:t>البيئة القانونية والتنظيمية</w:t>
      </w:r>
      <w:r w:rsidR="00775B4E" w:rsidRPr="007C544A">
        <w:rPr>
          <w:rFonts w:ascii="Traditional Arabic" w:eastAsiaTheme="minorHAnsi" w:hAnsi="Traditional Arabic" w:cs="Traditional Arabic"/>
          <w:b/>
          <w:bCs/>
          <w:rtl/>
        </w:rPr>
        <w:t xml:space="preserve">: </w:t>
      </w:r>
    </w:p>
    <w:p w:rsidR="00F5627F" w:rsidRPr="007C544A" w:rsidRDefault="002A53CB" w:rsidP="002A53CB">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تلعب البيئة التشريعية والتنظيمية في المملكة العربية السعودية دورًا مهمًا في تنظيم عمليات الدمج، من خلال نظام الشركات، وقواعد حماية المنافسة، واللوائح الصادرة عن هيئة السوق المالية والهيئة العامة للمنافسة</w:t>
      </w:r>
      <w:r w:rsidRPr="007C544A">
        <w:rPr>
          <w:rFonts w:ascii="Traditional Arabic" w:hAnsi="Traditional Arabic" w:cs="Traditional Arabic"/>
        </w:rPr>
        <w:t xml:space="preserve">. </w:t>
      </w:r>
      <w:r w:rsidRPr="007C544A">
        <w:rPr>
          <w:rFonts w:ascii="Traditional Arabic" w:hAnsi="Traditional Arabic" w:cs="Traditional Arabic"/>
          <w:rtl/>
        </w:rPr>
        <w:t xml:space="preserve">وتتطلب الأنظمة السعودية الإفصاح والموافقات اللازمة من الجهات المختصة، خاصة عند احتمال تأثير عملية الدمج في مستوى المنافسة. وفي عام 2023، رفضت الهيئة العامة للمنافسة طلب التركز الاقتصادي بين شركتي </w:t>
      </w:r>
      <w:r w:rsidRPr="007C544A">
        <w:rPr>
          <w:rFonts w:ascii="Traditional Arabic" w:hAnsi="Traditional Arabic" w:cs="Traditional Arabic"/>
        </w:rPr>
        <w:t>«</w:t>
      </w:r>
      <w:r w:rsidRPr="007C544A">
        <w:rPr>
          <w:rFonts w:ascii="Traditional Arabic" w:hAnsi="Traditional Arabic" w:cs="Traditional Arabic"/>
          <w:rtl/>
        </w:rPr>
        <w:t>مياه الهدا» و«بيور أكوا</w:t>
      </w:r>
      <w:r w:rsidRPr="007C544A">
        <w:rPr>
          <w:rFonts w:ascii="Traditional Arabic" w:hAnsi="Traditional Arabic" w:cs="Traditional Arabic"/>
        </w:rPr>
        <w:t>»</w:t>
      </w:r>
      <w:r w:rsidRPr="007C544A">
        <w:rPr>
          <w:rFonts w:ascii="Traditional Arabic" w:hAnsi="Traditional Arabic" w:cs="Traditional Arabic"/>
          <w:rtl/>
        </w:rPr>
        <w:t>، لوجود مخاوف تتعلق بتأثير العملية المحتمل في المنافسة في سوق المياه المعبأة</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الهيئة العامة للمنافسة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2023)</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مما يعكس دور الإطار القانوني في ضبط عمليات الدمج وفق اعتبارات السوق</w:t>
      </w:r>
      <w:r w:rsidR="00F5627F" w:rsidRPr="007C544A">
        <w:rPr>
          <w:rFonts w:ascii="Traditional Arabic" w:hAnsi="Traditional Arabic" w:cs="Traditional Arabic"/>
        </w:rPr>
        <w:t>.</w:t>
      </w:r>
    </w:p>
    <w:p w:rsidR="00F5627F"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hint="cs"/>
          <w:b/>
          <w:bCs/>
          <w:rtl/>
        </w:rPr>
        <w:t>3.</w:t>
      </w:r>
      <w:r w:rsidR="00F5627F" w:rsidRPr="007C544A">
        <w:rPr>
          <w:rFonts w:ascii="Traditional Arabic" w:eastAsiaTheme="minorHAnsi" w:hAnsi="Traditional Arabic" w:cs="Traditional Arabic"/>
          <w:b/>
          <w:bCs/>
          <w:rtl/>
        </w:rPr>
        <w:t>تحليل السوق والمنافسة</w:t>
      </w:r>
      <w:r w:rsidR="00775B4E" w:rsidRPr="007C544A">
        <w:rPr>
          <w:rFonts w:ascii="Traditional Arabic" w:eastAsiaTheme="minorHAnsi" w:hAnsi="Traditional Arabic" w:cs="Traditional Arabic"/>
          <w:b/>
          <w:bCs/>
          <w:rtl/>
        </w:rPr>
        <w:t xml:space="preserve">: </w:t>
      </w:r>
    </w:p>
    <w:p w:rsidR="00017502" w:rsidRPr="007C544A" w:rsidRDefault="00214B0E" w:rsidP="0001750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يتطلب اتخاذ استراتيجية الدمج دراسة حجم السوق والعرض والطلب والمنافسة واتجاهات النمو وهيكل السوق، لتعزيز القوة السوقية خاصة في الأسواق المشبعة أو شديدة المنافسة</w:t>
      </w:r>
      <w:r w:rsidRPr="007C544A">
        <w:rPr>
          <w:rFonts w:ascii="Traditional Arabic" w:hAnsi="Traditional Arabic" w:cs="Traditional Arabic"/>
        </w:rPr>
        <w:t>.</w:t>
      </w:r>
    </w:p>
    <w:p w:rsidR="00017502" w:rsidRPr="007C544A" w:rsidRDefault="00017502" w:rsidP="0001750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ab/>
        <w:t xml:space="preserve">ويُظهر الواقع السعودي أن قطاع الأسمنت شهد خلال السنوات الأخيرة تحركات نحو الاندماج، في ظل التغيرات التي يشهدها السوق والحاجة إلى تعزيز الكفاءة التشغيلية والاستفادة من أوجه التكامل بين الشركات. ومن الأمثلة الحديثة توقيع شركة </w:t>
      </w:r>
      <w:r w:rsidRPr="007C544A">
        <w:rPr>
          <w:rFonts w:ascii="Traditional Arabic" w:hAnsi="Traditional Arabic" w:cs="Traditional Arabic"/>
          <w:b/>
          <w:bCs/>
          <w:rtl/>
        </w:rPr>
        <w:t>أسمنت المنطقة الجنوبية</w:t>
      </w:r>
      <w:r w:rsidRPr="007C544A">
        <w:rPr>
          <w:rFonts w:ascii="Traditional Arabic" w:hAnsi="Traditional Arabic" w:cs="Traditional Arabic"/>
          <w:rtl/>
        </w:rPr>
        <w:t xml:space="preserve"> وشركة </w:t>
      </w:r>
      <w:r w:rsidRPr="007C544A">
        <w:rPr>
          <w:rFonts w:ascii="Traditional Arabic" w:hAnsi="Traditional Arabic" w:cs="Traditional Arabic"/>
          <w:b/>
          <w:bCs/>
          <w:rtl/>
        </w:rPr>
        <w:t>أسمنت ينبع</w:t>
      </w:r>
      <w:r w:rsidRPr="007C544A">
        <w:rPr>
          <w:rFonts w:ascii="Traditional Arabic" w:hAnsi="Traditional Arabic" w:cs="Traditional Arabic"/>
          <w:rtl/>
        </w:rPr>
        <w:t xml:space="preserve"> مذكرة تفاهم غير ملزمة في يونيو 2024 لدراسة جدوى الاندماج بين الشركتين، مع إجراء الفحص النافي للجهالة من الجوانب التشغيلية والفنية والمالية والقانونية، ثم تمديد المذكرة في يونيو 2025 لمدة ثلاثة أشهر لاستكمال دراسة الصفقة، قبل انتهائها في سبتمبر 2025 دون التوصل إلى اتفاق نهائي (تداول السعودية، 2025)</w:t>
      </w:r>
      <w:r w:rsidRPr="007C544A">
        <w:rPr>
          <w:rFonts w:ascii="Traditional Arabic" w:hAnsi="Traditional Arabic" w:cs="Traditional Arabic"/>
        </w:rPr>
        <w:t>.</w:t>
      </w:r>
    </w:p>
    <w:p w:rsidR="005E664E"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hint="cs"/>
          <w:b/>
          <w:bCs/>
          <w:rtl/>
        </w:rPr>
        <w:t>4.</w:t>
      </w:r>
      <w:r w:rsidR="00B85A18" w:rsidRPr="007C544A">
        <w:rPr>
          <w:rFonts w:ascii="Traditional Arabic" w:eastAsiaTheme="minorHAnsi" w:hAnsi="Traditional Arabic" w:cs="Traditional Arabic"/>
          <w:b/>
          <w:bCs/>
          <w:rtl/>
        </w:rPr>
        <w:t>جدوى الدمج مالياً وتنظيمياً:</w:t>
      </w:r>
    </w:p>
    <w:p w:rsidR="00F5627F" w:rsidRPr="007C544A" w:rsidRDefault="005E664E" w:rsidP="00D20622">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ab/>
      </w:r>
      <w:r w:rsidR="00D20622" w:rsidRPr="007C544A">
        <w:rPr>
          <w:rFonts w:ascii="Traditional Arabic" w:eastAsiaTheme="minorHAnsi" w:hAnsi="Traditional Arabic" w:cs="Traditional Arabic"/>
          <w:rtl/>
        </w:rPr>
        <w:tab/>
      </w:r>
      <w:r w:rsidRPr="007C544A">
        <w:rPr>
          <w:rFonts w:ascii="Traditional Arabic" w:hAnsi="Traditional Arabic" w:cs="Traditional Arabic"/>
          <w:rtl/>
        </w:rPr>
        <w:t>تشمل دراسة الجدوى تقييم الكفاءة المالية والهيكلية للشركات قبل الدمج وبعده، من خلال مؤشرات الربحية والعائد على الأصول وتكاليف التشغيل، إلى جانب التوافق الإداري والثقافي، بما يساعد على تقييم جدوى الدمج وتحقيق القيمة المضافة</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الهيئة السعودية للمراجعين والمحاسبين</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2023؛</w:t>
      </w:r>
      <w:r w:rsidR="00F5627F" w:rsidRPr="007C544A">
        <w:rPr>
          <w:rFonts w:ascii="Traditional Arabic" w:hAnsi="Traditional Arabic" w:cs="Traditional Arabic"/>
        </w:rPr>
        <w:t xml:space="preserve"> Gaughan, 2018.</w:t>
      </w:r>
      <w:r w:rsidR="00F5627F" w:rsidRPr="007C544A">
        <w:rPr>
          <w:rFonts w:ascii="Traditional Arabic" w:hAnsi="Traditional Arabic" w:cs="Traditional Arabic"/>
          <w:rtl/>
        </w:rPr>
        <w:t>).</w:t>
      </w:r>
    </w:p>
    <w:p w:rsidR="00017502" w:rsidRPr="007C544A" w:rsidRDefault="00017502" w:rsidP="00017502">
      <w:pPr>
        <w:pStyle w:val="a"/>
        <w:shd w:val="clear" w:color="auto" w:fill="FFFFFF" w:themeFill="background1"/>
        <w:spacing w:line="360" w:lineRule="auto"/>
        <w:ind w:firstLine="720"/>
        <w:jc w:val="both"/>
        <w:rPr>
          <w:rFonts w:ascii="Traditional Arabic" w:eastAsia="Times New Roman" w:hAnsi="Traditional Arabic" w:cs="Traditional Arabic"/>
          <w:sz w:val="24"/>
          <w:szCs w:val="24"/>
          <w:rtl/>
          <w:lang w:bidi="ar-SA"/>
        </w:rPr>
      </w:pPr>
      <w:r w:rsidRPr="007C544A">
        <w:rPr>
          <w:rFonts w:ascii="Traditional Arabic" w:eastAsia="Times New Roman" w:hAnsi="Traditional Arabic" w:cs="Traditional Arabic"/>
          <w:sz w:val="24"/>
          <w:szCs w:val="24"/>
          <w:rtl/>
          <w:lang w:bidi="ar-SA"/>
        </w:rPr>
        <w:t>وقد تسهم عمليات الاندماج في قطاع التأمين في تحقيق وفورات تشغيلية وتعزيز الكفاءة من خلال الحد من ازدواجية العمليات والموارد، وتوسيع قاعدة الأعمال، والاستفادة من أوجه التكامل في الأنظمة والمنتجات وقنوات التوزيع. ويتضح ذلك من تجربة شركة «ولاء للتأمين» التي استفادت، عقب اندماجها مع شركة «ساب للتكافل»، من إضافة محافظ تأمينية ومنتجات وأنظمة وخبرات بشرية وقنوات توزيع جديدة، إلى جانب تعزيز قاعدة رأس المال والحصة السوقية، بما يعكس الدور الذي يمكن أن تؤديه عمليات الاندماج في تحقيق التكامل التشغيلي ودعم نمو الشركات (شركة ولاء للتأمين التعاوني، 2024؛ البنك المركزي السعودي، 2022)</w:t>
      </w:r>
    </w:p>
    <w:p w:rsidR="0088316B" w:rsidRPr="007C544A" w:rsidRDefault="0088316B" w:rsidP="00017502">
      <w:pPr>
        <w:pStyle w:val="a"/>
        <w:shd w:val="clear" w:color="auto" w:fill="FFFFFF" w:themeFill="background1"/>
        <w:spacing w:line="360" w:lineRule="auto"/>
        <w:ind w:firstLine="720"/>
        <w:jc w:val="both"/>
        <w:rPr>
          <w:rFonts w:ascii="Traditional Arabic" w:eastAsia="Times New Roman" w:hAnsi="Traditional Arabic" w:cs="Traditional Arabic"/>
          <w:sz w:val="24"/>
          <w:szCs w:val="24"/>
          <w:rtl/>
          <w:lang w:bidi="ar-SA"/>
        </w:rPr>
      </w:pPr>
    </w:p>
    <w:p w:rsidR="00F5627F" w:rsidRPr="007C544A" w:rsidRDefault="0088316B" w:rsidP="00017502">
      <w:pPr>
        <w:pStyle w:val="a"/>
        <w:shd w:val="clear" w:color="auto" w:fill="FFFFFF" w:themeFill="background1"/>
        <w:spacing w:line="360" w:lineRule="auto"/>
        <w:jc w:val="both"/>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lastRenderedPageBreak/>
        <w:t>عاشراً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 xml:space="preserve">عوامل نجاح وفشل استراتيجيات دمج الشركات </w:t>
      </w:r>
    </w:p>
    <w:p w:rsidR="00F60E1C" w:rsidRPr="007C544A" w:rsidRDefault="00F60E1C" w:rsidP="00F60E1C">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تُعد استراتيجيات دمج الشركات أداة لإعادة تشكيل السوق وتعزيز الكفاءة والقدرة التنافسية، ويتوقف نجاحها على مجموعة من العوامل المؤثرة في تحقيق أهداف الدمج أو فشله في البيئة السعودية</w:t>
      </w:r>
      <w:r w:rsidRPr="007C544A">
        <w:rPr>
          <w:rFonts w:ascii="Traditional Arabic" w:hAnsi="Traditional Arabic" w:cs="Traditional Arabic"/>
        </w:rPr>
        <w:t>.</w:t>
      </w:r>
    </w:p>
    <w:p w:rsidR="00F5627F" w:rsidRPr="007C544A" w:rsidRDefault="00F5627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التكامل الثقافي والإداري</w:t>
      </w:r>
      <w:r w:rsidR="00775B4E" w:rsidRPr="007C544A">
        <w:rPr>
          <w:rFonts w:ascii="Traditional Arabic" w:eastAsiaTheme="minorHAnsi" w:hAnsi="Traditional Arabic" w:cs="Traditional Arabic"/>
          <w:b/>
          <w:bCs/>
          <w:rtl/>
        </w:rPr>
        <w:t xml:space="preserve">: </w:t>
      </w:r>
    </w:p>
    <w:p w:rsidR="00F5627F" w:rsidRPr="007C544A" w:rsidRDefault="00F5627F" w:rsidP="003D2C23">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يُعد التوافق الثقافي والإداري بين الكيانين المندمجين أحد أبرز التحديات في عمليات الدمج. فاختلاف القيم المؤسسية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وأسلوب القيادة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وهيكل اتخاذ القرار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قد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نزاعات داخلية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تؤثر على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وتضعف الولاء التنظيمي</w:t>
      </w:r>
      <w:r w:rsidR="00D7278E" w:rsidRPr="007C544A">
        <w:rPr>
          <w:rFonts w:ascii="Traditional Arabic" w:hAnsi="Traditional Arabic" w:cs="Traditional Arabic"/>
          <w:rtl/>
        </w:rPr>
        <w:t xml:space="preserve"> (</w:t>
      </w:r>
      <w:r w:rsidRPr="007C544A">
        <w:rPr>
          <w:rFonts w:ascii="Traditional Arabic" w:hAnsi="Traditional Arabic" w:cs="Traditional Arabic"/>
        </w:rPr>
        <w:t>KPMG, 2022</w:t>
      </w:r>
      <w:r w:rsidRPr="007C544A">
        <w:rPr>
          <w:rFonts w:ascii="Traditional Arabic" w:hAnsi="Traditional Arabic" w:cs="Traditional Arabic"/>
          <w:rtl/>
        </w:rPr>
        <w:t>)</w:t>
      </w:r>
      <w:r w:rsidRPr="007C544A">
        <w:rPr>
          <w:rFonts w:ascii="Traditional Arabic" w:hAnsi="Traditional Arabic" w:cs="Traditional Arabic"/>
        </w:rPr>
        <w:t>.</w:t>
      </w:r>
    </w:p>
    <w:p w:rsidR="006876E2" w:rsidRPr="007C544A" w:rsidRDefault="00F5627F" w:rsidP="00D55B1A">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في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أظهرت دراسة حالة دمج "البنك الأول" و"ساب" أن نجاح الدمج اعتمد على برامج استباقية لدمج فرق العمل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وتوحيد السياسات الإدارية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وتعزيز الانسجام التنظيمي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2020)</w:t>
      </w:r>
      <w:r w:rsidRPr="007C544A">
        <w:rPr>
          <w:rFonts w:ascii="Traditional Arabic" w:hAnsi="Traditional Arabic" w:cs="Traditional Arabic"/>
        </w:rPr>
        <w:t>.</w:t>
      </w:r>
    </w:p>
    <w:p w:rsidR="00F5627F" w:rsidRPr="007C544A" w:rsidRDefault="00D6178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إدارة</w:t>
      </w:r>
      <w:r w:rsidR="00F5627F" w:rsidRPr="007C544A">
        <w:rPr>
          <w:rFonts w:ascii="Traditional Arabic" w:eastAsiaTheme="minorHAnsi" w:hAnsi="Traditional Arabic" w:cs="Traditional Arabic"/>
          <w:b/>
          <w:bCs/>
          <w:rtl/>
        </w:rPr>
        <w:t xml:space="preserve"> التغيير التنظيمي</w:t>
      </w:r>
      <w:r w:rsidR="00775B4E" w:rsidRPr="007C544A">
        <w:rPr>
          <w:rFonts w:ascii="Traditional Arabic" w:eastAsiaTheme="minorHAnsi" w:hAnsi="Traditional Arabic" w:cs="Traditional Arabic"/>
          <w:b/>
          <w:bCs/>
          <w:rtl/>
        </w:rPr>
        <w:t xml:space="preserve">: </w:t>
      </w:r>
    </w:p>
    <w:p w:rsidR="00B85A18"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يُعد التعامل مع التغيير الداخلي الناتج عن الدمج تحديًا معقدًا يتطلب تواصلاً فعالًا مع الموظفين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وخططًا 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مقاومة التغيير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وضمان استمرارية العمليات. فضعف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 قد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تراجع الروح المعنوية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وزيادة معدل الدوران الوظيفي</w:t>
      </w:r>
      <w:r w:rsidR="00B85A18" w:rsidRPr="007C544A">
        <w:rPr>
          <w:rFonts w:ascii="Traditional Arabic" w:hAnsi="Traditional Arabic" w:cs="Traditional Arabic"/>
          <w:rtl/>
        </w:rPr>
        <w:t xml:space="preserve"> (</w:t>
      </w:r>
      <w:r w:rsidR="00B85A18" w:rsidRPr="007C544A">
        <w:rPr>
          <w:rFonts w:ascii="Traditional Arabic" w:hAnsi="Traditional Arabic" w:cs="Traditional Arabic"/>
        </w:rPr>
        <w:t>Burns &amp; Scapens, 2020</w:t>
      </w:r>
      <w:r w:rsidR="00B85A18" w:rsidRPr="007C544A">
        <w:rPr>
          <w:rFonts w:ascii="Traditional Arabic" w:hAnsi="Traditional Arabic" w:cs="Traditional Arabic"/>
          <w:rtl/>
        </w:rPr>
        <w:t>؛ الشريف، 2022).</w:t>
      </w:r>
    </w:p>
    <w:p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في حالة دمج "الأهلي" و"سامبا"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أُنشئت وحدة مستقلة 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w:t>
      </w:r>
      <w:r w:rsidR="00B85A18" w:rsidRPr="007C544A">
        <w:rPr>
          <w:rFonts w:ascii="Traditional Arabic" w:hAnsi="Traditional Arabic" w:cs="Traditional Arabic"/>
          <w:rtl/>
        </w:rPr>
        <w:t xml:space="preserve"> (</w:t>
      </w:r>
      <w:r w:rsidR="00B85A18" w:rsidRPr="007C544A">
        <w:rPr>
          <w:rFonts w:ascii="Traditional Arabic" w:hAnsi="Traditional Arabic" w:cs="Traditional Arabic"/>
        </w:rPr>
        <w:t>Change Management Office</w:t>
      </w:r>
      <w:r w:rsidR="00B85A18" w:rsidRPr="007C544A">
        <w:rPr>
          <w:rFonts w:ascii="Traditional Arabic" w:hAnsi="Traditional Arabic" w:cs="Traditional Arabic"/>
          <w:rtl/>
        </w:rPr>
        <w:t xml:space="preserve">) </w:t>
      </w:r>
      <w:r w:rsidRPr="007C544A">
        <w:rPr>
          <w:rFonts w:ascii="Traditional Arabic" w:hAnsi="Traditional Arabic" w:cs="Traditional Arabic"/>
          <w:rtl/>
        </w:rPr>
        <w:t>عملت على دعم الإدارات المختلفة خلال فترة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مما أسهم في الانتقال السلس وتحقيق التكامل خلال الإطار الزمني المحدد</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البنك الأهلي السعودي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2021)</w:t>
      </w:r>
      <w:r w:rsidRPr="007C544A">
        <w:rPr>
          <w:rFonts w:ascii="Traditional Arabic" w:hAnsi="Traditional Arabic" w:cs="Traditional Arabic"/>
        </w:rPr>
        <w:t>.</w:t>
      </w:r>
    </w:p>
    <w:p w:rsidR="00F5627F" w:rsidRPr="007C544A" w:rsidRDefault="00F5627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التقييم العادل للأصول والالتزامات</w:t>
      </w:r>
      <w:r w:rsidR="00775B4E" w:rsidRPr="007C544A">
        <w:rPr>
          <w:rFonts w:ascii="Traditional Arabic" w:eastAsiaTheme="minorHAnsi" w:hAnsi="Traditional Arabic" w:cs="Traditional Arabic"/>
          <w:b/>
          <w:bCs/>
          <w:rtl/>
        </w:rPr>
        <w:t xml:space="preserve">: </w:t>
      </w:r>
    </w:p>
    <w:p w:rsidR="00B85A18"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يتطلب دمج الشركات إجراء تقييم مالي دقيق للأصول والالتزامات لتفادي المفاجآت بعد إتمام الدمج. إذ أن التقييم غير العادل قد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خلق فجوة في حقوق المساهمين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أو تعريض الكيان الجديد لمخاطر مالية غير محسوبة</w:t>
      </w:r>
      <w:r w:rsidR="00D7278E" w:rsidRPr="007C544A">
        <w:rPr>
          <w:rFonts w:ascii="Traditional Arabic" w:hAnsi="Traditional Arabic" w:cs="Traditional Arabic"/>
          <w:rtl/>
        </w:rPr>
        <w:t xml:space="preserve"> (</w:t>
      </w:r>
      <w:r w:rsidR="00B85A18" w:rsidRPr="007C544A">
        <w:rPr>
          <w:rFonts w:ascii="Traditional Arabic" w:hAnsi="Traditional Arabic" w:cs="Traditional Arabic"/>
          <w:rtl/>
        </w:rPr>
        <w:t>عبد الرحمن، 2021).</w:t>
      </w:r>
    </w:p>
    <w:p w:rsidR="00922B00" w:rsidRPr="007C544A" w:rsidRDefault="00F5627F" w:rsidP="00E14FC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في المملكة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تشترط هيئة السوق المالية أن يتم تقييم الأصول والالتزامات من قبل مقيم معتمد وفق معايير التقييم الدولية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هو الحال في اندماج "شركة الجزيرة تكافل" و"سوليدرتي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حيث أُجري تقييم مالي شفاف ضمن معايير هيئة التقييم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هيئة السوق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w:t>
      </w:r>
      <w:r w:rsidRPr="007C544A">
        <w:rPr>
          <w:rFonts w:ascii="Traditional Arabic" w:hAnsi="Traditional Arabic" w:cs="Traditional Arabic"/>
        </w:rPr>
        <w:t>.</w:t>
      </w:r>
    </w:p>
    <w:p w:rsidR="000848C5" w:rsidRPr="007C544A" w:rsidRDefault="00F5627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الفحص النافي للجهالة</w:t>
      </w:r>
      <w:r w:rsidR="00CF33D1" w:rsidRPr="007C544A">
        <w:rPr>
          <w:rFonts w:ascii="Traditional Arabic" w:eastAsiaTheme="minorHAnsi" w:hAnsi="Traditional Arabic" w:cs="Traditional Arabic"/>
          <w:b/>
          <w:bCs/>
          <w:rtl/>
        </w:rPr>
        <w:t>:</w:t>
      </w:r>
      <w:r w:rsidRPr="007C544A">
        <w:rPr>
          <w:rFonts w:ascii="Traditional Arabic" w:eastAsiaTheme="minorHAnsi" w:hAnsi="Traditional Arabic" w:cs="Traditional Arabic"/>
          <w:b/>
          <w:bCs/>
          <w:rtl/>
        </w:rPr>
        <w:t xml:space="preserve"> </w:t>
      </w:r>
    </w:p>
    <w:p w:rsidR="00F5627F" w:rsidRPr="007C544A" w:rsidRDefault="00E80D81" w:rsidP="004053FA">
      <w:pPr>
        <w:pStyle w:val="NormalWeb"/>
        <w:shd w:val="clear" w:color="auto" w:fill="FFFFFF" w:themeFill="background1"/>
        <w:tabs>
          <w:tab w:val="right" w:pos="656"/>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ab/>
      </w:r>
      <w:r w:rsidRPr="007C544A">
        <w:rPr>
          <w:rFonts w:ascii="Traditional Arabic" w:eastAsiaTheme="minorHAnsi" w:hAnsi="Traditional Arabic" w:cs="Traditional Arabic"/>
          <w:b/>
          <w:bCs/>
          <w:rtl/>
        </w:rPr>
        <w:tab/>
      </w:r>
      <w:r w:rsidR="000848C5" w:rsidRPr="007C544A">
        <w:rPr>
          <w:rFonts w:ascii="Traditional Arabic" w:hAnsi="Traditional Arabic" w:cs="Traditional Arabic"/>
          <w:rtl/>
        </w:rPr>
        <w:t>يُعد الفحص النافي للجهالة عنصرًا أساسيًا لتقييم جدوى الدمج، ويشمل مراجعة القوائم المالية والعقود والالتزامات والمخاطر التشغيلية والامتثال التنظيمي، وقد يؤدي إهماله إلى فشل عملية الدمج</w:t>
      </w:r>
      <w:r w:rsidR="000848C5" w:rsidRPr="007C544A">
        <w:rPr>
          <w:rFonts w:ascii="Traditional Arabic" w:hAnsi="Traditional Arabic" w:cs="Traditional Arabic"/>
        </w:rPr>
        <w:t>.</w:t>
      </w:r>
      <w:r w:rsidR="000848C5"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Pr>
        <w:t xml:space="preserve"> PwC Middle East, 2023</w:t>
      </w:r>
      <w:r w:rsidR="00F5627F" w:rsidRPr="007C544A">
        <w:rPr>
          <w:rFonts w:ascii="Traditional Arabic" w:hAnsi="Traditional Arabic" w:cs="Traditional Arabic"/>
          <w:rtl/>
        </w:rPr>
        <w:t>)</w:t>
      </w:r>
      <w:r w:rsidR="00CF33D1" w:rsidRPr="007C544A">
        <w:rPr>
          <w:rFonts w:ascii="Traditional Arabic" w:hAnsi="Traditional Arabic" w:cs="Traditional Arabic"/>
          <w:rtl/>
        </w:rPr>
        <w:t>.</w:t>
      </w:r>
    </w:p>
    <w:p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lastRenderedPageBreak/>
        <w:tab/>
        <w:t xml:space="preserve">ومن </w:t>
      </w:r>
      <w:r w:rsidR="00CF33D1" w:rsidRPr="007C544A">
        <w:rPr>
          <w:rFonts w:ascii="Traditional Arabic" w:hAnsi="Traditional Arabic" w:cs="Traditional Arabic"/>
          <w:rtl/>
        </w:rPr>
        <w:t>الأمثلة</w:t>
      </w:r>
      <w:r w:rsidRPr="007C544A">
        <w:rPr>
          <w:rFonts w:ascii="Traditional Arabic" w:hAnsi="Traditional Arabic" w:cs="Traditional Arabic"/>
          <w:rtl/>
        </w:rPr>
        <w:t xml:space="preserve"> لما سبق عندما علّقت هيئة المنافسة السعودية صفقة اندماج مقترحة في قطاع الأغذية بسبب تقارير الفحص التي كشفت عن تركز احتكاري محتمل لم يكن ظاهرًا في التقييم المبدئي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الهيئة العامة للمنافسة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2023).</w:t>
      </w:r>
    </w:p>
    <w:p w:rsidR="00F5627F" w:rsidRPr="007C544A" w:rsidRDefault="005F77C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الحادي عشر-</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 xml:space="preserve">التحديات التي تواجه استراتيجيات الدمج في </w:t>
      </w:r>
      <w:r w:rsidR="00CF33D1" w:rsidRPr="007C544A">
        <w:rPr>
          <w:rFonts w:ascii="Traditional Arabic" w:hAnsi="Traditional Arabic" w:cs="Traditional Arabic"/>
          <w:b/>
          <w:bCs/>
          <w:sz w:val="28"/>
          <w:szCs w:val="28"/>
          <w:rtl/>
        </w:rPr>
        <w:t>الأسواق</w:t>
      </w:r>
      <w:r w:rsidR="00F5627F" w:rsidRPr="007C544A">
        <w:rPr>
          <w:rFonts w:ascii="Traditional Arabic" w:hAnsi="Traditional Arabic" w:cs="Traditional Arabic"/>
          <w:b/>
          <w:bCs/>
          <w:sz w:val="28"/>
          <w:szCs w:val="28"/>
          <w:rtl/>
        </w:rPr>
        <w:t xml:space="preserve"> الناشئة</w:t>
      </w:r>
      <w:r w:rsidR="00CF33D1" w:rsidRPr="007C544A">
        <w:rPr>
          <w:rFonts w:ascii="Traditional Arabic" w:hAnsi="Traditional Arabic" w:cs="Traditional Arabic"/>
          <w:b/>
          <w:bCs/>
          <w:sz w:val="28"/>
          <w:szCs w:val="28"/>
          <w:rtl/>
        </w:rPr>
        <w:t>:</w:t>
      </w:r>
    </w:p>
    <w:p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تواجه استراتيجيات دمج الشركات في الأسواق الناشئة جملة من التحديات البنيوية والتنظيمية التي قد تُضعف من أثرها أو تؤدي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فشلها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رغم ما تحمله من وعود بالنمو والتوسع. وتُعد السوق السعودية – بما في ذلك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نمو)– نموذجًا تطبيقيًا غنيًا يُظهر طبيعة هذه التحديات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وفيما يلي أبرزها</w:t>
      </w:r>
      <w:r w:rsidR="00775B4E" w:rsidRPr="007C544A">
        <w:rPr>
          <w:rFonts w:ascii="Traditional Arabic" w:hAnsi="Traditional Arabic" w:cs="Traditional Arabic"/>
          <w:rtl/>
        </w:rPr>
        <w:t xml:space="preserve">: </w:t>
      </w:r>
    </w:p>
    <w:p w:rsidR="00EC3539"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المعوقات القانونية</w:t>
      </w:r>
      <w:r w:rsidR="00775B4E" w:rsidRPr="007C544A">
        <w:rPr>
          <w:rFonts w:ascii="Traditional Arabic" w:eastAsiaTheme="minorHAnsi" w:hAnsi="Traditional Arabic" w:cs="Traditional Arabic"/>
          <w:b/>
          <w:bCs/>
          <w:rtl/>
        </w:rPr>
        <w:t xml:space="preserve">: </w:t>
      </w:r>
    </w:p>
    <w:p w:rsidR="00F5627F" w:rsidRPr="007C544A" w:rsidRDefault="00EC3539" w:rsidP="00EC3539">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ab/>
      </w:r>
      <w:r w:rsidRPr="007C544A">
        <w:rPr>
          <w:rFonts w:ascii="Traditional Arabic" w:eastAsiaTheme="minorHAnsi" w:hAnsi="Traditional Arabic" w:cs="Traditional Arabic"/>
          <w:b/>
          <w:bCs/>
          <w:rtl/>
        </w:rPr>
        <w:tab/>
      </w:r>
      <w:r w:rsidRPr="007C544A">
        <w:rPr>
          <w:rFonts w:ascii="Traditional Arabic" w:hAnsi="Traditional Arabic" w:cs="Traditional Arabic"/>
          <w:rtl/>
        </w:rPr>
        <w:t>قد تعيق الأنظمة القانونية غير المكتملة أو الغامضة عمليات الدمج في الأسواق الناشئة، نتيجة صعوبة تفسير بعض النصوص، وتداخل اختصاصات الجهات التنظيمية، وطول إجراءات الحصول على الموافقات</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2022)</w:t>
      </w:r>
      <w:r w:rsidR="00CF33D1" w:rsidRPr="007C544A">
        <w:rPr>
          <w:rFonts w:ascii="Traditional Arabic" w:hAnsi="Traditional Arabic" w:cs="Traditional Arabic"/>
          <w:rtl/>
        </w:rPr>
        <w:t>.</w:t>
      </w:r>
    </w:p>
    <w:p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فقد أشارت هيئة السوق المالية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أن أحد أسباب بطء تنفيذ عمليات الدمج في </w:t>
      </w:r>
      <w:r w:rsidRPr="007C544A">
        <w:rPr>
          <w:rStyle w:val="Strong"/>
          <w:rFonts w:ascii="Traditional Arabic" w:hAnsi="Traditional Arabic" w:cs="Traditional Arabic"/>
          <w:b w:val="0"/>
          <w:bCs w:val="0"/>
          <w:rtl/>
        </w:rPr>
        <w:t>سوق نمو</w:t>
      </w:r>
      <w:r w:rsidRPr="007C544A">
        <w:rPr>
          <w:rFonts w:ascii="Traditional Arabic" w:hAnsi="Traditional Arabic" w:cs="Traditional Arabic"/>
          <w:rtl/>
        </w:rPr>
        <w:t xml:space="preserve"> يعود</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غياب لوائح تفصيلية تُراعي طبيعة الشركات الصغيرة والمتوسطة وتخفف من العبء التشريعي عنها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w:t>
      </w:r>
      <w:r w:rsidRPr="007C544A">
        <w:rPr>
          <w:rFonts w:ascii="Traditional Arabic" w:hAnsi="Traditional Arabic" w:cs="Traditional Arabic"/>
        </w:rPr>
        <w:t>.</w:t>
      </w:r>
    </w:p>
    <w:p w:rsidR="00F5627F"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276"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القيود السوقية</w:t>
      </w:r>
      <w:r w:rsidR="00775B4E" w:rsidRPr="007C544A">
        <w:rPr>
          <w:rFonts w:ascii="Traditional Arabic" w:eastAsiaTheme="minorHAnsi" w:hAnsi="Traditional Arabic" w:cs="Traditional Arabic"/>
          <w:b/>
          <w:bCs/>
          <w:rtl/>
        </w:rPr>
        <w:t xml:space="preserve">: </w:t>
      </w:r>
    </w:p>
    <w:p w:rsidR="00922B00" w:rsidRPr="007C544A" w:rsidRDefault="00EC3539" w:rsidP="004053FA">
      <w:pPr>
        <w:pStyle w:val="NormalWeb"/>
        <w:shd w:val="clear" w:color="auto" w:fill="FFFFFF" w:themeFill="background1"/>
        <w:tabs>
          <w:tab w:val="right" w:pos="656"/>
          <w:tab w:val="right" w:pos="1466"/>
          <w:tab w:val="right" w:pos="26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تواجه شركات سوق «نمو</w:t>
      </w:r>
      <w:r w:rsidRPr="007C544A">
        <w:rPr>
          <w:rFonts w:ascii="Traditional Arabic" w:hAnsi="Traditional Arabic" w:cs="Traditional Arabic"/>
        </w:rPr>
        <w:t xml:space="preserve">» </w:t>
      </w:r>
      <w:r w:rsidRPr="007C544A">
        <w:rPr>
          <w:rFonts w:ascii="Traditional Arabic" w:hAnsi="Traditional Arabic" w:cs="Traditional Arabic"/>
          <w:rtl/>
        </w:rPr>
        <w:t>ضعف السيولة، وقلة المستثمرين المؤسسيين، وضيق قاعدة المتعاملين، وتقلبات السوق، مما قد يصعّب تقييم الشركات ويزيد مخاطر الدمج</w:t>
      </w:r>
      <w:r w:rsidR="004053FA" w:rsidRPr="007C544A">
        <w:rPr>
          <w:rFonts w:ascii="Traditional Arabic" w:hAnsi="Traditional Arabic" w:cs="Traditional Arabic" w:hint="cs"/>
          <w:rtl/>
        </w:rPr>
        <w:t xml:space="preserve">، </w:t>
      </w:r>
      <w:r w:rsidR="00F5627F" w:rsidRPr="007C544A">
        <w:rPr>
          <w:rFonts w:ascii="Traditional Arabic" w:hAnsi="Traditional Arabic" w:cs="Traditional Arabic"/>
          <w:rtl/>
        </w:rPr>
        <w:t>وقد بيّن تقرير شركة البلاد المالية أن بعض صفقات الدمج المقترحة في السوق الموازية لم تتم بسبب عدم جدوى التقييم السوقي للشركات الصغيرة مقارنة بتكاليف الدمج</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البلاد المالية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2023)</w:t>
      </w:r>
      <w:r w:rsidR="00F5627F" w:rsidRPr="007C544A">
        <w:rPr>
          <w:rFonts w:ascii="Traditional Arabic" w:hAnsi="Traditional Arabic" w:cs="Traditional Arabic"/>
        </w:rPr>
        <w:t>.</w:t>
      </w:r>
    </w:p>
    <w:p w:rsidR="00F5627F"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نقص الخبرة في </w:t>
      </w:r>
      <w:r w:rsidR="00D6178F" w:rsidRPr="007C544A">
        <w:rPr>
          <w:rFonts w:ascii="Traditional Arabic" w:eastAsiaTheme="minorHAnsi" w:hAnsi="Traditional Arabic" w:cs="Traditional Arabic"/>
          <w:b/>
          <w:bCs/>
          <w:rtl/>
        </w:rPr>
        <w:t>إدارة</w:t>
      </w:r>
      <w:r w:rsidRPr="007C544A">
        <w:rPr>
          <w:rFonts w:ascii="Traditional Arabic" w:eastAsiaTheme="minorHAnsi" w:hAnsi="Traditional Arabic" w:cs="Traditional Arabic"/>
          <w:b/>
          <w:bCs/>
          <w:rtl/>
        </w:rPr>
        <w:t xml:space="preserve"> الدمج</w:t>
      </w:r>
      <w:r w:rsidR="00775B4E" w:rsidRPr="007C544A">
        <w:rPr>
          <w:rFonts w:ascii="Traditional Arabic" w:eastAsiaTheme="minorHAnsi" w:hAnsi="Traditional Arabic" w:cs="Traditional Arabic"/>
          <w:b/>
          <w:bCs/>
          <w:rtl/>
        </w:rPr>
        <w:t xml:space="preserve">: </w:t>
      </w:r>
    </w:p>
    <w:p w:rsidR="00017502" w:rsidRPr="007C544A" w:rsidRDefault="00017502" w:rsidP="005F77CA">
      <w:pPr>
        <w:pStyle w:val="NormalWeb"/>
        <w:bidi/>
        <w:spacing w:before="0" w:beforeAutospacing="0" w:after="0" w:afterAutospacing="0" w:line="360" w:lineRule="auto"/>
        <w:ind w:firstLine="504"/>
        <w:jc w:val="both"/>
        <w:rPr>
          <w:rFonts w:ascii="Traditional Arabic" w:hAnsi="Traditional Arabic" w:cs="Traditional Arabic"/>
        </w:rPr>
      </w:pPr>
      <w:r w:rsidRPr="007C544A">
        <w:rPr>
          <w:rFonts w:ascii="Traditional Arabic" w:hAnsi="Traditional Arabic" w:cs="Traditional Arabic"/>
          <w:rtl/>
        </w:rPr>
        <w:t>قد تواجه بعض الشركات الصغيرة والمتوسطة في السوق السعودي تحديات تتعلق بتوافر الكفاءات الإدارية والموارد البشرية القادرة على التعامل مع العمليات الإدارية والتنظيمية المعقدة، وهو ما قد يزداد أهمية عند تنفيذ عمليات الاندماج التي تتطلب خبرات متخصصة في الجوانب المالية والقانونية والإدارية والحوكمة. كما يمكن أن تمثل محدودية تطبيق ممارسات الحوكمة تحديًا أمام الشركات في مراحل ما قبل الاندماج وما بعده، خاصة فيما يتعلق بتنظيم عمليات اتخاذ القرار وتعزيز الشفافية والمساءلة وتحقيق التكامل بين الهياكل والعمليات. وقد أظهرت دراسة على المنشآت الصغيرة والمتوسطة في المملكة العربية السعودية وجود علاقة ذات دلالة بين الحوكمة والقدرة البشرية والأداء المالي لهذه المنشآت</w:t>
      </w:r>
      <w:r w:rsidRPr="007C544A">
        <w:rPr>
          <w:rFonts w:ascii="Traditional Arabic" w:hAnsi="Traditional Arabic" w:cs="Traditional Arabic"/>
        </w:rPr>
        <w:t xml:space="preserve"> (Rain &amp; Khawaja, 2023).</w:t>
      </w:r>
    </w:p>
    <w:p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وقد رصدت دراسة أجرتها هيئة منشآت أن أكثر من 60% من الشركات الصغيرة في السوق الموازية لا تمتلك مستشارين داخليين أو خارجيين 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عمليات إعادة الهيكلة أو التوسع عبر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منشآت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w:t>
      </w:r>
      <w:r w:rsidRPr="007C544A">
        <w:rPr>
          <w:rFonts w:ascii="Traditional Arabic" w:hAnsi="Traditional Arabic" w:cs="Traditional Arabic"/>
        </w:rPr>
        <w:t>.</w:t>
      </w:r>
    </w:p>
    <w:p w:rsidR="005F77CA" w:rsidRPr="007C544A" w:rsidRDefault="005F77CA" w:rsidP="005F77CA">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p>
    <w:p w:rsidR="005F77CA" w:rsidRPr="007C544A" w:rsidRDefault="005F77CA" w:rsidP="005F77CA">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p>
    <w:p w:rsidR="00F5627F"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lastRenderedPageBreak/>
        <w:t>دراسات حالة من السوق السعودي</w:t>
      </w:r>
      <w:r w:rsidR="00D7278E" w:rsidRPr="007C544A">
        <w:rPr>
          <w:rFonts w:ascii="Traditional Arabic" w:eastAsiaTheme="minorHAnsi" w:hAnsi="Traditional Arabic" w:cs="Traditional Arabic"/>
          <w:b/>
          <w:bCs/>
          <w:rtl/>
        </w:rPr>
        <w:t xml:space="preserve"> (</w:t>
      </w:r>
      <w:r w:rsidR="00532E36" w:rsidRPr="007C544A">
        <w:rPr>
          <w:rFonts w:ascii="Traditional Arabic" w:eastAsiaTheme="minorHAnsi" w:hAnsi="Traditional Arabic" w:cs="Traditional Arabic"/>
          <w:b/>
          <w:bCs/>
          <w:rtl/>
        </w:rPr>
        <w:t>نمو):</w:t>
      </w:r>
    </w:p>
    <w:p w:rsidR="00F5627F" w:rsidRPr="007C544A" w:rsidRDefault="00F5627F" w:rsidP="00706522">
      <w:pPr>
        <w:pStyle w:val="NormalWeb"/>
        <w:shd w:val="clear" w:color="auto" w:fill="FFFFFF" w:themeFill="background1"/>
        <w:tabs>
          <w:tab w:val="right" w:pos="386"/>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من الأمثلة الدالة على التحديات التي تواجه الدمج في 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محاولة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بين شركتي "عطاء التعليمية" و"أكاديمية المعالي"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حيث تعثرت المفاوضات نتيجة اختلاف التقديرات المالية وغياب معايير موحدة للتقييم العادل في ظل سوق محدود السيولة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تداول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2023). كما أُشير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وجود فجوات في الإفصاح وضعف في البنية الإدارية كأسباب إضافية لإيقاف الصفقة</w:t>
      </w:r>
      <w:r w:rsidRPr="007C544A">
        <w:rPr>
          <w:rFonts w:ascii="Traditional Arabic" w:hAnsi="Traditional Arabic" w:cs="Traditional Arabic"/>
        </w:rPr>
        <w:t>.</w:t>
      </w:r>
    </w:p>
    <w:p w:rsidR="00614C4E" w:rsidRPr="007C544A" w:rsidRDefault="00614C4E"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يتناول المبحث الأبعاد الاستراتيجية ومحددات نجاح أو فشل دمج الشركات في السوق السعودي، مع عرض أبرز التحديات والعوامل المؤثرة، مدعومًا بأمثلة محلية لعمليات اندماج ناجحة ومتعثرة</w:t>
      </w:r>
      <w:r w:rsidRPr="007C544A">
        <w:rPr>
          <w:rFonts w:ascii="Traditional Arabic" w:hAnsi="Traditional Arabic" w:cs="Traditional Arabic"/>
        </w:rPr>
        <w:t>.</w:t>
      </w:r>
    </w:p>
    <w:p w:rsidR="00F5627F" w:rsidRPr="007C544A" w:rsidRDefault="00F5627F" w:rsidP="00614C4E">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ويخلص المبحث</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نجاح استراتيجيات الدمج في السوق السعودي يتطلب تكاملًا دقيقًا بين الجوانب القانونية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والسوقية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والإدارية</w:t>
      </w:r>
      <w:r w:rsidR="00D7278E" w:rsidRPr="007C544A">
        <w:rPr>
          <w:rFonts w:ascii="Traditional Arabic" w:hAnsi="Traditional Arabic" w:cs="Traditional Arabic"/>
          <w:rtl/>
        </w:rPr>
        <w:t>،</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جانب تأهيل الشركات الصغيرة والمتوسطة وتحديث التشريعات بما يتلاءم مع خصوصية سوق النمو</w:t>
      </w:r>
      <w:r w:rsidRPr="007C544A">
        <w:rPr>
          <w:rFonts w:ascii="Traditional Arabic" w:hAnsi="Traditional Arabic" w:cs="Traditional Arabic"/>
        </w:rPr>
        <w:t>.</w:t>
      </w:r>
    </w:p>
    <w:p w:rsidR="00F67B6B" w:rsidRPr="007C544A" w:rsidRDefault="00F67B6B" w:rsidP="00706522">
      <w:pPr>
        <w:spacing w:after="0" w:line="360" w:lineRule="auto"/>
        <w:rPr>
          <w:rFonts w:ascii="Times New Roman" w:hAnsi="Times New Roman" w:cs="Simplified Arabic"/>
          <w:sz w:val="32"/>
          <w:szCs w:val="32"/>
          <w:rtl/>
          <w:lang w:bidi="ar-EG"/>
        </w:rPr>
      </w:pPr>
      <w:r w:rsidRPr="007C544A">
        <w:rPr>
          <w:rFonts w:ascii="Times New Roman" w:hAnsi="Times New Roman" w:cs="Simplified Arabic"/>
          <w:sz w:val="32"/>
          <w:szCs w:val="32"/>
          <w:rtl/>
        </w:rPr>
        <w:br w:type="page"/>
      </w:r>
    </w:p>
    <w:p w:rsidR="00F5627F" w:rsidRPr="007C544A" w:rsidRDefault="00F5627F"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المبحث الثاني</w:t>
      </w:r>
    </w:p>
    <w:p w:rsidR="00614C4E" w:rsidRPr="007C544A" w:rsidRDefault="00F5627F" w:rsidP="00614C4E">
      <w:pPr>
        <w:pStyle w:val="a"/>
        <w:shd w:val="clear" w:color="auto" w:fill="FFFFFF" w:themeFill="background1"/>
        <w:spacing w:line="360" w:lineRule="auto"/>
        <w:rPr>
          <w:rFonts w:ascii="Traditional Arabic" w:hAnsi="Traditional Arabic" w:cs="Traditional Arabic"/>
          <w:sz w:val="24"/>
          <w:szCs w:val="24"/>
          <w:rtl/>
        </w:rPr>
      </w:pPr>
      <w:r w:rsidRPr="007C544A">
        <w:rPr>
          <w:rFonts w:ascii="Traditional Arabic" w:hAnsi="Traditional Arabic" w:cs="Traditional Arabic"/>
          <w:b/>
          <w:bCs/>
          <w:sz w:val="32"/>
          <w:szCs w:val="32"/>
          <w:rtl/>
        </w:rPr>
        <w:t>السوق الموازية الواقع- الفعلي لخطوت دمج الشركات عينة الدراسة</w:t>
      </w:r>
    </w:p>
    <w:p w:rsidR="00614C4E" w:rsidRPr="007C544A" w:rsidRDefault="00614C4E" w:rsidP="00614C4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بعد استعراض الإطار النظري لعمليات الدمج وأبعادها القانونية والاستراتيجية، يتناول المبحث التطبيق العملي لاندماج الشركات في السوق الموازية «نمو» بالسعودية، من خلال دراسة المتطلبات القانونية والتنظيمية، ومدى توافق عمليات الدمج معها، إلى جانب دوافع الدمج والعقبات التي تواجهه، وأثره في جاهزية الشركات العائلية والصغيرة والمتوسطة للإدراج، بالاعتماد على التحليل الميداني والمقارنة بين الإطار التشريعي والتطبيق العملي</w:t>
      </w:r>
      <w:r w:rsidRPr="007C544A">
        <w:rPr>
          <w:rFonts w:ascii="Traditional Arabic" w:eastAsiaTheme="minorHAnsi" w:hAnsi="Traditional Arabic" w:cs="Traditional Arabic"/>
        </w:rPr>
        <w:t>.</w:t>
      </w:r>
    </w:p>
    <w:p w:rsidR="00F5627F"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أولاً- </w:t>
      </w:r>
      <w:r w:rsidR="00F5627F" w:rsidRPr="007C544A">
        <w:rPr>
          <w:rFonts w:ascii="Traditional Arabic" w:hAnsi="Traditional Arabic" w:cs="Traditional Arabic"/>
          <w:b/>
          <w:bCs/>
          <w:sz w:val="28"/>
          <w:szCs w:val="28"/>
          <w:rtl/>
        </w:rPr>
        <w:t xml:space="preserve">خطوات دمج الشركات في النظام السعودي </w:t>
      </w:r>
    </w:p>
    <w:p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يمر دمج الشركات في النظام السعودي بعدة خطوات منظمة تبدأ من المرحلة التمهيدية وتنتهي بتسجيل الكيان المندمج بشكل رسمي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وتشمل ما يلي</w:t>
      </w:r>
      <w:r w:rsidR="00775B4E" w:rsidRPr="007C544A">
        <w:rPr>
          <w:rFonts w:ascii="Traditional Arabic" w:hAnsi="Traditional Arabic" w:cs="Traditional Arabic"/>
          <w:sz w:val="24"/>
          <w:szCs w:val="24"/>
          <w:rtl/>
        </w:rPr>
        <w:t xml:space="preserve">: </w:t>
      </w:r>
    </w:p>
    <w:p w:rsidR="000F4594"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المرحلة التمهيدية</w:t>
      </w:r>
      <w:r w:rsidR="00775B4E" w:rsidRPr="007C544A">
        <w:rPr>
          <w:rFonts w:ascii="Traditional Arabic" w:eastAsiaTheme="minorHAnsi" w:hAnsi="Traditional Arabic" w:cs="Traditional Arabic"/>
          <w:b/>
          <w:bCs/>
          <w:rtl/>
        </w:rPr>
        <w:t xml:space="preserve">: </w:t>
      </w:r>
    </w:p>
    <w:p w:rsidR="00F5627F" w:rsidRPr="007C544A" w:rsidRDefault="000F4594" w:rsidP="004053FA">
      <w:pPr>
        <w:pStyle w:val="NormalWeb"/>
        <w:shd w:val="clear" w:color="auto" w:fill="FFFFFF" w:themeFill="background1"/>
        <w:tabs>
          <w:tab w:val="right" w:pos="656"/>
          <w:tab w:val="right" w:pos="1736"/>
        </w:tabs>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ab/>
      </w:r>
      <w:r w:rsidRPr="007C544A">
        <w:rPr>
          <w:rFonts w:ascii="Traditional Arabic" w:eastAsiaTheme="minorHAnsi" w:hAnsi="Traditional Arabic" w:cs="Traditional Arabic"/>
          <w:rtl/>
        </w:rPr>
        <w:tab/>
      </w:r>
      <w:r w:rsidR="004053FA" w:rsidRPr="007C544A">
        <w:rPr>
          <w:rFonts w:ascii="Traditional Arabic" w:eastAsiaTheme="minorHAnsi" w:hAnsi="Traditional Arabic" w:cs="Traditional Arabic"/>
          <w:b/>
          <w:bCs/>
          <w:rtl/>
        </w:rPr>
        <w:t>مرحلة المفاوضات والدراسات الأولية</w:t>
      </w:r>
      <w:r w:rsidR="004053FA" w:rsidRPr="007C544A">
        <w:rPr>
          <w:rFonts w:ascii="Traditional Arabic" w:eastAsiaTheme="minorHAnsi" w:hAnsi="Traditional Arabic" w:cs="Traditional Arabic"/>
          <w:b/>
          <w:bCs/>
        </w:rPr>
        <w:t>:</w:t>
      </w:r>
      <w:r w:rsidR="004053FA" w:rsidRPr="007C544A">
        <w:rPr>
          <w:rFonts w:ascii="Traditional Arabic" w:eastAsiaTheme="minorHAnsi" w:hAnsi="Traditional Arabic" w:cs="Traditional Arabic"/>
        </w:rPr>
        <w:t xml:space="preserve"> </w:t>
      </w:r>
      <w:r w:rsidR="004053FA" w:rsidRPr="007C544A">
        <w:rPr>
          <w:rFonts w:ascii="Traditional Arabic" w:eastAsiaTheme="minorHAnsi" w:hAnsi="Traditional Arabic" w:cs="Traditional Arabic"/>
          <w:rtl/>
        </w:rPr>
        <w:t>هي المرحلة التي تسبق التنفيذ الفعلي لعملية الدمج، ويتم خلالها إجراء المفاوضات بين الشركات المعنية، ودراسة الجوانب الاقتصادية والمالية والمحاسبية والفنية للعملية، وتبادل المعلومات حول الشركات وأوضاعها، إلى جانب بحث المصالح المشتركة ومعالجة المشكلات والعقبات التي قد تواجه عملية الدمج، بما يساعد الأطراف على التوصل إلى تصور مشترك بشأن شروط العملية وأهدافها (مؤسسة المفوض الملكي بالمحاكم الإدارية، 2019)</w:t>
      </w:r>
      <w:r w:rsidR="004053FA" w:rsidRPr="007C544A">
        <w:rPr>
          <w:rFonts w:ascii="Traditional Arabic" w:eastAsiaTheme="minorHAnsi" w:hAnsi="Traditional Arabic" w:cs="Traditional Arabic"/>
        </w:rPr>
        <w:t>.</w:t>
      </w:r>
    </w:p>
    <w:p w:rsidR="003F53AA" w:rsidRPr="007C544A" w:rsidRDefault="00F5627F" w:rsidP="003F53A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 xml:space="preserve">تُعد المفاوضات نقطة الانطلاق الأساسية في عملية </w:t>
      </w:r>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حيث تُجري الشركات الراغبة أو المرشحة للاندماج محادثات تفصيلية مباشرة أو عبر وسطاء مختصين</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 xml:space="preserve">وذلك لتقييم الجوانب القانونية والمالية والفنية لعقد </w:t>
      </w:r>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وضمان التوازن العقدي بين الأطراف. وتخضع هذه المفاوضات للسرية التامة لتفادي أي آثار سلبية في السوق المالي</w:t>
      </w:r>
      <w:r w:rsidR="003F53AA" w:rsidRPr="007C544A">
        <w:rPr>
          <w:rFonts w:ascii="Traditional Arabic" w:hAnsi="Traditional Arabic" w:cs="Traditional Arabic"/>
          <w:sz w:val="24"/>
          <w:szCs w:val="24"/>
          <w:shd w:val="clear" w:color="auto" w:fill="FFFFFF"/>
          <w:rtl/>
        </w:rPr>
        <w:t xml:space="preserve"> (العريني، 2009؛ حماد، 1996).</w:t>
      </w:r>
    </w:p>
    <w:p w:rsidR="00532E36" w:rsidRPr="007C544A" w:rsidRDefault="003F53AA" w:rsidP="003F53A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hd w:val="clear" w:color="auto" w:fill="FFFFFF"/>
          <w:rtl/>
        </w:rPr>
        <w:t>تُعد مرحلة المفاوضات السابقة لعقد الدمج مرحلة تمهيدية مهمة لتحقيق التوازن والشفافية بين الأطراف، من خلال مناقشة الجوانب القانونية والمالية والمحاسبية والإفصاح عن المعلومات اللازمة، بما يضمن رضا الأطراف واستقرار العلاقة التعاقدية</w:t>
      </w:r>
      <w:r w:rsidRPr="007C544A">
        <w:rPr>
          <w:rFonts w:ascii="Traditional Arabic" w:hAnsi="Traditional Arabic" w:cs="Traditional Arabic"/>
          <w:shd w:val="clear" w:color="auto" w:fill="FFFFFF"/>
        </w:rPr>
        <w:t>.</w:t>
      </w:r>
      <w:r w:rsidRPr="007C544A">
        <w:rPr>
          <w:rFonts w:ascii="Traditional Arabic" w:hAnsi="Traditional Arabic" w:cs="Traditional Arabic"/>
          <w:sz w:val="24"/>
          <w:szCs w:val="24"/>
          <w:shd w:val="clear" w:color="auto" w:fill="FFFFFF"/>
          <w:rtl/>
        </w:rPr>
        <w:t xml:space="preserve"> </w:t>
      </w:r>
      <w:r w:rsidR="00532E36" w:rsidRPr="007C544A">
        <w:rPr>
          <w:rFonts w:ascii="Traditional Arabic" w:hAnsi="Traditional Arabic" w:cs="Traditional Arabic"/>
          <w:sz w:val="24"/>
          <w:szCs w:val="24"/>
          <w:shd w:val="clear" w:color="auto" w:fill="FFFFFF"/>
          <w:rtl/>
        </w:rPr>
        <w:t>(</w:t>
      </w:r>
      <w:r w:rsidR="00532E36" w:rsidRPr="007C544A">
        <w:rPr>
          <w:rFonts w:ascii="Traditional Arabic" w:hAnsi="Traditional Arabic" w:cs="Traditional Arabic"/>
          <w:sz w:val="24"/>
          <w:szCs w:val="24"/>
        </w:rPr>
        <w:t>Capital Market Authority, 2023</w:t>
      </w:r>
      <w:r w:rsidR="00532E36" w:rsidRPr="007C544A">
        <w:rPr>
          <w:rFonts w:ascii="Traditional Arabic" w:hAnsi="Traditional Arabic" w:cs="Traditional Arabic"/>
          <w:sz w:val="24"/>
          <w:szCs w:val="24"/>
          <w:shd w:val="clear" w:color="auto" w:fill="FFFFFF"/>
          <w:rtl/>
        </w:rPr>
        <w:t>).</w:t>
      </w:r>
    </w:p>
    <w:p w:rsidR="00F5627F" w:rsidRPr="007C544A" w:rsidRDefault="00532E36"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إعداد</w:t>
      </w:r>
      <w:r w:rsidR="00F5627F" w:rsidRPr="007C544A">
        <w:rPr>
          <w:rFonts w:ascii="Traditional Arabic" w:eastAsiaTheme="minorHAnsi" w:hAnsi="Traditional Arabic" w:cs="Traditional Arabic"/>
          <w:b/>
          <w:bCs/>
          <w:rtl/>
        </w:rPr>
        <w:t xml:space="preserve"> مشروع عقد </w:t>
      </w:r>
      <w:r w:rsidR="0022698D" w:rsidRPr="007C544A">
        <w:rPr>
          <w:rFonts w:ascii="Traditional Arabic" w:eastAsiaTheme="minorHAnsi" w:hAnsi="Traditional Arabic" w:cs="Traditional Arabic"/>
          <w:b/>
          <w:bCs/>
          <w:rtl/>
        </w:rPr>
        <w:t xml:space="preserve">الدمج </w:t>
      </w:r>
      <w:r w:rsidR="00775B4E" w:rsidRPr="007C544A">
        <w:rPr>
          <w:rFonts w:ascii="Traditional Arabic" w:eastAsiaTheme="minorHAnsi" w:hAnsi="Traditional Arabic" w:cs="Traditional Arabic"/>
          <w:b/>
          <w:bCs/>
          <w:rtl/>
        </w:rPr>
        <w:t xml:space="preserve">: </w:t>
      </w:r>
    </w:p>
    <w:p w:rsidR="009C3B7F" w:rsidRPr="007C544A" w:rsidRDefault="00FF7FD8"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hd w:val="clear" w:color="auto" w:fill="FFFFFF"/>
          <w:rtl/>
        </w:rPr>
        <w:t>يتضمن مشروع الدمج تفاصيل عملية الدمج وتقييم الأصول والخصوم وتحويل الحصص أو الأسهم والحقوق والالتزامات والجدول الزمني، ويُعرض على الجمعية العامة للموافقة</w:t>
      </w:r>
      <w:r w:rsidRPr="007C544A">
        <w:rPr>
          <w:rFonts w:ascii="Traditional Arabic" w:hAnsi="Traditional Arabic" w:cs="Traditional Arabic"/>
          <w:shd w:val="clear" w:color="auto" w:fill="FFFFFF"/>
        </w:rPr>
        <w:t>.</w:t>
      </w:r>
      <w:r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tl/>
        </w:rPr>
        <w:t>(</w:t>
      </w:r>
      <w:r w:rsidR="009C3B7F" w:rsidRPr="007C544A">
        <w:rPr>
          <w:rFonts w:ascii="Traditional Arabic" w:hAnsi="Traditional Arabic" w:cs="Traditional Arabic"/>
          <w:sz w:val="24"/>
          <w:szCs w:val="24"/>
        </w:rPr>
        <w:t>Capital Market Authority, 2023</w:t>
      </w:r>
      <w:r w:rsidR="009C3B7F"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Pr>
        <w:t>Ministry of Commerce, 2022</w:t>
      </w:r>
      <w:r w:rsidR="009C3B7F" w:rsidRPr="007C544A">
        <w:rPr>
          <w:rFonts w:ascii="Traditional Arabic" w:hAnsi="Traditional Arabic" w:cs="Traditional Arabic"/>
          <w:sz w:val="24"/>
          <w:szCs w:val="24"/>
          <w:shd w:val="clear" w:color="auto" w:fill="FFFFFF"/>
          <w:rtl/>
        </w:rPr>
        <w:t>).</w:t>
      </w:r>
    </w:p>
    <w:p w:rsidR="005F77CA" w:rsidRPr="007C544A" w:rsidRDefault="005F77CA" w:rsidP="005F77C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p>
    <w:p w:rsidR="005F77CA" w:rsidRPr="007C544A" w:rsidRDefault="005F77CA" w:rsidP="005F77C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p>
    <w:p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lastRenderedPageBreak/>
        <w:t>تقييم الحصص والأسهم</w:t>
      </w:r>
      <w:r w:rsidR="00775B4E" w:rsidRPr="007C544A">
        <w:rPr>
          <w:rFonts w:ascii="Traditional Arabic" w:eastAsiaTheme="minorHAnsi" w:hAnsi="Traditional Arabic" w:cs="Traditional Arabic"/>
          <w:b/>
          <w:bCs/>
          <w:rtl/>
        </w:rPr>
        <w:t xml:space="preserve">: </w:t>
      </w:r>
    </w:p>
    <w:p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 xml:space="preserve">تقوم جهة متخصصة أو مراجع حسابات معتمد بتقييم أصول الشركات محل </w:t>
      </w:r>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وفقًا لمتطلبات نظام الشركات السعودي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ضمانًا للعدالة بين الشركاء أو المساهمين</w:t>
      </w:r>
      <w:r w:rsidRPr="007C544A">
        <w:rPr>
          <w:rFonts w:ascii="Traditional Arabic" w:hAnsi="Traditional Arabic" w:cs="Traditional Arabic"/>
          <w:sz w:val="24"/>
          <w:szCs w:val="24"/>
          <w:shd w:val="clear" w:color="auto" w:fill="FFFFFF"/>
        </w:rPr>
        <w:t>.</w:t>
      </w:r>
    </w:p>
    <w:p w:rsidR="009C3B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 xml:space="preserve">يُشترط إجراء تقييم دقيق لأصول الشركات محل </w:t>
      </w:r>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بواسطة مقيم مرخص وفق قواعد الهيئة السعودية للمقيمين المعتمدين</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تقييم)</w:t>
      </w:r>
      <w:r w:rsidR="009C3B7F" w:rsidRPr="007C544A">
        <w:rPr>
          <w:rFonts w:ascii="Traditional Arabic" w:hAnsi="Traditional Arabic" w:cs="Traditional Arabic"/>
          <w:sz w:val="24"/>
          <w:szCs w:val="24"/>
          <w:shd w:val="clear" w:color="auto" w:fill="FFFFFF"/>
          <w:rtl/>
        </w:rPr>
        <w:t>،</w:t>
      </w:r>
      <w:r w:rsidRPr="007C544A">
        <w:rPr>
          <w:rFonts w:ascii="Traditional Arabic" w:hAnsi="Traditional Arabic" w:cs="Traditional Arabic"/>
          <w:sz w:val="24"/>
          <w:szCs w:val="24"/>
          <w:shd w:val="clear" w:color="auto" w:fill="FFFFFF"/>
          <w:rtl/>
        </w:rPr>
        <w:t xml:space="preserve"> ويجوز طلب تقرير عدالة</w:t>
      </w:r>
      <w:r w:rsidR="009C3B7F"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Pr>
        <w:t>Fairness Opinion</w:t>
      </w:r>
      <w:r w:rsidR="009C3B7F"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 xml:space="preserve">من مستشار مالي مستقل لتقييم مدى عدالة شروط </w:t>
      </w:r>
      <w:r w:rsidR="0022698D" w:rsidRPr="007C544A">
        <w:rPr>
          <w:rFonts w:ascii="Traditional Arabic" w:hAnsi="Traditional Arabic" w:cs="Traditional Arabic"/>
          <w:sz w:val="24"/>
          <w:szCs w:val="24"/>
          <w:shd w:val="clear" w:color="auto" w:fill="FFFFFF"/>
          <w:rtl/>
        </w:rPr>
        <w:t xml:space="preserve">الدمج </w:t>
      </w:r>
      <w:r w:rsidR="009C3B7F"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Pr>
        <w:t>TAQEEM, 2023; Capital Market Authority, 2023</w:t>
      </w:r>
      <w:r w:rsidR="009C3B7F" w:rsidRPr="007C544A">
        <w:rPr>
          <w:rFonts w:ascii="Traditional Arabic" w:hAnsi="Traditional Arabic" w:cs="Traditional Arabic"/>
          <w:sz w:val="24"/>
          <w:szCs w:val="24"/>
          <w:shd w:val="clear" w:color="auto" w:fill="FFFFFF"/>
          <w:rtl/>
        </w:rPr>
        <w:t>).</w:t>
      </w:r>
    </w:p>
    <w:p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الحصول على موافقة الشركاء أو الجمعيات العامة</w:t>
      </w:r>
      <w:r w:rsidR="00775B4E" w:rsidRPr="007C544A">
        <w:rPr>
          <w:rFonts w:ascii="Traditional Arabic" w:eastAsiaTheme="minorHAnsi" w:hAnsi="Traditional Arabic" w:cs="Traditional Arabic"/>
          <w:b/>
          <w:bCs/>
          <w:rtl/>
        </w:rPr>
        <w:t xml:space="preserve">: </w:t>
      </w:r>
    </w:p>
    <w:p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 xml:space="preserve">يشترط النظام موافقة الجمعية العامة غير العادية لكل شركة طرف في </w:t>
      </w:r>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ويكون القرار نافذًا بأغلبية موصوفة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غالبًا ثلثي الأصوات الممثلة في الاجتماع)</w:t>
      </w:r>
      <w:r w:rsidRPr="007C544A">
        <w:rPr>
          <w:rFonts w:ascii="Traditional Arabic" w:hAnsi="Traditional Arabic" w:cs="Traditional Arabic"/>
          <w:sz w:val="24"/>
          <w:szCs w:val="24"/>
          <w:shd w:val="clear" w:color="auto" w:fill="FFFFFF"/>
        </w:rPr>
        <w:t>.</w:t>
      </w:r>
    </w:p>
    <w:p w:rsidR="009C3B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 xml:space="preserve">يجب على الشركات الإفصاح عن نية </w:t>
      </w:r>
      <w:r w:rsidR="0022698D" w:rsidRPr="007C544A">
        <w:rPr>
          <w:rFonts w:ascii="Traditional Arabic" w:hAnsi="Traditional Arabic" w:cs="Traditional Arabic"/>
          <w:sz w:val="24"/>
          <w:szCs w:val="24"/>
          <w:shd w:val="clear" w:color="auto" w:fill="FFFFFF"/>
          <w:rtl/>
        </w:rPr>
        <w:t xml:space="preserve">الدمج </w:t>
      </w:r>
      <w:r w:rsidRPr="007C544A">
        <w:rPr>
          <w:rFonts w:ascii="Traditional Arabic" w:hAnsi="Traditional Arabic" w:cs="Traditional Arabic"/>
          <w:sz w:val="24"/>
          <w:szCs w:val="24"/>
          <w:shd w:val="clear" w:color="auto" w:fill="FFFFFF"/>
          <w:rtl/>
        </w:rPr>
        <w:t xml:space="preserve"> فور التوصل</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اتفاق مبدئي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وذلك بحسب تعليمات هيئة السوق المالية. كما يجب الحصول على موافقة الهيئة العامة للمنافسة إذا تجاوزت الصفقة الحدود المنصوص عليها في نظام المنافسة</w:t>
      </w:r>
      <w:r w:rsidR="009C3B7F"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Pr>
        <w:t>Capital Market Authority, 2023; General Authority for Competition, 2023</w:t>
      </w:r>
      <w:r w:rsidR="009C3B7F" w:rsidRPr="007C544A">
        <w:rPr>
          <w:rFonts w:ascii="Traditional Arabic" w:hAnsi="Traditional Arabic" w:cs="Traditional Arabic"/>
          <w:sz w:val="24"/>
          <w:szCs w:val="24"/>
          <w:shd w:val="clear" w:color="auto" w:fill="FFFFFF"/>
          <w:rtl/>
        </w:rPr>
        <w:t>)</w:t>
      </w:r>
    </w:p>
    <w:p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إخطار الجهات الرقابية والحصول على الموافقات النظامية</w:t>
      </w:r>
      <w:r w:rsidR="00775B4E" w:rsidRPr="007C544A">
        <w:rPr>
          <w:rFonts w:ascii="Traditional Arabic" w:eastAsiaTheme="minorHAnsi" w:hAnsi="Traditional Arabic" w:cs="Traditional Arabic"/>
          <w:b/>
          <w:bCs/>
          <w:rtl/>
        </w:rPr>
        <w:t xml:space="preserve">: </w:t>
      </w:r>
    </w:p>
    <w:p w:rsidR="009C3B7F" w:rsidRPr="007C544A" w:rsidRDefault="00FF7FD8"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يتطلب الدمج الحصول على موافقات الجهات المختصة، وعرض مشروع عقد الدمج على الجمعية العامة غير العادية للشركات المشاركة، وفقًا للمتطلبات النظامية ونسب التصويت المقررة</w:t>
      </w:r>
      <w:r w:rsidRPr="007C544A">
        <w:rPr>
          <w:rFonts w:ascii="Traditional Arabic" w:hAnsi="Traditional Arabic" w:cs="Traditional Arabic"/>
          <w:sz w:val="24"/>
          <w:szCs w:val="24"/>
          <w:shd w:val="clear" w:color="auto" w:fill="FFFFFF"/>
        </w:rPr>
        <w:t>.</w:t>
      </w:r>
      <w:r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tl/>
        </w:rPr>
        <w:t>(</w:t>
      </w:r>
      <w:r w:rsidR="009C3B7F" w:rsidRPr="007C544A">
        <w:rPr>
          <w:rFonts w:ascii="Traditional Arabic" w:hAnsi="Traditional Arabic" w:cs="Traditional Arabic"/>
          <w:sz w:val="24"/>
          <w:szCs w:val="24"/>
          <w:shd w:val="clear" w:color="auto" w:fill="FFFFFF"/>
        </w:rPr>
        <w:t>Ministry of Commerce, 2022; Capital Market Authority, 2023</w:t>
      </w:r>
      <w:r w:rsidR="009C3B7F" w:rsidRPr="007C544A">
        <w:rPr>
          <w:rFonts w:ascii="Traditional Arabic" w:hAnsi="Traditional Arabic" w:cs="Traditional Arabic"/>
          <w:sz w:val="24"/>
          <w:szCs w:val="24"/>
          <w:shd w:val="clear" w:color="auto" w:fill="FFFFFF"/>
          <w:rtl/>
        </w:rPr>
        <w:t>).</w:t>
      </w:r>
    </w:p>
    <w:p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توثيق العقد وتسجيله</w:t>
      </w:r>
      <w:r w:rsidR="00775B4E" w:rsidRPr="007C544A">
        <w:rPr>
          <w:rFonts w:ascii="Traditional Arabic" w:eastAsiaTheme="minorHAnsi" w:hAnsi="Traditional Arabic" w:cs="Traditional Arabic"/>
          <w:b/>
          <w:bCs/>
          <w:rtl/>
        </w:rPr>
        <w:t xml:space="preserve">: </w:t>
      </w:r>
    </w:p>
    <w:p w:rsidR="0022698D" w:rsidRPr="007C544A" w:rsidRDefault="00F5627F" w:rsidP="007E5219">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 xml:space="preserve">يتم تحرير عقد </w:t>
      </w:r>
      <w:r w:rsidR="0022698D" w:rsidRPr="007C544A">
        <w:rPr>
          <w:rFonts w:ascii="Traditional Arabic" w:hAnsi="Traditional Arabic" w:cs="Traditional Arabic"/>
          <w:sz w:val="24"/>
          <w:szCs w:val="24"/>
          <w:shd w:val="clear" w:color="auto" w:fill="FFFFFF"/>
          <w:rtl/>
        </w:rPr>
        <w:t xml:space="preserve">الدمج </w:t>
      </w:r>
      <w:r w:rsidRPr="007C544A">
        <w:rPr>
          <w:rFonts w:ascii="Traditional Arabic" w:hAnsi="Traditional Arabic" w:cs="Traditional Arabic"/>
          <w:sz w:val="24"/>
          <w:szCs w:val="24"/>
          <w:shd w:val="clear" w:color="auto" w:fill="FFFFFF"/>
          <w:rtl/>
        </w:rPr>
        <w:t xml:space="preserve"> بصورة رسمية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وتسجيله لدى السجل التجاري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وبعد التسجيل يكتسب الكيان الجديد</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أو الشركة الدامجة) شخصيته الاعتبارية الكاملة وتنتقل إليها حقوق والتزامات الشركات المندمجة</w:t>
      </w:r>
      <w:r w:rsidRPr="007C544A">
        <w:rPr>
          <w:rFonts w:ascii="Traditional Arabic" w:hAnsi="Traditional Arabic" w:cs="Traditional Arabic"/>
          <w:sz w:val="24"/>
          <w:szCs w:val="24"/>
          <w:shd w:val="clear" w:color="auto" w:fill="FFFFFF"/>
        </w:rPr>
        <w:t>.</w:t>
      </w:r>
    </w:p>
    <w:p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Pr>
        <w:t xml:space="preserve"> </w:t>
      </w:r>
      <w:r w:rsidRPr="007C544A">
        <w:rPr>
          <w:rFonts w:ascii="Traditional Arabic" w:eastAsiaTheme="minorHAnsi" w:hAnsi="Traditional Arabic" w:cs="Traditional Arabic"/>
          <w:b/>
          <w:bCs/>
          <w:rtl/>
        </w:rPr>
        <w:t>الإفصاح والنشر</w:t>
      </w:r>
      <w:r w:rsidR="00775B4E" w:rsidRPr="007C544A">
        <w:rPr>
          <w:rFonts w:ascii="Traditional Arabic" w:eastAsiaTheme="minorHAnsi" w:hAnsi="Traditional Arabic" w:cs="Traditional Arabic"/>
          <w:b/>
          <w:bCs/>
          <w:rtl/>
        </w:rPr>
        <w:t xml:space="preserve">: </w:t>
      </w:r>
    </w:p>
    <w:p w:rsidR="007E5219" w:rsidRPr="007C544A" w:rsidRDefault="00F5627F" w:rsidP="004053FA">
      <w:pPr>
        <w:shd w:val="clear" w:color="auto" w:fill="FFFFFF" w:themeFill="background1"/>
        <w:bidi/>
        <w:spacing w:after="0" w:line="360" w:lineRule="auto"/>
        <w:ind w:firstLine="720"/>
        <w:jc w:val="both"/>
        <w:rPr>
          <w:rFonts w:ascii="Traditional Arabic" w:hAnsi="Traditional Arabic" w:cs="Traditional Arabic"/>
          <w:shd w:val="clear" w:color="auto" w:fill="FFFFFF"/>
          <w:rtl/>
        </w:rPr>
      </w:pPr>
      <w:r w:rsidRPr="007C544A">
        <w:rPr>
          <w:rFonts w:ascii="Traditional Arabic" w:hAnsi="Traditional Arabic" w:cs="Traditional Arabic"/>
          <w:sz w:val="24"/>
          <w:szCs w:val="24"/>
          <w:shd w:val="clear" w:color="auto" w:fill="FFFFFF"/>
          <w:rtl/>
        </w:rPr>
        <w:t xml:space="preserve">يلزم النظام الشركات بالإعلان عن عملية </w:t>
      </w:r>
      <w:r w:rsidR="0022698D" w:rsidRPr="007C544A">
        <w:rPr>
          <w:rFonts w:ascii="Traditional Arabic" w:hAnsi="Traditional Arabic" w:cs="Traditional Arabic"/>
          <w:sz w:val="24"/>
          <w:szCs w:val="24"/>
          <w:shd w:val="clear" w:color="auto" w:fill="FFFFFF"/>
          <w:rtl/>
        </w:rPr>
        <w:t xml:space="preserve">الدمج </w:t>
      </w:r>
      <w:r w:rsidRPr="007C544A">
        <w:rPr>
          <w:rFonts w:ascii="Traditional Arabic" w:hAnsi="Traditional Arabic" w:cs="Traditional Arabic"/>
          <w:sz w:val="24"/>
          <w:szCs w:val="24"/>
          <w:shd w:val="clear" w:color="auto" w:fill="FFFFFF"/>
          <w:rtl/>
        </w:rPr>
        <w:t xml:space="preserve"> بعد اكتمالها في الصحف الرسمية أو عبر موقع الشركة وهيئة السوق المالية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إن كانت مدرجة)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تحقيقًا لمبدأ الشفافية</w:t>
      </w:r>
      <w:r w:rsidR="004053FA" w:rsidRPr="007C544A">
        <w:rPr>
          <w:rFonts w:ascii="Traditional Arabic" w:hAnsi="Traditional Arabic" w:cs="Traditional Arabic" w:hint="cs"/>
          <w:sz w:val="24"/>
          <w:szCs w:val="24"/>
          <w:shd w:val="clear" w:color="auto" w:fill="FFFFFF"/>
          <w:rtl/>
        </w:rPr>
        <w:t xml:space="preserve">، </w:t>
      </w:r>
      <w:r w:rsidRPr="007C544A">
        <w:rPr>
          <w:rFonts w:ascii="Traditional Arabic" w:hAnsi="Traditional Arabic" w:cs="Traditional Arabic"/>
          <w:shd w:val="clear" w:color="auto" w:fill="FFFFFF"/>
          <w:rtl/>
        </w:rPr>
        <w:t>بعد موافقة الجمعيات العامة</w:t>
      </w:r>
      <w:r w:rsidR="00D7278E" w:rsidRPr="007C544A">
        <w:rPr>
          <w:rFonts w:ascii="Traditional Arabic" w:hAnsi="Traditional Arabic" w:cs="Traditional Arabic"/>
          <w:shd w:val="clear" w:color="auto" w:fill="FFFFFF"/>
          <w:rtl/>
        </w:rPr>
        <w:t xml:space="preserve">، </w:t>
      </w:r>
      <w:r w:rsidRPr="007C544A">
        <w:rPr>
          <w:rFonts w:ascii="Traditional Arabic" w:hAnsi="Traditional Arabic" w:cs="Traditional Arabic"/>
          <w:shd w:val="clear" w:color="auto" w:fill="FFFFFF"/>
          <w:rtl/>
        </w:rPr>
        <w:t xml:space="preserve">يتم تنفيذ </w:t>
      </w:r>
      <w:r w:rsidR="0022698D" w:rsidRPr="007C544A">
        <w:rPr>
          <w:rFonts w:ascii="Traditional Arabic" w:hAnsi="Traditional Arabic" w:cs="Traditional Arabic"/>
          <w:shd w:val="clear" w:color="auto" w:fill="FFFFFF"/>
          <w:rtl/>
        </w:rPr>
        <w:t xml:space="preserve">الدمج </w:t>
      </w:r>
      <w:r w:rsidRPr="007C544A">
        <w:rPr>
          <w:rFonts w:ascii="Traditional Arabic" w:hAnsi="Traditional Arabic" w:cs="Traditional Arabic"/>
          <w:shd w:val="clear" w:color="auto" w:fill="FFFFFF"/>
          <w:rtl/>
        </w:rPr>
        <w:t xml:space="preserve"> قانونيًا بإحدى طريقتين</w:t>
      </w:r>
      <w:r w:rsidR="00775B4E" w:rsidRPr="007C544A">
        <w:rPr>
          <w:rFonts w:ascii="Traditional Arabic" w:hAnsi="Traditional Arabic" w:cs="Traditional Arabic"/>
          <w:shd w:val="clear" w:color="auto" w:fill="FFFFFF"/>
          <w:rtl/>
        </w:rPr>
        <w:t xml:space="preserve">: </w:t>
      </w:r>
      <w:r w:rsidR="0022698D" w:rsidRPr="007C544A">
        <w:rPr>
          <w:rFonts w:ascii="Traditional Arabic" w:hAnsi="Traditional Arabic" w:cs="Traditional Arabic"/>
          <w:shd w:val="clear" w:color="auto" w:fill="FFFFFF"/>
          <w:rtl/>
        </w:rPr>
        <w:t xml:space="preserve">الدمج </w:t>
      </w:r>
      <w:r w:rsidRPr="007C544A">
        <w:rPr>
          <w:rFonts w:ascii="Traditional Arabic" w:hAnsi="Traditional Arabic" w:cs="Traditional Arabic"/>
          <w:shd w:val="clear" w:color="auto" w:fill="FFFFFF"/>
          <w:rtl/>
        </w:rPr>
        <w:t xml:space="preserve"> بطريق الضم أو المزج. ويجب تعديل السجلات التجارية لدى وزارة التجارة</w:t>
      </w:r>
      <w:r w:rsidR="00D7278E" w:rsidRPr="007C544A">
        <w:rPr>
          <w:rFonts w:ascii="Traditional Arabic" w:hAnsi="Traditional Arabic" w:cs="Traditional Arabic"/>
          <w:shd w:val="clear" w:color="auto" w:fill="FFFFFF"/>
          <w:rtl/>
        </w:rPr>
        <w:t xml:space="preserve">، </w:t>
      </w:r>
      <w:r w:rsidRPr="007C544A">
        <w:rPr>
          <w:rFonts w:ascii="Traditional Arabic" w:hAnsi="Traditional Arabic" w:cs="Traditional Arabic"/>
          <w:shd w:val="clear" w:color="auto" w:fill="FFFFFF"/>
          <w:rtl/>
        </w:rPr>
        <w:t>وتحديث بيانات الشركة الدامجة لدى هيئة السوق المالية والسوق المالية السعودية</w:t>
      </w:r>
      <w:r w:rsidR="00D7278E" w:rsidRPr="007C544A">
        <w:rPr>
          <w:rFonts w:ascii="Traditional Arabic" w:hAnsi="Traditional Arabic" w:cs="Traditional Arabic"/>
          <w:shd w:val="clear" w:color="auto" w:fill="FFFFFF"/>
          <w:rtl/>
        </w:rPr>
        <w:t xml:space="preserve"> (</w:t>
      </w:r>
      <w:r w:rsidRPr="007C544A">
        <w:rPr>
          <w:rFonts w:ascii="Traditional Arabic" w:hAnsi="Traditional Arabic" w:cs="Traditional Arabic"/>
          <w:shd w:val="clear" w:color="auto" w:fill="FFFFFF"/>
          <w:rtl/>
        </w:rPr>
        <w:t>تداول)</w:t>
      </w:r>
      <w:r w:rsidR="009C3B7F" w:rsidRPr="007C544A">
        <w:rPr>
          <w:rFonts w:ascii="Traditional Arabic" w:hAnsi="Traditional Arabic" w:cs="Traditional Arabic"/>
          <w:shd w:val="clear" w:color="auto" w:fill="FFFFFF"/>
          <w:rtl/>
        </w:rPr>
        <w:t xml:space="preserve"> (</w:t>
      </w:r>
      <w:r w:rsidR="009C3B7F" w:rsidRPr="007C544A">
        <w:rPr>
          <w:rFonts w:ascii="Traditional Arabic" w:hAnsi="Traditional Arabic" w:cs="Traditional Arabic"/>
          <w:shd w:val="clear" w:color="auto" w:fill="FFFFFF"/>
        </w:rPr>
        <w:t>Ministry of Commerce, 2022; Tadawul, 2024</w:t>
      </w:r>
      <w:r w:rsidR="007E5219" w:rsidRPr="007C544A">
        <w:rPr>
          <w:rFonts w:ascii="Traditional Arabic" w:hAnsi="Traditional Arabic" w:cs="Traditional Arabic"/>
          <w:shd w:val="clear" w:color="auto" w:fill="FFFFFF"/>
          <w:rtl/>
        </w:rPr>
        <w:t>).</w:t>
      </w:r>
    </w:p>
    <w:p w:rsidR="00195812" w:rsidRPr="007C544A" w:rsidRDefault="00195812" w:rsidP="005F77CA">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يُعد مشروع الاندماج خطوة أساسية في عملية الدمج، إذ يتضمن الشروط والبيانات القانونية والمالية الأساسية للعملية، ومنها طبيعة العوض وقيمته، وعدد الحصص أو الأسهم التي تخصص للشركة المندمجة في رأس مال الشركة الدامجة أو الشركة الناشئة عن الاندماج، </w:t>
      </w:r>
      <w:r w:rsidRPr="007C544A">
        <w:rPr>
          <w:rFonts w:ascii="Traditional Arabic" w:hAnsi="Traditional Arabic" w:cs="Traditional Arabic"/>
          <w:rtl/>
        </w:rPr>
        <w:lastRenderedPageBreak/>
        <w:t>فضلًا عن بيان قدرة كل شركة طرف في الاندماج على الوفاء بديونها، وذلك وفقًا للمادة (225) من نظام الشركات السعودي. كما أوجب النظام الإعلان عن الاندماج قبل الموعد المحدد للتصويت على مقترحه بما لا يقل عن ثلاثين يومًا، وأتاح للدائنين حق الاعتراض على الاندماج وفقًا للضوابط والمدد النظامية، بما يعكس اهتمام المنظم السعودي بحماية حقوق الدائنين وأصحاب المصالح المرتبطة بالعملية (نظام الشركات السعودي، 2022، المادتان 225، 227)</w:t>
      </w:r>
      <w:r w:rsidRPr="007C544A">
        <w:rPr>
          <w:rFonts w:ascii="Traditional Arabic" w:hAnsi="Traditional Arabic" w:cs="Traditional Arabic"/>
        </w:rPr>
        <w:t>.</w:t>
      </w:r>
    </w:p>
    <w:p w:rsidR="00195812" w:rsidRPr="007C544A" w:rsidRDefault="005F77CA" w:rsidP="005F77CA">
      <w:pPr>
        <w:pStyle w:val="NormalWeb"/>
        <w:bidi/>
        <w:spacing w:before="0" w:beforeAutospacing="0" w:after="0" w:afterAutospacing="0" w:line="360" w:lineRule="auto"/>
        <w:ind w:firstLine="360"/>
        <w:jc w:val="both"/>
        <w:rPr>
          <w:rFonts w:ascii="Traditional Arabic" w:hAnsi="Traditional Arabic" w:cs="Traditional Arabic"/>
        </w:rPr>
      </w:pPr>
      <w:r w:rsidRPr="007C544A">
        <w:rPr>
          <w:rFonts w:ascii="Traditional Arabic" w:hAnsi="Traditional Arabic" w:cs="Traditional Arabic" w:hint="cs"/>
          <w:rtl/>
        </w:rPr>
        <w:t xml:space="preserve">    </w:t>
      </w:r>
      <w:r w:rsidR="00195812" w:rsidRPr="007C544A">
        <w:rPr>
          <w:rFonts w:ascii="Traditional Arabic" w:hAnsi="Traditional Arabic" w:cs="Traditional Arabic"/>
          <w:rtl/>
        </w:rPr>
        <w:t>وبالمقارنة، يتضمن التنظيم الفرنسي أحكامًا تفصيلية بشأن إشهار مشروع الاندماج، حيث يُنشر إعلان يتضمن بيانات محددة عن الشركات المشاركة، ورأس المال، وتقييم الأصول والخصوم محل النقل، ونسبة مبادلة الحقوق، وغيرها من البيانات، وذلك قبل موعد الجمعية العامة بمدة لا تقل عن ثلاثين يومًا، مع إتاحة المشروع والوثائق ذات الصلة للمساهمين وفقًا للضوابط المقررة. ويبرز هذا التنظيم التفصيلي أهمية الإشهار في توفير المعلومات اللازمة لأصحاب المصالح وتمكينهم من ممارسة حقوقهم على نحو أكثر فاعلية</w:t>
      </w:r>
      <w:r w:rsidR="00195812" w:rsidRPr="007C544A">
        <w:rPr>
          <w:rFonts w:ascii="Traditional Arabic" w:hAnsi="Traditional Arabic" w:cs="Traditional Arabic"/>
        </w:rPr>
        <w:t xml:space="preserve"> (Code de commerce français, art. R236-1–R236-4).</w:t>
      </w:r>
    </w:p>
    <w:p w:rsidR="00F5627F" w:rsidRPr="007C544A" w:rsidRDefault="005F77CA" w:rsidP="005F77CA">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 xml:space="preserve">ثانياً: </w:t>
      </w:r>
      <w:r w:rsidR="00F5627F" w:rsidRPr="007C544A">
        <w:rPr>
          <w:rFonts w:ascii="Traditional Arabic" w:eastAsiaTheme="minorHAnsi" w:hAnsi="Traditional Arabic" w:cs="Traditional Arabic"/>
          <w:b/>
          <w:bCs/>
          <w:rtl/>
        </w:rPr>
        <w:t>واقع السوق الموازية الواقع</w:t>
      </w:r>
      <w:r w:rsidR="00775B4E" w:rsidRPr="007C544A">
        <w:rPr>
          <w:rFonts w:ascii="Traditional Arabic" w:eastAsiaTheme="minorHAnsi" w:hAnsi="Traditional Arabic" w:cs="Traditional Arabic"/>
          <w:b/>
          <w:bCs/>
          <w:rtl/>
        </w:rPr>
        <w:t xml:space="preserve">: </w:t>
      </w:r>
    </w:p>
    <w:p w:rsidR="00580A85" w:rsidRPr="007C544A" w:rsidRDefault="00F5627F" w:rsidP="0019581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قبل عرض واقع السوق الموازية لابد من </w:t>
      </w:r>
      <w:r w:rsidR="00580A85" w:rsidRPr="007C544A">
        <w:rPr>
          <w:rFonts w:ascii="Traditional Arabic" w:hAnsi="Traditional Arabic" w:cs="Traditional Arabic"/>
          <w:sz w:val="24"/>
          <w:szCs w:val="24"/>
          <w:rtl/>
        </w:rPr>
        <w:t>الإشارة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مفهوم السوق الموازية حيث عرفت السوق الموازية بعدة تعريفات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أبرزها</w:t>
      </w:r>
      <w:r w:rsidR="00775B4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منصة تداول مخصصة للشركات وفق متطلبات أقل من السوق الرئيسية مع تعزيز الشفافية والحوكمة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شركة تداول السعودية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2022)</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وسوق منظمة تستهدف الشركات الناشئة والصغيرة لجذب رؤوس الأموال وتنمية الاقتصاد الوطني</w:t>
      </w:r>
      <w:r w:rsidR="00195812"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ومنصات تداول تهدف لتسهيل 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رأس المال وفق معايير مبسطة لنمو الشركات الصغيرة والمتوسطة</w:t>
      </w:r>
      <w:r w:rsidR="00580A85" w:rsidRPr="007C544A">
        <w:rPr>
          <w:rFonts w:ascii="Traditional Arabic" w:hAnsi="Traditional Arabic" w:cs="Traditional Arabic"/>
          <w:sz w:val="24"/>
          <w:szCs w:val="24"/>
          <w:rtl/>
        </w:rPr>
        <w:t xml:space="preserve"> (</w:t>
      </w:r>
      <w:r w:rsidR="00580A85" w:rsidRPr="007C544A">
        <w:rPr>
          <w:rFonts w:ascii="Traditional Arabic" w:hAnsi="Traditional Arabic" w:cs="Traditional Arabic"/>
          <w:sz w:val="24"/>
          <w:szCs w:val="24"/>
        </w:rPr>
        <w:t>OECD, 2019</w:t>
      </w:r>
      <w:r w:rsidR="00580A85" w:rsidRPr="007C544A">
        <w:rPr>
          <w:rFonts w:ascii="Traditional Arabic" w:hAnsi="Traditional Arabic" w:cs="Traditional Arabic"/>
          <w:sz w:val="24"/>
          <w:szCs w:val="24"/>
          <w:rtl/>
        </w:rPr>
        <w:t>).</w:t>
      </w:r>
    </w:p>
    <w:p w:rsidR="00F5627F" w:rsidRPr="007C544A" w:rsidRDefault="005877F9"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تُعرَّف السوق الموازية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نمو» إجرائيًا بأنها منصة في السوق المالية السعودية توفر متطلبات إدراج أكثر مرونة للشركات الصغيرة والمتوسطة بهدف التوسع والتمويل وتوفير فرص استثمارية جديدة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وتواجه الشركات العائلية تحديات تتعلق بالاستمرارية والحوكمة والشفافية، خاصة مع انتقال الملكية بين الأجيال، مما قد يؤدي إلى تفاقم الخلافات وضعف تنظيم القرارات</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tl/>
        </w:rPr>
        <w:t>(</w:t>
      </w:r>
      <w:r w:rsidR="00F5627F" w:rsidRPr="007C544A">
        <w:rPr>
          <w:rFonts w:ascii="Traditional Arabic" w:hAnsi="Traditional Arabic" w:cs="Traditional Arabic"/>
          <w:sz w:val="24"/>
          <w:szCs w:val="24"/>
          <w:rtl/>
        </w:rPr>
        <w:t>شركة السوق المالية السعودية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2021)</w:t>
      </w:r>
    </w:p>
    <w:p w:rsidR="00580A85" w:rsidRPr="007C544A" w:rsidRDefault="00F5627F" w:rsidP="00706522">
      <w:pPr>
        <w:pStyle w:val="FootnoteText"/>
        <w:shd w:val="clear" w:color="auto" w:fill="FFFFFF" w:themeFill="background1"/>
        <w:bidi/>
        <w:spacing w:line="360" w:lineRule="auto"/>
        <w:ind w:firstLine="720"/>
        <w:jc w:val="both"/>
        <w:rPr>
          <w:rFonts w:ascii="Traditional Arabic" w:hAnsi="Traditional Arabic" w:cs="Traditional Arabic"/>
          <w:sz w:val="24"/>
          <w:szCs w:val="24"/>
          <w:rtl/>
          <w:lang w:bidi="ar-SA"/>
        </w:rPr>
      </w:pPr>
      <w:r w:rsidRPr="007C544A">
        <w:rPr>
          <w:rFonts w:ascii="Traditional Arabic" w:hAnsi="Traditional Arabic" w:cs="Traditional Arabic"/>
          <w:sz w:val="24"/>
          <w:szCs w:val="24"/>
          <w:rtl/>
          <w:lang w:bidi="ar-SA"/>
        </w:rPr>
        <w:t>وجاء</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نظام</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الشركات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السعودي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الصادر</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عام</w:t>
      </w:r>
      <w:r w:rsidR="009C3B7F" w:rsidRPr="007C544A">
        <w:rPr>
          <w:rFonts w:ascii="Traditional Arabic" w:hAnsi="Traditional Arabic" w:cs="Traditional Arabic"/>
          <w:sz w:val="24"/>
          <w:szCs w:val="24"/>
          <w:rtl/>
          <w:lang w:bidi="ar-SA"/>
        </w:rPr>
        <w:t xml:space="preserve"> (</w:t>
      </w:r>
      <w:r w:rsidR="00580A85" w:rsidRPr="007C544A">
        <w:rPr>
          <w:rFonts w:ascii="Traditional Arabic" w:hAnsi="Traditional Arabic" w:cs="Traditional Arabic"/>
          <w:sz w:val="24"/>
          <w:szCs w:val="24"/>
          <w:rtl/>
          <w:lang w:bidi="ar-SA"/>
        </w:rPr>
        <w:t xml:space="preserve">1435ه-2015م) </w:t>
      </w:r>
      <w:r w:rsidRPr="007C544A">
        <w:rPr>
          <w:rFonts w:ascii="Traditional Arabic" w:hAnsi="Traditional Arabic" w:cs="Traditional Arabic"/>
          <w:sz w:val="24"/>
          <w:szCs w:val="24"/>
          <w:rtl/>
          <w:lang w:bidi="ar-SA"/>
        </w:rPr>
        <w:t>بتنظيم</w:t>
      </w:r>
      <w:r w:rsidRPr="007C544A">
        <w:rPr>
          <w:rFonts w:ascii="Traditional Arabic" w:hAnsi="Traditional Arabic" w:cs="Traditional Arabic"/>
          <w:sz w:val="24"/>
          <w:szCs w:val="24"/>
          <w:rtl/>
        </w:rPr>
        <w:t xml:space="preserve"> </w:t>
      </w:r>
      <w:r w:rsidR="0022698D" w:rsidRPr="007C544A">
        <w:rPr>
          <w:rFonts w:ascii="Traditional Arabic" w:hAnsi="Traditional Arabic" w:cs="Traditional Arabic"/>
          <w:sz w:val="24"/>
          <w:szCs w:val="24"/>
          <w:rtl/>
          <w:lang w:bidi="ar-SA"/>
        </w:rPr>
        <w:t xml:space="preserve">الدمج </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الفصل</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الثاني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الباب</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الثامن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وفي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المواد</w:t>
      </w:r>
      <w:r w:rsidR="009C3B7F" w:rsidRPr="007C544A">
        <w:rPr>
          <w:rFonts w:ascii="Traditional Arabic" w:hAnsi="Traditional Arabic" w:cs="Traditional Arabic"/>
          <w:sz w:val="24"/>
          <w:szCs w:val="24"/>
          <w:rtl/>
          <w:lang w:bidi="ar-SA"/>
        </w:rPr>
        <w:t xml:space="preserve"> (190-193)، </w:t>
      </w:r>
      <w:r w:rsidRPr="007C544A">
        <w:rPr>
          <w:rFonts w:ascii="Traditional Arabic" w:hAnsi="Traditional Arabic" w:cs="Traditional Arabic"/>
          <w:sz w:val="24"/>
          <w:szCs w:val="24"/>
          <w:rtl/>
          <w:lang w:bidi="ar-SA"/>
        </w:rPr>
        <w:t>وقد</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أجاز</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نظام</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الشركات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السعودي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للشركة</w:t>
      </w:r>
      <w:r w:rsidRPr="007C544A">
        <w:rPr>
          <w:rFonts w:ascii="Traditional Arabic" w:hAnsi="Traditional Arabic" w:cs="Traditional Arabic"/>
          <w:sz w:val="24"/>
          <w:szCs w:val="24"/>
          <w:rtl/>
        </w:rPr>
        <w:t xml:space="preserve"> </w:t>
      </w:r>
      <w:r w:rsidR="0022698D" w:rsidRPr="007C544A">
        <w:rPr>
          <w:rFonts w:ascii="Traditional Arabic" w:hAnsi="Traditional Arabic" w:cs="Traditional Arabic"/>
          <w:sz w:val="24"/>
          <w:szCs w:val="24"/>
          <w:rtl/>
          <w:lang w:bidi="ar-SA"/>
        </w:rPr>
        <w:t xml:space="preserve">الدمج </w:t>
      </w:r>
      <w:r w:rsidR="009C3B7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SA"/>
        </w:rPr>
        <w:t>ولو</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كانت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دور</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التصفية</w:t>
      </w:r>
      <w:r w:rsidR="009C3B7F" w:rsidRPr="007C544A">
        <w:rPr>
          <w:rFonts w:ascii="Traditional Arabic" w:hAnsi="Traditional Arabic" w:cs="Traditional Arabic"/>
          <w:sz w:val="24"/>
          <w:szCs w:val="24"/>
          <w:rtl/>
          <w:lang w:bidi="ar-SA"/>
        </w:rPr>
        <w:t xml:space="preserve">- </w:t>
      </w:r>
      <w:r w:rsidRPr="007C544A">
        <w:rPr>
          <w:rFonts w:ascii="Traditional Arabic" w:hAnsi="Traditional Arabic" w:cs="Traditional Arabic"/>
          <w:sz w:val="24"/>
          <w:szCs w:val="24"/>
          <w:rtl/>
          <w:lang w:bidi="ar-SA"/>
        </w:rPr>
        <w:t>أن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تندمج</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شركة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أخرى</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نوعها</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أو</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نوع</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آخر</w:t>
      </w:r>
      <w:r w:rsidR="00D7278E" w:rsidRPr="007C544A">
        <w:rPr>
          <w:rFonts w:ascii="Traditional Arabic" w:hAnsi="Traditional Arabic" w:cs="Traditional Arabic"/>
          <w:sz w:val="24"/>
          <w:szCs w:val="24"/>
          <w:rtl/>
          <w:lang w:bidi="ar-SA"/>
        </w:rPr>
        <w:t xml:space="preserve"> (</w:t>
      </w:r>
      <w:r w:rsidRPr="007C544A">
        <w:rPr>
          <w:rFonts w:ascii="Traditional Arabic" w:hAnsi="Traditional Arabic" w:cs="Traditional Arabic"/>
          <w:sz w:val="24"/>
          <w:szCs w:val="24"/>
          <w:rtl/>
          <w:lang w:bidi="ar-SA"/>
        </w:rPr>
        <w:t>وزارة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التجارة</w:t>
      </w:r>
      <w:r w:rsidR="00580A85" w:rsidRPr="007C544A">
        <w:rPr>
          <w:rFonts w:ascii="Traditional Arabic" w:hAnsi="Traditional Arabic" w:cs="Traditional Arabic"/>
          <w:sz w:val="24"/>
          <w:szCs w:val="24"/>
          <w:rtl/>
          <w:lang w:bidi="ar-SA"/>
        </w:rPr>
        <w:t>، 2015).</w:t>
      </w:r>
    </w:p>
    <w:p w:rsidR="00580A85"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eastAsiaTheme="minorHAnsi" w:hAnsi="Traditional Arabic" w:cs="Traditional Arabic"/>
          <w:rtl/>
        </w:rPr>
        <w:t xml:space="preserve">سجلت القيمة السوقية للسوق الموازية "نمو" مستوى قياسيًّا خلال عام 2023 بعدما بلغت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48.3</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مليار </w:t>
      </w:r>
      <w:r w:rsidR="00D7278E" w:rsidRPr="007C544A">
        <w:rPr>
          <w:rFonts w:ascii="Traditional Arabic" w:eastAsiaTheme="minorHAnsi" w:hAnsi="Traditional Arabic" w:cs="Traditional Arabic"/>
          <w:rtl/>
        </w:rPr>
        <w:t xml:space="preserve">ريال، </w:t>
      </w:r>
      <w:r w:rsidRPr="007C544A">
        <w:rPr>
          <w:rFonts w:ascii="Traditional Arabic" w:eastAsiaTheme="minorHAnsi" w:hAnsi="Traditional Arabic" w:cs="Traditional Arabic"/>
          <w:rtl/>
        </w:rPr>
        <w:t xml:space="preserve">وكانت القيمة </w:t>
      </w:r>
      <w:r w:rsidR="00580A85" w:rsidRPr="007C544A">
        <w:rPr>
          <w:rFonts w:ascii="Traditional Arabic" w:eastAsiaTheme="minorHAnsi" w:hAnsi="Traditional Arabic" w:cs="Traditional Arabic"/>
          <w:rtl/>
        </w:rPr>
        <w:t>السوقية للسوق الموازي "</w:t>
      </w:r>
      <w:r w:rsidRPr="007C544A">
        <w:rPr>
          <w:rFonts w:ascii="Traditional Arabic" w:eastAsiaTheme="minorHAnsi" w:hAnsi="Traditional Arabic" w:cs="Traditional Arabic"/>
          <w:rtl/>
        </w:rPr>
        <w:t xml:space="preserve">نمو" </w:t>
      </w:r>
      <w:r w:rsidR="00580A85" w:rsidRPr="007C544A">
        <w:rPr>
          <w:rFonts w:ascii="Traditional Arabic" w:eastAsiaTheme="minorHAnsi" w:hAnsi="Traditional Arabic" w:cs="Traditional Arabic"/>
          <w:rtl/>
        </w:rPr>
        <w:t>تتراوح</w:t>
      </w:r>
      <w:r w:rsidRPr="007C544A">
        <w:rPr>
          <w:rFonts w:ascii="Traditional Arabic" w:eastAsiaTheme="minorHAnsi" w:hAnsi="Traditional Arabic" w:cs="Traditional Arabic"/>
          <w:rtl/>
        </w:rPr>
        <w:t xml:space="preserve"> حول مستويات الـ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2</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مليار </w:t>
      </w:r>
      <w:r w:rsidR="00D7278E" w:rsidRPr="007C544A">
        <w:rPr>
          <w:rFonts w:ascii="Traditional Arabic" w:eastAsiaTheme="minorHAnsi" w:hAnsi="Traditional Arabic" w:cs="Traditional Arabic"/>
          <w:rtl/>
        </w:rPr>
        <w:t xml:space="preserve">ريال </w:t>
      </w:r>
      <w:r w:rsidRPr="007C544A">
        <w:rPr>
          <w:rFonts w:ascii="Traditional Arabic" w:eastAsiaTheme="minorHAnsi" w:hAnsi="Traditional Arabic" w:cs="Traditional Arabic"/>
          <w:rtl/>
        </w:rPr>
        <w:t>خلال الأعوام الثلاثة الأولى من إطلاق المؤشر</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لتنمو بمعدل نمو مركب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67%</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خلال الـ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سنوات السابقة.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هيئة السوق المالية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2023)</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وجاءت تلك الارتفاعات بفضل استمرار عمليات </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الشركات في السوق الموازية بعد أن تمت إضافة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70</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شركة منذ ال</w:t>
      </w:r>
      <w:r w:rsidR="000544F4" w:rsidRPr="007C544A">
        <w:rPr>
          <w:rFonts w:ascii="Traditional Arabic" w:eastAsiaTheme="minorHAnsi" w:hAnsi="Traditional Arabic" w:cs="Traditional Arabic"/>
          <w:rtl/>
        </w:rPr>
        <w:t>إدراج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ليصل إجمالي الشركات المدرجة</w:t>
      </w:r>
      <w:r w:rsidR="000544F4" w:rsidRPr="007C544A">
        <w:rPr>
          <w:rFonts w:ascii="Traditional Arabic" w:eastAsiaTheme="minorHAnsi" w:hAnsi="Traditional Arabic" w:cs="Traditional Arabic"/>
          <w:rtl/>
        </w:rPr>
        <w:t xml:space="preserve"> إلى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79</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شركة بنهاية عام 2023</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مقارنة بـ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9</w:t>
      </w:r>
      <w:r w:rsidR="00580A85" w:rsidRPr="007C544A">
        <w:rPr>
          <w:rFonts w:ascii="Traditional Arabic" w:eastAsiaTheme="minorHAnsi" w:hAnsi="Traditional Arabic" w:cs="Traditional Arabic"/>
          <w:rtl/>
        </w:rPr>
        <w:t>) شركات خلال عام 2017</w:t>
      </w:r>
      <w:r w:rsidR="00D7278E" w:rsidRPr="007C544A">
        <w:rPr>
          <w:rFonts w:ascii="Traditional Arabic" w:eastAsiaTheme="minorHAnsi" w:hAnsi="Traditional Arabic" w:cs="Traditional Arabic"/>
          <w:rtl/>
        </w:rPr>
        <w:t xml:space="preserve"> (</w:t>
      </w:r>
      <w:r w:rsidRPr="007C544A">
        <w:rPr>
          <w:rFonts w:ascii="Traditional Arabic" w:hAnsi="Traditional Arabic" w:cs="Traditional Arabic"/>
          <w:rtl/>
        </w:rPr>
        <w:t>هيئة السوق المالية</w:t>
      </w:r>
      <w:r w:rsidR="00580A85" w:rsidRPr="007C544A">
        <w:rPr>
          <w:rFonts w:ascii="Traditional Arabic" w:hAnsi="Traditional Arabic" w:cs="Traditional Arabic"/>
          <w:rtl/>
        </w:rPr>
        <w:t>، 2023).</w:t>
      </w:r>
    </w:p>
    <w:p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Style w:val="Emphasis"/>
          <w:rFonts w:ascii="Traditional Arabic" w:eastAsia="Georgia" w:hAnsi="Traditional Arabic" w:cs="Traditional Arabic"/>
          <w:i w:val="0"/>
          <w:iCs w:val="0"/>
          <w:rtl/>
        </w:rPr>
      </w:pPr>
      <w:r w:rsidRPr="007C544A">
        <w:rPr>
          <w:rFonts w:ascii="Traditional Arabic" w:eastAsiaTheme="minorHAnsi" w:hAnsi="Traditional Arabic" w:cs="Traditional Arabic"/>
          <w:rtl/>
        </w:rPr>
        <w:lastRenderedPageBreak/>
        <w:t xml:space="preserve">وعن أداء مؤشر السوق الموازية خلال الـ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سنوات الأخيرة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ارتفع من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3140</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نقطة خلال عام 2017</w:t>
      </w:r>
      <w:r w:rsidR="000544F4" w:rsidRPr="007C544A">
        <w:rPr>
          <w:rFonts w:ascii="Traditional Arabic" w:eastAsiaTheme="minorHAnsi" w:hAnsi="Traditional Arabic" w:cs="Traditional Arabic"/>
          <w:rtl/>
        </w:rPr>
        <w:t xml:space="preserve"> إلى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24529</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نقطة بنهاية عام 2023</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حقق خلالها أعلى إغلاق عند 26245 نقطة في عام 2020</w:t>
      </w:r>
      <w:r w:rsidR="00D7278E" w:rsidRPr="007C544A">
        <w:rPr>
          <w:rFonts w:ascii="Traditional Arabic" w:eastAsiaTheme="minorHAnsi" w:hAnsi="Traditional Arabic" w:cs="Traditional Arabic"/>
          <w:rtl/>
        </w:rPr>
        <w:t xml:space="preserve"> (</w:t>
      </w:r>
      <w:r w:rsidRPr="007C544A">
        <w:rPr>
          <w:rStyle w:val="Emphasis"/>
          <w:rFonts w:ascii="Traditional Arabic" w:eastAsia="Georgia" w:hAnsi="Traditional Arabic" w:cs="Traditional Arabic"/>
          <w:i w:val="0"/>
          <w:iCs w:val="0"/>
          <w:rtl/>
        </w:rPr>
        <w:t>هيئة السوق المالية</w:t>
      </w:r>
      <w:r w:rsidR="00D7278E" w:rsidRPr="007C544A">
        <w:rPr>
          <w:rStyle w:val="Emphasis"/>
          <w:rFonts w:ascii="Traditional Arabic" w:eastAsia="Georgia" w:hAnsi="Traditional Arabic" w:cs="Traditional Arabic"/>
          <w:i w:val="0"/>
          <w:iCs w:val="0"/>
          <w:rtl/>
        </w:rPr>
        <w:t xml:space="preserve">، </w:t>
      </w:r>
      <w:r w:rsidRPr="007C544A">
        <w:rPr>
          <w:rStyle w:val="Emphasis"/>
          <w:rFonts w:ascii="Traditional Arabic" w:eastAsia="Georgia" w:hAnsi="Traditional Arabic" w:cs="Traditional Arabic"/>
          <w:i w:val="0"/>
          <w:iCs w:val="0"/>
          <w:rtl/>
        </w:rPr>
        <w:t>2023؛</w:t>
      </w:r>
      <w:r w:rsidR="00580A85" w:rsidRPr="007C544A">
        <w:rPr>
          <w:rStyle w:val="Emphasis"/>
          <w:rFonts w:ascii="Traditional Arabic" w:eastAsia="Georgia" w:hAnsi="Traditional Arabic" w:cs="Traditional Arabic"/>
          <w:i w:val="0"/>
          <w:iCs w:val="0"/>
          <w:rtl/>
        </w:rPr>
        <w:t xml:space="preserve"> </w:t>
      </w:r>
      <w:r w:rsidRPr="007C544A">
        <w:rPr>
          <w:rStyle w:val="Emphasis"/>
          <w:rFonts w:ascii="Traditional Arabic" w:eastAsia="Georgia" w:hAnsi="Traditional Arabic" w:cs="Traditional Arabic"/>
          <w:i w:val="0"/>
          <w:iCs w:val="0"/>
        </w:rPr>
        <w:t>Saudi Exchange</w:t>
      </w:r>
      <w:r w:rsidR="00580A85" w:rsidRPr="007C544A">
        <w:rPr>
          <w:rStyle w:val="Emphasis"/>
          <w:rFonts w:ascii="Traditional Arabic" w:eastAsia="Georgia" w:hAnsi="Traditional Arabic" w:cs="Traditional Arabic"/>
          <w:i w:val="0"/>
          <w:iCs w:val="0"/>
        </w:rPr>
        <w:t>, 2023</w:t>
      </w:r>
      <w:r w:rsidRPr="007C544A">
        <w:rPr>
          <w:rStyle w:val="Emphasis"/>
          <w:rFonts w:ascii="Traditional Arabic" w:eastAsia="Georgia" w:hAnsi="Traditional Arabic" w:cs="Traditional Arabic"/>
          <w:i w:val="0"/>
          <w:iCs w:val="0"/>
          <w:rtl/>
        </w:rPr>
        <w:t>)</w:t>
      </w:r>
      <w:r w:rsidR="00580A85" w:rsidRPr="007C544A">
        <w:rPr>
          <w:rStyle w:val="Emphasis"/>
          <w:rFonts w:ascii="Traditional Arabic" w:eastAsia="Georgia" w:hAnsi="Traditional Arabic" w:cs="Traditional Arabic"/>
          <w:i w:val="0"/>
          <w:iCs w:val="0"/>
          <w:rtl/>
        </w:rPr>
        <w:t>.</w:t>
      </w:r>
    </w:p>
    <w:p w:rsidR="00F92503"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فيما أنهى المؤشر تعاملات عام 2023 على ارتفاع بنحو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5112</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نقطة ما يعادل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26%</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مقارنة بإغلاق نهاية عام 2022.</w:t>
      </w:r>
    </w:p>
    <w:p w:rsidR="00474BB4" w:rsidRPr="007C544A" w:rsidRDefault="00474BB4" w:rsidP="005877F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 xml:space="preserve">جدول </w:t>
      </w:r>
      <w:r w:rsidR="00D7278E" w:rsidRPr="007C544A">
        <w:rPr>
          <w:rFonts w:ascii="Traditional Arabic" w:eastAsiaTheme="minorHAnsi" w:hAnsi="Traditional Arabic" w:cs="Traditional Arabic"/>
          <w:b/>
          <w:bCs/>
          <w:sz w:val="26"/>
          <w:szCs w:val="26"/>
          <w:rtl/>
        </w:rPr>
        <w:t>(</w:t>
      </w:r>
      <w:r w:rsidR="00F5627F" w:rsidRPr="007C544A">
        <w:rPr>
          <w:rFonts w:ascii="Traditional Arabic" w:eastAsiaTheme="minorHAnsi" w:hAnsi="Traditional Arabic" w:cs="Traditional Arabic"/>
          <w:b/>
          <w:bCs/>
          <w:sz w:val="26"/>
          <w:szCs w:val="26"/>
          <w:rtl/>
        </w:rPr>
        <w:t>2-1)</w:t>
      </w:r>
    </w:p>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تطور أداء سوق نمو</w:t>
      </w:r>
    </w:p>
    <w:tbl>
      <w:tblPr>
        <w:bidiVisual/>
        <w:tblW w:w="5588"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77"/>
        <w:gridCol w:w="863"/>
        <w:gridCol w:w="861"/>
        <w:gridCol w:w="861"/>
        <w:gridCol w:w="977"/>
        <w:gridCol w:w="987"/>
        <w:gridCol w:w="973"/>
        <w:gridCol w:w="973"/>
      </w:tblGrid>
      <w:tr w:rsidR="00F5627F" w:rsidRPr="007C544A" w:rsidTr="006D0FCD">
        <w:trPr>
          <w:trHeight w:val="435"/>
          <w:jc w:val="center"/>
        </w:trPr>
        <w:tc>
          <w:tcPr>
            <w:tcW w:w="9524" w:type="dxa"/>
            <w:gridSpan w:val="8"/>
            <w:tcBorders>
              <w:top w:val="threeDEngrave" w:sz="24" w:space="0" w:color="auto"/>
              <w:bottom w:val="threeDEngrave"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تطور أداء سوق نمو</w:t>
            </w:r>
          </w:p>
        </w:tc>
      </w:tr>
      <w:tr w:rsidR="00F5627F" w:rsidRPr="007C544A" w:rsidTr="006D0FCD">
        <w:trPr>
          <w:trHeight w:val="435"/>
          <w:jc w:val="center"/>
        </w:trPr>
        <w:tc>
          <w:tcPr>
            <w:tcW w:w="2924"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البند</w:t>
            </w:r>
          </w:p>
        </w:tc>
        <w:tc>
          <w:tcPr>
            <w:tcW w:w="877"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2017</w:t>
            </w:r>
          </w:p>
        </w:tc>
        <w:tc>
          <w:tcPr>
            <w:tcW w:w="876"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2018</w:t>
            </w:r>
          </w:p>
        </w:tc>
        <w:tc>
          <w:tcPr>
            <w:tcW w:w="876"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2019</w:t>
            </w:r>
          </w:p>
        </w:tc>
        <w:tc>
          <w:tcPr>
            <w:tcW w:w="992"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2020</w:t>
            </w:r>
          </w:p>
        </w:tc>
        <w:tc>
          <w:tcPr>
            <w:tcW w:w="1003"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2021</w:t>
            </w:r>
          </w:p>
        </w:tc>
        <w:tc>
          <w:tcPr>
            <w:tcW w:w="988"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2022</w:t>
            </w:r>
          </w:p>
        </w:tc>
        <w:tc>
          <w:tcPr>
            <w:tcW w:w="988"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2023</w:t>
            </w:r>
          </w:p>
        </w:tc>
      </w:tr>
      <w:tr w:rsidR="006D0FCD" w:rsidRPr="007C544A" w:rsidTr="006D0FCD">
        <w:trPr>
          <w:trHeight w:val="435"/>
          <w:jc w:val="center"/>
        </w:trPr>
        <w:tc>
          <w:tcPr>
            <w:tcW w:w="2924"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مؤشر السوق (نقطة)</w:t>
            </w:r>
          </w:p>
        </w:tc>
        <w:tc>
          <w:tcPr>
            <w:tcW w:w="877" w:type="dxa"/>
            <w:tcBorders>
              <w:top w:val="threeDEmboss" w:sz="24" w:space="0" w:color="auto"/>
            </w:tcBorders>
            <w:tcMar>
              <w:top w:w="0" w:type="dxa"/>
              <w:left w:w="108" w:type="dxa"/>
              <w:bottom w:w="0" w:type="dxa"/>
              <w:right w:w="108" w:type="dxa"/>
            </w:tcMar>
            <w:vAlign w:val="center"/>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3140</w:t>
            </w:r>
          </w:p>
        </w:tc>
        <w:tc>
          <w:tcPr>
            <w:tcW w:w="876" w:type="dxa"/>
            <w:tcBorders>
              <w:top w:val="threeDEmboss" w:sz="24" w:space="0" w:color="auto"/>
            </w:tcBorders>
            <w:tcMar>
              <w:top w:w="0" w:type="dxa"/>
              <w:left w:w="108" w:type="dxa"/>
              <w:bottom w:w="0" w:type="dxa"/>
              <w:right w:w="108" w:type="dxa"/>
            </w:tcMar>
            <w:vAlign w:val="center"/>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2521</w:t>
            </w:r>
          </w:p>
        </w:tc>
        <w:tc>
          <w:tcPr>
            <w:tcW w:w="876" w:type="dxa"/>
            <w:tcBorders>
              <w:top w:val="threeDEmboss" w:sz="24" w:space="0" w:color="auto"/>
            </w:tcBorders>
            <w:tcMar>
              <w:top w:w="0" w:type="dxa"/>
              <w:left w:w="108" w:type="dxa"/>
              <w:bottom w:w="0" w:type="dxa"/>
              <w:right w:w="108" w:type="dxa"/>
            </w:tcMar>
            <w:vAlign w:val="center"/>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7440</w:t>
            </w:r>
          </w:p>
        </w:tc>
        <w:tc>
          <w:tcPr>
            <w:tcW w:w="992" w:type="dxa"/>
            <w:tcBorders>
              <w:top w:val="threeDEmboss" w:sz="24" w:space="0" w:color="auto"/>
            </w:tcBorders>
            <w:tcMar>
              <w:top w:w="0" w:type="dxa"/>
              <w:left w:w="108" w:type="dxa"/>
              <w:bottom w:w="0" w:type="dxa"/>
              <w:right w:w="108" w:type="dxa"/>
            </w:tcMar>
            <w:vAlign w:val="center"/>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26245</w:t>
            </w:r>
          </w:p>
        </w:tc>
        <w:tc>
          <w:tcPr>
            <w:tcW w:w="1003" w:type="dxa"/>
            <w:tcBorders>
              <w:top w:val="threeDEmboss" w:sz="24" w:space="0" w:color="auto"/>
            </w:tcBorders>
            <w:tcMar>
              <w:top w:w="0" w:type="dxa"/>
              <w:left w:w="108" w:type="dxa"/>
              <w:bottom w:w="0" w:type="dxa"/>
              <w:right w:w="108" w:type="dxa"/>
            </w:tcMar>
            <w:vAlign w:val="center"/>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25976</w:t>
            </w:r>
          </w:p>
        </w:tc>
        <w:tc>
          <w:tcPr>
            <w:tcW w:w="988" w:type="dxa"/>
            <w:tcBorders>
              <w:top w:val="threeDEmboss" w:sz="24" w:space="0" w:color="auto"/>
            </w:tcBorders>
            <w:tcMar>
              <w:top w:w="0" w:type="dxa"/>
              <w:left w:w="108" w:type="dxa"/>
              <w:bottom w:w="0" w:type="dxa"/>
              <w:right w:w="108" w:type="dxa"/>
            </w:tcMar>
            <w:vAlign w:val="center"/>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19417</w:t>
            </w:r>
          </w:p>
        </w:tc>
        <w:tc>
          <w:tcPr>
            <w:tcW w:w="988" w:type="dxa"/>
            <w:tcBorders>
              <w:top w:val="threeDEmboss" w:sz="24" w:space="0" w:color="auto"/>
            </w:tcBorders>
            <w:tcMar>
              <w:top w:w="0" w:type="dxa"/>
              <w:left w:w="108" w:type="dxa"/>
              <w:bottom w:w="0" w:type="dxa"/>
              <w:right w:w="108" w:type="dxa"/>
            </w:tcMar>
            <w:vAlign w:val="center"/>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24529</w:t>
            </w:r>
          </w:p>
        </w:tc>
      </w:tr>
      <w:tr w:rsidR="006D0FCD" w:rsidRPr="007C544A"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القيمة السوقية (مليار ريال)</w:t>
            </w:r>
          </w:p>
        </w:tc>
        <w:tc>
          <w:tcPr>
            <w:tcW w:w="877"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2.3</w:t>
            </w:r>
          </w:p>
        </w:tc>
        <w:tc>
          <w:tcPr>
            <w:tcW w:w="876"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2.3</w:t>
            </w:r>
          </w:p>
        </w:tc>
        <w:tc>
          <w:tcPr>
            <w:tcW w:w="876"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2.5</w:t>
            </w:r>
          </w:p>
        </w:tc>
        <w:tc>
          <w:tcPr>
            <w:tcW w:w="992"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12.2</w:t>
            </w:r>
          </w:p>
        </w:tc>
        <w:tc>
          <w:tcPr>
            <w:tcW w:w="1003"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19.0</w:t>
            </w:r>
          </w:p>
        </w:tc>
        <w:tc>
          <w:tcPr>
            <w:tcW w:w="988"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35.1</w:t>
            </w:r>
          </w:p>
        </w:tc>
        <w:tc>
          <w:tcPr>
            <w:tcW w:w="988"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48.3</w:t>
            </w:r>
          </w:p>
        </w:tc>
      </w:tr>
      <w:tr w:rsidR="006D0FCD" w:rsidRPr="007C544A"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الشركات المدرجة (شركة)</w:t>
            </w:r>
          </w:p>
        </w:tc>
        <w:tc>
          <w:tcPr>
            <w:tcW w:w="877"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9</w:t>
            </w:r>
          </w:p>
        </w:tc>
        <w:tc>
          <w:tcPr>
            <w:tcW w:w="876"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10</w:t>
            </w:r>
          </w:p>
        </w:tc>
        <w:tc>
          <w:tcPr>
            <w:tcW w:w="876"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5</w:t>
            </w:r>
          </w:p>
        </w:tc>
        <w:tc>
          <w:tcPr>
            <w:tcW w:w="992"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w:t>
            </w:r>
          </w:p>
        </w:tc>
        <w:tc>
          <w:tcPr>
            <w:tcW w:w="1003"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14</w:t>
            </w:r>
          </w:p>
        </w:tc>
        <w:tc>
          <w:tcPr>
            <w:tcW w:w="988"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46</w:t>
            </w:r>
          </w:p>
        </w:tc>
        <w:tc>
          <w:tcPr>
            <w:tcW w:w="988"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79</w:t>
            </w:r>
          </w:p>
        </w:tc>
      </w:tr>
      <w:tr w:rsidR="006D0FCD" w:rsidRPr="007C544A"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الشركات المنتقلة إلى تاسي (شركة)</w:t>
            </w:r>
          </w:p>
        </w:tc>
        <w:tc>
          <w:tcPr>
            <w:tcW w:w="877"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w:t>
            </w:r>
          </w:p>
        </w:tc>
        <w:tc>
          <w:tcPr>
            <w:tcW w:w="876"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w:t>
            </w:r>
          </w:p>
        </w:tc>
        <w:tc>
          <w:tcPr>
            <w:tcW w:w="876"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5</w:t>
            </w:r>
          </w:p>
        </w:tc>
        <w:tc>
          <w:tcPr>
            <w:tcW w:w="992"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w:t>
            </w:r>
          </w:p>
        </w:tc>
        <w:tc>
          <w:tcPr>
            <w:tcW w:w="1003"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988"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w:t>
            </w:r>
          </w:p>
        </w:tc>
        <w:tc>
          <w:tcPr>
            <w:tcW w:w="988" w:type="dxa"/>
            <w:tcMar>
              <w:top w:w="0" w:type="dxa"/>
              <w:left w:w="108" w:type="dxa"/>
              <w:bottom w:w="0" w:type="dxa"/>
              <w:right w:w="108" w:type="dxa"/>
            </w:tcMar>
            <w:vAlign w:val="center"/>
            <w:hideMark/>
          </w:tcPr>
          <w:p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w:t>
            </w:r>
          </w:p>
        </w:tc>
      </w:tr>
    </w:tbl>
    <w:p w:rsidR="00F5627F" w:rsidRPr="007C544A" w:rsidRDefault="00F5627F"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تقرير موقع</w:t>
      </w:r>
      <w:r w:rsidRPr="007C544A">
        <w:rPr>
          <w:rFonts w:ascii="Traditional Arabic" w:eastAsiaTheme="minorHAnsi" w:hAnsi="Traditional Arabic" w:cs="Traditional Arabic"/>
          <w:shd w:val="clear" w:color="auto" w:fill="FFFFFF"/>
        </w:rPr>
        <w:t xml:space="preserve"> Argaam</w:t>
      </w:r>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 xml:space="preserve">2024) </w:t>
      </w:r>
      <w:r w:rsidRPr="007C544A">
        <w:rPr>
          <w:rFonts w:ascii="Traditional Arabic" w:eastAsiaTheme="minorHAnsi" w:hAnsi="Traditional Arabic" w:cs="Traditional Arabic"/>
          <w:shd w:val="clear" w:color="auto" w:fill="FFFFFF"/>
          <w:rtl/>
        </w:rPr>
        <w:t>استنادًا</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بيانات</w:t>
      </w:r>
      <w:r w:rsidRPr="007C544A">
        <w:rPr>
          <w:rFonts w:ascii="Traditional Arabic" w:eastAsiaTheme="minorHAnsi" w:hAnsi="Traditional Arabic" w:cs="Traditional Arabic"/>
          <w:shd w:val="clear" w:color="auto" w:fill="FFFFFF"/>
        </w:rPr>
        <w:t xml:space="preserve"> Saudi Exchange/</w:t>
      </w:r>
      <w:r w:rsidRPr="007C544A">
        <w:rPr>
          <w:rFonts w:ascii="Traditional Arabic" w:eastAsiaTheme="minorHAnsi" w:hAnsi="Traditional Arabic" w:cs="Traditional Arabic"/>
          <w:shd w:val="clear" w:color="auto" w:fill="FFFFFF"/>
          <w:rtl/>
        </w:rPr>
        <w:t>هيئة السوق المالية السعودية</w:t>
      </w:r>
    </w:p>
    <w:p w:rsidR="00F553CE" w:rsidRPr="007C544A" w:rsidRDefault="00F5627F" w:rsidP="005A3A98">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وتفصيلًا لعدد الصفقات التي تمت على أسهم الشركات بالسوق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تم تنفيذ 678.7 ألف صفقة خاصة بلغ حجمها نحو 638.2 مليون سهم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وبقيمة إجمالية بلغت نحو 8.1 مليار </w:t>
      </w:r>
      <w:r w:rsidR="00D7278E" w:rsidRPr="007C544A">
        <w:rPr>
          <w:rFonts w:ascii="Traditional Arabic" w:hAnsi="Traditional Arabic" w:cs="Traditional Arabic"/>
          <w:rtl/>
        </w:rPr>
        <w:t>ريال</w:t>
      </w:r>
      <w:r w:rsidR="006D0FCD" w:rsidRPr="007C544A">
        <w:rPr>
          <w:rFonts w:ascii="Traditional Arabic" w:hAnsi="Traditional Arabic" w:cs="Traditional Arabic"/>
          <w:rtl/>
        </w:rPr>
        <w:t>.</w:t>
      </w:r>
    </w:p>
    <w:p w:rsidR="00F67B6B" w:rsidRPr="007C544A" w:rsidRDefault="00474BB4" w:rsidP="00F553CE">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F5627F" w:rsidRPr="007C544A">
        <w:rPr>
          <w:rFonts w:ascii="Traditional Arabic" w:eastAsiaTheme="minorHAnsi" w:hAnsi="Traditional Arabic" w:cs="Traditional Arabic"/>
          <w:b/>
          <w:bCs/>
          <w:rtl/>
        </w:rPr>
        <w:t>2-2)</w:t>
      </w:r>
    </w:p>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تفاصيل الصفقات الخاصة على أسهم الشركات منذ بداية 2017</w:t>
      </w:r>
    </w:p>
    <w:tbl>
      <w:tblPr>
        <w:bidiVisual/>
        <w:tblW w:w="4706"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01"/>
        <w:gridCol w:w="2606"/>
        <w:gridCol w:w="2601"/>
      </w:tblGrid>
      <w:tr w:rsidR="00F5627F" w:rsidRPr="007C544A" w:rsidTr="00F67B6B">
        <w:trPr>
          <w:trHeight w:val="435"/>
          <w:tblHeader/>
          <w:jc w:val="center"/>
        </w:trPr>
        <w:tc>
          <w:tcPr>
            <w:tcW w:w="8021" w:type="dxa"/>
            <w:gridSpan w:val="3"/>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تفاصيل الصفقات الخاصة على أسهم الشركات منذ بداية 2017</w:t>
            </w:r>
          </w:p>
        </w:tc>
      </w:tr>
      <w:tr w:rsidR="00F5627F" w:rsidRPr="007C544A" w:rsidTr="00F67B6B">
        <w:trPr>
          <w:trHeight w:val="435"/>
          <w:tblHeader/>
          <w:jc w:val="center"/>
        </w:trPr>
        <w:tc>
          <w:tcPr>
            <w:tcW w:w="2673"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السنة</w:t>
            </w:r>
          </w:p>
        </w:tc>
        <w:tc>
          <w:tcPr>
            <w:tcW w:w="2674"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الصفقات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ألف)</w:t>
            </w:r>
          </w:p>
        </w:tc>
        <w:tc>
          <w:tcPr>
            <w:tcW w:w="2674"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1A4B4B">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القيمة المتداولة</w:t>
            </w:r>
            <w:r w:rsidR="001A4B4B" w:rsidRPr="007C544A">
              <w:rPr>
                <w:rFonts w:ascii="Traditional Arabic" w:hAnsi="Traditional Arabic" w:cs="Traditional Arabic" w:hint="cs"/>
                <w:sz w:val="24"/>
                <w:szCs w:val="24"/>
                <w:rtl/>
              </w:rPr>
              <w:t xml:space="preserve"> </w:t>
            </w:r>
            <w:r w:rsidR="00D7278E"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مليار </w:t>
            </w:r>
            <w:r w:rsidR="00D7278E" w:rsidRPr="007C544A">
              <w:rPr>
                <w:rFonts w:ascii="Traditional Arabic" w:hAnsi="Traditional Arabic" w:cs="Traditional Arabic"/>
                <w:sz w:val="24"/>
                <w:szCs w:val="24"/>
                <w:rtl/>
              </w:rPr>
              <w:t>ريال</w:t>
            </w:r>
            <w:r w:rsidRPr="007C544A">
              <w:rPr>
                <w:rFonts w:ascii="Traditional Arabic" w:hAnsi="Traditional Arabic" w:cs="Traditional Arabic"/>
                <w:sz w:val="24"/>
                <w:szCs w:val="24"/>
                <w:rtl/>
              </w:rPr>
              <w:t>)</w:t>
            </w:r>
          </w:p>
        </w:tc>
      </w:tr>
      <w:tr w:rsidR="00F5627F" w:rsidRPr="007C544A" w:rsidTr="00F67B6B">
        <w:trPr>
          <w:trHeight w:val="435"/>
          <w:jc w:val="center"/>
        </w:trPr>
        <w:tc>
          <w:tcPr>
            <w:tcW w:w="2673"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Style w:val="Strong"/>
                <w:rFonts w:ascii="Traditional Arabic" w:hAnsi="Traditional Arabic" w:cs="Traditional Arabic"/>
                <w:b w:val="0"/>
                <w:bCs w:val="0"/>
                <w:rtl/>
              </w:rPr>
              <w:t>2017</w:t>
            </w:r>
          </w:p>
        </w:tc>
        <w:tc>
          <w:tcPr>
            <w:tcW w:w="2674"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78.8</w:t>
            </w:r>
          </w:p>
        </w:tc>
        <w:tc>
          <w:tcPr>
            <w:tcW w:w="2674"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1.8</w:t>
            </w:r>
          </w:p>
        </w:tc>
      </w:tr>
      <w:tr w:rsidR="00F5627F" w:rsidRPr="007C544A"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2018</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42.2</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0.4</w:t>
            </w:r>
          </w:p>
        </w:tc>
      </w:tr>
      <w:tr w:rsidR="00F5627F" w:rsidRPr="007C544A"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2019</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138.5</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2.3</w:t>
            </w:r>
          </w:p>
        </w:tc>
      </w:tr>
      <w:tr w:rsidR="00F5627F" w:rsidRPr="007C544A"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2020</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287.5</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7.1</w:t>
            </w:r>
          </w:p>
        </w:tc>
      </w:tr>
      <w:tr w:rsidR="00F5627F" w:rsidRPr="007C544A"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lastRenderedPageBreak/>
              <w:t>2021</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394.0</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11.4</w:t>
            </w:r>
          </w:p>
        </w:tc>
      </w:tr>
      <w:tr w:rsidR="00F5627F" w:rsidRPr="007C544A"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2022</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676.9</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13.5</w:t>
            </w:r>
          </w:p>
        </w:tc>
      </w:tr>
      <w:tr w:rsidR="00F5627F" w:rsidRPr="007C544A"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2023</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678.7</w:t>
            </w:r>
          </w:p>
        </w:tc>
        <w:tc>
          <w:tcPr>
            <w:tcW w:w="2674"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8.1</w:t>
            </w:r>
          </w:p>
        </w:tc>
      </w:tr>
    </w:tbl>
    <w:p w:rsidR="00F5627F" w:rsidRPr="007C544A" w:rsidRDefault="00F5627F"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تقرير موقع</w:t>
      </w:r>
      <w:r w:rsidRPr="007C544A">
        <w:rPr>
          <w:rFonts w:ascii="Traditional Arabic" w:eastAsiaTheme="minorHAnsi" w:hAnsi="Traditional Arabic" w:cs="Traditional Arabic"/>
          <w:shd w:val="clear" w:color="auto" w:fill="FFFFFF"/>
        </w:rPr>
        <w:t xml:space="preserve"> Argaam</w:t>
      </w:r>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 xml:space="preserve">2024) </w:t>
      </w:r>
      <w:r w:rsidRPr="007C544A">
        <w:rPr>
          <w:rFonts w:ascii="Traditional Arabic" w:eastAsiaTheme="minorHAnsi" w:hAnsi="Traditional Arabic" w:cs="Traditional Arabic"/>
          <w:shd w:val="clear" w:color="auto" w:fill="FFFFFF"/>
          <w:rtl/>
        </w:rPr>
        <w:t>استنادًا</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بيانات</w:t>
      </w:r>
      <w:r w:rsidRPr="007C544A">
        <w:rPr>
          <w:rFonts w:ascii="Traditional Arabic" w:eastAsiaTheme="minorHAnsi" w:hAnsi="Traditional Arabic" w:cs="Traditional Arabic"/>
          <w:shd w:val="clear" w:color="auto" w:fill="FFFFFF"/>
        </w:rPr>
        <w:t xml:space="preserve"> Saudi Exchange/</w:t>
      </w:r>
      <w:r w:rsidR="008D300D"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هيئة السوق المالية السعودية</w:t>
      </w:r>
    </w:p>
    <w:p w:rsidR="00F553CE" w:rsidRPr="007C544A" w:rsidRDefault="00F5627F" w:rsidP="005A3A98">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وعلى جانب القطاعات السوقية بلغ إجمالي القطاعات </w:t>
      </w:r>
      <w:r w:rsidR="006D0FCD"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16</w:t>
      </w:r>
      <w:r w:rsidR="006D0FCD"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قطاع</w:t>
      </w:r>
      <w:r w:rsidR="006D0FCD"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ا بنهاية 2023 مقابل </w:t>
      </w:r>
      <w:r w:rsidR="007D07F9"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7</w:t>
      </w:r>
      <w:r w:rsidR="007D07F9"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قطاعات في بداية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بعام 2017</w:t>
      </w:r>
      <w:r w:rsidR="00D7278E" w:rsidRPr="007C544A">
        <w:rPr>
          <w:rFonts w:ascii="Traditional Arabic" w:hAnsi="Traditional Arabic" w:cs="Traditional Arabic"/>
          <w:sz w:val="24"/>
          <w:szCs w:val="24"/>
          <w:rtl/>
        </w:rPr>
        <w:t xml:space="preserve">، </w:t>
      </w:r>
      <w:r w:rsidRPr="007C544A">
        <w:rPr>
          <w:rStyle w:val="Strong"/>
          <w:rFonts w:ascii="Traditional Arabic" w:hAnsi="Traditional Arabic" w:cs="Traditional Arabic"/>
          <w:b w:val="0"/>
          <w:bCs w:val="0"/>
          <w:sz w:val="24"/>
          <w:szCs w:val="24"/>
          <w:rtl/>
        </w:rPr>
        <w:t>كما يوضح الجدول التالي</w:t>
      </w:r>
      <w:r w:rsidR="00775B4E" w:rsidRPr="007C544A">
        <w:rPr>
          <w:rStyle w:val="Strong"/>
          <w:rFonts w:ascii="Traditional Arabic" w:hAnsi="Traditional Arabic" w:cs="Traditional Arabic"/>
          <w:b w:val="0"/>
          <w:bCs w:val="0"/>
          <w:sz w:val="24"/>
          <w:szCs w:val="24"/>
          <w:rtl/>
        </w:rPr>
        <w:t xml:space="preserve">: </w:t>
      </w:r>
    </w:p>
    <w:p w:rsidR="00F67B6B" w:rsidRPr="007C544A" w:rsidRDefault="00474BB4" w:rsidP="00EB3B87">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جدول </w:t>
      </w:r>
      <w:r w:rsidR="00D7278E" w:rsidRPr="007C544A">
        <w:rPr>
          <w:rFonts w:ascii="Traditional Arabic" w:eastAsiaTheme="minorHAnsi" w:hAnsi="Traditional Arabic" w:cs="Traditional Arabic"/>
          <w:rtl/>
        </w:rPr>
        <w:t>(</w:t>
      </w:r>
      <w:r w:rsidR="00F5627F" w:rsidRPr="007C544A">
        <w:rPr>
          <w:rFonts w:ascii="Traditional Arabic" w:eastAsiaTheme="minorHAnsi" w:hAnsi="Traditional Arabic" w:cs="Traditional Arabic"/>
          <w:rtl/>
        </w:rPr>
        <w:t>2-3)</w:t>
      </w:r>
    </w:p>
    <w:p w:rsidR="00EB3B87" w:rsidRPr="007C544A" w:rsidRDefault="00EB3B87" w:rsidP="00EB3B87">
      <w:pPr>
        <w:pStyle w:val="Heading3"/>
        <w:bidi/>
        <w:jc w:val="center"/>
        <w:rPr>
          <w:rFonts w:ascii="Traditional Arabic" w:eastAsiaTheme="minorHAnsi" w:hAnsi="Traditional Arabic" w:cs="Traditional Arabic"/>
          <w:color w:val="auto"/>
          <w:lang w:bidi="ar-SA"/>
        </w:rPr>
      </w:pPr>
      <w:r w:rsidRPr="007C544A">
        <w:rPr>
          <w:rFonts w:ascii="Traditional Arabic" w:eastAsiaTheme="minorHAnsi" w:hAnsi="Traditional Arabic" w:cs="Traditional Arabic"/>
          <w:color w:val="auto"/>
          <w:rtl/>
          <w:lang w:bidi="ar-SA"/>
        </w:rPr>
        <w:t>تطور</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عدد</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شركات</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السوق</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الموازية</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نمو</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حسب</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القطاع</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خلال</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الفترة</w:t>
      </w:r>
      <w:r w:rsidRPr="007C544A">
        <w:rPr>
          <w:rFonts w:ascii="Traditional Arabic" w:eastAsiaTheme="minorHAnsi" w:hAnsi="Traditional Arabic" w:cs="Traditional Arabic"/>
          <w:color w:val="auto"/>
          <w:rtl/>
        </w:rPr>
        <w:t xml:space="preserve"> 2017–2025</w:t>
      </w:r>
    </w:p>
    <w:tbl>
      <w:tblPr>
        <w:bidiVisual/>
        <w:tblW w:w="5250"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65"/>
        <w:gridCol w:w="878"/>
        <w:gridCol w:w="878"/>
        <w:gridCol w:w="878"/>
        <w:gridCol w:w="878"/>
        <w:gridCol w:w="878"/>
        <w:gridCol w:w="878"/>
        <w:gridCol w:w="878"/>
      </w:tblGrid>
      <w:tr w:rsidR="00F5627F" w:rsidRPr="007C544A" w:rsidTr="005A3A98">
        <w:trPr>
          <w:trHeight w:val="132"/>
          <w:tblHeader/>
          <w:jc w:val="center"/>
        </w:trPr>
        <w:tc>
          <w:tcPr>
            <w:tcW w:w="8627" w:type="dxa"/>
            <w:gridSpan w:val="8"/>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5A3A98">
            <w:pPr>
              <w:bidi/>
              <w:spacing w:after="0" w:line="24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تطور عدد شركات كل قطاع</w:t>
            </w:r>
          </w:p>
        </w:tc>
      </w:tr>
      <w:tr w:rsidR="00F5627F" w:rsidRPr="007C544A" w:rsidTr="007D07F9">
        <w:trPr>
          <w:trHeight w:val="20"/>
          <w:tblHeader/>
          <w:jc w:val="center"/>
        </w:trPr>
        <w:tc>
          <w:tcPr>
            <w:tcW w:w="253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القطاع</w:t>
            </w:r>
          </w:p>
        </w:tc>
        <w:tc>
          <w:tcPr>
            <w:tcW w:w="86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2017</w:t>
            </w:r>
          </w:p>
        </w:tc>
        <w:tc>
          <w:tcPr>
            <w:tcW w:w="86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5A3A98">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2018</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5A3A98">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2019</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2020</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2021</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2022</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2023</w:t>
            </w:r>
          </w:p>
        </w:tc>
      </w:tr>
      <w:tr w:rsidR="00F5627F" w:rsidRPr="007C544A" w:rsidTr="007D07F9">
        <w:trPr>
          <w:trHeight w:val="20"/>
          <w:jc w:val="center"/>
        </w:trPr>
        <w:tc>
          <w:tcPr>
            <w:tcW w:w="2539"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المواد الأساسية</w:t>
            </w:r>
          </w:p>
        </w:tc>
        <w:tc>
          <w:tcPr>
            <w:tcW w:w="869"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5</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9</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15</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السلع الرأسمالية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8</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12</w:t>
            </w:r>
          </w:p>
        </w:tc>
      </w:tr>
      <w:tr w:rsidR="00F5627F" w:rsidRPr="007C544A" w:rsidTr="00F67B6B">
        <w:trPr>
          <w:trHeight w:val="435"/>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الخدمات التجارية والمهنية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السلع طويلة </w:t>
            </w:r>
            <w:r w:rsidR="006D0FCD" w:rsidRPr="007C544A">
              <w:rPr>
                <w:rFonts w:ascii="Traditional Arabic" w:hAnsi="Traditional Arabic" w:cs="Traditional Arabic"/>
                <w:sz w:val="24"/>
                <w:szCs w:val="24"/>
                <w:rtl/>
              </w:rPr>
              <w:t>الأجل</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النقل</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3</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الخدمات الاستهلاكية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6</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تجزئة السلع الكمالية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تجزئة السلع الاستهلاكية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إنتاج الأغذية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7</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المنتجات المنزلية الشخصية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الرعاية الصحية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5</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8</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الخدمات المالية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التطبيقات وخدمات التقنية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5</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8</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الأجهزة والمعدات التقنية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المرافق العامة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r>
      <w:tr w:rsidR="00F5627F" w:rsidRPr="007C544A"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الصناديق العقارية المتداولة</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r>
      <w:tr w:rsidR="00F5627F" w:rsidRPr="007C544A" w:rsidTr="005A3A98">
        <w:trPr>
          <w:trHeight w:val="395"/>
          <w:jc w:val="center"/>
        </w:trPr>
        <w:tc>
          <w:tcPr>
            <w:tcW w:w="2539" w:type="dxa"/>
            <w:tcBorders>
              <w:bottom w:val="threeDEngrave"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D6178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إدارة</w:t>
            </w:r>
            <w:r w:rsidR="00F5627F" w:rsidRPr="007C544A">
              <w:rPr>
                <w:rFonts w:ascii="Traditional Arabic" w:hAnsi="Traditional Arabic" w:cs="Traditional Arabic"/>
                <w:sz w:val="24"/>
                <w:szCs w:val="24"/>
                <w:rtl/>
              </w:rPr>
              <w:t xml:space="preserve"> وتطوير العقارات</w:t>
            </w:r>
          </w:p>
        </w:tc>
        <w:tc>
          <w:tcPr>
            <w:tcW w:w="869"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3</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r>
      <w:tr w:rsidR="00F5627F" w:rsidRPr="007C544A" w:rsidTr="005A3A98">
        <w:trPr>
          <w:trHeight w:val="285"/>
          <w:jc w:val="center"/>
        </w:trPr>
        <w:tc>
          <w:tcPr>
            <w:tcW w:w="2539"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الإجمالي</w:t>
            </w:r>
          </w:p>
        </w:tc>
        <w:tc>
          <w:tcPr>
            <w:tcW w:w="869"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9</w:t>
            </w:r>
          </w:p>
        </w:tc>
        <w:tc>
          <w:tcPr>
            <w:tcW w:w="869"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10</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5</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4</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14</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46</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79</w:t>
            </w:r>
          </w:p>
        </w:tc>
      </w:tr>
    </w:tbl>
    <w:p w:rsidR="00F5627F" w:rsidRPr="007C544A" w:rsidRDefault="00F5627F"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تقرير موقع</w:t>
      </w:r>
      <w:r w:rsidRPr="007C544A">
        <w:rPr>
          <w:rFonts w:ascii="Traditional Arabic" w:eastAsiaTheme="minorHAnsi" w:hAnsi="Traditional Arabic" w:cs="Traditional Arabic"/>
          <w:shd w:val="clear" w:color="auto" w:fill="FFFFFF"/>
        </w:rPr>
        <w:t xml:space="preserve"> Argaam</w:t>
      </w:r>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 xml:space="preserve">2024) </w:t>
      </w:r>
      <w:r w:rsidRPr="007C544A">
        <w:rPr>
          <w:rFonts w:ascii="Traditional Arabic" w:eastAsiaTheme="minorHAnsi" w:hAnsi="Traditional Arabic" w:cs="Traditional Arabic"/>
          <w:shd w:val="clear" w:color="auto" w:fill="FFFFFF"/>
          <w:rtl/>
        </w:rPr>
        <w:t>استنادًا</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بيانات</w:t>
      </w:r>
      <w:r w:rsidRPr="007C544A">
        <w:rPr>
          <w:rFonts w:ascii="Traditional Arabic" w:eastAsiaTheme="minorHAnsi" w:hAnsi="Traditional Arabic" w:cs="Traditional Arabic"/>
          <w:shd w:val="clear" w:color="auto" w:fill="FFFFFF"/>
        </w:rPr>
        <w:t xml:space="preserve"> Saudi Exchange/</w:t>
      </w:r>
      <w:r w:rsidRPr="007C544A">
        <w:rPr>
          <w:rFonts w:ascii="Traditional Arabic" w:eastAsiaTheme="minorHAnsi" w:hAnsi="Traditional Arabic" w:cs="Traditional Arabic"/>
          <w:shd w:val="clear" w:color="auto" w:fill="FFFFFF"/>
          <w:rtl/>
        </w:rPr>
        <w:t>هيئة السوق المالية السعودية</w:t>
      </w:r>
    </w:p>
    <w:p w:rsidR="00922B00" w:rsidRPr="007C544A" w:rsidRDefault="00F5627F" w:rsidP="00F553CE">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eastAsia="Times New Roman" w:hAnsi="Traditional Arabic" w:cs="Traditional Arabic"/>
          <w:sz w:val="24"/>
          <w:szCs w:val="24"/>
          <w:rtl/>
        </w:rPr>
        <w:t>تخارج القطاع من السوق لانتقال شركة القطاع "ثوب الأصيل"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السوق الرئيسية "تاسي</w:t>
      </w:r>
      <w:r w:rsidR="006D0FCD" w:rsidRPr="007C544A">
        <w:rPr>
          <w:rFonts w:ascii="Traditional Arabic" w:eastAsia="Times New Roman" w:hAnsi="Traditional Arabic" w:cs="Traditional Arabic"/>
          <w:sz w:val="24"/>
          <w:szCs w:val="24"/>
          <w:rtl/>
        </w:rPr>
        <w:t>"</w:t>
      </w:r>
      <w:r w:rsidR="00D7278E" w:rsidRPr="007C544A">
        <w:rPr>
          <w:rFonts w:ascii="Traditional Arabic" w:eastAsia="Times New Roman" w:hAnsi="Traditional Arabic" w:cs="Traditional Arabic"/>
          <w:sz w:val="24"/>
          <w:szCs w:val="24"/>
          <w:rtl/>
        </w:rPr>
        <w:t xml:space="preserve"> </w:t>
      </w:r>
      <w:r w:rsidRPr="007C544A">
        <w:rPr>
          <w:rFonts w:ascii="Traditional Arabic" w:hAnsi="Traditional Arabic" w:cs="Traditional Arabic"/>
          <w:sz w:val="24"/>
          <w:szCs w:val="24"/>
          <w:rtl/>
        </w:rPr>
        <w:t>وحسب آلية الانتقال من سوق "نمو"</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السوق الرئيسية في قواعد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المعدلة الصادرة من هيئة السوق</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فقد تم انتقال 11 شركة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"تاسي"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كان أولها شركة </w:t>
      </w:r>
      <w:hyperlink r:id="rId16" w:tgtFrame="_blank" w:history="1">
        <w:r w:rsidRPr="007C544A">
          <w:rPr>
            <w:rFonts w:ascii="Traditional Arabic" w:hAnsi="Traditional Arabic" w:cs="Traditional Arabic"/>
            <w:sz w:val="24"/>
            <w:szCs w:val="24"/>
            <w:rtl/>
          </w:rPr>
          <w:t>"الكثيري"</w:t>
        </w:r>
      </w:hyperlink>
      <w:r w:rsidRPr="007C544A">
        <w:rPr>
          <w:rFonts w:ascii="Traditional Arabic" w:hAnsi="Traditional Arabic" w:cs="Traditional Arabic"/>
          <w:sz w:val="24"/>
          <w:szCs w:val="24"/>
          <w:rtl/>
        </w:rPr>
        <w:t> في شهر أكتوبر 2019</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وآخرها شركة </w:t>
      </w:r>
      <w:hyperlink r:id="rId17" w:tgtFrame="_blank" w:history="1">
        <w:r w:rsidRPr="007C544A">
          <w:rPr>
            <w:rFonts w:ascii="Traditional Arabic" w:hAnsi="Traditional Arabic" w:cs="Traditional Arabic"/>
            <w:sz w:val="24"/>
            <w:szCs w:val="24"/>
            <w:rtl/>
          </w:rPr>
          <w:t>"أسمنت الرياض"</w:t>
        </w:r>
      </w:hyperlink>
      <w:r w:rsidR="00F553CE" w:rsidRPr="007C544A">
        <w:rPr>
          <w:rFonts w:ascii="Traditional Arabic" w:hAnsi="Traditional Arabic" w:cs="Traditional Arabic"/>
          <w:sz w:val="24"/>
          <w:szCs w:val="24"/>
          <w:rtl/>
        </w:rPr>
        <w:t> في شهر ديسمبر 2023.</w:t>
      </w:r>
    </w:p>
    <w:p w:rsidR="00707074" w:rsidRPr="007C544A" w:rsidRDefault="00707074" w:rsidP="00707074">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ويلاحظ من بيانات الجدول تطور عدد الشركات المدرجة في السوق الموازية «نمو» خلال الفترة من 2017 إلى 2023، حيث ارتفع إجمالي عدد الشركات من (9) شركات عام 2017 إلى (79) شركة عام 2023، بما يعكس التوسع التدريجي في السوق وتزايد عدد الشركات المدرجة بها. واستمر هذا التوسع خلال السنوات اللاحقة، حيث بلغ عدد الشركات المدرجة في السوق الموازية «نمو</w:t>
      </w:r>
      <w:r w:rsidRPr="007C544A">
        <w:rPr>
          <w:rFonts w:ascii="Traditional Arabic" w:hAnsi="Traditional Arabic" w:cs="Traditional Arabic"/>
          <w:sz w:val="24"/>
          <w:szCs w:val="24"/>
        </w:rPr>
        <w:t xml:space="preserve">» </w:t>
      </w:r>
      <w:r w:rsidRPr="007C544A">
        <w:rPr>
          <w:rFonts w:ascii="Traditional Arabic" w:hAnsi="Traditional Arabic" w:cs="Traditional Arabic"/>
          <w:b/>
          <w:bCs/>
          <w:sz w:val="24"/>
          <w:szCs w:val="24"/>
        </w:rPr>
        <w:t xml:space="preserve">106 </w:t>
      </w:r>
      <w:r w:rsidRPr="007C544A">
        <w:rPr>
          <w:rFonts w:ascii="Traditional Arabic" w:hAnsi="Traditional Arabic" w:cs="Traditional Arabic"/>
          <w:b/>
          <w:bCs/>
          <w:sz w:val="24"/>
          <w:szCs w:val="24"/>
          <w:rtl/>
        </w:rPr>
        <w:t>شركات بنهاية عام 2024</w:t>
      </w:r>
      <w:r w:rsidRPr="007C544A">
        <w:rPr>
          <w:rFonts w:ascii="Traditional Arabic" w:hAnsi="Traditional Arabic" w:cs="Traditional Arabic"/>
          <w:sz w:val="24"/>
          <w:szCs w:val="24"/>
          <w:rtl/>
        </w:rPr>
        <w:t>، وفقًا للإحصاءات المنشورة من شركة تداول السعودية، وهو ما يؤكد استمرار نمو السوق وتزايد أهميته كمنصة لإدراج الشركات وتوفير بدائل للتمويل والتوسع</w:t>
      </w:r>
      <w:r w:rsidRPr="007C544A">
        <w:rPr>
          <w:rFonts w:ascii="Traditional Arabic" w:hAnsi="Traditional Arabic" w:cs="Traditional Arabic"/>
          <w:sz w:val="24"/>
          <w:szCs w:val="24"/>
        </w:rPr>
        <w:t>.</w:t>
      </w:r>
      <w:r w:rsidRPr="007C544A">
        <w:rPr>
          <w:rFonts w:ascii="Traditional Arabic" w:hAnsi="Traditional Arabic" w:cs="Traditional Arabic" w:hint="cs"/>
          <w:sz w:val="24"/>
          <w:szCs w:val="24"/>
          <w:rtl/>
        </w:rPr>
        <w:t>(تداول السعودية، 2025)</w:t>
      </w:r>
    </w:p>
    <w:p w:rsidR="00F67B6B" w:rsidRPr="007C544A" w:rsidRDefault="00474BB4" w:rsidP="005B0BB1">
      <w:pPr>
        <w:pStyle w:val="NormalWeb"/>
        <w:shd w:val="clear" w:color="auto" w:fill="FFFFFF" w:themeFill="background1"/>
        <w:bidi/>
        <w:spacing w:before="0" w:beforeAutospacing="0" w:after="0" w:afterAutospacing="0" w:line="480" w:lineRule="exact"/>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F5627F" w:rsidRPr="007C544A">
        <w:rPr>
          <w:rFonts w:ascii="Traditional Arabic" w:eastAsiaTheme="minorHAnsi" w:hAnsi="Traditional Arabic" w:cs="Traditional Arabic"/>
          <w:b/>
          <w:bCs/>
          <w:rtl/>
        </w:rPr>
        <w:t>2-4)</w:t>
      </w:r>
    </w:p>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eastAsiaTheme="minorHAnsi" w:cs="Simplified Arabic"/>
          <w:b/>
          <w:bCs/>
          <w:sz w:val="26"/>
          <w:szCs w:val="26"/>
          <w:rtl/>
        </w:rPr>
      </w:pPr>
      <w:r w:rsidRPr="007C544A">
        <w:rPr>
          <w:rFonts w:ascii="Traditional Arabic" w:eastAsiaTheme="minorHAnsi" w:hAnsi="Traditional Arabic" w:cs="Traditional Arabic"/>
          <w:b/>
          <w:bCs/>
          <w:rtl/>
        </w:rPr>
        <w:t>تفاصيل انتقال الشركات من السوق الموازية</w:t>
      </w:r>
      <w:r w:rsidR="000544F4" w:rsidRPr="007C544A">
        <w:rPr>
          <w:rFonts w:ascii="Traditional Arabic" w:eastAsiaTheme="minorHAnsi" w:hAnsi="Traditional Arabic" w:cs="Traditional Arabic"/>
          <w:b/>
          <w:bCs/>
          <w:rtl/>
        </w:rPr>
        <w:t xml:space="preserve"> إلى </w:t>
      </w:r>
      <w:r w:rsidRPr="007C544A">
        <w:rPr>
          <w:rFonts w:ascii="Traditional Arabic" w:eastAsiaTheme="minorHAnsi" w:hAnsi="Traditional Arabic" w:cs="Traditional Arabic"/>
          <w:b/>
          <w:bCs/>
          <w:rtl/>
        </w:rPr>
        <w:t>السوق الرئيسية</w:t>
      </w:r>
    </w:p>
    <w:tbl>
      <w:tblPr>
        <w:bidiVisual/>
        <w:tblW w:w="5585" w:type="pct"/>
        <w:tblInd w:w="-520" w:type="dxa"/>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57"/>
        <w:gridCol w:w="1980"/>
        <w:gridCol w:w="2070"/>
        <w:gridCol w:w="2100"/>
        <w:gridCol w:w="1860"/>
      </w:tblGrid>
      <w:tr w:rsidR="00F5627F" w:rsidRPr="007C544A" w:rsidTr="00544FD1">
        <w:trPr>
          <w:trHeight w:val="267"/>
          <w:tblHeader/>
        </w:trPr>
        <w:tc>
          <w:tcPr>
            <w:tcW w:w="9267" w:type="dxa"/>
            <w:gridSpan w:val="5"/>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تفاصيل انتقال الشركات من السوق الموازية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السوق الرئيسية</w:t>
            </w:r>
          </w:p>
        </w:tc>
      </w:tr>
      <w:tr w:rsidR="00F5627F" w:rsidRPr="007C544A" w:rsidTr="00544FD1">
        <w:trPr>
          <w:trHeight w:val="435"/>
          <w:tblHeader/>
        </w:trPr>
        <w:tc>
          <w:tcPr>
            <w:tcW w:w="1257"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الشركة</w:t>
            </w:r>
          </w:p>
        </w:tc>
        <w:tc>
          <w:tcPr>
            <w:tcW w:w="198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موافقة مجلس ال</w:t>
            </w:r>
            <w:r w:rsidR="00D6178F" w:rsidRPr="007C544A">
              <w:rPr>
                <w:rFonts w:ascii="Traditional Arabic" w:hAnsi="Traditional Arabic" w:cs="Traditional Arabic"/>
                <w:sz w:val="24"/>
                <w:szCs w:val="24"/>
                <w:rtl/>
              </w:rPr>
              <w:t>إدارة</w:t>
            </w:r>
          </w:p>
        </w:tc>
        <w:tc>
          <w:tcPr>
            <w:tcW w:w="20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التقدم بطلب الانتقال</w:t>
            </w:r>
          </w:p>
        </w:tc>
        <w:tc>
          <w:tcPr>
            <w:tcW w:w="210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موافقة تداول على الانتقال</w:t>
            </w:r>
          </w:p>
        </w:tc>
        <w:tc>
          <w:tcPr>
            <w:tcW w:w="186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0544F4"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إدراج</w:t>
            </w:r>
            <w:r w:rsidR="00F5627F" w:rsidRPr="007C544A">
              <w:rPr>
                <w:rFonts w:ascii="Traditional Arabic" w:hAnsi="Traditional Arabic" w:cs="Traditional Arabic"/>
                <w:sz w:val="24"/>
                <w:szCs w:val="24"/>
                <w:rtl/>
              </w:rPr>
              <w:t xml:space="preserve"> أسهم الشركة في السوق الرئيسية</w:t>
            </w:r>
          </w:p>
        </w:tc>
      </w:tr>
      <w:tr w:rsidR="00F5627F" w:rsidRPr="007C544A" w:rsidTr="00544FD1">
        <w:trPr>
          <w:trHeight w:val="435"/>
        </w:trPr>
        <w:tc>
          <w:tcPr>
            <w:tcW w:w="1257"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الكثيري</w:t>
            </w:r>
          </w:p>
        </w:tc>
        <w:tc>
          <w:tcPr>
            <w:tcW w:w="1980"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9 أكتوبر 2019</w:t>
            </w:r>
          </w:p>
        </w:tc>
        <w:tc>
          <w:tcPr>
            <w:tcW w:w="2070"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أكتوبر 2019</w:t>
            </w:r>
          </w:p>
        </w:tc>
        <w:tc>
          <w:tcPr>
            <w:tcW w:w="2100"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28 أكتوبر 2019</w:t>
            </w:r>
          </w:p>
        </w:tc>
        <w:tc>
          <w:tcPr>
            <w:tcW w:w="1860" w:type="dxa"/>
            <w:tcBorders>
              <w:top w:val="threeDEmboss" w:sz="24" w:space="0" w:color="auto"/>
            </w:tcBorders>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3 نوفمبر 2019</w:t>
            </w:r>
          </w:p>
        </w:tc>
      </w:tr>
      <w:tr w:rsidR="00F5627F" w:rsidRPr="007C544A"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ثوب الأصيل</w:t>
            </w:r>
          </w:p>
        </w:tc>
        <w:tc>
          <w:tcPr>
            <w:tcW w:w="198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6 أكتوبر 2019</w:t>
            </w:r>
          </w:p>
        </w:tc>
        <w:tc>
          <w:tcPr>
            <w:tcW w:w="207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16 أكتوبر 2019</w:t>
            </w:r>
          </w:p>
        </w:tc>
        <w:tc>
          <w:tcPr>
            <w:tcW w:w="210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نوفمبر 2019</w:t>
            </w:r>
          </w:p>
        </w:tc>
        <w:tc>
          <w:tcPr>
            <w:tcW w:w="186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10 نوفمبر 2019</w:t>
            </w:r>
          </w:p>
        </w:tc>
      </w:tr>
      <w:tr w:rsidR="00F5627F" w:rsidRPr="007C544A"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أبو</w:t>
            </w:r>
            <w:r w:rsidR="006D0FCD"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معطي</w:t>
            </w:r>
          </w:p>
        </w:tc>
        <w:tc>
          <w:tcPr>
            <w:tcW w:w="198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6 أكتوبر 2019</w:t>
            </w:r>
          </w:p>
        </w:tc>
        <w:tc>
          <w:tcPr>
            <w:tcW w:w="207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16 أكتوبر 2019</w:t>
            </w:r>
          </w:p>
        </w:tc>
        <w:tc>
          <w:tcPr>
            <w:tcW w:w="210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نوفمبر 2019</w:t>
            </w:r>
          </w:p>
        </w:tc>
        <w:tc>
          <w:tcPr>
            <w:tcW w:w="186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11 نوفمبر 2019</w:t>
            </w:r>
          </w:p>
        </w:tc>
      </w:tr>
      <w:tr w:rsidR="00F5627F" w:rsidRPr="007C544A"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lastRenderedPageBreak/>
              <w:t>ريدان</w:t>
            </w:r>
          </w:p>
        </w:tc>
        <w:tc>
          <w:tcPr>
            <w:tcW w:w="198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8 أكتوبر 2019</w:t>
            </w:r>
          </w:p>
        </w:tc>
        <w:tc>
          <w:tcPr>
            <w:tcW w:w="207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29 أكتوبر 2019</w:t>
            </w:r>
          </w:p>
        </w:tc>
        <w:tc>
          <w:tcPr>
            <w:tcW w:w="210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17 نوفمبر 2019</w:t>
            </w:r>
          </w:p>
        </w:tc>
        <w:tc>
          <w:tcPr>
            <w:tcW w:w="186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21 نوفمبر 2019</w:t>
            </w:r>
          </w:p>
        </w:tc>
      </w:tr>
      <w:tr w:rsidR="00F5627F" w:rsidRPr="007C544A"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باعظيم</w:t>
            </w:r>
          </w:p>
        </w:tc>
        <w:tc>
          <w:tcPr>
            <w:tcW w:w="198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7 أكتوبر 2019</w:t>
            </w:r>
          </w:p>
        </w:tc>
        <w:tc>
          <w:tcPr>
            <w:tcW w:w="207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14 نوفمبر 2019</w:t>
            </w:r>
          </w:p>
        </w:tc>
        <w:tc>
          <w:tcPr>
            <w:tcW w:w="210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28 نوفمبر 2019</w:t>
            </w:r>
          </w:p>
        </w:tc>
        <w:tc>
          <w:tcPr>
            <w:tcW w:w="186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ديسمبر 2019</w:t>
            </w:r>
          </w:p>
        </w:tc>
      </w:tr>
      <w:tr w:rsidR="00F5627F" w:rsidRPr="007C544A"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بحر العرب</w:t>
            </w:r>
          </w:p>
        </w:tc>
        <w:tc>
          <w:tcPr>
            <w:tcW w:w="198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9 أكتوبر 2019</w:t>
            </w:r>
          </w:p>
        </w:tc>
        <w:tc>
          <w:tcPr>
            <w:tcW w:w="207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17 مارس 2020</w:t>
            </w:r>
          </w:p>
        </w:tc>
        <w:tc>
          <w:tcPr>
            <w:tcW w:w="210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12 أبريل 2020</w:t>
            </w:r>
          </w:p>
        </w:tc>
        <w:tc>
          <w:tcPr>
            <w:tcW w:w="186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أبريل 2020</w:t>
            </w:r>
          </w:p>
        </w:tc>
      </w:tr>
      <w:tr w:rsidR="00F5627F" w:rsidRPr="007C544A"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العمران</w:t>
            </w:r>
          </w:p>
        </w:tc>
        <w:tc>
          <w:tcPr>
            <w:tcW w:w="198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16 فبراير 2020</w:t>
            </w:r>
          </w:p>
        </w:tc>
        <w:tc>
          <w:tcPr>
            <w:tcW w:w="207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يونيو 2020</w:t>
            </w:r>
          </w:p>
        </w:tc>
        <w:tc>
          <w:tcPr>
            <w:tcW w:w="210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يوليو 2020</w:t>
            </w:r>
          </w:p>
        </w:tc>
        <w:tc>
          <w:tcPr>
            <w:tcW w:w="186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21 يوليو 2020</w:t>
            </w:r>
          </w:p>
        </w:tc>
      </w:tr>
      <w:tr w:rsidR="00F5627F" w:rsidRPr="007C544A"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صدر</w:t>
            </w:r>
          </w:p>
        </w:tc>
        <w:tc>
          <w:tcPr>
            <w:tcW w:w="198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27 سبتمبر 2020</w:t>
            </w:r>
          </w:p>
        </w:tc>
        <w:tc>
          <w:tcPr>
            <w:tcW w:w="207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 نوفمبر 2020</w:t>
            </w:r>
          </w:p>
        </w:tc>
        <w:tc>
          <w:tcPr>
            <w:tcW w:w="210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3 ديسمبر 2020</w:t>
            </w:r>
          </w:p>
        </w:tc>
        <w:tc>
          <w:tcPr>
            <w:tcW w:w="186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10 ديسمبر2020</w:t>
            </w:r>
          </w:p>
        </w:tc>
      </w:tr>
      <w:tr w:rsidR="00F5627F" w:rsidRPr="007C544A"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التطويرية الغذائية</w:t>
            </w:r>
          </w:p>
        </w:tc>
        <w:tc>
          <w:tcPr>
            <w:tcW w:w="198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12 سبتمبر 2021</w:t>
            </w:r>
          </w:p>
        </w:tc>
        <w:tc>
          <w:tcPr>
            <w:tcW w:w="207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نوفمبر 2021</w:t>
            </w:r>
          </w:p>
        </w:tc>
        <w:tc>
          <w:tcPr>
            <w:tcW w:w="210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17 نوفمبر 2021</w:t>
            </w:r>
          </w:p>
        </w:tc>
        <w:tc>
          <w:tcPr>
            <w:tcW w:w="186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23 نوفمبر 2021</w:t>
            </w:r>
          </w:p>
        </w:tc>
      </w:tr>
      <w:tr w:rsidR="00F5627F" w:rsidRPr="007C544A"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سمو</w:t>
            </w:r>
          </w:p>
        </w:tc>
        <w:tc>
          <w:tcPr>
            <w:tcW w:w="198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مايو 2022</w:t>
            </w:r>
          </w:p>
        </w:tc>
        <w:tc>
          <w:tcPr>
            <w:tcW w:w="207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24 مايو 2023</w:t>
            </w:r>
          </w:p>
        </w:tc>
        <w:tc>
          <w:tcPr>
            <w:tcW w:w="210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20 أغسطس2023</w:t>
            </w:r>
          </w:p>
        </w:tc>
        <w:tc>
          <w:tcPr>
            <w:tcW w:w="186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7 سبتمبر 2023</w:t>
            </w:r>
          </w:p>
        </w:tc>
      </w:tr>
      <w:tr w:rsidR="00F5627F" w:rsidRPr="007C544A"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أسمنت الرياض</w:t>
            </w:r>
          </w:p>
        </w:tc>
        <w:tc>
          <w:tcPr>
            <w:tcW w:w="198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29 يونيو 2022</w:t>
            </w:r>
          </w:p>
        </w:tc>
        <w:tc>
          <w:tcPr>
            <w:tcW w:w="207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18 يونيو 2023</w:t>
            </w:r>
          </w:p>
        </w:tc>
        <w:tc>
          <w:tcPr>
            <w:tcW w:w="210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14 نوفمبر 2023</w:t>
            </w:r>
          </w:p>
        </w:tc>
        <w:tc>
          <w:tcPr>
            <w:tcW w:w="1860" w:type="dxa"/>
            <w:shd w:val="clear" w:color="auto" w:fill="FFFFFF"/>
            <w:tcMar>
              <w:top w:w="0" w:type="dxa"/>
              <w:left w:w="108" w:type="dxa"/>
              <w:bottom w:w="0" w:type="dxa"/>
              <w:right w:w="108" w:type="dxa"/>
            </w:tcMar>
            <w:vAlign w:val="center"/>
            <w:hideMark/>
          </w:tcPr>
          <w:p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5 ديسمبر 2023</w:t>
            </w:r>
          </w:p>
        </w:tc>
      </w:tr>
      <w:tr w:rsidR="0031027B" w:rsidRPr="007C544A" w:rsidTr="007C5457">
        <w:trPr>
          <w:trHeight w:val="435"/>
        </w:trPr>
        <w:tc>
          <w:tcPr>
            <w:tcW w:w="1257" w:type="dxa"/>
            <w:shd w:val="clear" w:color="auto" w:fill="D9D9D9" w:themeFill="background1" w:themeFillShade="D9"/>
            <w:tcMar>
              <w:top w:w="0" w:type="dxa"/>
              <w:left w:w="108" w:type="dxa"/>
              <w:bottom w:w="0" w:type="dxa"/>
              <w:right w:w="108" w:type="dxa"/>
            </w:tcMar>
            <w:vAlign w:val="center"/>
          </w:tcPr>
          <w:p w:rsidR="0031027B" w:rsidRPr="007C544A" w:rsidRDefault="0031027B" w:rsidP="0031027B">
            <w:pPr>
              <w:bidi/>
              <w:spacing w:after="0" w:line="480" w:lineRule="exact"/>
              <w:jc w:val="center"/>
              <w:rPr>
                <w:rFonts w:ascii="Traditional Arabic" w:hAnsi="Traditional Arabic" w:cs="Traditional Arabic"/>
                <w:sz w:val="24"/>
                <w:szCs w:val="24"/>
                <w:rtl/>
              </w:rPr>
            </w:pPr>
          </w:p>
        </w:tc>
        <w:tc>
          <w:tcPr>
            <w:tcW w:w="198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07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13 </w:t>
            </w:r>
            <w:r w:rsidRPr="007C544A">
              <w:rPr>
                <w:rFonts w:ascii="Traditional Arabic" w:hAnsi="Traditional Arabic" w:cs="Traditional Arabic"/>
                <w:sz w:val="24"/>
                <w:szCs w:val="24"/>
                <w:rtl/>
              </w:rPr>
              <w:t>أكتوبر 2024</w:t>
            </w:r>
          </w:p>
        </w:tc>
        <w:tc>
          <w:tcPr>
            <w:tcW w:w="186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4 </w:t>
            </w:r>
            <w:r w:rsidRPr="007C544A">
              <w:rPr>
                <w:rFonts w:ascii="Traditional Arabic" w:hAnsi="Traditional Arabic" w:cs="Traditional Arabic"/>
                <w:sz w:val="24"/>
                <w:szCs w:val="24"/>
                <w:rtl/>
              </w:rPr>
              <w:t>نوفمبر 2024</w:t>
            </w:r>
          </w:p>
        </w:tc>
      </w:tr>
      <w:tr w:rsidR="0031027B" w:rsidRPr="007C544A" w:rsidTr="007C5457">
        <w:trPr>
          <w:trHeight w:val="435"/>
        </w:trPr>
        <w:tc>
          <w:tcPr>
            <w:tcW w:w="1257" w:type="dxa"/>
            <w:shd w:val="clear" w:color="auto" w:fill="D9D9D9" w:themeFill="background1" w:themeFillShade="D9"/>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شاتيرة هاوس للمطاعم</w:t>
            </w:r>
          </w:p>
        </w:tc>
        <w:tc>
          <w:tcPr>
            <w:tcW w:w="198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19 </w:t>
            </w:r>
            <w:r w:rsidRPr="007C544A">
              <w:rPr>
                <w:rFonts w:ascii="Traditional Arabic" w:hAnsi="Traditional Arabic" w:cs="Traditional Arabic"/>
                <w:sz w:val="24"/>
                <w:szCs w:val="24"/>
                <w:rtl/>
              </w:rPr>
              <w:t>مارس 2024</w:t>
            </w:r>
          </w:p>
        </w:tc>
        <w:tc>
          <w:tcPr>
            <w:tcW w:w="207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7 </w:t>
            </w:r>
            <w:r w:rsidRPr="007C544A">
              <w:rPr>
                <w:rFonts w:ascii="Traditional Arabic" w:hAnsi="Traditional Arabic" w:cs="Traditional Arabic"/>
                <w:sz w:val="24"/>
                <w:szCs w:val="24"/>
                <w:rtl/>
              </w:rPr>
              <w:t>يوليو 2024</w:t>
            </w:r>
          </w:p>
        </w:tc>
        <w:tc>
          <w:tcPr>
            <w:tcW w:w="210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18 </w:t>
            </w:r>
            <w:r w:rsidRPr="007C544A">
              <w:rPr>
                <w:rFonts w:ascii="Traditional Arabic" w:hAnsi="Traditional Arabic" w:cs="Traditional Arabic"/>
                <w:sz w:val="24"/>
                <w:szCs w:val="24"/>
                <w:rtl/>
              </w:rPr>
              <w:t>نوفمبر 2024</w:t>
            </w:r>
          </w:p>
        </w:tc>
        <w:tc>
          <w:tcPr>
            <w:tcW w:w="186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10 </w:t>
            </w:r>
            <w:r w:rsidRPr="007C544A">
              <w:rPr>
                <w:rFonts w:ascii="Traditional Arabic" w:hAnsi="Traditional Arabic" w:cs="Traditional Arabic"/>
                <w:sz w:val="24"/>
                <w:szCs w:val="24"/>
                <w:rtl/>
              </w:rPr>
              <w:t>ديسمبر 2024</w:t>
            </w:r>
          </w:p>
        </w:tc>
      </w:tr>
      <w:tr w:rsidR="0031027B" w:rsidRPr="007C544A" w:rsidTr="007C5457">
        <w:trPr>
          <w:trHeight w:val="435"/>
        </w:trPr>
        <w:tc>
          <w:tcPr>
            <w:tcW w:w="1257" w:type="dxa"/>
            <w:shd w:val="clear" w:color="auto" w:fill="D9D9D9" w:themeFill="background1" w:themeFillShade="D9"/>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جاهز الدولية</w:t>
            </w:r>
          </w:p>
        </w:tc>
        <w:tc>
          <w:tcPr>
            <w:tcW w:w="198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14 </w:t>
            </w:r>
            <w:r w:rsidRPr="007C544A">
              <w:rPr>
                <w:rFonts w:ascii="Traditional Arabic" w:hAnsi="Traditional Arabic" w:cs="Traditional Arabic"/>
                <w:sz w:val="24"/>
                <w:szCs w:val="24"/>
                <w:rtl/>
              </w:rPr>
              <w:t>ديسمبر 2023</w:t>
            </w:r>
          </w:p>
        </w:tc>
        <w:tc>
          <w:tcPr>
            <w:tcW w:w="207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12 </w:t>
            </w:r>
            <w:r w:rsidRPr="007C544A">
              <w:rPr>
                <w:rFonts w:ascii="Traditional Arabic" w:hAnsi="Traditional Arabic" w:cs="Traditional Arabic"/>
                <w:sz w:val="24"/>
                <w:szCs w:val="24"/>
                <w:rtl/>
              </w:rPr>
              <w:t>يونيو 2024</w:t>
            </w:r>
          </w:p>
        </w:tc>
        <w:tc>
          <w:tcPr>
            <w:tcW w:w="210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6 </w:t>
            </w:r>
            <w:r w:rsidRPr="007C544A">
              <w:rPr>
                <w:rFonts w:ascii="Traditional Arabic" w:hAnsi="Traditional Arabic" w:cs="Traditional Arabic"/>
                <w:sz w:val="24"/>
                <w:szCs w:val="24"/>
                <w:rtl/>
              </w:rPr>
              <w:t>يناير 2025</w:t>
            </w:r>
          </w:p>
        </w:tc>
        <w:tc>
          <w:tcPr>
            <w:tcW w:w="186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27 </w:t>
            </w:r>
            <w:r w:rsidRPr="007C544A">
              <w:rPr>
                <w:rFonts w:ascii="Traditional Arabic" w:hAnsi="Traditional Arabic" w:cs="Traditional Arabic"/>
                <w:sz w:val="24"/>
                <w:szCs w:val="24"/>
                <w:rtl/>
              </w:rPr>
              <w:t>يناير 2025</w:t>
            </w:r>
          </w:p>
        </w:tc>
      </w:tr>
      <w:tr w:rsidR="0031027B" w:rsidRPr="007C544A" w:rsidTr="007C5457">
        <w:trPr>
          <w:trHeight w:val="435"/>
        </w:trPr>
        <w:tc>
          <w:tcPr>
            <w:tcW w:w="1257" w:type="dxa"/>
            <w:shd w:val="clear" w:color="auto" w:fill="D9D9D9" w:themeFill="background1" w:themeFillShade="D9"/>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رؤوم التجارية</w:t>
            </w:r>
          </w:p>
        </w:tc>
        <w:tc>
          <w:tcPr>
            <w:tcW w:w="198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18 </w:t>
            </w:r>
            <w:r w:rsidRPr="007C544A">
              <w:rPr>
                <w:rFonts w:ascii="Traditional Arabic" w:hAnsi="Traditional Arabic" w:cs="Traditional Arabic"/>
                <w:sz w:val="24"/>
                <w:szCs w:val="24"/>
                <w:rtl/>
              </w:rPr>
              <w:t>أبريل 2024</w:t>
            </w:r>
          </w:p>
        </w:tc>
        <w:tc>
          <w:tcPr>
            <w:tcW w:w="207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29 </w:t>
            </w:r>
            <w:r w:rsidRPr="007C544A">
              <w:rPr>
                <w:rFonts w:ascii="Traditional Arabic" w:hAnsi="Traditional Arabic" w:cs="Traditional Arabic"/>
                <w:sz w:val="24"/>
                <w:szCs w:val="24"/>
                <w:rtl/>
              </w:rPr>
              <w:t>يونيو 2025</w:t>
            </w:r>
          </w:p>
        </w:tc>
        <w:tc>
          <w:tcPr>
            <w:tcW w:w="186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21 </w:t>
            </w:r>
            <w:r w:rsidRPr="007C544A">
              <w:rPr>
                <w:rFonts w:ascii="Traditional Arabic" w:hAnsi="Traditional Arabic" w:cs="Traditional Arabic"/>
                <w:sz w:val="24"/>
                <w:szCs w:val="24"/>
                <w:rtl/>
              </w:rPr>
              <w:t>يوليو 2025</w:t>
            </w:r>
          </w:p>
        </w:tc>
      </w:tr>
      <w:tr w:rsidR="0031027B" w:rsidRPr="007C544A" w:rsidTr="007C5457">
        <w:trPr>
          <w:trHeight w:val="435"/>
        </w:trPr>
        <w:tc>
          <w:tcPr>
            <w:tcW w:w="1257" w:type="dxa"/>
            <w:shd w:val="clear" w:color="auto" w:fill="D9D9D9" w:themeFill="background1" w:themeFillShade="D9"/>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عزم السعودية للاتصالات وتقنية المعلومات</w:t>
            </w:r>
          </w:p>
        </w:tc>
        <w:tc>
          <w:tcPr>
            <w:tcW w:w="198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07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29 </w:t>
            </w:r>
            <w:r w:rsidRPr="007C544A">
              <w:rPr>
                <w:rFonts w:ascii="Traditional Arabic" w:hAnsi="Traditional Arabic" w:cs="Traditional Arabic"/>
                <w:sz w:val="24"/>
                <w:szCs w:val="24"/>
                <w:rtl/>
              </w:rPr>
              <w:t>يونيو 2025</w:t>
            </w:r>
          </w:p>
        </w:tc>
        <w:tc>
          <w:tcPr>
            <w:tcW w:w="186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21 </w:t>
            </w:r>
            <w:r w:rsidRPr="007C544A">
              <w:rPr>
                <w:rFonts w:ascii="Traditional Arabic" w:hAnsi="Traditional Arabic" w:cs="Traditional Arabic"/>
                <w:sz w:val="24"/>
                <w:szCs w:val="24"/>
                <w:rtl/>
              </w:rPr>
              <w:t>يوليو 2025</w:t>
            </w:r>
          </w:p>
        </w:tc>
      </w:tr>
      <w:tr w:rsidR="0031027B" w:rsidRPr="007C544A" w:rsidTr="007C5457">
        <w:trPr>
          <w:trHeight w:val="435"/>
        </w:trPr>
        <w:tc>
          <w:tcPr>
            <w:tcW w:w="1257" w:type="dxa"/>
            <w:shd w:val="clear" w:color="auto" w:fill="D9D9D9" w:themeFill="background1" w:themeFillShade="D9"/>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أوبكايان للزجاج</w:t>
            </w:r>
          </w:p>
        </w:tc>
        <w:tc>
          <w:tcPr>
            <w:tcW w:w="198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 </w:t>
            </w:r>
            <w:r w:rsidRPr="007C544A">
              <w:rPr>
                <w:rFonts w:ascii="Traditional Arabic" w:hAnsi="Traditional Arabic" w:cs="Traditional Arabic"/>
                <w:sz w:val="24"/>
                <w:szCs w:val="24"/>
                <w:rtl/>
              </w:rPr>
              <w:t>يناير 2024</w:t>
            </w:r>
          </w:p>
        </w:tc>
        <w:tc>
          <w:tcPr>
            <w:tcW w:w="207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16 </w:t>
            </w:r>
            <w:r w:rsidRPr="007C544A">
              <w:rPr>
                <w:rFonts w:ascii="Traditional Arabic" w:hAnsi="Traditional Arabic" w:cs="Traditional Arabic"/>
                <w:sz w:val="24"/>
                <w:szCs w:val="24"/>
                <w:rtl/>
              </w:rPr>
              <w:t>سبتمبر 2025</w:t>
            </w:r>
          </w:p>
        </w:tc>
        <w:tc>
          <w:tcPr>
            <w:tcW w:w="186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9 </w:t>
            </w:r>
            <w:r w:rsidRPr="007C544A">
              <w:rPr>
                <w:rFonts w:ascii="Traditional Arabic" w:hAnsi="Traditional Arabic" w:cs="Traditional Arabic"/>
                <w:sz w:val="24"/>
                <w:szCs w:val="24"/>
                <w:rtl/>
              </w:rPr>
              <w:t>أكتوبر 2025</w:t>
            </w:r>
          </w:p>
        </w:tc>
      </w:tr>
      <w:tr w:rsidR="0031027B" w:rsidRPr="007C544A" w:rsidTr="007C5457">
        <w:trPr>
          <w:trHeight w:val="435"/>
        </w:trPr>
        <w:tc>
          <w:tcPr>
            <w:tcW w:w="1257" w:type="dxa"/>
            <w:shd w:val="clear" w:color="auto" w:fill="D9D9D9" w:themeFill="background1" w:themeFillShade="D9"/>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جاز العربية للخدمات</w:t>
            </w:r>
          </w:p>
        </w:tc>
        <w:tc>
          <w:tcPr>
            <w:tcW w:w="198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6 </w:t>
            </w:r>
            <w:r w:rsidRPr="007C544A">
              <w:rPr>
                <w:rFonts w:ascii="Traditional Arabic" w:hAnsi="Traditional Arabic" w:cs="Traditional Arabic"/>
                <w:sz w:val="24"/>
                <w:szCs w:val="24"/>
                <w:rtl/>
              </w:rPr>
              <w:t>يوليو 2023</w:t>
            </w:r>
          </w:p>
        </w:tc>
        <w:tc>
          <w:tcPr>
            <w:tcW w:w="207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 </w:t>
            </w:r>
            <w:r w:rsidRPr="007C544A">
              <w:rPr>
                <w:rFonts w:ascii="Traditional Arabic" w:hAnsi="Traditional Arabic" w:cs="Traditional Arabic"/>
                <w:sz w:val="24"/>
                <w:szCs w:val="24"/>
                <w:rtl/>
              </w:rPr>
              <w:t>أكتوبر 2025</w:t>
            </w:r>
          </w:p>
        </w:tc>
        <w:tc>
          <w:tcPr>
            <w:tcW w:w="186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22 </w:t>
            </w:r>
            <w:r w:rsidRPr="007C544A">
              <w:rPr>
                <w:rFonts w:ascii="Traditional Arabic" w:hAnsi="Traditional Arabic" w:cs="Traditional Arabic"/>
                <w:sz w:val="24"/>
                <w:szCs w:val="24"/>
                <w:rtl/>
              </w:rPr>
              <w:t>أكتوبر 2025</w:t>
            </w:r>
          </w:p>
        </w:tc>
      </w:tr>
      <w:tr w:rsidR="0031027B" w:rsidRPr="007C544A" w:rsidTr="007C5457">
        <w:trPr>
          <w:trHeight w:val="435"/>
        </w:trPr>
        <w:tc>
          <w:tcPr>
            <w:tcW w:w="1257" w:type="dxa"/>
            <w:shd w:val="clear" w:color="auto" w:fill="D9D9D9" w:themeFill="background1" w:themeFillShade="D9"/>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مجمع المركز الكندي الطبي العام</w:t>
            </w:r>
          </w:p>
        </w:tc>
        <w:tc>
          <w:tcPr>
            <w:tcW w:w="198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07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31 </w:t>
            </w:r>
            <w:r w:rsidRPr="007C544A">
              <w:rPr>
                <w:rFonts w:ascii="Traditional Arabic" w:hAnsi="Traditional Arabic" w:cs="Traditional Arabic"/>
                <w:sz w:val="24"/>
                <w:szCs w:val="24"/>
                <w:rtl/>
              </w:rPr>
              <w:t>ديسمبر 2025</w:t>
            </w:r>
          </w:p>
        </w:tc>
        <w:tc>
          <w:tcPr>
            <w:tcW w:w="186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21 </w:t>
            </w:r>
            <w:r w:rsidRPr="007C544A">
              <w:rPr>
                <w:rFonts w:ascii="Traditional Arabic" w:hAnsi="Traditional Arabic" w:cs="Traditional Arabic"/>
                <w:sz w:val="24"/>
                <w:szCs w:val="24"/>
                <w:rtl/>
              </w:rPr>
              <w:t>يناير 2026</w:t>
            </w:r>
          </w:p>
        </w:tc>
      </w:tr>
      <w:tr w:rsidR="0031027B" w:rsidRPr="007C544A" w:rsidTr="007C5457">
        <w:trPr>
          <w:trHeight w:val="435"/>
        </w:trPr>
        <w:tc>
          <w:tcPr>
            <w:tcW w:w="1257" w:type="dxa"/>
            <w:shd w:val="clear" w:color="auto" w:fill="D9D9D9" w:themeFill="background1" w:themeFillShade="D9"/>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الوسائل الصناعية</w:t>
            </w:r>
          </w:p>
        </w:tc>
        <w:tc>
          <w:tcPr>
            <w:tcW w:w="198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14 </w:t>
            </w:r>
            <w:r w:rsidRPr="007C544A">
              <w:rPr>
                <w:rFonts w:ascii="Traditional Arabic" w:hAnsi="Traditional Arabic" w:cs="Traditional Arabic"/>
                <w:sz w:val="24"/>
                <w:szCs w:val="24"/>
                <w:rtl/>
              </w:rPr>
              <w:t>يونيو 2025</w:t>
            </w:r>
          </w:p>
        </w:tc>
        <w:tc>
          <w:tcPr>
            <w:tcW w:w="207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9 </w:t>
            </w:r>
            <w:r w:rsidRPr="007C544A">
              <w:rPr>
                <w:rFonts w:ascii="Traditional Arabic" w:hAnsi="Traditional Arabic" w:cs="Traditional Arabic"/>
                <w:sz w:val="24"/>
                <w:szCs w:val="24"/>
                <w:rtl/>
              </w:rPr>
              <w:t>أغسطس 2026</w:t>
            </w:r>
          </w:p>
        </w:tc>
        <w:tc>
          <w:tcPr>
            <w:tcW w:w="186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30 </w:t>
            </w:r>
            <w:r w:rsidRPr="007C544A">
              <w:rPr>
                <w:rFonts w:ascii="Traditional Arabic" w:hAnsi="Traditional Arabic" w:cs="Traditional Arabic"/>
                <w:sz w:val="24"/>
                <w:szCs w:val="24"/>
                <w:rtl/>
              </w:rPr>
              <w:t>أغسطس 2026</w:t>
            </w:r>
          </w:p>
        </w:tc>
      </w:tr>
      <w:tr w:rsidR="0031027B" w:rsidRPr="007C544A" w:rsidTr="007C5457">
        <w:trPr>
          <w:trHeight w:val="435"/>
        </w:trPr>
        <w:tc>
          <w:tcPr>
            <w:tcW w:w="1257" w:type="dxa"/>
            <w:shd w:val="clear" w:color="auto" w:fill="D9D9D9" w:themeFill="background1" w:themeFillShade="D9"/>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أرماح الرياضية</w:t>
            </w:r>
          </w:p>
        </w:tc>
        <w:tc>
          <w:tcPr>
            <w:tcW w:w="198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23 </w:t>
            </w:r>
            <w:r w:rsidRPr="007C544A">
              <w:rPr>
                <w:rFonts w:ascii="Traditional Arabic" w:hAnsi="Traditional Arabic" w:cs="Traditional Arabic"/>
                <w:sz w:val="24"/>
                <w:szCs w:val="24"/>
                <w:rtl/>
              </w:rPr>
              <w:t>أكتوبر 2023</w:t>
            </w:r>
          </w:p>
        </w:tc>
        <w:tc>
          <w:tcPr>
            <w:tcW w:w="207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17 </w:t>
            </w:r>
            <w:r w:rsidRPr="007C544A">
              <w:rPr>
                <w:rFonts w:ascii="Traditional Arabic" w:hAnsi="Traditional Arabic" w:cs="Traditional Arabic"/>
                <w:sz w:val="24"/>
                <w:szCs w:val="24"/>
                <w:rtl/>
              </w:rPr>
              <w:t>يوليو 2026</w:t>
            </w:r>
          </w:p>
        </w:tc>
        <w:tc>
          <w:tcPr>
            <w:tcW w:w="210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9 </w:t>
            </w:r>
            <w:r w:rsidRPr="007C544A">
              <w:rPr>
                <w:rFonts w:ascii="Traditional Arabic" w:hAnsi="Traditional Arabic" w:cs="Traditional Arabic"/>
                <w:sz w:val="24"/>
                <w:szCs w:val="24"/>
                <w:rtl/>
              </w:rPr>
              <w:t>أغسطس 2026</w:t>
            </w:r>
          </w:p>
        </w:tc>
        <w:tc>
          <w:tcPr>
            <w:tcW w:w="1860" w:type="dxa"/>
            <w:shd w:val="clear" w:color="auto" w:fill="FFFFFF"/>
            <w:tcMar>
              <w:top w:w="0" w:type="dxa"/>
              <w:left w:w="108" w:type="dxa"/>
              <w:bottom w:w="0" w:type="dxa"/>
              <w:right w:w="108" w:type="dxa"/>
            </w:tcMar>
          </w:tcPr>
          <w:p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31 </w:t>
            </w:r>
            <w:r w:rsidRPr="007C544A">
              <w:rPr>
                <w:rFonts w:ascii="Traditional Arabic" w:hAnsi="Traditional Arabic" w:cs="Traditional Arabic"/>
                <w:sz w:val="24"/>
                <w:szCs w:val="24"/>
                <w:rtl/>
              </w:rPr>
              <w:t>أغسطس 2026</w:t>
            </w:r>
          </w:p>
        </w:tc>
      </w:tr>
    </w:tbl>
    <w:p w:rsidR="00F5627F" w:rsidRPr="007C544A" w:rsidRDefault="0031027B" w:rsidP="0031027B">
      <w:pPr>
        <w:bidi/>
        <w:rPr>
          <w:rFonts w:ascii="Traditional Arabic" w:hAnsi="Traditional Arabic" w:cs="Traditional Arabic"/>
          <w:sz w:val="24"/>
          <w:szCs w:val="24"/>
          <w:rtl/>
        </w:rPr>
      </w:pPr>
      <w:r w:rsidRPr="007C544A">
        <w:rPr>
          <w:rFonts w:hint="cs"/>
          <w:rtl/>
        </w:rPr>
        <w:t>المصدر:</w:t>
      </w:r>
      <w:r w:rsidR="00D7278E" w:rsidRPr="007C544A">
        <w:rPr>
          <w:rFonts w:cs="Simplified Arabic"/>
          <w:shd w:val="clear" w:color="auto" w:fill="FFFFFF"/>
          <w:rtl/>
        </w:rPr>
        <w:t xml:space="preserve"> </w:t>
      </w:r>
      <w:r w:rsidR="00F5627F" w:rsidRPr="007C544A">
        <w:rPr>
          <w:rFonts w:ascii="Traditional Arabic" w:hAnsi="Traditional Arabic" w:cs="Traditional Arabic"/>
          <w:shd w:val="clear" w:color="auto" w:fill="FFFFFF"/>
          <w:rtl/>
        </w:rPr>
        <w:t>المصدر</w:t>
      </w:r>
      <w:r w:rsidR="00775B4E" w:rsidRPr="007C544A">
        <w:rPr>
          <w:rFonts w:ascii="Traditional Arabic" w:hAnsi="Traditional Arabic" w:cs="Traditional Arabic"/>
          <w:shd w:val="clear" w:color="auto" w:fill="FFFFFF"/>
          <w:rtl/>
        </w:rPr>
        <w:t xml:space="preserve">: </w:t>
      </w:r>
      <w:r w:rsidR="00F5627F" w:rsidRPr="007C544A">
        <w:rPr>
          <w:rFonts w:ascii="Traditional Arabic" w:hAnsi="Traditional Arabic" w:cs="Traditional Arabic"/>
          <w:shd w:val="clear" w:color="auto" w:fill="FFFFFF"/>
          <w:rtl/>
        </w:rPr>
        <w:t>تقرير موقع</w:t>
      </w:r>
      <w:r w:rsidR="00F5627F" w:rsidRPr="007C544A">
        <w:rPr>
          <w:rFonts w:ascii="Traditional Arabic" w:hAnsi="Traditional Arabic" w:cs="Traditional Arabic"/>
          <w:shd w:val="clear" w:color="auto" w:fill="FFFFFF"/>
        </w:rPr>
        <w:t xml:space="preserve"> Argaam</w:t>
      </w:r>
      <w:r w:rsidR="00D7278E" w:rsidRPr="007C544A">
        <w:rPr>
          <w:rFonts w:ascii="Traditional Arabic" w:hAnsi="Traditional Arabic" w:cs="Traditional Arabic"/>
          <w:shd w:val="clear" w:color="auto" w:fill="FFFFFF"/>
        </w:rPr>
        <w:t xml:space="preserve"> (</w:t>
      </w:r>
      <w:r w:rsidR="00F5627F" w:rsidRPr="007C544A">
        <w:rPr>
          <w:rFonts w:ascii="Traditional Arabic" w:hAnsi="Traditional Arabic" w:cs="Traditional Arabic"/>
          <w:shd w:val="clear" w:color="auto" w:fill="FFFFFF"/>
        </w:rPr>
        <w:t xml:space="preserve">2024) </w:t>
      </w:r>
      <w:r w:rsidR="00F5627F" w:rsidRPr="007C544A">
        <w:rPr>
          <w:rFonts w:ascii="Traditional Arabic" w:hAnsi="Traditional Arabic" w:cs="Traditional Arabic"/>
          <w:shd w:val="clear" w:color="auto" w:fill="FFFFFF"/>
          <w:rtl/>
        </w:rPr>
        <w:t>استنادًا</w:t>
      </w:r>
      <w:r w:rsidR="000544F4" w:rsidRPr="007C544A">
        <w:rPr>
          <w:rFonts w:ascii="Traditional Arabic" w:hAnsi="Traditional Arabic" w:cs="Traditional Arabic"/>
          <w:shd w:val="clear" w:color="auto" w:fill="FFFFFF"/>
          <w:rtl/>
        </w:rPr>
        <w:t xml:space="preserve"> إلى </w:t>
      </w:r>
      <w:r w:rsidR="00F5627F" w:rsidRPr="007C544A">
        <w:rPr>
          <w:rFonts w:ascii="Traditional Arabic" w:hAnsi="Traditional Arabic" w:cs="Traditional Arabic"/>
          <w:shd w:val="clear" w:color="auto" w:fill="FFFFFF"/>
          <w:rtl/>
        </w:rPr>
        <w:t>بيانات</w:t>
      </w:r>
      <w:r w:rsidR="00F5627F" w:rsidRPr="007C544A">
        <w:rPr>
          <w:rFonts w:ascii="Traditional Arabic" w:hAnsi="Traditional Arabic" w:cs="Traditional Arabic"/>
          <w:shd w:val="clear" w:color="auto" w:fill="FFFFFF"/>
        </w:rPr>
        <w:t xml:space="preserve"> Saudi Exchange/</w:t>
      </w:r>
      <w:r w:rsidR="00F5627F" w:rsidRPr="007C544A">
        <w:rPr>
          <w:rFonts w:ascii="Traditional Arabic" w:hAnsi="Traditional Arabic" w:cs="Traditional Arabic"/>
          <w:shd w:val="clear" w:color="auto" w:fill="FFFFFF"/>
          <w:rtl/>
        </w:rPr>
        <w:t>هيئة السوق المالية السعودية</w:t>
      </w:r>
      <w:r w:rsidRPr="007C544A">
        <w:rPr>
          <w:rFonts w:ascii="Traditional Arabic" w:hAnsi="Traditional Arabic" w:cs="Traditional Arabic" w:hint="cs"/>
          <w:sz w:val="24"/>
          <w:szCs w:val="24"/>
          <w:rtl/>
        </w:rPr>
        <w:t xml:space="preserve"> و</w:t>
      </w:r>
      <w:r w:rsidRPr="007C544A">
        <w:rPr>
          <w:rFonts w:ascii="Traditional Arabic" w:hAnsi="Traditional Arabic" w:cs="Traditional Arabic"/>
          <w:b/>
          <w:bCs/>
          <w:sz w:val="24"/>
          <w:szCs w:val="24"/>
          <w:rtl/>
        </w:rPr>
        <w:t>شركة تداول السعودية. (د.ت.)</w:t>
      </w:r>
      <w:r w:rsidRPr="007C544A">
        <w:rPr>
          <w:rFonts w:ascii="Traditional Arabic" w:hAnsi="Traditional Arabic" w:cs="Traditional Arabic"/>
          <w:b/>
          <w:bCs/>
          <w:sz w:val="24"/>
          <w:szCs w:val="24"/>
        </w:rPr>
        <w:t>.</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إعلانات وإجراءات الشركات المتعلقة بالانتقال من السوق الموازية (نمو) إلى السوق الرئيسية. المملكة العربية السعودية</w:t>
      </w:r>
      <w:r w:rsidRPr="007C544A">
        <w:rPr>
          <w:rFonts w:ascii="Traditional Arabic" w:hAnsi="Traditional Arabic" w:cs="Traditional Arabic"/>
          <w:sz w:val="24"/>
          <w:szCs w:val="24"/>
        </w:rPr>
        <w:t>.</w:t>
      </w:r>
    </w:p>
    <w:p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lastRenderedPageBreak/>
        <w:t>عند رغبة الشركة في الانتقال من السوق الموازية "نمو"</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السوق الرئيسية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وفقًا لقواعد ال</w:t>
      </w:r>
      <w:r w:rsidR="000544F4" w:rsidRPr="007C544A">
        <w:rPr>
          <w:rFonts w:ascii="Traditional Arabic" w:hAnsi="Traditional Arabic" w:cs="Traditional Arabic"/>
          <w:sz w:val="24"/>
          <w:szCs w:val="24"/>
          <w:shd w:val="clear" w:color="auto" w:fill="FFFFFF"/>
          <w:rtl/>
        </w:rPr>
        <w:t>إدراج</w:t>
      </w:r>
      <w:r w:rsidRPr="007C544A">
        <w:rPr>
          <w:rFonts w:ascii="Traditional Arabic" w:hAnsi="Traditional Arabic" w:cs="Traditional Arabic"/>
          <w:sz w:val="24"/>
          <w:szCs w:val="24"/>
          <w:shd w:val="clear" w:color="auto" w:fill="FFFFFF"/>
          <w:rtl/>
        </w:rPr>
        <w:t xml:space="preserve"> الصادرة عن هيئة السوق المالية السعودية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يجب أن تستوفي المتطلبات التالية</w:t>
      </w:r>
      <w:r w:rsidR="00775B4E" w:rsidRPr="007C544A">
        <w:rPr>
          <w:rFonts w:ascii="Traditional Arabic" w:hAnsi="Traditional Arabic" w:cs="Traditional Arabic"/>
          <w:sz w:val="24"/>
          <w:szCs w:val="24"/>
          <w:shd w:val="clear" w:color="auto" w:fill="FFFFFF"/>
          <w:rtl/>
        </w:rPr>
        <w:t xml:space="preserve">: </w:t>
      </w:r>
    </w:p>
    <w:p w:rsidR="00F5627F"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أن تكون مدرجة في السوق الموازية لمدة لا تقل عن سنتين منذ تاريخ ال</w:t>
      </w:r>
      <w:r w:rsidR="000544F4" w:rsidRPr="007C544A">
        <w:rPr>
          <w:rFonts w:ascii="Traditional Arabic" w:hAnsi="Traditional Arabic" w:cs="Traditional Arabic"/>
          <w:sz w:val="24"/>
          <w:szCs w:val="24"/>
          <w:shd w:val="clear" w:color="auto" w:fill="FFFFFF"/>
          <w:rtl/>
        </w:rPr>
        <w:t>إدراج</w:t>
      </w:r>
      <w:r w:rsidR="007534E5" w:rsidRPr="007C544A">
        <w:rPr>
          <w:rFonts w:ascii="Traditional Arabic" w:hAnsi="Traditional Arabic" w:cs="Traditional Arabic"/>
          <w:sz w:val="24"/>
          <w:szCs w:val="24"/>
          <w:shd w:val="clear" w:color="auto" w:fill="FFFFFF"/>
          <w:rtl/>
        </w:rPr>
        <w:t>.</w:t>
      </w:r>
      <w:r w:rsidR="00AA62CB" w:rsidRPr="007C544A">
        <w:rPr>
          <w:rFonts w:ascii="Traditional Arabic" w:hAnsi="Traditional Arabic" w:cs="Traditional Arabic"/>
          <w:sz w:val="24"/>
          <w:szCs w:val="24"/>
          <w:shd w:val="clear" w:color="auto" w:fill="FFFFFF"/>
          <w:rtl/>
        </w:rPr>
        <w:t xml:space="preserve"> </w:t>
      </w:r>
    </w:p>
    <w:p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تفي بكل متطلبات ال</w:t>
      </w:r>
      <w:r w:rsidR="000544F4" w:rsidRPr="007C544A">
        <w:rPr>
          <w:rFonts w:ascii="Traditional Arabic" w:hAnsi="Traditional Arabic" w:cs="Traditional Arabic"/>
          <w:sz w:val="24"/>
          <w:szCs w:val="24"/>
          <w:shd w:val="clear" w:color="auto" w:fill="FFFFFF"/>
          <w:rtl/>
        </w:rPr>
        <w:t>إدراج</w:t>
      </w:r>
      <w:r w:rsidRPr="007C544A">
        <w:rPr>
          <w:rFonts w:ascii="Traditional Arabic" w:hAnsi="Traditional Arabic" w:cs="Traditional Arabic"/>
          <w:sz w:val="24"/>
          <w:szCs w:val="24"/>
          <w:shd w:val="clear" w:color="auto" w:fill="FFFFFF"/>
          <w:rtl/>
        </w:rPr>
        <w:t xml:space="preserve"> في السوق الرئيسية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ما عدا القيمة السوقية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حيث يُشترط أن تكون الحد الأدنى لمتوسط القيمة السوقية خلال الأشهر الستة السابقة هو</w:t>
      </w:r>
      <w:r w:rsidR="00AA62CB" w:rsidRPr="007C544A">
        <w:rPr>
          <w:rFonts w:ascii="Traditional Arabic" w:hAnsi="Traditional Arabic" w:cs="Traditional Arabic"/>
          <w:sz w:val="24"/>
          <w:szCs w:val="24"/>
          <w:shd w:val="clear" w:color="auto" w:fill="FFFFFF"/>
          <w:rtl/>
        </w:rPr>
        <w:t xml:space="preserve"> (200) </w:t>
      </w:r>
      <w:r w:rsidRPr="007C544A">
        <w:rPr>
          <w:rFonts w:ascii="Traditional Arabic" w:hAnsi="Traditional Arabic" w:cs="Traditional Arabic"/>
          <w:sz w:val="24"/>
          <w:szCs w:val="24"/>
          <w:shd w:val="clear" w:color="auto" w:fill="FFFFFF"/>
          <w:rtl/>
        </w:rPr>
        <w:t xml:space="preserve">مليون </w:t>
      </w:r>
      <w:r w:rsidR="00D7278E" w:rsidRPr="007C544A">
        <w:rPr>
          <w:rFonts w:ascii="Traditional Arabic" w:hAnsi="Traditional Arabic" w:cs="Traditional Arabic"/>
          <w:sz w:val="24"/>
          <w:szCs w:val="24"/>
          <w:shd w:val="clear" w:color="auto" w:fill="FFFFFF"/>
          <w:rtl/>
        </w:rPr>
        <w:t>ريال</w:t>
      </w:r>
      <w:r w:rsidR="007534E5" w:rsidRPr="007C544A">
        <w:rPr>
          <w:rFonts w:ascii="Traditional Arabic" w:hAnsi="Traditional Arabic" w:cs="Traditional Arabic"/>
          <w:sz w:val="24"/>
          <w:szCs w:val="24"/>
          <w:shd w:val="clear" w:color="auto" w:fill="FFFFFF"/>
          <w:rtl/>
        </w:rPr>
        <w:t>.</w:t>
      </w:r>
    </w:p>
    <w:p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يفترض أن يُفصح المصدر للجمهور عن تقرير مجلس ال</w:t>
      </w:r>
      <w:r w:rsidR="00D6178F" w:rsidRPr="007C544A">
        <w:rPr>
          <w:rFonts w:ascii="Traditional Arabic" w:hAnsi="Traditional Arabic" w:cs="Traditional Arabic"/>
          <w:sz w:val="24"/>
          <w:szCs w:val="24"/>
          <w:shd w:val="clear" w:color="auto" w:fill="FFFFFF"/>
          <w:rtl/>
        </w:rPr>
        <w:t>إدارة</w:t>
      </w:r>
      <w:r w:rsidRPr="007C544A">
        <w:rPr>
          <w:rFonts w:ascii="Traditional Arabic" w:hAnsi="Traditional Arabic" w:cs="Traditional Arabic"/>
          <w:sz w:val="24"/>
          <w:szCs w:val="24"/>
          <w:shd w:val="clear" w:color="auto" w:fill="FFFFFF"/>
          <w:rtl/>
        </w:rPr>
        <w:t xml:space="preserve"> المحتوى لكافة المعلومات المطلوبة وفق اللوائح التنفيذية قبل تقديم الطلب</w:t>
      </w:r>
      <w:r w:rsidR="007534E5" w:rsidRPr="007C544A">
        <w:rPr>
          <w:rFonts w:ascii="Traditional Arabic" w:hAnsi="Traditional Arabic" w:cs="Traditional Arabic"/>
          <w:sz w:val="24"/>
          <w:szCs w:val="24"/>
          <w:shd w:val="clear" w:color="auto" w:fill="FFFFFF"/>
          <w:rtl/>
        </w:rPr>
        <w:t>.</w:t>
      </w:r>
    </w:p>
    <w:p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يجب أن يوافق مجلس ال</w:t>
      </w:r>
      <w:r w:rsidR="00D6178F" w:rsidRPr="007C544A">
        <w:rPr>
          <w:rFonts w:ascii="Traditional Arabic" w:hAnsi="Traditional Arabic" w:cs="Traditional Arabic"/>
          <w:sz w:val="24"/>
          <w:szCs w:val="24"/>
          <w:shd w:val="clear" w:color="auto" w:fill="FFFFFF"/>
          <w:rtl/>
        </w:rPr>
        <w:t>إدارة</w:t>
      </w:r>
      <w:r w:rsidRPr="007C544A">
        <w:rPr>
          <w:rFonts w:ascii="Traditional Arabic" w:hAnsi="Traditional Arabic" w:cs="Traditional Arabic"/>
          <w:sz w:val="24"/>
          <w:szCs w:val="24"/>
          <w:shd w:val="clear" w:color="auto" w:fill="FFFFFF"/>
          <w:rtl/>
        </w:rPr>
        <w:t xml:space="preserve"> على الانتقال</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وأن يتم الإفصاح عن ذلك علنيًا قبل بدء جلسة التداول التي تلي إصدار الموافقة</w:t>
      </w:r>
      <w:r w:rsidR="007534E5" w:rsidRPr="007C544A">
        <w:rPr>
          <w:rFonts w:ascii="Traditional Arabic" w:hAnsi="Traditional Arabic" w:cs="Traditional Arabic"/>
          <w:sz w:val="24"/>
          <w:szCs w:val="24"/>
          <w:shd w:val="clear" w:color="auto" w:fill="FFFFFF"/>
          <w:rtl/>
        </w:rPr>
        <w:t>.</w:t>
      </w:r>
    </w:p>
    <w:p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تقديم طلب رسمي</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السوق المالية السعودية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تداول) بشأن الانتقال</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وإعلان هذا الطلب للجمهور فور تقديمه</w:t>
      </w:r>
      <w:r w:rsidR="007534E5" w:rsidRPr="007C544A">
        <w:rPr>
          <w:rFonts w:ascii="Traditional Arabic" w:hAnsi="Traditional Arabic" w:cs="Traditional Arabic"/>
          <w:sz w:val="24"/>
          <w:szCs w:val="24"/>
          <w:shd w:val="clear" w:color="auto" w:fill="FFFFFF"/>
          <w:rtl/>
        </w:rPr>
        <w:t xml:space="preserve"> (</w:t>
      </w:r>
      <w:r w:rsidR="007534E5" w:rsidRPr="007C544A">
        <w:rPr>
          <w:rFonts w:ascii="Traditional Arabic" w:hAnsi="Traditional Arabic" w:cs="Traditional Arabic"/>
          <w:sz w:val="24"/>
          <w:szCs w:val="24"/>
          <w:shd w:val="clear" w:color="auto" w:fill="FFFFFF"/>
        </w:rPr>
        <w:t>Capital Market Authority, 2023</w:t>
      </w:r>
      <w:r w:rsidR="007534E5" w:rsidRPr="007C544A">
        <w:rPr>
          <w:rFonts w:ascii="Traditional Arabic" w:hAnsi="Traditional Arabic" w:cs="Traditional Arabic"/>
          <w:sz w:val="24"/>
          <w:szCs w:val="24"/>
          <w:shd w:val="clear" w:color="auto" w:fill="FFFFFF"/>
          <w:rtl/>
        </w:rPr>
        <w:t>).</w:t>
      </w:r>
    </w:p>
    <w:p w:rsidR="007534E5"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ويتم تعليق تداول سهم الشركة لفترة لا تزيد عن خمس جلسات تداول</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أن تكتمل إجراءات الانتقال</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ثم يُدرج السهم رسمياً في السوق الرئيسية</w:t>
      </w:r>
      <w:r w:rsidR="007534E5" w:rsidRPr="007C544A">
        <w:rPr>
          <w:rFonts w:ascii="Traditional Arabic" w:hAnsi="Traditional Arabic" w:cs="Traditional Arabic"/>
          <w:sz w:val="24"/>
          <w:szCs w:val="24"/>
          <w:shd w:val="clear" w:color="auto" w:fill="FFFFFF"/>
          <w:rtl/>
        </w:rPr>
        <w:t xml:space="preserve"> (</w:t>
      </w:r>
      <w:r w:rsidR="007534E5" w:rsidRPr="007C544A">
        <w:rPr>
          <w:rFonts w:ascii="Traditional Arabic" w:hAnsi="Traditional Arabic" w:cs="Traditional Arabic"/>
          <w:sz w:val="24"/>
          <w:szCs w:val="24"/>
          <w:shd w:val="clear" w:color="auto" w:fill="FFFFFF"/>
        </w:rPr>
        <w:t>Capital Market Authority, 2023</w:t>
      </w:r>
      <w:r w:rsidR="007534E5" w:rsidRPr="007C544A">
        <w:rPr>
          <w:rFonts w:ascii="Traditional Arabic" w:hAnsi="Traditional Arabic" w:cs="Traditional Arabic"/>
          <w:sz w:val="24"/>
          <w:szCs w:val="24"/>
          <w:shd w:val="clear" w:color="auto" w:fill="FFFFFF"/>
          <w:rtl/>
        </w:rPr>
        <w:t>).</w:t>
      </w:r>
    </w:p>
    <w:p w:rsidR="00F5627F" w:rsidRPr="007C544A" w:rsidRDefault="005F77CA" w:rsidP="00706522">
      <w:pPr>
        <w:pStyle w:val="FootnoteText"/>
        <w:shd w:val="clear" w:color="auto" w:fill="FFFFFF" w:themeFill="background1"/>
        <w:bidi/>
        <w:spacing w:line="360" w:lineRule="auto"/>
        <w:jc w:val="both"/>
        <w:rPr>
          <w:rFonts w:ascii="Traditional Arabic" w:hAnsi="Traditional Arabic" w:cs="Traditional Arabic"/>
          <w:b/>
          <w:bCs/>
          <w:smallCaps/>
          <w:sz w:val="28"/>
          <w:szCs w:val="28"/>
          <w:rtl/>
          <w:lang w:bidi="ar-EG"/>
        </w:rPr>
      </w:pPr>
      <w:r w:rsidRPr="007C544A">
        <w:rPr>
          <w:rFonts w:ascii="Traditional Arabic" w:hAnsi="Traditional Arabic" w:cs="Traditional Arabic" w:hint="cs"/>
          <w:b/>
          <w:bCs/>
          <w:smallCaps/>
          <w:sz w:val="28"/>
          <w:szCs w:val="28"/>
          <w:rtl/>
          <w:lang w:bidi="ar-EG"/>
        </w:rPr>
        <w:t xml:space="preserve">ثالثا- </w:t>
      </w:r>
      <w:r w:rsidR="00F5627F" w:rsidRPr="007C544A">
        <w:rPr>
          <w:rFonts w:ascii="Traditional Arabic" w:hAnsi="Traditional Arabic" w:cs="Traditional Arabic"/>
          <w:b/>
          <w:bCs/>
          <w:smallCaps/>
          <w:sz w:val="28"/>
          <w:szCs w:val="28"/>
          <w:rtl/>
          <w:lang w:bidi="ar-EG"/>
        </w:rPr>
        <w:t>مواجهة الدولة للمارسات الاحتكارية</w:t>
      </w:r>
      <w:r w:rsidR="00775B4E" w:rsidRPr="007C544A">
        <w:rPr>
          <w:rFonts w:ascii="Traditional Arabic" w:hAnsi="Traditional Arabic" w:cs="Traditional Arabic"/>
          <w:b/>
          <w:bCs/>
          <w:smallCaps/>
          <w:sz w:val="28"/>
          <w:szCs w:val="28"/>
          <w:rtl/>
          <w:lang w:bidi="ar-EG"/>
        </w:rPr>
        <w:t xml:space="preserve">: </w:t>
      </w:r>
    </w:p>
    <w:p w:rsidR="00C65860" w:rsidRPr="007C544A" w:rsidRDefault="00F5627F" w:rsidP="00707074">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مما لا شك فيه أن مواجهة الدولة للممارسات الاحتكارية هي مواجهة عامة تشمل الاحتكار أياً كان سببه</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وهي ليست قاصرة على مواجهة الممارسات الاحتكارية الناتجة عن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بصفة خاصة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وإنما تمتد لمواجهة كافة الممارسات الاحتكارية بصفة عامة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وأن الوسائل المقترحة هي وسائل تفيد الدولة في مواجهة الاحتكار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سواء ما نتج عن عمليات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أو عن غيرها من الأسباب</w:t>
      </w:r>
      <w:r w:rsidR="00C65860" w:rsidRPr="007C544A">
        <w:rPr>
          <w:rFonts w:ascii="Traditional Arabic" w:hAnsi="Traditional Arabic" w:cs="Traditional Arabic"/>
          <w:rtl/>
        </w:rPr>
        <w:t xml:space="preserve"> (</w:t>
      </w:r>
      <w:r w:rsidR="00C65860" w:rsidRPr="007C544A">
        <w:rPr>
          <w:rFonts w:ascii="Traditional Arabic" w:hAnsi="Traditional Arabic" w:cs="Traditional Arabic"/>
        </w:rPr>
        <w:t>OECD, 2022</w:t>
      </w:r>
      <w:r w:rsidR="00C65860" w:rsidRPr="007C544A">
        <w:rPr>
          <w:rFonts w:ascii="Traditional Arabic" w:hAnsi="Traditional Arabic" w:cs="Traditional Arabic"/>
          <w:rtl/>
        </w:rPr>
        <w:t>).</w:t>
      </w:r>
    </w:p>
    <w:p w:rsidR="00C65860" w:rsidRPr="007C544A" w:rsidRDefault="00F5627F" w:rsidP="00707074">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ومما تجدر الإشارة إليه أنّ الأسواق المحلية في البلاد العربية لم تعد بمعزل عن الأسواق العالمية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إذ ترتبط أسعار السلع والخدمات في الأسواق المحلية بالأسعار العالمية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أن وسائل الحماية التي تستخدمها الدول تتناقص فاعليتها في مواجهة السياسات التجارية العالمية من جراء زيادة الانفتاح والارتباط بين الأسواق و</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ات التجارية وازدياد المنافسات التجارية غير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يجعل وسائل حماية المستهلك تحتاج</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التطوير بصورة مستمرة</w:t>
      </w:r>
      <w:r w:rsidR="00C65860" w:rsidRPr="007C544A">
        <w:rPr>
          <w:rFonts w:ascii="Traditional Arabic" w:hAnsi="Traditional Arabic" w:cs="Traditional Arabic"/>
          <w:rtl/>
        </w:rPr>
        <w:t xml:space="preserve"> (</w:t>
      </w:r>
      <w:r w:rsidR="00C65860" w:rsidRPr="007C544A">
        <w:rPr>
          <w:rFonts w:ascii="Traditional Arabic" w:hAnsi="Traditional Arabic" w:cs="Traditional Arabic"/>
        </w:rPr>
        <w:t>World Bank, 2023</w:t>
      </w:r>
      <w:r w:rsidR="00C65860" w:rsidRPr="007C544A">
        <w:rPr>
          <w:rFonts w:ascii="Traditional Arabic" w:hAnsi="Traditional Arabic" w:cs="Traditional Arabic"/>
          <w:rtl/>
        </w:rPr>
        <w:t>).</w:t>
      </w:r>
    </w:p>
    <w:p w:rsidR="00F5627F" w:rsidRPr="007C544A" w:rsidRDefault="00F5627F" w:rsidP="00DA1F9B">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فقد دعت الحاجة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يكون هناك دور محوري للدولة من خلال قوانينها وأنظمتها في تنظيم الأسواق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ومنع الممارسات الاحتكارية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وبصفة خاصة الاحتكارات الناتجة عن </w:t>
      </w:r>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وتطوير القوانين والأنظمة الحالية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ومن أهمها أنظمة حماية المستهلك وحماية المنافسة من خلال منع الممارسات الاحتكارية</w:t>
      </w:r>
      <w:r w:rsidR="00C65860"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Pr="007C544A">
        <w:rPr>
          <w:rFonts w:ascii="Traditional Arabic" w:hAnsi="Traditional Arabic" w:cs="Traditional Arabic"/>
          <w:rtl/>
        </w:rPr>
        <w:t>المطيري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2012)</w:t>
      </w:r>
    </w:p>
    <w:p w:rsidR="00707074" w:rsidRPr="007C544A" w:rsidRDefault="00707074" w:rsidP="00DA1F9B">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ومما تجدر الإشارة إليه أن الأسواق المحلية في البلاد العربية لم تعد بمعزل عن الأسواق العالمية، إذ أصبحت الاقتصادات الوطنية والإقليمية أكثر ترابطًا وتشابكًا في ظل العولمة والانفتاح التجاري، الأمر الذي أدى إلى زيادة المنافسة وتداخل الأسواق وتنوع السلع والخدمات </w:t>
      </w:r>
      <w:r w:rsidRPr="007C544A">
        <w:rPr>
          <w:rFonts w:ascii="Traditional Arabic" w:eastAsiaTheme="minorHAnsi" w:hAnsi="Traditional Arabic" w:cs="Traditional Arabic"/>
          <w:rtl/>
        </w:rPr>
        <w:lastRenderedPageBreak/>
        <w:t>المتاحة أمام المستهلكين، وهو ما يستدعي تطوير آليات حماية المستهلك بصورة مستمرة بما يتلاءم مع المتغيرات التي تفرضها السوق العالمية (</w:t>
      </w:r>
      <w:r w:rsidR="00DA1F9B" w:rsidRPr="007C544A">
        <w:rPr>
          <w:rFonts w:ascii="Traditional Arabic" w:eastAsiaTheme="minorHAnsi" w:hAnsi="Traditional Arabic" w:cs="Traditional Arabic" w:hint="cs"/>
          <w:rtl/>
        </w:rPr>
        <w:t>الغامدي</w:t>
      </w:r>
      <w:r w:rsidRPr="007C544A">
        <w:rPr>
          <w:rFonts w:ascii="Traditional Arabic" w:eastAsiaTheme="minorHAnsi" w:hAnsi="Traditional Arabic" w:cs="Traditional Arabic"/>
          <w:rtl/>
        </w:rPr>
        <w:t>، 2021)</w:t>
      </w:r>
      <w:r w:rsidRPr="007C544A">
        <w:rPr>
          <w:rFonts w:ascii="Traditional Arabic" w:eastAsiaTheme="minorHAnsi" w:hAnsi="Traditional Arabic" w:cs="Traditional Arabic"/>
        </w:rPr>
        <w:t>.</w:t>
      </w:r>
    </w:p>
    <w:p w:rsidR="00892155" w:rsidRPr="007C544A" w:rsidRDefault="0023187E" w:rsidP="00544FD1">
      <w:pPr>
        <w:pStyle w:val="a"/>
        <w:shd w:val="clear" w:color="auto" w:fill="FFFFFF" w:themeFill="background1"/>
        <w:spacing w:line="360" w:lineRule="auto"/>
        <w:ind w:firstLine="720"/>
        <w:jc w:val="left"/>
        <w:rPr>
          <w:rFonts w:ascii="Traditional Arabic" w:hAnsi="Traditional Arabic" w:cs="Traditional Arabic"/>
          <w:b/>
          <w:bCs/>
          <w:sz w:val="28"/>
          <w:szCs w:val="28"/>
          <w:rtl/>
        </w:rPr>
      </w:pPr>
      <w:r w:rsidRPr="007C544A">
        <w:rPr>
          <w:rFonts w:ascii="Traditional Arabic" w:eastAsia="Times New Roman" w:hAnsi="Traditional Arabic" w:cs="Traditional Arabic"/>
          <w:sz w:val="24"/>
          <w:szCs w:val="24"/>
          <w:rtl/>
          <w:lang w:bidi="ar-SA"/>
        </w:rPr>
        <w:t>تعتمد حماية المنافسة والحد من الممارسات الاحتكارية على تضافر جهود مختلف الأطراف، بما في ذلك أفراد المجتمع، ومنظمات المجتمع المدني، وقطاعا الأعمال العام والخاص، والأجهزة الرقابية، والنيابة العامة، والإعلام، إلى جانب دور الدولة في وضع الأنظمة والقوانين وتطبيق الوسائل اللازمة لتنظيم المنافسة والحد من الممارسات الاحتكارية الناتجة عن الدمج، ومن أبرز هذه الوسائل</w:t>
      </w:r>
      <w:r w:rsidRPr="007C544A">
        <w:rPr>
          <w:rFonts w:ascii="Traditional Arabic" w:eastAsia="Times New Roman" w:hAnsi="Traditional Arabic" w:cs="Traditional Arabic"/>
          <w:sz w:val="24"/>
          <w:szCs w:val="24"/>
          <w:lang w:bidi="ar-SA"/>
        </w:rPr>
        <w:t>:</w:t>
      </w:r>
    </w:p>
    <w:p w:rsidR="00712609" w:rsidRPr="007C544A" w:rsidRDefault="00F5627F" w:rsidP="002D00D3">
      <w:pPr>
        <w:pStyle w:val="a"/>
        <w:numPr>
          <w:ilvl w:val="0"/>
          <w:numId w:val="73"/>
        </w:numPr>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موافقة الجهة المختصة عن عمليات </w:t>
      </w:r>
      <w:r w:rsidR="0022698D" w:rsidRPr="007C544A">
        <w:rPr>
          <w:rFonts w:ascii="Traditional Arabic" w:hAnsi="Traditional Arabic" w:cs="Traditional Arabic"/>
          <w:b/>
          <w:bCs/>
          <w:sz w:val="28"/>
          <w:szCs w:val="28"/>
          <w:rtl/>
        </w:rPr>
        <w:t xml:space="preserve">الدمج </w:t>
      </w:r>
      <w:r w:rsidR="00C65860" w:rsidRPr="007C544A">
        <w:rPr>
          <w:rFonts w:ascii="Traditional Arabic" w:hAnsi="Traditional Arabic" w:cs="Traditional Arabic"/>
          <w:b/>
          <w:bCs/>
          <w:sz w:val="28"/>
          <w:szCs w:val="28"/>
          <w:rtl/>
        </w:rPr>
        <w:t>:</w:t>
      </w:r>
    </w:p>
    <w:p w:rsidR="00F5627F" w:rsidRPr="007C544A" w:rsidRDefault="00707074"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eastAsiaTheme="minorHAnsi" w:hAnsi="Traditional Arabic" w:cs="Traditional Arabic"/>
          <w:rtl/>
        </w:rPr>
        <w:t>يتطلب الحد من الممارسات الاحتكارية تفعيل دور الأجهزة الرقابية في متابعة عمليات الاندماج، ووضع ضوابط قانونية وتنظيمية تضمن فحص عمليات التركز الاقتصادي والتأكد من عدم ترتب آثار تضر بالمنافسة أو تؤدي إلى تعزيز الهيمنة في الأسواق. وفي هذا الإطار، تختص الهيئة العامة للمنافسة في المملكة العربية السعودية بفحص عمليات التركز الاقتصادي، بما في ذلك عمليات الاندماج والاستحواذ، وتقييم آثارها المحتملة على المنافسة في الأسواق، بما يسهم في الحد من الممارسات الاحتكارية وحماية المنافسة العادلة (الهيئة العامة للمنافسة، 2025)</w:t>
      </w:r>
      <w:r w:rsidRPr="007C544A">
        <w:rPr>
          <w:rFonts w:ascii="Traditional Arabic" w:eastAsiaTheme="minorHAnsi" w:hAnsi="Traditional Arabic" w:cs="Traditional Arabic"/>
        </w:rPr>
        <w:t>.</w:t>
      </w:r>
      <w:r w:rsidR="00F5627F" w:rsidRPr="007C544A">
        <w:rPr>
          <w:rFonts w:ascii="Traditional Arabic" w:hAnsi="Traditional Arabic" w:cs="Traditional Arabic"/>
          <w:rtl/>
        </w:rPr>
        <w:t xml:space="preserve">ومن خلال هذه الموافقة تتمكّن الدولة من إعداد </w:t>
      </w:r>
      <w:r w:rsidR="004C5D0F" w:rsidRPr="007C544A">
        <w:rPr>
          <w:rFonts w:ascii="Traditional Arabic" w:hAnsi="Traditional Arabic" w:cs="Traditional Arabic"/>
          <w:rtl/>
        </w:rPr>
        <w:t>إحصائي</w:t>
      </w:r>
      <w:r w:rsidR="00F5627F" w:rsidRPr="007C544A">
        <w:rPr>
          <w:rFonts w:ascii="Traditional Arabic" w:hAnsi="Traditional Arabic" w:cs="Traditional Arabic"/>
          <w:rtl/>
        </w:rPr>
        <w:t>ات بالشركات التجارية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وتحديد نشاطاتها</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 xml:space="preserve">ومعرفة ما إذا كان هذا </w:t>
      </w:r>
      <w:r w:rsidR="0022698D"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سوف يؤدّي</w:t>
      </w:r>
      <w:r w:rsidR="000544F4" w:rsidRPr="007C544A">
        <w:rPr>
          <w:rFonts w:ascii="Traditional Arabic" w:hAnsi="Traditional Arabic" w:cs="Traditional Arabic"/>
          <w:rtl/>
        </w:rPr>
        <w:t xml:space="preserve"> إلى </w:t>
      </w:r>
      <w:r w:rsidR="00F5627F" w:rsidRPr="007C544A">
        <w:rPr>
          <w:rFonts w:ascii="Traditional Arabic" w:hAnsi="Traditional Arabic" w:cs="Traditional Arabic"/>
          <w:rtl/>
        </w:rPr>
        <w:t>ظهور مؤسسات احتكارية من عدمه.</w:t>
      </w:r>
    </w:p>
    <w:p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2-</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سياسة التسعير أو الثمن العادل</w:t>
      </w:r>
    </w:p>
    <w:p w:rsidR="00712609" w:rsidRPr="007C544A" w:rsidRDefault="00712609" w:rsidP="00712609">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يمثل الدافع الاقتصادي أحد أهم دوافع اندماج الشركات، إذ تدفع التغيرات الاقتصادية والأزمات المالية والمنافسة الشركات إلى اللجوء للاندماج بهدف تعزيز الاستمرارية ومواجهة التحديات الاقتصادية والتنافسية</w:t>
      </w:r>
      <w:r w:rsidRPr="007C544A">
        <w:rPr>
          <w:rFonts w:ascii="Traditional Arabic" w:hAnsi="Traditional Arabic" w:cs="Traditional Arabic"/>
        </w:rPr>
        <w:t>.</w:t>
      </w:r>
      <w:r w:rsidRPr="007C544A">
        <w:rPr>
          <w:rFonts w:ascii="Traditional Arabic" w:hAnsi="Traditional Arabic" w:cs="Traditional Arabic"/>
          <w:rtl/>
        </w:rPr>
        <w:t xml:space="preserve"> </w:t>
      </w:r>
      <w:r w:rsidR="00C65860" w:rsidRPr="007C544A">
        <w:rPr>
          <w:rFonts w:ascii="Traditional Arabic" w:hAnsi="Traditional Arabic" w:cs="Traditional Arabic"/>
          <w:rtl/>
        </w:rPr>
        <w:t>(</w:t>
      </w:r>
      <w:r w:rsidR="00C65860" w:rsidRPr="007C544A">
        <w:rPr>
          <w:rFonts w:ascii="Traditional Arabic" w:hAnsi="Traditional Arabic" w:cs="Traditional Arabic"/>
        </w:rPr>
        <w:t>Bruner, 2021; Al-Qahtani, 2022; OECD, 2023</w:t>
      </w:r>
      <w:r w:rsidRPr="007C544A">
        <w:rPr>
          <w:rFonts w:ascii="Traditional Arabic" w:hAnsi="Traditional Arabic" w:cs="Traditional Arabic"/>
          <w:rtl/>
        </w:rPr>
        <w:t>).</w:t>
      </w:r>
    </w:p>
    <w:p w:rsidR="00707074" w:rsidRPr="007C544A" w:rsidRDefault="00707074" w:rsidP="00707074">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أدى التطور الاقتصادي والتجاري وحاجة الشركات إلى تجميع رؤوس الأموال وتحقيق الوفورات إلى تبني الاندماج كأداة للتركيز الاقتصادي، الأمر الذي يستلزم وجود دور تنظيمي ورقابي للدولة في حماية المنافسة والحد من الممارسات الاحتكارية، من خلال فحص عمليات الاندماج والتركز الاقتصادي وتقييم آثارها المحتملة على الأسواق، بما يحقق التوازن بين مصالح المنتجين والمستهلكين ويدعم استقرار الأسواق (شبكة المنافسة العربية، 2024)</w:t>
      </w:r>
      <w:r w:rsidRPr="007C544A">
        <w:rPr>
          <w:rFonts w:ascii="Traditional Arabic" w:eastAsiaTheme="minorHAnsi" w:hAnsi="Traditional Arabic" w:cs="Traditional Arabic"/>
        </w:rPr>
        <w:t>.</w:t>
      </w:r>
    </w:p>
    <w:p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3.</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تحديث أنظمة مواجهة الممارسات الاحتكارية</w:t>
      </w:r>
      <w:r w:rsidR="00775B4E" w:rsidRPr="007C544A">
        <w:rPr>
          <w:rFonts w:ascii="Traditional Arabic" w:hAnsi="Traditional Arabic" w:cs="Traditional Arabic"/>
          <w:b/>
          <w:bCs/>
          <w:sz w:val="28"/>
          <w:szCs w:val="28"/>
          <w:rtl/>
        </w:rPr>
        <w:t xml:space="preserve">: </w:t>
      </w:r>
    </w:p>
    <w:p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قد يكون الدافع</w:t>
      </w:r>
      <w:r w:rsidR="000544F4" w:rsidRPr="007C544A">
        <w:rPr>
          <w:rFonts w:ascii="Traditional Arabic" w:hAnsi="Traditional Arabic" w:cs="Traditional Arabic"/>
          <w:rtl/>
        </w:rPr>
        <w:t xml:space="preserve"> إلى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ضيق الأسواق وضرورة التوجه نحو التوسع</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والنمو أحد الدوافع الاقتصادية للاندماج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إذ إنّ التوجّه نحو زيادة عدد فروع شركة تجارية نظراً لضيق الأسواق والعمل على انتشارها في إقليم الدولة وخارجها من خلال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يُعد من أفضل وسائل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مع شركة أخرى يتيح امتلاك سوق أكبر لم تكن الشركة المندمجة قادرة على الدخول فيه إلا بتكلفة عالية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أنه يتيح لها أيضا فرصة الانتشار الجغرافي السريع دون تحمل نفقات بدء الدخول في هذه المناطق الجغرافية الجديدة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الهيئة </w:t>
      </w:r>
      <w:r w:rsidRPr="007C544A">
        <w:rPr>
          <w:rFonts w:ascii="Traditional Arabic" w:hAnsi="Traditional Arabic" w:cs="Traditional Arabic"/>
          <w:rtl/>
        </w:rPr>
        <w:t>العامة للمنافسة</w:t>
      </w:r>
      <w:r w:rsidR="00D7278E" w:rsidRPr="007C544A">
        <w:rPr>
          <w:rFonts w:ascii="Traditional Arabic" w:hAnsi="Traditional Arabic" w:cs="Traditional Arabic"/>
          <w:rtl/>
        </w:rPr>
        <w:t xml:space="preserve">، </w:t>
      </w:r>
      <w:r w:rsidR="00C65860" w:rsidRPr="007C544A">
        <w:rPr>
          <w:rFonts w:ascii="Traditional Arabic" w:hAnsi="Traditional Arabic" w:cs="Traditional Arabic"/>
          <w:rtl/>
        </w:rPr>
        <w:t>2023).</w:t>
      </w:r>
    </w:p>
    <w:p w:rsidR="00F5627F" w:rsidRPr="007C544A" w:rsidRDefault="008744EB"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lastRenderedPageBreak/>
        <w:t>فتقوم الدولة، وفقًا لهذه السياسة، بوضع الأنظمة اللازمة لمكافحة الممارسات الاحتكارية الناتجة عن الاستحواذ على حصة سوقية كبيرة، من خلال منع الممارسات التي تحد من المنافسة، ودعم قوى السوق الحر، وتفكيك التكتلات الاحتكارية، ومنع عمليات الدمج التي تؤدي إلى تقليص المنافسة، إلى جانب تحديث الأنظمة بما</w:t>
      </w:r>
      <w:r w:rsidRPr="007C544A">
        <w:rPr>
          <w:rStyle w:val="Strong"/>
          <w:rtl/>
        </w:rPr>
        <w:t xml:space="preserve"> </w:t>
      </w:r>
      <w:r w:rsidRPr="007C544A">
        <w:rPr>
          <w:rFonts w:ascii="Traditional Arabic" w:hAnsi="Traditional Arabic" w:cs="Traditional Arabic"/>
          <w:rtl/>
        </w:rPr>
        <w:t>يتلاءم مع التطورات التي تشهدها الأنشطة التجارية</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غوار</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2017</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7.)</w:t>
      </w:r>
      <w:r w:rsidR="00C65860" w:rsidRPr="007C544A">
        <w:rPr>
          <w:rFonts w:ascii="Traditional Arabic" w:hAnsi="Traditional Arabic" w:cs="Traditional Arabic"/>
          <w:rtl/>
        </w:rPr>
        <w:t>.</w:t>
      </w:r>
    </w:p>
    <w:p w:rsidR="00A47657" w:rsidRPr="007C544A" w:rsidRDefault="004835AA" w:rsidP="004835AA">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4-</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تفعيل دور الأجهزة الرقابية</w:t>
      </w:r>
      <w:r w:rsidR="00775B4E" w:rsidRPr="007C544A">
        <w:rPr>
          <w:rFonts w:ascii="Traditional Arabic" w:hAnsi="Traditional Arabic" w:cs="Traditional Arabic"/>
          <w:b/>
          <w:bCs/>
          <w:sz w:val="28"/>
          <w:szCs w:val="28"/>
          <w:rtl/>
        </w:rPr>
        <w:t xml:space="preserve">: </w:t>
      </w:r>
    </w:p>
    <w:p w:rsidR="0034156D" w:rsidRPr="007C544A" w:rsidRDefault="0034156D" w:rsidP="00A47657">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تحرص الدولة على تفعيل دور الأجهزة الرقابية المختصة لضبط عمليات الدمج والحد من آثارها الاحتكارية، خاصة تلك التي قد تؤثر سلبًا في المنافسة في السوق</w:t>
      </w:r>
      <w:r w:rsidRPr="007C544A">
        <w:rPr>
          <w:rFonts w:ascii="Traditional Arabic" w:hAnsi="Traditional Arabic" w:cs="Traditional Arabic"/>
        </w:rPr>
        <w:t xml:space="preserve">. </w:t>
      </w:r>
      <w:r w:rsidRPr="007C544A">
        <w:rPr>
          <w:rFonts w:ascii="Traditional Arabic" w:hAnsi="Traditional Arabic" w:cs="Traditional Arabic"/>
          <w:rtl/>
        </w:rPr>
        <w:t>وفي المملكة العربية السعودية، تضطلع الهيئة العامة للمنافسة والجهات المعنية بحماية المستهلك بأدوار رقابية مهمة في هذا المجال، إذ تتمتع الجهات المختصة بالصلاحيات القانونية والفنية اللازمة لرصد الممارسات الاحتكارية والحد منها، ولا سيما تلك التي قد تنتج عن دمج الشركات، مع دعمها بالموارد البشرية والمالية اللازمة، وتطوير اللوائح والأنظمة المنظمة لعملها</w:t>
      </w:r>
      <w:r w:rsidRPr="007C544A">
        <w:rPr>
          <w:rFonts w:ascii="Traditional Arabic" w:hAnsi="Traditional Arabic" w:cs="Traditional Arabic"/>
        </w:rPr>
        <w:t>.</w:t>
      </w:r>
    </w:p>
    <w:p w:rsidR="00C65860" w:rsidRPr="007C544A" w:rsidRDefault="0034156D" w:rsidP="0034156D">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 xml:space="preserve"> </w:t>
      </w:r>
      <w:r w:rsidR="00C65860" w:rsidRPr="007C544A">
        <w:rPr>
          <w:rFonts w:ascii="Traditional Arabic" w:hAnsi="Traditional Arabic" w:cs="Traditional Arabic"/>
          <w:rtl/>
        </w:rPr>
        <w:t xml:space="preserve">(الهيئة العامة للمنافسة، 2023؛ وزارة التجارة، 2022؛ جهاز حماية المستهلك، 2023؛ </w:t>
      </w:r>
      <w:r w:rsidR="00C65860" w:rsidRPr="007C544A">
        <w:rPr>
          <w:rFonts w:ascii="Traditional Arabic" w:hAnsi="Traditional Arabic" w:cs="Traditional Arabic"/>
        </w:rPr>
        <w:t>OECD, 2023</w:t>
      </w:r>
      <w:r w:rsidR="00C65860" w:rsidRPr="007C544A">
        <w:rPr>
          <w:rFonts w:ascii="Traditional Arabic" w:hAnsi="Traditional Arabic" w:cs="Traditional Arabic"/>
          <w:rtl/>
        </w:rPr>
        <w:t>).</w:t>
      </w:r>
    </w:p>
    <w:p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5-</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دعم الشركات الصناعية والإنتاجية</w:t>
      </w:r>
      <w:r w:rsidR="00775B4E" w:rsidRPr="007C544A">
        <w:rPr>
          <w:rFonts w:ascii="Traditional Arabic" w:hAnsi="Traditional Arabic" w:cs="Traditional Arabic"/>
          <w:b/>
          <w:bCs/>
          <w:sz w:val="28"/>
          <w:szCs w:val="28"/>
          <w:rtl/>
        </w:rPr>
        <w:t xml:space="preserve">: </w:t>
      </w:r>
    </w:p>
    <w:p w:rsidR="00F5627F" w:rsidRPr="007C544A" w:rsidRDefault="00F3561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تسعى الدولة إلى دعم الشركات الصناعية والإنتاجية وتعزيز قدرتها على زيادة الإنتاج ورفع كفاءتها التشغيلية، من خلال توفير الحوافز والبرامج التمويلية التي تساعدها على التوسع وتطوير قدراتها الإنتاجية، إلى جانب دعم التحول الرقمي والأتمتة وتحسين كفاءة استخدام الموارد، بما يسهم في تعزيز تنافسية القطاع الصناعي ودعم المحتوى المحلي. وفي هذا الإطار، يقدم صندوق التنمية الصناعية السعودي مجموعة من البرامج والمنتجات التمويلية والحوافز الموجهة إلى المشاريع الصناعية القائمة والجديدة، بما يشمل تمويل التوسع، ورأس المال العامل، وتحسين الكفاءة التشغيلية، والاستحواذ، والتحول الرقمي، بما يدعم نمو القطاع الصناعي واستدامة نشاطه في المملكة (صندوق التنمية الصناعية السعودي، 2024)</w:t>
      </w:r>
      <w:r w:rsidRPr="007C544A">
        <w:rPr>
          <w:rFonts w:ascii="Traditional Arabic" w:eastAsiaTheme="minorHAnsi" w:hAnsi="Traditional Arabic" w:cs="Traditional Arabic"/>
        </w:rPr>
        <w:t>.</w:t>
      </w:r>
    </w:p>
    <w:p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6-</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إحلال الاحتكار الحكومي محل الاحتكار الخاص</w:t>
      </w:r>
      <w:r w:rsidR="00C65860" w:rsidRPr="007C544A">
        <w:rPr>
          <w:rFonts w:ascii="Traditional Arabic" w:hAnsi="Traditional Arabic" w:cs="Traditional Arabic"/>
          <w:b/>
          <w:bCs/>
          <w:sz w:val="28"/>
          <w:szCs w:val="28"/>
          <w:rtl/>
        </w:rPr>
        <w:t>:</w:t>
      </w:r>
    </w:p>
    <w:p w:rsidR="00F3561F" w:rsidRPr="007C544A" w:rsidRDefault="00F3561F" w:rsidP="00F3561F">
      <w:pPr>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قد يكون الاندماج بين الشركات وسيلة لتحقيق بعض الأهداف الاقتصادية والتنموية، من خلال تعزيز قدرة الشركات على مواجهة تقلبات الأسواق، ورفع كفاءة الإنتاج والتشغيل، ودعم استقرار بعض القطاعات الاقتصادية. كما قد تتدخل الدولة في تنظيم عمليات الاندماج والتركز الاقتصادي، بما يحقق التوازن بين دعم كفاءة الشركات وحماية المنافسة والحد من الممارسات الاحتكارية. ويظهر ذلك بصورة خاصة في القطاع المصرفي، حيث شهدت المملكة العربية السعودية عمليات اندماج مصرفية هدفت إلى تعزيز قوة المؤسسات المالية ورفع كفاءتها ودعم قدرتها على المنافسة والاستقرار المالي (البنك المركزي السعودي، 2022)</w:t>
      </w:r>
      <w:r w:rsidRPr="007C544A">
        <w:rPr>
          <w:rFonts w:ascii="Traditional Arabic" w:hAnsi="Traditional Arabic" w:cs="Traditional Arabic"/>
          <w:sz w:val="24"/>
          <w:szCs w:val="24"/>
        </w:rPr>
        <w:t>.</w:t>
      </w:r>
    </w:p>
    <w:p w:rsidR="00913E04" w:rsidRPr="007C544A" w:rsidRDefault="00913E04" w:rsidP="00F3561F">
      <w:pPr>
        <w:bidi/>
        <w:spacing w:after="0" w:line="360" w:lineRule="auto"/>
        <w:rPr>
          <w:rFonts w:ascii="Traditional Arabic" w:hAnsi="Traditional Arabic" w:cs="Traditional Arabic"/>
          <w:b/>
          <w:bCs/>
          <w:sz w:val="28"/>
          <w:szCs w:val="28"/>
          <w:rtl/>
        </w:rPr>
      </w:pPr>
    </w:p>
    <w:p w:rsidR="00913E04" w:rsidRPr="007C544A" w:rsidRDefault="00913E04" w:rsidP="00913E04">
      <w:pPr>
        <w:bidi/>
        <w:spacing w:after="0" w:line="360" w:lineRule="auto"/>
        <w:rPr>
          <w:rFonts w:ascii="Traditional Arabic" w:hAnsi="Traditional Arabic" w:cs="Traditional Arabic"/>
          <w:b/>
          <w:bCs/>
          <w:sz w:val="28"/>
          <w:szCs w:val="28"/>
          <w:rtl/>
        </w:rPr>
      </w:pPr>
    </w:p>
    <w:p w:rsidR="00913E04" w:rsidRPr="007C544A" w:rsidRDefault="00913E04" w:rsidP="00913E04">
      <w:pPr>
        <w:bidi/>
        <w:spacing w:after="0" w:line="360" w:lineRule="auto"/>
        <w:rPr>
          <w:rFonts w:ascii="Traditional Arabic" w:hAnsi="Traditional Arabic" w:cs="Traditional Arabic"/>
          <w:b/>
          <w:bCs/>
          <w:sz w:val="28"/>
          <w:szCs w:val="28"/>
          <w:rtl/>
        </w:rPr>
      </w:pPr>
    </w:p>
    <w:p w:rsidR="00F5627F" w:rsidRPr="007C544A" w:rsidRDefault="00AD6BD4" w:rsidP="00913E04">
      <w:pPr>
        <w:bidi/>
        <w:spacing w:after="0" w:line="360" w:lineRule="auto"/>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خلاصة الفصل الثاني</w:t>
      </w:r>
      <w:r w:rsidR="00775B4E" w:rsidRPr="007C544A">
        <w:rPr>
          <w:rFonts w:ascii="Traditional Arabic" w:hAnsi="Traditional Arabic" w:cs="Traditional Arabic"/>
          <w:b/>
          <w:bCs/>
          <w:sz w:val="28"/>
          <w:szCs w:val="28"/>
          <w:rtl/>
        </w:rPr>
        <w:t xml:space="preserve">: </w:t>
      </w:r>
    </w:p>
    <w:p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تناول هذا الفصل الإطار المفاهيمي والقانوني المرتبط بعملية اندماج الشركات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مع التركيز على دور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w:t>
      </w:r>
      <w:r w:rsidR="00C65860" w:rsidRPr="007C544A">
        <w:rPr>
          <w:rFonts w:ascii="Traditional Arabic" w:hAnsi="Traditional Arabic" w:cs="Traditional Arabic"/>
          <w:rtl/>
        </w:rPr>
        <w:t>كاستراتيجية</w:t>
      </w:r>
      <w:r w:rsidRPr="007C544A">
        <w:rPr>
          <w:rFonts w:ascii="Traditional Arabic" w:hAnsi="Traditional Arabic" w:cs="Traditional Arabic"/>
          <w:rtl/>
        </w:rPr>
        <w:t xml:space="preserve"> لدخول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لمعروفة أيضًا بالسوق الموازية) في المملكة العربية السعودية</w:t>
      </w:r>
      <w:r w:rsidRPr="007C544A">
        <w:rPr>
          <w:rFonts w:ascii="Traditional Arabic" w:hAnsi="Traditional Arabic" w:cs="Traditional Arabic"/>
        </w:rPr>
        <w:t>.</w:t>
      </w:r>
    </w:p>
    <w:p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بدأ الفصل بتوضيح المفهوم العام للاندماج باعتباره وسيلة قانونية وإدارية تهدف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توحيد شركتين أو أكثر لتكوين كيان اقتصادي جديد أو انضمام إحدى الشركات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الأخرى. وتم استعراض أنواع </w:t>
      </w:r>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لا سيما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بطريق الضم والمزج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مع شرح الإجراءات والآثار القانونية والإدارية لكل نوع</w:t>
      </w:r>
      <w:r w:rsidRPr="007C544A">
        <w:rPr>
          <w:rFonts w:ascii="Traditional Arabic" w:hAnsi="Traditional Arabic" w:cs="Traditional Arabic"/>
        </w:rPr>
        <w:t>.</w:t>
      </w:r>
    </w:p>
    <w:p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ثم تم التطرق</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سوق النمو– 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باعتبارها منصة بديلة في السوق المالية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صُمّمت لتوفير فرص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للشركات الصغيرة والمتوسطة التي تسعى</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التوسع دون الخضوع لنفس متطلبات السوق الرئيسية. وتم عرض مؤشرات تطور أداء سوق نمو خلال الفترة من 2017</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2023</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حيث عدد الشركات المدرجة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مؤشر السوق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والقيمة السوقية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مما أبرز نموًا ملحوظًا في عدد الشركات وانتقال بعض منها</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السوق الرئيسية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تاسي)</w:t>
      </w:r>
      <w:r w:rsidRPr="007C544A">
        <w:rPr>
          <w:rFonts w:ascii="Traditional Arabic" w:hAnsi="Traditional Arabic" w:cs="Traditional Arabic"/>
        </w:rPr>
        <w:t>.</w:t>
      </w:r>
    </w:p>
    <w:p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ناقش الفصل دوافع اندماج الشركات في سياق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والتي شملت دوافع اقتصادية تتعلق بالبقاء في السوق ومواجهة الأزمات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دوافع تتعلق بالتوسع الجغرافي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وتجاوز قيود ضيق الأسواق من خلال الوصول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أسواق جديدة عبر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Pr>
        <w:t>.</w:t>
      </w:r>
    </w:p>
    <w:p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وأخيرًا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تم عرض الدور الرقابي والتنظيمي للدولة في ضبط عمليات </w:t>
      </w:r>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خلال تفعيل دور أجهزة مثل الهيئة العامة للمنافسة وجمعيات حماية المستهلك</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لمواجهة أي ممارسات احتكارية قد تنتج عن </w:t>
      </w:r>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وتطوير الأطر القانونية التي تنظم هذه العمليات في السوق السعودية والمصرية على حد سواء</w:t>
      </w:r>
      <w:r w:rsidRPr="007C544A">
        <w:rPr>
          <w:rFonts w:ascii="Traditional Arabic" w:hAnsi="Traditional Arabic" w:cs="Traditional Arabic"/>
        </w:rPr>
        <w:t>.</w:t>
      </w:r>
    </w:p>
    <w:p w:rsidR="00F5627F" w:rsidRPr="007C544A" w:rsidRDefault="00F5627F" w:rsidP="00706522">
      <w:pPr>
        <w:pStyle w:val="a"/>
        <w:shd w:val="clear" w:color="auto" w:fill="FFFFFF" w:themeFill="background1"/>
        <w:spacing w:line="360" w:lineRule="auto"/>
        <w:ind w:firstLine="720"/>
        <w:jc w:val="both"/>
        <w:rPr>
          <w:rFonts w:ascii="Traditional Arabic" w:hAnsi="Traditional Arabic" w:cs="Traditional Arabic"/>
          <w:sz w:val="24"/>
          <w:szCs w:val="24"/>
          <w:rtl/>
        </w:rPr>
      </w:pPr>
    </w:p>
    <w:p w:rsidR="00CE726E" w:rsidRPr="007C544A" w:rsidRDefault="00CE726E" w:rsidP="00706522">
      <w:pPr>
        <w:pStyle w:val="a"/>
        <w:shd w:val="clear" w:color="auto" w:fill="FFFFFF" w:themeFill="background1"/>
        <w:spacing w:line="360" w:lineRule="auto"/>
        <w:ind w:firstLine="720"/>
        <w:jc w:val="both"/>
        <w:rPr>
          <w:rFonts w:cs="Simplified Arabic"/>
          <w:sz w:val="28"/>
          <w:szCs w:val="28"/>
          <w:rtl/>
        </w:rPr>
        <w:sectPr w:rsidR="00CE726E" w:rsidRPr="007C544A" w:rsidSect="00567003">
          <w:headerReference w:type="default" r:id="rId18"/>
          <w:headerReference w:type="first" r:id="rId19"/>
          <w:pgSz w:w="11906" w:h="16838" w:code="9"/>
          <w:pgMar w:top="1440" w:right="1800" w:bottom="1440" w:left="1800" w:header="720" w:footer="720" w:gutter="0"/>
          <w:pgNumType w:fmt="numberInDash" w:chapStyle="1"/>
          <w:cols w:space="720"/>
          <w:titlePg/>
          <w:docGrid w:linePitch="299"/>
        </w:sectPr>
      </w:pPr>
    </w:p>
    <w:p w:rsidR="0001424C" w:rsidRPr="007C544A" w:rsidRDefault="0001424C" w:rsidP="00706522">
      <w:pPr>
        <w:pStyle w:val="a"/>
        <w:shd w:val="clear" w:color="auto" w:fill="FFFFFF" w:themeFill="background1"/>
        <w:spacing w:line="360" w:lineRule="auto"/>
        <w:rPr>
          <w:rFonts w:ascii="Traditional Arabic" w:hAnsi="Traditional Arabic" w:cs="Traditional Arabic"/>
          <w:b/>
          <w:bCs/>
          <w:sz w:val="38"/>
          <w:szCs w:val="38"/>
          <w:rtl/>
        </w:rPr>
      </w:pPr>
      <w:r w:rsidRPr="007C544A">
        <w:rPr>
          <w:rFonts w:ascii="Traditional Arabic" w:hAnsi="Traditional Arabic" w:cs="Traditional Arabic"/>
          <w:b/>
          <w:bCs/>
          <w:sz w:val="38"/>
          <w:szCs w:val="38"/>
          <w:rtl/>
        </w:rPr>
        <w:lastRenderedPageBreak/>
        <w:t>الفصل الثالث</w:t>
      </w:r>
    </w:p>
    <w:p w:rsidR="0001424C" w:rsidRPr="007C544A" w:rsidRDefault="0001424C" w:rsidP="00706522">
      <w:pPr>
        <w:pStyle w:val="a"/>
        <w:shd w:val="clear" w:color="auto" w:fill="FFFFFF" w:themeFill="background1"/>
        <w:spacing w:line="360" w:lineRule="auto"/>
        <w:rPr>
          <w:rFonts w:ascii="Traditional Arabic" w:hAnsi="Traditional Arabic" w:cs="Traditional Arabic"/>
          <w:b/>
          <w:bCs/>
          <w:sz w:val="38"/>
          <w:szCs w:val="38"/>
          <w:rtl/>
        </w:rPr>
      </w:pPr>
      <w:r w:rsidRPr="007C544A">
        <w:rPr>
          <w:rFonts w:ascii="Traditional Arabic" w:hAnsi="Traditional Arabic" w:cs="Traditional Arabic"/>
          <w:b/>
          <w:bCs/>
          <w:sz w:val="38"/>
          <w:szCs w:val="38"/>
          <w:rtl/>
        </w:rPr>
        <w:t>منهجية الدراسة</w:t>
      </w:r>
    </w:p>
    <w:tbl>
      <w:tblPr>
        <w:tblStyle w:val="TableGrid"/>
        <w:bidiVisual/>
        <w:tblW w:w="8555" w:type="dxa"/>
        <w:tblInd w:w="-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55"/>
      </w:tblGrid>
      <w:tr w:rsidR="00796B61" w:rsidRPr="007C544A" w:rsidTr="005032C6">
        <w:tc>
          <w:tcPr>
            <w:tcW w:w="8555" w:type="dxa"/>
          </w:tcPr>
          <w:p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تمهيد</w:t>
            </w:r>
            <w:r w:rsidR="00C9424A" w:rsidRPr="007C544A">
              <w:rPr>
                <w:rFonts w:ascii="Traditional Arabic" w:hAnsi="Traditional Arabic" w:cs="Traditional Arabic"/>
                <w:b/>
                <w:bCs/>
                <w:sz w:val="32"/>
                <w:szCs w:val="32"/>
                <w:rtl/>
                <w:lang w:bidi="ar-EG"/>
              </w:rPr>
              <w:t>.</w:t>
            </w:r>
          </w:p>
        </w:tc>
      </w:tr>
      <w:tr w:rsidR="00796B61" w:rsidRPr="007C544A" w:rsidTr="005032C6">
        <w:tc>
          <w:tcPr>
            <w:tcW w:w="8555" w:type="dxa"/>
          </w:tcPr>
          <w:p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أولاً</w:t>
            </w:r>
            <w:r w:rsidR="00796B61" w:rsidRPr="007C544A">
              <w:rPr>
                <w:rFonts w:ascii="Traditional Arabic" w:hAnsi="Traditional Arabic" w:cs="Traditional Arabic"/>
                <w:b/>
                <w:bCs/>
                <w:sz w:val="32"/>
                <w:szCs w:val="32"/>
                <w:rtl/>
                <w:lang w:bidi="ar-EG"/>
              </w:rPr>
              <w:t>- منهج الدراسة</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rsidTr="005032C6">
        <w:tc>
          <w:tcPr>
            <w:tcW w:w="8555" w:type="dxa"/>
          </w:tcPr>
          <w:p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ثانياً- </w:t>
            </w:r>
            <w:r w:rsidR="00796B61" w:rsidRPr="007C544A">
              <w:rPr>
                <w:rFonts w:ascii="Traditional Arabic" w:hAnsi="Traditional Arabic" w:cs="Traditional Arabic"/>
                <w:b/>
                <w:bCs/>
                <w:sz w:val="32"/>
                <w:szCs w:val="32"/>
                <w:rtl/>
                <w:lang w:bidi="ar-EG"/>
              </w:rPr>
              <w:t>أنواع البيانات المطلوبة</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rsidTr="005032C6">
        <w:tc>
          <w:tcPr>
            <w:tcW w:w="8555" w:type="dxa"/>
          </w:tcPr>
          <w:p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ثالثاً- </w:t>
            </w:r>
            <w:r w:rsidR="00796B61" w:rsidRPr="007C544A">
              <w:rPr>
                <w:rFonts w:ascii="Traditional Arabic" w:hAnsi="Traditional Arabic" w:cs="Traditional Arabic"/>
                <w:b/>
                <w:bCs/>
                <w:sz w:val="32"/>
                <w:szCs w:val="32"/>
                <w:rtl/>
                <w:lang w:bidi="ar-EG"/>
              </w:rPr>
              <w:t>مجتمع وعينة الدراسة</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rsidTr="005032C6">
        <w:tc>
          <w:tcPr>
            <w:tcW w:w="8555" w:type="dxa"/>
          </w:tcPr>
          <w:p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رابعاً- </w:t>
            </w:r>
            <w:r w:rsidR="00796B61" w:rsidRPr="007C544A">
              <w:rPr>
                <w:rFonts w:ascii="Traditional Arabic" w:hAnsi="Traditional Arabic" w:cs="Traditional Arabic"/>
                <w:b/>
                <w:bCs/>
                <w:sz w:val="32"/>
                <w:szCs w:val="32"/>
                <w:rtl/>
                <w:lang w:bidi="ar-EG"/>
              </w:rPr>
              <w:t>أداة جمع البيانات الأولية وقياس المتغيرات</w:t>
            </w:r>
            <w:r w:rsidR="00C9424A" w:rsidRPr="007C544A">
              <w:rPr>
                <w:rFonts w:ascii="Traditional Arabic" w:hAnsi="Traditional Arabic" w:cs="Traditional Arabic"/>
                <w:b/>
                <w:bCs/>
                <w:sz w:val="32"/>
                <w:szCs w:val="32"/>
                <w:rtl/>
                <w:lang w:bidi="ar-EG"/>
              </w:rPr>
              <w:t>.</w:t>
            </w:r>
            <w:r w:rsidR="00796B61" w:rsidRPr="007C544A">
              <w:rPr>
                <w:rFonts w:ascii="Traditional Arabic" w:hAnsi="Traditional Arabic" w:cs="Traditional Arabic"/>
                <w:b/>
                <w:bCs/>
                <w:sz w:val="32"/>
                <w:szCs w:val="32"/>
                <w:rtl/>
                <w:lang w:bidi="ar-EG"/>
              </w:rPr>
              <w:t xml:space="preserve"> </w:t>
            </w:r>
          </w:p>
        </w:tc>
      </w:tr>
      <w:tr w:rsidR="00796B61" w:rsidRPr="007C544A" w:rsidTr="005032C6">
        <w:tc>
          <w:tcPr>
            <w:tcW w:w="8555" w:type="dxa"/>
          </w:tcPr>
          <w:p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خامساً- أساليب تحليل البيانات</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rsidTr="005032C6">
        <w:tc>
          <w:tcPr>
            <w:tcW w:w="8555" w:type="dxa"/>
          </w:tcPr>
          <w:p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سادساً- اختبار الصدق</w:t>
            </w:r>
            <w:r w:rsidR="00D7278E" w:rsidRPr="007C544A">
              <w:rPr>
                <w:rFonts w:ascii="Traditional Arabic" w:hAnsi="Traditional Arabic" w:cs="Traditional Arabic"/>
                <w:b/>
                <w:bCs/>
                <w:sz w:val="32"/>
                <w:szCs w:val="32"/>
                <w:rtl/>
                <w:lang w:bidi="ar-EG"/>
              </w:rPr>
              <w:t xml:space="preserve"> </w:t>
            </w:r>
            <w:r w:rsidRPr="007C544A">
              <w:rPr>
                <w:rFonts w:ascii="Traditional Arabic" w:hAnsi="Traditional Arabic" w:cs="Traditional Arabic"/>
                <w:b/>
                <w:bCs/>
                <w:sz w:val="32"/>
                <w:szCs w:val="32"/>
                <w:rtl/>
                <w:lang w:bidi="ar-EG"/>
              </w:rPr>
              <w:t>والثبات</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rsidTr="005032C6">
        <w:tc>
          <w:tcPr>
            <w:tcW w:w="8555" w:type="dxa"/>
          </w:tcPr>
          <w:p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خلاصة الفصل الثالث الاطار المنهجي</w:t>
            </w:r>
            <w:r w:rsidR="00C9424A" w:rsidRPr="007C544A">
              <w:rPr>
                <w:rFonts w:ascii="Traditional Arabic" w:hAnsi="Traditional Arabic" w:cs="Traditional Arabic"/>
                <w:b/>
                <w:bCs/>
                <w:sz w:val="32"/>
                <w:szCs w:val="32"/>
                <w:rtl/>
                <w:lang w:bidi="ar-EG"/>
              </w:rPr>
              <w:t>.</w:t>
            </w:r>
            <w:r w:rsidRPr="007C544A">
              <w:rPr>
                <w:rFonts w:ascii="Traditional Arabic" w:hAnsi="Traditional Arabic" w:cs="Traditional Arabic"/>
                <w:b/>
                <w:bCs/>
                <w:sz w:val="32"/>
                <w:szCs w:val="32"/>
                <w:rtl/>
                <w:lang w:bidi="ar-EG"/>
              </w:rPr>
              <w:t xml:space="preserve"> </w:t>
            </w:r>
          </w:p>
        </w:tc>
      </w:tr>
    </w:tbl>
    <w:p w:rsidR="009D1159" w:rsidRPr="007C544A" w:rsidRDefault="00F553CE" w:rsidP="00F553CE">
      <w:pPr>
        <w:shd w:val="clear" w:color="auto" w:fill="FFFFFF" w:themeFill="background1"/>
        <w:tabs>
          <w:tab w:val="left" w:pos="6776"/>
        </w:tabs>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tab/>
      </w:r>
    </w:p>
    <w:p w:rsidR="009D1159" w:rsidRPr="007C544A" w:rsidRDefault="009D1159"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rsidR="005032C6" w:rsidRPr="007C544A" w:rsidRDefault="005032C6" w:rsidP="00706522">
      <w:pPr>
        <w:spacing w:after="0" w:line="360" w:lineRule="auto"/>
        <w:rPr>
          <w:rFonts w:ascii="Times New Roman" w:hAnsi="Times New Roman" w:cs="Simplified Arabic"/>
          <w:sz w:val="28"/>
          <w:szCs w:val="28"/>
          <w:rtl/>
          <w:lang w:bidi="ar-EG"/>
        </w:rPr>
      </w:pPr>
      <w:r w:rsidRPr="007C544A">
        <w:rPr>
          <w:rFonts w:ascii="Times New Roman" w:hAnsi="Times New Roman" w:cs="Simplified Arabic"/>
          <w:sz w:val="28"/>
          <w:szCs w:val="28"/>
          <w:rtl/>
        </w:rPr>
        <w:br w:type="page"/>
      </w:r>
    </w:p>
    <w:p w:rsidR="00CE726E" w:rsidRPr="007C544A" w:rsidRDefault="00CE726E"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الفصل الثالث</w:t>
      </w:r>
    </w:p>
    <w:p w:rsidR="00CE726E" w:rsidRPr="007C544A" w:rsidRDefault="00CE726E"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t xml:space="preserve">منهجية الدراسة </w:t>
      </w:r>
    </w:p>
    <w:p w:rsidR="00C54650" w:rsidRPr="007C544A" w:rsidRDefault="000C533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ت</w:t>
      </w:r>
      <w:r w:rsidR="00C54650" w:rsidRPr="007C544A">
        <w:rPr>
          <w:rFonts w:ascii="Traditional Arabic" w:hAnsi="Traditional Arabic" w:cs="Traditional Arabic"/>
          <w:b/>
          <w:bCs/>
          <w:sz w:val="28"/>
          <w:szCs w:val="28"/>
          <w:rtl/>
        </w:rPr>
        <w:t>مهيد</w:t>
      </w:r>
      <w:r w:rsidR="00775B4E" w:rsidRPr="007C544A">
        <w:rPr>
          <w:rFonts w:ascii="Traditional Arabic" w:hAnsi="Traditional Arabic" w:cs="Traditional Arabic"/>
          <w:b/>
          <w:bCs/>
          <w:sz w:val="28"/>
          <w:szCs w:val="28"/>
          <w:rtl/>
        </w:rPr>
        <w:t xml:space="preserve">: </w:t>
      </w:r>
    </w:p>
    <w:p w:rsidR="0020222D" w:rsidRPr="007C544A" w:rsidRDefault="0020222D"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تعتبر منهجية الدراسة وإجراءاتها محوراً رئيسياً للدراسة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ويتم من خلالها الحصول على البيانات المطلوبة لإجراء التحليل ال</w:t>
      </w:r>
      <w:r w:rsidR="004C5D0F" w:rsidRPr="007C544A">
        <w:rPr>
          <w:rFonts w:ascii="Traditional Arabic" w:hAnsi="Traditional Arabic" w:cs="Traditional Arabic"/>
          <w:sz w:val="24"/>
          <w:szCs w:val="24"/>
          <w:rtl/>
        </w:rPr>
        <w:t>إحصائي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والتعرف على آراء واتجاهات لأفراد محل الدراسة للتوصل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النتائج الت</w:t>
      </w:r>
      <w:r w:rsidR="00C9424A" w:rsidRPr="007C544A">
        <w:rPr>
          <w:rFonts w:ascii="Traditional Arabic" w:hAnsi="Traditional Arabic" w:cs="Traditional Arabic"/>
          <w:sz w:val="24"/>
          <w:szCs w:val="24"/>
          <w:rtl/>
        </w:rPr>
        <w:t>ي</w:t>
      </w:r>
      <w:r w:rsidRPr="007C544A">
        <w:rPr>
          <w:rFonts w:ascii="Traditional Arabic" w:hAnsi="Traditional Arabic" w:cs="Traditional Arabic"/>
          <w:sz w:val="24"/>
          <w:szCs w:val="24"/>
          <w:rtl/>
        </w:rPr>
        <w:t xml:space="preserve"> يتم تفسيرها في ضوء موضوع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وتساعد منهجية الدراسة في توضيح الأساليب والوسائل المتبعة في إعداد الرسائل العلمية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فيما يتعلق بالدراسة الميدانية ً</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وأساليب والوسائل المتبعة في إعداد الدراسة بخصوص ذلك من خلال إجراء اختبارات فروض ومتغيرات الدراسة وقياسها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وكذلك تعمل على توصيف المنهجية والإجراءات الت</w:t>
      </w:r>
      <w:r w:rsidR="00C9424A" w:rsidRPr="007C544A">
        <w:rPr>
          <w:rFonts w:ascii="Traditional Arabic" w:hAnsi="Traditional Arabic" w:cs="Traditional Arabic"/>
          <w:sz w:val="24"/>
          <w:szCs w:val="24"/>
          <w:rtl/>
        </w:rPr>
        <w:t>ي</w:t>
      </w:r>
      <w:r w:rsidRPr="007C544A">
        <w:rPr>
          <w:rFonts w:ascii="Traditional Arabic" w:hAnsi="Traditional Arabic" w:cs="Traditional Arabic"/>
          <w:sz w:val="24"/>
          <w:szCs w:val="24"/>
          <w:rtl/>
        </w:rPr>
        <w:t xml:space="preserve"> اتبعها الباحث في تحديد مجتمع وعينة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ومنهج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وأداة الدراسة والصدق والثبات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بالإضافة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توضيح أساليب جمع البيانات ومعدل الاستجابة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وآلية تحليل ومعالجة البيانات بعد تجميعها. </w:t>
      </w:r>
    </w:p>
    <w:p w:rsidR="0020222D" w:rsidRPr="007C544A" w:rsidRDefault="0020222D"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لذلك سوف يتناول هذا الفصل الأسلوب المتبع في الدراسة وتحديد نوع ومصادر البيانات المستخدمة في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وكذلك تحديد مجتمع وعينة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وطرق جمع البيانات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وأساليب التحليل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 xml:space="preserve"> للبيانات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ومعاملات الصدق والثبات لقائمة الاستبيان</w:t>
      </w:r>
      <w:r w:rsidRPr="007C544A">
        <w:rPr>
          <w:rFonts w:ascii="Traditional Arabic" w:hAnsi="Traditional Arabic" w:cs="Traditional Arabic"/>
          <w:sz w:val="24"/>
          <w:szCs w:val="24"/>
        </w:rPr>
        <w:t>.</w:t>
      </w:r>
    </w:p>
    <w:p w:rsidR="00C54650"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أولاً</w:t>
      </w:r>
      <w:r w:rsidR="00AE37A6" w:rsidRPr="007C544A">
        <w:rPr>
          <w:rFonts w:ascii="Traditional Arabic" w:hAnsi="Traditional Arabic" w:cs="Traditional Arabic"/>
          <w:b/>
          <w:bCs/>
          <w:sz w:val="28"/>
          <w:szCs w:val="28"/>
          <w:rtl/>
        </w:rPr>
        <w:t xml:space="preserve">- </w:t>
      </w:r>
      <w:r w:rsidR="00A6123B" w:rsidRPr="007C544A">
        <w:rPr>
          <w:rFonts w:ascii="Traditional Arabic" w:hAnsi="Traditional Arabic" w:cs="Traditional Arabic"/>
          <w:b/>
          <w:bCs/>
          <w:sz w:val="28"/>
          <w:szCs w:val="28"/>
          <w:rtl/>
        </w:rPr>
        <w:t>منهج</w:t>
      </w:r>
      <w:r w:rsidR="00C54650" w:rsidRPr="007C544A">
        <w:rPr>
          <w:rFonts w:ascii="Traditional Arabic" w:hAnsi="Traditional Arabic" w:cs="Traditional Arabic"/>
          <w:b/>
          <w:bCs/>
          <w:sz w:val="28"/>
          <w:szCs w:val="28"/>
          <w:rtl/>
        </w:rPr>
        <w:t xml:space="preserve"> الدراسة</w:t>
      </w:r>
      <w:r w:rsidR="00775B4E" w:rsidRPr="007C544A">
        <w:rPr>
          <w:rFonts w:ascii="Traditional Arabic" w:hAnsi="Traditional Arabic" w:cs="Traditional Arabic"/>
          <w:b/>
          <w:bCs/>
          <w:sz w:val="28"/>
          <w:szCs w:val="28"/>
          <w:rtl/>
        </w:rPr>
        <w:t xml:space="preserve">: </w:t>
      </w:r>
    </w:p>
    <w:p w:rsidR="009E5452" w:rsidRPr="007C544A" w:rsidRDefault="009E5452" w:rsidP="002D00D3">
      <w:pPr>
        <w:pStyle w:val="NormalWeb"/>
        <w:numPr>
          <w:ilvl w:val="0"/>
          <w:numId w:val="4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منهج الدراسة</w:t>
      </w:r>
      <w:r w:rsidR="00775B4E" w:rsidRPr="007C544A">
        <w:rPr>
          <w:rFonts w:ascii="Traditional Arabic" w:eastAsiaTheme="minorHAnsi" w:hAnsi="Traditional Arabic" w:cs="Traditional Arabic"/>
          <w:b/>
          <w:bCs/>
          <w:rtl/>
        </w:rPr>
        <w:t xml:space="preserve">: </w:t>
      </w:r>
    </w:p>
    <w:p w:rsidR="00C9424A"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تتطلب طبيعة الدراسة والأهداف التي تسعى</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تحقيقها الاعتماد على المنهج المناسب</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والذي يحقق تلك الأهداف ودراسة المشكلة بشكل أفضل لذا لجأ الباحث</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استخدام المنهج المناسب. وكان هذا المنهج هو المنهج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الوصفي التحليلي</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الذي يجمع بين المقاربة الكمية من خلال الاستبيانات والمقاربة النوعية عبر المقابلات المتعمقة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بهدف تحليل الظاهرة موضوع الدراسة. ويُستخدم هذا المنهج في إطار التصميم البحثي الكمي لوصف الظاهرة وأبعادها المختلفة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والكشف عن طبيعة العلاقات بين متغيراتها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اعتمادًا على بيانات قابلة للقياس والتحليل ال</w:t>
      </w:r>
      <w:r w:rsidR="004C5D0F" w:rsidRPr="007C544A">
        <w:rPr>
          <w:rFonts w:ascii="Traditional Arabic" w:eastAsiaTheme="minorHAnsi" w:hAnsi="Traditional Arabic" w:cs="Traditional Arabic"/>
          <w:rtl/>
        </w:rPr>
        <w:t>إحصائي</w:t>
      </w:r>
      <w:r w:rsidRPr="007C544A">
        <w:rPr>
          <w:rFonts w:ascii="Traditional Arabic" w:eastAsiaTheme="minorHAnsi" w:hAnsi="Traditional Arabic" w:cs="Traditional Arabic"/>
          <w:rtl/>
        </w:rPr>
        <w:t>. ويُعد المنهج ملائمًا لطبيعة الدراسة وأهدافها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حيث يتيح اختبار الفروض وتحليل أثر المتغيرات المستقلة على المتغيرات التابعة باستخدام الأساليب ال</w:t>
      </w:r>
      <w:r w:rsidR="004C5D0F" w:rsidRPr="007C544A">
        <w:rPr>
          <w:rFonts w:ascii="Traditional Arabic" w:eastAsiaTheme="minorHAnsi" w:hAnsi="Traditional Arabic" w:cs="Traditional Arabic"/>
          <w:rtl/>
        </w:rPr>
        <w:t>إحصائي</w:t>
      </w:r>
      <w:r w:rsidRPr="007C544A">
        <w:rPr>
          <w:rFonts w:ascii="Traditional Arabic" w:eastAsiaTheme="minorHAnsi" w:hAnsi="Traditional Arabic" w:cs="Traditional Arabic"/>
          <w:rtl/>
        </w:rPr>
        <w:t>ة المناسبة</w:t>
      </w:r>
      <w:r w:rsidR="00C9424A" w:rsidRPr="007C544A">
        <w:rPr>
          <w:rFonts w:ascii="Traditional Arabic" w:eastAsiaTheme="minorHAnsi" w:hAnsi="Traditional Arabic" w:cs="Traditional Arabic"/>
          <w:rtl/>
        </w:rPr>
        <w:t>".</w:t>
      </w:r>
    </w:p>
    <w:p w:rsidR="00A6123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ثانياً- </w:t>
      </w:r>
      <w:r w:rsidR="00A6123B" w:rsidRPr="007C544A">
        <w:rPr>
          <w:rFonts w:ascii="Traditional Arabic" w:hAnsi="Traditional Arabic" w:cs="Traditional Arabic"/>
          <w:b/>
          <w:bCs/>
          <w:sz w:val="28"/>
          <w:szCs w:val="28"/>
          <w:rtl/>
        </w:rPr>
        <w:t>أنواع البيانات المطلوبة</w:t>
      </w:r>
      <w:r w:rsidR="00775B4E" w:rsidRPr="007C544A">
        <w:rPr>
          <w:rFonts w:ascii="Traditional Arabic" w:hAnsi="Traditional Arabic" w:cs="Traditional Arabic"/>
          <w:b/>
          <w:bCs/>
          <w:sz w:val="28"/>
          <w:szCs w:val="28"/>
          <w:rtl/>
        </w:rPr>
        <w:t xml:space="preserve">: </w:t>
      </w:r>
    </w:p>
    <w:p w:rsidR="00C54650"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اعتمد</w:t>
      </w:r>
      <w:r w:rsidR="0020222D" w:rsidRPr="007C544A">
        <w:rPr>
          <w:rFonts w:ascii="Traditional Arabic" w:eastAsiaTheme="minorHAnsi" w:hAnsi="Traditional Arabic" w:cs="Traditional Arabic"/>
          <w:rtl/>
        </w:rPr>
        <w:t xml:space="preserve"> الباحث نوعين من مصادر البيانات</w:t>
      </w:r>
      <w:r w:rsidR="00D7278E" w:rsidRPr="007C544A">
        <w:rPr>
          <w:rFonts w:ascii="Traditional Arabic" w:eastAsiaTheme="minorHAnsi" w:hAnsi="Traditional Arabic" w:cs="Traditional Arabic"/>
          <w:rtl/>
        </w:rPr>
        <w:t xml:space="preserve">، </w:t>
      </w:r>
      <w:r w:rsidR="00674B70" w:rsidRPr="007C544A">
        <w:rPr>
          <w:rFonts w:ascii="Traditional Arabic" w:eastAsiaTheme="minorHAnsi" w:hAnsi="Traditional Arabic" w:cs="Traditional Arabic"/>
          <w:rtl/>
        </w:rPr>
        <w:t>و</w:t>
      </w:r>
      <w:r w:rsidR="00B32E0C" w:rsidRPr="007C544A">
        <w:rPr>
          <w:rFonts w:ascii="Traditional Arabic" w:eastAsiaTheme="minorHAnsi" w:hAnsi="Traditional Arabic" w:cs="Traditional Arabic"/>
          <w:rtl/>
        </w:rPr>
        <w:t>يمكن توضيح ذلك كما يأتي</w:t>
      </w:r>
      <w:r w:rsidR="00775B4E" w:rsidRPr="007C544A">
        <w:rPr>
          <w:rFonts w:ascii="Traditional Arabic" w:eastAsiaTheme="minorHAnsi" w:hAnsi="Traditional Arabic" w:cs="Traditional Arabic"/>
          <w:rtl/>
        </w:rPr>
        <w:t xml:space="preserve">: </w:t>
      </w:r>
    </w:p>
    <w:p w:rsidR="00E45833" w:rsidRPr="007C544A" w:rsidRDefault="00C54650"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تم ال</w:t>
      </w:r>
      <w:r w:rsidR="00E52D71" w:rsidRPr="007C544A">
        <w:rPr>
          <w:rFonts w:ascii="Traditional Arabic" w:eastAsiaTheme="minorHAnsi" w:hAnsi="Traditional Arabic" w:cs="Traditional Arabic"/>
          <w:rtl/>
        </w:rPr>
        <w:t>اعتماد</w:t>
      </w:r>
      <w:r w:rsidRPr="007C544A">
        <w:rPr>
          <w:rFonts w:ascii="Traditional Arabic" w:eastAsiaTheme="minorHAnsi" w:hAnsi="Traditional Arabic" w:cs="Traditional Arabic"/>
          <w:rtl/>
        </w:rPr>
        <w:t xml:space="preserve"> على مجموعة من البيانات</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الأولية</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الثانوية</w:t>
      </w:r>
      <w:r w:rsidR="00C83E23"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ذات العلاق</w:t>
      </w:r>
      <w:r w:rsidR="00B32E0C" w:rsidRPr="007C544A">
        <w:rPr>
          <w:rFonts w:ascii="Traditional Arabic" w:eastAsiaTheme="minorHAnsi" w:hAnsi="Traditional Arabic" w:cs="Traditional Arabic"/>
          <w:rtl/>
        </w:rPr>
        <w:t>ة بموضوع الدراسة</w:t>
      </w:r>
      <w:r w:rsidR="00D7278E" w:rsidRPr="007C544A">
        <w:rPr>
          <w:rFonts w:ascii="Traditional Arabic" w:eastAsiaTheme="minorHAnsi" w:hAnsi="Traditional Arabic" w:cs="Traditional Arabic"/>
          <w:rtl/>
        </w:rPr>
        <w:t xml:space="preserve">، </w:t>
      </w:r>
      <w:r w:rsidR="00674B70" w:rsidRPr="007C544A">
        <w:rPr>
          <w:rFonts w:ascii="Traditional Arabic" w:eastAsiaTheme="minorHAnsi" w:hAnsi="Traditional Arabic" w:cs="Traditional Arabic"/>
          <w:rtl/>
        </w:rPr>
        <w:t>و</w:t>
      </w:r>
      <w:r w:rsidR="00B32E0C" w:rsidRPr="007C544A">
        <w:rPr>
          <w:rFonts w:ascii="Traditional Arabic" w:eastAsiaTheme="minorHAnsi" w:hAnsi="Traditional Arabic" w:cs="Traditional Arabic"/>
          <w:rtl/>
        </w:rPr>
        <w:t>تتمثل فيما يأت</w:t>
      </w:r>
      <w:r w:rsidRPr="007C544A">
        <w:rPr>
          <w:rFonts w:ascii="Traditional Arabic" w:eastAsiaTheme="minorHAnsi" w:hAnsi="Traditional Arabic" w:cs="Traditional Arabic"/>
          <w:rtl/>
        </w:rPr>
        <w:t>ي</w:t>
      </w:r>
      <w:r w:rsidR="00775B4E" w:rsidRPr="007C544A">
        <w:rPr>
          <w:rFonts w:ascii="Traditional Arabic" w:eastAsiaTheme="minorHAnsi" w:hAnsi="Traditional Arabic" w:cs="Traditional Arabic"/>
          <w:rtl/>
        </w:rPr>
        <w:t xml:space="preserve">: </w:t>
      </w:r>
    </w:p>
    <w:p w:rsidR="00F553CE" w:rsidRPr="007C544A" w:rsidRDefault="00F553CE"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p>
    <w:p w:rsidR="00F553CE" w:rsidRPr="007C544A" w:rsidRDefault="00F553CE"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p>
    <w:p w:rsidR="00C54650" w:rsidRPr="007C544A" w:rsidRDefault="00A6123B" w:rsidP="002D00D3">
      <w:pPr>
        <w:pStyle w:val="NormalWeb"/>
        <w:numPr>
          <w:ilvl w:val="0"/>
          <w:numId w:val="3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lastRenderedPageBreak/>
        <w:t>البيانات</w:t>
      </w:r>
      <w:r w:rsidR="00C54650" w:rsidRPr="007C544A">
        <w:rPr>
          <w:rFonts w:ascii="Traditional Arabic" w:eastAsiaTheme="minorHAnsi" w:hAnsi="Traditional Arabic" w:cs="Traditional Arabic"/>
          <w:b/>
          <w:bCs/>
          <w:sz w:val="26"/>
          <w:szCs w:val="26"/>
          <w:rtl/>
        </w:rPr>
        <w:t xml:space="preserve"> الثانوية</w:t>
      </w:r>
      <w:r w:rsidR="00775B4E" w:rsidRPr="007C544A">
        <w:rPr>
          <w:rFonts w:ascii="Traditional Arabic" w:eastAsiaTheme="minorHAnsi" w:hAnsi="Traditional Arabic" w:cs="Traditional Arabic"/>
          <w:b/>
          <w:bCs/>
          <w:sz w:val="26"/>
          <w:szCs w:val="26"/>
          <w:rtl/>
        </w:rPr>
        <w:t xml:space="preserve">: </w:t>
      </w:r>
    </w:p>
    <w:p w:rsidR="002E5E1D" w:rsidRPr="007C544A" w:rsidRDefault="00C54650"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تم</w:t>
      </w:r>
      <w:r w:rsidR="00B32E0C" w:rsidRPr="007C544A">
        <w:rPr>
          <w:rFonts w:ascii="Traditional Arabic" w:eastAsiaTheme="minorHAnsi" w:hAnsi="Traditional Arabic" w:cs="Traditional Arabic"/>
          <w:rtl/>
        </w:rPr>
        <w:t>ت</w:t>
      </w:r>
      <w:r w:rsidRPr="007C544A">
        <w:rPr>
          <w:rFonts w:ascii="Traditional Arabic" w:eastAsiaTheme="minorHAnsi" w:hAnsi="Traditional Arabic" w:cs="Traditional Arabic"/>
          <w:rtl/>
        </w:rPr>
        <w:t xml:space="preserve"> الاستعا</w:t>
      </w:r>
      <w:r w:rsidR="00D934F6" w:rsidRPr="007C544A">
        <w:rPr>
          <w:rFonts w:ascii="Traditional Arabic" w:eastAsiaTheme="minorHAnsi" w:hAnsi="Traditional Arabic" w:cs="Traditional Arabic"/>
          <w:rtl/>
        </w:rPr>
        <w:t xml:space="preserve">نة في هذه الدراسة </w:t>
      </w:r>
      <w:r w:rsidR="00A6123B" w:rsidRPr="007C544A">
        <w:rPr>
          <w:rFonts w:ascii="Traditional Arabic" w:eastAsiaTheme="minorHAnsi" w:hAnsi="Traditional Arabic" w:cs="Traditional Arabic"/>
          <w:rtl/>
        </w:rPr>
        <w:t>بالبيانات المتعلقة ب</w:t>
      </w:r>
      <w:r w:rsidRPr="007C544A">
        <w:rPr>
          <w:rFonts w:ascii="Traditional Arabic" w:eastAsiaTheme="minorHAnsi" w:hAnsi="Traditional Arabic" w:cs="Traditional Arabic"/>
          <w:rtl/>
        </w:rPr>
        <w:t>الأدبيات</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الجهود العلمية السا</w:t>
      </w:r>
      <w:r w:rsidR="00D934F6" w:rsidRPr="007C544A">
        <w:rPr>
          <w:rFonts w:ascii="Traditional Arabic" w:eastAsiaTheme="minorHAnsi" w:hAnsi="Traditional Arabic" w:cs="Traditional Arabic"/>
          <w:rtl/>
        </w:rPr>
        <w:t>بقة ذات العلاقة بموضوع الدراسة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من خلال الكتب</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المراجع</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العربية</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الأجنبية</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الدراسا</w:t>
      </w:r>
      <w:r w:rsidR="00A6123B" w:rsidRPr="007C544A">
        <w:rPr>
          <w:rFonts w:ascii="Traditional Arabic" w:eastAsiaTheme="minorHAnsi" w:hAnsi="Traditional Arabic" w:cs="Traditional Arabic"/>
          <w:rtl/>
        </w:rPr>
        <w:t>ت المتعلقة بالبحث موضوع الدراسة والتي تناولت متغيرات الدراسة والتي مكنت الباحث من تأصيل المفاهيم وإعداد الإطار النظري للدراسة</w:t>
      </w:r>
      <w:r w:rsidR="002E5E1D" w:rsidRPr="007C544A">
        <w:rPr>
          <w:rFonts w:ascii="Traditional Arabic" w:eastAsiaTheme="minorHAnsi" w:hAnsi="Traditional Arabic" w:cs="Traditional Arabic"/>
          <w:rtl/>
        </w:rPr>
        <w:t>.</w:t>
      </w:r>
    </w:p>
    <w:p w:rsidR="00C54650" w:rsidRPr="007C544A" w:rsidRDefault="00A6123B" w:rsidP="002D00D3">
      <w:pPr>
        <w:pStyle w:val="NormalWeb"/>
        <w:numPr>
          <w:ilvl w:val="0"/>
          <w:numId w:val="3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البيانات</w:t>
      </w:r>
      <w:r w:rsidR="00C54650" w:rsidRPr="007C544A">
        <w:rPr>
          <w:rFonts w:ascii="Traditional Arabic" w:eastAsiaTheme="minorHAnsi" w:hAnsi="Traditional Arabic" w:cs="Traditional Arabic"/>
          <w:b/>
          <w:bCs/>
          <w:sz w:val="26"/>
          <w:szCs w:val="26"/>
          <w:rtl/>
        </w:rPr>
        <w:t xml:space="preserve"> الأولية</w:t>
      </w:r>
      <w:r w:rsidR="00775B4E" w:rsidRPr="007C544A">
        <w:rPr>
          <w:rFonts w:ascii="Traditional Arabic" w:eastAsiaTheme="minorHAnsi" w:hAnsi="Traditional Arabic" w:cs="Traditional Arabic"/>
          <w:b/>
          <w:bCs/>
          <w:sz w:val="26"/>
          <w:szCs w:val="26"/>
          <w:rtl/>
        </w:rPr>
        <w:t xml:space="preserve">: </w:t>
      </w:r>
    </w:p>
    <w:p w:rsidR="00C54650"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تتمثل البيانات</w:t>
      </w:r>
      <w:r w:rsidR="00C54650" w:rsidRPr="007C544A">
        <w:rPr>
          <w:rFonts w:ascii="Traditional Arabic" w:eastAsiaTheme="minorHAnsi" w:hAnsi="Traditional Arabic" w:cs="Traditional Arabic"/>
          <w:rtl/>
        </w:rPr>
        <w:t xml:space="preserve"> الأولية </w:t>
      </w:r>
      <w:r w:rsidRPr="007C544A">
        <w:rPr>
          <w:rFonts w:ascii="Traditional Arabic" w:eastAsiaTheme="minorHAnsi" w:hAnsi="Traditional Arabic" w:cs="Traditional Arabic"/>
          <w:rtl/>
        </w:rPr>
        <w:t>التي تم تجميعها</w:t>
      </w:r>
      <w:r w:rsidR="00C54650"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من خلال قائمة</w:t>
      </w:r>
      <w:r w:rsidR="00D7278E" w:rsidRPr="007C544A">
        <w:rPr>
          <w:rFonts w:ascii="Traditional Arabic" w:eastAsiaTheme="minorHAnsi" w:hAnsi="Traditional Arabic" w:cs="Traditional Arabic"/>
          <w:rtl/>
        </w:rPr>
        <w:t xml:space="preserve"> </w:t>
      </w:r>
      <w:r w:rsidR="00C54650" w:rsidRPr="007C544A">
        <w:rPr>
          <w:rFonts w:ascii="Traditional Arabic" w:eastAsiaTheme="minorHAnsi" w:hAnsi="Traditional Arabic" w:cs="Traditional Arabic"/>
          <w:rtl/>
        </w:rPr>
        <w:t>الاستبيان</w:t>
      </w:r>
      <w:r w:rsidRPr="007C544A">
        <w:rPr>
          <w:rFonts w:ascii="Traditional Arabic" w:eastAsiaTheme="minorHAnsi" w:hAnsi="Traditional Arabic" w:cs="Traditional Arabic"/>
          <w:rtl/>
        </w:rPr>
        <w:t xml:space="preserve"> من العاملين في الشركات السعودية عينة الدراسة</w:t>
      </w:r>
      <w:r w:rsidR="00D7278E" w:rsidRPr="007C544A">
        <w:rPr>
          <w:rFonts w:ascii="Traditional Arabic" w:eastAsiaTheme="minorHAnsi" w:hAnsi="Traditional Arabic" w:cs="Traditional Arabic"/>
          <w:rtl/>
        </w:rPr>
        <w:t xml:space="preserve">، </w:t>
      </w:r>
      <w:r w:rsidR="00C54650" w:rsidRPr="007C544A">
        <w:rPr>
          <w:rFonts w:ascii="Traditional Arabic" w:eastAsiaTheme="minorHAnsi" w:hAnsi="Traditional Arabic" w:cs="Traditional Arabic"/>
          <w:rtl/>
        </w:rPr>
        <w:t>حيث تم جمع البيانات</w:t>
      </w:r>
      <w:r w:rsidR="00674B70" w:rsidRPr="007C544A">
        <w:rPr>
          <w:rFonts w:ascii="Traditional Arabic" w:eastAsiaTheme="minorHAnsi" w:hAnsi="Traditional Arabic" w:cs="Traditional Arabic"/>
          <w:rtl/>
        </w:rPr>
        <w:t xml:space="preserve"> و</w:t>
      </w:r>
      <w:r w:rsidR="00C54650" w:rsidRPr="007C544A">
        <w:rPr>
          <w:rFonts w:ascii="Traditional Arabic" w:eastAsiaTheme="minorHAnsi" w:hAnsi="Traditional Arabic" w:cs="Traditional Arabic"/>
          <w:rtl/>
        </w:rPr>
        <w:t xml:space="preserve">تحليلها مـن عينـة البحـث </w:t>
      </w:r>
      <w:r w:rsidRPr="007C544A">
        <w:rPr>
          <w:rFonts w:ascii="Traditional Arabic" w:eastAsiaTheme="minorHAnsi" w:hAnsi="Traditional Arabic" w:cs="Traditional Arabic"/>
          <w:rtl/>
        </w:rPr>
        <w:t>وتفريغها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وتحليلها بما يمكن الباحث </w:t>
      </w:r>
      <w:r w:rsidR="00C54650" w:rsidRPr="007C544A">
        <w:rPr>
          <w:rFonts w:ascii="Traditional Arabic" w:eastAsiaTheme="minorHAnsi" w:hAnsi="Traditional Arabic" w:cs="Traditional Arabic"/>
          <w:rtl/>
        </w:rPr>
        <w:t>لل</w:t>
      </w:r>
      <w:r w:rsidR="0026771B" w:rsidRPr="007C544A">
        <w:rPr>
          <w:rFonts w:ascii="Traditional Arabic" w:eastAsiaTheme="minorHAnsi" w:hAnsi="Traditional Arabic" w:cs="Traditional Arabic"/>
          <w:rtl/>
        </w:rPr>
        <w:t>إجابة</w:t>
      </w:r>
      <w:r w:rsidR="00C54650" w:rsidRPr="007C544A">
        <w:rPr>
          <w:rFonts w:ascii="Traditional Arabic" w:eastAsiaTheme="minorHAnsi" w:hAnsi="Traditional Arabic" w:cs="Traditional Arabic"/>
          <w:rtl/>
        </w:rPr>
        <w:t xml:space="preserve"> عن </w:t>
      </w:r>
      <w:r w:rsidR="00940A90" w:rsidRPr="007C544A">
        <w:rPr>
          <w:rFonts w:ascii="Traditional Arabic" w:eastAsiaTheme="minorHAnsi" w:hAnsi="Traditional Arabic" w:cs="Traditional Arabic"/>
          <w:rtl/>
        </w:rPr>
        <w:t>أسئلة</w:t>
      </w:r>
      <w:r w:rsidR="00C54650" w:rsidRPr="007C544A">
        <w:rPr>
          <w:rFonts w:ascii="Traditional Arabic" w:eastAsiaTheme="minorHAnsi" w:hAnsi="Traditional Arabic" w:cs="Traditional Arabic"/>
          <w:rtl/>
        </w:rPr>
        <w:t xml:space="preserve"> الدراسة</w:t>
      </w:r>
      <w:r w:rsidRPr="007C544A">
        <w:rPr>
          <w:rFonts w:ascii="Traditional Arabic" w:eastAsiaTheme="minorHAnsi" w:hAnsi="Traditional Arabic" w:cs="Traditional Arabic"/>
          <w:rtl/>
        </w:rPr>
        <w:t xml:space="preserve"> وفروضها</w:t>
      </w:r>
      <w:r w:rsidR="007B0F25" w:rsidRPr="007C544A">
        <w:rPr>
          <w:rFonts w:ascii="Traditional Arabic" w:eastAsiaTheme="minorHAnsi" w:hAnsi="Traditional Arabic" w:cs="Traditional Arabic"/>
          <w:rtl/>
        </w:rPr>
        <w:t xml:space="preserve"> </w:t>
      </w:r>
      <w:r w:rsidR="00674B70" w:rsidRPr="007C544A">
        <w:rPr>
          <w:rFonts w:ascii="Traditional Arabic" w:eastAsiaTheme="minorHAnsi" w:hAnsi="Traditional Arabic" w:cs="Traditional Arabic"/>
          <w:rtl/>
        </w:rPr>
        <w:t>و</w:t>
      </w:r>
      <w:r w:rsidR="00C54650" w:rsidRPr="007C544A">
        <w:rPr>
          <w:rFonts w:ascii="Traditional Arabic" w:eastAsiaTheme="minorHAnsi" w:hAnsi="Traditional Arabic" w:cs="Traditional Arabic"/>
          <w:rtl/>
        </w:rPr>
        <w:t>استخلاص النتائج باستخدام ال</w:t>
      </w:r>
      <w:r w:rsidR="0026771B" w:rsidRPr="007C544A">
        <w:rPr>
          <w:rFonts w:ascii="Traditional Arabic" w:eastAsiaTheme="minorHAnsi" w:hAnsi="Traditional Arabic" w:cs="Traditional Arabic"/>
          <w:rtl/>
        </w:rPr>
        <w:t>اختبار</w:t>
      </w:r>
      <w:r w:rsidR="00C54650" w:rsidRPr="007C544A">
        <w:rPr>
          <w:rFonts w:ascii="Traditional Arabic" w:eastAsiaTheme="minorHAnsi" w:hAnsi="Traditional Arabic" w:cs="Traditional Arabic"/>
          <w:rtl/>
        </w:rPr>
        <w:t>ات ال</w:t>
      </w:r>
      <w:r w:rsidR="004C5D0F" w:rsidRPr="007C544A">
        <w:rPr>
          <w:rFonts w:ascii="Traditional Arabic" w:eastAsiaTheme="minorHAnsi" w:hAnsi="Traditional Arabic" w:cs="Traditional Arabic"/>
          <w:rtl/>
        </w:rPr>
        <w:t>إحصائي</w:t>
      </w:r>
      <w:r w:rsidR="00C54650" w:rsidRPr="007C544A">
        <w:rPr>
          <w:rFonts w:ascii="Traditional Arabic" w:eastAsiaTheme="minorHAnsi" w:hAnsi="Traditional Arabic" w:cs="Traditional Arabic"/>
          <w:rtl/>
        </w:rPr>
        <w:t>ة المناسبة.</w:t>
      </w:r>
    </w:p>
    <w:p w:rsidR="00A6123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ثالثاً- </w:t>
      </w:r>
      <w:r w:rsidR="00A6123B" w:rsidRPr="007C544A">
        <w:rPr>
          <w:rFonts w:ascii="Traditional Arabic" w:hAnsi="Traditional Arabic" w:cs="Traditional Arabic"/>
          <w:b/>
          <w:bCs/>
          <w:sz w:val="28"/>
          <w:szCs w:val="28"/>
          <w:rtl/>
        </w:rPr>
        <w:t>مجتمع</w:t>
      </w:r>
      <w:r w:rsidR="00D27BCB" w:rsidRPr="007C544A">
        <w:rPr>
          <w:rFonts w:ascii="Traditional Arabic" w:hAnsi="Traditional Arabic" w:cs="Traditional Arabic"/>
          <w:b/>
          <w:bCs/>
          <w:sz w:val="28"/>
          <w:szCs w:val="28"/>
          <w:rtl/>
        </w:rPr>
        <w:t xml:space="preserve"> وعينة</w:t>
      </w:r>
      <w:r w:rsidR="00A6123B" w:rsidRPr="007C544A">
        <w:rPr>
          <w:rFonts w:ascii="Traditional Arabic" w:hAnsi="Traditional Arabic" w:cs="Traditional Arabic"/>
          <w:b/>
          <w:bCs/>
          <w:sz w:val="28"/>
          <w:szCs w:val="28"/>
          <w:rtl/>
        </w:rPr>
        <w:t xml:space="preserve"> الدراسة</w:t>
      </w:r>
      <w:r w:rsidR="00775B4E" w:rsidRPr="007C544A">
        <w:rPr>
          <w:rFonts w:ascii="Traditional Arabic" w:hAnsi="Traditional Arabic" w:cs="Traditional Arabic"/>
          <w:b/>
          <w:bCs/>
          <w:sz w:val="28"/>
          <w:szCs w:val="28"/>
          <w:rtl/>
        </w:rPr>
        <w:t xml:space="preserve">: </w:t>
      </w:r>
    </w:p>
    <w:p w:rsidR="00D27BCB" w:rsidRPr="007C544A" w:rsidRDefault="00D27BCB" w:rsidP="002D00D3">
      <w:pPr>
        <w:pStyle w:val="NormalWeb"/>
        <w:numPr>
          <w:ilvl w:val="0"/>
          <w:numId w:val="4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مجتمع الدراسة</w:t>
      </w:r>
      <w:r w:rsidR="00775B4E" w:rsidRPr="007C544A">
        <w:rPr>
          <w:rFonts w:ascii="Traditional Arabic" w:eastAsiaTheme="minorHAnsi" w:hAnsi="Traditional Arabic" w:cs="Traditional Arabic"/>
          <w:b/>
          <w:bCs/>
          <w:sz w:val="28"/>
          <w:szCs w:val="28"/>
          <w:rtl/>
        </w:rPr>
        <w:t xml:space="preserve">: </w:t>
      </w:r>
    </w:p>
    <w:p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يتمثل مجتمع الدراسة </w:t>
      </w:r>
      <w:r w:rsidR="00D27BCB" w:rsidRPr="007C544A">
        <w:rPr>
          <w:rFonts w:ascii="Traditional Arabic" w:eastAsiaTheme="minorHAnsi" w:hAnsi="Traditional Arabic" w:cs="Traditional Arabic"/>
          <w:rtl/>
        </w:rPr>
        <w:t>في</w:t>
      </w:r>
      <w:r w:rsidRPr="007C544A">
        <w:rPr>
          <w:rFonts w:ascii="Traditional Arabic" w:eastAsiaTheme="minorHAnsi" w:hAnsi="Traditional Arabic" w:cs="Traditional Arabic"/>
          <w:rtl/>
        </w:rPr>
        <w:t xml:space="preserve"> العاملين في عدد من الشركات العائلية السعودية التي قامت بال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سوق النمو</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السوق الموازية لسوق المال السعودي)</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والتي تم اختيارها لدراسة أثر استراتيجية دمج الشركات في تمكين الشركات العائلية من دخول السوق المالية</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وقد تم اختيار مجموعة من الشركات التي تمثل نماذج تطبيقية للشركات التي اتجهت</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سوق نمو</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وهي</w:t>
      </w:r>
      <w:r w:rsidR="00775B4E" w:rsidRPr="007C544A">
        <w:rPr>
          <w:rFonts w:ascii="Traditional Arabic" w:eastAsiaTheme="minorHAnsi" w:hAnsi="Traditional Arabic" w:cs="Traditional Arabic"/>
          <w:rtl/>
        </w:rPr>
        <w:t xml:space="preserve">: </w:t>
      </w:r>
    </w:p>
    <w:p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واجه</w:t>
      </w:r>
      <w:r w:rsidR="002E5E1D" w:rsidRPr="007C544A">
        <w:rPr>
          <w:rFonts w:ascii="Traditional Arabic" w:eastAsiaTheme="minorHAnsi" w:hAnsi="Traditional Arabic" w:cs="Traditional Arabic"/>
          <w:rtl/>
        </w:rPr>
        <w:t>.</w:t>
      </w:r>
    </w:p>
    <w:p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بسمة أديم الطبية</w:t>
      </w:r>
      <w:r w:rsidR="002E5E1D" w:rsidRPr="007C544A">
        <w:rPr>
          <w:rFonts w:ascii="Traditional Arabic" w:eastAsiaTheme="minorHAnsi" w:hAnsi="Traditional Arabic" w:cs="Traditional Arabic"/>
          <w:rtl/>
        </w:rPr>
        <w:t>.</w:t>
      </w:r>
    </w:p>
    <w:p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شموع الماضي</w:t>
      </w:r>
      <w:r w:rsidR="002E5E1D" w:rsidRPr="007C544A">
        <w:rPr>
          <w:rFonts w:ascii="Traditional Arabic" w:eastAsiaTheme="minorHAnsi" w:hAnsi="Traditional Arabic" w:cs="Traditional Arabic"/>
          <w:rtl/>
        </w:rPr>
        <w:t>.</w:t>
      </w:r>
    </w:p>
    <w:p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الشهيلي للصناعات المعدنية</w:t>
      </w:r>
      <w:r w:rsidR="002E5E1D" w:rsidRPr="007C544A">
        <w:rPr>
          <w:rFonts w:ascii="Traditional Arabic" w:eastAsiaTheme="minorHAnsi" w:hAnsi="Traditional Arabic" w:cs="Traditional Arabic"/>
          <w:rtl/>
        </w:rPr>
        <w:t>.</w:t>
      </w:r>
    </w:p>
    <w:p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ويشمل مجتمع الدراسة العاملين في الإدارات العليا والإدارات المالية والإدارية في هذه الشركات</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نظرًا لارتباطهم المباشر بعمليات اتخاذ القرار المتعلقة بالحوكمة والهيكل المالي واستراتيجيات التوسع وال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السوق المالية</w:t>
      </w:r>
      <w:r w:rsidRPr="007C544A">
        <w:rPr>
          <w:rFonts w:ascii="Traditional Arabic" w:eastAsiaTheme="minorHAnsi" w:hAnsi="Traditional Arabic" w:cs="Traditional Arabic"/>
        </w:rPr>
        <w:t>.</w:t>
      </w:r>
    </w:p>
    <w:p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ويبلغ إجمالي عدد العاملين في الشركات محل الدراسة</w:t>
      </w:r>
      <w:r w:rsidR="008405A8" w:rsidRPr="007C544A">
        <w:rPr>
          <w:rFonts w:ascii="Traditional Arabic" w:eastAsiaTheme="minorHAnsi" w:hAnsi="Traditional Arabic" w:cs="Traditional Arabic"/>
          <w:b/>
          <w:bCs/>
          <w:rtl/>
        </w:rPr>
        <w:t>،</w:t>
      </w:r>
      <w:r w:rsidRPr="007C544A">
        <w:rPr>
          <w:rFonts w:ascii="Traditional Arabic" w:eastAsiaTheme="minorHAnsi" w:hAnsi="Traditional Arabic" w:cs="Traditional Arabic"/>
          <w:b/>
          <w:bCs/>
          <w:rtl/>
        </w:rPr>
        <w:t xml:space="preserve"> وفق البيانات المتاحة ما يلي</w:t>
      </w:r>
      <w:r w:rsidR="00775B4E" w:rsidRPr="007C544A">
        <w:rPr>
          <w:rFonts w:ascii="Traditional Arabic" w:eastAsiaTheme="minorHAnsi" w:hAnsi="Traditional Arabic" w:cs="Traditional Arabic"/>
          <w:b/>
          <w:bCs/>
          <w:rtl/>
        </w:rPr>
        <w:t xml:space="preserve">: </w:t>
      </w:r>
    </w:p>
    <w:p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شموع الماضي</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حوالي</w:t>
      </w:r>
      <w:r w:rsidR="00841BB4" w:rsidRPr="007C544A">
        <w:rPr>
          <w:rFonts w:ascii="Traditional Arabic" w:eastAsiaTheme="minorHAnsi" w:hAnsi="Traditional Arabic" w:cs="Traditional Arabic"/>
          <w:rtl/>
        </w:rPr>
        <w:t xml:space="preserve"> (479) </w:t>
      </w:r>
      <w:r w:rsidRPr="007C544A">
        <w:rPr>
          <w:rFonts w:ascii="Traditional Arabic" w:eastAsiaTheme="minorHAnsi" w:hAnsi="Traditional Arabic" w:cs="Traditional Arabic"/>
          <w:rtl/>
        </w:rPr>
        <w:t>موظفًا</w:t>
      </w:r>
      <w:r w:rsidRPr="007C544A">
        <w:rPr>
          <w:rFonts w:ascii="Traditional Arabic" w:eastAsiaTheme="minorHAnsi" w:hAnsi="Traditional Arabic" w:cs="Traditional Arabic"/>
        </w:rPr>
        <w:t>.</w:t>
      </w:r>
    </w:p>
    <w:p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واجه</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حوالي</w:t>
      </w:r>
      <w:r w:rsidR="00841BB4" w:rsidRPr="007C544A">
        <w:rPr>
          <w:rFonts w:ascii="Traditional Arabic" w:eastAsiaTheme="minorHAnsi" w:hAnsi="Traditional Arabic" w:cs="Traditional Arabic"/>
          <w:rtl/>
        </w:rPr>
        <w:t xml:space="preserve"> (106) </w:t>
      </w:r>
      <w:r w:rsidRPr="007C544A">
        <w:rPr>
          <w:rFonts w:ascii="Traditional Arabic" w:eastAsiaTheme="minorHAnsi" w:hAnsi="Traditional Arabic" w:cs="Traditional Arabic"/>
          <w:rtl/>
        </w:rPr>
        <w:t>موظفين</w:t>
      </w:r>
      <w:r w:rsidRPr="007C544A">
        <w:rPr>
          <w:rFonts w:ascii="Traditional Arabic" w:eastAsiaTheme="minorHAnsi" w:hAnsi="Traditional Arabic" w:cs="Traditional Arabic"/>
        </w:rPr>
        <w:t>.</w:t>
      </w:r>
    </w:p>
    <w:p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بسمة أديم الطبية</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حوال</w:t>
      </w:r>
      <w:r w:rsidR="00841BB4" w:rsidRPr="007C544A">
        <w:rPr>
          <w:rFonts w:ascii="Traditional Arabic" w:eastAsiaTheme="minorHAnsi" w:hAnsi="Traditional Arabic" w:cs="Traditional Arabic"/>
          <w:rtl/>
        </w:rPr>
        <w:t xml:space="preserve">ي (53) </w:t>
      </w:r>
      <w:r w:rsidRPr="007C544A">
        <w:rPr>
          <w:rFonts w:ascii="Traditional Arabic" w:eastAsiaTheme="minorHAnsi" w:hAnsi="Traditional Arabic" w:cs="Traditional Arabic"/>
          <w:rtl/>
        </w:rPr>
        <w:t>موظفًا</w:t>
      </w:r>
      <w:r w:rsidRPr="007C544A">
        <w:rPr>
          <w:rFonts w:ascii="Traditional Arabic" w:eastAsiaTheme="minorHAnsi" w:hAnsi="Traditional Arabic" w:cs="Traditional Arabic"/>
        </w:rPr>
        <w:t>.</w:t>
      </w:r>
    </w:p>
    <w:p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الشهيلي للصناعات المعدنية</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يتراوح عدد العاملين بين</w:t>
      </w:r>
      <w:r w:rsidR="00841BB4" w:rsidRPr="007C544A">
        <w:rPr>
          <w:rFonts w:ascii="Traditional Arabic" w:eastAsiaTheme="minorHAnsi" w:hAnsi="Traditional Arabic" w:cs="Traditional Arabic"/>
          <w:rtl/>
        </w:rPr>
        <w:t xml:space="preserve"> (500) </w:t>
      </w:r>
      <w:r w:rsidRPr="007C544A">
        <w:rPr>
          <w:rFonts w:ascii="Traditional Arabic" w:eastAsiaTheme="minorHAnsi" w:hAnsi="Traditional Arabic" w:cs="Traditional Arabic"/>
          <w:rtl/>
        </w:rPr>
        <w:t>موظف</w:t>
      </w:r>
      <w:r w:rsidR="00FA5E7F" w:rsidRPr="007C544A">
        <w:rPr>
          <w:rFonts w:ascii="Traditional Arabic" w:eastAsiaTheme="minorHAnsi" w:hAnsi="Traditional Arabic" w:cs="Traditional Arabic"/>
          <w:rtl/>
        </w:rPr>
        <w:t xml:space="preserve">. </w:t>
      </w:r>
    </w:p>
    <w:p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وبناءً على ذلك</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يقدر إجمالي مجتمع الدراسة</w:t>
      </w:r>
      <w:r w:rsidR="00841BB4" w:rsidRPr="007C544A">
        <w:rPr>
          <w:rFonts w:ascii="Traditional Arabic" w:eastAsiaTheme="minorHAnsi" w:hAnsi="Traditional Arabic" w:cs="Traditional Arabic"/>
          <w:rtl/>
        </w:rPr>
        <w:t xml:space="preserve"> (1138) </w:t>
      </w:r>
      <w:r w:rsidRPr="007C544A">
        <w:rPr>
          <w:rFonts w:ascii="Traditional Arabic" w:eastAsiaTheme="minorHAnsi" w:hAnsi="Traditional Arabic" w:cs="Traditional Arabic"/>
          <w:rtl/>
        </w:rPr>
        <w:t>موظفًا في الشركات محل الدراسة</w:t>
      </w:r>
      <w:r w:rsidRPr="007C544A">
        <w:rPr>
          <w:rFonts w:ascii="Traditional Arabic" w:eastAsiaTheme="minorHAnsi" w:hAnsi="Traditional Arabic" w:cs="Traditional Arabic"/>
        </w:rPr>
        <w:t>.</w:t>
      </w:r>
    </w:p>
    <w:p w:rsidR="005032C6" w:rsidRPr="007C544A" w:rsidRDefault="00474BB4"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5B0BB1" w:rsidRPr="007C544A">
        <w:rPr>
          <w:rFonts w:ascii="Traditional Arabic" w:eastAsiaTheme="minorHAnsi" w:hAnsi="Traditional Arabic" w:cs="Traditional Arabic" w:hint="cs"/>
          <w:b/>
          <w:bCs/>
          <w:rtl/>
        </w:rPr>
        <w:t>(3-1)</w:t>
      </w:r>
    </w:p>
    <w:p w:rsidR="00A6123B" w:rsidRPr="007C544A" w:rsidRDefault="00A6123B"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b/>
          <w:bCs/>
          <w:rtl/>
        </w:rPr>
        <w:t>بيانات الشركات المدرجة في سوق نمو محل الدراسة</w:t>
      </w:r>
    </w:p>
    <w:tbl>
      <w:tblPr>
        <w:tblStyle w:val="TableGrid1"/>
        <w:bidiVisual/>
        <w:tblW w:w="9753" w:type="dxa"/>
        <w:tblInd w:w="-652"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50"/>
        <w:gridCol w:w="1276"/>
        <w:gridCol w:w="992"/>
        <w:gridCol w:w="1084"/>
        <w:gridCol w:w="1393"/>
        <w:gridCol w:w="1281"/>
        <w:gridCol w:w="2877"/>
      </w:tblGrid>
      <w:tr w:rsidR="00A6123B" w:rsidRPr="007C544A" w:rsidTr="005032C6">
        <w:tc>
          <w:tcPr>
            <w:tcW w:w="850" w:type="dxa"/>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1276" w:type="dxa"/>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اسم الشركة</w:t>
            </w:r>
          </w:p>
        </w:tc>
        <w:tc>
          <w:tcPr>
            <w:tcW w:w="992" w:type="dxa"/>
            <w:tcBorders>
              <w:top w:val="threeDEngrave" w:sz="24" w:space="0" w:color="auto"/>
              <w:bottom w:val="threeDEmboss" w:sz="24" w:space="0" w:color="auto"/>
            </w:tcBorders>
            <w:shd w:val="clear" w:color="auto" w:fill="D9D9D9" w:themeFill="background1" w:themeFillShade="D9"/>
            <w:vAlign w:val="center"/>
          </w:tcPr>
          <w:p w:rsidR="00A6123B" w:rsidRPr="007C544A" w:rsidRDefault="00A6123B"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سنة التأسيس</w:t>
            </w:r>
          </w:p>
        </w:tc>
        <w:tc>
          <w:tcPr>
            <w:tcW w:w="1084" w:type="dxa"/>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سنة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رأس المال المدفوع</w:t>
            </w:r>
            <w:r w:rsidR="00D7278E" w:rsidRPr="007C544A">
              <w:rPr>
                <w:rFonts w:ascii="Traditional Arabic" w:hAnsi="Traditional Arabic" w:cs="Traditional Arabic"/>
                <w:sz w:val="24"/>
                <w:szCs w:val="24"/>
                <w:rtl/>
              </w:rPr>
              <w:t xml:space="preserve"> (ريال </w:t>
            </w:r>
            <w:r w:rsidRPr="007C544A">
              <w:rPr>
                <w:rFonts w:ascii="Traditional Arabic" w:hAnsi="Traditional Arabic" w:cs="Traditional Arabic"/>
                <w:sz w:val="24"/>
                <w:szCs w:val="24"/>
                <w:rtl/>
              </w:rPr>
              <w:t>سعودي)</w:t>
            </w:r>
          </w:p>
        </w:tc>
        <w:tc>
          <w:tcPr>
            <w:tcW w:w="1281" w:type="dxa"/>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الأسهم</w:t>
            </w:r>
          </w:p>
        </w:tc>
        <w:tc>
          <w:tcPr>
            <w:tcW w:w="2877" w:type="dxa"/>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ملاحظات مالية/ هيكل الملكية</w:t>
            </w:r>
          </w:p>
        </w:tc>
      </w:tr>
      <w:tr w:rsidR="00A6123B" w:rsidRPr="007C544A" w:rsidTr="005032C6">
        <w:tc>
          <w:tcPr>
            <w:tcW w:w="850" w:type="dxa"/>
            <w:tcBorders>
              <w:top w:val="threeDEmboss" w:sz="24" w:space="0" w:color="auto"/>
            </w:tcBorders>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c>
          <w:tcPr>
            <w:tcW w:w="1276" w:type="dxa"/>
            <w:tcBorders>
              <w:top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واجه</w:t>
            </w:r>
          </w:p>
        </w:tc>
        <w:tc>
          <w:tcPr>
            <w:tcW w:w="992" w:type="dxa"/>
            <w:tcBorders>
              <w:top w:val="threeDEmboss" w:sz="24" w:space="0" w:color="auto"/>
            </w:tcBorders>
            <w:shd w:val="clear" w:color="auto" w:fill="FFFFFF" w:themeFill="background1"/>
            <w:vAlign w:val="center"/>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lang w:val="en-US"/>
              </w:rPr>
            </w:pPr>
            <w:r w:rsidRPr="007C544A">
              <w:rPr>
                <w:rFonts w:ascii="Traditional Arabic" w:hAnsi="Traditional Arabic" w:cs="Traditional Arabic"/>
                <w:sz w:val="24"/>
                <w:szCs w:val="24"/>
                <w:lang w:val="en-US"/>
              </w:rPr>
              <w:t>2019</w:t>
            </w:r>
          </w:p>
        </w:tc>
        <w:tc>
          <w:tcPr>
            <w:tcW w:w="1084" w:type="dxa"/>
            <w:tcBorders>
              <w:top w:val="threeDEmboss" w:sz="24" w:space="0" w:color="auto"/>
            </w:tcBorders>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tcBorders>
              <w:top w:val="threeDEmboss" w:sz="24" w:space="0" w:color="auto"/>
            </w:tcBorders>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10,000,000</w:t>
            </w:r>
          </w:p>
        </w:tc>
        <w:tc>
          <w:tcPr>
            <w:tcW w:w="1281" w:type="dxa"/>
            <w:tcBorders>
              <w:top w:val="threeDEmboss" w:sz="24" w:space="0" w:color="auto"/>
            </w:tcBorders>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1,000,000 </w:t>
            </w:r>
            <w:r w:rsidRPr="007C544A">
              <w:rPr>
                <w:rFonts w:ascii="Traditional Arabic" w:hAnsi="Traditional Arabic" w:cs="Traditional Arabic"/>
                <w:sz w:val="24"/>
                <w:szCs w:val="24"/>
                <w:rtl/>
              </w:rPr>
              <w:t>سهم</w:t>
            </w:r>
          </w:p>
        </w:tc>
        <w:tc>
          <w:tcPr>
            <w:tcW w:w="2877" w:type="dxa"/>
            <w:tcBorders>
              <w:top w:val="threeDEmboss" w:sz="24" w:space="0" w:color="auto"/>
            </w:tcBorders>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تعمل في قطاع الخدمات والاستشارات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وتتميز بهيكل ملكية يتركز في المؤسسين مع طرح جزء من الأسهم في سوق نمو</w:t>
            </w:r>
            <w:r w:rsidRPr="007C544A">
              <w:rPr>
                <w:rFonts w:ascii="Traditional Arabic" w:hAnsi="Traditional Arabic" w:cs="Traditional Arabic"/>
                <w:sz w:val="24"/>
                <w:szCs w:val="24"/>
              </w:rPr>
              <w:t>.</w:t>
            </w:r>
          </w:p>
        </w:tc>
      </w:tr>
      <w:tr w:rsidR="00A6123B" w:rsidRPr="007C544A" w:rsidTr="005032C6">
        <w:tc>
          <w:tcPr>
            <w:tcW w:w="850"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c>
          <w:tcPr>
            <w:tcW w:w="1276" w:type="dxa"/>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بسمة أديم الطبية</w:t>
            </w:r>
          </w:p>
        </w:tc>
        <w:tc>
          <w:tcPr>
            <w:tcW w:w="992" w:type="dxa"/>
            <w:shd w:val="clear" w:color="auto" w:fill="FFFFFF" w:themeFill="background1"/>
            <w:vAlign w:val="center"/>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2012</w:t>
            </w:r>
          </w:p>
        </w:tc>
        <w:tc>
          <w:tcPr>
            <w:tcW w:w="1084"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20,000,000</w:t>
            </w:r>
          </w:p>
        </w:tc>
        <w:tc>
          <w:tcPr>
            <w:tcW w:w="1281"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2,000,000 </w:t>
            </w:r>
            <w:r w:rsidRPr="007C544A">
              <w:rPr>
                <w:rFonts w:ascii="Traditional Arabic" w:hAnsi="Traditional Arabic" w:cs="Traditional Arabic"/>
                <w:sz w:val="24"/>
                <w:szCs w:val="24"/>
                <w:rtl/>
              </w:rPr>
              <w:t>سهم</w:t>
            </w:r>
          </w:p>
        </w:tc>
        <w:tc>
          <w:tcPr>
            <w:tcW w:w="2877"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متخصصة في المستلزمات والخدمات الطبية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ويتركز هيكل الملكية في المؤسسين مع طرح نسبة من الأسهم للمستثمرين</w:t>
            </w:r>
            <w:r w:rsidRPr="007C544A">
              <w:rPr>
                <w:rFonts w:ascii="Traditional Arabic" w:hAnsi="Traditional Arabic" w:cs="Traditional Arabic"/>
                <w:sz w:val="24"/>
                <w:szCs w:val="24"/>
              </w:rPr>
              <w:t>.</w:t>
            </w:r>
          </w:p>
        </w:tc>
      </w:tr>
      <w:tr w:rsidR="00A6123B" w:rsidRPr="007C544A" w:rsidTr="005032C6">
        <w:tc>
          <w:tcPr>
            <w:tcW w:w="850"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c>
          <w:tcPr>
            <w:tcW w:w="1276" w:type="dxa"/>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شموع الماضي</w:t>
            </w:r>
          </w:p>
        </w:tc>
        <w:tc>
          <w:tcPr>
            <w:tcW w:w="992" w:type="dxa"/>
            <w:shd w:val="clear" w:color="auto" w:fill="FFFFFF" w:themeFill="background1"/>
            <w:vAlign w:val="center"/>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2016</w:t>
            </w:r>
          </w:p>
        </w:tc>
        <w:tc>
          <w:tcPr>
            <w:tcW w:w="1084"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50,000,000</w:t>
            </w:r>
          </w:p>
        </w:tc>
        <w:tc>
          <w:tcPr>
            <w:tcW w:w="1281"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5,000,000 </w:t>
            </w:r>
            <w:r w:rsidRPr="007C544A">
              <w:rPr>
                <w:rFonts w:ascii="Traditional Arabic" w:hAnsi="Traditional Arabic" w:cs="Traditional Arabic"/>
                <w:sz w:val="24"/>
                <w:szCs w:val="24"/>
                <w:rtl/>
              </w:rPr>
              <w:t>سهم</w:t>
            </w:r>
          </w:p>
        </w:tc>
        <w:tc>
          <w:tcPr>
            <w:tcW w:w="2877"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تعمل في قطاع العطور والمنتجات الاستهلاكية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وتعد من الشركات العائلية التي اتجهت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 لتمويل التوسع</w:t>
            </w:r>
            <w:r w:rsidRPr="007C544A">
              <w:rPr>
                <w:rFonts w:ascii="Traditional Arabic" w:hAnsi="Traditional Arabic" w:cs="Traditional Arabic"/>
                <w:sz w:val="24"/>
                <w:szCs w:val="24"/>
              </w:rPr>
              <w:t>.</w:t>
            </w:r>
          </w:p>
        </w:tc>
      </w:tr>
      <w:tr w:rsidR="00A6123B" w:rsidRPr="007C544A" w:rsidTr="005032C6">
        <w:tc>
          <w:tcPr>
            <w:tcW w:w="850"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c>
          <w:tcPr>
            <w:tcW w:w="1276" w:type="dxa"/>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الشهيلي للصناعات المعدنية</w:t>
            </w:r>
          </w:p>
        </w:tc>
        <w:tc>
          <w:tcPr>
            <w:tcW w:w="992" w:type="dxa"/>
            <w:shd w:val="clear" w:color="auto" w:fill="FFFFFF" w:themeFill="background1"/>
            <w:vAlign w:val="center"/>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1994</w:t>
            </w:r>
          </w:p>
        </w:tc>
        <w:tc>
          <w:tcPr>
            <w:tcW w:w="1084"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25,000,000</w:t>
            </w:r>
          </w:p>
        </w:tc>
        <w:tc>
          <w:tcPr>
            <w:tcW w:w="1281"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2,500,000 </w:t>
            </w:r>
            <w:r w:rsidRPr="007C544A">
              <w:rPr>
                <w:rFonts w:ascii="Traditional Arabic" w:hAnsi="Traditional Arabic" w:cs="Traditional Arabic"/>
                <w:sz w:val="24"/>
                <w:szCs w:val="24"/>
                <w:rtl/>
              </w:rPr>
              <w:t>سهم</w:t>
            </w:r>
          </w:p>
        </w:tc>
        <w:tc>
          <w:tcPr>
            <w:tcW w:w="2877" w:type="dxa"/>
            <w:shd w:val="clear" w:color="auto" w:fill="FFFFFF" w:themeFill="background1"/>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صناعية متخصصة في الصناعات المعدنية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وتتميز بملكية عائلية مع </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جزء من الأسهم في السوق الموازية</w:t>
            </w:r>
            <w:r w:rsidRPr="007C544A">
              <w:rPr>
                <w:rFonts w:ascii="Traditional Arabic" w:hAnsi="Traditional Arabic" w:cs="Traditional Arabic"/>
                <w:sz w:val="24"/>
                <w:szCs w:val="24"/>
              </w:rPr>
              <w:t>.</w:t>
            </w:r>
          </w:p>
        </w:tc>
      </w:tr>
    </w:tbl>
    <w:p w:rsidR="00A6123B" w:rsidRPr="007C544A" w:rsidRDefault="00A6123B"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بالاعتماد على بيانات السوق المالية السعودية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تداول) ونشرات إصدار الشركات</w:t>
      </w:r>
      <w:r w:rsidRPr="007C544A">
        <w:rPr>
          <w:rFonts w:ascii="Traditional Arabic" w:eastAsiaTheme="minorHAnsi" w:hAnsi="Traditional Arabic" w:cs="Traditional Arabic"/>
          <w:shd w:val="clear" w:color="auto" w:fill="FFFFFF"/>
        </w:rPr>
        <w:t>.</w:t>
      </w:r>
    </w:p>
    <w:p w:rsidR="00E45833" w:rsidRPr="007C544A" w:rsidRDefault="00A6123B" w:rsidP="00F553CE">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يوضح الجدول السابق البيانات الأساسية للشركات محل الدراسة المدرجة في سوق النمو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السوق الموازية)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تمثل هذه الشركات نماذج للشركات العائلية التي اتجهت</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السوق المالية بهدف تعزيز قدرتها التمويلية والتوسع في أنشطتها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وهو ما يتوافق مع موضوع الدراسة المتعلق بتأثير استراتيجية دمج الشركات على دخول السوق المالية</w:t>
      </w:r>
      <w:r w:rsidRPr="007C544A">
        <w:rPr>
          <w:rFonts w:ascii="Traditional Arabic" w:hAnsi="Traditional Arabic" w:cs="Traditional Arabic"/>
          <w:sz w:val="24"/>
          <w:szCs w:val="24"/>
        </w:rPr>
        <w:t>.</w:t>
      </w:r>
    </w:p>
    <w:p w:rsidR="00A6123B" w:rsidRPr="007C544A" w:rsidRDefault="00A6123B" w:rsidP="002D00D3">
      <w:pPr>
        <w:pStyle w:val="NormalWeb"/>
        <w:numPr>
          <w:ilvl w:val="0"/>
          <w:numId w:val="4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عينة الدراسة</w:t>
      </w:r>
      <w:r w:rsidR="00775B4E" w:rsidRPr="007C544A">
        <w:rPr>
          <w:rFonts w:ascii="Traditional Arabic" w:eastAsiaTheme="minorHAnsi" w:hAnsi="Traditional Arabic" w:cs="Traditional Arabic"/>
          <w:b/>
          <w:bCs/>
          <w:sz w:val="28"/>
          <w:szCs w:val="28"/>
          <w:rtl/>
        </w:rPr>
        <w:t xml:space="preserve">: </w:t>
      </w:r>
    </w:p>
    <w:p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نظرًا لكبر حجم مجتمع الدراسة وصعوبة دراسة جميع مفرداته</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فقد تم الاعتماد على أسلوب العينة لجمع البيانات من العاملين في الشركات محل الدراسة. وتم اختيار عينة ممثلة من العاملين في الإدارات العليا والإدارات المالية والإدارية في الشركات العائلية المدرجة في سوق </w:t>
      </w:r>
      <w:r w:rsidRPr="007C544A">
        <w:rPr>
          <w:rFonts w:ascii="Traditional Arabic" w:eastAsiaTheme="minorHAnsi" w:hAnsi="Traditional Arabic" w:cs="Traditional Arabic"/>
          <w:rtl/>
        </w:rPr>
        <w:lastRenderedPageBreak/>
        <w:t>النمو</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السوق الموازية لسوق المال السعودي)</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نظرًا لارتباط هذه الفئات بعمليات اتخاذ القرار المتعلقة بالهيكل المالي واستراتيجيات الدمج وال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السوق المالية</w:t>
      </w:r>
      <w:r w:rsidRPr="007C544A">
        <w:rPr>
          <w:rFonts w:ascii="Traditional Arabic" w:eastAsiaTheme="minorHAnsi" w:hAnsi="Traditional Arabic" w:cs="Traditional Arabic"/>
        </w:rPr>
        <w:t>.</w:t>
      </w:r>
    </w:p>
    <w:p w:rsidR="00957FBE"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وبالاعتماد على مجتمع الدراسة الذي يقدر بحوالي</w:t>
      </w:r>
      <w:r w:rsidR="00957FBE" w:rsidRPr="007C544A">
        <w:rPr>
          <w:rFonts w:ascii="Traditional Arabic" w:hAnsi="Traditional Arabic" w:cs="Traditional Arabic"/>
          <w:sz w:val="24"/>
          <w:szCs w:val="24"/>
          <w:rtl/>
        </w:rPr>
        <w:t xml:space="preserve"> (1138) </w:t>
      </w:r>
      <w:r w:rsidRPr="007C544A">
        <w:rPr>
          <w:rFonts w:ascii="Traditional Arabic" w:hAnsi="Traditional Arabic" w:cs="Traditional Arabic"/>
          <w:sz w:val="24"/>
          <w:szCs w:val="24"/>
          <w:rtl/>
        </w:rPr>
        <w:t>موظفًا في الشركات محل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تم تحديد حجم العينة باستخدام الأساليب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 المتبعة في الدراسات الاجتماعية لتحديد حجم العينة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وذلك بالاعتماد على معادلة </w:t>
      </w:r>
      <w:r w:rsidR="00957FBE"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كريجسي ومورجان</w:t>
      </w:r>
      <w:r w:rsidR="00957FBE" w:rsidRPr="007C544A">
        <w:rPr>
          <w:rFonts w:ascii="Traditional Arabic" w:hAnsi="Traditional Arabic" w:cs="Traditional Arabic"/>
          <w:sz w:val="24"/>
          <w:szCs w:val="24"/>
          <w:rtl/>
        </w:rPr>
        <w:t>" (</w:t>
      </w:r>
      <w:r w:rsidR="00957FBE" w:rsidRPr="007C544A">
        <w:rPr>
          <w:rFonts w:ascii="Traditional Arabic" w:hAnsi="Traditional Arabic" w:cs="Traditional Arabic"/>
          <w:sz w:val="24"/>
          <w:szCs w:val="24"/>
        </w:rPr>
        <w:t>Krejcie &amp; Morgan, 1970</w:t>
      </w:r>
      <w:r w:rsidR="00957FB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لتحديد حجم العينة المناسبة للمجتمعات المحدودة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مع الأخذ في الاعتبار مستوى الثقة</w:t>
      </w:r>
      <w:r w:rsidR="00957FBE" w:rsidRPr="007C544A">
        <w:rPr>
          <w:rFonts w:ascii="Traditional Arabic" w:hAnsi="Traditional Arabic" w:cs="Traditional Arabic"/>
          <w:sz w:val="24"/>
          <w:szCs w:val="24"/>
          <w:rtl/>
        </w:rPr>
        <w:t xml:space="preserve"> (95%)، </w:t>
      </w:r>
      <w:r w:rsidRPr="007C544A">
        <w:rPr>
          <w:rFonts w:ascii="Traditional Arabic" w:hAnsi="Traditional Arabic" w:cs="Traditional Arabic"/>
          <w:sz w:val="24"/>
          <w:szCs w:val="24"/>
          <w:rtl/>
        </w:rPr>
        <w:t>وهامش الخطأ</w:t>
      </w:r>
      <w:r w:rsidR="00957FBE" w:rsidRPr="007C544A">
        <w:rPr>
          <w:rFonts w:ascii="Traditional Arabic" w:hAnsi="Traditional Arabic" w:cs="Traditional Arabic"/>
          <w:sz w:val="24"/>
          <w:szCs w:val="24"/>
          <w:rtl/>
        </w:rPr>
        <w:t xml:space="preserve"> (5%)</w:t>
      </w:r>
      <w:r w:rsidR="00957FBE" w:rsidRPr="007C544A">
        <w:rPr>
          <w:rFonts w:ascii="Traditional Arabic" w:hAnsi="Traditional Arabic" w:cs="Traditional Arabic"/>
          <w:sz w:val="24"/>
          <w:szCs w:val="24"/>
          <w:vertAlign w:val="superscript"/>
          <w:rtl/>
        </w:rPr>
        <w:t>(</w:t>
      </w:r>
      <w:r w:rsidR="00957FBE" w:rsidRPr="007C544A">
        <w:rPr>
          <w:rStyle w:val="FootnoteReference"/>
          <w:rFonts w:ascii="Traditional Arabic" w:hAnsi="Traditional Arabic" w:cs="Traditional Arabic"/>
          <w:sz w:val="24"/>
          <w:szCs w:val="24"/>
        </w:rPr>
        <w:footnoteReference w:id="1"/>
      </w:r>
      <w:r w:rsidR="00957FBE" w:rsidRPr="007C544A">
        <w:rPr>
          <w:rFonts w:ascii="Traditional Arabic" w:hAnsi="Traditional Arabic" w:cs="Traditional Arabic"/>
          <w:sz w:val="24"/>
          <w:szCs w:val="24"/>
          <w:vertAlign w:val="superscript"/>
          <w:rtl/>
        </w:rPr>
        <w:t>)</w:t>
      </w:r>
      <w:r w:rsidR="00957FBE" w:rsidRPr="007C544A">
        <w:rPr>
          <w:rFonts w:ascii="Traditional Arabic" w:hAnsi="Traditional Arabic" w:cs="Traditional Arabic"/>
          <w:sz w:val="24"/>
          <w:szCs w:val="24"/>
          <w:rtl/>
        </w:rPr>
        <w:t>.</w:t>
      </w:r>
    </w:p>
    <w:p w:rsidR="00A6123B"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rPr>
        <w:t>وبناءً على ذلك</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تم اختيار عينة عشوائية بسيطة من العاملين في الشركات محل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بلغ حجم العينة</w:t>
      </w:r>
      <w:r w:rsidR="009B6CDD" w:rsidRPr="007C544A">
        <w:rPr>
          <w:rFonts w:ascii="Traditional Arabic" w:hAnsi="Traditional Arabic" w:cs="Traditional Arabic"/>
          <w:sz w:val="24"/>
          <w:szCs w:val="24"/>
          <w:rtl/>
        </w:rPr>
        <w:t xml:space="preserve"> (285) </w:t>
      </w:r>
      <w:r w:rsidRPr="007C544A">
        <w:rPr>
          <w:rFonts w:ascii="Traditional Arabic" w:hAnsi="Traditional Arabic" w:cs="Traditional Arabic"/>
          <w:sz w:val="24"/>
          <w:szCs w:val="24"/>
          <w:rtl/>
        </w:rPr>
        <w:t>مفردة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وهو حجم مناسب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 لتمثيل مجتمع الدراسة بدرجة ثقة مقبولة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EG"/>
        </w:rPr>
        <w:t>كما في الجدول التالي</w:t>
      </w:r>
      <w:r w:rsidR="009B6CDD" w:rsidRPr="007C544A">
        <w:rPr>
          <w:rFonts w:ascii="Traditional Arabic" w:hAnsi="Traditional Arabic" w:cs="Traditional Arabic"/>
          <w:sz w:val="24"/>
          <w:szCs w:val="24"/>
          <w:rtl/>
          <w:lang w:bidi="ar-EG"/>
        </w:rPr>
        <w:t>:</w:t>
      </w:r>
    </w:p>
    <w:p w:rsidR="005032C6" w:rsidRPr="007C544A" w:rsidRDefault="00474BB4"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5B0BB1" w:rsidRPr="007C544A">
        <w:rPr>
          <w:rFonts w:ascii="Traditional Arabic" w:eastAsiaTheme="minorHAnsi" w:hAnsi="Traditional Arabic" w:cs="Traditional Arabic" w:hint="cs"/>
          <w:b/>
          <w:bCs/>
          <w:rtl/>
        </w:rPr>
        <w:t>(3-2)</w:t>
      </w:r>
    </w:p>
    <w:p w:rsidR="00A6123B" w:rsidRPr="007C544A" w:rsidRDefault="00A6123B"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توزيع عينة الدراسة على الشركات محل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2220"/>
        <w:gridCol w:w="993"/>
        <w:gridCol w:w="1609"/>
        <w:gridCol w:w="1326"/>
      </w:tblGrid>
      <w:tr w:rsidR="00A6123B" w:rsidRPr="007C544A" w:rsidTr="00E45833">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الشركة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العاملين</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النسبة من المجتمع</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حجم العينة المقترح</w:t>
            </w:r>
          </w:p>
        </w:tc>
      </w:tr>
      <w:tr w:rsidR="00A6123B" w:rsidRPr="007C544A" w:rsidTr="00E45833">
        <w:trPr>
          <w:trHeight w:val="441"/>
          <w:jc w:val="center"/>
        </w:trPr>
        <w:tc>
          <w:tcPr>
            <w:tcW w:w="0" w:type="auto"/>
            <w:tcBorders>
              <w:top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شموع الماضي</w:t>
            </w:r>
          </w:p>
        </w:tc>
        <w:tc>
          <w:tcPr>
            <w:tcW w:w="0" w:type="auto"/>
            <w:tcBorders>
              <w:top w:val="threeDEmboss" w:sz="24" w:space="0" w:color="auto"/>
            </w:tcBorders>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479</w:t>
            </w:r>
          </w:p>
        </w:tc>
        <w:tc>
          <w:tcPr>
            <w:tcW w:w="0" w:type="auto"/>
            <w:tcBorders>
              <w:top w:val="threeDEmboss" w:sz="24" w:space="0" w:color="auto"/>
            </w:tcBorders>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42.1</w:t>
            </w:r>
          </w:p>
        </w:tc>
        <w:tc>
          <w:tcPr>
            <w:tcW w:w="0" w:type="auto"/>
            <w:tcBorders>
              <w:top w:val="threeDEmboss" w:sz="24" w:space="0" w:color="auto"/>
            </w:tcBorders>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120</w:t>
            </w:r>
          </w:p>
        </w:tc>
      </w:tr>
      <w:tr w:rsidR="00A6123B" w:rsidRPr="007C544A" w:rsidTr="00E45833">
        <w:trPr>
          <w:jc w:val="center"/>
        </w:trPr>
        <w:tc>
          <w:tcPr>
            <w:tcW w:w="0" w:type="auto"/>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واجه</w:t>
            </w:r>
          </w:p>
        </w:tc>
        <w:tc>
          <w:tcPr>
            <w:tcW w:w="0" w:type="auto"/>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106</w:t>
            </w:r>
          </w:p>
        </w:tc>
        <w:tc>
          <w:tcPr>
            <w:tcW w:w="0" w:type="auto"/>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9.3</w:t>
            </w:r>
          </w:p>
        </w:tc>
        <w:tc>
          <w:tcPr>
            <w:tcW w:w="0" w:type="auto"/>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26</w:t>
            </w:r>
          </w:p>
        </w:tc>
      </w:tr>
      <w:tr w:rsidR="00A6123B" w:rsidRPr="007C544A" w:rsidTr="00E45833">
        <w:trPr>
          <w:jc w:val="center"/>
        </w:trPr>
        <w:tc>
          <w:tcPr>
            <w:tcW w:w="0" w:type="auto"/>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بسمة أديم الطبية</w:t>
            </w:r>
          </w:p>
        </w:tc>
        <w:tc>
          <w:tcPr>
            <w:tcW w:w="0" w:type="auto"/>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53</w:t>
            </w:r>
          </w:p>
        </w:tc>
        <w:tc>
          <w:tcPr>
            <w:tcW w:w="0" w:type="auto"/>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4.7</w:t>
            </w:r>
          </w:p>
        </w:tc>
        <w:tc>
          <w:tcPr>
            <w:tcW w:w="0" w:type="auto"/>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13</w:t>
            </w:r>
          </w:p>
        </w:tc>
      </w:tr>
      <w:tr w:rsidR="00A6123B" w:rsidRPr="007C544A" w:rsidTr="00E45833">
        <w:trPr>
          <w:trHeight w:val="580"/>
          <w:jc w:val="center"/>
        </w:trPr>
        <w:tc>
          <w:tcPr>
            <w:tcW w:w="0" w:type="auto"/>
            <w:tcBorders>
              <w:bottom w:val="threeDEngrave"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الشهيلي للصناعات المعدنية</w:t>
            </w:r>
          </w:p>
        </w:tc>
        <w:tc>
          <w:tcPr>
            <w:tcW w:w="0" w:type="auto"/>
            <w:tcBorders>
              <w:bottom w:val="threeDEngrave" w:sz="24" w:space="0" w:color="auto"/>
            </w:tcBorders>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500</w:t>
            </w:r>
          </w:p>
        </w:tc>
        <w:tc>
          <w:tcPr>
            <w:tcW w:w="0" w:type="auto"/>
            <w:tcBorders>
              <w:bottom w:val="threeDEngrave" w:sz="24" w:space="0" w:color="auto"/>
            </w:tcBorders>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43.9</w:t>
            </w:r>
          </w:p>
        </w:tc>
        <w:tc>
          <w:tcPr>
            <w:tcW w:w="0" w:type="auto"/>
            <w:tcBorders>
              <w:bottom w:val="threeDEngrave" w:sz="24" w:space="0" w:color="auto"/>
            </w:tcBorders>
            <w:vAlign w:val="center"/>
            <w:hideMark/>
          </w:tcPr>
          <w:p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126</w:t>
            </w:r>
          </w:p>
        </w:tc>
      </w:tr>
      <w:tr w:rsidR="00A6123B" w:rsidRPr="007C544A" w:rsidTr="00E45833">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الإجمالي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1138</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w:t>
            </w:r>
            <w:r w:rsidRPr="007C544A">
              <w:rPr>
                <w:rFonts w:ascii="Traditional Arabic" w:hAnsi="Traditional Arabic" w:cs="Traditional Arabic"/>
                <w:sz w:val="24"/>
                <w:szCs w:val="24"/>
              </w:rPr>
              <w:t>100</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285</w:t>
            </w:r>
          </w:p>
        </w:tc>
      </w:tr>
    </w:tbl>
    <w:p w:rsidR="00A6123B" w:rsidRPr="007C544A" w:rsidRDefault="00A6123B"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من اعداد الباحث بالاعتماد على بيانات الشركات عينة الدراسة</w:t>
      </w:r>
      <w:r w:rsidR="00775B4E" w:rsidRPr="007C544A">
        <w:rPr>
          <w:rFonts w:ascii="Traditional Arabic" w:eastAsiaTheme="minorHAnsi" w:hAnsi="Traditional Arabic" w:cs="Traditional Arabic"/>
          <w:shd w:val="clear" w:color="auto" w:fill="FFFFFF"/>
          <w:rtl/>
        </w:rPr>
        <w:t xml:space="preserve">: </w:t>
      </w:r>
    </w:p>
    <w:p w:rsidR="00A6123B"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يوضح الجدول السابق توزيع عينة الدراسة على الشركات محل الدراسة وفقًا لنسبة عدد العاملين في كل شركة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إجمالي مجتمع الدراسة. حيث تم تخصيص عدد أكبر من الاستبانات للشركات التي تضم عددًا أكبر من العاملين لضمان تمثيل مناسب لمختلف فئات المجتمع. وقد بلغ إجمالي حجم العينة</w:t>
      </w:r>
      <w:r w:rsidR="00D7278E" w:rsidRPr="007C544A">
        <w:rPr>
          <w:rFonts w:ascii="Traditional Arabic" w:hAnsi="Traditional Arabic" w:cs="Traditional Arabic"/>
          <w:sz w:val="24"/>
          <w:szCs w:val="24"/>
          <w:rtl/>
        </w:rPr>
        <w:t xml:space="preserve"> (</w:t>
      </w:r>
      <w:r w:rsidR="009B6CDD" w:rsidRPr="007C544A">
        <w:rPr>
          <w:rFonts w:ascii="Traditional Arabic" w:hAnsi="Traditional Arabic" w:cs="Traditional Arabic"/>
          <w:sz w:val="24"/>
          <w:szCs w:val="24"/>
          <w:rtl/>
        </w:rPr>
        <w:t xml:space="preserve">285) </w:t>
      </w:r>
      <w:r w:rsidRPr="007C544A">
        <w:rPr>
          <w:rFonts w:ascii="Traditional Arabic" w:hAnsi="Traditional Arabic" w:cs="Traditional Arabic"/>
          <w:sz w:val="24"/>
          <w:szCs w:val="24"/>
          <w:rtl/>
        </w:rPr>
        <w:t>مفردة موزعة على الشركات الأربع محل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بما يعكس التوزيع النسبي للعاملين داخل هذه الشركات</w:t>
      </w:r>
      <w:r w:rsidRPr="007C544A">
        <w:rPr>
          <w:rFonts w:ascii="Traditional Arabic" w:hAnsi="Traditional Arabic" w:cs="Traditional Arabic"/>
          <w:sz w:val="24"/>
          <w:szCs w:val="24"/>
        </w:rPr>
        <w:t>.</w:t>
      </w:r>
    </w:p>
    <w:p w:rsidR="00A6123B"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بعد تحديد حجم العينة الكلي وتوزيعها وفق أسلوب التخصيص النسبي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تم اختيار مفردات العينة داخل كل شركة باستخدام أسلوب العينة العشوائية البسيطة من بين القيادات الإدارية المستهدفة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العليا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ومديرو الإدارات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ورؤساء الأقسام). ويُعد هذا الأسلوب من أكثر الأساليب ملاءمة لضمان تكافؤ الفرص أمام جميع أفراد المجتمع للدخول ضمن العينة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يعزز من موضوعية النتائج ويقلل من احتمالات التحيز</w:t>
      </w:r>
      <w:r w:rsidRPr="007C544A">
        <w:rPr>
          <w:rFonts w:ascii="Traditional Arabic" w:hAnsi="Traditional Arabic" w:cs="Traditional Arabic"/>
          <w:sz w:val="24"/>
          <w:szCs w:val="24"/>
        </w:rPr>
        <w:t>.</w:t>
      </w:r>
    </w:p>
    <w:p w:rsidR="00A6123B" w:rsidRPr="007C544A" w:rsidRDefault="00A6123B"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hAnsi="Traditional Arabic" w:cs="Traditional Arabic"/>
          <w:sz w:val="24"/>
          <w:szCs w:val="24"/>
          <w:rtl/>
        </w:rPr>
        <w:t>وقد تم الاعتماد على القوائم الوظيفية الرسمية المتاحة بكل شركة كأساس لاختيار المفردات عشوائيًا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بما يضمن دقة التمثيل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 xml:space="preserve"> وإمكانية تعميم نتائج الدراسة على مجتمعها الأصلي بدرجة عالية من الثقة</w:t>
      </w:r>
      <w:r w:rsidRPr="007C544A">
        <w:rPr>
          <w:rFonts w:ascii="Traditional Arabic" w:hAnsi="Traditional Arabic" w:cs="Traditional Arabic"/>
          <w:sz w:val="24"/>
          <w:szCs w:val="24"/>
        </w:rPr>
        <w:t>.</w:t>
      </w:r>
    </w:p>
    <w:p w:rsidR="00A6123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رابعاً- </w:t>
      </w:r>
      <w:r w:rsidR="00D27BCB" w:rsidRPr="007C544A">
        <w:rPr>
          <w:rFonts w:ascii="Traditional Arabic" w:hAnsi="Traditional Arabic" w:cs="Traditional Arabic"/>
          <w:b/>
          <w:bCs/>
          <w:sz w:val="28"/>
          <w:szCs w:val="28"/>
          <w:rtl/>
        </w:rPr>
        <w:t xml:space="preserve">أداة جمع البيانات الأولية وقياس المتغيرات </w:t>
      </w:r>
    </w:p>
    <w:p w:rsidR="00D5388D" w:rsidRPr="007C544A" w:rsidRDefault="00D5388D" w:rsidP="00706522">
      <w:pPr>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اعتمد الباحث في جمع بيانات الدراسة الميدانية على قائمة الاستبيان كأداة رئيسة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وذلك من خلال إعدادها وتوزيعها على أفراد عينة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ملحق 2)</w:t>
      </w:r>
      <w:r w:rsidRPr="007C544A">
        <w:rPr>
          <w:rFonts w:ascii="Traditional Arabic" w:hAnsi="Traditional Arabic" w:cs="Traditional Arabic"/>
          <w:sz w:val="24"/>
          <w:szCs w:val="24"/>
        </w:rPr>
        <w:t>.</w:t>
      </w:r>
    </w:p>
    <w:p w:rsidR="0020222D" w:rsidRPr="007C544A" w:rsidRDefault="0020222D"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قائمة الاستبيان</w:t>
      </w:r>
      <w:r w:rsidR="009B6CDD" w:rsidRPr="007C544A">
        <w:rPr>
          <w:rFonts w:ascii="Traditional Arabic" w:eastAsiaTheme="minorHAnsi" w:hAnsi="Traditional Arabic" w:cs="Traditional Arabic"/>
          <w:b/>
          <w:bCs/>
          <w:sz w:val="28"/>
          <w:szCs w:val="28"/>
          <w:rtl/>
        </w:rPr>
        <w:t>:</w:t>
      </w:r>
    </w:p>
    <w:p w:rsidR="00D5388D" w:rsidRPr="007C544A" w:rsidRDefault="00D5388D" w:rsidP="00706522">
      <w:pPr>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تم الاعتماد على الاستبيان كأداة رئيسية لجمع البيانات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وقد مر إعداده بالمراحل التالية</w:t>
      </w:r>
      <w:r w:rsidR="00775B4E" w:rsidRPr="007C544A">
        <w:rPr>
          <w:rFonts w:ascii="Traditional Arabic" w:hAnsi="Traditional Arabic" w:cs="Traditional Arabic"/>
          <w:sz w:val="24"/>
          <w:szCs w:val="24"/>
          <w:rtl/>
        </w:rPr>
        <w:t xml:space="preserve">: </w:t>
      </w:r>
    </w:p>
    <w:p w:rsidR="002E0C62" w:rsidRPr="007C544A" w:rsidRDefault="00BD448B"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إ</w:t>
      </w:r>
      <w:r w:rsidR="002E0C62" w:rsidRPr="007C544A">
        <w:rPr>
          <w:rFonts w:ascii="Traditional Arabic" w:hAnsi="Traditional Arabic" w:cs="Traditional Arabic"/>
          <w:sz w:val="24"/>
          <w:szCs w:val="24"/>
          <w:rtl/>
        </w:rPr>
        <w:t>عداد استبانة أولية في ضوء أهداف الدراسة ومتغيراتها.</w:t>
      </w:r>
    </w:p>
    <w:p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عرض الاستبانة على المشرف العلمي للتأكد من ملاءمتها.</w:t>
      </w:r>
    </w:p>
    <w:p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إجراء التعديلات الأولية وفقًا لملاحظات المشرف.</w:t>
      </w:r>
    </w:p>
    <w:p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عرض الاستبانة على مجموعة من المحكمين المتخصصين، وتم إجراء التعديلات اللازمة في ضوء آرائهم (ملحق 1).</w:t>
      </w:r>
    </w:p>
    <w:p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الوصول إلى الصيغة النهائية للاستبانة (ملحق 2).</w:t>
      </w:r>
    </w:p>
    <w:p w:rsidR="00E45833"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توزيع الاستبيان على أفراد عينة الدراسة لجمع البيانات اللازمة للتحليل الإحصائي.</w:t>
      </w:r>
    </w:p>
    <w:p w:rsidR="0020222D" w:rsidRPr="007C544A" w:rsidRDefault="0020222D"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محتوى الاستبيان</w:t>
      </w:r>
      <w:r w:rsidR="00775B4E" w:rsidRPr="007C544A">
        <w:rPr>
          <w:rFonts w:ascii="Traditional Arabic" w:eastAsiaTheme="minorHAnsi" w:hAnsi="Traditional Arabic" w:cs="Traditional Arabic"/>
          <w:b/>
          <w:bCs/>
          <w:sz w:val="28"/>
          <w:szCs w:val="28"/>
          <w:rtl/>
        </w:rPr>
        <w:t xml:space="preserve">: </w:t>
      </w:r>
    </w:p>
    <w:p w:rsidR="00D5388D" w:rsidRPr="007C544A" w:rsidRDefault="00D5388D"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اشتمل</w:t>
      </w:r>
      <w:r w:rsidR="0020222D" w:rsidRPr="007C544A">
        <w:rPr>
          <w:rFonts w:ascii="Traditional Arabic" w:eastAsiaTheme="minorHAnsi" w:hAnsi="Traditional Arabic" w:cs="Traditional Arabic"/>
          <w:rtl/>
        </w:rPr>
        <w:t xml:space="preserve"> الاستبيان على مقدمة</w:t>
      </w:r>
      <w:r w:rsidRPr="007C544A">
        <w:rPr>
          <w:rFonts w:ascii="Traditional Arabic" w:eastAsiaTheme="minorHAnsi" w:hAnsi="Traditional Arabic" w:cs="Traditional Arabic"/>
          <w:rtl/>
        </w:rPr>
        <w:t xml:space="preserve"> تعريفية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أوضحت</w:t>
      </w:r>
      <w:r w:rsidR="0020222D" w:rsidRPr="007C544A">
        <w:rPr>
          <w:rFonts w:ascii="Traditional Arabic" w:eastAsiaTheme="minorHAnsi" w:hAnsi="Traditional Arabic" w:cs="Traditional Arabic"/>
          <w:rtl/>
        </w:rPr>
        <w:t xml:space="preserve"> </w:t>
      </w:r>
      <w:r w:rsidR="00FA7CB8" w:rsidRPr="007C544A">
        <w:rPr>
          <w:rFonts w:ascii="Traditional Arabic" w:eastAsiaTheme="minorHAnsi" w:hAnsi="Traditional Arabic" w:cs="Traditional Arabic"/>
          <w:rtl/>
        </w:rPr>
        <w:t>أهداف</w:t>
      </w:r>
      <w:r w:rsidRPr="007C544A">
        <w:rPr>
          <w:rFonts w:ascii="Traditional Arabic" w:eastAsiaTheme="minorHAnsi" w:hAnsi="Traditional Arabic" w:cs="Traditional Arabic"/>
          <w:rtl/>
        </w:rPr>
        <w:t xml:space="preserve"> الدراسة</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للمستقصى منهم</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ولتشجيعهم على المشاركة في الموضوع لذا قمنا بتقديم الدراسة على أنها في إطار أكاديمي</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وأن موضوعها يتعلق باستراتيجية دمج الشركات لدخول -سوق النمو-</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السوق الموازية لسوق المال السعودي</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دراسة</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حالة في الشركات العائلية السعودية</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كما بينا أن جميع البيانات التي سيتم الحصول عليها لن تستخدم إلا لأغراض البحث العلمي فقط</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وقد تم تصميم الاستبيان بما يتوافق مع أهداف الدراسة ومتغيراتها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وقد تم تصميم الاستبيان بما يتماشى مع أهداف الدراسة ومتغيراتها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ويتكون من الأجزاء التالية</w:t>
      </w:r>
      <w:r w:rsidR="00775B4E" w:rsidRPr="007C544A">
        <w:rPr>
          <w:rFonts w:ascii="Traditional Arabic" w:eastAsiaTheme="minorHAnsi" w:hAnsi="Traditional Arabic" w:cs="Traditional Arabic"/>
          <w:rtl/>
        </w:rPr>
        <w:t xml:space="preserve">: </w:t>
      </w:r>
    </w:p>
    <w:p w:rsidR="00FA7CB8" w:rsidRPr="007C544A" w:rsidRDefault="00ED3DEB" w:rsidP="002D00D3">
      <w:pPr>
        <w:pStyle w:val="Heading4"/>
        <w:numPr>
          <w:ilvl w:val="0"/>
          <w:numId w:val="46"/>
        </w:numPr>
        <w:bidi/>
        <w:spacing w:before="0" w:line="360" w:lineRule="auto"/>
        <w:ind w:left="714" w:hanging="357"/>
        <w:jc w:val="both"/>
        <w:rPr>
          <w:rFonts w:ascii="Traditional Arabic" w:eastAsia="Times New Roman" w:hAnsi="Traditional Arabic" w:cs="Traditional Arabic"/>
          <w:b/>
          <w:bCs/>
          <w:i w:val="0"/>
          <w:iCs w:val="0"/>
          <w:color w:val="auto"/>
          <w:sz w:val="24"/>
          <w:szCs w:val="24"/>
          <w:rtl/>
          <w:lang w:bidi="ar-SA"/>
        </w:rPr>
      </w:pPr>
      <w:r w:rsidRPr="007C544A">
        <w:rPr>
          <w:rFonts w:ascii="Traditional Arabic" w:eastAsiaTheme="minorHAnsi" w:hAnsi="Traditional Arabic" w:cs="Traditional Arabic"/>
          <w:b/>
          <w:bCs/>
          <w:i w:val="0"/>
          <w:iCs w:val="0"/>
          <w:color w:val="auto"/>
          <w:sz w:val="24"/>
          <w:szCs w:val="24"/>
          <w:rtl/>
          <w:lang w:bidi="ar-SA"/>
        </w:rPr>
        <w:lastRenderedPageBreak/>
        <w:t>البيانات</w:t>
      </w:r>
      <w:r w:rsidRPr="007C544A">
        <w:rPr>
          <w:rFonts w:ascii="Traditional Arabic" w:eastAsiaTheme="minorHAnsi" w:hAnsi="Traditional Arabic" w:cs="Traditional Arabic"/>
          <w:b/>
          <w:bCs/>
          <w:i w:val="0"/>
          <w:iCs w:val="0"/>
          <w:color w:val="auto"/>
          <w:sz w:val="24"/>
          <w:szCs w:val="24"/>
          <w:rtl/>
        </w:rPr>
        <w:t xml:space="preserve"> </w:t>
      </w:r>
      <w:r w:rsidRPr="007C544A">
        <w:rPr>
          <w:rFonts w:ascii="Traditional Arabic" w:eastAsiaTheme="minorHAnsi" w:hAnsi="Traditional Arabic" w:cs="Traditional Arabic"/>
          <w:b/>
          <w:bCs/>
          <w:i w:val="0"/>
          <w:iCs w:val="0"/>
          <w:color w:val="auto"/>
          <w:sz w:val="24"/>
          <w:szCs w:val="24"/>
          <w:rtl/>
          <w:lang w:bidi="ar-SA"/>
        </w:rPr>
        <w:t>الديموغرافية</w:t>
      </w:r>
      <w:r w:rsidR="00775B4E" w:rsidRPr="007C544A">
        <w:rPr>
          <w:rFonts w:ascii="Traditional Arabic" w:eastAsia="Times New Roman" w:hAnsi="Traditional Arabic" w:cs="Traditional Arabic"/>
          <w:b/>
          <w:bCs/>
          <w:i w:val="0"/>
          <w:iCs w:val="0"/>
          <w:color w:val="auto"/>
          <w:sz w:val="24"/>
          <w:szCs w:val="24"/>
          <w:rtl/>
          <w:lang w:bidi="ar-SA"/>
        </w:rPr>
        <w:t xml:space="preserve">: </w:t>
      </w:r>
    </w:p>
    <w:p w:rsidR="0020222D" w:rsidRPr="007C544A" w:rsidRDefault="0020222D"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يحتوي على معلومات متعلقة بالمستقصى منهم.</w:t>
      </w:r>
      <w:r w:rsidR="00867B68" w:rsidRPr="007C544A">
        <w:rPr>
          <w:rFonts w:ascii="Traditional Arabic" w:hAnsi="Traditional Arabic" w:cs="Traditional Arabic" w:hint="cs"/>
          <w:rtl/>
        </w:rPr>
        <w:t xml:space="preserve"> </w:t>
      </w:r>
      <w:r w:rsidRPr="007C544A">
        <w:rPr>
          <w:rFonts w:ascii="Traditional Arabic" w:hAnsi="Traditional Arabic" w:cs="Traditional Arabic"/>
          <w:rtl/>
        </w:rPr>
        <w:t>البيانات الديموغرافية للمستجيبين</w:t>
      </w:r>
      <w:r w:rsidR="00775B4E" w:rsidRPr="007C544A">
        <w:rPr>
          <w:rFonts w:ascii="Traditional Arabic" w:hAnsi="Traditional Arabic" w:cs="Traditional Arabic"/>
          <w:rtl/>
        </w:rPr>
        <w:t xml:space="preserve">: </w:t>
      </w:r>
      <w:r w:rsidRPr="007C544A">
        <w:rPr>
          <w:rFonts w:ascii="Traditional Arabic" w:hAnsi="Traditional Arabic" w:cs="Traditional Arabic"/>
          <w:rtl/>
        </w:rPr>
        <w:t>يشمل الجنس</w:t>
      </w:r>
      <w:r w:rsidR="00D7278E" w:rsidRPr="007C544A">
        <w:rPr>
          <w:rFonts w:ascii="Traditional Arabic" w:hAnsi="Traditional Arabic" w:cs="Traditional Arabic"/>
          <w:rtl/>
        </w:rPr>
        <w:t xml:space="preserve">، </w:t>
      </w:r>
      <w:r w:rsidRPr="007C544A">
        <w:rPr>
          <w:rFonts w:ascii="Traditional Arabic" w:eastAsiaTheme="minorHAnsi" w:hAnsi="Traditional Arabic" w:cs="Traditional Arabic"/>
          <w:rtl/>
        </w:rPr>
        <w:t>العمر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القسم/الوظيفة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سنوات الخبرة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بهدف التعرف على الخصائص العامة لعينة الدراسة</w:t>
      </w:r>
      <w:r w:rsidRPr="007C544A">
        <w:rPr>
          <w:rFonts w:ascii="Traditional Arabic" w:hAnsi="Traditional Arabic" w:cs="Traditional Arabic"/>
        </w:rPr>
        <w:t>.</w:t>
      </w:r>
    </w:p>
    <w:p w:rsidR="00FA7CB8" w:rsidRPr="007C544A" w:rsidRDefault="00FA7CB8" w:rsidP="002D00D3">
      <w:pPr>
        <w:pStyle w:val="Heading4"/>
        <w:numPr>
          <w:ilvl w:val="0"/>
          <w:numId w:val="46"/>
        </w:numPr>
        <w:bidi/>
        <w:spacing w:before="0" w:line="360" w:lineRule="auto"/>
        <w:ind w:left="714" w:hanging="357"/>
        <w:jc w:val="both"/>
        <w:rPr>
          <w:rFonts w:ascii="Traditional Arabic" w:eastAsiaTheme="minorHAnsi" w:hAnsi="Traditional Arabic" w:cs="Traditional Arabic"/>
          <w:b/>
          <w:bCs/>
          <w:i w:val="0"/>
          <w:iCs w:val="0"/>
          <w:color w:val="auto"/>
          <w:sz w:val="24"/>
          <w:szCs w:val="24"/>
        </w:rPr>
      </w:pPr>
      <w:r w:rsidRPr="007C544A">
        <w:rPr>
          <w:rFonts w:ascii="Traditional Arabic" w:eastAsiaTheme="minorHAnsi" w:hAnsi="Traditional Arabic" w:cs="Traditional Arabic"/>
          <w:b/>
          <w:bCs/>
          <w:i w:val="0"/>
          <w:iCs w:val="0"/>
          <w:color w:val="auto"/>
          <w:sz w:val="24"/>
          <w:szCs w:val="24"/>
          <w:rtl/>
          <w:lang w:bidi="ar-EG"/>
        </w:rPr>
        <w:t>محاور الاستبيان:</w:t>
      </w:r>
    </w:p>
    <w:p w:rsidR="00744607" w:rsidRPr="007C544A" w:rsidRDefault="00744607"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يتكون الاستبيان من أربعة أبعاد رئيسية تمثل المتغيرات محل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وهي</w:t>
      </w:r>
      <w:r w:rsidR="00775B4E" w:rsidRPr="007C544A">
        <w:rPr>
          <w:rFonts w:ascii="Traditional Arabic" w:eastAsia="Times New Roman" w:hAnsi="Traditional Arabic" w:cs="Traditional Arabic"/>
          <w:sz w:val="24"/>
          <w:szCs w:val="24"/>
          <w:rtl/>
        </w:rPr>
        <w:t xml:space="preserve">: </w:t>
      </w:r>
    </w:p>
    <w:p w:rsidR="0020222D" w:rsidRPr="007C544A" w:rsidRDefault="0020222D" w:rsidP="002D00D3">
      <w:pPr>
        <w:pStyle w:val="ListParagraph"/>
        <w:numPr>
          <w:ilvl w:val="0"/>
          <w:numId w:val="47"/>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hAnsi="Traditional Arabic" w:cs="Traditional Arabic"/>
          <w:sz w:val="24"/>
          <w:szCs w:val="24"/>
          <w:rtl/>
        </w:rPr>
        <w:t xml:space="preserve">بُعد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المالي بعد الدمج</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EB0B41" w:rsidRPr="007C544A">
        <w:rPr>
          <w:rFonts w:ascii="Traditional Arabic" w:eastAsia="Times New Roman" w:hAnsi="Traditional Arabic" w:cs="Traditional Arabic"/>
          <w:sz w:val="24"/>
          <w:szCs w:val="24"/>
          <w:rtl/>
        </w:rPr>
        <w:t xml:space="preserve"> (</w:t>
      </w:r>
      <w:r w:rsidR="00EB0B41" w:rsidRPr="007C544A">
        <w:rPr>
          <w:rFonts w:ascii="Traditional Arabic" w:eastAsia="Times New Roman" w:hAnsi="Traditional Arabic" w:cs="Traditional Arabic"/>
          <w:sz w:val="24"/>
          <w:szCs w:val="24"/>
        </w:rPr>
        <w:t>F1–F5</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 مؤشرات الإيرادات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الأرباح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كفاءة استخدام الموارد</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معدل النمو</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والسيولة المالية</w:t>
      </w:r>
      <w:r w:rsidRPr="007C544A">
        <w:rPr>
          <w:rFonts w:ascii="Traditional Arabic" w:eastAsia="Times New Roman" w:hAnsi="Traditional Arabic" w:cs="Traditional Arabic"/>
          <w:sz w:val="24"/>
          <w:szCs w:val="24"/>
        </w:rPr>
        <w:t>.</w:t>
      </w:r>
    </w:p>
    <w:p w:rsidR="0020222D" w:rsidRPr="007C544A" w:rsidRDefault="0020222D" w:rsidP="002D00D3">
      <w:pPr>
        <w:numPr>
          <w:ilvl w:val="0"/>
          <w:numId w:val="47"/>
        </w:numPr>
        <w:shd w:val="clear" w:color="auto" w:fill="FFFFFF" w:themeFill="background1"/>
        <w:bidi/>
        <w:spacing w:after="0" w:line="360" w:lineRule="auto"/>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بعد متطلبات الحوكمة في سوق النمو</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D7278E"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Pr>
        <w:t xml:space="preserve">G1–G5) </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 مدى توافر هياكل الحوكمة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سياسات الشفافية والإفصاح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نظم الرقابة الداخلية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والخطط المؤسسية لل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السوق الموازية</w:t>
      </w:r>
      <w:r w:rsidRPr="007C544A">
        <w:rPr>
          <w:rFonts w:ascii="Traditional Arabic" w:eastAsia="Times New Roman" w:hAnsi="Traditional Arabic" w:cs="Traditional Arabic"/>
          <w:sz w:val="24"/>
          <w:szCs w:val="24"/>
        </w:rPr>
        <w:t>.</w:t>
      </w:r>
    </w:p>
    <w:p w:rsidR="0020222D" w:rsidRPr="007C544A" w:rsidRDefault="0020222D" w:rsidP="002D00D3">
      <w:pPr>
        <w:numPr>
          <w:ilvl w:val="0"/>
          <w:numId w:val="47"/>
        </w:numPr>
        <w:shd w:val="clear" w:color="auto" w:fill="FFFFFF" w:themeFill="background1"/>
        <w:bidi/>
        <w:spacing w:after="0" w:line="360" w:lineRule="auto"/>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بعد تعزيز القدرة التنافسية</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D7278E"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Pr>
        <w:t xml:space="preserve">C1–C5) </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 أثر الدمج على الحصة السوقية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تطوير المنتجات والخدمات</w:t>
      </w:r>
      <w:r w:rsidR="00D7278E" w:rsidRPr="007C544A">
        <w:rPr>
          <w:rFonts w:ascii="Traditional Arabic" w:eastAsia="Times New Roman" w:hAnsi="Traditional Arabic" w:cs="Traditional Arabic"/>
          <w:sz w:val="24"/>
          <w:szCs w:val="24"/>
          <w:rtl/>
        </w:rPr>
        <w:t xml:space="preserve">،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التسويقي والتشغيلي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وتنويع الأنشطة</w:t>
      </w:r>
      <w:r w:rsidRPr="007C544A">
        <w:rPr>
          <w:rFonts w:ascii="Traditional Arabic" w:eastAsia="Times New Roman" w:hAnsi="Traditional Arabic" w:cs="Traditional Arabic"/>
          <w:sz w:val="24"/>
          <w:szCs w:val="24"/>
        </w:rPr>
        <w:t>.</w:t>
      </w:r>
    </w:p>
    <w:p w:rsidR="00302C32" w:rsidRPr="007C544A" w:rsidRDefault="0020222D" w:rsidP="002D00D3">
      <w:pPr>
        <w:numPr>
          <w:ilvl w:val="0"/>
          <w:numId w:val="47"/>
        </w:numPr>
        <w:shd w:val="clear" w:color="auto" w:fill="FFFFFF" w:themeFill="background1"/>
        <w:bidi/>
        <w:spacing w:after="0" w:line="360" w:lineRule="auto"/>
        <w:jc w:val="both"/>
        <w:rPr>
          <w:rFonts w:ascii="Simplified Arabic" w:eastAsia="Times New Roman" w:hAnsi="Simplified Arabic" w:cs="Simplified Arabic"/>
          <w:sz w:val="28"/>
          <w:szCs w:val="28"/>
          <w:rtl/>
        </w:rPr>
      </w:pPr>
      <w:r w:rsidRPr="007C544A">
        <w:rPr>
          <w:rFonts w:ascii="Traditional Arabic" w:eastAsia="Times New Roman" w:hAnsi="Traditional Arabic" w:cs="Traditional Arabic"/>
          <w:sz w:val="24"/>
          <w:szCs w:val="24"/>
          <w:rtl/>
        </w:rPr>
        <w:t>بعد فرص الحصول على التمويل</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D7278E"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Pr>
        <w:t xml:space="preserve">L1–L5) </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 قدرة الشركة بعد الدمج وال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على الوصول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مصادر تمويل متنوعة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تحسين الجدارة الائتمانية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وجذب المستثمرين والشركاء الاستراتيجيين</w:t>
      </w:r>
      <w:r w:rsidRPr="007C544A">
        <w:rPr>
          <w:rFonts w:ascii="Traditional Arabic" w:eastAsia="Times New Roman" w:hAnsi="Traditional Arabic" w:cs="Traditional Arabic"/>
          <w:sz w:val="24"/>
          <w:szCs w:val="24"/>
        </w:rPr>
        <w:t>.</w:t>
      </w:r>
    </w:p>
    <w:p w:rsidR="00744607" w:rsidRPr="007C544A" w:rsidRDefault="00744607"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مقياس الدراسة</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مقياس ليكرت الخماسي</w:t>
      </w:r>
      <w:r w:rsidR="00D7278E" w:rsidRPr="007C544A">
        <w:rPr>
          <w:rFonts w:ascii="Traditional Arabic" w:eastAsiaTheme="minorHAnsi" w:hAnsi="Traditional Arabic" w:cs="Traditional Arabic"/>
          <w:b/>
          <w:bCs/>
          <w:rtl/>
        </w:rPr>
        <w:t>)</w:t>
      </w:r>
      <w:r w:rsidR="00FA7CB8" w:rsidRPr="007C544A">
        <w:rPr>
          <w:rFonts w:ascii="Traditional Arabic" w:eastAsiaTheme="minorHAnsi" w:hAnsi="Traditional Arabic" w:cs="Traditional Arabic"/>
          <w:b/>
          <w:bCs/>
          <w:rtl/>
        </w:rPr>
        <w:t>:</w:t>
      </w:r>
    </w:p>
    <w:p w:rsidR="0020222D" w:rsidRPr="007C544A" w:rsidRDefault="00744607" w:rsidP="00706522">
      <w:pPr>
        <w:bidi/>
        <w:spacing w:after="0" w:line="360" w:lineRule="auto"/>
        <w:ind w:firstLine="720"/>
        <w:jc w:val="both"/>
        <w:rPr>
          <w:rFonts w:ascii="Traditional Arabic" w:hAnsi="Traditional Arabic" w:cs="Traditional Arabic"/>
          <w:sz w:val="24"/>
          <w:szCs w:val="24"/>
          <w:rtl/>
        </w:rPr>
      </w:pPr>
      <w:r w:rsidRPr="007C544A">
        <w:rPr>
          <w:rFonts w:ascii="Traditional Arabic" w:eastAsia="Times New Roman" w:hAnsi="Traditional Arabic" w:cs="Traditional Arabic"/>
          <w:sz w:val="24"/>
          <w:szCs w:val="24"/>
          <w:rtl/>
        </w:rPr>
        <w:t>تم استخدام مقياس ليكرت الخماسي لقياس استجابات أفراد العينة</w:t>
      </w:r>
      <w:r w:rsidR="00D7278E" w:rsidRPr="007C544A">
        <w:rPr>
          <w:rFonts w:ascii="Traditional Arabic" w:eastAsia="Times New Roman" w:hAnsi="Traditional Arabic" w:cs="Traditional Arabic"/>
          <w:sz w:val="24"/>
          <w:szCs w:val="24"/>
          <w:rtl/>
        </w:rPr>
        <w:t xml:space="preserve">، </w:t>
      </w:r>
      <w:r w:rsidR="00F553CE" w:rsidRPr="007C544A">
        <w:rPr>
          <w:rFonts w:ascii="Traditional Arabic" w:eastAsia="Times New Roman" w:hAnsi="Traditional Arabic" w:cs="Traditional Arabic"/>
          <w:sz w:val="24"/>
          <w:szCs w:val="24"/>
          <w:rtl/>
        </w:rPr>
        <w:t xml:space="preserve">حيث تتدرج الإجابات </w:t>
      </w:r>
      <w:r w:rsidRPr="007C544A">
        <w:rPr>
          <w:rFonts w:ascii="Traditional Arabic" w:eastAsia="Times New Roman" w:hAnsi="Traditional Arabic" w:cs="Traditional Arabic"/>
          <w:sz w:val="24"/>
          <w:szCs w:val="24"/>
          <w:rtl/>
        </w:rPr>
        <w:t>من</w:t>
      </w:r>
      <w:r w:rsidR="00D7278E" w:rsidRPr="007C544A">
        <w:rPr>
          <w:rFonts w:ascii="Traditional Arabic" w:eastAsia="Times New Roman" w:hAnsi="Traditional Arabic" w:cs="Traditional Arabic"/>
          <w:sz w:val="24"/>
          <w:szCs w:val="24"/>
          <w:rtl/>
        </w:rPr>
        <w:t xml:space="preserve"> (</w:t>
      </w:r>
      <w:r w:rsidR="00EB0B41" w:rsidRPr="007C544A">
        <w:rPr>
          <w:rFonts w:ascii="Traditional Arabic" w:eastAsia="Times New Roman" w:hAnsi="Traditional Arabic" w:cs="Traditional Arabic"/>
          <w:sz w:val="24"/>
          <w:szCs w:val="24"/>
          <w:rtl/>
        </w:rPr>
        <w:t>1</w:t>
      </w:r>
      <w:r w:rsidRPr="007C544A">
        <w:rPr>
          <w:rFonts w:ascii="Traditional Arabic" w:eastAsia="Times New Roman" w:hAnsi="Traditional Arabic" w:cs="Traditional Arabic"/>
          <w:sz w:val="24"/>
          <w:szCs w:val="24"/>
          <w:rtl/>
        </w:rPr>
        <w:t>=غير موافق بشدة)</w:t>
      </w:r>
      <w:r w:rsidR="000544F4" w:rsidRPr="007C544A">
        <w:rPr>
          <w:rFonts w:ascii="Traditional Arabic" w:eastAsia="Times New Roman" w:hAnsi="Traditional Arabic" w:cs="Traditional Arabic"/>
          <w:sz w:val="24"/>
          <w:szCs w:val="24"/>
          <w:rtl/>
        </w:rPr>
        <w:t xml:space="preserve"> إلى </w:t>
      </w:r>
      <w:r w:rsidR="00D7278E" w:rsidRPr="007C544A">
        <w:rPr>
          <w:rFonts w:ascii="Traditional Arabic" w:eastAsia="Times New Roman" w:hAnsi="Traditional Arabic" w:cs="Traditional Arabic"/>
          <w:sz w:val="24"/>
          <w:szCs w:val="24"/>
          <w:rtl/>
        </w:rPr>
        <w:t>(</w:t>
      </w:r>
      <w:r w:rsidR="00EB0B41" w:rsidRPr="007C544A">
        <w:rPr>
          <w:rFonts w:ascii="Traditional Arabic" w:eastAsia="Times New Roman" w:hAnsi="Traditional Arabic" w:cs="Traditional Arabic"/>
          <w:sz w:val="24"/>
          <w:szCs w:val="24"/>
          <w:rtl/>
        </w:rPr>
        <w:t>5</w:t>
      </w:r>
      <w:r w:rsidRPr="007C544A">
        <w:rPr>
          <w:rFonts w:ascii="Traditional Arabic" w:eastAsia="Times New Roman" w:hAnsi="Traditional Arabic" w:cs="Traditional Arabic"/>
          <w:sz w:val="24"/>
          <w:szCs w:val="24"/>
          <w:rtl/>
        </w:rPr>
        <w:t>=موافق بشدة)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بهدف قياس درجة الاتفاق على عبارات الاستبيان</w:t>
      </w:r>
      <w:r w:rsidR="00EB0B41" w:rsidRPr="007C544A">
        <w:rPr>
          <w:rFonts w:ascii="Traditional Arabic" w:eastAsia="Times New Roman" w:hAnsi="Traditional Arabic" w:cs="Traditional Arabic"/>
          <w:sz w:val="24"/>
          <w:szCs w:val="24"/>
          <w:rtl/>
        </w:rPr>
        <w:t xml:space="preserve">، </w:t>
      </w:r>
      <w:r w:rsidR="00AD456B" w:rsidRPr="007C544A">
        <w:rPr>
          <w:rFonts w:ascii="Traditional Arabic" w:hAnsi="Traditional Arabic" w:cs="Traditional Arabic"/>
          <w:sz w:val="24"/>
          <w:szCs w:val="24"/>
          <w:rtl/>
        </w:rPr>
        <w:t>كما</w:t>
      </w:r>
      <w:r w:rsidR="00D7278E" w:rsidRPr="007C544A">
        <w:rPr>
          <w:rFonts w:ascii="Traditional Arabic" w:hAnsi="Traditional Arabic" w:cs="Traditional Arabic"/>
          <w:sz w:val="24"/>
          <w:szCs w:val="24"/>
          <w:rtl/>
        </w:rPr>
        <w:t xml:space="preserve"> </w:t>
      </w:r>
      <w:r w:rsidR="0020222D" w:rsidRPr="007C544A">
        <w:rPr>
          <w:rFonts w:ascii="Traditional Arabic" w:hAnsi="Traditional Arabic" w:cs="Traditional Arabic"/>
          <w:sz w:val="24"/>
          <w:szCs w:val="24"/>
          <w:rtl/>
        </w:rPr>
        <w:t>يأتي</w:t>
      </w:r>
      <w:r w:rsidR="00775B4E" w:rsidRPr="007C544A">
        <w:rPr>
          <w:rFonts w:ascii="Traditional Arabic" w:hAnsi="Traditional Arabic" w:cs="Traditional Arabic"/>
          <w:sz w:val="24"/>
          <w:szCs w:val="24"/>
          <w:rtl/>
        </w:rPr>
        <w:t xml:space="preserve">: </w:t>
      </w:r>
    </w:p>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w:t>
      </w:r>
      <w:r w:rsidR="00772BBE" w:rsidRPr="007C544A">
        <w:rPr>
          <w:rFonts w:ascii="Traditional Arabic" w:eastAsiaTheme="minorHAnsi" w:hAnsi="Traditional Arabic" w:cs="Traditional Arabic"/>
          <w:b/>
          <w:bCs/>
          <w:rtl/>
        </w:rPr>
        <w:t>3</w:t>
      </w:r>
      <w:r w:rsidRPr="007C544A">
        <w:rPr>
          <w:rFonts w:ascii="Traditional Arabic" w:eastAsiaTheme="minorHAnsi" w:hAnsi="Traditional Arabic" w:cs="Traditional Arabic"/>
          <w:b/>
          <w:bCs/>
          <w:rtl/>
        </w:rPr>
        <w:t>)</w:t>
      </w:r>
    </w:p>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 </w:t>
      </w:r>
      <w:r w:rsidR="00AD456B" w:rsidRPr="007C544A">
        <w:rPr>
          <w:rFonts w:ascii="Traditional Arabic" w:eastAsiaTheme="minorHAnsi" w:hAnsi="Traditional Arabic" w:cs="Traditional Arabic"/>
          <w:b/>
          <w:bCs/>
          <w:rtl/>
        </w:rPr>
        <w:t xml:space="preserve">مستويات </w:t>
      </w:r>
      <w:r w:rsidRPr="007C544A">
        <w:rPr>
          <w:rFonts w:ascii="Traditional Arabic" w:eastAsiaTheme="minorHAnsi" w:hAnsi="Traditional Arabic" w:cs="Traditional Arabic"/>
          <w:b/>
          <w:bCs/>
          <w:rtl/>
        </w:rPr>
        <w:t>المتوسط</w:t>
      </w:r>
      <w:r w:rsidR="00D7278E" w:rsidRPr="007C544A">
        <w:rPr>
          <w:rFonts w:ascii="Traditional Arabic" w:eastAsiaTheme="minorHAnsi" w:hAnsi="Traditional Arabic" w:cs="Traditional Arabic"/>
          <w:b/>
          <w:bCs/>
          <w:rtl/>
        </w:rPr>
        <w:t xml:space="preserve"> </w:t>
      </w:r>
      <w:r w:rsidR="00D5388D" w:rsidRPr="007C544A">
        <w:rPr>
          <w:rFonts w:ascii="Traditional Arabic" w:eastAsiaTheme="minorHAnsi" w:hAnsi="Traditional Arabic" w:cs="Traditional Arabic"/>
          <w:b/>
          <w:bCs/>
          <w:rtl/>
        </w:rPr>
        <w:t>الحسابي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 xml:space="preserve">المرجح </w:t>
      </w:r>
      <w:r w:rsidR="00D5388D" w:rsidRPr="007C544A">
        <w:rPr>
          <w:rFonts w:ascii="Traditional Arabic" w:eastAsiaTheme="minorHAnsi" w:hAnsi="Traditional Arabic" w:cs="Traditional Arabic"/>
          <w:b/>
          <w:bCs/>
          <w:rtl/>
        </w:rPr>
        <w:t>وفق مقياس لكريت الخماسي</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821"/>
        <w:gridCol w:w="2410"/>
      </w:tblGrid>
      <w:tr w:rsidR="0020222D" w:rsidRPr="007C544A" w:rsidTr="006D1607">
        <w:trPr>
          <w:jc w:val="center"/>
        </w:trPr>
        <w:tc>
          <w:tcPr>
            <w:tcW w:w="3821" w:type="dxa"/>
            <w:tcBorders>
              <w:top w:val="threeDEngrave" w:sz="24" w:space="0" w:color="auto"/>
              <w:bottom w:val="threeDEmboss" w:sz="24" w:space="0" w:color="auto"/>
            </w:tcBorders>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مجال المتوسط الحسابي المرجح</w:t>
            </w:r>
          </w:p>
        </w:tc>
        <w:tc>
          <w:tcPr>
            <w:tcW w:w="2410" w:type="dxa"/>
            <w:tcBorders>
              <w:top w:val="threeDEngrave" w:sz="24" w:space="0" w:color="auto"/>
              <w:bottom w:val="threeDEmboss" w:sz="24" w:space="0" w:color="auto"/>
            </w:tcBorders>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المستوى الموافق له</w:t>
            </w:r>
          </w:p>
        </w:tc>
      </w:tr>
      <w:tr w:rsidR="0020222D" w:rsidRPr="007C544A" w:rsidTr="005032C6">
        <w:trPr>
          <w:jc w:val="center"/>
        </w:trPr>
        <w:tc>
          <w:tcPr>
            <w:tcW w:w="3821" w:type="dxa"/>
            <w:tcBorders>
              <w:top w:val="threeDEmboss" w:sz="24" w:space="0" w:color="auto"/>
            </w:tcBorders>
            <w:shd w:val="clear" w:color="auto" w:fill="FFFFFF" w:themeFill="background1"/>
            <w:vAlign w:val="center"/>
          </w:tcPr>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1</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1.79</w:t>
            </w:r>
          </w:p>
        </w:tc>
        <w:tc>
          <w:tcPr>
            <w:tcW w:w="2410" w:type="dxa"/>
            <w:tcBorders>
              <w:top w:val="threeDEmboss" w:sz="24" w:space="0" w:color="auto"/>
            </w:tcBorders>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منخفض جدا</w:t>
            </w:r>
          </w:p>
        </w:tc>
      </w:tr>
      <w:tr w:rsidR="0020222D" w:rsidRPr="007C544A" w:rsidTr="005032C6">
        <w:trPr>
          <w:jc w:val="center"/>
        </w:trPr>
        <w:tc>
          <w:tcPr>
            <w:tcW w:w="3821" w:type="dxa"/>
            <w:shd w:val="clear" w:color="auto" w:fill="FFFFFF" w:themeFill="background1"/>
            <w:vAlign w:val="center"/>
          </w:tcPr>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1.80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2.59</w:t>
            </w:r>
          </w:p>
        </w:tc>
        <w:tc>
          <w:tcPr>
            <w:tcW w:w="2410" w:type="dxa"/>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منخفض</w:t>
            </w:r>
          </w:p>
        </w:tc>
      </w:tr>
      <w:tr w:rsidR="0020222D" w:rsidRPr="007C544A" w:rsidTr="005032C6">
        <w:trPr>
          <w:jc w:val="center"/>
        </w:trPr>
        <w:tc>
          <w:tcPr>
            <w:tcW w:w="3821" w:type="dxa"/>
            <w:shd w:val="clear" w:color="auto" w:fill="FFFFFF" w:themeFill="background1"/>
            <w:vAlign w:val="center"/>
          </w:tcPr>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2.60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3.39</w:t>
            </w:r>
          </w:p>
        </w:tc>
        <w:tc>
          <w:tcPr>
            <w:tcW w:w="2410" w:type="dxa"/>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متوسط</w:t>
            </w:r>
          </w:p>
        </w:tc>
      </w:tr>
      <w:tr w:rsidR="0020222D" w:rsidRPr="007C544A" w:rsidTr="005032C6">
        <w:trPr>
          <w:jc w:val="center"/>
        </w:trPr>
        <w:tc>
          <w:tcPr>
            <w:tcW w:w="3821" w:type="dxa"/>
            <w:shd w:val="clear" w:color="auto" w:fill="FFFFFF" w:themeFill="background1"/>
            <w:vAlign w:val="center"/>
          </w:tcPr>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3.40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4.19</w:t>
            </w:r>
          </w:p>
        </w:tc>
        <w:tc>
          <w:tcPr>
            <w:tcW w:w="2410" w:type="dxa"/>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مرتفع</w:t>
            </w:r>
          </w:p>
        </w:tc>
      </w:tr>
      <w:tr w:rsidR="0020222D" w:rsidRPr="007C544A" w:rsidTr="005032C6">
        <w:trPr>
          <w:jc w:val="center"/>
        </w:trPr>
        <w:tc>
          <w:tcPr>
            <w:tcW w:w="3821" w:type="dxa"/>
            <w:shd w:val="clear" w:color="auto" w:fill="FFFFFF" w:themeFill="background1"/>
            <w:vAlign w:val="center"/>
          </w:tcPr>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4.20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5</w:t>
            </w:r>
          </w:p>
        </w:tc>
        <w:tc>
          <w:tcPr>
            <w:tcW w:w="2410" w:type="dxa"/>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مرتفع جدا</w:t>
            </w:r>
          </w:p>
        </w:tc>
      </w:tr>
    </w:tbl>
    <w:p w:rsidR="0020222D"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lastRenderedPageBreak/>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عز عبد الفتاح مقدمة في الإحصاء الوصفي والاستدلالي باستخدام </w:t>
      </w:r>
      <w:r w:rsidRPr="007C544A">
        <w:rPr>
          <w:rFonts w:ascii="Traditional Arabic" w:eastAsiaTheme="minorHAnsi" w:hAnsi="Traditional Arabic" w:cs="Traditional Arabic"/>
          <w:shd w:val="clear" w:color="auto" w:fill="FFFFFF"/>
        </w:rPr>
        <w:t>SPSS</w:t>
      </w:r>
      <w:r w:rsidRPr="007C544A">
        <w:rPr>
          <w:rFonts w:ascii="Traditional Arabic" w:eastAsiaTheme="minorHAnsi" w:hAnsi="Traditional Arabic" w:cs="Traditional Arabic"/>
          <w:shd w:val="clear" w:color="auto" w:fill="FFFFFF"/>
          <w:rtl/>
        </w:rPr>
        <w:t>"</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ط</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1)</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مكتبة خوارزم العلمية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جدة السعودية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2008</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538.</w:t>
      </w:r>
    </w:p>
    <w:p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rPr>
        <w:t xml:space="preserve">تم تفريغ البيانات من </w:t>
      </w:r>
      <w:r w:rsidR="00FA7CB8" w:rsidRPr="007C544A">
        <w:rPr>
          <w:rFonts w:ascii="Traditional Arabic" w:eastAsiaTheme="minorHAnsi" w:hAnsi="Traditional Arabic" w:cs="Traditional Arabic"/>
          <w:rtl/>
        </w:rPr>
        <w:t>استمارات</w:t>
      </w:r>
      <w:r w:rsidRPr="007C544A">
        <w:rPr>
          <w:rFonts w:ascii="Traditional Arabic" w:eastAsiaTheme="minorHAnsi" w:hAnsi="Traditional Arabic" w:cs="Traditional Arabic"/>
          <w:rtl/>
        </w:rPr>
        <w:t xml:space="preserve"> الاستبيان</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وتصنيفها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وتبويبها لتسهيل عملية تحليلها وتفسيرها وذلك لاستخلاص النتائج منها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وقد تم تحليل البيانات التي تم الحصول عليها باستخدام الوسائل ال</w:t>
      </w:r>
      <w:r w:rsidR="004C5D0F" w:rsidRPr="007C544A">
        <w:rPr>
          <w:rFonts w:ascii="Traditional Arabic" w:eastAsiaTheme="minorHAnsi" w:hAnsi="Traditional Arabic" w:cs="Traditional Arabic"/>
          <w:rtl/>
        </w:rPr>
        <w:t>إحصائي</w:t>
      </w:r>
      <w:r w:rsidRPr="007C544A">
        <w:rPr>
          <w:rFonts w:ascii="Traditional Arabic" w:eastAsiaTheme="minorHAnsi" w:hAnsi="Traditional Arabic" w:cs="Traditional Arabic"/>
          <w:rtl/>
        </w:rPr>
        <w:t>ة المناسبة لاختبار صحة الفروض</w:t>
      </w:r>
      <w:r w:rsidRPr="007C544A">
        <w:rPr>
          <w:rFonts w:ascii="Traditional Arabic" w:eastAsiaTheme="minorHAnsi" w:hAnsi="Traditional Arabic" w:cs="Traditional Arabic"/>
          <w:lang w:bidi="ar-EG"/>
        </w:rPr>
        <w:t>.</w:t>
      </w:r>
    </w:p>
    <w:p w:rsidR="0020222D" w:rsidRPr="007C544A" w:rsidRDefault="0020222D" w:rsidP="002D00D3">
      <w:pPr>
        <w:pStyle w:val="NormalWeb"/>
        <w:numPr>
          <w:ilvl w:val="0"/>
          <w:numId w:val="48"/>
        </w:numPr>
        <w:shd w:val="clear" w:color="auto" w:fill="FFFFFF" w:themeFill="background1"/>
        <w:bidi/>
        <w:spacing w:before="0" w:beforeAutospacing="0" w:after="0" w:afterAutospacing="0" w:line="360" w:lineRule="auto"/>
        <w:ind w:left="714" w:hanging="357"/>
        <w:jc w:val="both"/>
        <w:rPr>
          <w:rStyle w:val="fontstyle01"/>
          <w:rFonts w:ascii="Traditional Arabic" w:eastAsiaTheme="minorHAnsi" w:hAnsi="Traditional Arabic" w:cs="Traditional Arabic" w:hint="default"/>
          <w:b/>
          <w:bCs/>
          <w:color w:val="auto"/>
          <w:rtl/>
          <w:lang w:bidi="ar-EG"/>
        </w:rPr>
      </w:pPr>
      <w:r w:rsidRPr="007C544A">
        <w:rPr>
          <w:rStyle w:val="fontstyle01"/>
          <w:rFonts w:ascii="Traditional Arabic" w:eastAsiaTheme="minorHAnsi" w:hAnsi="Traditional Arabic" w:cs="Traditional Arabic" w:hint="default"/>
          <w:b/>
          <w:bCs/>
          <w:color w:val="auto"/>
          <w:rtl/>
          <w:lang w:bidi="ar-EG"/>
        </w:rPr>
        <w:t>طريقة جمع البيانات</w:t>
      </w:r>
      <w:r w:rsidR="00775B4E" w:rsidRPr="007C544A">
        <w:rPr>
          <w:rStyle w:val="fontstyle01"/>
          <w:rFonts w:ascii="Traditional Arabic" w:eastAsiaTheme="minorHAnsi" w:hAnsi="Traditional Arabic" w:cs="Traditional Arabic" w:hint="default"/>
          <w:b/>
          <w:bCs/>
          <w:color w:val="auto"/>
          <w:rtl/>
          <w:lang w:bidi="ar-EG"/>
        </w:rPr>
        <w:t xml:space="preserve">: </w:t>
      </w:r>
    </w:p>
    <w:p w:rsidR="00922B00" w:rsidRPr="007C544A" w:rsidRDefault="0020222D"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لتحقيق أهداف الدراسة وتحليل البيانات التي تم جمعها قام الباحث بإعداد قائمة استقصاء تم توجيهها للمسئولين داخل الشركات عينة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واعتمدت الدراسة الحالية في تصميم قائمة الاستبيان على مجموعة من الدراسات التي يمكن عرضها في الجدول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3-4)</w:t>
      </w:r>
      <w:r w:rsidR="00775B4E" w:rsidRPr="007C544A">
        <w:rPr>
          <w:rFonts w:ascii="Traditional Arabic" w:eastAsiaTheme="minorHAnsi" w:hAnsi="Traditional Arabic" w:cs="Traditional Arabic"/>
          <w:rtl/>
          <w:lang w:bidi="ar-EG"/>
        </w:rPr>
        <w:t xml:space="preserve">: </w:t>
      </w:r>
    </w:p>
    <w:p w:rsidR="005032C6" w:rsidRPr="007C544A" w:rsidRDefault="00A1011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(3-4) </w:t>
      </w:r>
    </w:p>
    <w:p w:rsidR="00A10113" w:rsidRPr="007C544A" w:rsidRDefault="00A1011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الدراسات المستخدمة في قياس متغيرات الدراسة</w:t>
      </w:r>
    </w:p>
    <w:tbl>
      <w:tblPr>
        <w:tblStyle w:val="TableGrid1"/>
        <w:bidiVisual/>
        <w:tblW w:w="0" w:type="auto"/>
        <w:tblInd w:w="-227"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722"/>
        <w:gridCol w:w="1404"/>
        <w:gridCol w:w="1060"/>
        <w:gridCol w:w="5337"/>
      </w:tblGrid>
      <w:tr w:rsidR="0020222D" w:rsidRPr="007C544A" w:rsidTr="00F553CE">
        <w:trPr>
          <w:trHeight w:val="888"/>
          <w:tblHeader/>
        </w:trPr>
        <w:tc>
          <w:tcPr>
            <w:tcW w:w="722" w:type="dxa"/>
            <w:tcBorders>
              <w:top w:val="threeDEngrave" w:sz="24" w:space="0" w:color="auto"/>
              <w:bottom w:val="threeDEmboss" w:sz="24" w:space="0" w:color="auto"/>
            </w:tcBorders>
            <w:shd w:val="clear" w:color="auto" w:fill="D9D9D9" w:themeFill="background1" w:themeFillShade="D9"/>
            <w:vAlign w:val="center"/>
            <w:hideMark/>
          </w:tcPr>
          <w:p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م</w:t>
            </w:r>
          </w:p>
        </w:tc>
        <w:tc>
          <w:tcPr>
            <w:tcW w:w="1404" w:type="dxa"/>
            <w:tcBorders>
              <w:top w:val="threeDEngrave" w:sz="24" w:space="0" w:color="auto"/>
              <w:bottom w:val="threeDEmboss" w:sz="24" w:space="0" w:color="auto"/>
            </w:tcBorders>
            <w:shd w:val="clear" w:color="auto" w:fill="D9D9D9" w:themeFill="background1" w:themeFillShade="D9"/>
            <w:vAlign w:val="center"/>
            <w:hideMark/>
          </w:tcPr>
          <w:p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أبعاد/محاور الدراسة</w:t>
            </w:r>
          </w:p>
        </w:tc>
        <w:tc>
          <w:tcPr>
            <w:tcW w:w="1060" w:type="dxa"/>
            <w:tcBorders>
              <w:top w:val="threeDEngrave" w:sz="24" w:space="0" w:color="auto"/>
              <w:bottom w:val="threeDEmboss" w:sz="24" w:space="0" w:color="auto"/>
            </w:tcBorders>
            <w:shd w:val="clear" w:color="auto" w:fill="D9D9D9" w:themeFill="background1" w:themeFillShade="D9"/>
            <w:vAlign w:val="center"/>
            <w:hideMark/>
          </w:tcPr>
          <w:p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الفقرات</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المصادر</w:t>
            </w:r>
          </w:p>
        </w:tc>
      </w:tr>
      <w:tr w:rsidR="0020222D" w:rsidRPr="007C544A" w:rsidTr="008D300D">
        <w:tc>
          <w:tcPr>
            <w:tcW w:w="722" w:type="dxa"/>
            <w:tcBorders>
              <w:top w:val="threeDEmboss" w:sz="24" w:space="0" w:color="auto"/>
            </w:tcBorders>
            <w:shd w:val="clear" w:color="auto" w:fill="FFFFFF" w:themeFill="background1"/>
            <w:vAlign w:val="center"/>
            <w:hideMark/>
          </w:tcPr>
          <w:p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c>
          <w:tcPr>
            <w:tcW w:w="1404" w:type="dxa"/>
            <w:tcBorders>
              <w:top w:val="threeDEmboss" w:sz="24" w:space="0" w:color="auto"/>
            </w:tcBorders>
            <w:shd w:val="clear" w:color="auto" w:fill="D9D9D9" w:themeFill="background1" w:themeFillShade="D9"/>
            <w:vAlign w:val="center"/>
            <w:hideMark/>
          </w:tcPr>
          <w:p w:rsidR="0020222D" w:rsidRPr="007C544A" w:rsidRDefault="005C20E0"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20222D" w:rsidRPr="007C544A">
              <w:rPr>
                <w:rFonts w:ascii="Traditional Arabic" w:hAnsi="Traditional Arabic" w:cs="Traditional Arabic"/>
                <w:sz w:val="24"/>
                <w:szCs w:val="24"/>
                <w:rtl/>
              </w:rPr>
              <w:t xml:space="preserve"> المالي بعد الدمج</w:t>
            </w:r>
          </w:p>
        </w:tc>
        <w:tc>
          <w:tcPr>
            <w:tcW w:w="1060" w:type="dxa"/>
            <w:tcBorders>
              <w:top w:val="threeDEmboss" w:sz="24" w:space="0" w:color="auto"/>
            </w:tcBorders>
            <w:shd w:val="clear" w:color="auto" w:fill="D9D9D9" w:themeFill="background1" w:themeFillShade="D9"/>
            <w:vAlign w:val="center"/>
            <w:hideMark/>
          </w:tcPr>
          <w:p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F1–F5</w:t>
            </w:r>
          </w:p>
        </w:tc>
        <w:tc>
          <w:tcPr>
            <w:tcW w:w="0" w:type="auto"/>
            <w:tcBorders>
              <w:top w:val="threeDEmboss" w:sz="24" w:space="0" w:color="auto"/>
            </w:tcBorders>
            <w:shd w:val="clear" w:color="auto" w:fill="FFFFFF" w:themeFill="background1"/>
            <w:vAlign w:val="center"/>
            <w:hideMark/>
          </w:tcPr>
          <w:p w:rsidR="0020222D" w:rsidRPr="007C544A" w:rsidRDefault="0020222D" w:rsidP="00F553CE">
            <w:pPr>
              <w:shd w:val="clear" w:color="auto" w:fill="FFFFFF" w:themeFill="background1"/>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 Healy, P., Palepu, K., &amp; Ruback, R.</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1992). Corporate performance following mergers. - Bruner, R.</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2004). Applied Mergers and Acquisitions. - Gaughan, P.</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2018). Mergers, Acquisitions, and Corporate Restructurings.</w:t>
            </w:r>
          </w:p>
        </w:tc>
      </w:tr>
      <w:tr w:rsidR="0020222D" w:rsidRPr="007C544A" w:rsidTr="008D300D">
        <w:tc>
          <w:tcPr>
            <w:tcW w:w="722" w:type="dxa"/>
            <w:shd w:val="clear" w:color="auto" w:fill="FFFFFF" w:themeFill="background1"/>
            <w:vAlign w:val="center"/>
            <w:hideMark/>
          </w:tcPr>
          <w:p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c>
          <w:tcPr>
            <w:tcW w:w="1404" w:type="dxa"/>
            <w:shd w:val="clear" w:color="auto" w:fill="D9D9D9" w:themeFill="background1" w:themeFillShade="D9"/>
            <w:vAlign w:val="center"/>
            <w:hideMark/>
          </w:tcPr>
          <w:p w:rsidR="0020222D" w:rsidRPr="007C544A" w:rsidRDefault="0020222D"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 في سوق النمو</w:t>
            </w:r>
          </w:p>
        </w:tc>
        <w:tc>
          <w:tcPr>
            <w:tcW w:w="1060" w:type="dxa"/>
            <w:shd w:val="clear" w:color="auto" w:fill="D9D9D9" w:themeFill="background1" w:themeFillShade="D9"/>
            <w:vAlign w:val="center"/>
            <w:hideMark/>
          </w:tcPr>
          <w:p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G1–G5</w:t>
            </w:r>
          </w:p>
        </w:tc>
        <w:tc>
          <w:tcPr>
            <w:tcW w:w="0" w:type="auto"/>
            <w:shd w:val="clear" w:color="auto" w:fill="FFFFFF" w:themeFill="background1"/>
            <w:vAlign w:val="center"/>
            <w:hideMark/>
          </w:tcPr>
          <w:p w:rsidR="0020222D" w:rsidRPr="007C544A" w:rsidRDefault="0020222D" w:rsidP="00F553CE">
            <w:pPr>
              <w:shd w:val="clear" w:color="auto" w:fill="FFFFFF" w:themeFill="background1"/>
              <w:bidi/>
              <w:spacing w:line="276" w:lineRule="auto"/>
              <w:jc w:val="center"/>
              <w:rPr>
                <w:rFonts w:ascii="Times New Roman" w:hAnsi="Times New Roman" w:cs="Simplified Arabic"/>
                <w:sz w:val="26"/>
                <w:szCs w:val="26"/>
              </w:rPr>
            </w:pPr>
            <w:r w:rsidRPr="007C544A">
              <w:rPr>
                <w:rFonts w:ascii="Times New Roman" w:hAnsi="Times New Roman" w:cs="Simplified Arabic"/>
                <w:sz w:val="26"/>
                <w:szCs w:val="26"/>
              </w:rPr>
              <w:t xml:space="preserve">- </w:t>
            </w:r>
            <w:r w:rsidRPr="007C544A">
              <w:rPr>
                <w:rFonts w:ascii="Times New Roman" w:hAnsi="Times New Roman" w:cs="Simplified Arabic"/>
                <w:sz w:val="24"/>
                <w:szCs w:val="24"/>
              </w:rPr>
              <w:t>OECD.</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2015). Principles of Corporate Governance.</w:t>
            </w:r>
            <w:r w:rsidRPr="007C544A">
              <w:rPr>
                <w:rFonts w:ascii="Times New Roman" w:hAnsi="Times New Roman" w:cs="Simplified Arabic"/>
                <w:sz w:val="26"/>
                <w:szCs w:val="26"/>
              </w:rPr>
              <w:t xml:space="preserve"> - </w:t>
            </w:r>
            <w:r w:rsidRPr="007C544A">
              <w:rPr>
                <w:rFonts w:ascii="Traditional Arabic" w:hAnsi="Traditional Arabic" w:cs="Traditional Arabic"/>
                <w:sz w:val="24"/>
                <w:szCs w:val="24"/>
                <w:rtl/>
              </w:rPr>
              <w:t>هيئة السوق المالية السعودية</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 xml:space="preserve">CMA). </w:t>
            </w:r>
            <w:r w:rsidRPr="007C544A">
              <w:rPr>
                <w:rFonts w:ascii="Traditional Arabic" w:hAnsi="Traditional Arabic" w:cs="Traditional Arabic"/>
                <w:sz w:val="24"/>
                <w:szCs w:val="24"/>
                <w:rtl/>
              </w:rPr>
              <w:t>لائحة حوكمة الشركات ومتطلبات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w:t>
            </w:r>
            <w:r w:rsidRPr="007C544A">
              <w:rPr>
                <w:rFonts w:ascii="Times New Roman" w:hAnsi="Times New Roman" w:cs="Simplified Arabic"/>
                <w:sz w:val="26"/>
                <w:szCs w:val="26"/>
              </w:rPr>
              <w:t xml:space="preserve">. </w:t>
            </w:r>
            <w:r w:rsidRPr="007C544A">
              <w:rPr>
                <w:rFonts w:ascii="Times New Roman" w:hAnsi="Times New Roman" w:cs="Simplified Arabic"/>
                <w:sz w:val="24"/>
                <w:szCs w:val="24"/>
              </w:rPr>
              <w:t>- Al-Bassam et al.</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2018). Corporate governance and firm performance.</w:t>
            </w:r>
          </w:p>
        </w:tc>
      </w:tr>
      <w:tr w:rsidR="0020222D" w:rsidRPr="007C544A" w:rsidTr="008D300D">
        <w:tc>
          <w:tcPr>
            <w:tcW w:w="722" w:type="dxa"/>
            <w:shd w:val="clear" w:color="auto" w:fill="FFFFFF" w:themeFill="background1"/>
            <w:vAlign w:val="center"/>
            <w:hideMark/>
          </w:tcPr>
          <w:p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c>
          <w:tcPr>
            <w:tcW w:w="1404" w:type="dxa"/>
            <w:shd w:val="clear" w:color="auto" w:fill="D9D9D9" w:themeFill="background1" w:themeFillShade="D9"/>
            <w:vAlign w:val="center"/>
            <w:hideMark/>
          </w:tcPr>
          <w:p w:rsidR="0020222D" w:rsidRPr="007C544A" w:rsidRDefault="0020222D"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 القدرة التنافسية</w:t>
            </w:r>
          </w:p>
        </w:tc>
        <w:tc>
          <w:tcPr>
            <w:tcW w:w="1060" w:type="dxa"/>
            <w:shd w:val="clear" w:color="auto" w:fill="D9D9D9" w:themeFill="background1" w:themeFillShade="D9"/>
            <w:vAlign w:val="center"/>
            <w:hideMark/>
          </w:tcPr>
          <w:p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C1–C5</w:t>
            </w:r>
          </w:p>
        </w:tc>
        <w:tc>
          <w:tcPr>
            <w:tcW w:w="0" w:type="auto"/>
            <w:shd w:val="clear" w:color="auto" w:fill="FFFFFF" w:themeFill="background1"/>
            <w:vAlign w:val="center"/>
            <w:hideMark/>
          </w:tcPr>
          <w:p w:rsidR="0020222D" w:rsidRPr="007C544A" w:rsidRDefault="0020222D" w:rsidP="00F553CE">
            <w:pPr>
              <w:shd w:val="clear" w:color="auto" w:fill="FFFFFF" w:themeFill="background1"/>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 Porter, M.</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2008). The five competitive forces that shape strategy. - Hitt, M., Ireland, R., &amp; Harrison, J.</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2001). Mergers and acquisitions</w:t>
            </w:r>
            <w:r w:rsidR="00775B4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A value creation perspective. - Cartwright, S., &amp; Schoenberg, R.</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2006). Thirty years of mergers and acquisitions research.</w:t>
            </w:r>
          </w:p>
        </w:tc>
      </w:tr>
      <w:tr w:rsidR="0020222D" w:rsidRPr="007C544A" w:rsidTr="008D300D">
        <w:tc>
          <w:tcPr>
            <w:tcW w:w="722" w:type="dxa"/>
            <w:shd w:val="clear" w:color="auto" w:fill="FFFFFF" w:themeFill="background1"/>
            <w:vAlign w:val="center"/>
            <w:hideMark/>
          </w:tcPr>
          <w:p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c>
          <w:tcPr>
            <w:tcW w:w="1404" w:type="dxa"/>
            <w:shd w:val="clear" w:color="auto" w:fill="D9D9D9" w:themeFill="background1" w:themeFillShade="D9"/>
            <w:vAlign w:val="center"/>
            <w:hideMark/>
          </w:tcPr>
          <w:p w:rsidR="0020222D" w:rsidRPr="007C544A" w:rsidRDefault="0020222D"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فرص الحصول على التمويل</w:t>
            </w:r>
          </w:p>
        </w:tc>
        <w:tc>
          <w:tcPr>
            <w:tcW w:w="1060" w:type="dxa"/>
            <w:shd w:val="clear" w:color="auto" w:fill="D9D9D9" w:themeFill="background1" w:themeFillShade="D9"/>
            <w:vAlign w:val="center"/>
            <w:hideMark/>
          </w:tcPr>
          <w:p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L1–L5</w:t>
            </w:r>
          </w:p>
        </w:tc>
        <w:tc>
          <w:tcPr>
            <w:tcW w:w="0" w:type="auto"/>
            <w:shd w:val="clear" w:color="auto" w:fill="FFFFFF" w:themeFill="background1"/>
            <w:vAlign w:val="center"/>
            <w:hideMark/>
          </w:tcPr>
          <w:p w:rsidR="0020222D" w:rsidRPr="007C544A" w:rsidRDefault="0020222D" w:rsidP="00F553CE">
            <w:pPr>
              <w:shd w:val="clear" w:color="auto" w:fill="FFFFFF" w:themeFill="background1"/>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 Myers, S., &amp; Majluf, N.</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1984). Corporate financing and investment decisions. - Pagano, M., Panetta, F., &amp; Zingales, L.</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1998). Why do companies go public? - Ritter, J., &amp; Welch, I.</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2002). A review of IPO activity.</w:t>
            </w:r>
          </w:p>
        </w:tc>
      </w:tr>
    </w:tbl>
    <w:p w:rsidR="0020222D"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من خلال الاطلاع على الدراسات السابقة</w:t>
      </w:r>
    </w:p>
    <w:p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كما تم استخدام مقياس التدرج المكون من خمس درجات وفق مقياس ليكرت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lang w:bidi="ar-EG"/>
        </w:rPr>
        <w:t>Scale Likert</w:t>
      </w:r>
      <w:r w:rsidRPr="007C544A">
        <w:rPr>
          <w:rFonts w:ascii="Traditional Arabic" w:eastAsiaTheme="minorHAnsi" w:hAnsi="Traditional Arabic" w:cs="Traditional Arabic"/>
          <w:rtl/>
          <w:lang w:bidi="ar-EG"/>
        </w:rPr>
        <w:t>) لتصحيح أداة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بحيث تعرض فقرات </w:t>
      </w:r>
      <w:r w:rsidR="00EB0B41" w:rsidRPr="007C544A">
        <w:rPr>
          <w:rFonts w:ascii="Traditional Arabic" w:eastAsiaTheme="minorHAnsi" w:hAnsi="Traditional Arabic" w:cs="Traditional Arabic"/>
          <w:rtl/>
        </w:rPr>
        <w:t>الاستبانة</w:t>
      </w:r>
      <w:r w:rsidRPr="007C544A">
        <w:rPr>
          <w:rFonts w:ascii="Traditional Arabic" w:eastAsiaTheme="minorHAnsi" w:hAnsi="Traditional Arabic" w:cs="Traditional Arabic"/>
          <w:rtl/>
          <w:lang w:bidi="ar-EG"/>
        </w:rPr>
        <w:t xml:space="preserve"> على عينة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ومقابل كل فقرة خمس إجابات تحدد مستوى موافقتهم عليها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وتُعطى الإجابات أوزان رقمية تمثل درجة الإجابة عن الفقرة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كي يتم </w:t>
      </w:r>
      <w:r w:rsidR="00EB0B41" w:rsidRPr="007C544A">
        <w:rPr>
          <w:rFonts w:ascii="Traditional Arabic" w:eastAsiaTheme="minorHAnsi" w:hAnsi="Traditional Arabic" w:cs="Traditional Arabic"/>
          <w:rtl/>
          <w:lang w:bidi="ar-EG"/>
        </w:rPr>
        <w:t>الاستفادة</w:t>
      </w:r>
      <w:r w:rsidRPr="007C544A">
        <w:rPr>
          <w:rFonts w:ascii="Traditional Arabic" w:eastAsiaTheme="minorHAnsi" w:hAnsi="Traditional Arabic" w:cs="Traditional Arabic"/>
          <w:rtl/>
          <w:lang w:bidi="ar-EG"/>
        </w:rPr>
        <w:t xml:space="preserve"> منها في التعبير عن مستوى انخفاض أو ارتفاع الموافقة على فقرات الاستبيان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ويمكن توضيح ذلك في الجدول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3-5)</w:t>
      </w:r>
      <w:r w:rsidR="00775B4E" w:rsidRPr="007C544A">
        <w:rPr>
          <w:rFonts w:ascii="Traditional Arabic" w:eastAsiaTheme="minorHAnsi" w:hAnsi="Traditional Arabic" w:cs="Traditional Arabic"/>
          <w:rtl/>
          <w:lang w:bidi="ar-EG"/>
        </w:rPr>
        <w:t xml:space="preserve">: </w:t>
      </w:r>
    </w:p>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3-5)</w:t>
      </w:r>
    </w:p>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مقياس ليكرت الخماسي</w:t>
      </w:r>
    </w:p>
    <w:tbl>
      <w:tblPr>
        <w:tblStyle w:val="TableGrid"/>
        <w:bidiVisual/>
        <w:tblW w:w="0" w:type="auto"/>
        <w:tblBorders>
          <w:top w:val="threeDEngrave" w:sz="24" w:space="0" w:color="auto"/>
          <w:bottom w:val="threeDEmboss" w:sz="24" w:space="0" w:color="auto"/>
        </w:tblBorders>
        <w:tblLook w:val="04A0" w:firstRow="1" w:lastRow="0" w:firstColumn="1" w:lastColumn="0" w:noHBand="0" w:noVBand="1"/>
      </w:tblPr>
      <w:tblGrid>
        <w:gridCol w:w="1387"/>
        <w:gridCol w:w="1382"/>
        <w:gridCol w:w="1382"/>
        <w:gridCol w:w="1381"/>
        <w:gridCol w:w="1382"/>
        <w:gridCol w:w="1382"/>
      </w:tblGrid>
      <w:tr w:rsidR="0020222D" w:rsidRPr="007C544A" w:rsidTr="006D1607">
        <w:tc>
          <w:tcPr>
            <w:tcW w:w="1401" w:type="dxa"/>
            <w:tcBorders>
              <w:top w:val="threeDEngrave" w:sz="24" w:space="0" w:color="auto"/>
              <w:bottom w:val="threeDEmboss" w:sz="24" w:space="0" w:color="auto"/>
            </w:tcBorders>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الاستجابة</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موافق</w:t>
            </w:r>
          </w:p>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بشدة</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محايد</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غير 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غير موافق بشدة</w:t>
            </w:r>
          </w:p>
        </w:tc>
      </w:tr>
      <w:tr w:rsidR="0020222D" w:rsidRPr="007C544A" w:rsidTr="004C5D0F">
        <w:trPr>
          <w:trHeight w:val="662"/>
        </w:trPr>
        <w:tc>
          <w:tcPr>
            <w:tcW w:w="1401" w:type="dxa"/>
            <w:tcBorders>
              <w:top w:val="threeDEmboss" w:sz="24" w:space="0" w:color="auto"/>
            </w:tcBorders>
            <w:shd w:val="clear" w:color="auto" w:fill="D9D9D9" w:themeFill="background1" w:themeFillShade="D9"/>
            <w:vAlign w:val="center"/>
          </w:tcPr>
          <w:p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الدرجة</w:t>
            </w:r>
          </w:p>
        </w:tc>
        <w:tc>
          <w:tcPr>
            <w:tcW w:w="1402" w:type="dxa"/>
            <w:tcBorders>
              <w:top w:val="threeDEmboss" w:sz="24" w:space="0" w:color="auto"/>
            </w:tcBorders>
            <w:vAlign w:val="center"/>
          </w:tcPr>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w:t>
            </w:r>
          </w:p>
        </w:tc>
        <w:tc>
          <w:tcPr>
            <w:tcW w:w="1402" w:type="dxa"/>
            <w:tcBorders>
              <w:top w:val="threeDEmboss" w:sz="24" w:space="0" w:color="auto"/>
            </w:tcBorders>
            <w:vAlign w:val="center"/>
          </w:tcPr>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w:t>
            </w:r>
          </w:p>
        </w:tc>
        <w:tc>
          <w:tcPr>
            <w:tcW w:w="1402" w:type="dxa"/>
            <w:tcBorders>
              <w:top w:val="threeDEmboss" w:sz="24" w:space="0" w:color="auto"/>
            </w:tcBorders>
            <w:vAlign w:val="center"/>
          </w:tcPr>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w:t>
            </w:r>
          </w:p>
        </w:tc>
        <w:tc>
          <w:tcPr>
            <w:tcW w:w="1402" w:type="dxa"/>
            <w:tcBorders>
              <w:top w:val="threeDEmboss" w:sz="24" w:space="0" w:color="auto"/>
            </w:tcBorders>
            <w:vAlign w:val="center"/>
          </w:tcPr>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w:t>
            </w:r>
          </w:p>
        </w:tc>
        <w:tc>
          <w:tcPr>
            <w:tcW w:w="1402" w:type="dxa"/>
            <w:tcBorders>
              <w:top w:val="threeDEmboss" w:sz="24" w:space="0" w:color="auto"/>
            </w:tcBorders>
            <w:vAlign w:val="center"/>
          </w:tcPr>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w:t>
            </w:r>
          </w:p>
        </w:tc>
      </w:tr>
    </w:tbl>
    <w:p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يتضح من الجدول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3-5) أنه كلما انخفضت الدرجة الممنوحة للإجابة زادت درجة الرفض عليها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تعبر الدرجة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 عن عدم الموافقة التامة على الفقرة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وكلما زادت الدرجة الممنوحة للإجابة زادت درجة الموافقة عليها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وتعبر الدرجة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5) عن الموافقة التامة على الفقرة</w:t>
      </w:r>
      <w:r w:rsidRPr="007C544A">
        <w:rPr>
          <w:rFonts w:ascii="Traditional Arabic" w:eastAsiaTheme="minorHAnsi" w:hAnsi="Traditional Arabic" w:cs="Traditional Arabic"/>
          <w:lang w:bidi="ar-EG"/>
        </w:rPr>
        <w:t>.</w:t>
      </w:r>
      <w:r w:rsidRPr="007C544A">
        <w:rPr>
          <w:rFonts w:ascii="Traditional Arabic" w:eastAsiaTheme="minorHAnsi" w:hAnsi="Traditional Arabic" w:cs="Traditional Arabic"/>
          <w:rtl/>
          <w:lang w:bidi="ar-EG"/>
        </w:rPr>
        <w:t>.</w:t>
      </w:r>
    </w:p>
    <w:p w:rsidR="0020222D" w:rsidRPr="007C544A" w:rsidRDefault="0020222D"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دليل المقابلة</w:t>
      </w:r>
      <w:r w:rsidR="00775B4E" w:rsidRPr="007C544A">
        <w:rPr>
          <w:rFonts w:ascii="Traditional Arabic" w:eastAsiaTheme="minorHAnsi" w:hAnsi="Traditional Arabic" w:cs="Traditional Arabic"/>
          <w:b/>
          <w:bCs/>
          <w:sz w:val="28"/>
          <w:szCs w:val="28"/>
          <w:rtl/>
        </w:rPr>
        <w:t xml:space="preserve">: </w:t>
      </w:r>
    </w:p>
    <w:p w:rsidR="005B0BB1" w:rsidRPr="007C544A" w:rsidRDefault="005B0BB1" w:rsidP="005B0BB1">
      <w:pPr>
        <w:pStyle w:val="pdq2pgselectionanchorcontainer"/>
        <w:bidi/>
        <w:spacing w:before="0" w:beforeAutospacing="0" w:after="0" w:afterAutospacing="0" w:line="360" w:lineRule="auto"/>
        <w:ind w:firstLine="36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إعداد دليل المقابلة المتعمقة في ضوء أهداف الدراسة ومحاورها، وتم التحقق من صدقه الظاهري والموضوعي من خلال عرض أسئلته على مجموعة من الخبراء الأكاديميين والمتخصصين في الإدارة والأسواق المالية، وذلك للتأكد من وضوح الأسئلة وملاءمتها لموضوع الدراسة وشمولها لأبعادها المختلفة</w:t>
      </w:r>
      <w:r w:rsidRPr="007C544A">
        <w:rPr>
          <w:rFonts w:ascii="Traditional Arabic" w:eastAsiaTheme="minorHAnsi" w:hAnsi="Traditional Arabic" w:cs="Traditional Arabic"/>
          <w:lang w:bidi="ar-EG"/>
        </w:rPr>
        <w:t>.</w:t>
      </w:r>
    </w:p>
    <w:p w:rsidR="005B0BB1" w:rsidRPr="007C544A" w:rsidRDefault="005B0BB1" w:rsidP="005B0BB1">
      <w:pPr>
        <w:pStyle w:val="NormalWeb"/>
        <w:bidi/>
        <w:spacing w:before="0" w:beforeAutospacing="0" w:after="0" w:afterAutospacing="0" w:line="360" w:lineRule="auto"/>
        <w:ind w:firstLine="36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تم إجراء مقابلات تجريبية على عينة محدودة قبل تنفيذ المقابلات الأساسية، بهدف التحقق من وضوح الأسئلة وسلامة صياغتها وتسلسلها، ومدى ملاءمتها للحصول على المعلومات المطلوبة. وتم تسجيل المقابلات، بعد الحصول على موافقة المشاركين، وتفريغها بصورة دقيقة للاستفادة منها في التحليل النوعي وتفسير النتائج الكمية</w:t>
      </w:r>
      <w:r w:rsidRPr="007C544A">
        <w:rPr>
          <w:rFonts w:ascii="Traditional Arabic" w:eastAsiaTheme="minorHAnsi" w:hAnsi="Traditional Arabic" w:cs="Traditional Arabic"/>
          <w:lang w:bidi="ar-EG"/>
        </w:rPr>
        <w:t>.</w:t>
      </w:r>
    </w:p>
    <w:p w:rsidR="005B0BB1" w:rsidRPr="007C544A" w:rsidRDefault="005B0BB1" w:rsidP="005B0BB1">
      <w:pPr>
        <w:pStyle w:val="NormalWeb"/>
        <w:bidi/>
        <w:spacing w:before="0" w:beforeAutospacing="0" w:after="0" w:afterAutospacing="0" w:line="360" w:lineRule="auto"/>
        <w:ind w:firstLine="36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وبذلك تم استخدام المقابلات المتعمقة بوصفها أداة نوعية داعمة ومكملة للاستبانة، بهدف دعم وتفسير النتائج الكمية والتعرف بصورة أكثر عمقًا على آراء وخبرات المتخصصين بشأن موضوع الدراسة</w:t>
      </w:r>
      <w:r w:rsidRPr="007C544A">
        <w:rPr>
          <w:rFonts w:ascii="Traditional Arabic" w:eastAsiaTheme="minorHAnsi" w:hAnsi="Traditional Arabic" w:cs="Traditional Arabic"/>
          <w:lang w:bidi="ar-EG"/>
        </w:rPr>
        <w:t>.</w:t>
      </w:r>
    </w:p>
    <w:p w:rsidR="005B0BB1" w:rsidRPr="007C544A" w:rsidRDefault="005B0BB1" w:rsidP="00706522">
      <w:pPr>
        <w:pStyle w:val="a"/>
        <w:shd w:val="clear" w:color="auto" w:fill="FFFFFF" w:themeFill="background1"/>
        <w:spacing w:line="360" w:lineRule="auto"/>
        <w:jc w:val="left"/>
        <w:rPr>
          <w:rFonts w:ascii="Traditional Arabic" w:hAnsi="Traditional Arabic" w:cs="Traditional Arabic"/>
          <w:b/>
          <w:bCs/>
          <w:sz w:val="28"/>
          <w:szCs w:val="28"/>
          <w:rtl/>
        </w:rPr>
      </w:pPr>
    </w:p>
    <w:p w:rsidR="005B0BB1" w:rsidRPr="007C544A" w:rsidRDefault="005B0BB1" w:rsidP="00706522">
      <w:pPr>
        <w:pStyle w:val="a"/>
        <w:shd w:val="clear" w:color="auto" w:fill="FFFFFF" w:themeFill="background1"/>
        <w:spacing w:line="360" w:lineRule="auto"/>
        <w:jc w:val="left"/>
        <w:rPr>
          <w:rFonts w:ascii="Traditional Arabic" w:hAnsi="Traditional Arabic" w:cs="Traditional Arabic"/>
          <w:b/>
          <w:bCs/>
          <w:sz w:val="28"/>
          <w:szCs w:val="28"/>
          <w:rtl/>
        </w:rPr>
      </w:pPr>
    </w:p>
    <w:p w:rsidR="005B0BB1" w:rsidRPr="007C544A" w:rsidRDefault="005B0BB1" w:rsidP="00706522">
      <w:pPr>
        <w:pStyle w:val="a"/>
        <w:shd w:val="clear" w:color="auto" w:fill="FFFFFF" w:themeFill="background1"/>
        <w:spacing w:line="360" w:lineRule="auto"/>
        <w:jc w:val="left"/>
        <w:rPr>
          <w:rFonts w:ascii="Traditional Arabic" w:hAnsi="Traditional Arabic" w:cs="Traditional Arabic"/>
          <w:b/>
          <w:bCs/>
          <w:sz w:val="28"/>
          <w:szCs w:val="28"/>
          <w:rtl/>
        </w:rPr>
      </w:pPr>
    </w:p>
    <w:p w:rsidR="0020222D" w:rsidRPr="007C544A" w:rsidRDefault="00302C32"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خامساً</w:t>
      </w:r>
      <w:r w:rsidR="00086CDD" w:rsidRPr="007C544A">
        <w:rPr>
          <w:rFonts w:ascii="Traditional Arabic" w:hAnsi="Traditional Arabic" w:cs="Traditional Arabic"/>
          <w:b/>
          <w:bCs/>
          <w:sz w:val="28"/>
          <w:szCs w:val="28"/>
          <w:rtl/>
        </w:rPr>
        <w:t xml:space="preserve">- </w:t>
      </w:r>
      <w:r w:rsidR="0020222D" w:rsidRPr="007C544A">
        <w:rPr>
          <w:rFonts w:ascii="Traditional Arabic" w:hAnsi="Traditional Arabic" w:cs="Traditional Arabic"/>
          <w:b/>
          <w:bCs/>
          <w:sz w:val="28"/>
          <w:szCs w:val="28"/>
          <w:rtl/>
        </w:rPr>
        <w:t xml:space="preserve">أساليب تحليل </w:t>
      </w:r>
      <w:r w:rsidR="004D1B85" w:rsidRPr="007C544A">
        <w:rPr>
          <w:rFonts w:ascii="Traditional Arabic" w:hAnsi="Traditional Arabic" w:cs="Traditional Arabic"/>
          <w:b/>
          <w:bCs/>
          <w:sz w:val="28"/>
          <w:szCs w:val="28"/>
          <w:rtl/>
        </w:rPr>
        <w:t>البيانات</w:t>
      </w:r>
      <w:r w:rsidR="00775B4E" w:rsidRPr="007C544A">
        <w:rPr>
          <w:rFonts w:ascii="Traditional Arabic" w:hAnsi="Traditional Arabic" w:cs="Traditional Arabic"/>
          <w:b/>
          <w:bCs/>
          <w:sz w:val="28"/>
          <w:szCs w:val="28"/>
          <w:rtl/>
        </w:rPr>
        <w:t xml:space="preserve">: </w:t>
      </w:r>
    </w:p>
    <w:p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بعد الانتهاء من جمع البيانات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تم استخدام الحاسب الآلي بالاعتماد على برنامج الحزم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بالرمز للعلوم الاجتماعية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والذي يرمز له بالاختصار</w:t>
      </w:r>
      <w:r w:rsidR="00EB0B41" w:rsidRPr="007C544A">
        <w:rPr>
          <w:rFonts w:ascii="Traditional Arabic" w:eastAsiaTheme="minorHAnsi" w:hAnsi="Traditional Arabic" w:cs="Traditional Arabic"/>
          <w:rtl/>
          <w:lang w:bidi="ar-EG"/>
        </w:rPr>
        <w:t xml:space="preserve"> (</w:t>
      </w:r>
      <w:r w:rsidR="00EB0B41" w:rsidRPr="007C544A">
        <w:rPr>
          <w:rFonts w:ascii="Traditional Arabic" w:eastAsiaTheme="minorHAnsi" w:hAnsi="Traditional Arabic" w:cs="Traditional Arabic"/>
          <w:lang w:bidi="ar-EG"/>
        </w:rPr>
        <w:t>SPSS</w:t>
      </w:r>
      <w:r w:rsidR="00EB0B41"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نسخة </w:t>
      </w:r>
      <w:r w:rsidR="00EB0B41"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28</w:t>
      </w:r>
      <w:r w:rsidR="00EB0B41"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وذلك لتفريغ البيانات وجدولتها واختبار صحة فروض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وتطلب ذلك تطبيق التحليل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 xml:space="preserve"> المناسب لتلك البيانات وأساليب الإحصاء الوصفي والإحصاء التحليلي</w:t>
      </w:r>
      <w:r w:rsidR="00D7278E" w:rsidRPr="007C544A">
        <w:rPr>
          <w:rFonts w:ascii="Traditional Arabic" w:eastAsiaTheme="minorHAnsi" w:hAnsi="Traditional Arabic" w:cs="Traditional Arabic"/>
          <w:rtl/>
          <w:lang w:bidi="ar-EG"/>
        </w:rPr>
        <w:t xml:space="preserve">، </w:t>
      </w:r>
      <w:r w:rsidR="004D1B85" w:rsidRPr="007C544A">
        <w:rPr>
          <w:rFonts w:ascii="Traditional Arabic" w:eastAsiaTheme="minorHAnsi" w:hAnsi="Traditional Arabic" w:cs="Traditional Arabic"/>
          <w:rtl/>
          <w:lang w:bidi="ar-EG"/>
        </w:rPr>
        <w:t xml:space="preserve">اعتمد الباحث على </w:t>
      </w:r>
      <w:r w:rsidR="00EB0B41" w:rsidRPr="007C544A">
        <w:rPr>
          <w:rFonts w:ascii="Traditional Arabic" w:eastAsiaTheme="minorHAnsi" w:hAnsi="Traditional Arabic" w:cs="Traditional Arabic"/>
          <w:rtl/>
          <w:lang w:bidi="ar-EG"/>
        </w:rPr>
        <w:t>الأساليب</w:t>
      </w:r>
      <w:r w:rsidR="004D1B85" w:rsidRPr="007C544A">
        <w:rPr>
          <w:rFonts w:ascii="Traditional Arabic" w:eastAsiaTheme="minorHAnsi" w:hAnsi="Traditional Arabic" w:cs="Traditional Arabic"/>
          <w:rtl/>
          <w:lang w:bidi="ar-EG"/>
        </w:rPr>
        <w:t xml:space="preserve"> التالية</w:t>
      </w:r>
      <w:r w:rsidR="00775B4E" w:rsidRPr="007C544A">
        <w:rPr>
          <w:rFonts w:ascii="Traditional Arabic" w:eastAsiaTheme="minorHAnsi" w:hAnsi="Traditional Arabic" w:cs="Traditional Arabic"/>
          <w:rtl/>
          <w:lang w:bidi="ar-EG"/>
        </w:rPr>
        <w:t xml:space="preserve">: </w:t>
      </w:r>
    </w:p>
    <w:p w:rsidR="0020222D" w:rsidRPr="007C544A" w:rsidRDefault="0020222D"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الإحصاء الوصفي</w:t>
      </w:r>
      <w:r w:rsidR="00775B4E" w:rsidRPr="007C544A">
        <w:rPr>
          <w:rFonts w:ascii="Traditional Arabic" w:eastAsiaTheme="minorHAnsi" w:hAnsi="Traditional Arabic" w:cs="Traditional Arabic"/>
          <w:b/>
          <w:bCs/>
          <w:sz w:val="26"/>
          <w:szCs w:val="26"/>
          <w:rtl/>
        </w:rPr>
        <w:t xml:space="preserve">: </w:t>
      </w:r>
    </w:p>
    <w:p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الإحصاء الوصفي في تحليل بيانات الدراسة من خلال التكرارات والنسب المئوية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والوسط الحسابي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بهدف وصف خصائص عينة الدراسة وقياس مستوى استجابات أفرادها تجاه متغيرات الدراسة</w:t>
      </w:r>
      <w:r w:rsidRPr="007C544A">
        <w:rPr>
          <w:rFonts w:ascii="Traditional Arabic" w:eastAsiaTheme="minorHAnsi" w:hAnsi="Traditional Arabic" w:cs="Traditional Arabic"/>
          <w:lang w:bidi="ar-EG"/>
        </w:rPr>
        <w:t>.</w:t>
      </w:r>
    </w:p>
    <w:p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كما تم استخدام معامل ألفا كرونباخ</w:t>
      </w:r>
      <w:r w:rsidR="00D7278E" w:rsidRPr="007C544A">
        <w:rPr>
          <w:rFonts w:ascii="Traditional Arabic" w:eastAsiaTheme="minorHAnsi" w:hAnsi="Traditional Arabic" w:cs="Traditional Arabic"/>
          <w:rtl/>
          <w:lang w:bidi="ar-EG"/>
        </w:rPr>
        <w:t xml:space="preserve"> </w:t>
      </w:r>
      <w:r w:rsidR="00EB0B41" w:rsidRPr="007C544A">
        <w:rPr>
          <w:rFonts w:ascii="Traditional Arabic" w:eastAsiaTheme="minorHAnsi" w:hAnsi="Traditional Arabic" w:cs="Traditional Arabic"/>
          <w:rtl/>
          <w:lang w:bidi="ar-EG"/>
        </w:rPr>
        <w:t>(</w:t>
      </w:r>
      <w:r w:rsidR="00EB0B41" w:rsidRPr="007C544A">
        <w:rPr>
          <w:rFonts w:ascii="Traditional Arabic" w:eastAsiaTheme="minorHAnsi" w:hAnsi="Traditional Arabic" w:cs="Traditional Arabic"/>
          <w:lang w:bidi="ar-EG"/>
        </w:rPr>
        <w:t>Cronbach’s Alpha</w:t>
      </w:r>
      <w:r w:rsidR="00EB0B41"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للتحقق من ثبات أداة الدراسة</w:t>
      </w:r>
      <w:r w:rsidR="00D67740"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وقياس درجة الاتساق الداخلي بين فقراتها</w:t>
      </w:r>
      <w:r w:rsidRPr="007C544A">
        <w:rPr>
          <w:rFonts w:ascii="Traditional Arabic" w:eastAsiaTheme="minorHAnsi" w:hAnsi="Traditional Arabic" w:cs="Traditional Arabic"/>
          <w:lang w:bidi="ar-EG"/>
        </w:rPr>
        <w:t>.</w:t>
      </w:r>
    </w:p>
    <w:p w:rsidR="00AD456B" w:rsidRPr="007C544A" w:rsidRDefault="00AD456B"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Pr>
      </w:pPr>
      <w:r w:rsidRPr="007C544A">
        <w:rPr>
          <w:rFonts w:ascii="Traditional Arabic" w:eastAsiaTheme="minorHAnsi" w:hAnsi="Traditional Arabic" w:cs="Traditional Arabic"/>
          <w:b/>
          <w:bCs/>
          <w:sz w:val="26"/>
          <w:szCs w:val="26"/>
          <w:rtl/>
        </w:rPr>
        <w:t>معامل ارتباط بيرسون</w:t>
      </w:r>
      <w:r w:rsidR="00D7278E" w:rsidRPr="007C544A">
        <w:rPr>
          <w:rFonts w:ascii="Traditional Arabic" w:eastAsiaTheme="minorHAnsi" w:hAnsi="Traditional Arabic" w:cs="Traditional Arabic"/>
          <w:b/>
          <w:bCs/>
          <w:sz w:val="26"/>
          <w:szCs w:val="26"/>
          <w:rtl/>
        </w:rPr>
        <w:t xml:space="preserve"> </w:t>
      </w:r>
      <w:r w:rsidR="00D7278E" w:rsidRPr="007C544A">
        <w:rPr>
          <w:rFonts w:ascii="Traditional Arabic" w:eastAsiaTheme="minorHAnsi" w:hAnsi="Traditional Arabic" w:cs="Traditional Arabic"/>
          <w:b/>
          <w:bCs/>
          <w:sz w:val="26"/>
          <w:szCs w:val="26"/>
        </w:rPr>
        <w:t>(</w:t>
      </w:r>
      <w:r w:rsidRPr="007C544A">
        <w:rPr>
          <w:rFonts w:ascii="Traditional Arabic" w:eastAsiaTheme="minorHAnsi" w:hAnsi="Traditional Arabic" w:cs="Traditional Arabic"/>
          <w:b/>
          <w:bCs/>
          <w:sz w:val="26"/>
          <w:szCs w:val="26"/>
        </w:rPr>
        <w:t>Pearson Correlation)</w:t>
      </w:r>
      <w:r w:rsidR="00A21FF2" w:rsidRPr="007C544A">
        <w:rPr>
          <w:rFonts w:ascii="Traditional Arabic" w:eastAsiaTheme="minorHAnsi" w:hAnsi="Traditional Arabic" w:cs="Traditional Arabic"/>
          <w:b/>
          <w:bCs/>
          <w:sz w:val="26"/>
          <w:szCs w:val="26"/>
          <w:rtl/>
        </w:rPr>
        <w:t>:</w:t>
      </w:r>
    </w:p>
    <w:p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معامل ارتباط بيرسون لقياس قوة واتجاه العلاقة بين متغيرات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من خلال تحديد العلاقة بين استراتيجية دمج الشركات وكل من</w:t>
      </w:r>
      <w:r w:rsidR="00775B4E" w:rsidRPr="007C544A">
        <w:rPr>
          <w:rFonts w:ascii="Traditional Arabic" w:eastAsiaTheme="minorHAnsi" w:hAnsi="Traditional Arabic" w:cs="Traditional Arabic"/>
          <w:rtl/>
          <w:lang w:bidi="ar-EG"/>
        </w:rPr>
        <w:t xml:space="preserve">: </w:t>
      </w:r>
    </w:p>
    <w:p w:rsidR="00AD456B" w:rsidRPr="007C544A" w:rsidRDefault="00AD456B" w:rsidP="002D00D3">
      <w:pPr>
        <w:numPr>
          <w:ilvl w:val="0"/>
          <w:numId w:val="50"/>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متطلبات الحوكمة في سوق النمو</w:t>
      </w:r>
      <w:r w:rsidR="00A21FF2"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 xml:space="preserve"> </w:t>
      </w:r>
    </w:p>
    <w:p w:rsidR="00867B68" w:rsidRPr="007C544A" w:rsidRDefault="00AD456B" w:rsidP="002D00D3">
      <w:pPr>
        <w:numPr>
          <w:ilvl w:val="0"/>
          <w:numId w:val="50"/>
        </w:numPr>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lang w:bidi="ar-EG"/>
        </w:rPr>
        <w:t>فرص الحصول على التمويل</w:t>
      </w:r>
      <w:r w:rsidR="00A21FF2"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rPr>
        <w:t xml:space="preserve"> </w:t>
      </w:r>
    </w:p>
    <w:p w:rsidR="00AD456B" w:rsidRPr="007C544A" w:rsidRDefault="00AD456B"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Pr>
      </w:pPr>
      <w:r w:rsidRPr="007C544A">
        <w:rPr>
          <w:rFonts w:ascii="Traditional Arabic" w:eastAsiaTheme="minorHAnsi" w:hAnsi="Traditional Arabic" w:cs="Traditional Arabic"/>
          <w:b/>
          <w:bCs/>
          <w:sz w:val="26"/>
          <w:szCs w:val="26"/>
          <w:rtl/>
        </w:rPr>
        <w:t>تحليل الانحدار</w:t>
      </w:r>
      <w:r w:rsidR="00A21FF2" w:rsidRPr="007C544A">
        <w:rPr>
          <w:rFonts w:ascii="Traditional Arabic" w:eastAsiaTheme="minorHAnsi" w:hAnsi="Traditional Arabic" w:cs="Traditional Arabic"/>
          <w:b/>
          <w:bCs/>
          <w:sz w:val="26"/>
          <w:szCs w:val="26"/>
          <w:rtl/>
        </w:rPr>
        <w:t>:</w:t>
      </w:r>
    </w:p>
    <w:p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تحليل الانحدار بأنواعه</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البسيط والمتعدد) لاختبار أثر استراتيجية دمج الشركات على المتغيرات التابعة في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على النحو التالي</w:t>
      </w:r>
      <w:r w:rsidR="00775B4E" w:rsidRPr="007C544A">
        <w:rPr>
          <w:rFonts w:ascii="Traditional Arabic" w:eastAsiaTheme="minorHAnsi" w:hAnsi="Traditional Arabic" w:cs="Traditional Arabic"/>
          <w:rtl/>
          <w:lang w:bidi="ar-EG"/>
        </w:rPr>
        <w:t xml:space="preserve">: </w:t>
      </w:r>
    </w:p>
    <w:p w:rsidR="00A21FF2" w:rsidRPr="007C544A" w:rsidRDefault="00AD456B" w:rsidP="002D00D3">
      <w:pPr>
        <w:numPr>
          <w:ilvl w:val="0"/>
          <w:numId w:val="51"/>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تحليل الانحدار البسيط</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لقياس أثر الدمج على كل متغير من المتغيرات التابعة بشكل منفصل</w:t>
      </w:r>
      <w:r w:rsidR="00A21FF2" w:rsidRPr="007C544A">
        <w:rPr>
          <w:rFonts w:ascii="Traditional Arabic" w:hAnsi="Traditional Arabic" w:cs="Traditional Arabic"/>
          <w:sz w:val="24"/>
          <w:szCs w:val="24"/>
          <w:rtl/>
          <w:lang w:bidi="ar-EG"/>
        </w:rPr>
        <w:t>.</w:t>
      </w:r>
    </w:p>
    <w:p w:rsidR="00A21FF2" w:rsidRPr="007C544A" w:rsidRDefault="00AD456B" w:rsidP="002D00D3">
      <w:pPr>
        <w:numPr>
          <w:ilvl w:val="0"/>
          <w:numId w:val="51"/>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تحليل الانحدار المتعدد</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لقياس الأثر الكلي لاستراتيجية الدمج على جميع المتغيرات التابعة معًا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وتحديد درجة تأثير كل متغير مستقل على حدة</w:t>
      </w:r>
      <w:r w:rsidR="00A21FF2" w:rsidRPr="007C544A">
        <w:rPr>
          <w:rFonts w:ascii="Traditional Arabic" w:hAnsi="Traditional Arabic" w:cs="Traditional Arabic"/>
          <w:sz w:val="24"/>
          <w:szCs w:val="24"/>
          <w:rtl/>
          <w:lang w:bidi="ar-EG"/>
        </w:rPr>
        <w:t>.</w:t>
      </w:r>
    </w:p>
    <w:p w:rsidR="00A21FF2" w:rsidRPr="007C544A" w:rsidRDefault="00AD456B" w:rsidP="00706522">
      <w:pPr>
        <w:pStyle w:val="NormalWeb"/>
        <w:bidi/>
        <w:spacing w:before="0" w:beforeAutospacing="0" w:after="0" w:afterAutospacing="0" w:line="360" w:lineRule="auto"/>
        <w:ind w:firstLine="720"/>
        <w:jc w:val="both"/>
        <w:rPr>
          <w:rFonts w:ascii="Traditional Arabic" w:hAnsi="Traditional Arabic" w:cs="Traditional Arabic"/>
          <w:lang w:bidi="ar-EG"/>
        </w:rPr>
      </w:pPr>
      <w:r w:rsidRPr="007C544A">
        <w:rPr>
          <w:rFonts w:ascii="Traditional Arabic" w:eastAsiaTheme="minorHAnsi" w:hAnsi="Traditional Arabic" w:cs="Traditional Arabic"/>
          <w:rtl/>
          <w:lang w:bidi="ar-EG"/>
        </w:rPr>
        <w:t>كما تم دعم نتائج تحليل الانحدار باستخدام كل من المتوسط الحسابي والانحراف المعياري في تفسير النتائج</w:t>
      </w:r>
      <w:r w:rsidR="00A21FF2" w:rsidRPr="007C544A">
        <w:rPr>
          <w:rFonts w:ascii="Traditional Arabic" w:hAnsi="Traditional Arabic" w:cs="Traditional Arabic"/>
          <w:rtl/>
          <w:lang w:bidi="ar-EG"/>
        </w:rPr>
        <w:t>.</w:t>
      </w:r>
    </w:p>
    <w:p w:rsidR="00A21FF2" w:rsidRPr="007C544A" w:rsidRDefault="00AD456B"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اختبار تحليل التباين الأحادي</w:t>
      </w:r>
      <w:r w:rsidR="00A21FF2" w:rsidRPr="007C544A">
        <w:rPr>
          <w:rFonts w:ascii="Traditional Arabic" w:eastAsiaTheme="minorHAnsi" w:hAnsi="Traditional Arabic" w:cs="Traditional Arabic"/>
          <w:b/>
          <w:bCs/>
          <w:sz w:val="26"/>
          <w:szCs w:val="26"/>
          <w:rtl/>
        </w:rPr>
        <w:t xml:space="preserve"> (</w:t>
      </w:r>
      <w:r w:rsidR="00A21FF2" w:rsidRPr="007C544A">
        <w:rPr>
          <w:rFonts w:ascii="Traditional Arabic" w:eastAsiaTheme="minorHAnsi" w:hAnsi="Traditional Arabic" w:cs="Traditional Arabic"/>
          <w:b/>
          <w:bCs/>
          <w:sz w:val="26"/>
          <w:szCs w:val="26"/>
          <w:lang w:bidi="ar-EG"/>
        </w:rPr>
        <w:t>One-Way ANOVA</w:t>
      </w:r>
      <w:r w:rsidR="00A21FF2" w:rsidRPr="007C544A">
        <w:rPr>
          <w:rFonts w:ascii="Traditional Arabic" w:eastAsiaTheme="minorHAnsi" w:hAnsi="Traditional Arabic" w:cs="Traditional Arabic"/>
          <w:b/>
          <w:bCs/>
          <w:sz w:val="26"/>
          <w:szCs w:val="26"/>
          <w:rtl/>
        </w:rPr>
        <w:t>):</w:t>
      </w:r>
    </w:p>
    <w:p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اختبار تحليل التباين الأحادي</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Traditional Arabic" w:eastAsiaTheme="minorHAnsi" w:hAnsi="Traditional Arabic" w:cs="Traditional Arabic"/>
          <w:lang w:bidi="ar-EG"/>
        </w:rPr>
        <w:t xml:space="preserve">One-Way ANOVA) </w:t>
      </w:r>
      <w:r w:rsidRPr="007C544A">
        <w:rPr>
          <w:rFonts w:ascii="Traditional Arabic" w:eastAsiaTheme="minorHAnsi" w:hAnsi="Traditional Arabic" w:cs="Traditional Arabic"/>
          <w:rtl/>
          <w:lang w:bidi="ar-EG"/>
        </w:rPr>
        <w:t>للمقارنة بين متوسطات استجابات أفراد العينة وفقًا للمتغيرات الديموغرافية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والتي تشمل</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الجنس</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المؤهل التعليمي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الوظيفة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وسنوات الخبرة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وذلك بهدف تحديد ما إذا كانت هناك فروق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المجموعات المختلفة</w:t>
      </w:r>
      <w:r w:rsidRPr="007C544A">
        <w:rPr>
          <w:rFonts w:ascii="Traditional Arabic" w:eastAsiaTheme="minorHAnsi" w:hAnsi="Traditional Arabic" w:cs="Traditional Arabic"/>
          <w:lang w:bidi="ar-EG"/>
        </w:rPr>
        <w:t>.</w:t>
      </w:r>
    </w:p>
    <w:p w:rsidR="0020222D" w:rsidRPr="007C544A" w:rsidRDefault="0020222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 xml:space="preserve">سادساً- </w:t>
      </w:r>
      <w:r w:rsidR="004D1B85" w:rsidRPr="007C544A">
        <w:rPr>
          <w:rFonts w:ascii="Traditional Arabic" w:hAnsi="Traditional Arabic" w:cs="Traditional Arabic"/>
          <w:b/>
          <w:bCs/>
          <w:sz w:val="28"/>
          <w:szCs w:val="28"/>
          <w:rtl/>
        </w:rPr>
        <w:t>اختبار الصدق</w:t>
      </w:r>
      <w:r w:rsidR="00D7278E" w:rsidRPr="007C544A">
        <w:rPr>
          <w:rFonts w:ascii="Traditional Arabic" w:hAnsi="Traditional Arabic" w:cs="Traditional Arabic"/>
          <w:b/>
          <w:bCs/>
          <w:sz w:val="28"/>
          <w:szCs w:val="28"/>
          <w:rtl/>
        </w:rPr>
        <w:t xml:space="preserve"> </w:t>
      </w:r>
      <w:r w:rsidRPr="007C544A">
        <w:rPr>
          <w:rFonts w:ascii="Traditional Arabic" w:hAnsi="Traditional Arabic" w:cs="Traditional Arabic"/>
          <w:b/>
          <w:bCs/>
          <w:sz w:val="28"/>
          <w:szCs w:val="28"/>
          <w:rtl/>
        </w:rPr>
        <w:t>والثبات</w:t>
      </w:r>
      <w:r w:rsidR="00775B4E" w:rsidRPr="007C544A">
        <w:rPr>
          <w:rFonts w:ascii="Traditional Arabic" w:hAnsi="Traditional Arabic" w:cs="Traditional Arabic"/>
          <w:b/>
          <w:bCs/>
          <w:sz w:val="28"/>
          <w:szCs w:val="28"/>
          <w:rtl/>
        </w:rPr>
        <w:t xml:space="preserve">: </w:t>
      </w:r>
    </w:p>
    <w:p w:rsidR="0020222D" w:rsidRPr="007C544A" w:rsidRDefault="004D1B85" w:rsidP="002D00D3">
      <w:pPr>
        <w:pStyle w:val="NormalWeb"/>
        <w:numPr>
          <w:ilvl w:val="0"/>
          <w:numId w:val="5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 xml:space="preserve">اختبار </w:t>
      </w:r>
      <w:r w:rsidR="0020222D" w:rsidRPr="007C544A">
        <w:rPr>
          <w:rFonts w:ascii="Traditional Arabic" w:eastAsiaTheme="minorHAnsi" w:hAnsi="Traditional Arabic" w:cs="Traditional Arabic"/>
          <w:b/>
          <w:bCs/>
          <w:sz w:val="28"/>
          <w:szCs w:val="28"/>
          <w:rtl/>
        </w:rPr>
        <w:t>صدق الاستبيان</w:t>
      </w:r>
      <w:r w:rsidR="00775B4E" w:rsidRPr="007C544A">
        <w:rPr>
          <w:rFonts w:ascii="Traditional Arabic" w:eastAsiaTheme="minorHAnsi" w:hAnsi="Traditional Arabic" w:cs="Traditional Arabic"/>
          <w:b/>
          <w:bCs/>
          <w:sz w:val="28"/>
          <w:szCs w:val="28"/>
          <w:rtl/>
        </w:rPr>
        <w:t xml:space="preserve">: </w:t>
      </w:r>
    </w:p>
    <w:p w:rsidR="0020222D" w:rsidRPr="007C544A" w:rsidRDefault="0011129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w:t>
      </w:r>
      <w:r w:rsidR="0020222D" w:rsidRPr="007C544A">
        <w:rPr>
          <w:rFonts w:ascii="Traditional Arabic" w:eastAsiaTheme="minorHAnsi" w:hAnsi="Traditional Arabic" w:cs="Traditional Arabic"/>
          <w:rtl/>
          <w:lang w:bidi="ar-EG"/>
        </w:rPr>
        <w:t xml:space="preserve"> تقنين فقرات الاستبيان</w:t>
      </w:r>
      <w:r w:rsidR="00D7278E" w:rsidRPr="007C544A">
        <w:rPr>
          <w:rFonts w:ascii="Traditional Arabic" w:eastAsiaTheme="minorHAnsi" w:hAnsi="Traditional Arabic" w:cs="Traditional Arabic"/>
          <w:rtl/>
          <w:lang w:bidi="ar-EG"/>
        </w:rPr>
        <w:t xml:space="preserve"> (</w:t>
      </w:r>
      <w:r w:rsidR="0020222D" w:rsidRPr="007C544A">
        <w:rPr>
          <w:rFonts w:ascii="Traditional Arabic" w:eastAsiaTheme="minorHAnsi" w:hAnsi="Traditional Arabic" w:cs="Traditional Arabic"/>
          <w:rtl/>
          <w:lang w:bidi="ar-EG"/>
        </w:rPr>
        <w:t xml:space="preserve">أداة الدراسة) </w:t>
      </w:r>
      <w:r w:rsidRPr="007C544A">
        <w:rPr>
          <w:rFonts w:ascii="Traditional Arabic" w:eastAsiaTheme="minorHAnsi" w:hAnsi="Traditional Arabic" w:cs="Traditional Arabic"/>
          <w:rtl/>
          <w:lang w:bidi="ar-EG"/>
        </w:rPr>
        <w:t>بهدف التحقق من صدقها وثباتها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من خلال الاعتماد على صدق المحتوى</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والذي تم التحقق منه وفقًا لما يلي</w:t>
      </w:r>
      <w:r w:rsidR="00775B4E" w:rsidRPr="007C544A">
        <w:rPr>
          <w:rFonts w:ascii="Traditional Arabic" w:hAnsi="Traditional Arabic" w:cs="Traditional Arabic"/>
          <w:rtl/>
        </w:rPr>
        <w:t xml:space="preserve">: </w:t>
      </w:r>
    </w:p>
    <w:p w:rsidR="00111294" w:rsidRPr="007C544A" w:rsidRDefault="00111294"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الاستعانة بالدراسات السابقة ذات الصلة بموضوع الدراسة عند إعداد فقرات الاستبيان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اختيار العبارات التي تتناسب مع أهداف الدراسة ومتغيراتها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وبما يتوافق مع الخطوات المنهجية المتبعة في إعداد أدوات البحث العلمي</w:t>
      </w:r>
      <w:r w:rsidRPr="007C544A">
        <w:rPr>
          <w:rFonts w:ascii="Traditional Arabic" w:eastAsiaTheme="minorHAnsi" w:hAnsi="Traditional Arabic" w:cs="Traditional Arabic"/>
          <w:lang w:bidi="ar-EG"/>
        </w:rPr>
        <w:t>.</w:t>
      </w:r>
    </w:p>
    <w:p w:rsidR="00A21FF2"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tl/>
          <w:lang w:bidi="ar-EG"/>
        </w:rPr>
      </w:pPr>
      <w:r w:rsidRPr="007C544A">
        <w:rPr>
          <w:rFonts w:ascii="Traditional Arabic" w:eastAsiaTheme="minorHAnsi" w:hAnsi="Traditional Arabic" w:cs="Traditional Arabic"/>
          <w:b/>
          <w:bCs/>
          <w:sz w:val="28"/>
          <w:szCs w:val="28"/>
          <w:rtl/>
          <w:lang w:bidi="ar-EG"/>
        </w:rPr>
        <w:t>صدق المحكمين</w:t>
      </w:r>
      <w:r w:rsidR="00775B4E" w:rsidRPr="007C544A">
        <w:rPr>
          <w:rFonts w:ascii="Traditional Arabic" w:eastAsiaTheme="minorHAnsi" w:hAnsi="Traditional Arabic" w:cs="Traditional Arabic"/>
          <w:b/>
          <w:bCs/>
          <w:sz w:val="28"/>
          <w:szCs w:val="28"/>
          <w:rtl/>
          <w:lang w:bidi="ar-EG"/>
        </w:rPr>
        <w:t xml:space="preserve">: </w:t>
      </w:r>
    </w:p>
    <w:p w:rsidR="0020222D" w:rsidRPr="007C544A" w:rsidRDefault="0020222D"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حيث تم عرض القائمة على عدد من المحكمين ذوي الخبرة مرفقا بطلب لإبداء ملاحظاتهم ومقترحاتهم بهدف التحقق من مدى انتماء أو تطابق العبارات مع كل مجال وبيان أي العبارات تقيس بالفعل ما وضعت لقياسه بهدف التحقق من كل ما يأتي</w:t>
      </w:r>
      <w:r w:rsidR="00775B4E" w:rsidRPr="007C544A">
        <w:rPr>
          <w:rFonts w:ascii="Traditional Arabic" w:eastAsiaTheme="minorHAnsi" w:hAnsi="Traditional Arabic" w:cs="Traditional Arabic"/>
          <w:rtl/>
          <w:lang w:bidi="ar-EG"/>
        </w:rPr>
        <w:t xml:space="preserve">: </w:t>
      </w:r>
    </w:p>
    <w:p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مدى انتماء الفقرات للموضوع.</w:t>
      </w:r>
    </w:p>
    <w:p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مدى انتماء الفقرات للبعد.</w:t>
      </w:r>
    </w:p>
    <w:p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سلامة الصياغة اللغوية.</w:t>
      </w:r>
    </w:p>
    <w:p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ملاءمة البديل للأجوبة.</w:t>
      </w:r>
    </w:p>
    <w:p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كفاية الفقرات وترتيبها.</w:t>
      </w:r>
    </w:p>
    <w:p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وقد عرض الاستبيان على مجموعة من الأساتذة المحكمين عددهم 2 أساتذة من أعضاء الهيئة التدريسية المتخصصين في هذا المجال وتمت الاستجابة لآراء الأساتذة المحكمين الآتية أسماؤهم في الملحق رقم</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وكان لآرائهم دور كبير في تطوير الاستبيان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قمنا بإجراء ما يلزم من حذف وتعديل في ضوء مقترحاتهم.</w:t>
      </w:r>
    </w:p>
    <w:p w:rsidR="0020222D" w:rsidRPr="007C544A" w:rsidRDefault="0020222D" w:rsidP="002D00D3">
      <w:pPr>
        <w:pStyle w:val="NormalWeb"/>
        <w:numPr>
          <w:ilvl w:val="0"/>
          <w:numId w:val="5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ثبات الاستبيان</w:t>
      </w:r>
      <w:r w:rsidR="00775B4E" w:rsidRPr="007C544A">
        <w:rPr>
          <w:rFonts w:ascii="Traditional Arabic" w:eastAsiaTheme="minorHAnsi" w:hAnsi="Traditional Arabic" w:cs="Traditional Arabic"/>
          <w:b/>
          <w:bCs/>
          <w:sz w:val="28"/>
          <w:szCs w:val="28"/>
          <w:rtl/>
        </w:rPr>
        <w:t xml:space="preserve">: </w:t>
      </w:r>
    </w:p>
    <w:p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اختبار ثبات أداة الاستبانة باستخدام معامل</w:t>
      </w:r>
      <w:r w:rsidR="00A21FF2" w:rsidRPr="007C544A">
        <w:rPr>
          <w:rFonts w:ascii="Traditional Arabic" w:eastAsiaTheme="minorHAnsi" w:hAnsi="Traditional Arabic" w:cs="Traditional Arabic"/>
          <w:rtl/>
          <w:lang w:bidi="ar-EG"/>
        </w:rPr>
        <w:t xml:space="preserve"> (</w:t>
      </w:r>
      <w:r w:rsidR="00A21FF2" w:rsidRPr="007C544A">
        <w:rPr>
          <w:rFonts w:ascii="Traditional Arabic" w:eastAsiaTheme="minorHAnsi" w:hAnsi="Traditional Arabic" w:cs="Traditional Arabic"/>
          <w:lang w:bidi="ar-EG"/>
        </w:rPr>
        <w:t>Cronbach’s Alpha</w:t>
      </w:r>
      <w:r w:rsidR="00A21FF2"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لكل من المتغير المستقل والمتغير التابع. أظهرت النتائج أن البنود الخاصة بمتغير استراتيجية دمج الشركات تتمتع بثبات جيد</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0.772)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بينما البنود الخاصة بمتغير دخول سوق المال سجلت ثباتًا قدره </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0.767</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كما أظهر حساب الثبات الكلي لجميع البنود معًا مستوى جيد من الموثوقية بلغ </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0.770</w:t>
      </w:r>
      <w:r w:rsidR="00C942FF"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قدرة الأداة على قياس أثر استراتيجية الدمج على دخول السوق الموازية بسلاسة ودقة</w:t>
      </w:r>
      <w:r w:rsidRPr="007C544A">
        <w:rPr>
          <w:rFonts w:ascii="Traditional Arabic" w:eastAsiaTheme="minorHAnsi" w:hAnsi="Traditional Arabic" w:cs="Traditional Arabic"/>
          <w:lang w:bidi="ar-EG"/>
        </w:rPr>
        <w:t>.</w:t>
      </w:r>
    </w:p>
    <w:p w:rsidR="005B0BB1" w:rsidRPr="007C544A" w:rsidRDefault="005B0BB1"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rsidR="005B0BB1" w:rsidRPr="007C544A" w:rsidRDefault="005B0BB1"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rsidR="005B0BB1" w:rsidRPr="007C544A" w:rsidRDefault="005B0BB1"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rsidR="0020222D" w:rsidRPr="007C544A" w:rsidRDefault="0020222D"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w:t>
      </w:r>
      <w:r w:rsidR="00772BBE" w:rsidRPr="007C544A">
        <w:rPr>
          <w:rFonts w:ascii="Traditional Arabic" w:eastAsiaTheme="minorHAnsi" w:hAnsi="Traditional Arabic" w:cs="Traditional Arabic"/>
          <w:b/>
          <w:bCs/>
          <w:rtl/>
        </w:rPr>
        <w:t>6</w:t>
      </w:r>
      <w:r w:rsidRPr="007C544A">
        <w:rPr>
          <w:rFonts w:ascii="Traditional Arabic" w:eastAsiaTheme="minorHAnsi" w:hAnsi="Traditional Arabic" w:cs="Traditional Arabic"/>
          <w:b/>
          <w:bCs/>
          <w:rtl/>
        </w:rPr>
        <w:t>)</w:t>
      </w:r>
    </w:p>
    <w:p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eastAsiaTheme="minorHAnsi" w:cs="Simplified Arabic"/>
          <w:b/>
          <w:bCs/>
          <w:sz w:val="26"/>
          <w:szCs w:val="26"/>
          <w:rtl/>
        </w:rPr>
      </w:pPr>
      <w:r w:rsidRPr="007C544A">
        <w:rPr>
          <w:rFonts w:ascii="Traditional Arabic" w:eastAsiaTheme="minorHAnsi" w:hAnsi="Traditional Arabic" w:cs="Traditional Arabic"/>
          <w:b/>
          <w:bCs/>
          <w:rtl/>
        </w:rPr>
        <w:t>نتائج اختبار</w:t>
      </w:r>
      <w:r w:rsidR="00772BBE" w:rsidRPr="007C544A">
        <w:rPr>
          <w:rFonts w:ascii="Traditional Arabic" w:eastAsiaTheme="minorHAnsi" w:hAnsi="Traditional Arabic" w:cs="Traditional Arabic"/>
          <w:b/>
          <w:bCs/>
          <w:rtl/>
        </w:rPr>
        <w:t xml:space="preserve"> الصدق</w:t>
      </w:r>
      <w:r w:rsidR="00C862E1" w:rsidRPr="007C544A">
        <w:rPr>
          <w:rFonts w:ascii="Traditional Arabic" w:eastAsiaTheme="minorHAnsi" w:hAnsi="Traditional Arabic" w:cs="Traditional Arabic"/>
          <w:b/>
          <w:bCs/>
          <w:rtl/>
        </w:rPr>
        <w:t xml:space="preserve"> و</w:t>
      </w:r>
      <w:r w:rsidRPr="007C544A">
        <w:rPr>
          <w:rFonts w:ascii="Traditional Arabic" w:eastAsiaTheme="minorHAnsi" w:hAnsi="Traditional Arabic" w:cs="Traditional Arabic"/>
          <w:b/>
          <w:bCs/>
          <w:rtl/>
        </w:rPr>
        <w:t>الثبات</w:t>
      </w:r>
    </w:p>
    <w:tbl>
      <w:tblPr>
        <w:tblStyle w:val="TableGrid"/>
        <w:bidiVisual/>
        <w:tblW w:w="7890" w:type="dxa"/>
        <w:tblBorders>
          <w:top w:val="threeDEngrave" w:sz="24" w:space="0" w:color="auto"/>
          <w:bottom w:val="threeDEmboss" w:sz="24" w:space="0" w:color="auto"/>
        </w:tblBorders>
        <w:tblLook w:val="04A0" w:firstRow="1" w:lastRow="0" w:firstColumn="1" w:lastColumn="0" w:noHBand="0" w:noVBand="1"/>
      </w:tblPr>
      <w:tblGrid>
        <w:gridCol w:w="3058"/>
        <w:gridCol w:w="2416"/>
        <w:gridCol w:w="2416"/>
      </w:tblGrid>
      <w:tr w:rsidR="008E601A" w:rsidRPr="007C544A" w:rsidTr="00867B68">
        <w:trPr>
          <w:trHeight w:val="690"/>
        </w:trPr>
        <w:tc>
          <w:tcPr>
            <w:tcW w:w="3058" w:type="dxa"/>
            <w:tcBorders>
              <w:top w:val="threeDEngrave" w:sz="24" w:space="0" w:color="auto"/>
              <w:bottom w:val="threeDEmboss" w:sz="24" w:space="0" w:color="auto"/>
            </w:tcBorders>
            <w:shd w:val="clear" w:color="auto" w:fill="D9D9D9" w:themeFill="background1" w:themeFillShade="D9"/>
            <w:vAlign w:val="center"/>
          </w:tcPr>
          <w:p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المحاور</w:t>
            </w:r>
          </w:p>
        </w:tc>
        <w:tc>
          <w:tcPr>
            <w:tcW w:w="2416" w:type="dxa"/>
            <w:tcBorders>
              <w:top w:val="threeDEngrave" w:sz="24" w:space="0" w:color="auto"/>
              <w:bottom w:val="threeDEmboss" w:sz="24" w:space="0" w:color="auto"/>
            </w:tcBorders>
            <w:shd w:val="clear" w:color="auto" w:fill="D9D9D9" w:themeFill="background1" w:themeFillShade="D9"/>
            <w:vAlign w:val="center"/>
          </w:tcPr>
          <w:p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معامل الثبات</w:t>
            </w:r>
          </w:p>
          <w:p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Pr>
              <w:t>Cronbach's Alpha</w:t>
            </w:r>
          </w:p>
        </w:tc>
        <w:tc>
          <w:tcPr>
            <w:tcW w:w="2416" w:type="dxa"/>
            <w:tcBorders>
              <w:top w:val="threeDEngrave" w:sz="24" w:space="0" w:color="auto"/>
              <w:bottom w:val="threeDEmboss" w:sz="24" w:space="0" w:color="auto"/>
            </w:tcBorders>
            <w:shd w:val="clear" w:color="auto" w:fill="D9D9D9" w:themeFill="background1" w:themeFillShade="D9"/>
            <w:vAlign w:val="center"/>
          </w:tcPr>
          <w:p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معامل الصدق</w:t>
            </w:r>
          </w:p>
        </w:tc>
      </w:tr>
      <w:tr w:rsidR="008E601A" w:rsidRPr="007C544A" w:rsidTr="006D1607">
        <w:tc>
          <w:tcPr>
            <w:tcW w:w="3058" w:type="dxa"/>
            <w:tcBorders>
              <w:top w:val="threeDEmboss" w:sz="24" w:space="0" w:color="auto"/>
            </w:tcBorders>
            <w:vAlign w:val="center"/>
          </w:tcPr>
          <w:p w:rsidR="008E601A" w:rsidRPr="007C544A" w:rsidRDefault="008E601A"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استراتيجية دمج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المتغير المستقل)</w:t>
            </w:r>
          </w:p>
        </w:tc>
        <w:tc>
          <w:tcPr>
            <w:tcW w:w="2416" w:type="dxa"/>
            <w:tcBorders>
              <w:top w:val="threeDEmboss" w:sz="24" w:space="0" w:color="auto"/>
            </w:tcBorders>
            <w:vAlign w:val="center"/>
          </w:tcPr>
          <w:p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0.772</w:t>
            </w:r>
          </w:p>
        </w:tc>
        <w:tc>
          <w:tcPr>
            <w:tcW w:w="2416" w:type="dxa"/>
            <w:tcBorders>
              <w:top w:val="threeDEmboss" w:sz="24" w:space="0" w:color="auto"/>
            </w:tcBorders>
            <w:vAlign w:val="center"/>
          </w:tcPr>
          <w:p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0.879</w:t>
            </w:r>
          </w:p>
        </w:tc>
      </w:tr>
      <w:tr w:rsidR="008E601A" w:rsidRPr="007C544A" w:rsidTr="00CE2EDF">
        <w:tc>
          <w:tcPr>
            <w:tcW w:w="3058" w:type="dxa"/>
            <w:vAlign w:val="center"/>
          </w:tcPr>
          <w:p w:rsidR="008E601A" w:rsidRPr="007C544A" w:rsidRDefault="008E601A"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دخول سوق المال</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المتغير التابع)</w:t>
            </w:r>
          </w:p>
        </w:tc>
        <w:tc>
          <w:tcPr>
            <w:tcW w:w="2416" w:type="dxa"/>
            <w:vAlign w:val="center"/>
          </w:tcPr>
          <w:p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0.767</w:t>
            </w:r>
          </w:p>
        </w:tc>
        <w:tc>
          <w:tcPr>
            <w:tcW w:w="2416" w:type="dxa"/>
            <w:vAlign w:val="center"/>
          </w:tcPr>
          <w:p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0.876</w:t>
            </w:r>
          </w:p>
        </w:tc>
      </w:tr>
      <w:tr w:rsidR="008E601A" w:rsidRPr="007C544A" w:rsidTr="00CE2EDF">
        <w:tc>
          <w:tcPr>
            <w:tcW w:w="3058" w:type="dxa"/>
            <w:vAlign w:val="center"/>
          </w:tcPr>
          <w:p w:rsidR="008E601A" w:rsidRPr="007C544A" w:rsidRDefault="008E601A"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معامل الثبات الكلي للأداة بالكامل</w:t>
            </w:r>
          </w:p>
        </w:tc>
        <w:tc>
          <w:tcPr>
            <w:tcW w:w="2416" w:type="dxa"/>
            <w:vAlign w:val="center"/>
          </w:tcPr>
          <w:p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lang w:bidi="ar-EG"/>
              </w:rPr>
              <w:t>0.770</w:t>
            </w:r>
          </w:p>
        </w:tc>
        <w:tc>
          <w:tcPr>
            <w:tcW w:w="2416" w:type="dxa"/>
            <w:vAlign w:val="center"/>
          </w:tcPr>
          <w:p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0.877</w:t>
            </w:r>
          </w:p>
        </w:tc>
      </w:tr>
    </w:tbl>
    <w:p w:rsidR="0020222D"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rsidR="00111294" w:rsidRPr="007C544A" w:rsidRDefault="00CA247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يتضح من الجدول السابق أن معاملات الثبات</w:t>
      </w:r>
      <w:r w:rsidR="00C942FF" w:rsidRPr="007C544A">
        <w:rPr>
          <w:rFonts w:ascii="Traditional Arabic" w:hAnsi="Traditional Arabic" w:cs="Traditional Arabic"/>
          <w:sz w:val="24"/>
          <w:szCs w:val="24"/>
          <w:rtl/>
          <w:lang w:bidi="ar-EG"/>
        </w:rPr>
        <w:t xml:space="preserve"> (</w:t>
      </w:r>
      <w:r w:rsidR="00C942FF" w:rsidRPr="007C544A">
        <w:rPr>
          <w:rFonts w:ascii="Traditional Arabic" w:hAnsi="Traditional Arabic" w:cs="Traditional Arabic"/>
          <w:sz w:val="24"/>
          <w:szCs w:val="24"/>
          <w:lang w:bidi="ar-EG"/>
        </w:rPr>
        <w:t>Cronbach's Alpha</w:t>
      </w:r>
      <w:r w:rsidR="00C942F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لجميع محاور الدراسة جاءت مرتفعة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بلغ معامل الثبات لمتغير استراتيجية دمج الشركات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0.772)</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ولمتغير دخول سوق المال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0.767)</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كما بلغ معامل الثبات الكلي للأداة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0.770)</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وهي قيم تفوق الحد الأدنى المقبول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0.70)</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يدل على تمتع الأداة بدرجة عالية من الاتساق الداخلي والثبات</w:t>
      </w:r>
      <w:r w:rsidRPr="007C544A">
        <w:rPr>
          <w:rFonts w:ascii="Traditional Arabic" w:hAnsi="Traditional Arabic" w:cs="Traditional Arabic"/>
          <w:sz w:val="24"/>
          <w:szCs w:val="24"/>
          <w:lang w:bidi="ar-EG"/>
        </w:rPr>
        <w:t>.</w:t>
      </w:r>
    </w:p>
    <w:p w:rsidR="00111294" w:rsidRPr="007C544A" w:rsidRDefault="00111294"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وتشير هذه القيم</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تمتع الأداة بدرجة جيدة من الثبات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إنها تتجاوز الحد الأدنى المقبول </w:t>
      </w:r>
      <w:r w:rsidR="004C5D0F" w:rsidRPr="007C544A">
        <w:rPr>
          <w:rFonts w:ascii="Traditional Arabic" w:eastAsiaTheme="minorHAnsi" w:hAnsi="Traditional Arabic" w:cs="Traditional Arabic"/>
          <w:rtl/>
          <w:lang w:bidi="ar-EG"/>
        </w:rPr>
        <w:t>إحصائي</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إمكانية الاعتماد عليها في جمع البيانات</w:t>
      </w:r>
      <w:r w:rsidRPr="007C544A">
        <w:rPr>
          <w:rFonts w:ascii="Traditional Arabic" w:eastAsiaTheme="minorHAnsi" w:hAnsi="Traditional Arabic" w:cs="Traditional Arabic"/>
          <w:lang w:bidi="ar-EG"/>
        </w:rPr>
        <w:t>.</w:t>
      </w:r>
    </w:p>
    <w:p w:rsidR="008E601A" w:rsidRPr="007C544A" w:rsidRDefault="00CA247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كما تم حساب معامل الصدق الذاتي من خلال الجذر التربيعي لمعامل الثبات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وقد جاءت قيم الصدق مرتفعة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يؤكد أن أداة الدراسة تتمتع بدرجة جيدة من الصدق</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ويمكن الاعتماد عليها في جمع البيانات وتحليلها</w:t>
      </w:r>
      <w:r w:rsidRPr="007C544A">
        <w:rPr>
          <w:rFonts w:ascii="Traditional Arabic" w:hAnsi="Traditional Arabic" w:cs="Traditional Arabic"/>
          <w:sz w:val="24"/>
          <w:szCs w:val="24"/>
          <w:lang w:bidi="ar-EG"/>
        </w:rPr>
        <w:t>.</w:t>
      </w:r>
    </w:p>
    <w:p w:rsidR="00C942FF" w:rsidRPr="007C544A" w:rsidRDefault="009E5452" w:rsidP="002D00D3">
      <w:pPr>
        <w:pStyle w:val="NormalWeb"/>
        <w:numPr>
          <w:ilvl w:val="0"/>
          <w:numId w:val="5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الصدق البنائي</w:t>
      </w:r>
      <w:r w:rsidR="00C942FF" w:rsidRPr="007C544A">
        <w:rPr>
          <w:rFonts w:ascii="Traditional Arabic" w:eastAsiaTheme="minorHAnsi" w:hAnsi="Traditional Arabic" w:cs="Traditional Arabic"/>
          <w:b/>
          <w:bCs/>
          <w:sz w:val="28"/>
          <w:szCs w:val="28"/>
          <w:rtl/>
        </w:rPr>
        <w:t xml:space="preserve"> (</w:t>
      </w:r>
      <w:r w:rsidR="00C942FF" w:rsidRPr="007C544A">
        <w:rPr>
          <w:rFonts w:ascii="Traditional Arabic" w:eastAsiaTheme="minorHAnsi" w:hAnsi="Traditional Arabic" w:cs="Traditional Arabic"/>
          <w:b/>
          <w:bCs/>
          <w:sz w:val="28"/>
          <w:szCs w:val="28"/>
        </w:rPr>
        <w:t>Construct Validity</w:t>
      </w:r>
      <w:r w:rsidR="00C942FF" w:rsidRPr="007C544A">
        <w:rPr>
          <w:rFonts w:ascii="Traditional Arabic" w:eastAsiaTheme="minorHAnsi" w:hAnsi="Traditional Arabic" w:cs="Traditional Arabic"/>
          <w:b/>
          <w:bCs/>
          <w:sz w:val="28"/>
          <w:szCs w:val="28"/>
          <w:rtl/>
        </w:rPr>
        <w:t>):</w:t>
      </w:r>
    </w:p>
    <w:p w:rsidR="00CA247E" w:rsidRPr="007C544A" w:rsidRDefault="00CA247E" w:rsidP="002D00D3">
      <w:pPr>
        <w:pStyle w:val="Heading3"/>
        <w:numPr>
          <w:ilvl w:val="0"/>
          <w:numId w:val="54"/>
        </w:numPr>
        <w:bidi/>
        <w:spacing w:before="0" w:line="360" w:lineRule="auto"/>
        <w:jc w:val="both"/>
        <w:rPr>
          <w:rFonts w:ascii="Traditional Arabic" w:eastAsiaTheme="minorHAnsi" w:hAnsi="Traditional Arabic" w:cs="Traditional Arabic"/>
          <w:b/>
          <w:bCs/>
          <w:color w:val="auto"/>
          <w:sz w:val="26"/>
          <w:szCs w:val="26"/>
          <w:rtl/>
          <w:lang w:bidi="ar-EG"/>
        </w:rPr>
      </w:pPr>
      <w:r w:rsidRPr="007C544A">
        <w:rPr>
          <w:rFonts w:ascii="Traditional Arabic" w:eastAsiaTheme="minorHAnsi" w:hAnsi="Traditional Arabic" w:cs="Traditional Arabic"/>
          <w:b/>
          <w:bCs/>
          <w:color w:val="auto"/>
          <w:sz w:val="26"/>
          <w:szCs w:val="26"/>
          <w:rtl/>
          <w:lang w:bidi="ar-EG"/>
        </w:rPr>
        <w:t>صدق</w:t>
      </w:r>
      <w:r w:rsidRPr="007C544A">
        <w:rPr>
          <w:rFonts w:ascii="Traditional Arabic" w:eastAsiaTheme="minorHAnsi" w:hAnsi="Traditional Arabic" w:cs="Traditional Arabic"/>
          <w:b/>
          <w:bCs/>
          <w:color w:val="auto"/>
          <w:sz w:val="26"/>
          <w:szCs w:val="26"/>
          <w:rtl/>
        </w:rPr>
        <w:t xml:space="preserve"> </w:t>
      </w:r>
      <w:r w:rsidRPr="007C544A">
        <w:rPr>
          <w:rFonts w:ascii="Traditional Arabic" w:eastAsiaTheme="minorHAnsi" w:hAnsi="Traditional Arabic" w:cs="Traditional Arabic"/>
          <w:b/>
          <w:bCs/>
          <w:color w:val="auto"/>
          <w:sz w:val="26"/>
          <w:szCs w:val="26"/>
          <w:rtl/>
          <w:lang w:bidi="ar-EG"/>
        </w:rPr>
        <w:t>الاتساق</w:t>
      </w:r>
      <w:r w:rsidRPr="007C544A">
        <w:rPr>
          <w:rFonts w:ascii="Traditional Arabic" w:eastAsiaTheme="minorHAnsi" w:hAnsi="Traditional Arabic" w:cs="Traditional Arabic"/>
          <w:b/>
          <w:bCs/>
          <w:color w:val="auto"/>
          <w:sz w:val="26"/>
          <w:szCs w:val="26"/>
          <w:rtl/>
        </w:rPr>
        <w:t xml:space="preserve"> </w:t>
      </w:r>
      <w:r w:rsidRPr="007C544A">
        <w:rPr>
          <w:rFonts w:ascii="Traditional Arabic" w:eastAsiaTheme="minorHAnsi" w:hAnsi="Traditional Arabic" w:cs="Traditional Arabic"/>
          <w:b/>
          <w:bCs/>
          <w:color w:val="auto"/>
          <w:sz w:val="26"/>
          <w:szCs w:val="26"/>
          <w:rtl/>
          <w:lang w:bidi="ar-EG"/>
        </w:rPr>
        <w:t>الداخلي</w:t>
      </w:r>
      <w:r w:rsidR="00775B4E" w:rsidRPr="007C544A">
        <w:rPr>
          <w:rFonts w:ascii="Traditional Arabic" w:eastAsiaTheme="minorHAnsi" w:hAnsi="Traditional Arabic" w:cs="Traditional Arabic"/>
          <w:b/>
          <w:bCs/>
          <w:color w:val="auto"/>
          <w:sz w:val="26"/>
          <w:szCs w:val="26"/>
          <w:rtl/>
          <w:lang w:bidi="ar-EG"/>
        </w:rPr>
        <w:t xml:space="preserve">: </w:t>
      </w:r>
    </w:p>
    <w:p w:rsidR="006228DE" w:rsidRPr="007C544A" w:rsidRDefault="006228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تم التحقق من الصدق البنائي لأداة الدراسة باستخدام أسلوب التحليل العاملي الاستكشافي</w:t>
      </w:r>
      <w:r w:rsidR="00C942FF" w:rsidRPr="007C544A">
        <w:rPr>
          <w:rFonts w:ascii="Traditional Arabic" w:hAnsi="Traditional Arabic" w:cs="Traditional Arabic"/>
          <w:sz w:val="24"/>
          <w:szCs w:val="24"/>
          <w:rtl/>
          <w:lang w:bidi="ar-EG"/>
        </w:rPr>
        <w:t xml:space="preserve"> (</w:t>
      </w:r>
      <w:r w:rsidR="00C942FF" w:rsidRPr="007C544A">
        <w:rPr>
          <w:rFonts w:ascii="Traditional Arabic" w:hAnsi="Traditional Arabic" w:cs="Traditional Arabic"/>
          <w:sz w:val="24"/>
          <w:szCs w:val="24"/>
          <w:lang w:bidi="ar-EG"/>
        </w:rPr>
        <w:t>Exploratory Factor Analysis- EFA</w:t>
      </w:r>
      <w:r w:rsidR="00C942F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وذلك بهدف التأكد من مدى تمثيل الفقرات للأبعاد النظرية التي صممت لقياسها</w:t>
      </w:r>
      <w:r w:rsidRPr="007C544A">
        <w:rPr>
          <w:rFonts w:ascii="Traditional Arabic" w:hAnsi="Traditional Arabic" w:cs="Traditional Arabic"/>
          <w:sz w:val="24"/>
          <w:szCs w:val="24"/>
          <w:lang w:bidi="ar-EG"/>
        </w:rPr>
        <w:t>.</w:t>
      </w:r>
    </w:p>
    <w:p w:rsidR="006228DE" w:rsidRPr="007C544A" w:rsidRDefault="006228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وقد تم استخدام اختبار</w:t>
      </w:r>
      <w:r w:rsidR="00C942FF" w:rsidRPr="007C544A">
        <w:rPr>
          <w:rFonts w:ascii="Traditional Arabic" w:hAnsi="Traditional Arabic" w:cs="Traditional Arabic"/>
          <w:sz w:val="24"/>
          <w:szCs w:val="24"/>
          <w:rtl/>
          <w:lang w:bidi="ar-EG"/>
        </w:rPr>
        <w:t xml:space="preserve"> (</w:t>
      </w:r>
      <w:r w:rsidR="00C942FF" w:rsidRPr="007C544A">
        <w:rPr>
          <w:rFonts w:ascii="Traditional Arabic" w:hAnsi="Traditional Arabic" w:cs="Traditional Arabic"/>
          <w:sz w:val="24"/>
          <w:szCs w:val="24"/>
          <w:lang w:bidi="ar-EG"/>
        </w:rPr>
        <w:t>KMO</w:t>
      </w:r>
      <w:r w:rsidR="00C942FF" w:rsidRPr="007C544A">
        <w:rPr>
          <w:rFonts w:ascii="Traditional Arabic" w:hAnsi="Traditional Arabic" w:cs="Traditional Arabic"/>
          <w:sz w:val="24"/>
          <w:szCs w:val="24"/>
          <w:rtl/>
          <w:lang w:bidi="ar-EG"/>
        </w:rPr>
        <w:t>)، و(</w:t>
      </w:r>
      <w:r w:rsidR="00C942FF" w:rsidRPr="007C544A">
        <w:rPr>
          <w:rFonts w:ascii="Traditional Arabic" w:hAnsi="Traditional Arabic" w:cs="Traditional Arabic"/>
          <w:sz w:val="24"/>
          <w:szCs w:val="24"/>
          <w:lang w:bidi="ar-EG"/>
        </w:rPr>
        <w:t>Bartlett’s Test</w:t>
      </w:r>
      <w:r w:rsidR="00C942FF" w:rsidRPr="007C544A">
        <w:rPr>
          <w:rFonts w:ascii="Traditional Arabic" w:hAnsi="Traditional Arabic" w:cs="Traditional Arabic"/>
          <w:sz w:val="24"/>
          <w:szCs w:val="24"/>
          <w:rtl/>
          <w:lang w:bidi="ar-EG"/>
        </w:rPr>
        <w:t>)</w:t>
      </w:r>
      <w:r w:rsidR="006D2243" w:rsidRPr="007C544A">
        <w:rPr>
          <w:rFonts w:ascii="Traditional Arabic" w:hAnsi="Traditional Arabic" w:cs="Traditional Arabic"/>
          <w:sz w:val="24"/>
          <w:szCs w:val="24"/>
          <w:rtl/>
          <w:lang w:bidi="ar-EG"/>
        </w:rPr>
        <w:t>،</w:t>
      </w:r>
      <w:r w:rsidR="00C942F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للتأكد من ملاءمة </w:t>
      </w:r>
      <w:r w:rsidR="00111294" w:rsidRPr="007C544A">
        <w:rPr>
          <w:rFonts w:ascii="Traditional Arabic" w:hAnsi="Traditional Arabic" w:cs="Traditional Arabic"/>
          <w:sz w:val="24"/>
          <w:szCs w:val="24"/>
          <w:rtl/>
          <w:lang w:bidi="ar-EG"/>
        </w:rPr>
        <w:t>البيانات لإجراء التحليل العاملي</w:t>
      </w:r>
      <w:r w:rsidRPr="007C544A">
        <w:rPr>
          <w:rFonts w:ascii="Traditional Arabic" w:hAnsi="Traditional Arabic" w:cs="Traditional Arabic"/>
          <w:sz w:val="24"/>
          <w:szCs w:val="24"/>
          <w:lang w:bidi="ar-EG"/>
        </w:rPr>
        <w:t>.</w:t>
      </w:r>
    </w:p>
    <w:p w:rsidR="004835AA" w:rsidRPr="007C544A" w:rsidRDefault="004835AA">
      <w:pPr>
        <w:rPr>
          <w:rFonts w:ascii="Traditional Arabic" w:hAnsi="Traditional Arabic" w:cs="Traditional Arabic"/>
          <w:b/>
          <w:bCs/>
          <w:sz w:val="24"/>
          <w:szCs w:val="24"/>
          <w:rtl/>
        </w:rPr>
      </w:pPr>
      <w:r w:rsidRPr="007C544A">
        <w:rPr>
          <w:rFonts w:ascii="Traditional Arabic" w:hAnsi="Traditional Arabic" w:cs="Traditional Arabic"/>
          <w:b/>
          <w:bCs/>
          <w:rtl/>
        </w:rPr>
        <w:br w:type="page"/>
      </w:r>
    </w:p>
    <w:p w:rsidR="004C5D0F"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3-7)</w:t>
      </w:r>
    </w:p>
    <w:p w:rsidR="006228DE"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نتائج التحليل العاملي لمتغيرات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126"/>
        <w:gridCol w:w="995"/>
        <w:gridCol w:w="2648"/>
      </w:tblGrid>
      <w:tr w:rsidR="006228DE" w:rsidRPr="007C544A" w:rsidTr="006D1607">
        <w:trPr>
          <w:trHeight w:val="46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الفقرات</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معامل التشبع</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Factor Loading)</w:t>
            </w:r>
          </w:p>
        </w:tc>
      </w:tr>
      <w:tr w:rsidR="006228DE" w:rsidRPr="007C544A" w:rsidTr="004C5D0F">
        <w:trPr>
          <w:jc w:val="center"/>
        </w:trPr>
        <w:tc>
          <w:tcPr>
            <w:tcW w:w="0" w:type="auto"/>
            <w:tcBorders>
              <w:top w:val="threeDEmboss" w:sz="24" w:space="0" w:color="auto"/>
            </w:tcBorders>
            <w:shd w:val="clear" w:color="auto" w:fill="D9D9D9" w:themeFill="background1" w:themeFillShade="D9"/>
            <w:vAlign w:val="center"/>
            <w:hideMark/>
          </w:tcPr>
          <w:p w:rsidR="006228DE"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6228DE"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tcBorders>
              <w:top w:val="threeDEmboss" w:sz="24" w:space="0" w:color="auto"/>
            </w:tcBorders>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0.65</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0.82</w:t>
            </w:r>
          </w:p>
        </w:tc>
      </w:tr>
      <w:tr w:rsidR="006228DE" w:rsidRPr="007C544A" w:rsidTr="004C5D0F">
        <w:trPr>
          <w:jc w:val="center"/>
        </w:trPr>
        <w:tc>
          <w:tcPr>
            <w:tcW w:w="0" w:type="auto"/>
            <w:shd w:val="clear" w:color="auto" w:fill="D9D9D9" w:themeFill="background1" w:themeFillShade="D9"/>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الحوكمة</w:t>
            </w:r>
          </w:p>
        </w:tc>
        <w:tc>
          <w:tcPr>
            <w:tcW w:w="0" w:type="auto"/>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0.67</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0.85</w:t>
            </w:r>
          </w:p>
        </w:tc>
      </w:tr>
      <w:tr w:rsidR="006228DE" w:rsidRPr="007C544A" w:rsidTr="004C5D0F">
        <w:trPr>
          <w:jc w:val="center"/>
        </w:trPr>
        <w:tc>
          <w:tcPr>
            <w:tcW w:w="0" w:type="auto"/>
            <w:shd w:val="clear" w:color="auto" w:fill="D9D9D9" w:themeFill="background1" w:themeFillShade="D9"/>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التنافسية</w:t>
            </w:r>
          </w:p>
        </w:tc>
        <w:tc>
          <w:tcPr>
            <w:tcW w:w="0" w:type="auto"/>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0.70</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0.88</w:t>
            </w:r>
          </w:p>
        </w:tc>
      </w:tr>
      <w:tr w:rsidR="006228DE" w:rsidRPr="007C544A" w:rsidTr="004C5D0F">
        <w:trPr>
          <w:jc w:val="center"/>
        </w:trPr>
        <w:tc>
          <w:tcPr>
            <w:tcW w:w="0" w:type="auto"/>
            <w:shd w:val="clear" w:color="auto" w:fill="D9D9D9" w:themeFill="background1" w:themeFillShade="D9"/>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التمويل</w:t>
            </w:r>
          </w:p>
        </w:tc>
        <w:tc>
          <w:tcPr>
            <w:tcW w:w="0" w:type="auto"/>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0.68</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0.84</w:t>
            </w:r>
          </w:p>
        </w:tc>
      </w:tr>
    </w:tbl>
    <w:p w:rsidR="006228DE" w:rsidRPr="007C544A" w:rsidRDefault="006228DE"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بالاعتماد على مخرجات</w:t>
      </w:r>
      <w:r w:rsidR="002824BA"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Pr>
        <w:t>SPSS</w:t>
      </w:r>
      <w:r w:rsidR="002824BA" w:rsidRPr="007C544A">
        <w:rPr>
          <w:rFonts w:ascii="Traditional Arabic" w:eastAsiaTheme="minorHAnsi" w:hAnsi="Traditional Arabic" w:cs="Traditional Arabic"/>
          <w:shd w:val="clear" w:color="auto" w:fill="FFFFFF"/>
          <w:rtl/>
        </w:rPr>
        <w:t>)</w:t>
      </w:r>
    </w:p>
    <w:p w:rsidR="006228DE" w:rsidRPr="007C544A" w:rsidRDefault="006228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يتضح من الجدول السابق أن جميع فقرات الاستبيان حققت معاملات تشبع مرتفعة على الأبعاد التي تنتمي إليها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تجاوزت جميع القيم الحد الأدنى المقبول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0.50)</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يدل على وجود ارتباط قوي بين الفقرات والأبعاد الخاصة بها</w:t>
      </w:r>
      <w:r w:rsidRPr="007C544A">
        <w:rPr>
          <w:rFonts w:ascii="Traditional Arabic" w:hAnsi="Traditional Arabic" w:cs="Traditional Arabic"/>
          <w:sz w:val="24"/>
          <w:szCs w:val="24"/>
          <w:lang w:bidi="ar-EG"/>
        </w:rPr>
        <w:t>.</w:t>
      </w:r>
    </w:p>
    <w:p w:rsidR="006D2243" w:rsidRPr="007C544A" w:rsidRDefault="006228DE" w:rsidP="00706522">
      <w:pPr>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rtl/>
          <w:lang w:bidi="ar-EG"/>
        </w:rPr>
        <w:t>كما تشير هذه النتائج</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أداة الدراسة تتمتع بدرجة جيدة من الصدق</w:t>
      </w:r>
      <w:r w:rsidRPr="007C544A">
        <w:rPr>
          <w:rFonts w:ascii="Simplified Arabic" w:hAnsi="Simplified Arabic" w:cs="Simplified Arabic"/>
          <w:sz w:val="28"/>
          <w:szCs w:val="28"/>
          <w:rtl/>
          <w:lang w:bidi="ar-EG"/>
        </w:rPr>
        <w:t xml:space="preserve"> </w:t>
      </w:r>
      <w:r w:rsidRPr="007C544A">
        <w:rPr>
          <w:rFonts w:ascii="Traditional Arabic" w:hAnsi="Traditional Arabic" w:cs="Traditional Arabic"/>
          <w:sz w:val="24"/>
          <w:szCs w:val="24"/>
          <w:shd w:val="clear" w:color="auto" w:fill="FFFFFF"/>
          <w:rtl/>
        </w:rPr>
        <w:t>البنائي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وأن الفقرات المستخدمة تعبر بشكل دقيق عن المتغيرات التي وضعت لقياسها</w:t>
      </w:r>
      <w:r w:rsidR="00867B68" w:rsidRPr="007C544A">
        <w:rPr>
          <w:rFonts w:ascii="Traditional Arabic" w:hAnsi="Traditional Arabic" w:cs="Traditional Arabic"/>
          <w:sz w:val="24"/>
          <w:szCs w:val="24"/>
          <w:shd w:val="clear" w:color="auto" w:fill="FFFFFF"/>
        </w:rPr>
        <w:t>.</w:t>
      </w:r>
    </w:p>
    <w:p w:rsidR="006D2243" w:rsidRPr="007C544A" w:rsidRDefault="006228DE" w:rsidP="002D00D3">
      <w:pPr>
        <w:pStyle w:val="Heading3"/>
        <w:numPr>
          <w:ilvl w:val="0"/>
          <w:numId w:val="54"/>
        </w:numPr>
        <w:bidi/>
        <w:spacing w:before="0" w:line="360" w:lineRule="auto"/>
        <w:jc w:val="both"/>
        <w:rPr>
          <w:rFonts w:ascii="Traditional Arabic" w:eastAsiaTheme="minorHAnsi" w:hAnsi="Traditional Arabic" w:cs="Traditional Arabic"/>
          <w:b/>
          <w:bCs/>
          <w:color w:val="auto"/>
          <w:sz w:val="28"/>
          <w:szCs w:val="28"/>
          <w:rtl/>
          <w:lang w:bidi="ar-EG"/>
        </w:rPr>
      </w:pPr>
      <w:r w:rsidRPr="007C544A">
        <w:rPr>
          <w:rFonts w:ascii="Traditional Arabic" w:eastAsiaTheme="minorHAnsi" w:hAnsi="Traditional Arabic" w:cs="Traditional Arabic"/>
          <w:b/>
          <w:bCs/>
          <w:color w:val="auto"/>
          <w:sz w:val="28"/>
          <w:szCs w:val="28"/>
          <w:rtl/>
          <w:lang w:bidi="ar-EG"/>
        </w:rPr>
        <w:t>تحليل</w:t>
      </w:r>
      <w:r w:rsidRPr="007C544A">
        <w:rPr>
          <w:rFonts w:ascii="Traditional Arabic" w:eastAsiaTheme="minorHAnsi" w:hAnsi="Traditional Arabic" w:cs="Traditional Arabic"/>
          <w:b/>
          <w:bCs/>
          <w:color w:val="auto"/>
          <w:sz w:val="28"/>
          <w:szCs w:val="28"/>
          <w:rtl/>
        </w:rPr>
        <w:t xml:space="preserve"> </w:t>
      </w:r>
      <w:r w:rsidRPr="007C544A">
        <w:rPr>
          <w:rFonts w:ascii="Traditional Arabic" w:eastAsiaTheme="minorHAnsi" w:hAnsi="Traditional Arabic" w:cs="Traditional Arabic"/>
          <w:b/>
          <w:bCs/>
          <w:color w:val="auto"/>
          <w:sz w:val="28"/>
          <w:szCs w:val="28"/>
          <w:rtl/>
          <w:lang w:bidi="ar-EG"/>
        </w:rPr>
        <w:t>نتائج</w:t>
      </w:r>
      <w:r w:rsidRPr="007C544A">
        <w:rPr>
          <w:rFonts w:ascii="Traditional Arabic" w:eastAsiaTheme="minorHAnsi" w:hAnsi="Traditional Arabic" w:cs="Traditional Arabic"/>
          <w:b/>
          <w:bCs/>
          <w:color w:val="auto"/>
          <w:sz w:val="28"/>
          <w:szCs w:val="28"/>
          <w:rtl/>
        </w:rPr>
        <w:t xml:space="preserve"> </w:t>
      </w:r>
      <w:r w:rsidR="006D2243" w:rsidRPr="007C544A">
        <w:rPr>
          <w:rFonts w:ascii="Traditional Arabic" w:eastAsiaTheme="minorHAnsi" w:hAnsi="Traditional Arabic" w:cs="Traditional Arabic"/>
          <w:b/>
          <w:bCs/>
          <w:color w:val="auto"/>
          <w:sz w:val="28"/>
          <w:szCs w:val="28"/>
          <w:rtl/>
          <w:lang w:bidi="ar-EG"/>
        </w:rPr>
        <w:t>اختبار (</w:t>
      </w:r>
      <w:r w:rsidR="006D2243" w:rsidRPr="007C544A">
        <w:rPr>
          <w:rFonts w:ascii="Traditional Arabic" w:eastAsiaTheme="minorHAnsi" w:hAnsi="Traditional Arabic" w:cs="Traditional Arabic"/>
          <w:b/>
          <w:bCs/>
          <w:color w:val="auto"/>
          <w:sz w:val="28"/>
          <w:szCs w:val="28"/>
          <w:lang w:bidi="ar-EG"/>
        </w:rPr>
        <w:t>KMO</w:t>
      </w:r>
      <w:r w:rsidR="006D2243" w:rsidRPr="007C544A">
        <w:rPr>
          <w:rFonts w:ascii="Traditional Arabic" w:eastAsiaTheme="minorHAnsi" w:hAnsi="Traditional Arabic" w:cs="Traditional Arabic"/>
          <w:b/>
          <w:bCs/>
          <w:color w:val="auto"/>
          <w:sz w:val="28"/>
          <w:szCs w:val="28"/>
          <w:rtl/>
          <w:lang w:bidi="ar-EG"/>
        </w:rPr>
        <w:t>)، و(</w:t>
      </w:r>
      <w:r w:rsidR="006D2243" w:rsidRPr="007C544A">
        <w:rPr>
          <w:rFonts w:ascii="Traditional Arabic" w:eastAsiaTheme="minorHAnsi" w:hAnsi="Traditional Arabic" w:cs="Traditional Arabic"/>
          <w:b/>
          <w:bCs/>
          <w:color w:val="auto"/>
          <w:sz w:val="28"/>
          <w:szCs w:val="28"/>
          <w:lang w:bidi="ar-EG"/>
        </w:rPr>
        <w:t>Bartlett</w:t>
      </w:r>
      <w:r w:rsidR="006D2243" w:rsidRPr="007C544A">
        <w:rPr>
          <w:rFonts w:ascii="Traditional Arabic" w:eastAsiaTheme="minorHAnsi" w:hAnsi="Traditional Arabic" w:cs="Traditional Arabic"/>
          <w:b/>
          <w:bCs/>
          <w:color w:val="auto"/>
          <w:sz w:val="28"/>
          <w:szCs w:val="28"/>
          <w:rtl/>
          <w:lang w:bidi="ar-EG"/>
        </w:rPr>
        <w:t>):</w:t>
      </w:r>
    </w:p>
    <w:p w:rsidR="004C5D0F"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9E5452" w:rsidRPr="007C544A">
        <w:rPr>
          <w:rFonts w:ascii="Traditional Arabic" w:eastAsiaTheme="minorHAnsi" w:hAnsi="Traditional Arabic" w:cs="Traditional Arabic"/>
          <w:b/>
          <w:bCs/>
          <w:rtl/>
        </w:rPr>
        <w:t>3-8)</w:t>
      </w:r>
      <w:r w:rsidRPr="007C544A">
        <w:rPr>
          <w:rFonts w:ascii="Traditional Arabic" w:eastAsiaTheme="minorHAnsi" w:hAnsi="Traditional Arabic" w:cs="Traditional Arabic"/>
          <w:b/>
          <w:bCs/>
          <w:rtl/>
        </w:rPr>
        <w:t xml:space="preserve"> </w:t>
      </w:r>
    </w:p>
    <w:p w:rsidR="006228DE"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نتائج اختبار</w:t>
      </w:r>
      <w:r w:rsidRPr="007C544A">
        <w:rPr>
          <w:rFonts w:ascii="Traditional Arabic" w:eastAsiaTheme="minorHAnsi" w:hAnsi="Traditional Arabic" w:cs="Traditional Arabic"/>
          <w:b/>
          <w:bCs/>
        </w:rPr>
        <w:t xml:space="preserve"> KMO</w:t>
      </w:r>
      <w:r w:rsidR="00C862E1" w:rsidRPr="007C544A">
        <w:rPr>
          <w:rFonts w:ascii="Traditional Arabic" w:eastAsiaTheme="minorHAnsi" w:hAnsi="Traditional Arabic" w:cs="Traditional Arabic"/>
          <w:b/>
          <w:bCs/>
          <w:rtl/>
        </w:rPr>
        <w:t xml:space="preserve"> و</w:t>
      </w:r>
      <w:r w:rsidRPr="007C544A">
        <w:rPr>
          <w:rFonts w:ascii="Traditional Arabic" w:eastAsiaTheme="minorHAnsi" w:hAnsi="Traditional Arabic" w:cs="Traditional Arabic"/>
          <w:b/>
          <w:bCs/>
        </w:rPr>
        <w:t xml:space="preserve">Bartlett </w:t>
      </w:r>
      <w:r w:rsidRPr="007C544A">
        <w:rPr>
          <w:rFonts w:ascii="Traditional Arabic" w:eastAsiaTheme="minorHAnsi" w:hAnsi="Traditional Arabic" w:cs="Traditional Arabic"/>
          <w:b/>
          <w:bCs/>
          <w:rtl/>
        </w:rPr>
        <w:t>لملاءمة البيانات للتحليل العاملي</w:t>
      </w:r>
    </w:p>
    <w:tbl>
      <w:tblPr>
        <w:tblStyle w:val="TableGrid1"/>
        <w:bidiVisual/>
        <w:tblW w:w="5951" w:type="dxa"/>
        <w:jc w:val="center"/>
        <w:tblBorders>
          <w:top w:val="threeDEngrave" w:sz="24" w:space="0" w:color="auto"/>
          <w:bottom w:val="threeDEmboss" w:sz="24" w:space="0" w:color="auto"/>
        </w:tblBorders>
        <w:tblLook w:val="04A0" w:firstRow="1" w:lastRow="0" w:firstColumn="1" w:lastColumn="0" w:noHBand="0" w:noVBand="1"/>
      </w:tblPr>
      <w:tblGrid>
        <w:gridCol w:w="4438"/>
        <w:gridCol w:w="1513"/>
      </w:tblGrid>
      <w:tr w:rsidR="006228DE" w:rsidRPr="007C544A" w:rsidTr="004C5D0F">
        <w:trPr>
          <w:trHeight w:val="426"/>
          <w:jc w:val="center"/>
        </w:trPr>
        <w:tc>
          <w:tcPr>
            <w:tcW w:w="4438" w:type="dxa"/>
            <w:tcBorders>
              <w:top w:val="threeDEngrave" w:sz="24" w:space="0" w:color="auto"/>
              <w:bottom w:val="threeDEmboss" w:sz="24" w:space="0" w:color="auto"/>
            </w:tcBorders>
            <w:shd w:val="clear" w:color="auto" w:fill="D9D9D9" w:themeFill="background1" w:themeFillShade="D9"/>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المؤشر</w:t>
            </w:r>
          </w:p>
        </w:tc>
        <w:tc>
          <w:tcPr>
            <w:tcW w:w="1513" w:type="dxa"/>
            <w:tcBorders>
              <w:top w:val="threeDEngrave" w:sz="24" w:space="0" w:color="auto"/>
              <w:bottom w:val="threeDEmboss" w:sz="24" w:space="0" w:color="auto"/>
            </w:tcBorders>
            <w:shd w:val="clear" w:color="auto" w:fill="D9D9D9" w:themeFill="background1" w:themeFillShade="D9"/>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القيمة</w:t>
            </w:r>
          </w:p>
        </w:tc>
      </w:tr>
      <w:tr w:rsidR="006228DE" w:rsidRPr="007C544A" w:rsidTr="004C5D0F">
        <w:trPr>
          <w:trHeight w:val="411"/>
          <w:jc w:val="center"/>
        </w:trPr>
        <w:tc>
          <w:tcPr>
            <w:tcW w:w="4438" w:type="dxa"/>
            <w:tcBorders>
              <w:top w:val="threeDEmboss" w:sz="24" w:space="0" w:color="auto"/>
            </w:tcBorders>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معامل كايزر-ماير-أولكن</w:t>
            </w:r>
            <w:r w:rsidR="004C5D0F" w:rsidRPr="007C544A">
              <w:rPr>
                <w:rFonts w:ascii="Traditional Arabic" w:hAnsi="Traditional Arabic" w:cs="Traditional Arabic"/>
                <w:sz w:val="24"/>
                <w:szCs w:val="24"/>
              </w:rPr>
              <w:t xml:space="preserve"> KMO</w:t>
            </w:r>
            <w:r w:rsidR="00775B4E" w:rsidRPr="007C544A">
              <w:rPr>
                <w:rFonts w:ascii="Traditional Arabic" w:hAnsi="Traditional Arabic" w:cs="Traditional Arabic"/>
                <w:sz w:val="24"/>
                <w:szCs w:val="24"/>
                <w:rtl/>
              </w:rPr>
              <w:t xml:space="preserve"> </w:t>
            </w:r>
          </w:p>
        </w:tc>
        <w:tc>
          <w:tcPr>
            <w:tcW w:w="1513" w:type="dxa"/>
            <w:tcBorders>
              <w:top w:val="threeDEmboss" w:sz="24" w:space="0" w:color="auto"/>
            </w:tcBorders>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0.79</w:t>
            </w:r>
          </w:p>
        </w:tc>
      </w:tr>
      <w:tr w:rsidR="006228DE" w:rsidRPr="007C544A" w:rsidTr="004C5D0F">
        <w:trPr>
          <w:trHeight w:val="426"/>
          <w:jc w:val="center"/>
        </w:trPr>
        <w:tc>
          <w:tcPr>
            <w:tcW w:w="4438" w:type="dxa"/>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Bartlett’s Test</w:t>
            </w:r>
            <w:r w:rsidR="00D7278E"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Pr>
              <w:t>Sig)</w:t>
            </w:r>
          </w:p>
        </w:tc>
        <w:tc>
          <w:tcPr>
            <w:tcW w:w="1513" w:type="dxa"/>
            <w:vAlign w:val="center"/>
            <w:hideMark/>
          </w:tcPr>
          <w:p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0.000</w:t>
            </w:r>
          </w:p>
        </w:tc>
      </w:tr>
    </w:tbl>
    <w:p w:rsidR="006228DE" w:rsidRPr="007C544A" w:rsidRDefault="006228DE"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بالاعتماد على مخرجات</w:t>
      </w:r>
      <w:r w:rsidRPr="007C544A">
        <w:rPr>
          <w:rFonts w:ascii="Traditional Arabic" w:eastAsiaTheme="minorHAnsi" w:hAnsi="Traditional Arabic" w:cs="Traditional Arabic"/>
          <w:shd w:val="clear" w:color="auto" w:fill="FFFFFF"/>
        </w:rPr>
        <w:t xml:space="preserve"> SPSS</w:t>
      </w:r>
    </w:p>
    <w:p w:rsidR="00111294" w:rsidRPr="007C544A" w:rsidRDefault="00111294"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تشير النتائج</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006D2243" w:rsidRPr="007C544A">
        <w:rPr>
          <w:rFonts w:ascii="Traditional Arabic" w:eastAsiaTheme="minorHAnsi" w:hAnsi="Traditional Arabic" w:cs="Traditional Arabic"/>
          <w:rtl/>
          <w:lang w:bidi="ar-EG"/>
        </w:rPr>
        <w:t xml:space="preserve"> (</w:t>
      </w:r>
      <w:r w:rsidR="006D2243" w:rsidRPr="007C544A">
        <w:rPr>
          <w:rFonts w:ascii="Traditional Arabic" w:eastAsiaTheme="minorHAnsi" w:hAnsi="Traditional Arabic" w:cs="Traditional Arabic"/>
          <w:lang w:bidi="ar-EG"/>
        </w:rPr>
        <w:t>KMO</w:t>
      </w:r>
      <w:r w:rsidR="006D2243"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بلغت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0.79)</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وهي قيمة جيدة تدل على كفاية حجم العينة لإجراء التحليل العاملي. كما أن قيمة الدلالة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لاختبار</w:t>
      </w:r>
      <w:r w:rsidR="006D2243" w:rsidRPr="007C544A">
        <w:rPr>
          <w:rFonts w:ascii="Traditional Arabic" w:eastAsiaTheme="minorHAnsi" w:hAnsi="Traditional Arabic" w:cs="Traditional Arabic"/>
          <w:rtl/>
          <w:lang w:bidi="ar-EG"/>
        </w:rPr>
        <w:t xml:space="preserve"> (</w:t>
      </w:r>
      <w:r w:rsidR="006D2243" w:rsidRPr="007C544A">
        <w:rPr>
          <w:rFonts w:ascii="Traditional Arabic" w:eastAsiaTheme="minorHAnsi" w:hAnsi="Traditional Arabic" w:cs="Traditional Arabic"/>
          <w:lang w:bidi="ar-EG"/>
        </w:rPr>
        <w:t>Bartlett</w:t>
      </w:r>
      <w:r w:rsidR="006D2243"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أقل من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0.05)</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يدل على وجود علاقات ارتباط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المتغيرات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وبالتالي صلاحية البيانات للتحليل العاملي</w:t>
      </w:r>
      <w:r w:rsidRPr="007C544A">
        <w:rPr>
          <w:rFonts w:ascii="Traditional Arabic" w:eastAsiaTheme="minorHAnsi" w:hAnsi="Traditional Arabic" w:cs="Traditional Arabic"/>
          <w:lang w:bidi="ar-EG"/>
        </w:rPr>
        <w:t>.</w:t>
      </w:r>
    </w:p>
    <w:p w:rsidR="006228DE" w:rsidRPr="007C544A" w:rsidRDefault="00111294"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 xml:space="preserve"> </w:t>
      </w:r>
      <w:r w:rsidR="006228DE" w:rsidRPr="007C544A">
        <w:rPr>
          <w:rFonts w:ascii="Traditional Arabic" w:hAnsi="Traditional Arabic" w:cs="Traditional Arabic"/>
          <w:sz w:val="24"/>
          <w:szCs w:val="24"/>
          <w:rtl/>
          <w:lang w:bidi="ar-EG"/>
        </w:rPr>
        <w:t xml:space="preserve">كما أظهرت نتائج اختبار </w:t>
      </w:r>
      <w:r w:rsidR="00D67740" w:rsidRPr="007C544A">
        <w:rPr>
          <w:rFonts w:ascii="Traditional Arabic" w:hAnsi="Traditional Arabic" w:cs="Traditional Arabic"/>
          <w:sz w:val="24"/>
          <w:szCs w:val="24"/>
          <w:rtl/>
          <w:lang w:bidi="ar-EG"/>
        </w:rPr>
        <w:t>"</w:t>
      </w:r>
      <w:r w:rsidR="006228DE" w:rsidRPr="007C544A">
        <w:rPr>
          <w:rFonts w:ascii="Traditional Arabic" w:hAnsi="Traditional Arabic" w:cs="Traditional Arabic"/>
          <w:sz w:val="24"/>
          <w:szCs w:val="24"/>
          <w:rtl/>
          <w:lang w:bidi="ar-EG"/>
        </w:rPr>
        <w:t>بارتليت</w:t>
      </w:r>
      <w:r w:rsidR="00D67740" w:rsidRPr="007C544A">
        <w:rPr>
          <w:rFonts w:ascii="Traditional Arabic" w:hAnsi="Traditional Arabic" w:cs="Traditional Arabic"/>
          <w:sz w:val="24"/>
          <w:szCs w:val="24"/>
          <w:rtl/>
          <w:lang w:bidi="ar-EG"/>
        </w:rPr>
        <w:t>" (</w:t>
      </w:r>
      <w:r w:rsidR="00D67740" w:rsidRPr="007C544A">
        <w:rPr>
          <w:rFonts w:ascii="Traditional Arabic" w:hAnsi="Traditional Arabic" w:cs="Traditional Arabic"/>
          <w:sz w:val="24"/>
          <w:szCs w:val="24"/>
          <w:lang w:bidi="ar-EG"/>
        </w:rPr>
        <w:t>Bartlett’s Test of Sphericity</w:t>
      </w:r>
      <w:r w:rsidR="00D67740"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أن مستوى الدلالة ال</w:t>
      </w:r>
      <w:r w:rsidR="004C5D0F" w:rsidRPr="007C544A">
        <w:rPr>
          <w:rFonts w:ascii="Traditional Arabic" w:hAnsi="Traditional Arabic" w:cs="Traditional Arabic"/>
          <w:sz w:val="24"/>
          <w:szCs w:val="24"/>
          <w:rtl/>
          <w:lang w:bidi="ar-EG"/>
        </w:rPr>
        <w:t>إحصائي</w:t>
      </w:r>
      <w:r w:rsidR="006228DE" w:rsidRPr="007C544A">
        <w:rPr>
          <w:rFonts w:ascii="Traditional Arabic" w:hAnsi="Traditional Arabic" w:cs="Traditional Arabic"/>
          <w:sz w:val="24"/>
          <w:szCs w:val="24"/>
          <w:rtl/>
          <w:lang w:bidi="ar-EG"/>
        </w:rPr>
        <w:t>ة</w:t>
      </w:r>
      <w:r w:rsidR="00D67740" w:rsidRPr="007C544A">
        <w:rPr>
          <w:rFonts w:ascii="Traditional Arabic" w:hAnsi="Traditional Arabic" w:cs="Traditional Arabic"/>
          <w:sz w:val="24"/>
          <w:szCs w:val="24"/>
          <w:rtl/>
          <w:lang w:bidi="ar-EG"/>
        </w:rPr>
        <w:t xml:space="preserve"> (</w:t>
      </w:r>
      <w:r w:rsidR="00D67740" w:rsidRPr="007C544A">
        <w:rPr>
          <w:rFonts w:ascii="Traditional Arabic" w:hAnsi="Traditional Arabic" w:cs="Traditional Arabic"/>
          <w:sz w:val="24"/>
          <w:szCs w:val="24"/>
          <w:lang w:bidi="ar-EG"/>
        </w:rPr>
        <w:t>Sig</w:t>
      </w:r>
      <w:r w:rsidR="00D67740"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بلغ</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0.000)</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وهي قيمة أقل من</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0.05)</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مما يشير</w:t>
      </w:r>
      <w:r w:rsidR="000544F4" w:rsidRPr="007C544A">
        <w:rPr>
          <w:rFonts w:ascii="Traditional Arabic" w:hAnsi="Traditional Arabic" w:cs="Traditional Arabic"/>
          <w:sz w:val="24"/>
          <w:szCs w:val="24"/>
          <w:rtl/>
          <w:lang w:bidi="ar-EG"/>
        </w:rPr>
        <w:t xml:space="preserve"> إلى </w:t>
      </w:r>
      <w:r w:rsidR="006228DE" w:rsidRPr="007C544A">
        <w:rPr>
          <w:rFonts w:ascii="Traditional Arabic" w:hAnsi="Traditional Arabic" w:cs="Traditional Arabic"/>
          <w:sz w:val="24"/>
          <w:szCs w:val="24"/>
          <w:rtl/>
          <w:lang w:bidi="ar-EG"/>
        </w:rPr>
        <w:t xml:space="preserve">وجود ارتباطات ذات دلالة </w:t>
      </w:r>
      <w:r w:rsidR="004C5D0F" w:rsidRPr="007C544A">
        <w:rPr>
          <w:rFonts w:ascii="Traditional Arabic" w:hAnsi="Traditional Arabic" w:cs="Traditional Arabic"/>
          <w:sz w:val="24"/>
          <w:szCs w:val="24"/>
          <w:rtl/>
          <w:lang w:bidi="ar-EG"/>
        </w:rPr>
        <w:t>إحصائي</w:t>
      </w:r>
      <w:r w:rsidR="006228DE" w:rsidRPr="007C544A">
        <w:rPr>
          <w:rFonts w:ascii="Traditional Arabic" w:hAnsi="Traditional Arabic" w:cs="Traditional Arabic"/>
          <w:sz w:val="24"/>
          <w:szCs w:val="24"/>
          <w:rtl/>
          <w:lang w:bidi="ar-EG"/>
        </w:rPr>
        <w:t>ة بين متغيرات الدراسة</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وبالتالي رفض الفرض الصفري القائل بعدم وجود ارتباط بين المتغيرات</w:t>
      </w:r>
      <w:r w:rsidR="006228DE" w:rsidRPr="007C544A">
        <w:rPr>
          <w:rFonts w:ascii="Traditional Arabic" w:hAnsi="Traditional Arabic" w:cs="Traditional Arabic"/>
          <w:sz w:val="24"/>
          <w:szCs w:val="24"/>
          <w:lang w:bidi="ar-EG"/>
        </w:rPr>
        <w:t>.</w:t>
      </w:r>
    </w:p>
    <w:p w:rsidR="00111294" w:rsidRPr="007C544A" w:rsidRDefault="00111294" w:rsidP="00E10760">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وبناءً على ذلك</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أداة الدراسة تتمتع بدرجة جيدة من الصدق البنائي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ويمكن الاعتماد على نتائجها في اختبار فروض الدراسة</w:t>
      </w:r>
      <w:r w:rsidRPr="007C544A">
        <w:rPr>
          <w:rFonts w:ascii="Traditional Arabic" w:eastAsiaTheme="minorHAnsi" w:hAnsi="Traditional Arabic" w:cs="Traditional Arabic"/>
          <w:lang w:bidi="ar-EG"/>
        </w:rPr>
        <w:t>.</w:t>
      </w:r>
    </w:p>
    <w:p w:rsidR="00E10760" w:rsidRPr="007C544A" w:rsidRDefault="00E10760" w:rsidP="00662A08">
      <w:pPr>
        <w:bidi/>
        <w:spacing w:before="100" w:beforeAutospacing="1" w:after="100" w:afterAutospacing="1" w:line="360" w:lineRule="auto"/>
        <w:jc w:val="both"/>
        <w:rPr>
          <w:rFonts w:ascii="Traditional Arabic" w:hAnsi="Traditional Arabic" w:cs="Traditional Arabic"/>
          <w:b/>
          <w:bCs/>
          <w:sz w:val="24"/>
          <w:szCs w:val="24"/>
          <w:lang w:bidi="ar-EG"/>
        </w:rPr>
      </w:pPr>
      <w:r w:rsidRPr="007C544A">
        <w:rPr>
          <w:rFonts w:ascii="Traditional Arabic" w:hAnsi="Traditional Arabic" w:cs="Traditional Arabic"/>
          <w:b/>
          <w:bCs/>
          <w:sz w:val="24"/>
          <w:szCs w:val="24"/>
          <w:rtl/>
          <w:lang w:bidi="ar-EG"/>
        </w:rPr>
        <w:t>سابعاً- الاعتبارات الأخلاقية للدراسة</w:t>
      </w:r>
      <w:r w:rsidRPr="007C544A">
        <w:rPr>
          <w:rFonts w:ascii="Traditional Arabic" w:hAnsi="Traditional Arabic" w:cs="Traditional Arabic"/>
          <w:b/>
          <w:bCs/>
          <w:sz w:val="24"/>
          <w:szCs w:val="24"/>
          <w:lang w:bidi="ar-EG"/>
        </w:rPr>
        <w:t>:</w:t>
      </w:r>
    </w:p>
    <w:p w:rsidR="00E10760" w:rsidRPr="007C544A" w:rsidRDefault="00E10760" w:rsidP="00662A08">
      <w:pPr>
        <w:bidi/>
        <w:spacing w:before="100" w:beforeAutospacing="1" w:after="100" w:afterAutospacing="1" w:line="360" w:lineRule="auto"/>
        <w:ind w:firstLine="36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راعى الباحث عند تنفيذ الدراسة الالتزام بمجموعة من الاعتبارات الأخلاقية التي تكفل احترام حقوق المشاركين والحفاظ على سرية البيانات والمعلومات التي تم الحصول عليها، وذلك على النحو الآتي</w:t>
      </w:r>
      <w:r w:rsidRPr="007C544A">
        <w:rPr>
          <w:rFonts w:ascii="Traditional Arabic" w:hAnsi="Traditional Arabic" w:cs="Traditional Arabic"/>
          <w:sz w:val="24"/>
          <w:szCs w:val="24"/>
          <w:lang w:bidi="ar-EG"/>
        </w:rPr>
        <w:t>:</w:t>
      </w:r>
    </w:p>
    <w:p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الموافقة المستنيرة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تم توضيح طبيعة الدراسة وأهدافها للمشاركين، وبيان أن مشاركتهم في الدراسة تتم بصورة طوعية، وأن البيانات التي يتم الحصول عليها تستخدم لأغراض البحث العلمي فقط</w:t>
      </w:r>
      <w:r w:rsidRPr="007C544A">
        <w:rPr>
          <w:rFonts w:ascii="Traditional Arabic" w:hAnsi="Traditional Arabic" w:cs="Traditional Arabic"/>
          <w:sz w:val="24"/>
          <w:szCs w:val="24"/>
          <w:lang w:bidi="ar-EG"/>
        </w:rPr>
        <w:t xml:space="preserve">. </w:t>
      </w:r>
    </w:p>
    <w:p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السرية والخصوصية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التزم الباحث بالحفاظ على سرية المعلومات والبيانات التي يقدمها أفراد عينة الدراسة، وعدم استخدامها في غير الأغراض العلمية المحددة للدراسة، مع عدم الإفصاح عن أي معلومات شخصية يمكن أن تؤدي إلى التعرف على المشاركين</w:t>
      </w:r>
      <w:r w:rsidRPr="007C544A">
        <w:rPr>
          <w:rFonts w:ascii="Traditional Arabic" w:hAnsi="Traditional Arabic" w:cs="Traditional Arabic"/>
          <w:sz w:val="24"/>
          <w:szCs w:val="24"/>
          <w:lang w:bidi="ar-EG"/>
        </w:rPr>
        <w:t xml:space="preserve">. </w:t>
      </w:r>
    </w:p>
    <w:p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الطوعية وحق الانسحاب</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أُتيح للمشاركين الحق في المشاركة أو عدم المشاركة في الدراسة، كما يحق لهم الانسحاب منها في أي وقت دون أن يترتب على ذلك أي ضرر أو تبعات سلبية عليهم</w:t>
      </w:r>
      <w:r w:rsidRPr="007C544A">
        <w:rPr>
          <w:rFonts w:ascii="Traditional Arabic" w:hAnsi="Traditional Arabic" w:cs="Traditional Arabic"/>
          <w:sz w:val="24"/>
          <w:szCs w:val="24"/>
          <w:lang w:bidi="ar-EG"/>
        </w:rPr>
        <w:t xml:space="preserve">. </w:t>
      </w:r>
    </w:p>
    <w:p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عدم الإضرار بالمشاركين</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حرص الباحث على أن تكون إجراءات جمع البيانات وتصميم فقرات الاستبيان بصورة لا تلحق أي ضرر مادي أو معنوي أو وظيفي بالمشاركين، وألا تتضمن الأسئلة ما يمكن أن يمثل تدخلاً غير مبرر في خصوصياتهم</w:t>
      </w:r>
      <w:r w:rsidRPr="007C544A">
        <w:rPr>
          <w:rFonts w:ascii="Traditional Arabic" w:hAnsi="Traditional Arabic" w:cs="Traditional Arabic"/>
          <w:sz w:val="24"/>
          <w:szCs w:val="24"/>
          <w:lang w:bidi="ar-EG"/>
        </w:rPr>
        <w:t xml:space="preserve">. </w:t>
      </w:r>
    </w:p>
    <w:p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الاستخدام العلمي للبيانات</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تم التأكيد للمشاركين على أن البيانات التي يتم جمعها ستستخدم لأغراض البحث العلمي والتحليل الإحصائي فقط، ولن تستخدم لأغراض إدارية أو تقييمية أو لاتخاذ أي إجراءات بحق أفراد العينة أو الشركات محل الدراسة</w:t>
      </w:r>
      <w:r w:rsidRPr="007C544A">
        <w:rPr>
          <w:rFonts w:ascii="Traditional Arabic" w:hAnsi="Traditional Arabic" w:cs="Traditional Arabic"/>
          <w:sz w:val="24"/>
          <w:szCs w:val="24"/>
          <w:lang w:bidi="ar-EG"/>
        </w:rPr>
        <w:t xml:space="preserve">. </w:t>
      </w:r>
    </w:p>
    <w:p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الموضوعية والنزاهة العلمية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التزم الباحث بالموضوعية في جمع البيانات وتحليلها وعرض نتائج الدراسة، وعدم التلاعب بالبيانات أو النتائج، أو حذف أو تغيير النتائج بما يتوافق مع توقعات الباحث أو فروض الدراسة</w:t>
      </w:r>
      <w:r w:rsidRPr="007C544A">
        <w:rPr>
          <w:rFonts w:ascii="Traditional Arabic" w:hAnsi="Traditional Arabic" w:cs="Traditional Arabic"/>
          <w:sz w:val="24"/>
          <w:szCs w:val="24"/>
          <w:lang w:bidi="ar-EG"/>
        </w:rPr>
        <w:t xml:space="preserve">. </w:t>
      </w:r>
    </w:p>
    <w:p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الالتزام بحقوق الملكية الفكرية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حرص الباحث على توثيق المصادر والمراجع العلمية التي تم الاعتماد عليها في إعداد الدراسة وأداة جمع البيانات، ونسب الأفكار والاقتباسات إلى أصحابها وفقًا للقواعد العلمية المتبعة</w:t>
      </w:r>
      <w:r w:rsidRPr="007C544A">
        <w:rPr>
          <w:rFonts w:ascii="Traditional Arabic" w:hAnsi="Traditional Arabic" w:cs="Traditional Arabic"/>
          <w:sz w:val="24"/>
          <w:szCs w:val="24"/>
          <w:lang w:bidi="ar-EG"/>
        </w:rPr>
        <w:t xml:space="preserve">. </w:t>
      </w:r>
    </w:p>
    <w:p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حماية بيانات الشركات محل الدراسة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راعى الباحث عدم الإفصاح عن المعلومات التي يتم الحصول عليها من الشركات محل الدراسة إلا في الحدود اللازمة لتحقيق أهداف البحث، مع التعامل مع البيانات ذات الطبيعة التنظيمية أو المالية وفقًا لمبدأ السرية البحثية</w:t>
      </w:r>
      <w:r w:rsidRPr="007C544A">
        <w:rPr>
          <w:rFonts w:ascii="Traditional Arabic" w:hAnsi="Traditional Arabic" w:cs="Traditional Arabic"/>
          <w:sz w:val="24"/>
          <w:szCs w:val="24"/>
          <w:lang w:bidi="ar-EG"/>
        </w:rPr>
        <w:t xml:space="preserve">. </w:t>
      </w:r>
    </w:p>
    <w:p w:rsidR="00E10760" w:rsidRPr="007C544A" w:rsidRDefault="00E10760" w:rsidP="00662A08">
      <w:pPr>
        <w:bidi/>
        <w:spacing w:before="100" w:beforeAutospacing="1" w:after="100" w:afterAutospacing="1" w:line="360" w:lineRule="auto"/>
        <w:ind w:firstLine="36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وبذلك التزم الباحث في جميع مراحل الدراسة بالمبادئ الأخلاقية للبحث العلمي، بدءًا من تصميم الدراسة واختيار أفراد العينة وجمع البيانات، وصولًا إلى تحليل البيانات وتفسير النتائج وعرضها، بما يضمن احترام حقوق المشاركين والحفاظ على سرية المعلومات وتحقيق النزاهة والموضوعية العلمية</w:t>
      </w:r>
      <w:r w:rsidRPr="007C544A">
        <w:rPr>
          <w:rFonts w:ascii="Traditional Arabic" w:hAnsi="Traditional Arabic" w:cs="Traditional Arabic"/>
          <w:sz w:val="24"/>
          <w:szCs w:val="24"/>
          <w:lang w:bidi="ar-EG"/>
        </w:rPr>
        <w:t>.</w:t>
      </w:r>
    </w:p>
    <w:p w:rsidR="00867B68" w:rsidRPr="007C544A" w:rsidRDefault="00E10760" w:rsidP="007643E0">
      <w:pPr>
        <w:bidi/>
        <w:spacing w:before="120" w:after="120" w:line="360" w:lineRule="auto"/>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خلاصة الفصل الثالث :</w:t>
      </w:r>
    </w:p>
    <w:p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في هذا الفصل تم عرض المنهجية العلمية المعتمدة لدراسة دور استراتيجية دمج الشركات في دخول الشركات العائلية إلى سوق النمو – السوق الموازية لسوق المال السعودي، حيث تم تحديد منهج الدراسة، ومصادر البيانات الأولية والثانوية، ومجتمع الدراسة المتمثل في العاملين بالشركات محل الدراسة، وتحديد حجم العينة بالاعتماد على أسلوب </w:t>
      </w:r>
      <w:r w:rsidRPr="007C544A">
        <w:rPr>
          <w:rFonts w:ascii="Traditional Arabic" w:hAnsi="Traditional Arabic" w:cs="Traditional Arabic"/>
          <w:sz w:val="24"/>
          <w:szCs w:val="24"/>
          <w:lang w:bidi="ar-EG"/>
        </w:rPr>
        <w:t xml:space="preserve">Krejcie &amp; Morgan (1970) </w:t>
      </w:r>
      <w:r w:rsidRPr="007C544A">
        <w:rPr>
          <w:rFonts w:ascii="Traditional Arabic" w:hAnsi="Traditional Arabic" w:cs="Traditional Arabic"/>
          <w:sz w:val="24"/>
          <w:szCs w:val="24"/>
          <w:rtl/>
          <w:lang w:bidi="ar-EG"/>
        </w:rPr>
        <w:t>بما يضمن تمثيلًا مناسبًا للمجتمع</w:t>
      </w:r>
      <w:r w:rsidRPr="007C544A">
        <w:rPr>
          <w:rFonts w:ascii="Traditional Arabic" w:hAnsi="Traditional Arabic" w:cs="Traditional Arabic"/>
          <w:sz w:val="24"/>
          <w:szCs w:val="24"/>
          <w:lang w:bidi="ar-EG"/>
        </w:rPr>
        <w:t>.</w:t>
      </w:r>
    </w:p>
    <w:p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تم توضيح أدوات جمع البيانات، والتي تمثلت في الاستبانة كأداة كمية، ودليل المقابلة كأداة نوعية داعمة، مع توضيح مراحل إعداد الاستبانة ومحتواها وأبعادها، واستخدام مقياس ليكرت الخماسي في قياس استجابات أفراد العينة. كما تم بيان الأساليب الإحصائية المستخدمة في تحليل البيانات واختبار فروض الدراسة، والتي شملت الإحصاء الوصفي، ومعامل ارتباط بيرسون، وتحليل الانحدار، واختبار تحليل التباين الأحادي</w:t>
      </w:r>
      <w:r w:rsidRPr="007C544A">
        <w:rPr>
          <w:rFonts w:ascii="Traditional Arabic" w:hAnsi="Traditional Arabic" w:cs="Traditional Arabic"/>
          <w:sz w:val="24"/>
          <w:szCs w:val="24"/>
          <w:lang w:bidi="ar-EG"/>
        </w:rPr>
        <w:t xml:space="preserve"> (One-Way ANOVA).</w:t>
      </w:r>
    </w:p>
    <w:p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وقد تم التحقق من صدق وثبات أدوات الدراسة من خلال عرض الاستبانة على مجموعة من المحكمين، والتحقق من الصدق البنائي باستخدام التحليل العاملي الاستكشافي واختباري </w:t>
      </w:r>
      <w:r w:rsidRPr="007C544A">
        <w:rPr>
          <w:rFonts w:ascii="Traditional Arabic" w:hAnsi="Traditional Arabic" w:cs="Traditional Arabic"/>
          <w:sz w:val="24"/>
          <w:szCs w:val="24"/>
          <w:lang w:bidi="ar-EG"/>
        </w:rPr>
        <w:t xml:space="preserve">KMO </w:t>
      </w:r>
      <w:r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lang w:bidi="ar-EG"/>
        </w:rPr>
        <w:t>Bartlett</w:t>
      </w:r>
      <w:r w:rsidRPr="007C544A">
        <w:rPr>
          <w:rFonts w:ascii="Traditional Arabic" w:hAnsi="Traditional Arabic" w:cs="Traditional Arabic"/>
          <w:sz w:val="24"/>
          <w:szCs w:val="24"/>
          <w:rtl/>
          <w:lang w:bidi="ar-EG"/>
        </w:rPr>
        <w:t>، إلى جانب حساب معامل ألفا كرونباخ للتحقق من ثبات الاستبانة، حيث أظهرت النتائج تمتع الأداة بدرجة مناسبة من الصدق والثبات وإمكانية الاعتماد عليها في جمع البيانات وتحليلها</w:t>
      </w:r>
      <w:r w:rsidRPr="007C544A">
        <w:rPr>
          <w:rFonts w:ascii="Traditional Arabic" w:hAnsi="Traditional Arabic" w:cs="Traditional Arabic"/>
          <w:sz w:val="24"/>
          <w:szCs w:val="24"/>
          <w:lang w:bidi="ar-EG"/>
        </w:rPr>
        <w:t>.</w:t>
      </w:r>
    </w:p>
    <w:p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تم توضيح الإجراءات المتبعة في إعداد دليل المقابلة والتحقق من ملاءمته، بما يدعم الاستفادة من البيانات النوعية في تفسير النتائج الكمية. وأخيرًا، تم بيان الاعتبارات الأخلاقية التي روعيت أثناء تنفيذ الدراسة، بما يشمل طوعية المشاركة، والحفاظ على سرية وخصوصية البيانات، وقصر استخدامها على الأغراض العلمية، والالتزام بالموضوعية والنزاهة العلمية وحقوق الملكية الفكرية</w:t>
      </w:r>
      <w:r w:rsidRPr="007C544A">
        <w:rPr>
          <w:rFonts w:ascii="Traditional Arabic" w:hAnsi="Traditional Arabic" w:cs="Traditional Arabic"/>
          <w:sz w:val="24"/>
          <w:szCs w:val="24"/>
          <w:lang w:bidi="ar-EG"/>
        </w:rPr>
        <w:t>.</w:t>
      </w:r>
    </w:p>
    <w:p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وبذلك يوفر هذا الفصل الأساس المنهجي اللازم لتنفيذ الدراسة الميدانية وتحليل بياناتها، بما يسهم في الوصول إلى نتائج علمية يمكن الاستناد إليها في تحقيق أهداف الدراسة واختبار فروضها</w:t>
      </w:r>
      <w:r w:rsidRPr="007C544A">
        <w:rPr>
          <w:rFonts w:ascii="Traditional Arabic" w:hAnsi="Traditional Arabic" w:cs="Traditional Arabic"/>
          <w:sz w:val="24"/>
          <w:szCs w:val="24"/>
          <w:lang w:bidi="ar-EG"/>
        </w:rPr>
        <w:t>.</w:t>
      </w:r>
    </w:p>
    <w:p w:rsidR="00867B68" w:rsidRPr="007C544A" w:rsidRDefault="00867B68" w:rsidP="00E10760">
      <w:pPr>
        <w:shd w:val="clear" w:color="auto" w:fill="FFFFFF" w:themeFill="background1"/>
        <w:bidi/>
        <w:spacing w:before="120" w:after="120" w:line="360" w:lineRule="auto"/>
        <w:jc w:val="center"/>
        <w:rPr>
          <w:rFonts w:ascii="Traditional Arabic" w:hAnsi="Traditional Arabic" w:cs="Traditional Arabic"/>
          <w:sz w:val="24"/>
          <w:szCs w:val="24"/>
          <w:rtl/>
          <w:lang w:bidi="ar-EG"/>
        </w:rPr>
      </w:pPr>
    </w:p>
    <w:p w:rsidR="000507FF" w:rsidRPr="007C544A" w:rsidRDefault="000507FF" w:rsidP="00706522">
      <w:pPr>
        <w:shd w:val="clear" w:color="auto" w:fill="FFFFFF" w:themeFill="background1"/>
        <w:bidi/>
        <w:spacing w:after="0" w:line="360" w:lineRule="auto"/>
        <w:jc w:val="center"/>
        <w:rPr>
          <w:rFonts w:ascii="Traditional Arabic" w:hAnsi="Traditional Arabic" w:cs="Traditional Arabic"/>
          <w:b/>
          <w:bCs/>
          <w:sz w:val="40"/>
          <w:szCs w:val="40"/>
          <w:rtl/>
          <w:lang w:bidi="ar-EG"/>
        </w:rPr>
      </w:pPr>
      <w:r w:rsidRPr="007C544A">
        <w:rPr>
          <w:rFonts w:ascii="Traditional Arabic" w:hAnsi="Traditional Arabic" w:cs="Traditional Arabic"/>
          <w:b/>
          <w:bCs/>
          <w:sz w:val="40"/>
          <w:szCs w:val="40"/>
          <w:rtl/>
          <w:lang w:bidi="ar-EG"/>
        </w:rPr>
        <w:t>الفصل الرابع</w:t>
      </w:r>
    </w:p>
    <w:p w:rsidR="00D44E95" w:rsidRPr="007C544A" w:rsidRDefault="00D44E95" w:rsidP="00706522">
      <w:pPr>
        <w:shd w:val="clear" w:color="auto" w:fill="FFFFFF" w:themeFill="background1"/>
        <w:bidi/>
        <w:spacing w:after="0" w:line="360" w:lineRule="auto"/>
        <w:jc w:val="center"/>
        <w:rPr>
          <w:rFonts w:ascii="Traditional Arabic" w:hAnsi="Traditional Arabic" w:cs="Traditional Arabic"/>
          <w:b/>
          <w:bCs/>
          <w:sz w:val="40"/>
          <w:szCs w:val="40"/>
          <w:lang w:bidi="ar-EG"/>
        </w:rPr>
      </w:pPr>
      <w:r w:rsidRPr="007C544A">
        <w:rPr>
          <w:rFonts w:ascii="Traditional Arabic" w:hAnsi="Traditional Arabic" w:cs="Traditional Arabic"/>
          <w:b/>
          <w:bCs/>
          <w:sz w:val="40"/>
          <w:szCs w:val="40"/>
          <w:rtl/>
          <w:lang w:bidi="ar-EG"/>
        </w:rPr>
        <w:t>نتائج الدراسة الميدانية وتحليل البيانات</w:t>
      </w:r>
    </w:p>
    <w:p w:rsidR="004C5D0F" w:rsidRPr="007C544A" w:rsidRDefault="004C5D0F" w:rsidP="00706522">
      <w:pPr>
        <w:shd w:val="clear" w:color="auto" w:fill="FFFFFF" w:themeFill="background1"/>
        <w:bidi/>
        <w:spacing w:after="0" w:line="360" w:lineRule="auto"/>
        <w:jc w:val="both"/>
        <w:rPr>
          <w:rFonts w:ascii="Traditional Arabic" w:hAnsi="Traditional Arabic" w:cs="Traditional Arabic"/>
          <w:b/>
          <w:bCs/>
          <w:sz w:val="16"/>
          <w:szCs w:val="16"/>
          <w:rtl/>
          <w:lang w:bidi="ar-EG"/>
        </w:rPr>
      </w:pPr>
    </w:p>
    <w:p w:rsidR="000507FF" w:rsidRPr="007C544A" w:rsidRDefault="004C5D0F"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تمهيد.</w:t>
      </w:r>
    </w:p>
    <w:p w:rsidR="000507FF" w:rsidRPr="007C544A" w:rsidRDefault="00086CDD"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 xml:space="preserve">أولاً- </w:t>
      </w:r>
      <w:r w:rsidR="004C5D0F" w:rsidRPr="007C544A">
        <w:rPr>
          <w:rFonts w:ascii="Traditional Arabic" w:hAnsi="Traditional Arabic" w:cs="Traditional Arabic"/>
          <w:b/>
          <w:bCs/>
          <w:sz w:val="34"/>
          <w:szCs w:val="34"/>
          <w:rtl/>
          <w:lang w:bidi="ar-EG"/>
        </w:rPr>
        <w:t>التحليل الوصفي للدراسة.</w:t>
      </w:r>
    </w:p>
    <w:p w:rsidR="000507FF" w:rsidRPr="007C544A" w:rsidRDefault="00086CDD"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 xml:space="preserve">ثانياً- </w:t>
      </w:r>
      <w:r w:rsidR="000507FF" w:rsidRPr="007C544A">
        <w:rPr>
          <w:rFonts w:ascii="Traditional Arabic" w:hAnsi="Traditional Arabic" w:cs="Traditional Arabic"/>
          <w:b/>
          <w:bCs/>
          <w:sz w:val="34"/>
          <w:szCs w:val="34"/>
          <w:rtl/>
          <w:lang w:bidi="ar-EG"/>
        </w:rPr>
        <w:t>اختبار الفروض</w:t>
      </w:r>
      <w:r w:rsidR="004C5D0F" w:rsidRPr="007C544A">
        <w:rPr>
          <w:rFonts w:ascii="Traditional Arabic" w:hAnsi="Traditional Arabic" w:cs="Traditional Arabic"/>
          <w:b/>
          <w:bCs/>
          <w:sz w:val="34"/>
          <w:szCs w:val="34"/>
          <w:rtl/>
          <w:lang w:bidi="ar-EG"/>
        </w:rPr>
        <w:t>.</w:t>
      </w:r>
      <w:r w:rsidR="000507FF" w:rsidRPr="007C544A">
        <w:rPr>
          <w:rFonts w:ascii="Traditional Arabic" w:hAnsi="Traditional Arabic" w:cs="Traditional Arabic"/>
          <w:b/>
          <w:bCs/>
          <w:sz w:val="34"/>
          <w:szCs w:val="34"/>
          <w:rtl/>
          <w:lang w:bidi="ar-EG"/>
        </w:rPr>
        <w:t xml:space="preserve"> </w:t>
      </w:r>
    </w:p>
    <w:p w:rsidR="004C5D0F" w:rsidRPr="007C544A" w:rsidRDefault="004C5D0F" w:rsidP="00706522">
      <w:pPr>
        <w:spacing w:after="0" w:line="360" w:lineRule="auto"/>
        <w:rPr>
          <w:rFonts w:ascii="Times New Roman" w:hAnsi="Times New Roman" w:cs="Simplified Arabic"/>
          <w:sz w:val="32"/>
          <w:szCs w:val="32"/>
          <w:rtl/>
          <w:lang w:bidi="ar-EG"/>
        </w:rPr>
      </w:pPr>
    </w:p>
    <w:p w:rsidR="00E00929" w:rsidRPr="007C544A" w:rsidRDefault="00E00929" w:rsidP="00706522">
      <w:pPr>
        <w:spacing w:after="0" w:line="360" w:lineRule="auto"/>
        <w:rPr>
          <w:rFonts w:ascii="Times New Roman" w:hAnsi="Times New Roman" w:cs="Simplified Arabic"/>
          <w:sz w:val="32"/>
          <w:szCs w:val="32"/>
          <w:rtl/>
          <w:lang w:bidi="ar-EG"/>
        </w:rPr>
      </w:pPr>
    </w:p>
    <w:p w:rsidR="00E00929" w:rsidRPr="007C544A" w:rsidRDefault="00E00929" w:rsidP="00706522">
      <w:pPr>
        <w:spacing w:after="0" w:line="360" w:lineRule="auto"/>
        <w:rPr>
          <w:rFonts w:ascii="Times New Roman" w:hAnsi="Times New Roman" w:cs="Simplified Arabic"/>
          <w:sz w:val="32"/>
          <w:szCs w:val="32"/>
          <w:rtl/>
          <w:lang w:bidi="ar-EG"/>
        </w:rPr>
      </w:pPr>
    </w:p>
    <w:p w:rsidR="00E00929" w:rsidRPr="007C544A" w:rsidRDefault="00E00929" w:rsidP="00706522">
      <w:pPr>
        <w:spacing w:after="0" w:line="360" w:lineRule="auto"/>
        <w:rPr>
          <w:rFonts w:ascii="Times New Roman" w:hAnsi="Times New Roman" w:cs="Simplified Arabic"/>
          <w:sz w:val="32"/>
          <w:szCs w:val="32"/>
          <w:rtl/>
          <w:lang w:bidi="ar-EG"/>
        </w:rPr>
      </w:pPr>
    </w:p>
    <w:p w:rsidR="00E00929" w:rsidRPr="007C544A" w:rsidRDefault="00E00929" w:rsidP="00706522">
      <w:pPr>
        <w:spacing w:after="0" w:line="360" w:lineRule="auto"/>
        <w:rPr>
          <w:rFonts w:ascii="Times New Roman" w:hAnsi="Times New Roman" w:cs="Simplified Arabic"/>
          <w:sz w:val="32"/>
          <w:szCs w:val="32"/>
          <w:rtl/>
          <w:lang w:bidi="ar-EG"/>
        </w:rPr>
      </w:pPr>
    </w:p>
    <w:p w:rsidR="00E00929" w:rsidRPr="007C544A" w:rsidRDefault="00E00929" w:rsidP="00706522">
      <w:pPr>
        <w:spacing w:after="0" w:line="360" w:lineRule="auto"/>
        <w:rPr>
          <w:rFonts w:ascii="Times New Roman" w:hAnsi="Times New Roman" w:cs="Simplified Arabic"/>
          <w:sz w:val="32"/>
          <w:szCs w:val="32"/>
          <w:rtl/>
          <w:lang w:bidi="ar-EG"/>
        </w:rPr>
      </w:pPr>
    </w:p>
    <w:p w:rsidR="00E00929" w:rsidRPr="007C544A" w:rsidRDefault="00E00929" w:rsidP="00706522">
      <w:pPr>
        <w:spacing w:after="0" w:line="360" w:lineRule="auto"/>
        <w:rPr>
          <w:rFonts w:ascii="Times New Roman" w:hAnsi="Times New Roman" w:cs="Simplified Arabic"/>
          <w:sz w:val="32"/>
          <w:szCs w:val="32"/>
          <w:rtl/>
          <w:lang w:bidi="ar-EG"/>
        </w:rPr>
      </w:pPr>
    </w:p>
    <w:p w:rsidR="00E00929" w:rsidRPr="007C544A" w:rsidRDefault="00E00929" w:rsidP="00706522">
      <w:pPr>
        <w:spacing w:after="0" w:line="360" w:lineRule="auto"/>
        <w:rPr>
          <w:rFonts w:ascii="Times New Roman" w:hAnsi="Times New Roman" w:cs="Simplified Arabic"/>
          <w:sz w:val="32"/>
          <w:szCs w:val="32"/>
          <w:rtl/>
          <w:lang w:bidi="ar-EG"/>
        </w:rPr>
      </w:pPr>
    </w:p>
    <w:p w:rsidR="00E00929" w:rsidRPr="007C544A" w:rsidRDefault="00E00929" w:rsidP="00706522">
      <w:pPr>
        <w:spacing w:after="0" w:line="360" w:lineRule="auto"/>
        <w:rPr>
          <w:rFonts w:ascii="Times New Roman" w:hAnsi="Times New Roman" w:cs="Simplified Arabic"/>
          <w:sz w:val="32"/>
          <w:szCs w:val="32"/>
          <w:rtl/>
          <w:lang w:bidi="ar-EG"/>
        </w:rPr>
      </w:pPr>
    </w:p>
    <w:p w:rsidR="004835AA" w:rsidRPr="007C544A" w:rsidRDefault="004835AA" w:rsidP="00706522">
      <w:pPr>
        <w:spacing w:after="0" w:line="360" w:lineRule="auto"/>
        <w:rPr>
          <w:rFonts w:ascii="Times New Roman" w:hAnsi="Times New Roman" w:cs="Simplified Arabic"/>
          <w:sz w:val="32"/>
          <w:szCs w:val="32"/>
          <w:rtl/>
          <w:lang w:bidi="ar-EG"/>
        </w:rPr>
      </w:pPr>
    </w:p>
    <w:p w:rsidR="004835AA" w:rsidRPr="007C544A" w:rsidRDefault="004835AA" w:rsidP="00706522">
      <w:pPr>
        <w:spacing w:after="0" w:line="360" w:lineRule="auto"/>
        <w:rPr>
          <w:rFonts w:ascii="Times New Roman" w:hAnsi="Times New Roman" w:cs="Simplified Arabic"/>
          <w:sz w:val="32"/>
          <w:szCs w:val="32"/>
          <w:rtl/>
          <w:lang w:bidi="ar-EG"/>
        </w:rPr>
      </w:pPr>
    </w:p>
    <w:p w:rsidR="000507FF" w:rsidRPr="007C544A" w:rsidRDefault="000507FF" w:rsidP="00706522">
      <w:pPr>
        <w:pStyle w:val="a"/>
        <w:shd w:val="clear" w:color="auto" w:fill="FFFFFF" w:themeFill="background1"/>
        <w:spacing w:line="360" w:lineRule="auto"/>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الفصل الرابع</w:t>
      </w:r>
    </w:p>
    <w:p w:rsidR="00D44E95" w:rsidRPr="007C544A" w:rsidRDefault="000507FF" w:rsidP="00706522">
      <w:pPr>
        <w:pStyle w:val="a"/>
        <w:shd w:val="clear" w:color="auto" w:fill="FFFFFF" w:themeFill="background1"/>
        <w:spacing w:line="360" w:lineRule="auto"/>
        <w:rPr>
          <w:rFonts w:ascii="Traditional Arabic" w:hAnsi="Traditional Arabic" w:cs="Traditional Arabic"/>
          <w:b/>
          <w:bCs/>
          <w:sz w:val="28"/>
          <w:szCs w:val="28"/>
        </w:rPr>
      </w:pPr>
      <w:r w:rsidRPr="007C544A">
        <w:rPr>
          <w:rFonts w:ascii="Traditional Arabic" w:hAnsi="Traditional Arabic" w:cs="Traditional Arabic"/>
          <w:b/>
          <w:bCs/>
          <w:sz w:val="28"/>
          <w:szCs w:val="28"/>
          <w:rtl/>
        </w:rPr>
        <w:t>نتائج الدراسة الميدانية</w:t>
      </w:r>
      <w:r w:rsidR="00D44E95" w:rsidRPr="007C544A">
        <w:rPr>
          <w:rFonts w:ascii="Traditional Arabic" w:hAnsi="Traditional Arabic" w:cs="Traditional Arabic"/>
          <w:b/>
          <w:bCs/>
          <w:sz w:val="28"/>
          <w:szCs w:val="28"/>
          <w:rtl/>
        </w:rPr>
        <w:t xml:space="preserve"> وتحليل البيانات</w:t>
      </w:r>
    </w:p>
    <w:p w:rsidR="000507FF" w:rsidRPr="007C544A" w:rsidRDefault="000507FF"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تمهيد</w:t>
      </w:r>
      <w:r w:rsidR="00775B4E" w:rsidRPr="007C544A">
        <w:rPr>
          <w:rFonts w:ascii="Traditional Arabic" w:hAnsi="Traditional Arabic" w:cs="Traditional Arabic"/>
          <w:b/>
          <w:bCs/>
          <w:sz w:val="28"/>
          <w:szCs w:val="28"/>
          <w:rtl/>
        </w:rPr>
        <w:t xml:space="preserve">: </w:t>
      </w:r>
    </w:p>
    <w:p w:rsidR="000507FF" w:rsidRPr="007C544A" w:rsidRDefault="000507F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قام الباحث بتخصيص هذا الفصل لعرض وتحليل البيانات المجمعة من أدوات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وهي الاستبانة الموجهة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العاملين في الشركات السعودية والمختصين الماليين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ودليل المقابلات المتعمقة مع مسئولي </w:t>
      </w:r>
      <w:r w:rsidR="00D67740" w:rsidRPr="007C544A">
        <w:rPr>
          <w:rFonts w:ascii="Traditional Arabic" w:eastAsiaTheme="minorHAnsi" w:hAnsi="Traditional Arabic" w:cs="Traditional Arabic"/>
          <w:rtl/>
          <w:lang w:bidi="ar-EG"/>
        </w:rPr>
        <w:t>وإداري</w:t>
      </w:r>
      <w:r w:rsidRPr="007C544A">
        <w:rPr>
          <w:rFonts w:ascii="Traditional Arabic" w:eastAsiaTheme="minorHAnsi" w:hAnsi="Traditional Arabic" w:cs="Traditional Arabic"/>
          <w:rtl/>
          <w:lang w:bidi="ar-EG"/>
        </w:rPr>
        <w:t xml:space="preserve"> الشركات ضمن عينة الدراسة. يركز الفصل على تقديم وصف تفصيلي للخصائص الديموغرافية لأفراد العينة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يليها التحليل الوصفي لمتغيرات الدراسة الأساسية</w:t>
      </w:r>
      <w:r w:rsidRPr="007C544A">
        <w:rPr>
          <w:rFonts w:ascii="Traditional Arabic" w:eastAsiaTheme="minorHAnsi" w:hAnsi="Traditional Arabic" w:cs="Traditional Arabic"/>
          <w:lang w:bidi="ar-EG"/>
        </w:rPr>
        <w:t>.</w:t>
      </w:r>
    </w:p>
    <w:p w:rsidR="000507FF" w:rsidRPr="007C544A" w:rsidRDefault="000507F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بالإضافة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اختبار فروض الدراسة اللازمة لضمان دقة النتائج. في النهاية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يتم عرض واختبار فروض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تفسير النتائج وفق الأساليب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المناسبة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بما يتيح فهمًا علميًا واضحًا لعلاقة متغيرات الدراسة وتحقق أهداف البحث.</w:t>
      </w:r>
    </w:p>
    <w:p w:rsidR="000E68D2" w:rsidRPr="007C544A" w:rsidRDefault="000E68D2"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وبناء على ذلك تم تقسيم هذا الفصل ليشمل العناصر التالية</w:t>
      </w:r>
      <w:r w:rsidR="00775B4E" w:rsidRPr="007C544A">
        <w:rPr>
          <w:rFonts w:ascii="Traditional Arabic" w:eastAsiaTheme="minorHAnsi" w:hAnsi="Traditional Arabic" w:cs="Traditional Arabic"/>
          <w:rtl/>
          <w:lang w:bidi="ar-EG"/>
        </w:rPr>
        <w:t xml:space="preserve">: </w:t>
      </w:r>
    </w:p>
    <w:p w:rsidR="002824BA"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أولاً</w:t>
      </w:r>
      <w:r w:rsidR="004C5D0F" w:rsidRPr="007C544A">
        <w:rPr>
          <w:rFonts w:ascii="Traditional Arabic" w:hAnsi="Traditional Arabic" w:cs="Traditional Arabic"/>
          <w:b/>
          <w:bCs/>
          <w:sz w:val="28"/>
          <w:szCs w:val="28"/>
          <w:rtl/>
        </w:rPr>
        <w:t xml:space="preserve">- </w:t>
      </w:r>
      <w:r w:rsidR="002B4ADE" w:rsidRPr="007C544A">
        <w:rPr>
          <w:rFonts w:ascii="Traditional Arabic" w:hAnsi="Traditional Arabic" w:cs="Traditional Arabic"/>
          <w:b/>
          <w:bCs/>
          <w:sz w:val="28"/>
          <w:szCs w:val="28"/>
          <w:rtl/>
        </w:rPr>
        <w:t>نتائج الدراسة الميدانية</w:t>
      </w:r>
      <w:r w:rsidR="002824BA" w:rsidRPr="007C544A">
        <w:rPr>
          <w:rFonts w:ascii="Traditional Arabic" w:hAnsi="Traditional Arabic" w:cs="Traditional Arabic"/>
          <w:b/>
          <w:bCs/>
          <w:sz w:val="28"/>
          <w:szCs w:val="28"/>
          <w:rtl/>
        </w:rPr>
        <w:t>:</w:t>
      </w:r>
    </w:p>
    <w:p w:rsidR="002B4ADE" w:rsidRPr="007C544A" w:rsidRDefault="002B4ADE"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وتتضمن</w:t>
      </w:r>
      <w:r w:rsidR="00775B4E" w:rsidRPr="007C544A">
        <w:rPr>
          <w:rFonts w:ascii="Traditional Arabic" w:eastAsiaTheme="minorHAnsi" w:hAnsi="Traditional Arabic" w:cs="Traditional Arabic"/>
          <w:rtl/>
          <w:lang w:bidi="ar-EG"/>
        </w:rPr>
        <w:t xml:space="preserve">: </w:t>
      </w:r>
    </w:p>
    <w:p w:rsidR="000507FF" w:rsidRPr="007C544A" w:rsidRDefault="008305A4" w:rsidP="002D00D3">
      <w:pPr>
        <w:pStyle w:val="NormalWeb"/>
        <w:numPr>
          <w:ilvl w:val="0"/>
          <w:numId w:val="55"/>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التحليل الوصفي للبيانات</w:t>
      </w:r>
      <w:r w:rsidR="00097E72"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w:t>
      </w:r>
    </w:p>
    <w:p w:rsidR="008305A4" w:rsidRPr="007C544A" w:rsidRDefault="00097E72" w:rsidP="002D00D3">
      <w:pPr>
        <w:pStyle w:val="NormalWeb"/>
        <w:numPr>
          <w:ilvl w:val="0"/>
          <w:numId w:val="55"/>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اختبار الفروض. </w:t>
      </w:r>
    </w:p>
    <w:p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ويتناول الباحث كل عنصر من هذه العناصر على النحو التالي</w:t>
      </w:r>
      <w:r w:rsidR="00775B4E" w:rsidRPr="007C544A">
        <w:rPr>
          <w:rFonts w:ascii="Traditional Arabic" w:eastAsiaTheme="minorHAnsi" w:hAnsi="Traditional Arabic" w:cs="Traditional Arabic"/>
          <w:rtl/>
          <w:lang w:bidi="ar-EG"/>
        </w:rPr>
        <w:t xml:space="preserve">: </w:t>
      </w:r>
    </w:p>
    <w:p w:rsidR="008305A4" w:rsidRPr="007C544A" w:rsidRDefault="008305A4" w:rsidP="002D00D3">
      <w:pPr>
        <w:pStyle w:val="NormalWeb"/>
        <w:numPr>
          <w:ilvl w:val="0"/>
          <w:numId w:val="5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التحليل الوصفي للبيانات</w:t>
      </w:r>
      <w:r w:rsidR="00775B4E" w:rsidRPr="007C544A">
        <w:rPr>
          <w:rFonts w:ascii="Traditional Arabic" w:eastAsiaTheme="minorHAnsi" w:hAnsi="Traditional Arabic" w:cs="Traditional Arabic"/>
          <w:b/>
          <w:bCs/>
          <w:sz w:val="28"/>
          <w:szCs w:val="28"/>
          <w:rtl/>
        </w:rPr>
        <w:t xml:space="preserve">: </w:t>
      </w:r>
    </w:p>
    <w:p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قام الباحث بإجراء تحليل وصفي للبيانات باستخدام البرنامج ال</w:t>
      </w:r>
      <w:r w:rsidR="004C5D0F" w:rsidRPr="007C544A">
        <w:rPr>
          <w:rFonts w:ascii="Traditional Arabic" w:eastAsiaTheme="minorHAnsi" w:hAnsi="Traditional Arabic" w:cs="Traditional Arabic"/>
          <w:rtl/>
          <w:lang w:bidi="ar-EG"/>
        </w:rPr>
        <w:t>إحصائي</w:t>
      </w:r>
      <w:r w:rsidR="00D7278E" w:rsidRPr="007C544A">
        <w:rPr>
          <w:rFonts w:ascii="Traditional Arabic" w:eastAsiaTheme="minorHAnsi" w:hAnsi="Traditional Arabic" w:cs="Traditional Arabic"/>
          <w:rtl/>
          <w:lang w:bidi="ar-EG"/>
        </w:rPr>
        <w:t xml:space="preserve"> (</w:t>
      </w:r>
      <w:r w:rsidR="004C5D0F" w:rsidRPr="007C544A">
        <w:rPr>
          <w:rFonts w:ascii="Traditional Arabic" w:eastAsiaTheme="minorHAnsi" w:hAnsi="Traditional Arabic" w:cs="Traditional Arabic"/>
          <w:lang w:bidi="ar-EG"/>
        </w:rPr>
        <w:t>SPSS</w:t>
      </w:r>
      <w:r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لمتغيرات الدراسة وأبعادها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بهدف</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الوقوف على شكل وطبيعة البيانات التعرف على قيم المتوسطات الحسابية والانحرافات المعيارية التي توضح</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المعالم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 xml:space="preserve">ة لمتغيرات الدراسة وفقا </w:t>
      </w:r>
      <w:r w:rsidR="004C5D0F" w:rsidRPr="007C544A">
        <w:rPr>
          <w:rFonts w:ascii="Traditional Arabic" w:eastAsiaTheme="minorHAnsi" w:hAnsi="Traditional Arabic" w:cs="Traditional Arabic"/>
          <w:rtl/>
          <w:lang w:bidi="ar-EG"/>
        </w:rPr>
        <w:t>لآراء</w:t>
      </w:r>
      <w:r w:rsidRPr="007C544A">
        <w:rPr>
          <w:rFonts w:ascii="Traditional Arabic" w:eastAsiaTheme="minorHAnsi" w:hAnsi="Traditional Arabic" w:cs="Traditional Arabic"/>
          <w:rtl/>
          <w:lang w:bidi="ar-EG"/>
        </w:rPr>
        <w:t xml:space="preserve"> العاملين بالشركات السعودية محل الدراسة.</w:t>
      </w:r>
    </w:p>
    <w:p w:rsidR="002824BA" w:rsidRPr="007C544A" w:rsidRDefault="00C25894" w:rsidP="002D00D3">
      <w:pPr>
        <w:pStyle w:val="NormalWeb"/>
        <w:numPr>
          <w:ilvl w:val="0"/>
          <w:numId w:val="5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lang w:bidi="ar-EG"/>
        </w:rPr>
      </w:pPr>
      <w:r w:rsidRPr="007C544A">
        <w:rPr>
          <w:rFonts w:ascii="Traditional Arabic" w:eastAsiaTheme="minorHAnsi" w:hAnsi="Traditional Arabic" w:cs="Traditional Arabic"/>
          <w:b/>
          <w:bCs/>
          <w:sz w:val="28"/>
          <w:szCs w:val="28"/>
          <w:rtl/>
        </w:rPr>
        <w:t>خصائص</w:t>
      </w:r>
      <w:r w:rsidRPr="007C544A">
        <w:rPr>
          <w:rFonts w:ascii="Traditional Arabic" w:eastAsiaTheme="minorHAnsi" w:hAnsi="Traditional Arabic" w:cs="Traditional Arabic"/>
          <w:b/>
          <w:bCs/>
          <w:sz w:val="28"/>
          <w:szCs w:val="28"/>
          <w:rtl/>
          <w:lang w:bidi="ar-EG"/>
        </w:rPr>
        <w:t xml:space="preserve"> عينة الدراسة</w:t>
      </w:r>
      <w:r w:rsidR="00D7278E" w:rsidRPr="007C544A">
        <w:rPr>
          <w:rFonts w:ascii="Traditional Arabic" w:eastAsiaTheme="minorHAnsi" w:hAnsi="Traditional Arabic" w:cs="Traditional Arabic"/>
          <w:b/>
          <w:bCs/>
          <w:sz w:val="28"/>
          <w:szCs w:val="28"/>
          <w:rtl/>
          <w:lang w:bidi="ar-EG"/>
        </w:rPr>
        <w:t xml:space="preserve"> (</w:t>
      </w:r>
      <w:r w:rsidRPr="007C544A">
        <w:rPr>
          <w:rFonts w:ascii="Traditional Arabic" w:eastAsiaTheme="minorHAnsi" w:hAnsi="Traditional Arabic" w:cs="Traditional Arabic"/>
          <w:b/>
          <w:bCs/>
          <w:sz w:val="28"/>
          <w:szCs w:val="28"/>
          <w:rtl/>
          <w:lang w:bidi="ar-EG"/>
        </w:rPr>
        <w:t>الديمغرافية والوظيفية</w:t>
      </w:r>
      <w:r w:rsidR="00D7278E" w:rsidRPr="007C544A">
        <w:rPr>
          <w:rFonts w:ascii="Traditional Arabic" w:eastAsiaTheme="minorHAnsi" w:hAnsi="Traditional Arabic" w:cs="Traditional Arabic"/>
          <w:b/>
          <w:bCs/>
          <w:sz w:val="28"/>
          <w:szCs w:val="28"/>
          <w:rtl/>
          <w:lang w:bidi="ar-EG"/>
        </w:rPr>
        <w:t>)</w:t>
      </w:r>
      <w:r w:rsidR="002824BA" w:rsidRPr="007C544A">
        <w:rPr>
          <w:rFonts w:ascii="Traditional Arabic" w:eastAsiaTheme="minorHAnsi" w:hAnsi="Traditional Arabic" w:cs="Traditional Arabic"/>
          <w:b/>
          <w:bCs/>
          <w:sz w:val="28"/>
          <w:szCs w:val="28"/>
          <w:rtl/>
          <w:lang w:bidi="ar-EG"/>
        </w:rPr>
        <w:t>:</w:t>
      </w:r>
    </w:p>
    <w:p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ويمكن عرض نتائج الدراسة نتائج التحليل الوصفي لمتغيرات الدراسة</w:t>
      </w:r>
      <w:r w:rsidR="002824BA"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كما يلي</w:t>
      </w:r>
      <w:r w:rsidR="00775B4E" w:rsidRPr="007C544A">
        <w:rPr>
          <w:rFonts w:ascii="Traditional Arabic" w:eastAsiaTheme="minorHAnsi" w:hAnsi="Traditional Arabic" w:cs="Traditional Arabic"/>
          <w:rtl/>
          <w:lang w:bidi="ar-EG"/>
        </w:rPr>
        <w:t xml:space="preserve">: </w:t>
      </w:r>
    </w:p>
    <w:p w:rsidR="008305A4" w:rsidRPr="007C544A" w:rsidRDefault="008305A4" w:rsidP="002D00D3">
      <w:pPr>
        <w:pStyle w:val="NormalWeb"/>
        <w:numPr>
          <w:ilvl w:val="0"/>
          <w:numId w:val="6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توزيع مفردات عينة الدراسة</w:t>
      </w:r>
      <w:r w:rsidR="00775B4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الجنس- العمر-</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القسم- سنوات الخبرة-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المؤهل التعليمي).</w:t>
      </w:r>
    </w:p>
    <w:p w:rsidR="008305A4" w:rsidRPr="007C544A" w:rsidRDefault="008305A4" w:rsidP="002D00D3">
      <w:pPr>
        <w:pStyle w:val="NormalWeb"/>
        <w:numPr>
          <w:ilvl w:val="0"/>
          <w:numId w:val="6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حساب التكرارات والنسب المئوية لأفراد عينة الدراسة</w:t>
      </w:r>
      <w:r w:rsidR="002824BA"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وتتمثل في المعلومات الديمغرافية التي تشمل</w:t>
      </w:r>
      <w:r w:rsidR="00775B4E" w:rsidRPr="007C544A">
        <w:rPr>
          <w:rFonts w:ascii="Traditional Arabic" w:eastAsiaTheme="minorHAnsi" w:hAnsi="Traditional Arabic" w:cs="Traditional Arabic"/>
          <w:rtl/>
          <w:lang w:bidi="ar-EG"/>
        </w:rPr>
        <w:t xml:space="preserve">: </w:t>
      </w:r>
    </w:p>
    <w:p w:rsidR="008305A4" w:rsidRPr="007C544A" w:rsidRDefault="008305A4" w:rsidP="002D00D3">
      <w:pPr>
        <w:pStyle w:val="NormalWeb"/>
        <w:numPr>
          <w:ilvl w:val="0"/>
          <w:numId w:val="5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المستوى الوظيفي</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ويشتمل على</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w:t>
      </w:r>
      <w:r w:rsidR="00D6178F" w:rsidRPr="007C544A">
        <w:rPr>
          <w:rFonts w:ascii="Traditional Arabic" w:eastAsiaTheme="minorHAnsi" w:hAnsi="Traditional Arabic" w:cs="Traditional Arabic"/>
          <w:rtl/>
          <w:lang w:bidi="ar-EG"/>
        </w:rPr>
        <w:t>إدارة</w:t>
      </w:r>
      <w:r w:rsidRPr="007C544A">
        <w:rPr>
          <w:rFonts w:ascii="Traditional Arabic" w:eastAsiaTheme="minorHAnsi" w:hAnsi="Traditional Arabic" w:cs="Traditional Arabic"/>
          <w:rtl/>
          <w:lang w:bidi="ar-EG"/>
        </w:rPr>
        <w:t xml:space="preserve"> مختلف الدرجات الوظيفية- وموظفين) ويمكن توضيح تصنيف العينة محل الدراسة</w:t>
      </w:r>
      <w:r w:rsidR="002824BA"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من خلال الجداول والفقرات الآتية</w:t>
      </w:r>
      <w:r w:rsidR="00775B4E" w:rsidRPr="007C544A">
        <w:rPr>
          <w:rFonts w:ascii="Traditional Arabic" w:eastAsiaTheme="minorHAnsi" w:hAnsi="Traditional Arabic" w:cs="Traditional Arabic"/>
          <w:rtl/>
          <w:lang w:bidi="ar-EG"/>
        </w:rPr>
        <w:t xml:space="preserve">: </w:t>
      </w:r>
    </w:p>
    <w:p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سنتطرق</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 xml:space="preserve">دراسة خصائص مبحوثي عينة الدراسة حسب المتغيرات الشخصية. </w:t>
      </w:r>
    </w:p>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4-1)</w:t>
      </w:r>
    </w:p>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 توزيع مبحوث</w:t>
      </w:r>
      <w:r w:rsidR="002824BA" w:rsidRPr="007C544A">
        <w:rPr>
          <w:rFonts w:ascii="Traditional Arabic" w:eastAsiaTheme="minorHAnsi" w:hAnsi="Traditional Arabic" w:cs="Traditional Arabic"/>
          <w:b/>
          <w:bCs/>
          <w:rtl/>
        </w:rPr>
        <w:t>ي</w:t>
      </w:r>
      <w:r w:rsidRPr="007C544A">
        <w:rPr>
          <w:rFonts w:ascii="Traditional Arabic" w:eastAsiaTheme="minorHAnsi" w:hAnsi="Traditional Arabic" w:cs="Traditional Arabic"/>
          <w:b/>
          <w:bCs/>
          <w:rtl/>
        </w:rPr>
        <w:t xml:space="preserve"> عينة الدراسة حسب المتغيرات الديمغرافية </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834"/>
        <w:gridCol w:w="1835"/>
        <w:gridCol w:w="1834"/>
        <w:gridCol w:w="1835"/>
      </w:tblGrid>
      <w:tr w:rsidR="00A464B6" w:rsidRPr="007C544A" w:rsidTr="00867B68">
        <w:trPr>
          <w:trHeight w:val="267"/>
          <w:jc w:val="center"/>
        </w:trPr>
        <w:tc>
          <w:tcPr>
            <w:tcW w:w="1834" w:type="dxa"/>
            <w:tcBorders>
              <w:top w:val="threeDEngrave" w:sz="24" w:space="0" w:color="auto"/>
              <w:bottom w:val="threeDEmboss" w:sz="24" w:space="0" w:color="auto"/>
            </w:tcBorders>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المتغيرات</w:t>
            </w:r>
          </w:p>
        </w:tc>
        <w:tc>
          <w:tcPr>
            <w:tcW w:w="1835" w:type="dxa"/>
            <w:tcBorders>
              <w:top w:val="threeDEngrave" w:sz="24" w:space="0" w:color="auto"/>
              <w:bottom w:val="threeDEmboss" w:sz="24" w:space="0" w:color="auto"/>
            </w:tcBorders>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فئات المتغير</w:t>
            </w:r>
          </w:p>
        </w:tc>
        <w:tc>
          <w:tcPr>
            <w:tcW w:w="1834" w:type="dxa"/>
            <w:tcBorders>
              <w:top w:val="threeDEngrave" w:sz="24" w:space="0" w:color="auto"/>
              <w:bottom w:val="threeDEmboss" w:sz="24" w:space="0" w:color="auto"/>
            </w:tcBorders>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التكرار</w:t>
            </w:r>
          </w:p>
        </w:tc>
        <w:tc>
          <w:tcPr>
            <w:tcW w:w="1835" w:type="dxa"/>
            <w:tcBorders>
              <w:top w:val="threeDEngrave" w:sz="24" w:space="0" w:color="auto"/>
              <w:bottom w:val="threeDEmboss" w:sz="24" w:space="0" w:color="auto"/>
            </w:tcBorders>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النسبة المئوية</w:t>
            </w:r>
          </w:p>
        </w:tc>
      </w:tr>
      <w:tr w:rsidR="00A464B6" w:rsidRPr="007C544A" w:rsidTr="004C5D0F">
        <w:trPr>
          <w:jc w:val="center"/>
        </w:trPr>
        <w:tc>
          <w:tcPr>
            <w:tcW w:w="1834" w:type="dxa"/>
            <w:vMerge w:val="restart"/>
            <w:tcBorders>
              <w:top w:val="threeDEmboss" w:sz="24" w:space="0" w:color="auto"/>
            </w:tcBorders>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الجنس</w:t>
            </w:r>
          </w:p>
        </w:tc>
        <w:tc>
          <w:tcPr>
            <w:tcW w:w="1835" w:type="dxa"/>
            <w:tcBorders>
              <w:top w:val="threeDEmboss" w:sz="24" w:space="0" w:color="auto"/>
            </w:tcBorders>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ذكر</w:t>
            </w:r>
          </w:p>
        </w:tc>
        <w:tc>
          <w:tcPr>
            <w:tcW w:w="1834" w:type="dxa"/>
            <w:tcBorders>
              <w:top w:val="threeDEmboss" w:sz="24" w:space="0" w:color="auto"/>
            </w:tcBorders>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285</w:t>
            </w:r>
          </w:p>
        </w:tc>
        <w:tc>
          <w:tcPr>
            <w:tcW w:w="1835" w:type="dxa"/>
            <w:tcBorders>
              <w:top w:val="threeDEmboss" w:sz="24" w:space="0" w:color="auto"/>
            </w:tcBorders>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100%</w:t>
            </w:r>
          </w:p>
        </w:tc>
      </w:tr>
      <w:tr w:rsidR="00A464B6" w:rsidRPr="007C544A" w:rsidTr="004C5D0F">
        <w:trPr>
          <w:jc w:val="center"/>
        </w:trPr>
        <w:tc>
          <w:tcPr>
            <w:tcW w:w="1834" w:type="dxa"/>
            <w:vMerge/>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أنثى</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0</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0%</w:t>
            </w:r>
          </w:p>
        </w:tc>
      </w:tr>
      <w:tr w:rsidR="00A464B6" w:rsidRPr="007C544A" w:rsidTr="004C5D0F">
        <w:trPr>
          <w:jc w:val="center"/>
        </w:trPr>
        <w:tc>
          <w:tcPr>
            <w:tcW w:w="1834" w:type="dxa"/>
            <w:vMerge w:val="restart"/>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السن</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25-35</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tabs>
                <w:tab w:val="left" w:pos="412"/>
              </w:tabs>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86</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30.2%</w:t>
            </w:r>
          </w:p>
        </w:tc>
      </w:tr>
      <w:tr w:rsidR="00A464B6" w:rsidRPr="007C544A" w:rsidTr="004C5D0F">
        <w:trPr>
          <w:jc w:val="center"/>
        </w:trPr>
        <w:tc>
          <w:tcPr>
            <w:tcW w:w="1834" w:type="dxa"/>
            <w:vMerge/>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36-45 عاما</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157</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55.1%</w:t>
            </w:r>
          </w:p>
        </w:tc>
      </w:tr>
      <w:tr w:rsidR="00A464B6" w:rsidRPr="007C544A" w:rsidTr="004C5D0F">
        <w:trPr>
          <w:jc w:val="center"/>
        </w:trPr>
        <w:tc>
          <w:tcPr>
            <w:tcW w:w="1834" w:type="dxa"/>
            <w:vMerge/>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46–55 عاما</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38</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13.3%</w:t>
            </w:r>
          </w:p>
        </w:tc>
      </w:tr>
      <w:tr w:rsidR="00A464B6" w:rsidRPr="007C544A" w:rsidTr="004C5D0F">
        <w:trPr>
          <w:jc w:val="center"/>
        </w:trPr>
        <w:tc>
          <w:tcPr>
            <w:tcW w:w="1834" w:type="dxa"/>
            <w:vMerge/>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من56 عاما فأكثر</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1.4%</w:t>
            </w:r>
          </w:p>
        </w:tc>
      </w:tr>
      <w:tr w:rsidR="00A464B6" w:rsidRPr="007C544A" w:rsidTr="004C5D0F">
        <w:trPr>
          <w:jc w:val="center"/>
        </w:trPr>
        <w:tc>
          <w:tcPr>
            <w:tcW w:w="1834" w:type="dxa"/>
            <w:vMerge w:val="restart"/>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المؤهل</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مؤهل عال</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278</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97.5%</w:t>
            </w:r>
          </w:p>
        </w:tc>
      </w:tr>
      <w:tr w:rsidR="00A464B6" w:rsidRPr="007C544A" w:rsidTr="004C5D0F">
        <w:trPr>
          <w:jc w:val="center"/>
        </w:trPr>
        <w:tc>
          <w:tcPr>
            <w:tcW w:w="1834" w:type="dxa"/>
            <w:vMerge/>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ماجستير</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1.0%</w:t>
            </w:r>
          </w:p>
        </w:tc>
      </w:tr>
      <w:tr w:rsidR="00A464B6" w:rsidRPr="007C544A" w:rsidTr="004C5D0F">
        <w:trPr>
          <w:jc w:val="center"/>
        </w:trPr>
        <w:tc>
          <w:tcPr>
            <w:tcW w:w="1834" w:type="dxa"/>
            <w:vMerge/>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دكتوراه</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1.5%</w:t>
            </w:r>
          </w:p>
        </w:tc>
      </w:tr>
      <w:tr w:rsidR="00A464B6" w:rsidRPr="007C544A" w:rsidTr="004C5D0F">
        <w:trPr>
          <w:jc w:val="center"/>
        </w:trPr>
        <w:tc>
          <w:tcPr>
            <w:tcW w:w="1834" w:type="dxa"/>
            <w:vMerge w:val="restart"/>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الوظيفة</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w:t>
            </w:r>
            <w:r w:rsidR="00D6178F" w:rsidRPr="007C544A">
              <w:rPr>
                <w:rFonts w:ascii="Traditional Arabic" w:eastAsiaTheme="minorHAnsi" w:hAnsi="Traditional Arabic" w:cs="Traditional Arabic"/>
                <w:rtl/>
                <w:lang w:bidi="ar-EG"/>
              </w:rPr>
              <w:t>إدارة</w:t>
            </w:r>
            <w:r w:rsidRPr="007C544A">
              <w:rPr>
                <w:rFonts w:ascii="Traditional Arabic" w:eastAsiaTheme="minorHAnsi" w:hAnsi="Traditional Arabic" w:cs="Traditional Arabic"/>
                <w:rtl/>
                <w:lang w:bidi="ar-EG"/>
              </w:rPr>
              <w:t xml:space="preserve"> العليا</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32</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11.2%</w:t>
            </w:r>
          </w:p>
        </w:tc>
      </w:tr>
      <w:tr w:rsidR="00A464B6" w:rsidRPr="007C544A" w:rsidTr="004C5D0F">
        <w:trPr>
          <w:jc w:val="center"/>
        </w:trPr>
        <w:tc>
          <w:tcPr>
            <w:tcW w:w="1834" w:type="dxa"/>
            <w:vMerge/>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المالية</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65</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22.8%</w:t>
            </w:r>
          </w:p>
        </w:tc>
      </w:tr>
      <w:tr w:rsidR="00A464B6" w:rsidRPr="007C544A" w:rsidTr="004C5D0F">
        <w:trPr>
          <w:jc w:val="center"/>
        </w:trPr>
        <w:tc>
          <w:tcPr>
            <w:tcW w:w="1834" w:type="dxa"/>
            <w:vMerge/>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التشغيل</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168</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59%</w:t>
            </w:r>
          </w:p>
        </w:tc>
      </w:tr>
      <w:tr w:rsidR="00A464B6" w:rsidRPr="007C544A" w:rsidTr="004C5D0F">
        <w:trPr>
          <w:trHeight w:val="395"/>
          <w:jc w:val="center"/>
        </w:trPr>
        <w:tc>
          <w:tcPr>
            <w:tcW w:w="1834" w:type="dxa"/>
            <w:vMerge/>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rsidR="00A464B6" w:rsidRPr="007C544A" w:rsidRDefault="002824BA"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أخرى</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20</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7%</w:t>
            </w:r>
          </w:p>
        </w:tc>
      </w:tr>
      <w:tr w:rsidR="00A464B6" w:rsidRPr="007C544A" w:rsidTr="004C5D0F">
        <w:trPr>
          <w:jc w:val="center"/>
        </w:trPr>
        <w:tc>
          <w:tcPr>
            <w:tcW w:w="1834" w:type="dxa"/>
            <w:vMerge w:val="restart"/>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سنوات الخبرة</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ما دون 5 سنوات</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35</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12.3%</w:t>
            </w:r>
          </w:p>
        </w:tc>
      </w:tr>
      <w:tr w:rsidR="00A464B6" w:rsidRPr="007C544A" w:rsidTr="004C5D0F">
        <w:trPr>
          <w:jc w:val="center"/>
        </w:trPr>
        <w:tc>
          <w:tcPr>
            <w:tcW w:w="1834" w:type="dxa"/>
            <w:vMerge/>
            <w:shd w:val="clear" w:color="auto" w:fill="D9D9D9" w:themeFill="background1" w:themeFillShade="D9"/>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 سنوات- 10 سنوات</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53</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18.6%</w:t>
            </w:r>
          </w:p>
        </w:tc>
      </w:tr>
      <w:tr w:rsidR="00A464B6" w:rsidRPr="007C544A" w:rsidTr="004C5D0F">
        <w:trPr>
          <w:jc w:val="center"/>
        </w:trPr>
        <w:tc>
          <w:tcPr>
            <w:tcW w:w="1834" w:type="dxa"/>
            <w:vMerge/>
            <w:shd w:val="clear" w:color="auto" w:fill="D9D9D9" w:themeFill="background1" w:themeFillShade="D9"/>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11 سنة- 15 سنة</w:t>
            </w:r>
          </w:p>
        </w:tc>
        <w:tc>
          <w:tcPr>
            <w:tcW w:w="1834"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65</w:t>
            </w:r>
          </w:p>
        </w:tc>
        <w:tc>
          <w:tcPr>
            <w:tcW w:w="1835" w:type="dxa"/>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22.8%</w:t>
            </w:r>
          </w:p>
        </w:tc>
      </w:tr>
      <w:tr w:rsidR="00A464B6" w:rsidRPr="007C544A" w:rsidTr="004C5D0F">
        <w:trPr>
          <w:jc w:val="center"/>
        </w:trPr>
        <w:tc>
          <w:tcPr>
            <w:tcW w:w="1834" w:type="dxa"/>
            <w:vMerge/>
            <w:tcBorders>
              <w:bottom w:val="threeDEngrave" w:sz="24" w:space="0" w:color="auto"/>
            </w:tcBorders>
            <w:shd w:val="clear" w:color="auto" w:fill="D9D9D9" w:themeFill="background1" w:themeFillShade="D9"/>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5" w:type="dxa"/>
            <w:tcBorders>
              <w:bottom w:val="threeDEngrave" w:sz="24" w:space="0" w:color="auto"/>
            </w:tcBorders>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أكثر من 15 سنة</w:t>
            </w:r>
          </w:p>
        </w:tc>
        <w:tc>
          <w:tcPr>
            <w:tcW w:w="1834" w:type="dxa"/>
            <w:tcBorders>
              <w:bottom w:val="threeDEngrave" w:sz="24" w:space="0" w:color="auto"/>
            </w:tcBorders>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132</w:t>
            </w:r>
          </w:p>
        </w:tc>
        <w:tc>
          <w:tcPr>
            <w:tcW w:w="1835" w:type="dxa"/>
            <w:tcBorders>
              <w:bottom w:val="threeDEngrave" w:sz="24" w:space="0" w:color="auto"/>
            </w:tcBorders>
            <w:shd w:val="clear" w:color="auto" w:fill="FFFFFF" w:themeFill="background1"/>
            <w:vAlign w:val="center"/>
          </w:tcPr>
          <w:p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46.3%</w:t>
            </w:r>
          </w:p>
        </w:tc>
      </w:tr>
      <w:tr w:rsidR="00A464B6" w:rsidRPr="007C544A" w:rsidTr="004C5D0F">
        <w:trPr>
          <w:jc w:val="center"/>
        </w:trPr>
        <w:tc>
          <w:tcPr>
            <w:tcW w:w="3669" w:type="dxa"/>
            <w:gridSpan w:val="2"/>
            <w:tcBorders>
              <w:top w:val="threeDEngrave" w:sz="24" w:space="0" w:color="auto"/>
              <w:bottom w:val="threeDEmboss" w:sz="24" w:space="0" w:color="auto"/>
            </w:tcBorders>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المجموع</w:t>
            </w:r>
          </w:p>
        </w:tc>
        <w:tc>
          <w:tcPr>
            <w:tcW w:w="1834" w:type="dxa"/>
            <w:tcBorders>
              <w:top w:val="threeDEngrave" w:sz="24" w:space="0" w:color="auto"/>
              <w:bottom w:val="threeDEmboss" w:sz="24" w:space="0" w:color="auto"/>
            </w:tcBorders>
            <w:shd w:val="clear" w:color="auto" w:fill="D9D9D9" w:themeFill="background1" w:themeFillShade="D9"/>
            <w:vAlign w:val="center"/>
          </w:tcPr>
          <w:p w:rsidR="00A464B6" w:rsidRPr="007C544A" w:rsidRDefault="00A464B6"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285</w:t>
            </w:r>
          </w:p>
        </w:tc>
        <w:tc>
          <w:tcPr>
            <w:tcW w:w="1835" w:type="dxa"/>
            <w:tcBorders>
              <w:top w:val="threeDEngrave" w:sz="24" w:space="0" w:color="auto"/>
              <w:bottom w:val="threeDEmboss" w:sz="24" w:space="0" w:color="auto"/>
            </w:tcBorders>
            <w:shd w:val="clear" w:color="auto" w:fill="D9D9D9" w:themeFill="background1" w:themeFillShade="D9"/>
            <w:vAlign w:val="center"/>
          </w:tcPr>
          <w:p w:rsidR="00A464B6" w:rsidRPr="007C544A" w:rsidRDefault="00A464B6"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100%</w:t>
            </w:r>
          </w:p>
        </w:tc>
      </w:tr>
    </w:tbl>
    <w:p w:rsidR="00A464B6" w:rsidRPr="007C544A" w:rsidRDefault="00A464B6"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يوضح الجدول أن جميع المشاركين في عينة الدراسة من الذكور بنسبة</w:t>
      </w:r>
      <w:r w:rsidR="00303CEE" w:rsidRPr="007C544A">
        <w:rPr>
          <w:rFonts w:ascii="Traditional Arabic" w:hAnsi="Traditional Arabic" w:cs="Traditional Arabic"/>
          <w:sz w:val="24"/>
          <w:szCs w:val="24"/>
          <w:rtl/>
          <w:lang w:bidi="ar-EG"/>
        </w:rPr>
        <w:t xml:space="preserve"> (100%) </w:t>
      </w:r>
      <w:r w:rsidRPr="007C544A">
        <w:rPr>
          <w:rFonts w:ascii="Traditional Arabic" w:hAnsi="Traditional Arabic" w:cs="Traditional Arabic"/>
          <w:sz w:val="24"/>
          <w:szCs w:val="24"/>
          <w:rtl/>
          <w:lang w:bidi="ar-EG"/>
        </w:rPr>
        <w:t>بينما لم تشمل العينة أي مشاركات من الإناث. ويعكس هذا التوزيع الطبيعة الفعلية للقوى العاملة في الشركات محل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يتركز غالبية المناصب القيادية والإدارية في القطاع الذي تم اختياره على الذكور. ويؤكد هذا التوزيع أيضًا أن نتائج الدراسة تعتمد على وجهات نظر القيادات الذكورية داخل هذه الشركات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وهو أمر يجب مراعاته عند تفسير النتائج واستنتاجات البحث</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يوضح توزيع العينة حسب الفئة العمرية أن الغالبية العظمى من المشاركين تتراوح أعمارهم بين </w:t>
      </w:r>
      <w:r w:rsidR="00303CEE" w:rsidRPr="007C544A">
        <w:rPr>
          <w:rFonts w:ascii="Traditional Arabic" w:hAnsi="Traditional Arabic" w:cs="Traditional Arabic"/>
          <w:sz w:val="24"/>
          <w:szCs w:val="24"/>
          <w:rtl/>
          <w:lang w:bidi="ar-EG"/>
        </w:rPr>
        <w:t xml:space="preserve">(36-45) </w:t>
      </w:r>
      <w:r w:rsidRPr="007C544A">
        <w:rPr>
          <w:rFonts w:ascii="Traditional Arabic" w:hAnsi="Traditional Arabic" w:cs="Traditional Arabic"/>
          <w:sz w:val="24"/>
          <w:szCs w:val="24"/>
          <w:rtl/>
          <w:lang w:bidi="ar-EG"/>
        </w:rPr>
        <w:t>عامًا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بلغ عددهم</w:t>
      </w:r>
      <w:r w:rsidR="00303CEE" w:rsidRPr="007C544A">
        <w:rPr>
          <w:rFonts w:ascii="Traditional Arabic" w:hAnsi="Traditional Arabic" w:cs="Traditional Arabic"/>
          <w:sz w:val="24"/>
          <w:szCs w:val="24"/>
          <w:rtl/>
          <w:lang w:bidi="ar-EG"/>
        </w:rPr>
        <w:t xml:space="preserve"> (157) </w:t>
      </w:r>
      <w:r w:rsidRPr="007C544A">
        <w:rPr>
          <w:rFonts w:ascii="Traditional Arabic" w:hAnsi="Traditional Arabic" w:cs="Traditional Arabic"/>
          <w:sz w:val="24"/>
          <w:szCs w:val="24"/>
          <w:rtl/>
          <w:lang w:bidi="ar-EG"/>
        </w:rPr>
        <w:t>فردًا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يمثل نسبة</w:t>
      </w:r>
      <w:r w:rsidR="00303CEE" w:rsidRPr="007C544A">
        <w:rPr>
          <w:rFonts w:ascii="Traditional Arabic" w:hAnsi="Traditional Arabic" w:cs="Traditional Arabic"/>
          <w:sz w:val="24"/>
          <w:szCs w:val="24"/>
          <w:rtl/>
          <w:lang w:bidi="ar-EG"/>
        </w:rPr>
        <w:t xml:space="preserve"> (55.1%) </w:t>
      </w:r>
      <w:r w:rsidRPr="007C544A">
        <w:rPr>
          <w:rFonts w:ascii="Traditional Arabic" w:hAnsi="Traditional Arabic" w:cs="Traditional Arabic"/>
          <w:sz w:val="24"/>
          <w:szCs w:val="24"/>
          <w:rtl/>
          <w:lang w:bidi="ar-EG"/>
        </w:rPr>
        <w:t>من إجمالي العينة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وتدل هذه النتيجة على أن أغلب المشاركين في الدراسة ينتمون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فئة عمرية ناضجة وظيفيًا ومهنيًا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وهي غالبًا الفئة التي تشغل المناصب الوسطى والعليا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وتتسم بالاستقرار الوظيفي والخبرة الممتدة</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تأتي بعد ذلك الفئة العمرية من</w:t>
      </w:r>
      <w:r w:rsidR="00303CEE" w:rsidRPr="007C544A">
        <w:rPr>
          <w:rFonts w:ascii="Traditional Arabic" w:hAnsi="Traditional Arabic" w:cs="Traditional Arabic"/>
          <w:sz w:val="24"/>
          <w:szCs w:val="24"/>
          <w:rtl/>
          <w:lang w:bidi="ar-EG"/>
        </w:rPr>
        <w:t xml:space="preserve"> (25-35) </w:t>
      </w:r>
      <w:r w:rsidRPr="007C544A">
        <w:rPr>
          <w:rFonts w:ascii="Traditional Arabic" w:hAnsi="Traditional Arabic" w:cs="Traditional Arabic"/>
          <w:sz w:val="24"/>
          <w:szCs w:val="24"/>
          <w:rtl/>
          <w:lang w:bidi="ar-EG"/>
        </w:rPr>
        <w:t>عامًا بعدد</w:t>
      </w:r>
      <w:r w:rsidR="00303CEE" w:rsidRPr="007C544A">
        <w:rPr>
          <w:rFonts w:ascii="Traditional Arabic" w:hAnsi="Traditional Arabic" w:cs="Traditional Arabic"/>
          <w:sz w:val="24"/>
          <w:szCs w:val="24"/>
          <w:rtl/>
          <w:lang w:bidi="ar-EG"/>
        </w:rPr>
        <w:t xml:space="preserve"> (86) </w:t>
      </w:r>
      <w:r w:rsidRPr="007C544A">
        <w:rPr>
          <w:rFonts w:ascii="Traditional Arabic" w:hAnsi="Traditional Arabic" w:cs="Traditional Arabic"/>
          <w:sz w:val="24"/>
          <w:szCs w:val="24"/>
          <w:rtl/>
          <w:lang w:bidi="ar-EG"/>
        </w:rPr>
        <w:t>مشاركًا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بنسبة</w:t>
      </w:r>
      <w:r w:rsidR="00303CEE" w:rsidRPr="007C544A">
        <w:rPr>
          <w:rFonts w:ascii="Traditional Arabic" w:hAnsi="Traditional Arabic" w:cs="Traditional Arabic"/>
          <w:sz w:val="24"/>
          <w:szCs w:val="24"/>
          <w:rtl/>
          <w:lang w:bidi="ar-EG"/>
        </w:rPr>
        <w:t xml:space="preserve"> (30.2%) </w:t>
      </w:r>
      <w:r w:rsidRPr="007C544A">
        <w:rPr>
          <w:rFonts w:ascii="Traditional Arabic" w:hAnsi="Traditional Arabic" w:cs="Traditional Arabic"/>
          <w:sz w:val="24"/>
          <w:szCs w:val="24"/>
          <w:rtl/>
          <w:lang w:bidi="ar-EG"/>
        </w:rPr>
        <w:t>ما يشير</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تمثيل جيد للفئات الشابة نسبيًا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التي قد تكون أكثر قابلية للتطور والتفاعل مع التقنيات الحديثة والاتجاهات الإدارية الجديدة</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أما الفئة من</w:t>
      </w:r>
      <w:r w:rsidR="00303CEE" w:rsidRPr="007C544A">
        <w:rPr>
          <w:rFonts w:ascii="Traditional Arabic" w:hAnsi="Traditional Arabic" w:cs="Traditional Arabic"/>
          <w:sz w:val="24"/>
          <w:szCs w:val="24"/>
          <w:rtl/>
          <w:lang w:bidi="ar-EG"/>
        </w:rPr>
        <w:t xml:space="preserve"> (46-55)</w:t>
      </w:r>
      <w:r w:rsidR="003B3BE6"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 فبلغ عددهم</w:t>
      </w:r>
      <w:r w:rsidR="003B3BE6" w:rsidRPr="007C544A">
        <w:rPr>
          <w:rFonts w:ascii="Traditional Arabic" w:hAnsi="Traditional Arabic" w:cs="Traditional Arabic"/>
          <w:sz w:val="24"/>
          <w:szCs w:val="24"/>
          <w:rtl/>
          <w:lang w:bidi="ar-EG"/>
        </w:rPr>
        <w:t xml:space="preserve"> (38) </w:t>
      </w:r>
      <w:r w:rsidRPr="007C544A">
        <w:rPr>
          <w:rFonts w:ascii="Traditional Arabic" w:hAnsi="Traditional Arabic" w:cs="Traditional Arabic"/>
          <w:sz w:val="24"/>
          <w:szCs w:val="24"/>
          <w:rtl/>
          <w:lang w:bidi="ar-EG"/>
        </w:rPr>
        <w:t xml:space="preserve">شخصًا بنسبة </w:t>
      </w:r>
      <w:r w:rsidR="003B3BE6" w:rsidRPr="007C544A">
        <w:rPr>
          <w:rFonts w:ascii="Traditional Arabic" w:hAnsi="Traditional Arabic" w:cs="Traditional Arabic"/>
          <w:sz w:val="24"/>
          <w:szCs w:val="24"/>
          <w:rtl/>
          <w:lang w:bidi="ar-EG"/>
        </w:rPr>
        <w:t xml:space="preserve">(13.3%) </w:t>
      </w:r>
      <w:r w:rsidRPr="007C544A">
        <w:rPr>
          <w:rFonts w:ascii="Traditional Arabic" w:hAnsi="Traditional Arabic" w:cs="Traditional Arabic"/>
          <w:sz w:val="24"/>
          <w:szCs w:val="24"/>
          <w:rtl/>
          <w:lang w:bidi="ar-EG"/>
        </w:rPr>
        <w:t>مما يعكس حضورًا محدودًا نسبيًا لهذه الفئة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التي غالبًا ما تمثل الكوادر العليا أو الاستشارية ذات الخبرات الطويلة</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وأخيرًا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جاءت الفئة من</w:t>
      </w:r>
      <w:r w:rsidR="003B3BE6" w:rsidRPr="007C544A">
        <w:rPr>
          <w:rFonts w:ascii="Traditional Arabic" w:hAnsi="Traditional Arabic" w:cs="Traditional Arabic"/>
          <w:sz w:val="24"/>
          <w:szCs w:val="24"/>
          <w:rtl/>
          <w:lang w:bidi="ar-EG"/>
        </w:rPr>
        <w:t xml:space="preserve"> (56) </w:t>
      </w:r>
      <w:r w:rsidRPr="007C544A">
        <w:rPr>
          <w:rFonts w:ascii="Traditional Arabic" w:hAnsi="Traditional Arabic" w:cs="Traditional Arabic"/>
          <w:sz w:val="24"/>
          <w:szCs w:val="24"/>
          <w:rtl/>
          <w:lang w:bidi="ar-EG"/>
        </w:rPr>
        <w:t>عامًا فأكثر في أدنى نسبة تمثيل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بعدد</w:t>
      </w:r>
      <w:r w:rsidR="003B3BE6" w:rsidRPr="007C544A">
        <w:rPr>
          <w:rFonts w:ascii="Traditional Arabic" w:hAnsi="Traditional Arabic" w:cs="Traditional Arabic"/>
          <w:sz w:val="24"/>
          <w:szCs w:val="24"/>
          <w:rtl/>
          <w:lang w:bidi="ar-EG"/>
        </w:rPr>
        <w:t xml:space="preserve"> (4) </w:t>
      </w:r>
      <w:r w:rsidRPr="007C544A">
        <w:rPr>
          <w:rFonts w:ascii="Traditional Arabic" w:hAnsi="Traditional Arabic" w:cs="Traditional Arabic"/>
          <w:sz w:val="24"/>
          <w:szCs w:val="24"/>
          <w:rtl/>
          <w:lang w:bidi="ar-EG"/>
        </w:rPr>
        <w:t>أفراد فقط بنسبة</w:t>
      </w:r>
      <w:r w:rsidR="003B3BE6" w:rsidRPr="007C544A">
        <w:rPr>
          <w:rFonts w:ascii="Traditional Arabic" w:hAnsi="Traditional Arabic" w:cs="Traditional Arabic"/>
          <w:sz w:val="24"/>
          <w:szCs w:val="24"/>
          <w:rtl/>
          <w:lang w:bidi="ar-EG"/>
        </w:rPr>
        <w:t xml:space="preserve"> (1.4%) </w:t>
      </w:r>
      <w:r w:rsidRPr="007C544A">
        <w:rPr>
          <w:rFonts w:ascii="Traditional Arabic" w:hAnsi="Traditional Arabic" w:cs="Traditional Arabic"/>
          <w:sz w:val="24"/>
          <w:szCs w:val="24"/>
          <w:rtl/>
          <w:lang w:bidi="ar-EG"/>
        </w:rPr>
        <w:t>ما يشير</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قلة عدد العاملين في هذه المرحلة العمرية داخل المؤسسات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وهو أمر منطقي في ضوء التقاعد التدريجي أو التحول نحو الأدوار الاستشارية أو غير الدائمة</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يتضح أن توزيع الفئات العمرية يظهر هيمنة الفئات المتوسطة</w:t>
      </w:r>
      <w:r w:rsidR="003B3BE6" w:rsidRPr="007C544A">
        <w:rPr>
          <w:rFonts w:ascii="Traditional Arabic" w:hAnsi="Traditional Arabic" w:cs="Traditional Arabic"/>
          <w:sz w:val="24"/>
          <w:szCs w:val="24"/>
          <w:rtl/>
          <w:lang w:bidi="ar-EG"/>
        </w:rPr>
        <w:t xml:space="preserve"> (36-45)</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على هيكل القوى العاملة في الشركات محل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ما يدعم وجود توازن بين النضج المهني والقدرة على العطاء</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كما أن وجود نسبة جيدة من الشباب</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25–35) يوفر فرصة للتجديد والتطوير</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بينما تمثل الفئات الأكبر سنًا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46–56 فأكثر) وجودًا أكثر تخصصًا وخبرة</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يتضح توزيع أفراد العينة حسب المستوى التعليمي</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تمثل الغالبية العظمى حملة المؤهل العالي بعدد</w:t>
      </w:r>
      <w:r w:rsidR="003B3BE6" w:rsidRPr="007C544A">
        <w:rPr>
          <w:rFonts w:ascii="Traditional Arabic" w:hAnsi="Traditional Arabic" w:cs="Traditional Arabic"/>
          <w:sz w:val="24"/>
          <w:szCs w:val="24"/>
          <w:rtl/>
          <w:lang w:bidi="ar-EG"/>
        </w:rPr>
        <w:t xml:space="preserve"> (278) </w:t>
      </w:r>
      <w:r w:rsidRPr="007C544A">
        <w:rPr>
          <w:rFonts w:ascii="Traditional Arabic" w:hAnsi="Traditional Arabic" w:cs="Traditional Arabic"/>
          <w:sz w:val="24"/>
          <w:szCs w:val="24"/>
          <w:rtl/>
          <w:lang w:bidi="ar-EG"/>
        </w:rPr>
        <w:t>فردًا وبنسبة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97.5%) ما يعكس هيمنة أصحاب الشهادات الجامعية في بيئة العمل المستهدفة. بينما بلغت نسبة الحاصلين على درجة الماجستير</w:t>
      </w:r>
      <w:r w:rsidR="003B3BE6" w:rsidRPr="007C544A">
        <w:rPr>
          <w:rFonts w:ascii="Traditional Arabic" w:hAnsi="Traditional Arabic" w:cs="Traditional Arabic"/>
          <w:sz w:val="24"/>
          <w:szCs w:val="24"/>
          <w:rtl/>
          <w:lang w:bidi="ar-EG"/>
        </w:rPr>
        <w:t xml:space="preserve"> (3) </w:t>
      </w:r>
      <w:r w:rsidRPr="007C544A">
        <w:rPr>
          <w:rFonts w:ascii="Traditional Arabic" w:hAnsi="Traditional Arabic" w:cs="Traditional Arabic"/>
          <w:sz w:val="24"/>
          <w:szCs w:val="24"/>
          <w:rtl/>
          <w:lang w:bidi="ar-EG"/>
        </w:rPr>
        <w:t>أفراد فقط</w:t>
      </w:r>
      <w:r w:rsidR="003B3BE6" w:rsidRPr="007C544A">
        <w:rPr>
          <w:rFonts w:ascii="Traditional Arabic" w:hAnsi="Traditional Arabic" w:cs="Traditional Arabic"/>
          <w:sz w:val="24"/>
          <w:szCs w:val="24"/>
          <w:rtl/>
          <w:lang w:bidi="ar-EG"/>
        </w:rPr>
        <w:t xml:space="preserve"> (1.0%)، </w:t>
      </w:r>
      <w:r w:rsidRPr="007C544A">
        <w:rPr>
          <w:rFonts w:ascii="Traditional Arabic" w:hAnsi="Traditional Arabic" w:cs="Traditional Arabic"/>
          <w:sz w:val="24"/>
          <w:szCs w:val="24"/>
          <w:rtl/>
          <w:lang w:bidi="ar-EG"/>
        </w:rPr>
        <w:t>في حين بلغ عدد الحاصلين على الدكتوراه</w:t>
      </w:r>
      <w:r w:rsidR="003B3BE6" w:rsidRPr="007C544A">
        <w:rPr>
          <w:rFonts w:ascii="Traditional Arabic" w:hAnsi="Traditional Arabic" w:cs="Traditional Arabic"/>
          <w:sz w:val="24"/>
          <w:szCs w:val="24"/>
          <w:rtl/>
          <w:lang w:bidi="ar-EG"/>
        </w:rPr>
        <w:t xml:space="preserve"> (4) </w:t>
      </w:r>
      <w:r w:rsidRPr="007C544A">
        <w:rPr>
          <w:rFonts w:ascii="Traditional Arabic" w:hAnsi="Traditional Arabic" w:cs="Traditional Arabic"/>
          <w:sz w:val="24"/>
          <w:szCs w:val="24"/>
          <w:rtl/>
          <w:lang w:bidi="ar-EG"/>
        </w:rPr>
        <w:t>أفراد</w:t>
      </w:r>
      <w:r w:rsidR="00D7278E" w:rsidRPr="007C544A">
        <w:rPr>
          <w:rFonts w:ascii="Traditional Arabic" w:hAnsi="Traditional Arabic" w:cs="Traditional Arabic"/>
          <w:sz w:val="24"/>
          <w:szCs w:val="24"/>
          <w:rtl/>
          <w:lang w:bidi="ar-EG"/>
        </w:rPr>
        <w:t xml:space="preserve"> </w:t>
      </w:r>
      <w:r w:rsidR="003B3BE6" w:rsidRPr="007C544A">
        <w:rPr>
          <w:rFonts w:ascii="Traditional Arabic" w:hAnsi="Traditional Arabic" w:cs="Traditional Arabic"/>
          <w:sz w:val="24"/>
          <w:szCs w:val="24"/>
          <w:rtl/>
          <w:lang w:bidi="ar-EG"/>
        </w:rPr>
        <w:t>(1.5%)،</w:t>
      </w:r>
      <w:r w:rsidR="003B3BE6"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وهو يمثل التمثيل الأعلى بين حملة الدراسات العليا ضمن العينة</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يشير هذا التوزيع</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بيئة العمل في الشركات محل الدراسة تعتمد بشكل رئيس على أصحاب المؤهلات الجامعية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مع تمثيل محدود لحملة الدراسات العليا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يعكس طبيعة التوظيف واحتياجات المهارات في هذه الشركات العائلية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كما يوضح أن وجود عدد محدود من حملة الدكتوراه يساهم بتقديم الخبرات المتخصصة والاستشارية في مستوى القيادة العليا</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القسم أو الوظيفة داخل الشركات محل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تمثل الفئة الأكبر من المشاركين في الأقسام التشغيلية بعدد</w:t>
      </w:r>
      <w:r w:rsidR="003B3BE6" w:rsidRPr="007C544A">
        <w:rPr>
          <w:rFonts w:ascii="Traditional Arabic" w:hAnsi="Traditional Arabic" w:cs="Traditional Arabic"/>
          <w:sz w:val="24"/>
          <w:szCs w:val="24"/>
          <w:rtl/>
          <w:lang w:bidi="ar-EG"/>
        </w:rPr>
        <w:t xml:space="preserve"> (168) </w:t>
      </w:r>
      <w:r w:rsidRPr="007C544A">
        <w:rPr>
          <w:rFonts w:ascii="Traditional Arabic" w:hAnsi="Traditional Arabic" w:cs="Traditional Arabic"/>
          <w:sz w:val="24"/>
          <w:szCs w:val="24"/>
          <w:rtl/>
          <w:lang w:bidi="ar-EG"/>
        </w:rPr>
        <w:t>فردًا وبنسبة</w:t>
      </w:r>
      <w:r w:rsidR="003B3BE6" w:rsidRPr="007C544A">
        <w:rPr>
          <w:rFonts w:ascii="Traditional Arabic" w:hAnsi="Traditional Arabic" w:cs="Traditional Arabic"/>
          <w:sz w:val="24"/>
          <w:szCs w:val="24"/>
          <w:rtl/>
          <w:lang w:bidi="ar-EG"/>
        </w:rPr>
        <w:t xml:space="preserve"> (59%)</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مما يعكس </w:t>
      </w:r>
      <w:r w:rsidR="003F6CDC" w:rsidRPr="007C544A">
        <w:rPr>
          <w:rFonts w:ascii="Traditional Arabic" w:hAnsi="Traditional Arabic" w:cs="Traditional Arabic"/>
          <w:sz w:val="24"/>
          <w:szCs w:val="24"/>
          <w:rtl/>
          <w:lang w:bidi="ar-EG"/>
        </w:rPr>
        <w:t>أهمية</w:t>
      </w:r>
      <w:r w:rsidRPr="007C544A">
        <w:rPr>
          <w:rFonts w:ascii="Traditional Arabic" w:hAnsi="Traditional Arabic" w:cs="Traditional Arabic"/>
          <w:sz w:val="24"/>
          <w:szCs w:val="24"/>
          <w:rtl/>
          <w:lang w:bidi="ar-EG"/>
        </w:rPr>
        <w:t xml:space="preserve"> الدور التنفيذي والتشغيلي في هذه الشركات العائلية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يشكل الموظفون التشغيليون العمود الفقري لعمليات الشركة اليومية</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تأتي بعد ذلك الوظائف المالية بعدد</w:t>
      </w:r>
      <w:r w:rsidR="003B3BE6" w:rsidRPr="007C544A">
        <w:rPr>
          <w:rFonts w:ascii="Traditional Arabic" w:hAnsi="Traditional Arabic" w:cs="Traditional Arabic"/>
          <w:sz w:val="24"/>
          <w:szCs w:val="24"/>
          <w:rtl/>
          <w:lang w:bidi="ar-EG"/>
        </w:rPr>
        <w:t xml:space="preserve"> (65) </w:t>
      </w:r>
      <w:r w:rsidRPr="007C544A">
        <w:rPr>
          <w:rFonts w:ascii="Traditional Arabic" w:hAnsi="Traditional Arabic" w:cs="Traditional Arabic"/>
          <w:sz w:val="24"/>
          <w:szCs w:val="24"/>
          <w:rtl/>
          <w:lang w:bidi="ar-EG"/>
        </w:rPr>
        <w:t>فردًا بنسبة</w:t>
      </w:r>
      <w:r w:rsidR="00BC50BF" w:rsidRPr="007C544A">
        <w:rPr>
          <w:rFonts w:ascii="Traditional Arabic" w:hAnsi="Traditional Arabic" w:cs="Traditional Arabic"/>
          <w:sz w:val="24"/>
          <w:szCs w:val="24"/>
          <w:rtl/>
          <w:lang w:bidi="ar-EG"/>
        </w:rPr>
        <w:t xml:space="preserve"> (22.8%)،</w:t>
      </w:r>
      <w:r w:rsidR="00BC50BF"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وهو ما يشير</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وجود تمثيل جيد للكوادر المالية المسؤولة عن ال</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المحاسبية والرقابية والتمويلية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يعزز دقة المعلومات المالية ويتيح تقييم أثر استراتيجية الدمج على المؤشرات المالية</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أما ال</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العليا فتشكل</w:t>
      </w:r>
      <w:r w:rsidR="00BC50BF" w:rsidRPr="007C544A">
        <w:rPr>
          <w:rFonts w:ascii="Traditional Arabic" w:hAnsi="Traditional Arabic" w:cs="Traditional Arabic"/>
          <w:sz w:val="24"/>
          <w:szCs w:val="24"/>
          <w:rtl/>
          <w:lang w:bidi="ar-EG"/>
        </w:rPr>
        <w:t xml:space="preserve"> (11.2%) </w:t>
      </w:r>
      <w:r w:rsidRPr="007C544A">
        <w:rPr>
          <w:rFonts w:ascii="Traditional Arabic" w:hAnsi="Traditional Arabic" w:cs="Traditional Arabic"/>
          <w:sz w:val="24"/>
          <w:szCs w:val="24"/>
          <w:rtl/>
          <w:lang w:bidi="ar-EG"/>
        </w:rPr>
        <w:t>من العينة بعدد</w:t>
      </w:r>
      <w:r w:rsidR="00BC50BF" w:rsidRPr="007C544A">
        <w:rPr>
          <w:rFonts w:ascii="Traditional Arabic" w:hAnsi="Traditional Arabic" w:cs="Traditional Arabic"/>
          <w:sz w:val="24"/>
          <w:szCs w:val="24"/>
          <w:rtl/>
          <w:lang w:bidi="ar-EG"/>
        </w:rPr>
        <w:t xml:space="preserve"> (32) </w:t>
      </w:r>
      <w:r w:rsidRPr="007C544A">
        <w:rPr>
          <w:rFonts w:ascii="Traditional Arabic" w:hAnsi="Traditional Arabic" w:cs="Traditional Arabic"/>
          <w:sz w:val="24"/>
          <w:szCs w:val="24"/>
          <w:rtl/>
          <w:lang w:bidi="ar-EG"/>
        </w:rPr>
        <w:t>فردًا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وهي النسبة التي تمثل القيادات التي تتحمل المسؤولية الاستراتيجية وصنع القرار في الشركات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وهي فئة مهمة لتقييم أثر الدمج على السياسات الإدارية ودخول السوق الموازية</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وأخيرًا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تمثل الفئة </w:t>
      </w:r>
      <w:r w:rsidRPr="007C544A">
        <w:rPr>
          <w:rFonts w:ascii="Traditional Arabic" w:hAnsi="Traditional Arabic" w:cs="Traditional Arabic"/>
          <w:sz w:val="24"/>
          <w:szCs w:val="24"/>
          <w:lang w:bidi="ar-EG"/>
        </w:rPr>
        <w:t>"</w:t>
      </w:r>
      <w:r w:rsidRPr="007C544A">
        <w:rPr>
          <w:rFonts w:ascii="Traditional Arabic" w:hAnsi="Traditional Arabic" w:cs="Traditional Arabic"/>
          <w:sz w:val="24"/>
          <w:szCs w:val="24"/>
          <w:rtl/>
          <w:lang w:bidi="ar-EG"/>
        </w:rPr>
        <w:t>أخرى</w:t>
      </w:r>
      <w:r w:rsidR="00BC50B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نسبة</w:t>
      </w:r>
      <w:r w:rsidR="00BC50BF" w:rsidRPr="007C544A">
        <w:rPr>
          <w:rFonts w:ascii="Traditional Arabic" w:hAnsi="Traditional Arabic" w:cs="Traditional Arabic"/>
          <w:sz w:val="24"/>
          <w:szCs w:val="24"/>
          <w:rtl/>
          <w:lang w:bidi="ar-EG"/>
        </w:rPr>
        <w:t xml:space="preserve"> (7%) </w:t>
      </w:r>
      <w:r w:rsidRPr="007C544A">
        <w:rPr>
          <w:rFonts w:ascii="Traditional Arabic" w:hAnsi="Traditional Arabic" w:cs="Traditional Arabic"/>
          <w:sz w:val="24"/>
          <w:szCs w:val="24"/>
          <w:rtl/>
          <w:lang w:bidi="ar-EG"/>
        </w:rPr>
        <w:t>بعدد</w:t>
      </w:r>
      <w:r w:rsidR="00BC50BF" w:rsidRPr="007C544A">
        <w:rPr>
          <w:rFonts w:ascii="Traditional Arabic" w:hAnsi="Traditional Arabic" w:cs="Traditional Arabic"/>
          <w:sz w:val="24"/>
          <w:szCs w:val="24"/>
          <w:rtl/>
          <w:lang w:bidi="ar-EG"/>
        </w:rPr>
        <w:t xml:space="preserve"> (20) </w:t>
      </w:r>
      <w:r w:rsidRPr="007C544A">
        <w:rPr>
          <w:rFonts w:ascii="Traditional Arabic" w:hAnsi="Traditional Arabic" w:cs="Traditional Arabic"/>
          <w:sz w:val="24"/>
          <w:szCs w:val="24"/>
          <w:rtl/>
          <w:lang w:bidi="ar-EG"/>
        </w:rPr>
        <w:t>فردًا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وتشمل موظفي الدعم الإداري والموارد البشرية والتسويق</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يضيف تنوعًا للعينة ويتيح تمثيلًا واسعًا لمختلف الوظائف داخل الشركات محل الدراسة</w:t>
      </w:r>
      <w:r w:rsidRPr="007C544A">
        <w:rPr>
          <w:rFonts w:ascii="Traditional Arabic" w:hAnsi="Traditional Arabic" w:cs="Traditional Arabic"/>
          <w:sz w:val="24"/>
          <w:szCs w:val="24"/>
          <w:lang w:bidi="ar-EG"/>
        </w:rPr>
        <w:t>.</w:t>
      </w:r>
    </w:p>
    <w:p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يعكس هذا التوزيع تنوع الوظائف داخل العينة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مع تركيز واضح على الكوادر التشغيلية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وهو ما يوفر قاعدة متوازنة لدراسة تأثير استراتيجية دمج الشركات على دخول السوق الموازية مع مراعاة الخبرات المختلفة في المستويات الإدارية والفنية</w:t>
      </w:r>
      <w:r w:rsidRPr="007C544A">
        <w:rPr>
          <w:rFonts w:ascii="Traditional Arabic" w:hAnsi="Traditional Arabic" w:cs="Traditional Arabic"/>
          <w:sz w:val="24"/>
          <w:szCs w:val="24"/>
          <w:lang w:bidi="ar-EG"/>
        </w:rPr>
        <w:t>.</w:t>
      </w:r>
    </w:p>
    <w:p w:rsidR="00A464B6" w:rsidRPr="007C544A" w:rsidRDefault="00A464B6" w:rsidP="002D00D3">
      <w:pPr>
        <w:pStyle w:val="NormalWeb"/>
        <w:numPr>
          <w:ilvl w:val="0"/>
          <w:numId w:val="59"/>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 يتبين أن الفئة الأكبر من العينة تتمثل في من لديهم خبرة "أكثر من </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15</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سنة" بنسبة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46.3%)</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وهو ما يعكس ارتفاع مستوى الخبرة العملية لدى غالبية المشاركين في الدراسة</w:t>
      </w:r>
      <w:r w:rsidRPr="007C544A">
        <w:rPr>
          <w:rFonts w:ascii="Traditional Arabic" w:eastAsiaTheme="minorHAnsi" w:hAnsi="Traditional Arabic" w:cs="Traditional Arabic"/>
          <w:lang w:bidi="ar-EG"/>
        </w:rPr>
        <w:t>.</w:t>
      </w:r>
    </w:p>
    <w:p w:rsidR="00A464B6" w:rsidRPr="007C544A" w:rsidRDefault="00A464B6" w:rsidP="002D00D3">
      <w:pPr>
        <w:pStyle w:val="NormalWeb"/>
        <w:numPr>
          <w:ilvl w:val="0"/>
          <w:numId w:val="59"/>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تليها فئة "11–15 سنة" بنسبة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22.8%) ما يدل على أن ما يقرب من ثلاثة أرباع المشاركين لديهم خبرة تزيد على </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10</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سنوات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أما أصحاب الخبرة الأقل من </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10</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سنوات فقد شكّلوا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12.3%)</w:t>
      </w:r>
      <w:r w:rsidR="00C862E1" w:rsidRPr="007C544A">
        <w:rPr>
          <w:rFonts w:ascii="Traditional Arabic" w:eastAsiaTheme="minorHAnsi" w:hAnsi="Traditional Arabic" w:cs="Traditional Arabic"/>
          <w:rtl/>
          <w:lang w:bidi="ar-EG"/>
        </w:rPr>
        <w:t xml:space="preserve"> و</w:t>
      </w:r>
      <w:r w:rsidR="00D7278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18.5%) على التوالي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وهي نسب أقل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وتدل على أن العينة تضم قلة من حديثي الالتحاق بسوق العمل</w:t>
      </w:r>
      <w:r w:rsidRPr="007C544A">
        <w:rPr>
          <w:rFonts w:ascii="Traditional Arabic" w:eastAsiaTheme="minorHAnsi" w:hAnsi="Traditional Arabic" w:cs="Traditional Arabic"/>
          <w:lang w:bidi="ar-EG"/>
        </w:rPr>
        <w:t>.</w:t>
      </w:r>
    </w:p>
    <w:p w:rsidR="00A464B6" w:rsidRPr="007C544A" w:rsidRDefault="00A464B6" w:rsidP="002D00D3">
      <w:pPr>
        <w:pStyle w:val="NormalWeb"/>
        <w:numPr>
          <w:ilvl w:val="0"/>
          <w:numId w:val="59"/>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وتشير هذه النتائج</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الدراسة استندت</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آراء أفراد يمتلكون خلفية عملية قوية مما يعزز من مصداقية إجاباتهم وتحليلاتهم بشأن موضوع البحث</w:t>
      </w:r>
      <w:r w:rsidR="00FA5E7F" w:rsidRPr="007C544A">
        <w:rPr>
          <w:rFonts w:ascii="Traditional Arabic" w:eastAsiaTheme="minorHAnsi" w:hAnsi="Traditional Arabic" w:cs="Traditional Arabic"/>
          <w:rtl/>
          <w:lang w:bidi="ar-EG"/>
        </w:rPr>
        <w:t xml:space="preserve">. </w:t>
      </w:r>
    </w:p>
    <w:p w:rsidR="00D9214E" w:rsidRPr="007C544A" w:rsidRDefault="00D9214E" w:rsidP="002D00D3">
      <w:pPr>
        <w:pStyle w:val="NormalWeb"/>
        <w:numPr>
          <w:ilvl w:val="0"/>
          <w:numId w:val="57"/>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z w:val="26"/>
          <w:szCs w:val="26"/>
          <w:rtl/>
          <w:lang w:bidi="ar-EG"/>
        </w:rPr>
      </w:pPr>
      <w:r w:rsidRPr="007C544A">
        <w:rPr>
          <w:rFonts w:ascii="Traditional Arabic" w:eastAsiaTheme="minorHAnsi" w:hAnsi="Traditional Arabic" w:cs="Traditional Arabic"/>
          <w:sz w:val="26"/>
          <w:szCs w:val="26"/>
          <w:rtl/>
          <w:lang w:bidi="ar-EG"/>
        </w:rPr>
        <w:t>المتوسطات الحسابية والانحرافات المعيارية لأبعاد الدراسة</w:t>
      </w:r>
      <w:r w:rsidR="00BC50BF" w:rsidRPr="007C544A">
        <w:rPr>
          <w:rFonts w:ascii="Traditional Arabic" w:eastAsiaTheme="minorHAnsi" w:hAnsi="Traditional Arabic" w:cs="Traditional Arabic"/>
          <w:sz w:val="26"/>
          <w:szCs w:val="26"/>
          <w:rtl/>
          <w:lang w:bidi="ar-EG"/>
        </w:rPr>
        <w:t>:</w:t>
      </w:r>
    </w:p>
    <w:p w:rsidR="00D9214E" w:rsidRPr="007C544A" w:rsidRDefault="00D9214E"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حساب المتوسط الحسابي والانحراف المعياري لكل بعد من أبعاد الدراسة</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كما يلي</w:t>
      </w:r>
      <w:r w:rsidR="00775B4E" w:rsidRPr="007C544A">
        <w:rPr>
          <w:rFonts w:ascii="Traditional Arabic" w:eastAsiaTheme="minorHAnsi" w:hAnsi="Traditional Arabic" w:cs="Traditional Arabic"/>
          <w:rtl/>
          <w:lang w:bidi="ar-EG"/>
        </w:rPr>
        <w:t xml:space="preserve">: </w:t>
      </w:r>
    </w:p>
    <w:p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p>
    <w:p w:rsidR="00BB6F01" w:rsidRPr="007C544A" w:rsidRDefault="005C20E0"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lastRenderedPageBreak/>
        <w:t>الأداء</w:t>
      </w:r>
      <w:r w:rsidR="00FF2540" w:rsidRPr="007C544A">
        <w:rPr>
          <w:rFonts w:ascii="Traditional Arabic" w:eastAsiaTheme="minorHAnsi" w:hAnsi="Traditional Arabic" w:cs="Traditional Arabic"/>
          <w:b/>
          <w:bCs/>
          <w:sz w:val="28"/>
          <w:szCs w:val="28"/>
          <w:rtl/>
        </w:rPr>
        <w:t xml:space="preserve"> المالي بعد الدمج</w:t>
      </w:r>
      <w:r w:rsidR="00775B4E" w:rsidRPr="007C544A">
        <w:rPr>
          <w:rFonts w:ascii="Traditional Arabic" w:eastAsiaTheme="minorHAnsi" w:hAnsi="Traditional Arabic" w:cs="Traditional Arabic"/>
          <w:b/>
          <w:bCs/>
          <w:sz w:val="28"/>
          <w:szCs w:val="28"/>
          <w:rtl/>
        </w:rPr>
        <w:t xml:space="preserve">: </w:t>
      </w:r>
    </w:p>
    <w:p w:rsidR="0009235C" w:rsidRPr="007C544A" w:rsidRDefault="0009235C"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F21E52" w:rsidRPr="007C544A">
        <w:rPr>
          <w:rFonts w:ascii="Traditional Arabic" w:eastAsiaTheme="minorHAnsi" w:hAnsi="Traditional Arabic" w:cs="Traditional Arabic"/>
          <w:b/>
          <w:bCs/>
          <w:rtl/>
        </w:rPr>
        <w:t>4-2</w:t>
      </w:r>
      <w:r w:rsidRPr="007C544A">
        <w:rPr>
          <w:rFonts w:ascii="Traditional Arabic" w:eastAsiaTheme="minorHAnsi" w:hAnsi="Traditional Arabic" w:cs="Traditional Arabic"/>
          <w:b/>
          <w:bCs/>
          <w:rtl/>
        </w:rPr>
        <w:t>)</w:t>
      </w:r>
    </w:p>
    <w:p w:rsidR="001653D8" w:rsidRPr="007C544A" w:rsidRDefault="00FF254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المتوسط الحسابي والانحراف المعياري لإجابات عينة الدراسة عن العبارات المتعلقة لبعد </w:t>
      </w:r>
      <w:r w:rsidR="005C20E0" w:rsidRPr="007C544A">
        <w:rPr>
          <w:rFonts w:ascii="Traditional Arabic" w:eastAsiaTheme="minorHAnsi" w:hAnsi="Traditional Arabic" w:cs="Traditional Arabic"/>
          <w:b/>
          <w:bCs/>
          <w:rtl/>
        </w:rPr>
        <w:t>الأداء</w:t>
      </w:r>
      <w:r w:rsidR="001653D8" w:rsidRPr="007C544A">
        <w:rPr>
          <w:rFonts w:ascii="Traditional Arabic" w:eastAsiaTheme="minorHAnsi" w:hAnsi="Traditional Arabic" w:cs="Traditional Arabic"/>
          <w:b/>
          <w:bCs/>
          <w:rtl/>
        </w:rPr>
        <w:t xml:space="preserve"> المالي</w:t>
      </w:r>
    </w:p>
    <w:p w:rsidR="001653D8" w:rsidRPr="007C544A" w:rsidRDefault="00D7278E"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w:t>
      </w:r>
      <w:r w:rsidR="001653D8" w:rsidRPr="007C544A">
        <w:rPr>
          <w:rFonts w:ascii="Traditional Arabic" w:eastAsiaTheme="minorHAnsi" w:hAnsi="Traditional Arabic" w:cs="Traditional Arabic"/>
          <w:b/>
          <w:bCs/>
          <w:rtl/>
        </w:rPr>
        <w:t>ن=285)</w:t>
      </w:r>
    </w:p>
    <w:tbl>
      <w:tblPr>
        <w:tblStyle w:val="TableGrid"/>
        <w:bidiVisual/>
        <w:tblW w:w="845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70"/>
        <w:gridCol w:w="3455"/>
        <w:gridCol w:w="992"/>
        <w:gridCol w:w="993"/>
        <w:gridCol w:w="964"/>
        <w:gridCol w:w="1180"/>
      </w:tblGrid>
      <w:tr w:rsidR="008F11F5" w:rsidRPr="007C544A" w:rsidTr="008D300D">
        <w:trPr>
          <w:jc w:val="center"/>
        </w:trPr>
        <w:tc>
          <w:tcPr>
            <w:tcW w:w="870"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رقم العبارة</w:t>
            </w:r>
          </w:p>
        </w:tc>
        <w:tc>
          <w:tcPr>
            <w:tcW w:w="3455"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العبارة</w:t>
            </w:r>
          </w:p>
        </w:tc>
        <w:tc>
          <w:tcPr>
            <w:tcW w:w="992"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المتوسط الحسابي</w:t>
            </w:r>
          </w:p>
        </w:tc>
        <w:tc>
          <w:tcPr>
            <w:tcW w:w="993"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الانحراف المعياري</w:t>
            </w:r>
          </w:p>
        </w:tc>
        <w:tc>
          <w:tcPr>
            <w:tcW w:w="964"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النسبية</w:t>
            </w:r>
          </w:p>
        </w:tc>
        <w:tc>
          <w:tcPr>
            <w:tcW w:w="1180"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مستوى القبول</w:t>
            </w:r>
          </w:p>
        </w:tc>
      </w:tr>
      <w:tr w:rsidR="008F11F5" w:rsidRPr="007C544A" w:rsidTr="008D300D">
        <w:trPr>
          <w:jc w:val="center"/>
        </w:trPr>
        <w:tc>
          <w:tcPr>
            <w:tcW w:w="870" w:type="dxa"/>
            <w:tcBorders>
              <w:top w:val="threeDEmboss" w:sz="24" w:space="0" w:color="auto"/>
            </w:tcBorders>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F1</w:t>
            </w:r>
          </w:p>
        </w:tc>
        <w:tc>
          <w:tcPr>
            <w:tcW w:w="3455" w:type="dxa"/>
            <w:tcBorders>
              <w:top w:val="threeDEmboss" w:sz="24" w:space="0" w:color="auto"/>
            </w:tcBorders>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ارتفعت الإيرادات المتوقعة بعد الدمج</w:t>
            </w:r>
            <w:r w:rsidRPr="007C544A">
              <w:rPr>
                <w:rFonts w:ascii="Traditional Arabic" w:eastAsia="Times New Roman" w:hAnsi="Traditional Arabic" w:cs="Traditional Arabic"/>
                <w:sz w:val="24"/>
                <w:szCs w:val="24"/>
              </w:rPr>
              <w:t>.</w:t>
            </w:r>
          </w:p>
        </w:tc>
        <w:tc>
          <w:tcPr>
            <w:tcW w:w="992" w:type="dxa"/>
            <w:tcBorders>
              <w:top w:val="threeDEmboss" w:sz="24" w:space="0" w:color="auto"/>
            </w:tcBorders>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4.12</w:t>
            </w:r>
          </w:p>
        </w:tc>
        <w:tc>
          <w:tcPr>
            <w:tcW w:w="993" w:type="dxa"/>
            <w:tcBorders>
              <w:top w:val="threeDEmboss" w:sz="24" w:space="0" w:color="auto"/>
            </w:tcBorders>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0.62</w:t>
            </w:r>
          </w:p>
        </w:tc>
        <w:tc>
          <w:tcPr>
            <w:tcW w:w="964" w:type="dxa"/>
            <w:tcBorders>
              <w:top w:val="threeDEmboss" w:sz="24" w:space="0" w:color="auto"/>
            </w:tcBorders>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82.4</w:t>
            </w:r>
          </w:p>
        </w:tc>
        <w:tc>
          <w:tcPr>
            <w:tcW w:w="1180" w:type="dxa"/>
            <w:tcBorders>
              <w:top w:val="threeDEmboss" w:sz="24" w:space="0" w:color="auto"/>
            </w:tcBorders>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rsidTr="008D300D">
        <w:trPr>
          <w:jc w:val="center"/>
        </w:trPr>
        <w:tc>
          <w:tcPr>
            <w:tcW w:w="870" w:type="dxa"/>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F2</w:t>
            </w:r>
          </w:p>
        </w:tc>
        <w:tc>
          <w:tcPr>
            <w:tcW w:w="3455" w:type="dxa"/>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تحسنت الأرباح الصافية</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4.05</w:t>
            </w:r>
          </w:p>
        </w:tc>
        <w:tc>
          <w:tcPr>
            <w:tcW w:w="993"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0.65</w:t>
            </w:r>
          </w:p>
        </w:tc>
        <w:tc>
          <w:tcPr>
            <w:tcW w:w="964"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81.0</w:t>
            </w:r>
          </w:p>
        </w:tc>
        <w:tc>
          <w:tcPr>
            <w:tcW w:w="1180"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rsidTr="008D300D">
        <w:trPr>
          <w:jc w:val="center"/>
        </w:trPr>
        <w:tc>
          <w:tcPr>
            <w:tcW w:w="870" w:type="dxa"/>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F3</w:t>
            </w:r>
          </w:p>
        </w:tc>
        <w:tc>
          <w:tcPr>
            <w:tcW w:w="3455" w:type="dxa"/>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أصبحت الموارد المالية تُستخدم بكفاءة أعلى</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4.08</w:t>
            </w:r>
          </w:p>
        </w:tc>
        <w:tc>
          <w:tcPr>
            <w:tcW w:w="993"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0.60</w:t>
            </w:r>
          </w:p>
        </w:tc>
        <w:tc>
          <w:tcPr>
            <w:tcW w:w="964"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81.6</w:t>
            </w:r>
          </w:p>
        </w:tc>
        <w:tc>
          <w:tcPr>
            <w:tcW w:w="1180"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rsidTr="008D300D">
        <w:trPr>
          <w:jc w:val="center"/>
        </w:trPr>
        <w:tc>
          <w:tcPr>
            <w:tcW w:w="870" w:type="dxa"/>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F4</w:t>
            </w:r>
          </w:p>
        </w:tc>
        <w:tc>
          <w:tcPr>
            <w:tcW w:w="3455" w:type="dxa"/>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تحسن معدل النمو السنوي للإيرادات</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4.00</w:t>
            </w:r>
          </w:p>
        </w:tc>
        <w:tc>
          <w:tcPr>
            <w:tcW w:w="993"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0.63</w:t>
            </w:r>
          </w:p>
        </w:tc>
        <w:tc>
          <w:tcPr>
            <w:tcW w:w="964"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80.0</w:t>
            </w:r>
          </w:p>
        </w:tc>
        <w:tc>
          <w:tcPr>
            <w:tcW w:w="1180" w:type="dxa"/>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rsidTr="008D300D">
        <w:trPr>
          <w:jc w:val="center"/>
        </w:trPr>
        <w:tc>
          <w:tcPr>
            <w:tcW w:w="870" w:type="dxa"/>
            <w:tcBorders>
              <w:bottom w:val="threeDEngrave" w:sz="24" w:space="0" w:color="auto"/>
            </w:tcBorders>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F5</w:t>
            </w:r>
          </w:p>
        </w:tc>
        <w:tc>
          <w:tcPr>
            <w:tcW w:w="3455" w:type="dxa"/>
            <w:tcBorders>
              <w:bottom w:val="threeDEngrave" w:sz="24" w:space="0" w:color="auto"/>
            </w:tcBorders>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تحسنت مؤشرات السيولة</w:t>
            </w:r>
            <w:r w:rsidRPr="007C544A">
              <w:rPr>
                <w:rFonts w:ascii="Traditional Arabic" w:eastAsia="Times New Roman" w:hAnsi="Traditional Arabic" w:cs="Traditional Arabic"/>
                <w:sz w:val="24"/>
                <w:szCs w:val="24"/>
              </w:rPr>
              <w:t>.</w:t>
            </w:r>
          </w:p>
        </w:tc>
        <w:tc>
          <w:tcPr>
            <w:tcW w:w="992" w:type="dxa"/>
            <w:tcBorders>
              <w:bottom w:val="threeDEngrave" w:sz="24" w:space="0" w:color="auto"/>
            </w:tcBorders>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4.10</w:t>
            </w:r>
          </w:p>
        </w:tc>
        <w:tc>
          <w:tcPr>
            <w:tcW w:w="993" w:type="dxa"/>
            <w:tcBorders>
              <w:bottom w:val="threeDEngrave" w:sz="24" w:space="0" w:color="auto"/>
            </w:tcBorders>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0.58</w:t>
            </w:r>
          </w:p>
        </w:tc>
        <w:tc>
          <w:tcPr>
            <w:tcW w:w="964" w:type="dxa"/>
            <w:tcBorders>
              <w:bottom w:val="threeDEngrave" w:sz="24" w:space="0" w:color="auto"/>
            </w:tcBorders>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82.0</w:t>
            </w:r>
          </w:p>
        </w:tc>
        <w:tc>
          <w:tcPr>
            <w:tcW w:w="1180" w:type="dxa"/>
            <w:tcBorders>
              <w:bottom w:val="threeDEngrave" w:sz="24" w:space="0" w:color="auto"/>
            </w:tcBorders>
            <w:shd w:val="clear" w:color="auto" w:fill="FFFFFF" w:themeFill="background1"/>
            <w:vAlign w:val="center"/>
          </w:tcPr>
          <w:p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7B6DB9" w:rsidRPr="007C544A" w:rsidTr="007B6DB9">
        <w:trPr>
          <w:jc w:val="center"/>
        </w:trPr>
        <w:tc>
          <w:tcPr>
            <w:tcW w:w="4325" w:type="dxa"/>
            <w:gridSpan w:val="2"/>
            <w:tcBorders>
              <w:bottom w:val="threeDEngrave" w:sz="24" w:space="0" w:color="auto"/>
            </w:tcBorders>
            <w:shd w:val="clear" w:color="auto" w:fill="D9D9D9" w:themeFill="background1" w:themeFillShade="D9"/>
            <w:vAlign w:val="center"/>
          </w:tcPr>
          <w:p w:rsidR="007B6DB9" w:rsidRPr="007C544A" w:rsidRDefault="007B6DB9"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المتوسط العام لبعد الأداء المالي</w:t>
            </w:r>
          </w:p>
        </w:tc>
        <w:tc>
          <w:tcPr>
            <w:tcW w:w="992" w:type="dxa"/>
            <w:tcBorders>
              <w:bottom w:val="threeDEngrave" w:sz="24" w:space="0" w:color="auto"/>
            </w:tcBorders>
            <w:shd w:val="clear" w:color="auto" w:fill="D9D9D9" w:themeFill="background1" w:themeFillShade="D9"/>
            <w:vAlign w:val="center"/>
          </w:tcPr>
          <w:p w:rsidR="007B6DB9" w:rsidRPr="007C544A" w:rsidRDefault="007B6DB9" w:rsidP="00706522">
            <w:pPr>
              <w:bidi/>
              <w:spacing w:line="360" w:lineRule="auto"/>
              <w:jc w:val="center"/>
              <w:rPr>
                <w:rFonts w:ascii="Traditional Arabic" w:eastAsia="Times New Roman" w:hAnsi="Traditional Arabic" w:cs="Traditional Arabic"/>
                <w:sz w:val="24"/>
                <w:szCs w:val="24"/>
              </w:rPr>
            </w:pPr>
          </w:p>
        </w:tc>
        <w:tc>
          <w:tcPr>
            <w:tcW w:w="993" w:type="dxa"/>
            <w:tcBorders>
              <w:bottom w:val="threeDEngrave" w:sz="24" w:space="0" w:color="auto"/>
            </w:tcBorders>
            <w:shd w:val="clear" w:color="auto" w:fill="D9D9D9" w:themeFill="background1" w:themeFillShade="D9"/>
            <w:vAlign w:val="center"/>
          </w:tcPr>
          <w:p w:rsidR="007B6DB9" w:rsidRPr="007C544A" w:rsidRDefault="007B6DB9"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4.07</w:t>
            </w:r>
          </w:p>
        </w:tc>
        <w:tc>
          <w:tcPr>
            <w:tcW w:w="964" w:type="dxa"/>
            <w:tcBorders>
              <w:bottom w:val="threeDEngrave" w:sz="24" w:space="0" w:color="auto"/>
            </w:tcBorders>
            <w:shd w:val="clear" w:color="auto" w:fill="D9D9D9" w:themeFill="background1" w:themeFillShade="D9"/>
            <w:vAlign w:val="center"/>
          </w:tcPr>
          <w:p w:rsidR="007B6DB9" w:rsidRPr="007C544A" w:rsidRDefault="007B6DB9"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0.62</w:t>
            </w:r>
          </w:p>
        </w:tc>
        <w:tc>
          <w:tcPr>
            <w:tcW w:w="1180" w:type="dxa"/>
            <w:tcBorders>
              <w:bottom w:val="threeDEngrave" w:sz="24" w:space="0" w:color="auto"/>
            </w:tcBorders>
            <w:shd w:val="clear" w:color="auto" w:fill="D9D9D9" w:themeFill="background1" w:themeFillShade="D9"/>
            <w:vAlign w:val="center"/>
          </w:tcPr>
          <w:p w:rsidR="007B6DB9" w:rsidRPr="007C544A" w:rsidRDefault="007B6DB9"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w:t>
            </w:r>
          </w:p>
        </w:tc>
      </w:tr>
    </w:tbl>
    <w:p w:rsidR="007B6DB9" w:rsidRPr="007C544A" w:rsidRDefault="008029A3"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بلغ المتوسط الحسابي لبعد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4.07) بانحراف 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0.62)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يشير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 xml:space="preserve">مستوى مرتفع من الموافقة لدى أفراد عينة الدراسة على تأثير استراتيجية دمج الشركات على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w:t>
      </w:r>
      <w:r w:rsidRPr="007C544A">
        <w:rPr>
          <w:rFonts w:ascii="Traditional Arabic" w:eastAsiaTheme="minorHAnsi" w:hAnsi="Traditional Arabic" w:cs="Traditional Arabic"/>
          <w:lang w:bidi="ar-EG"/>
        </w:rPr>
        <w:t>.</w:t>
      </w:r>
    </w:p>
    <w:p w:rsidR="00310224" w:rsidRPr="007C544A" w:rsidRDefault="008029A3"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وجاءت أعلى عبارة "ارتفعت الإيرادات المتوقعة بعد الدمج"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4.12)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في حين جاءت أقل عبارة "تحسن معدل النمو السنوي للإيرادات"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تقارب نسبي في استجابات أفراد العينة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تجانس الآراء حول هذا البعد</w:t>
      </w:r>
      <w:r w:rsidRPr="007C544A">
        <w:rPr>
          <w:rFonts w:ascii="Traditional Arabic" w:eastAsiaTheme="minorHAnsi" w:hAnsi="Traditional Arabic" w:cs="Traditional Arabic"/>
          <w:lang w:bidi="ar-EG"/>
        </w:rPr>
        <w:t>.</w:t>
      </w:r>
    </w:p>
    <w:p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rsidR="00063512" w:rsidRPr="007C544A" w:rsidRDefault="00063512"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rsidR="00E00929" w:rsidRPr="007C544A" w:rsidRDefault="00E00929"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rsidR="00E00929" w:rsidRPr="007C544A" w:rsidRDefault="00E00929"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rsidR="00E00929" w:rsidRPr="007C544A" w:rsidRDefault="00E00929"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rsidR="00E00929" w:rsidRPr="007C544A" w:rsidRDefault="00E00929" w:rsidP="00E00929">
      <w:pPr>
        <w:pStyle w:val="NormalWeb"/>
        <w:bidi/>
        <w:spacing w:before="0" w:beforeAutospacing="0" w:after="0" w:afterAutospacing="0" w:line="360" w:lineRule="auto"/>
        <w:jc w:val="both"/>
        <w:rPr>
          <w:rStyle w:val="Strong"/>
          <w:rFonts w:ascii="Traditional Arabic" w:hAnsi="Traditional Arabic" w:cs="Traditional Arabic"/>
          <w:b w:val="0"/>
          <w:bCs w:val="0"/>
          <w:rtl/>
        </w:rPr>
      </w:pPr>
    </w:p>
    <w:p w:rsidR="001653D8" w:rsidRPr="007C544A" w:rsidRDefault="001653D8"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lastRenderedPageBreak/>
        <w:t>النتائج المتعلقة ببعد</w:t>
      </w:r>
      <w:r w:rsidR="00D7278E" w:rsidRPr="007C544A">
        <w:rPr>
          <w:rFonts w:ascii="Traditional Arabic" w:eastAsiaTheme="minorHAnsi" w:hAnsi="Traditional Arabic" w:cs="Traditional Arabic"/>
          <w:b/>
          <w:bCs/>
          <w:sz w:val="28"/>
          <w:szCs w:val="28"/>
          <w:rtl/>
        </w:rPr>
        <w:t xml:space="preserve"> </w:t>
      </w:r>
      <w:r w:rsidRPr="007C544A">
        <w:rPr>
          <w:rFonts w:ascii="Traditional Arabic" w:eastAsiaTheme="minorHAnsi" w:hAnsi="Traditional Arabic" w:cs="Traditional Arabic"/>
          <w:b/>
          <w:bCs/>
          <w:sz w:val="28"/>
          <w:szCs w:val="28"/>
          <w:rtl/>
        </w:rPr>
        <w:t>متطلبات الحوكمة</w:t>
      </w:r>
      <w:r w:rsidR="00775B4E" w:rsidRPr="007C544A">
        <w:rPr>
          <w:rFonts w:ascii="Traditional Arabic" w:eastAsiaTheme="minorHAnsi" w:hAnsi="Traditional Arabic" w:cs="Traditional Arabic"/>
          <w:b/>
          <w:bCs/>
          <w:sz w:val="28"/>
          <w:szCs w:val="28"/>
          <w:rtl/>
        </w:rPr>
        <w:t xml:space="preserve">: </w:t>
      </w:r>
    </w:p>
    <w:p w:rsidR="0009235C" w:rsidRPr="007C544A" w:rsidRDefault="0009235C"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F21E52" w:rsidRPr="007C544A">
        <w:rPr>
          <w:rFonts w:ascii="Traditional Arabic" w:eastAsiaTheme="minorHAnsi" w:hAnsi="Traditional Arabic" w:cs="Traditional Arabic"/>
          <w:b/>
          <w:bCs/>
          <w:rtl/>
        </w:rPr>
        <w:t>4-3</w:t>
      </w:r>
      <w:r w:rsidRPr="007C544A">
        <w:rPr>
          <w:rFonts w:ascii="Traditional Arabic" w:eastAsiaTheme="minorHAnsi" w:hAnsi="Traditional Arabic" w:cs="Traditional Arabic"/>
          <w:b/>
          <w:bCs/>
          <w:rtl/>
        </w:rPr>
        <w:t>)</w:t>
      </w:r>
    </w:p>
    <w:p w:rsidR="001653D8" w:rsidRPr="007C544A" w:rsidRDefault="001653D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 الحسابي والانحراف المعياري لإجابات عينة الدراسة عن العبارات المتعلقة ببعد متطلبات الحوكمة</w:t>
      </w:r>
    </w:p>
    <w:p w:rsidR="001653D8" w:rsidRPr="007C544A" w:rsidRDefault="007B6DB9"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 </w:t>
      </w:r>
      <w:r w:rsidR="00D7278E" w:rsidRPr="007C544A">
        <w:rPr>
          <w:rFonts w:ascii="Traditional Arabic" w:eastAsiaTheme="minorHAnsi" w:hAnsi="Traditional Arabic" w:cs="Traditional Arabic"/>
          <w:b/>
          <w:bCs/>
          <w:rtl/>
        </w:rPr>
        <w:t>(</w:t>
      </w:r>
      <w:r w:rsidR="001653D8" w:rsidRPr="007C544A">
        <w:rPr>
          <w:rFonts w:ascii="Traditional Arabic" w:eastAsiaTheme="minorHAnsi" w:hAnsi="Traditional Arabic" w:cs="Traditional Arabic"/>
          <w:b/>
          <w:bCs/>
          <w:rtl/>
        </w:rPr>
        <w:t>ن=285)</w:t>
      </w:r>
    </w:p>
    <w:tbl>
      <w:tblPr>
        <w:tblStyle w:val="TableGrid"/>
        <w:bidiVisual/>
        <w:tblW w:w="8992"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55"/>
        <w:gridCol w:w="3671"/>
        <w:gridCol w:w="1116"/>
        <w:gridCol w:w="1117"/>
        <w:gridCol w:w="1116"/>
        <w:gridCol w:w="1117"/>
      </w:tblGrid>
      <w:tr w:rsidR="008F11F5" w:rsidRPr="007C544A" w:rsidTr="008D300D">
        <w:trPr>
          <w:jc w:val="center"/>
        </w:trPr>
        <w:tc>
          <w:tcPr>
            <w:tcW w:w="855"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رقم العبارة</w:t>
            </w:r>
          </w:p>
        </w:tc>
        <w:tc>
          <w:tcPr>
            <w:tcW w:w="3671"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العبارة</w:t>
            </w:r>
          </w:p>
        </w:tc>
        <w:tc>
          <w:tcPr>
            <w:tcW w:w="1116"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المتوسط الحسابي</w:t>
            </w:r>
          </w:p>
        </w:tc>
        <w:tc>
          <w:tcPr>
            <w:tcW w:w="1117"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الانحراف المعياري</w:t>
            </w:r>
          </w:p>
        </w:tc>
        <w:tc>
          <w:tcPr>
            <w:tcW w:w="1116"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النسبية</w:t>
            </w:r>
          </w:p>
        </w:tc>
        <w:tc>
          <w:tcPr>
            <w:tcW w:w="1117" w:type="dxa"/>
            <w:tcBorders>
              <w:top w:val="threeDEngrave" w:sz="24" w:space="0" w:color="auto"/>
              <w:bottom w:val="threeDEmboss" w:sz="24" w:space="0" w:color="auto"/>
            </w:tcBorders>
            <w:shd w:val="clear" w:color="auto" w:fill="D9D9D9" w:themeFill="background1" w:themeFillShade="D9"/>
            <w:vAlign w:val="center"/>
          </w:tcPr>
          <w:p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مستوى القبول</w:t>
            </w:r>
          </w:p>
        </w:tc>
      </w:tr>
      <w:tr w:rsidR="008F11F5" w:rsidRPr="007C544A" w:rsidTr="008D300D">
        <w:trPr>
          <w:jc w:val="center"/>
        </w:trPr>
        <w:tc>
          <w:tcPr>
            <w:tcW w:w="855" w:type="dxa"/>
            <w:tcBorders>
              <w:top w:val="threeDEmboss" w:sz="24" w:space="0" w:color="auto"/>
            </w:tcBorders>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G1</w:t>
            </w:r>
          </w:p>
        </w:tc>
        <w:tc>
          <w:tcPr>
            <w:tcW w:w="3671" w:type="dxa"/>
            <w:tcBorders>
              <w:top w:val="threeDEmboss" w:sz="24" w:space="0" w:color="auto"/>
            </w:tcBorders>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هياكل الحوكمة الحالية بالشركتين تُلبي متطلبات 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سوق نمو</w:t>
            </w:r>
            <w:r w:rsidRPr="007C544A">
              <w:rPr>
                <w:rFonts w:ascii="Traditional Arabic" w:eastAsia="Times New Roman" w:hAnsi="Traditional Arabic" w:cs="Traditional Arabic"/>
                <w:sz w:val="24"/>
                <w:szCs w:val="24"/>
              </w:rPr>
              <w:t>.</w:t>
            </w:r>
          </w:p>
        </w:tc>
        <w:tc>
          <w:tcPr>
            <w:tcW w:w="1116" w:type="dxa"/>
            <w:tcBorders>
              <w:top w:val="threeDEmboss" w:sz="24" w:space="0" w:color="auto"/>
            </w:tcBorders>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3.85</w:t>
            </w:r>
          </w:p>
        </w:tc>
        <w:tc>
          <w:tcPr>
            <w:tcW w:w="1117" w:type="dxa"/>
            <w:tcBorders>
              <w:top w:val="threeDEmboss" w:sz="24" w:space="0" w:color="auto"/>
            </w:tcBorders>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0.72</w:t>
            </w:r>
          </w:p>
        </w:tc>
        <w:tc>
          <w:tcPr>
            <w:tcW w:w="1116" w:type="dxa"/>
            <w:tcBorders>
              <w:top w:val="threeDEmboss" w:sz="24" w:space="0" w:color="auto"/>
            </w:tcBorders>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77.0</w:t>
            </w:r>
          </w:p>
        </w:tc>
        <w:tc>
          <w:tcPr>
            <w:tcW w:w="1117" w:type="dxa"/>
            <w:tcBorders>
              <w:top w:val="threeDEmboss" w:sz="24" w:space="0" w:color="auto"/>
            </w:tcBorders>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rsidTr="008D300D">
        <w:trPr>
          <w:jc w:val="center"/>
        </w:trPr>
        <w:tc>
          <w:tcPr>
            <w:tcW w:w="855" w:type="dxa"/>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G2</w:t>
            </w:r>
          </w:p>
        </w:tc>
        <w:tc>
          <w:tcPr>
            <w:tcW w:w="3671" w:type="dxa"/>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تتوافر سياسات واضحة للشفافية والإفصاح المالي اللازمة لل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Pr>
              <w:t>.</w:t>
            </w:r>
          </w:p>
        </w:tc>
        <w:tc>
          <w:tcPr>
            <w:tcW w:w="1116" w:type="dxa"/>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3.92</w:t>
            </w:r>
          </w:p>
        </w:tc>
        <w:tc>
          <w:tcPr>
            <w:tcW w:w="1117" w:type="dxa"/>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0.68</w:t>
            </w:r>
          </w:p>
        </w:tc>
        <w:tc>
          <w:tcPr>
            <w:tcW w:w="1116" w:type="dxa"/>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78.4</w:t>
            </w:r>
          </w:p>
        </w:tc>
        <w:tc>
          <w:tcPr>
            <w:tcW w:w="1117" w:type="dxa"/>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rsidTr="008D300D">
        <w:trPr>
          <w:jc w:val="center"/>
        </w:trPr>
        <w:tc>
          <w:tcPr>
            <w:tcW w:w="855" w:type="dxa"/>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G3</w:t>
            </w:r>
          </w:p>
        </w:tc>
        <w:tc>
          <w:tcPr>
            <w:tcW w:w="3671" w:type="dxa"/>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نظم الرقابة الداخلية والتدقيق في الشركتين كافية لمتطلبات السوق الموازي</w:t>
            </w:r>
            <w:r w:rsidRPr="007C544A">
              <w:rPr>
                <w:rFonts w:ascii="Traditional Arabic" w:eastAsia="Times New Roman" w:hAnsi="Traditional Arabic" w:cs="Traditional Arabic"/>
                <w:sz w:val="24"/>
                <w:szCs w:val="24"/>
              </w:rPr>
              <w:t>.</w:t>
            </w:r>
          </w:p>
        </w:tc>
        <w:tc>
          <w:tcPr>
            <w:tcW w:w="1116" w:type="dxa"/>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3.88</w:t>
            </w:r>
          </w:p>
        </w:tc>
        <w:tc>
          <w:tcPr>
            <w:tcW w:w="1117" w:type="dxa"/>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0.70</w:t>
            </w:r>
          </w:p>
        </w:tc>
        <w:tc>
          <w:tcPr>
            <w:tcW w:w="1116" w:type="dxa"/>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77.6</w:t>
            </w:r>
          </w:p>
        </w:tc>
        <w:tc>
          <w:tcPr>
            <w:tcW w:w="1117" w:type="dxa"/>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rsidTr="008D300D">
        <w:trPr>
          <w:jc w:val="center"/>
        </w:trPr>
        <w:tc>
          <w:tcPr>
            <w:tcW w:w="855" w:type="dxa"/>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G4</w:t>
            </w:r>
          </w:p>
        </w:tc>
        <w:tc>
          <w:tcPr>
            <w:tcW w:w="3671" w:type="dxa"/>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هناك مخطط زمني لتطوير الحوكمة استعدادًا لل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Pr>
              <w:t>.</w:t>
            </w:r>
          </w:p>
        </w:tc>
        <w:tc>
          <w:tcPr>
            <w:tcW w:w="1116" w:type="dxa"/>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3.80</w:t>
            </w:r>
          </w:p>
        </w:tc>
        <w:tc>
          <w:tcPr>
            <w:tcW w:w="1117" w:type="dxa"/>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0.74</w:t>
            </w:r>
          </w:p>
        </w:tc>
        <w:tc>
          <w:tcPr>
            <w:tcW w:w="1116" w:type="dxa"/>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76.0</w:t>
            </w:r>
          </w:p>
        </w:tc>
        <w:tc>
          <w:tcPr>
            <w:tcW w:w="1117" w:type="dxa"/>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rsidTr="008D300D">
        <w:trPr>
          <w:jc w:val="center"/>
        </w:trPr>
        <w:tc>
          <w:tcPr>
            <w:tcW w:w="855" w:type="dxa"/>
            <w:tcBorders>
              <w:bottom w:val="threeDEngrave" w:sz="24" w:space="0" w:color="auto"/>
            </w:tcBorders>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G5</w:t>
            </w:r>
          </w:p>
        </w:tc>
        <w:tc>
          <w:tcPr>
            <w:tcW w:w="3671" w:type="dxa"/>
            <w:tcBorders>
              <w:bottom w:val="threeDEngrave" w:sz="24" w:space="0" w:color="auto"/>
            </w:tcBorders>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الموظفون وال</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مدركون لمتطلبات الحوكمة ومتعاونون لتنفيذها</w:t>
            </w:r>
            <w:r w:rsidRPr="007C544A">
              <w:rPr>
                <w:rFonts w:ascii="Traditional Arabic" w:eastAsia="Times New Roman" w:hAnsi="Traditional Arabic" w:cs="Traditional Arabic"/>
                <w:sz w:val="24"/>
                <w:szCs w:val="24"/>
              </w:rPr>
              <w:t>.</w:t>
            </w:r>
          </w:p>
        </w:tc>
        <w:tc>
          <w:tcPr>
            <w:tcW w:w="1116" w:type="dxa"/>
            <w:tcBorders>
              <w:bottom w:val="threeDEngrave" w:sz="24" w:space="0" w:color="auto"/>
            </w:tcBorders>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3.90</w:t>
            </w:r>
          </w:p>
        </w:tc>
        <w:tc>
          <w:tcPr>
            <w:tcW w:w="1117" w:type="dxa"/>
            <w:tcBorders>
              <w:bottom w:val="threeDEngrave" w:sz="24" w:space="0" w:color="auto"/>
            </w:tcBorders>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0.69</w:t>
            </w:r>
          </w:p>
        </w:tc>
        <w:tc>
          <w:tcPr>
            <w:tcW w:w="1116" w:type="dxa"/>
            <w:tcBorders>
              <w:bottom w:val="threeDEngrave" w:sz="24" w:space="0" w:color="auto"/>
            </w:tcBorders>
            <w:shd w:val="clear" w:color="auto" w:fill="FFFFFF" w:themeFill="background1"/>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78.0</w:t>
            </w:r>
          </w:p>
        </w:tc>
        <w:tc>
          <w:tcPr>
            <w:tcW w:w="1117" w:type="dxa"/>
            <w:tcBorders>
              <w:bottom w:val="threeDEngrave" w:sz="24" w:space="0" w:color="auto"/>
            </w:tcBorders>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rsidTr="008D300D">
        <w:trPr>
          <w:jc w:val="center"/>
        </w:trPr>
        <w:tc>
          <w:tcPr>
            <w:tcW w:w="4526" w:type="dxa"/>
            <w:gridSpan w:val="2"/>
            <w:tcBorders>
              <w:top w:val="threeDEngrave" w:sz="24" w:space="0" w:color="auto"/>
              <w:bottom w:val="threeDEmboss" w:sz="24" w:space="0" w:color="auto"/>
            </w:tcBorders>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المتوسط العام لبعد متطلبات الحوكمة</w:t>
            </w:r>
          </w:p>
        </w:tc>
        <w:tc>
          <w:tcPr>
            <w:tcW w:w="1116" w:type="dxa"/>
            <w:tcBorders>
              <w:top w:val="threeDEngrave" w:sz="24" w:space="0" w:color="auto"/>
              <w:bottom w:val="threeDEmboss" w:sz="24" w:space="0" w:color="auto"/>
            </w:tcBorders>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3.87</w:t>
            </w:r>
          </w:p>
        </w:tc>
        <w:tc>
          <w:tcPr>
            <w:tcW w:w="1117" w:type="dxa"/>
            <w:tcBorders>
              <w:top w:val="threeDEngrave" w:sz="24" w:space="0" w:color="auto"/>
              <w:bottom w:val="threeDEmboss" w:sz="24" w:space="0" w:color="auto"/>
            </w:tcBorders>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0.70</w:t>
            </w:r>
          </w:p>
        </w:tc>
        <w:tc>
          <w:tcPr>
            <w:tcW w:w="1116" w:type="dxa"/>
            <w:tcBorders>
              <w:top w:val="threeDEngrave" w:sz="24" w:space="0" w:color="auto"/>
              <w:bottom w:val="threeDEmboss" w:sz="24" w:space="0" w:color="auto"/>
            </w:tcBorders>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w:t>
            </w:r>
          </w:p>
        </w:tc>
        <w:tc>
          <w:tcPr>
            <w:tcW w:w="1117" w:type="dxa"/>
            <w:tcBorders>
              <w:top w:val="threeDEngrave" w:sz="24" w:space="0" w:color="auto"/>
              <w:bottom w:val="threeDEmboss" w:sz="24" w:space="0" w:color="auto"/>
            </w:tcBorders>
            <w:shd w:val="clear" w:color="auto" w:fill="D9D9D9" w:themeFill="background1" w:themeFillShade="D9"/>
            <w:vAlign w:val="center"/>
          </w:tcPr>
          <w:p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w:t>
            </w:r>
          </w:p>
        </w:tc>
      </w:tr>
    </w:tbl>
    <w:p w:rsidR="008D300D" w:rsidRPr="007C544A" w:rsidRDefault="008029A3"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بلغ المتوسط الحسابي لبعد متطلبات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3.87) بانحراف 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وجاءت أعلى عبارة</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تتوافر سياسات واضحة للشفافية والإفصاح المالي اللازمة لل</w:t>
      </w:r>
      <w:r w:rsidR="000544F4" w:rsidRPr="007C544A">
        <w:rPr>
          <w:rFonts w:ascii="Traditional Arabic" w:eastAsiaTheme="minorHAnsi" w:hAnsi="Traditional Arabic" w:cs="Traditional Arabic"/>
          <w:rtl/>
          <w:lang w:bidi="ar-EG"/>
        </w:rPr>
        <w:t>إدراج</w:t>
      </w:r>
      <w:r w:rsidR="0028749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3.92)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في حين جاءت أقل عبارة </w:t>
      </w:r>
      <w:r w:rsidR="0028749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هناك مخطط زمني لتطوير الحوكمة استعدادًا لل</w:t>
      </w:r>
      <w:r w:rsidR="000544F4" w:rsidRPr="007C544A">
        <w:rPr>
          <w:rFonts w:ascii="Traditional Arabic" w:eastAsiaTheme="minorHAnsi" w:hAnsi="Traditional Arabic" w:cs="Traditional Arabic"/>
          <w:rtl/>
          <w:lang w:bidi="ar-EG"/>
        </w:rPr>
        <w:t>إدراج</w:t>
      </w:r>
      <w:r w:rsidR="0028749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بمتوسط</w:t>
      </w:r>
      <w:r w:rsidR="008D300D" w:rsidRPr="007C544A">
        <w:rPr>
          <w:rFonts w:ascii="Traditional Arabic" w:eastAsiaTheme="minorHAnsi" w:hAnsi="Traditional Arabic" w:cs="Traditional Arabic"/>
          <w:rtl/>
          <w:lang w:bidi="ar-EG"/>
        </w:rPr>
        <w:t xml:space="preserve"> (3.80).</w:t>
      </w:r>
    </w:p>
    <w:p w:rsidR="006842AB" w:rsidRPr="007C544A" w:rsidRDefault="008029A3"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Fonts w:ascii="Traditional Arabic" w:eastAsiaTheme="minorHAnsi" w:hAnsi="Traditional Arabic" w:cs="Traditional Arabic"/>
          <w:rtl/>
          <w:lang w:bidi="ar-EG"/>
        </w:rPr>
        <w:t>ويشير ذلك</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مستوى توافر متطلبات الحوكمة لدى الشركات محل الدراسة جاء بمستوى متوسط يميل</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الارتفاع</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وجود التزام نسبي بعناصر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الحاجة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تعزيز التخطيط المؤسسي المستقبلي</w:t>
      </w:r>
      <w:r w:rsidR="006842AB" w:rsidRPr="007C544A">
        <w:rPr>
          <w:rFonts w:ascii="Traditional Arabic" w:eastAsiaTheme="minorHAnsi" w:hAnsi="Traditional Arabic" w:cs="Traditional Arabic"/>
          <w:lang w:bidi="ar-EG"/>
        </w:rPr>
        <w:t>.</w:t>
      </w:r>
    </w:p>
    <w:p w:rsidR="0095325F" w:rsidRPr="007C544A" w:rsidRDefault="0095325F" w:rsidP="00706522">
      <w:pPr>
        <w:spacing w:after="0" w:line="360" w:lineRule="auto"/>
        <w:rPr>
          <w:rFonts w:ascii="Simplified Arabic" w:hAnsi="Simplified Arabic" w:cs="Simplified Arabic"/>
          <w:sz w:val="30"/>
          <w:szCs w:val="30"/>
          <w:rtl/>
        </w:rPr>
      </w:pPr>
      <w:r w:rsidRPr="007C544A">
        <w:rPr>
          <w:rFonts w:ascii="Simplified Arabic" w:hAnsi="Simplified Arabic" w:cs="Simplified Arabic"/>
          <w:sz w:val="30"/>
          <w:szCs w:val="30"/>
          <w:rtl/>
        </w:rPr>
        <w:br w:type="page"/>
      </w:r>
    </w:p>
    <w:p w:rsidR="00CA7DAD" w:rsidRPr="007C544A" w:rsidRDefault="00CA7DAD"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lastRenderedPageBreak/>
        <w:t>النتائج المتعلقة ببعد</w:t>
      </w:r>
      <w:r w:rsidR="00D7278E" w:rsidRPr="007C544A">
        <w:rPr>
          <w:rFonts w:ascii="Traditional Arabic" w:eastAsiaTheme="minorHAnsi" w:hAnsi="Traditional Arabic" w:cs="Traditional Arabic"/>
          <w:b/>
          <w:bCs/>
          <w:sz w:val="28"/>
          <w:szCs w:val="28"/>
          <w:rtl/>
        </w:rPr>
        <w:t xml:space="preserve"> </w:t>
      </w:r>
      <w:r w:rsidRPr="007C544A">
        <w:rPr>
          <w:rFonts w:ascii="Traditional Arabic" w:eastAsiaTheme="minorHAnsi" w:hAnsi="Traditional Arabic" w:cs="Traditional Arabic"/>
          <w:b/>
          <w:bCs/>
          <w:sz w:val="28"/>
          <w:szCs w:val="28"/>
          <w:rtl/>
        </w:rPr>
        <w:t>تعزيز القدرة التنافسية</w:t>
      </w:r>
      <w:r w:rsidR="00775B4E" w:rsidRPr="007C544A">
        <w:rPr>
          <w:rFonts w:ascii="Traditional Arabic" w:eastAsiaTheme="minorHAnsi" w:hAnsi="Traditional Arabic" w:cs="Traditional Arabic"/>
          <w:b/>
          <w:bCs/>
          <w:sz w:val="28"/>
          <w:szCs w:val="28"/>
          <w:rtl/>
        </w:rPr>
        <w:t xml:space="preserve">: </w:t>
      </w:r>
    </w:p>
    <w:p w:rsidR="0009235C" w:rsidRPr="007C544A" w:rsidRDefault="0009235C"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F21E52" w:rsidRPr="007C544A">
        <w:rPr>
          <w:rFonts w:ascii="Traditional Arabic" w:eastAsiaTheme="minorHAnsi" w:hAnsi="Traditional Arabic" w:cs="Traditional Arabic"/>
          <w:b/>
          <w:bCs/>
          <w:rtl/>
        </w:rPr>
        <w:t>4-4</w:t>
      </w:r>
      <w:r w:rsidRPr="007C544A">
        <w:rPr>
          <w:rFonts w:ascii="Traditional Arabic" w:eastAsiaTheme="minorHAnsi" w:hAnsi="Traditional Arabic" w:cs="Traditional Arabic"/>
          <w:b/>
          <w:bCs/>
          <w:rtl/>
        </w:rPr>
        <w:t>)</w:t>
      </w:r>
    </w:p>
    <w:p w:rsidR="00CA7DAD" w:rsidRPr="007C544A" w:rsidRDefault="00CA7DA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 الحسابي والانحراف المعياري لإجابات عينة الدراسة عن العبارات المتعلقة ببعد القدرة التنافسية</w:t>
      </w:r>
    </w:p>
    <w:p w:rsidR="0009235C" w:rsidRPr="007C544A" w:rsidRDefault="00D7278E"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w:t>
      </w:r>
      <w:r w:rsidR="0009235C" w:rsidRPr="007C544A">
        <w:rPr>
          <w:rFonts w:ascii="Traditional Arabic" w:eastAsiaTheme="minorHAnsi" w:hAnsi="Traditional Arabic" w:cs="Traditional Arabic"/>
          <w:b/>
          <w:bCs/>
          <w:rtl/>
        </w:rPr>
        <w:t>ن=285)</w:t>
      </w:r>
    </w:p>
    <w:tbl>
      <w:tblPr>
        <w:tblStyle w:val="TableGrid"/>
        <w:bidiVisual/>
        <w:tblW w:w="881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05"/>
        <w:gridCol w:w="3785"/>
        <w:gridCol w:w="992"/>
        <w:gridCol w:w="993"/>
        <w:gridCol w:w="964"/>
        <w:gridCol w:w="1180"/>
      </w:tblGrid>
      <w:tr w:rsidR="008F11F5" w:rsidRPr="007C544A" w:rsidTr="007B6DB9">
        <w:trPr>
          <w:jc w:val="center"/>
        </w:trPr>
        <w:tc>
          <w:tcPr>
            <w:tcW w:w="905" w:type="dxa"/>
            <w:tcBorders>
              <w:top w:val="threeDEngrave" w:sz="24" w:space="0" w:color="auto"/>
              <w:bottom w:val="threeDEmboss" w:sz="24" w:space="0" w:color="auto"/>
            </w:tcBorders>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رقم العبارة</w:t>
            </w:r>
          </w:p>
        </w:tc>
        <w:tc>
          <w:tcPr>
            <w:tcW w:w="3785" w:type="dxa"/>
            <w:tcBorders>
              <w:top w:val="threeDEngrave" w:sz="24" w:space="0" w:color="auto"/>
              <w:bottom w:val="threeDEmboss" w:sz="24" w:space="0" w:color="auto"/>
            </w:tcBorders>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العبارة</w:t>
            </w:r>
          </w:p>
        </w:tc>
        <w:tc>
          <w:tcPr>
            <w:tcW w:w="992" w:type="dxa"/>
            <w:tcBorders>
              <w:top w:val="threeDEngrave" w:sz="24" w:space="0" w:color="auto"/>
              <w:bottom w:val="threeDEmboss" w:sz="24" w:space="0" w:color="auto"/>
            </w:tcBorders>
            <w:shd w:val="clear" w:color="auto" w:fill="D9D9D9" w:themeFill="background1" w:themeFillShade="D9"/>
            <w:vAlign w:val="center"/>
          </w:tcPr>
          <w:p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المتوسط الحسابي</w:t>
            </w:r>
          </w:p>
        </w:tc>
        <w:tc>
          <w:tcPr>
            <w:tcW w:w="993" w:type="dxa"/>
            <w:tcBorders>
              <w:top w:val="threeDEngrave" w:sz="24" w:space="0" w:color="auto"/>
              <w:bottom w:val="threeDEmboss" w:sz="24" w:space="0" w:color="auto"/>
            </w:tcBorders>
            <w:shd w:val="clear" w:color="auto" w:fill="D9D9D9" w:themeFill="background1" w:themeFillShade="D9"/>
            <w:vAlign w:val="center"/>
          </w:tcPr>
          <w:p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الانحراف المعياري</w:t>
            </w:r>
          </w:p>
        </w:tc>
        <w:tc>
          <w:tcPr>
            <w:tcW w:w="964" w:type="dxa"/>
            <w:tcBorders>
              <w:top w:val="threeDEngrave" w:sz="24" w:space="0" w:color="auto"/>
              <w:bottom w:val="threeDEmboss" w:sz="24" w:space="0" w:color="auto"/>
            </w:tcBorders>
            <w:shd w:val="clear" w:color="auto" w:fill="D9D9D9" w:themeFill="background1" w:themeFillShade="D9"/>
            <w:vAlign w:val="center"/>
          </w:tcPr>
          <w:p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النسبية</w:t>
            </w:r>
          </w:p>
        </w:tc>
        <w:tc>
          <w:tcPr>
            <w:tcW w:w="1180" w:type="dxa"/>
            <w:tcBorders>
              <w:top w:val="threeDEngrave" w:sz="24" w:space="0" w:color="auto"/>
              <w:bottom w:val="threeDEmboss" w:sz="24" w:space="0" w:color="auto"/>
            </w:tcBorders>
            <w:shd w:val="clear" w:color="auto" w:fill="D9D9D9" w:themeFill="background1" w:themeFillShade="D9"/>
            <w:vAlign w:val="center"/>
          </w:tcPr>
          <w:p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مستوى القبول</w:t>
            </w:r>
          </w:p>
        </w:tc>
      </w:tr>
      <w:tr w:rsidR="008F11F5" w:rsidRPr="007C544A" w:rsidTr="007B6DB9">
        <w:trPr>
          <w:jc w:val="center"/>
        </w:trPr>
        <w:tc>
          <w:tcPr>
            <w:tcW w:w="905" w:type="dxa"/>
            <w:tcBorders>
              <w:top w:val="threeDEmboss" w:sz="24" w:space="0" w:color="auto"/>
            </w:tcBorders>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C1</w:t>
            </w:r>
          </w:p>
        </w:tc>
        <w:tc>
          <w:tcPr>
            <w:tcW w:w="3785" w:type="dxa"/>
            <w:tcBorders>
              <w:top w:val="threeDEmboss" w:sz="24" w:space="0" w:color="auto"/>
            </w:tcBorders>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سيؤدي</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زيادة الحصة السوقية للشركة المدمجة</w:t>
            </w:r>
          </w:p>
        </w:tc>
        <w:tc>
          <w:tcPr>
            <w:tcW w:w="992" w:type="dxa"/>
            <w:tcBorders>
              <w:top w:val="threeDEmboss" w:sz="24" w:space="0" w:color="auto"/>
            </w:tcBorders>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4.05</w:t>
            </w:r>
          </w:p>
        </w:tc>
        <w:tc>
          <w:tcPr>
            <w:tcW w:w="993" w:type="dxa"/>
            <w:tcBorders>
              <w:top w:val="threeDEmboss" w:sz="24" w:space="0" w:color="auto"/>
            </w:tcBorders>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0.63</w:t>
            </w:r>
          </w:p>
        </w:tc>
        <w:tc>
          <w:tcPr>
            <w:tcW w:w="964" w:type="dxa"/>
            <w:tcBorders>
              <w:top w:val="threeDEmboss" w:sz="24" w:space="0" w:color="auto"/>
            </w:tcBorders>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81.0</w:t>
            </w:r>
          </w:p>
        </w:tc>
        <w:tc>
          <w:tcPr>
            <w:tcW w:w="1180" w:type="dxa"/>
            <w:tcBorders>
              <w:top w:val="threeDEmboss" w:sz="24" w:space="0" w:color="auto"/>
            </w:tcBorders>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rsidTr="007B6DB9">
        <w:trPr>
          <w:jc w:val="center"/>
        </w:trPr>
        <w:tc>
          <w:tcPr>
            <w:tcW w:w="905" w:type="dxa"/>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C2</w:t>
            </w:r>
          </w:p>
        </w:tc>
        <w:tc>
          <w:tcPr>
            <w:tcW w:w="3785" w:type="dxa"/>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يحسّن القدرة على تقديم منتجات أو خدمات مميزة</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4.08</w:t>
            </w:r>
          </w:p>
        </w:tc>
        <w:tc>
          <w:tcPr>
            <w:tcW w:w="993"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0.60</w:t>
            </w:r>
          </w:p>
        </w:tc>
        <w:tc>
          <w:tcPr>
            <w:tcW w:w="964"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81.6</w:t>
            </w:r>
          </w:p>
        </w:tc>
        <w:tc>
          <w:tcPr>
            <w:tcW w:w="1180"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rsidTr="007B6DB9">
        <w:trPr>
          <w:jc w:val="center"/>
        </w:trPr>
        <w:tc>
          <w:tcPr>
            <w:tcW w:w="905" w:type="dxa"/>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C3</w:t>
            </w:r>
          </w:p>
        </w:tc>
        <w:tc>
          <w:tcPr>
            <w:tcW w:w="3785" w:type="dxa"/>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يُحسّن أداء التسويق والوصول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شرائح سوقية جديدة</w:t>
            </w:r>
          </w:p>
        </w:tc>
        <w:tc>
          <w:tcPr>
            <w:tcW w:w="992"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4.00</w:t>
            </w:r>
          </w:p>
        </w:tc>
        <w:tc>
          <w:tcPr>
            <w:tcW w:w="993"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0.65</w:t>
            </w:r>
          </w:p>
        </w:tc>
        <w:tc>
          <w:tcPr>
            <w:tcW w:w="964"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80.0</w:t>
            </w:r>
          </w:p>
        </w:tc>
        <w:tc>
          <w:tcPr>
            <w:tcW w:w="1180"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rsidTr="007B6DB9">
        <w:trPr>
          <w:jc w:val="center"/>
        </w:trPr>
        <w:tc>
          <w:tcPr>
            <w:tcW w:w="905" w:type="dxa"/>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C4</w:t>
            </w:r>
          </w:p>
        </w:tc>
        <w:tc>
          <w:tcPr>
            <w:tcW w:w="3785" w:type="dxa"/>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يرفع كفاءة العمليات التشغيلية مما يعزز التنافسية</w:t>
            </w:r>
          </w:p>
        </w:tc>
        <w:tc>
          <w:tcPr>
            <w:tcW w:w="992"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4.10</w:t>
            </w:r>
          </w:p>
        </w:tc>
        <w:tc>
          <w:tcPr>
            <w:tcW w:w="993"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0.58</w:t>
            </w:r>
          </w:p>
        </w:tc>
        <w:tc>
          <w:tcPr>
            <w:tcW w:w="964"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82.0</w:t>
            </w:r>
          </w:p>
        </w:tc>
        <w:tc>
          <w:tcPr>
            <w:tcW w:w="1180" w:type="dxa"/>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rsidTr="007B6DB9">
        <w:trPr>
          <w:jc w:val="center"/>
        </w:trPr>
        <w:tc>
          <w:tcPr>
            <w:tcW w:w="905" w:type="dxa"/>
            <w:tcBorders>
              <w:bottom w:val="threeDEngrave" w:sz="24" w:space="0" w:color="auto"/>
            </w:tcBorders>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C5</w:t>
            </w:r>
          </w:p>
        </w:tc>
        <w:tc>
          <w:tcPr>
            <w:tcW w:w="3785" w:type="dxa"/>
            <w:tcBorders>
              <w:bottom w:val="threeDEngrave" w:sz="24" w:space="0" w:color="auto"/>
            </w:tcBorders>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يساعد في تنويع المنتجات/الخدمات وتقليل مخاطر الاعتماد على منتج واحد</w:t>
            </w:r>
          </w:p>
        </w:tc>
        <w:tc>
          <w:tcPr>
            <w:tcW w:w="992" w:type="dxa"/>
            <w:tcBorders>
              <w:bottom w:val="threeDEngrave" w:sz="24" w:space="0" w:color="auto"/>
            </w:tcBorders>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4.07</w:t>
            </w:r>
          </w:p>
        </w:tc>
        <w:tc>
          <w:tcPr>
            <w:tcW w:w="993" w:type="dxa"/>
            <w:tcBorders>
              <w:bottom w:val="threeDEngrave" w:sz="24" w:space="0" w:color="auto"/>
            </w:tcBorders>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0.61</w:t>
            </w:r>
          </w:p>
        </w:tc>
        <w:tc>
          <w:tcPr>
            <w:tcW w:w="964" w:type="dxa"/>
            <w:tcBorders>
              <w:bottom w:val="threeDEngrave" w:sz="24" w:space="0" w:color="auto"/>
            </w:tcBorders>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81.4</w:t>
            </w:r>
          </w:p>
        </w:tc>
        <w:tc>
          <w:tcPr>
            <w:tcW w:w="1180" w:type="dxa"/>
            <w:tcBorders>
              <w:bottom w:val="threeDEngrave" w:sz="24" w:space="0" w:color="auto"/>
            </w:tcBorders>
            <w:shd w:val="clear" w:color="auto" w:fill="FFFFFF" w:themeFill="background1"/>
            <w:vAlign w:val="center"/>
          </w:tcPr>
          <w:p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rsidTr="007B6DB9">
        <w:trPr>
          <w:jc w:val="center"/>
        </w:trPr>
        <w:tc>
          <w:tcPr>
            <w:tcW w:w="4690" w:type="dxa"/>
            <w:gridSpan w:val="2"/>
            <w:tcBorders>
              <w:top w:val="threeDEngrave" w:sz="24" w:space="0" w:color="auto"/>
              <w:bottom w:val="threeDEmboss" w:sz="24" w:space="0" w:color="auto"/>
            </w:tcBorders>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المتوسط العام لبعد تعزيز </w:t>
            </w:r>
            <w:r w:rsidR="006B18F0" w:rsidRPr="007C544A">
              <w:rPr>
                <w:rFonts w:ascii="Traditional Arabic" w:eastAsia="Times New Roman" w:hAnsi="Traditional Arabic" w:cs="Traditional Arabic"/>
                <w:sz w:val="24"/>
                <w:szCs w:val="24"/>
                <w:rtl/>
              </w:rPr>
              <w:t>القدرة التنافسية</w:t>
            </w:r>
          </w:p>
        </w:tc>
        <w:tc>
          <w:tcPr>
            <w:tcW w:w="992" w:type="dxa"/>
            <w:tcBorders>
              <w:top w:val="threeDEngrave" w:sz="24" w:space="0" w:color="auto"/>
              <w:bottom w:val="threeDEmboss" w:sz="24" w:space="0" w:color="auto"/>
            </w:tcBorders>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p>
        </w:tc>
        <w:tc>
          <w:tcPr>
            <w:tcW w:w="993" w:type="dxa"/>
            <w:tcBorders>
              <w:top w:val="threeDEngrave" w:sz="24" w:space="0" w:color="auto"/>
              <w:bottom w:val="threeDEmboss" w:sz="24" w:space="0" w:color="auto"/>
            </w:tcBorders>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4.06</w:t>
            </w:r>
          </w:p>
        </w:tc>
        <w:tc>
          <w:tcPr>
            <w:tcW w:w="964" w:type="dxa"/>
            <w:tcBorders>
              <w:top w:val="threeDEngrave" w:sz="24" w:space="0" w:color="auto"/>
              <w:bottom w:val="threeDEmboss" w:sz="24" w:space="0" w:color="auto"/>
            </w:tcBorders>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0.61</w:t>
            </w:r>
          </w:p>
        </w:tc>
        <w:tc>
          <w:tcPr>
            <w:tcW w:w="1180" w:type="dxa"/>
            <w:tcBorders>
              <w:top w:val="threeDEngrave" w:sz="24" w:space="0" w:color="auto"/>
              <w:bottom w:val="threeDEmboss" w:sz="24" w:space="0" w:color="auto"/>
            </w:tcBorders>
            <w:shd w:val="clear" w:color="auto" w:fill="D9D9D9" w:themeFill="background1" w:themeFillShade="D9"/>
            <w:vAlign w:val="center"/>
          </w:tcPr>
          <w:p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w:t>
            </w:r>
          </w:p>
        </w:tc>
      </w:tr>
    </w:tbl>
    <w:p w:rsidR="006842AB" w:rsidRPr="007C544A" w:rsidRDefault="006842AB"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t>بلغ المتوسط الحسابي لبعد تعزيز القدرة التنافسية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4.06) بانحراف معياري</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0.61)</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وجاءت أعلى عبارة “الدمج يرفع كفاءة العمليات التشغيلية مما يعزز التنافسية” بمتوسط</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4.10)</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بينما جاءت أقل عبارة “الدمج يُحسّن أداء التسويق والوصول</w:t>
      </w:r>
      <w:r w:rsidR="000544F4" w:rsidRPr="007C544A">
        <w:rPr>
          <w:rStyle w:val="Strong"/>
          <w:rFonts w:ascii="Traditional Arabic" w:hAnsi="Traditional Arabic" w:cs="Traditional Arabic"/>
          <w:b w:val="0"/>
          <w:bCs w:val="0"/>
          <w:rtl/>
        </w:rPr>
        <w:t xml:space="preserve"> إلى </w:t>
      </w:r>
      <w:r w:rsidRPr="007C544A">
        <w:rPr>
          <w:rStyle w:val="Strong"/>
          <w:rFonts w:ascii="Traditional Arabic" w:hAnsi="Traditional Arabic" w:cs="Traditional Arabic"/>
          <w:b w:val="0"/>
          <w:bCs w:val="0"/>
          <w:rtl/>
        </w:rPr>
        <w:t>شرائح سوقية جديدة” بمتوسط</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4.00). ويشير ذلك</w:t>
      </w:r>
      <w:r w:rsidR="000544F4" w:rsidRPr="007C544A">
        <w:rPr>
          <w:rStyle w:val="Strong"/>
          <w:rFonts w:ascii="Traditional Arabic" w:hAnsi="Traditional Arabic" w:cs="Traditional Arabic"/>
          <w:b w:val="0"/>
          <w:bCs w:val="0"/>
          <w:rtl/>
        </w:rPr>
        <w:t xml:space="preserve"> إلى </w:t>
      </w:r>
      <w:r w:rsidRPr="007C544A">
        <w:rPr>
          <w:rStyle w:val="Strong"/>
          <w:rFonts w:ascii="Traditional Arabic" w:hAnsi="Traditional Arabic" w:cs="Traditional Arabic"/>
          <w:b w:val="0"/>
          <w:bCs w:val="0"/>
          <w:rtl/>
        </w:rPr>
        <w:t>أن استراتيجية دمج الشركات تسهم بدرجة مرتفعة في تعزيز القدرة التنافسية للشركات العائلية من خلال تحسين الكفاءة التشغيلية وتطوير المنتجات والخدمات وتوسيع الحصة السوقية</w:t>
      </w:r>
      <w:r w:rsidRPr="007C544A">
        <w:rPr>
          <w:rStyle w:val="Strong"/>
          <w:rFonts w:ascii="Traditional Arabic" w:hAnsi="Traditional Arabic" w:cs="Traditional Arabic"/>
          <w:b w:val="0"/>
          <w:bCs w:val="0"/>
        </w:rPr>
        <w:t>.</w:t>
      </w:r>
    </w:p>
    <w:p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rsidR="00063512" w:rsidRPr="007C544A" w:rsidRDefault="00063512"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rsidR="00E00929" w:rsidRPr="007C544A" w:rsidRDefault="00E00929" w:rsidP="00E00929">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rsidR="003A7E02" w:rsidRPr="007C544A" w:rsidRDefault="003A7E02"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lastRenderedPageBreak/>
        <w:t>النتائج المتعلقة ببعد</w:t>
      </w:r>
      <w:r w:rsidR="00D7278E" w:rsidRPr="007C544A">
        <w:rPr>
          <w:rFonts w:ascii="Traditional Arabic" w:eastAsiaTheme="minorHAnsi" w:hAnsi="Traditional Arabic" w:cs="Traditional Arabic"/>
          <w:b/>
          <w:bCs/>
          <w:sz w:val="28"/>
          <w:szCs w:val="28"/>
          <w:rtl/>
        </w:rPr>
        <w:t xml:space="preserve"> </w:t>
      </w:r>
      <w:r w:rsidRPr="007C544A">
        <w:rPr>
          <w:rFonts w:ascii="Traditional Arabic" w:eastAsiaTheme="minorHAnsi" w:hAnsi="Traditional Arabic" w:cs="Traditional Arabic"/>
          <w:b/>
          <w:bCs/>
          <w:sz w:val="28"/>
          <w:szCs w:val="28"/>
          <w:rtl/>
        </w:rPr>
        <w:t>الحصول على التمويل</w:t>
      </w:r>
      <w:r w:rsidR="00775B4E" w:rsidRPr="007C544A">
        <w:rPr>
          <w:rFonts w:ascii="Traditional Arabic" w:eastAsiaTheme="minorHAnsi" w:hAnsi="Traditional Arabic" w:cs="Traditional Arabic"/>
          <w:b/>
          <w:bCs/>
          <w:sz w:val="28"/>
          <w:szCs w:val="28"/>
          <w:rtl/>
        </w:rPr>
        <w:t xml:space="preserve">: </w:t>
      </w:r>
    </w:p>
    <w:p w:rsidR="0009235C"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F21E52" w:rsidRPr="007C544A">
        <w:rPr>
          <w:rFonts w:ascii="Traditional Arabic" w:eastAsiaTheme="minorHAnsi" w:hAnsi="Traditional Arabic" w:cs="Traditional Arabic"/>
          <w:b/>
          <w:bCs/>
          <w:rtl/>
        </w:rPr>
        <w:t>4-5</w:t>
      </w:r>
      <w:r w:rsidR="0009235C" w:rsidRPr="007C544A">
        <w:rPr>
          <w:rFonts w:ascii="Traditional Arabic" w:eastAsiaTheme="minorHAnsi" w:hAnsi="Traditional Arabic" w:cs="Traditional Arabic"/>
          <w:b/>
          <w:bCs/>
          <w:rtl/>
        </w:rPr>
        <w:t>)</w:t>
      </w:r>
    </w:p>
    <w:p w:rsidR="00775B4E" w:rsidRPr="007C544A" w:rsidRDefault="003A7E02"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 الحسابي والانحراف المعياري لإجابات عينة الدراسة عن العبارات المتعلقة ببعد الحصول على التمويل</w:t>
      </w:r>
    </w:p>
    <w:p w:rsidR="0009235C" w:rsidRPr="007C544A" w:rsidRDefault="00D7278E"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w:t>
      </w:r>
      <w:r w:rsidR="0009235C" w:rsidRPr="007C544A">
        <w:rPr>
          <w:rFonts w:ascii="Traditional Arabic" w:eastAsiaTheme="minorHAnsi" w:hAnsi="Traditional Arabic" w:cs="Traditional Arabic"/>
          <w:b/>
          <w:bCs/>
          <w:rtl/>
        </w:rPr>
        <w:t>ن= 285)</w:t>
      </w:r>
    </w:p>
    <w:tbl>
      <w:tblPr>
        <w:tblStyle w:val="TableGrid1"/>
        <w:bidiVisual/>
        <w:tblW w:w="0" w:type="auto"/>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720"/>
        <w:gridCol w:w="3601"/>
        <w:gridCol w:w="975"/>
        <w:gridCol w:w="1025"/>
        <w:gridCol w:w="1076"/>
        <w:gridCol w:w="899"/>
      </w:tblGrid>
      <w:tr w:rsidR="008F11F5" w:rsidRPr="007C544A" w:rsidTr="00775B4E">
        <w:tc>
          <w:tcPr>
            <w:tcW w:w="719" w:type="dxa"/>
            <w:tcBorders>
              <w:top w:val="threeDEngrave" w:sz="24" w:space="0" w:color="auto"/>
              <w:bottom w:val="threeDEmboss" w:sz="24" w:space="0" w:color="auto"/>
            </w:tcBorders>
            <w:shd w:val="clear" w:color="auto" w:fill="D9D9D9" w:themeFill="background1" w:themeFillShade="D9"/>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 العبارة</w:t>
            </w:r>
          </w:p>
        </w:tc>
        <w:tc>
          <w:tcPr>
            <w:tcW w:w="3601" w:type="dxa"/>
            <w:tcBorders>
              <w:top w:val="threeDEngrave" w:sz="24" w:space="0" w:color="auto"/>
              <w:bottom w:val="threeDEmboss" w:sz="24" w:space="0" w:color="auto"/>
            </w:tcBorders>
            <w:shd w:val="clear" w:color="auto" w:fill="D9D9D9" w:themeFill="background1" w:themeFillShade="D9"/>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العبارة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المتوسط الحسابي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النسبية</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مستوى القبول</w:t>
            </w:r>
          </w:p>
        </w:tc>
      </w:tr>
      <w:tr w:rsidR="008F11F5" w:rsidRPr="007C544A" w:rsidTr="00775B4E">
        <w:tc>
          <w:tcPr>
            <w:tcW w:w="719" w:type="dxa"/>
            <w:tcBorders>
              <w:top w:val="threeDEmboss" w:sz="24" w:space="0" w:color="auto"/>
            </w:tcBorders>
            <w:shd w:val="clear" w:color="auto" w:fill="FFFFFF" w:themeFill="background1"/>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L1</w:t>
            </w:r>
          </w:p>
        </w:tc>
        <w:tc>
          <w:tcPr>
            <w:tcW w:w="3601" w:type="dxa"/>
            <w:tcBorders>
              <w:top w:val="threeDEmboss" w:sz="24" w:space="0" w:color="auto"/>
            </w:tcBorders>
            <w:shd w:val="clear" w:color="auto" w:fill="D9D9D9" w:themeFill="background1" w:themeFillShade="D9"/>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بعد الدمج يسهل 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مصادر تمويل خارجية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قروض/سندات/مستثمرين)</w:t>
            </w:r>
          </w:p>
        </w:tc>
        <w:tc>
          <w:tcPr>
            <w:tcW w:w="0" w:type="auto"/>
            <w:tcBorders>
              <w:top w:val="threeDEmboss" w:sz="24" w:space="0" w:color="auto"/>
            </w:tcBorders>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4.08</w:t>
            </w:r>
          </w:p>
        </w:tc>
        <w:tc>
          <w:tcPr>
            <w:tcW w:w="0" w:type="auto"/>
            <w:tcBorders>
              <w:top w:val="threeDEmboss" w:sz="24" w:space="0" w:color="auto"/>
            </w:tcBorders>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0.61</w:t>
            </w:r>
          </w:p>
        </w:tc>
        <w:tc>
          <w:tcPr>
            <w:tcW w:w="0" w:type="auto"/>
            <w:tcBorders>
              <w:top w:val="threeDEmboss" w:sz="24" w:space="0" w:color="auto"/>
            </w:tcBorders>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81.6</w:t>
            </w:r>
          </w:p>
        </w:tc>
        <w:tc>
          <w:tcPr>
            <w:tcW w:w="0" w:type="auto"/>
            <w:tcBorders>
              <w:top w:val="threeDEmboss" w:sz="24" w:space="0" w:color="auto"/>
            </w:tcBorders>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rsidTr="00775B4E">
        <w:tc>
          <w:tcPr>
            <w:tcW w:w="719" w:type="dxa"/>
            <w:shd w:val="clear" w:color="auto" w:fill="FFFFFF" w:themeFill="background1"/>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L2</w:t>
            </w:r>
          </w:p>
        </w:tc>
        <w:tc>
          <w:tcPr>
            <w:tcW w:w="3601" w:type="dxa"/>
            <w:shd w:val="clear" w:color="auto" w:fill="D9D9D9" w:themeFill="background1" w:themeFillShade="D9"/>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الدمج يزيد من ثقة المؤسسات المالية والمستثمرين بمركز الشركة</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4.12</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0.58</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82.4</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rsidTr="00775B4E">
        <w:tc>
          <w:tcPr>
            <w:tcW w:w="719" w:type="dxa"/>
            <w:shd w:val="clear" w:color="auto" w:fill="FFFFFF" w:themeFill="background1"/>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L3</w:t>
            </w:r>
          </w:p>
        </w:tc>
        <w:tc>
          <w:tcPr>
            <w:tcW w:w="3601" w:type="dxa"/>
            <w:shd w:val="clear" w:color="auto" w:fill="D9D9D9" w:themeFill="background1" w:themeFillShade="D9"/>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الدمج يُحسّن الجدارة الائتمانية المتوقعة للشركة</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4.05</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0.63</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81.0</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rsidTr="00775B4E">
        <w:tc>
          <w:tcPr>
            <w:tcW w:w="719" w:type="dxa"/>
            <w:shd w:val="clear" w:color="auto" w:fill="FFFFFF" w:themeFill="background1"/>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L4</w:t>
            </w:r>
          </w:p>
        </w:tc>
        <w:tc>
          <w:tcPr>
            <w:tcW w:w="3601" w:type="dxa"/>
            <w:shd w:val="clear" w:color="auto" w:fill="D9D9D9" w:themeFill="background1" w:themeFillShade="D9"/>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إمكانية إصدار أدوات تمويلية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أسهم/صكوك/سندات) بعد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أصبحت أعلى</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4.00</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0.65</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80.0</w:t>
            </w:r>
          </w:p>
        </w:tc>
        <w:tc>
          <w:tcPr>
            <w:tcW w:w="0" w:type="auto"/>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rsidTr="00775B4E">
        <w:tc>
          <w:tcPr>
            <w:tcW w:w="719" w:type="dxa"/>
            <w:tcBorders>
              <w:bottom w:val="threeDEngrave" w:sz="24" w:space="0" w:color="auto"/>
            </w:tcBorders>
            <w:shd w:val="clear" w:color="auto" w:fill="FFFFFF" w:themeFill="background1"/>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L5</w:t>
            </w:r>
          </w:p>
        </w:tc>
        <w:tc>
          <w:tcPr>
            <w:tcW w:w="3601" w:type="dxa"/>
            <w:tcBorders>
              <w:bottom w:val="threeDEngrave" w:sz="24" w:space="0" w:color="auto"/>
            </w:tcBorders>
            <w:shd w:val="clear" w:color="auto" w:fill="D9D9D9" w:themeFill="background1" w:themeFillShade="D9"/>
            <w:vAlign w:val="center"/>
            <w:hideMark/>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على جذب مستثمرين استراتيجيين أو شركاء ماليين تزداد بسبب الدمج</w:t>
            </w:r>
          </w:p>
        </w:tc>
        <w:tc>
          <w:tcPr>
            <w:tcW w:w="0" w:type="auto"/>
            <w:tcBorders>
              <w:bottom w:val="threeDEngrave" w:sz="24" w:space="0" w:color="auto"/>
            </w:tcBorders>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4.10</w:t>
            </w:r>
          </w:p>
        </w:tc>
        <w:tc>
          <w:tcPr>
            <w:tcW w:w="0" w:type="auto"/>
            <w:tcBorders>
              <w:bottom w:val="threeDEngrave" w:sz="24" w:space="0" w:color="auto"/>
            </w:tcBorders>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0.60</w:t>
            </w:r>
          </w:p>
        </w:tc>
        <w:tc>
          <w:tcPr>
            <w:tcW w:w="0" w:type="auto"/>
            <w:tcBorders>
              <w:bottom w:val="threeDEngrave" w:sz="24" w:space="0" w:color="auto"/>
            </w:tcBorders>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82.0</w:t>
            </w:r>
          </w:p>
        </w:tc>
        <w:tc>
          <w:tcPr>
            <w:tcW w:w="0" w:type="auto"/>
            <w:tcBorders>
              <w:bottom w:val="threeDEngrave" w:sz="24" w:space="0" w:color="auto"/>
            </w:tcBorders>
            <w:shd w:val="clear" w:color="auto" w:fill="FFFFFF" w:themeFill="background1"/>
            <w:vAlign w:val="center"/>
          </w:tcPr>
          <w:p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rsidTr="00775B4E">
        <w:tc>
          <w:tcPr>
            <w:tcW w:w="4320" w:type="dxa"/>
            <w:gridSpan w:val="2"/>
            <w:tcBorders>
              <w:top w:val="threeDEngrave" w:sz="24" w:space="0" w:color="auto"/>
              <w:bottom w:val="threeDEmboss" w:sz="24" w:space="0" w:color="auto"/>
            </w:tcBorders>
            <w:shd w:val="clear" w:color="auto" w:fill="D9D9D9" w:themeFill="background1" w:themeFillShade="D9"/>
            <w:vAlign w:val="center"/>
          </w:tcPr>
          <w:p w:rsidR="003A7E02" w:rsidRPr="007C544A" w:rsidRDefault="003A7E02"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المتوسط العام لبعد </w:t>
            </w:r>
            <w:r w:rsidR="00ED7F83" w:rsidRPr="007C544A">
              <w:rPr>
                <w:rFonts w:ascii="Traditional Arabic" w:hAnsi="Traditional Arabic" w:cs="Traditional Arabic"/>
                <w:sz w:val="24"/>
                <w:szCs w:val="24"/>
                <w:rtl/>
              </w:rPr>
              <w:t>الحصول على</w:t>
            </w:r>
            <w:r w:rsidR="00D7278E" w:rsidRPr="007C544A">
              <w:rPr>
                <w:rFonts w:ascii="Traditional Arabic" w:hAnsi="Traditional Arabic" w:cs="Traditional Arabic"/>
                <w:sz w:val="24"/>
                <w:szCs w:val="24"/>
                <w:rtl/>
              </w:rPr>
              <w:t xml:space="preserve"> </w:t>
            </w:r>
            <w:r w:rsidR="00ED7F83" w:rsidRPr="007C544A">
              <w:rPr>
                <w:rFonts w:ascii="Traditional Arabic" w:hAnsi="Traditional Arabic" w:cs="Traditional Arabic"/>
                <w:sz w:val="24"/>
                <w:szCs w:val="24"/>
                <w:rtl/>
              </w:rPr>
              <w:t>التمويل</w:t>
            </w:r>
          </w:p>
        </w:tc>
        <w:tc>
          <w:tcPr>
            <w:tcW w:w="0" w:type="auto"/>
            <w:tcBorders>
              <w:top w:val="threeDEngrave" w:sz="24" w:space="0" w:color="auto"/>
              <w:bottom w:val="threeDEmboss" w:sz="24" w:space="0" w:color="auto"/>
            </w:tcBorders>
            <w:shd w:val="clear" w:color="auto" w:fill="D9D9D9" w:themeFill="background1" w:themeFillShade="D9"/>
            <w:vAlign w:val="center"/>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tcBorders>
              <w:top w:val="threeDEngrave" w:sz="24" w:space="0" w:color="auto"/>
              <w:bottom w:val="threeDEmboss" w:sz="24" w:space="0" w:color="auto"/>
            </w:tcBorders>
            <w:shd w:val="clear" w:color="auto" w:fill="D9D9D9" w:themeFill="background1" w:themeFillShade="D9"/>
            <w:vAlign w:val="center"/>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c>
          <w:tcPr>
            <w:tcW w:w="0" w:type="auto"/>
            <w:tcBorders>
              <w:top w:val="threeDEngrave" w:sz="24" w:space="0" w:color="auto"/>
              <w:bottom w:val="threeDEmboss" w:sz="24" w:space="0" w:color="auto"/>
            </w:tcBorders>
            <w:shd w:val="clear" w:color="auto" w:fill="D9D9D9" w:themeFill="background1" w:themeFillShade="D9"/>
            <w:vAlign w:val="center"/>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w:t>
            </w:r>
          </w:p>
        </w:tc>
        <w:tc>
          <w:tcPr>
            <w:tcW w:w="0" w:type="auto"/>
            <w:tcBorders>
              <w:top w:val="threeDEngrave" w:sz="24" w:space="0" w:color="auto"/>
              <w:bottom w:val="threeDEmboss" w:sz="24" w:space="0" w:color="auto"/>
            </w:tcBorders>
            <w:shd w:val="clear" w:color="auto" w:fill="D9D9D9" w:themeFill="background1" w:themeFillShade="D9"/>
            <w:vAlign w:val="center"/>
          </w:tcPr>
          <w:p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w:t>
            </w:r>
          </w:p>
        </w:tc>
      </w:tr>
    </w:tbl>
    <w:p w:rsidR="006842AB" w:rsidRPr="007C544A" w:rsidRDefault="006842AB" w:rsidP="00706522">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r w:rsidRPr="007C544A">
        <w:rPr>
          <w:rStyle w:val="Strong"/>
          <w:rFonts w:ascii="Traditional Arabic" w:eastAsia="Times New Roman" w:hAnsi="Traditional Arabic" w:cs="Traditional Arabic"/>
          <w:b w:val="0"/>
          <w:bCs w:val="0"/>
          <w:sz w:val="24"/>
          <w:szCs w:val="24"/>
          <w:rtl/>
        </w:rPr>
        <w:t>يتضح من النتائج الإجمالية لأبعاد الدراسة أن جميع الأبعاد جاءت بدرجة موافقة مرتفعة</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حيث تراوحت المتوسطات الحسابية بين</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3.87)</w:t>
      </w:r>
      <w:r w:rsidR="00C862E1" w:rsidRPr="007C544A">
        <w:rPr>
          <w:rStyle w:val="Strong"/>
          <w:rFonts w:ascii="Traditional Arabic" w:eastAsia="Times New Roman" w:hAnsi="Traditional Arabic" w:cs="Traditional Arabic"/>
          <w:b w:val="0"/>
          <w:bCs w:val="0"/>
          <w:sz w:val="24"/>
          <w:szCs w:val="24"/>
          <w:rtl/>
        </w:rPr>
        <w:t xml:space="preserve"> و</w:t>
      </w:r>
      <w:r w:rsidR="00D7278E" w:rsidRPr="007C544A">
        <w:rPr>
          <w:rStyle w:val="Strong"/>
          <w:rFonts w:ascii="Traditional Arabic" w:eastAsia="Times New Roman" w:hAnsi="Traditional Arabic" w:cs="Traditional Arabic"/>
          <w:b w:val="0"/>
          <w:bCs w:val="0"/>
          <w:sz w:val="24"/>
          <w:szCs w:val="24"/>
          <w:rtl/>
        </w:rPr>
        <w:t>(</w:t>
      </w:r>
      <w:r w:rsidRPr="007C544A">
        <w:rPr>
          <w:rStyle w:val="Strong"/>
          <w:rFonts w:ascii="Traditional Arabic" w:eastAsia="Times New Roman" w:hAnsi="Traditional Arabic" w:cs="Traditional Arabic"/>
          <w:b w:val="0"/>
          <w:bCs w:val="0"/>
          <w:sz w:val="24"/>
          <w:szCs w:val="24"/>
          <w:rtl/>
        </w:rPr>
        <w:t>4.07)</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مما يشير</w:t>
      </w:r>
      <w:r w:rsidR="000544F4" w:rsidRPr="007C544A">
        <w:rPr>
          <w:rStyle w:val="Strong"/>
          <w:rFonts w:ascii="Traditional Arabic" w:eastAsia="Times New Roman" w:hAnsi="Traditional Arabic" w:cs="Traditional Arabic"/>
          <w:b w:val="0"/>
          <w:bCs w:val="0"/>
          <w:sz w:val="24"/>
          <w:szCs w:val="24"/>
          <w:rtl/>
        </w:rPr>
        <w:t xml:space="preserve"> إلى </w:t>
      </w:r>
      <w:r w:rsidRPr="007C544A">
        <w:rPr>
          <w:rStyle w:val="Strong"/>
          <w:rFonts w:ascii="Traditional Arabic" w:eastAsia="Times New Roman" w:hAnsi="Traditional Arabic" w:cs="Traditional Arabic"/>
          <w:b w:val="0"/>
          <w:bCs w:val="0"/>
          <w:sz w:val="24"/>
          <w:szCs w:val="24"/>
          <w:rtl/>
        </w:rPr>
        <w:t>وجود اتجاه إيجابي عام لدى أفراد العينة نحو تأثير استراتيجية دمج الشركات على الجاهزية لل</w:t>
      </w:r>
      <w:r w:rsidR="000544F4" w:rsidRPr="007C544A">
        <w:rPr>
          <w:rStyle w:val="Strong"/>
          <w:rFonts w:ascii="Traditional Arabic" w:eastAsia="Times New Roman" w:hAnsi="Traditional Arabic" w:cs="Traditional Arabic"/>
          <w:b w:val="0"/>
          <w:bCs w:val="0"/>
          <w:sz w:val="24"/>
          <w:szCs w:val="24"/>
          <w:rtl/>
        </w:rPr>
        <w:t>إدراج</w:t>
      </w:r>
      <w:r w:rsidRPr="007C544A">
        <w:rPr>
          <w:rStyle w:val="Strong"/>
          <w:rFonts w:ascii="Traditional Arabic" w:eastAsia="Times New Roman" w:hAnsi="Traditional Arabic" w:cs="Traditional Arabic"/>
          <w:b w:val="0"/>
          <w:bCs w:val="0"/>
          <w:sz w:val="24"/>
          <w:szCs w:val="24"/>
          <w:rtl/>
        </w:rPr>
        <w:t xml:space="preserve"> في السوق الموازية. وجاء بعد </w:t>
      </w:r>
      <w:r w:rsidR="005C20E0" w:rsidRPr="007C544A">
        <w:rPr>
          <w:rStyle w:val="Strong"/>
          <w:rFonts w:ascii="Traditional Arabic" w:eastAsia="Times New Roman" w:hAnsi="Traditional Arabic" w:cs="Traditional Arabic"/>
          <w:b w:val="0"/>
          <w:bCs w:val="0"/>
          <w:sz w:val="24"/>
          <w:szCs w:val="24"/>
          <w:rtl/>
        </w:rPr>
        <w:t>الأداء</w:t>
      </w:r>
      <w:r w:rsidRPr="007C544A">
        <w:rPr>
          <w:rStyle w:val="Strong"/>
          <w:rFonts w:ascii="Traditional Arabic" w:eastAsia="Times New Roman" w:hAnsi="Traditional Arabic" w:cs="Traditional Arabic"/>
          <w:b w:val="0"/>
          <w:bCs w:val="0"/>
          <w:sz w:val="24"/>
          <w:szCs w:val="24"/>
          <w:rtl/>
        </w:rPr>
        <w:t xml:space="preserve"> المالي في المرتبة الأولى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4.07)</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يليه بعد الحصول على التمويل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4.07)</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ثم بعد تعزيز القدرة التنافسية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4.06)</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بينما جاء بعد متطلبات الحوكمة في المرتبة الأخيرة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3.87). ويعكس ذلك أن استراتيجية الدمج تسهم بشكل واضح في تحسين الجوانب المالية والتمويلية والتنافسية للشركات العائلية</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في حين لا يزال جانب الحوكمة بحاجة</w:t>
      </w:r>
      <w:r w:rsidR="000544F4" w:rsidRPr="007C544A">
        <w:rPr>
          <w:rStyle w:val="Strong"/>
          <w:rFonts w:ascii="Traditional Arabic" w:eastAsia="Times New Roman" w:hAnsi="Traditional Arabic" w:cs="Traditional Arabic"/>
          <w:b w:val="0"/>
          <w:bCs w:val="0"/>
          <w:sz w:val="24"/>
          <w:szCs w:val="24"/>
          <w:rtl/>
        </w:rPr>
        <w:t xml:space="preserve"> إلى </w:t>
      </w:r>
      <w:r w:rsidRPr="007C544A">
        <w:rPr>
          <w:rStyle w:val="Strong"/>
          <w:rFonts w:ascii="Traditional Arabic" w:eastAsia="Times New Roman" w:hAnsi="Traditional Arabic" w:cs="Traditional Arabic"/>
          <w:b w:val="0"/>
          <w:bCs w:val="0"/>
          <w:sz w:val="24"/>
          <w:szCs w:val="24"/>
          <w:rtl/>
        </w:rPr>
        <w:t>مزيد من التطوير النسبي مقارنة بباقي الأبعاد</w:t>
      </w:r>
      <w:r w:rsidRPr="007C544A">
        <w:rPr>
          <w:rStyle w:val="Strong"/>
          <w:rFonts w:ascii="Traditional Arabic" w:eastAsia="Times New Roman" w:hAnsi="Traditional Arabic" w:cs="Traditional Arabic"/>
          <w:b w:val="0"/>
          <w:bCs w:val="0"/>
          <w:sz w:val="24"/>
          <w:szCs w:val="24"/>
        </w:rPr>
        <w:t>.</w:t>
      </w:r>
    </w:p>
    <w:p w:rsidR="00063512" w:rsidRPr="007C544A" w:rsidRDefault="00063512" w:rsidP="00706522">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p>
    <w:p w:rsidR="00E00929" w:rsidRPr="007C544A" w:rsidRDefault="00E00929" w:rsidP="00E00929">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p>
    <w:p w:rsidR="00E00929" w:rsidRPr="007C544A" w:rsidRDefault="00E00929" w:rsidP="00E00929">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p>
    <w:p w:rsidR="00775B4E"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8711B7" w:rsidRPr="007C544A">
        <w:rPr>
          <w:rFonts w:ascii="Traditional Arabic" w:eastAsiaTheme="minorHAnsi" w:hAnsi="Traditional Arabic" w:cs="Traditional Arabic"/>
          <w:b/>
          <w:bCs/>
          <w:rtl/>
        </w:rPr>
        <w:t>4</w:t>
      </w:r>
      <w:r w:rsidR="00082053" w:rsidRPr="007C544A">
        <w:rPr>
          <w:rFonts w:ascii="Traditional Arabic" w:eastAsiaTheme="minorHAnsi" w:hAnsi="Traditional Arabic" w:cs="Traditional Arabic"/>
          <w:b/>
          <w:bCs/>
          <w:rtl/>
        </w:rPr>
        <w:t>-</w:t>
      </w:r>
      <w:r w:rsidR="008D300D" w:rsidRPr="007C544A">
        <w:rPr>
          <w:rFonts w:ascii="Traditional Arabic" w:eastAsiaTheme="minorHAnsi" w:hAnsi="Traditional Arabic" w:cs="Traditional Arabic"/>
          <w:b/>
          <w:bCs/>
          <w:rtl/>
        </w:rPr>
        <w:t>6</w:t>
      </w:r>
      <w:r w:rsidR="008711B7" w:rsidRPr="007C544A">
        <w:rPr>
          <w:rFonts w:ascii="Traditional Arabic" w:eastAsiaTheme="minorHAnsi" w:hAnsi="Traditional Arabic" w:cs="Traditional Arabic"/>
          <w:b/>
          <w:bCs/>
          <w:rtl/>
        </w:rPr>
        <w:t>)</w:t>
      </w:r>
    </w:p>
    <w:p w:rsidR="008711B7" w:rsidRPr="007C544A" w:rsidRDefault="008711B7"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المتوسطات الحسابية والانحرافات المعيارية لأبعاد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563"/>
        <w:gridCol w:w="1190"/>
        <w:gridCol w:w="1238"/>
        <w:gridCol w:w="966"/>
        <w:gridCol w:w="639"/>
      </w:tblGrid>
      <w:tr w:rsidR="008F11F5" w:rsidRPr="007C544A" w:rsidTr="00757378">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المتوسط الحسابي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درجة الموافقة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الترتيب</w:t>
            </w:r>
          </w:p>
        </w:tc>
      </w:tr>
      <w:tr w:rsidR="008F11F5" w:rsidRPr="007C544A" w:rsidTr="00757378">
        <w:trPr>
          <w:jc w:val="center"/>
        </w:trPr>
        <w:tc>
          <w:tcPr>
            <w:tcW w:w="0" w:type="auto"/>
            <w:tcBorders>
              <w:top w:val="threeDEmboss" w:sz="24" w:space="0" w:color="auto"/>
            </w:tcBorders>
            <w:shd w:val="clear" w:color="auto" w:fill="D9D9D9" w:themeFill="background1" w:themeFillShade="D9"/>
            <w:vAlign w:val="center"/>
            <w:hideMark/>
          </w:tcPr>
          <w:p w:rsidR="008711B7"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8711B7" w:rsidRPr="007C544A">
              <w:rPr>
                <w:rFonts w:ascii="Traditional Arabic" w:hAnsi="Traditional Arabic" w:cs="Traditional Arabic"/>
                <w:sz w:val="24"/>
                <w:szCs w:val="24"/>
                <w:rtl/>
              </w:rPr>
              <w:t xml:space="preserve"> المالي</w:t>
            </w:r>
            <w:r w:rsidR="00F44A03" w:rsidRPr="007C544A">
              <w:rPr>
                <w:rFonts w:ascii="Traditional Arabic" w:hAnsi="Traditional Arabic" w:cs="Traditional Arabic"/>
                <w:sz w:val="24"/>
                <w:szCs w:val="24"/>
                <w:rtl/>
              </w:rPr>
              <w:t xml:space="preserve"> بعد الدمج</w:t>
            </w:r>
          </w:p>
        </w:tc>
        <w:tc>
          <w:tcPr>
            <w:tcW w:w="0" w:type="auto"/>
            <w:tcBorders>
              <w:top w:val="threeDEmboss" w:sz="24" w:space="0" w:color="auto"/>
            </w:tcBorders>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tcBorders>
              <w:top w:val="threeDEmboss" w:sz="24" w:space="0" w:color="auto"/>
            </w:tcBorders>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0.62</w:t>
            </w:r>
          </w:p>
        </w:tc>
        <w:tc>
          <w:tcPr>
            <w:tcW w:w="0" w:type="auto"/>
            <w:tcBorders>
              <w:top w:val="threeDEmboss" w:sz="24" w:space="0" w:color="auto"/>
            </w:tcBorders>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tcBorders>
              <w:top w:val="threeDEmboss" w:sz="24" w:space="0" w:color="auto"/>
            </w:tcBorders>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r>
      <w:tr w:rsidR="008F11F5" w:rsidRPr="007C544A" w:rsidTr="00757378">
        <w:trPr>
          <w:jc w:val="center"/>
        </w:trPr>
        <w:tc>
          <w:tcPr>
            <w:tcW w:w="0" w:type="auto"/>
            <w:shd w:val="clear" w:color="auto" w:fill="D9D9D9" w:themeFill="background1" w:themeFillShade="D9"/>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الحصول على التمويل</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r>
      <w:tr w:rsidR="008F11F5" w:rsidRPr="007C544A" w:rsidTr="00757378">
        <w:trPr>
          <w:jc w:val="center"/>
        </w:trPr>
        <w:tc>
          <w:tcPr>
            <w:tcW w:w="0" w:type="auto"/>
            <w:shd w:val="clear" w:color="auto" w:fill="D9D9D9" w:themeFill="background1" w:themeFillShade="D9"/>
            <w:vAlign w:val="center"/>
            <w:hideMark/>
          </w:tcPr>
          <w:p w:rsidR="008711B7" w:rsidRPr="007C544A" w:rsidRDefault="00F44A0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القدرة</w:t>
            </w:r>
            <w:r w:rsidR="008711B7" w:rsidRPr="007C544A">
              <w:rPr>
                <w:rFonts w:ascii="Traditional Arabic" w:hAnsi="Traditional Arabic" w:cs="Traditional Arabic"/>
                <w:sz w:val="24"/>
                <w:szCs w:val="24"/>
                <w:rtl/>
              </w:rPr>
              <w:t xml:space="preserve"> التنافسية</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4.06</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r>
      <w:tr w:rsidR="008F11F5" w:rsidRPr="007C544A" w:rsidTr="00757378">
        <w:trPr>
          <w:jc w:val="center"/>
        </w:trPr>
        <w:tc>
          <w:tcPr>
            <w:tcW w:w="0" w:type="auto"/>
            <w:shd w:val="clear" w:color="auto" w:fill="D9D9D9" w:themeFill="background1" w:themeFillShade="D9"/>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3.87</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0.70</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vAlign w:val="center"/>
            <w:hideMark/>
          </w:tcPr>
          <w:p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r>
    </w:tbl>
    <w:p w:rsidR="002B5292"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يتضح من 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4-7) أن جميع أبعاد الدراسة جاءت بدرجة موافقة مرتفعة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تراوحت المتوسطات الحسابية بين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3.87)</w:t>
      </w:r>
      <w:r w:rsidR="00C862E1" w:rsidRPr="007C544A">
        <w:rPr>
          <w:rFonts w:ascii="Traditional Arabic" w:eastAsiaTheme="minorHAnsi" w:hAnsi="Traditional Arabic" w:cs="Traditional Arabic"/>
          <w:rtl/>
          <w:lang w:bidi="ar-EG"/>
        </w:rPr>
        <w:t xml:space="preserve"> و</w:t>
      </w:r>
      <w:r w:rsidR="00D7278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اتجاهًا إيجابيًا لدى أفراد عينة الدراسة نحو تأثير استراتيجية دمج الشركات على الجاهزية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السوق الموازية)</w:t>
      </w:r>
      <w:r w:rsidRPr="007C544A">
        <w:rPr>
          <w:rFonts w:ascii="Traditional Arabic" w:eastAsiaTheme="minorHAnsi" w:hAnsi="Traditional Arabic" w:cs="Traditional Arabic"/>
          <w:lang w:bidi="ar-EG"/>
        </w:rPr>
        <w:t>.</w:t>
      </w:r>
    </w:p>
    <w:p w:rsidR="0028749E"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وجاء بعد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 بعد الدمج في المرتبة الأولى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يليه بعد الحصول على التمويل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ثم بعد تعزيز القدرة التنافسية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4.06)</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بينما جاء بعد متطلبات الحوكمة في المرتبة الأخيرة بمتوسط</w:t>
      </w:r>
      <w:r w:rsidR="0028749E" w:rsidRPr="007C544A">
        <w:rPr>
          <w:rFonts w:ascii="Traditional Arabic" w:eastAsiaTheme="minorHAnsi" w:hAnsi="Traditional Arabic" w:cs="Traditional Arabic"/>
          <w:rtl/>
          <w:lang w:bidi="ar-EG"/>
        </w:rPr>
        <w:t xml:space="preserve"> (3.87).</w:t>
      </w:r>
    </w:p>
    <w:p w:rsidR="002B5292"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ويشير ذلك</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استراتيجية دمج الشركات تسهم بشكل واضح في تعزيز الجوانب المالية والتمويلية والتنافسية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وجود حاجة نسبية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مزيد من التطوير في جانب متطلبات الحوكمة مقارنة ببقية الأبعاد</w:t>
      </w:r>
      <w:r w:rsidRPr="007C544A">
        <w:rPr>
          <w:rFonts w:ascii="Traditional Arabic" w:eastAsiaTheme="minorHAnsi" w:hAnsi="Traditional Arabic" w:cs="Traditional Arabic"/>
          <w:lang w:bidi="ar-EG"/>
        </w:rPr>
        <w:t>.</w:t>
      </w:r>
    </w:p>
    <w:p w:rsidR="008D300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082053" w:rsidRPr="007C544A">
        <w:rPr>
          <w:rFonts w:ascii="Traditional Arabic" w:eastAsiaTheme="minorHAnsi" w:hAnsi="Traditional Arabic" w:cs="Traditional Arabic"/>
          <w:b/>
          <w:bCs/>
          <w:rtl/>
        </w:rPr>
        <w:t>4-7)</w:t>
      </w:r>
    </w:p>
    <w:p w:rsidR="00FD1DAB" w:rsidRPr="007C544A" w:rsidRDefault="00FD1DAB"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ربط أبعاد الدراسة بالفروض</w:t>
      </w:r>
    </w:p>
    <w:tbl>
      <w:tblPr>
        <w:tblStyle w:val="TableGrid1"/>
        <w:bidiVisual/>
        <w:tblW w:w="5199" w:type="dxa"/>
        <w:jc w:val="center"/>
        <w:tblBorders>
          <w:top w:val="threeDEngrave" w:sz="24" w:space="0" w:color="auto"/>
          <w:bottom w:val="threeDEmboss" w:sz="24" w:space="0" w:color="auto"/>
        </w:tblBorders>
        <w:tblLook w:val="04A0" w:firstRow="1" w:lastRow="0" w:firstColumn="1" w:lastColumn="0" w:noHBand="0" w:noVBand="1"/>
      </w:tblPr>
      <w:tblGrid>
        <w:gridCol w:w="3119"/>
        <w:gridCol w:w="2080"/>
      </w:tblGrid>
      <w:tr w:rsidR="008F11F5" w:rsidRPr="007C544A" w:rsidTr="00775B4E">
        <w:trPr>
          <w:trHeight w:val="269"/>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الفرض المرتبط</w:t>
            </w:r>
          </w:p>
        </w:tc>
      </w:tr>
      <w:tr w:rsidR="008F11F5" w:rsidRPr="007C544A" w:rsidTr="00775B4E">
        <w:trPr>
          <w:trHeight w:val="260"/>
          <w:jc w:val="center"/>
        </w:trPr>
        <w:tc>
          <w:tcPr>
            <w:tcW w:w="0" w:type="auto"/>
            <w:tcBorders>
              <w:top w:val="threeDEmboss" w:sz="24" w:space="0" w:color="auto"/>
            </w:tcBorders>
            <w:shd w:val="clear" w:color="auto" w:fill="D9D9D9" w:themeFill="background1" w:themeFillShade="D9"/>
            <w:vAlign w:val="center"/>
            <w:hideMark/>
          </w:tcPr>
          <w:p w:rsidR="00FD1DAB"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FD1DAB" w:rsidRPr="007C544A">
              <w:rPr>
                <w:rFonts w:ascii="Traditional Arabic" w:hAnsi="Traditional Arabic" w:cs="Traditional Arabic"/>
                <w:sz w:val="24"/>
                <w:szCs w:val="24"/>
                <w:rtl/>
              </w:rPr>
              <w:t xml:space="preserve"> المالي بعد الدمج</w:t>
            </w:r>
          </w:p>
        </w:tc>
        <w:tc>
          <w:tcPr>
            <w:tcW w:w="0" w:type="auto"/>
            <w:tcBorders>
              <w:top w:val="threeDEmboss" w:sz="24" w:space="0" w:color="auto"/>
            </w:tcBorders>
            <w:vAlign w:val="center"/>
            <w:hideMark/>
          </w:tcPr>
          <w:p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H1a</w:t>
            </w:r>
          </w:p>
        </w:tc>
      </w:tr>
      <w:tr w:rsidR="008F11F5" w:rsidRPr="007C544A" w:rsidTr="00775B4E">
        <w:trPr>
          <w:trHeight w:val="269"/>
          <w:jc w:val="center"/>
        </w:trPr>
        <w:tc>
          <w:tcPr>
            <w:tcW w:w="0" w:type="auto"/>
            <w:shd w:val="clear" w:color="auto" w:fill="D9D9D9" w:themeFill="background1" w:themeFillShade="D9"/>
            <w:vAlign w:val="center"/>
            <w:hideMark/>
          </w:tcPr>
          <w:p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w:t>
            </w:r>
          </w:p>
        </w:tc>
        <w:tc>
          <w:tcPr>
            <w:tcW w:w="0" w:type="auto"/>
            <w:vAlign w:val="center"/>
            <w:hideMark/>
          </w:tcPr>
          <w:p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H1b</w:t>
            </w:r>
          </w:p>
        </w:tc>
      </w:tr>
      <w:tr w:rsidR="008F11F5" w:rsidRPr="007C544A" w:rsidTr="00775B4E">
        <w:trPr>
          <w:trHeight w:val="260"/>
          <w:jc w:val="center"/>
        </w:trPr>
        <w:tc>
          <w:tcPr>
            <w:tcW w:w="0" w:type="auto"/>
            <w:shd w:val="clear" w:color="auto" w:fill="D9D9D9" w:themeFill="background1" w:themeFillShade="D9"/>
            <w:vAlign w:val="center"/>
            <w:hideMark/>
          </w:tcPr>
          <w:p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 القدرة التنافسية</w:t>
            </w:r>
          </w:p>
        </w:tc>
        <w:tc>
          <w:tcPr>
            <w:tcW w:w="0" w:type="auto"/>
            <w:vAlign w:val="center"/>
            <w:hideMark/>
          </w:tcPr>
          <w:p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H1c</w:t>
            </w:r>
          </w:p>
        </w:tc>
      </w:tr>
      <w:tr w:rsidR="008F11F5" w:rsidRPr="007C544A" w:rsidTr="00775B4E">
        <w:trPr>
          <w:trHeight w:val="269"/>
          <w:jc w:val="center"/>
        </w:trPr>
        <w:tc>
          <w:tcPr>
            <w:tcW w:w="0" w:type="auto"/>
            <w:shd w:val="clear" w:color="auto" w:fill="D9D9D9" w:themeFill="background1" w:themeFillShade="D9"/>
            <w:vAlign w:val="center"/>
            <w:hideMark/>
          </w:tcPr>
          <w:p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الحصول على التمويل</w:t>
            </w:r>
          </w:p>
        </w:tc>
        <w:tc>
          <w:tcPr>
            <w:tcW w:w="0" w:type="auto"/>
            <w:vAlign w:val="center"/>
            <w:hideMark/>
          </w:tcPr>
          <w:p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H1d</w:t>
            </w:r>
          </w:p>
        </w:tc>
      </w:tr>
    </w:tbl>
    <w:p w:rsidR="0028749E"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يوضح 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4-8) ارتباط أبعاد الدراسة بالفروض الفرعية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يرتبط بعد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 بعد الدمج بالفرض الفرعي الأول</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H1a</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ويرتبط بعد متطلبات الحوكمة بالفرض الفرعي الثاني</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H1b</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بينما يرتبط بعد تعزيز القدرة التنافسية بالفرض الفرعي الثالث</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H1c</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في حين يرتبط بعد الحصول على التمويل بالفرض الفرعي الرابع</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H1d</w:t>
      </w:r>
      <w:r w:rsidR="0028749E" w:rsidRPr="007C544A">
        <w:rPr>
          <w:rFonts w:ascii="Traditional Arabic" w:eastAsiaTheme="minorHAnsi" w:hAnsi="Traditional Arabic" w:cs="Traditional Arabic"/>
          <w:rtl/>
          <w:lang w:bidi="ar-EG"/>
        </w:rPr>
        <w:t>).</w:t>
      </w:r>
    </w:p>
    <w:p w:rsidR="002B5292"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وفي ضوء ما تم عرضه من نتائج التحليل الوصفي لأبعاد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يتضح اتساق نموذج الدراسة مع فروضها الفرعية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تمثل هذه الأبعاد المكونات الأساسية للجاهزية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السوق الموازية)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بما يعكس الترابط المنهجي بين متغيرات الدراسة والفروض البحثية</w:t>
      </w:r>
      <w:r w:rsidRPr="007C544A">
        <w:rPr>
          <w:rFonts w:ascii="Traditional Arabic" w:eastAsiaTheme="minorHAnsi" w:hAnsi="Traditional Arabic" w:cs="Traditional Arabic"/>
          <w:lang w:bidi="ar-EG"/>
        </w:rPr>
        <w:t>.</w:t>
      </w:r>
    </w:p>
    <w:p w:rsidR="00BC6FAB" w:rsidRPr="007C544A" w:rsidRDefault="00BC6FAB"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b/>
          <w:bCs/>
          <w:sz w:val="28"/>
          <w:szCs w:val="28"/>
          <w:rtl/>
        </w:rPr>
        <w:t>ثانياً- نتائج اختبارات فروض الدراسة:</w:t>
      </w:r>
    </w:p>
    <w:p w:rsidR="00B8331B" w:rsidRPr="007C544A" w:rsidRDefault="00C42361" w:rsidP="002D00D3">
      <w:pPr>
        <w:pStyle w:val="NormalWeb"/>
        <w:numPr>
          <w:ilvl w:val="0"/>
          <w:numId w:val="63"/>
        </w:numPr>
        <w:bidi/>
        <w:spacing w:before="0" w:beforeAutospacing="0" w:after="0" w:afterAutospacing="0" w:line="360" w:lineRule="auto"/>
        <w:ind w:left="714" w:hanging="205"/>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b/>
          <w:bCs/>
          <w:rtl/>
          <w:lang w:bidi="ar-EG"/>
        </w:rPr>
        <w:t xml:space="preserve">الفرض </w:t>
      </w:r>
      <w:r w:rsidR="0028749E" w:rsidRPr="007C544A">
        <w:rPr>
          <w:rFonts w:ascii="Traditional Arabic" w:eastAsiaTheme="minorHAnsi" w:hAnsi="Traditional Arabic" w:cs="Traditional Arabic"/>
          <w:b/>
          <w:bCs/>
          <w:rtl/>
          <w:lang w:bidi="ar-EG"/>
        </w:rPr>
        <w:t>الأول</w:t>
      </w:r>
      <w:r w:rsidR="00775B4E" w:rsidRPr="007C544A">
        <w:rPr>
          <w:rFonts w:ascii="Traditional Arabic" w:eastAsiaTheme="minorHAnsi" w:hAnsi="Traditional Arabic" w:cs="Traditional Arabic"/>
          <w:b/>
          <w:bCs/>
          <w:rtl/>
          <w:lang w:bidi="ar-EG"/>
        </w:rPr>
        <w:t>:</w:t>
      </w:r>
      <w:r w:rsidR="00775B4E"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lang w:bidi="ar-EG"/>
        </w:rPr>
        <w:t>"</w:t>
      </w:r>
      <w:r w:rsidR="00080D96" w:rsidRPr="007C544A">
        <w:rPr>
          <w:rFonts w:ascii="Traditional Arabic" w:eastAsiaTheme="minorHAnsi" w:hAnsi="Traditional Arabic" w:cs="Traditional Arabic"/>
          <w:rtl/>
          <w:lang w:bidi="ar-EG"/>
        </w:rPr>
        <w:t xml:space="preserve">يوجد اثر ذو دلالة </w:t>
      </w:r>
      <w:r w:rsidR="004C5D0F" w:rsidRPr="007C544A">
        <w:rPr>
          <w:rFonts w:ascii="Traditional Arabic" w:eastAsiaTheme="minorHAnsi" w:hAnsi="Traditional Arabic" w:cs="Traditional Arabic"/>
          <w:rtl/>
          <w:lang w:bidi="ar-EG"/>
        </w:rPr>
        <w:t>إحصائي</w:t>
      </w:r>
      <w:r w:rsidR="00B8331B" w:rsidRPr="007C544A">
        <w:rPr>
          <w:rFonts w:ascii="Traditional Arabic" w:eastAsiaTheme="minorHAnsi" w:hAnsi="Traditional Arabic" w:cs="Traditional Arabic"/>
          <w:rtl/>
          <w:lang w:bidi="ar-EG"/>
        </w:rPr>
        <w:t xml:space="preserve">ة </w:t>
      </w:r>
      <w:r w:rsidR="00080D96" w:rsidRPr="007C544A">
        <w:rPr>
          <w:rFonts w:ascii="Traditional Arabic" w:eastAsiaTheme="minorHAnsi" w:hAnsi="Traditional Arabic" w:cs="Traditional Arabic"/>
          <w:rtl/>
          <w:lang w:bidi="ar-EG"/>
        </w:rPr>
        <w:t>ل</w:t>
      </w:r>
      <w:r w:rsidR="00B8331B" w:rsidRPr="007C544A">
        <w:rPr>
          <w:rFonts w:ascii="Traditional Arabic" w:eastAsiaTheme="minorHAnsi" w:hAnsi="Traditional Arabic" w:cs="Traditional Arabic"/>
          <w:rtl/>
          <w:lang w:bidi="ar-EG"/>
        </w:rPr>
        <w:t xml:space="preserve">استراتيجية دمج الشركات </w:t>
      </w:r>
      <w:r w:rsidR="00080D96" w:rsidRPr="007C544A">
        <w:rPr>
          <w:rFonts w:ascii="Traditional Arabic" w:eastAsiaTheme="minorHAnsi" w:hAnsi="Traditional Arabic" w:cs="Traditional Arabic"/>
          <w:rtl/>
          <w:lang w:bidi="ar-EG"/>
        </w:rPr>
        <w:t xml:space="preserve">على </w:t>
      </w:r>
      <w:r w:rsidR="00B8331B" w:rsidRPr="007C544A">
        <w:rPr>
          <w:rFonts w:ascii="Traditional Arabic" w:eastAsiaTheme="minorHAnsi" w:hAnsi="Traditional Arabic" w:cs="Traditional Arabic"/>
          <w:rtl/>
          <w:lang w:bidi="ar-EG"/>
        </w:rPr>
        <w:t>الجاهزية لل</w:t>
      </w:r>
      <w:r w:rsidR="000544F4" w:rsidRPr="007C544A">
        <w:rPr>
          <w:rFonts w:ascii="Traditional Arabic" w:eastAsiaTheme="minorHAnsi" w:hAnsi="Traditional Arabic" w:cs="Traditional Arabic"/>
          <w:rtl/>
          <w:lang w:bidi="ar-EG"/>
        </w:rPr>
        <w:t>إدراج</w:t>
      </w:r>
      <w:r w:rsidR="00080D96"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00080D96" w:rsidRPr="007C544A">
        <w:rPr>
          <w:rFonts w:ascii="Traditional Arabic" w:eastAsiaTheme="minorHAnsi" w:hAnsi="Traditional Arabic" w:cs="Traditional Arabic"/>
          <w:rtl/>
          <w:lang w:bidi="ar-EG"/>
        </w:rPr>
        <w:t>السوق الموازية</w:t>
      </w:r>
      <w:r w:rsidR="00D7278E" w:rsidRPr="007C544A">
        <w:rPr>
          <w:rFonts w:ascii="Traditional Arabic" w:eastAsiaTheme="minorHAnsi" w:hAnsi="Traditional Arabic" w:cs="Traditional Arabic"/>
          <w:rtl/>
          <w:lang w:bidi="ar-EG"/>
        </w:rPr>
        <w:t>)</w:t>
      </w:r>
      <w:r w:rsidR="00080D96" w:rsidRPr="007C544A">
        <w:rPr>
          <w:rFonts w:ascii="Traditional Arabic" w:eastAsiaTheme="minorHAnsi" w:hAnsi="Traditional Arabic" w:cs="Traditional Arabic"/>
          <w:rtl/>
          <w:lang w:bidi="ar-EG"/>
        </w:rPr>
        <w:t xml:space="preserve"> لدى الشركات العائلية</w:t>
      </w:r>
      <w:r w:rsidR="00307AF5" w:rsidRPr="007C544A">
        <w:rPr>
          <w:rFonts w:ascii="Traditional Arabic" w:eastAsiaTheme="minorHAnsi" w:hAnsi="Traditional Arabic" w:cs="Traditional Arabic"/>
          <w:rtl/>
          <w:lang w:bidi="ar-EG"/>
        </w:rPr>
        <w:t>"</w:t>
      </w:r>
      <w:r w:rsidR="00FA5E7F" w:rsidRPr="007C544A">
        <w:rPr>
          <w:rFonts w:ascii="Traditional Arabic" w:eastAsiaTheme="minorHAnsi" w:hAnsi="Traditional Arabic" w:cs="Traditional Arabic"/>
          <w:rtl/>
          <w:lang w:bidi="ar-EG"/>
        </w:rPr>
        <w:t>.</w:t>
      </w:r>
    </w:p>
    <w:p w:rsidR="00B554F8" w:rsidRPr="007C544A" w:rsidRDefault="00B554F8" w:rsidP="002D00D3">
      <w:pPr>
        <w:pStyle w:val="NormalWeb"/>
        <w:numPr>
          <w:ilvl w:val="0"/>
          <w:numId w:val="61"/>
        </w:numPr>
        <w:bidi/>
        <w:spacing w:before="0" w:beforeAutospacing="0" w:after="0" w:afterAutospacing="0" w:line="360" w:lineRule="auto"/>
        <w:jc w:val="both"/>
        <w:rPr>
          <w:rFonts w:ascii="Traditional Arabic" w:eastAsiaTheme="minorHAnsi" w:hAnsi="Traditional Arabic" w:cs="Traditional Arabic"/>
          <w:b/>
          <w:bCs/>
          <w:sz w:val="28"/>
          <w:szCs w:val="28"/>
          <w:rtl/>
          <w:lang w:bidi="ar-EG"/>
        </w:rPr>
      </w:pPr>
      <w:r w:rsidRPr="007C544A">
        <w:rPr>
          <w:rFonts w:ascii="Traditional Arabic" w:eastAsiaTheme="minorHAnsi" w:hAnsi="Traditional Arabic" w:cs="Traditional Arabic"/>
          <w:b/>
          <w:bCs/>
          <w:sz w:val="28"/>
          <w:szCs w:val="28"/>
          <w:rtl/>
          <w:lang w:bidi="ar-EG"/>
        </w:rPr>
        <w:t>الانحدار الأحادي</w:t>
      </w:r>
      <w:r w:rsidR="00307AF5" w:rsidRPr="007C544A">
        <w:rPr>
          <w:rFonts w:ascii="Traditional Arabic" w:eastAsiaTheme="minorHAnsi" w:hAnsi="Traditional Arabic" w:cs="Traditional Arabic"/>
          <w:b/>
          <w:bCs/>
          <w:sz w:val="28"/>
          <w:szCs w:val="28"/>
          <w:rtl/>
          <w:lang w:bidi="ar-EG"/>
        </w:rPr>
        <w:t>:</w:t>
      </w:r>
    </w:p>
    <w:p w:rsidR="00B554F8" w:rsidRPr="007C544A" w:rsidRDefault="00B554F8"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قياس أثر استراتيجية الدمج على كل بعد من أبعاد دخول السوق الموازية بشكل منفصل</w:t>
      </w:r>
      <w:r w:rsidR="00307AF5" w:rsidRPr="007C544A">
        <w:rPr>
          <w:rFonts w:ascii="Traditional Arabic" w:eastAsiaTheme="minorHAnsi" w:hAnsi="Traditional Arabic" w:cs="Traditional Arabic"/>
          <w:rtl/>
          <w:lang w:bidi="ar-EG"/>
        </w:rPr>
        <w:t>.</w:t>
      </w:r>
    </w:p>
    <w:p w:rsidR="008D300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554F8"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8</w:t>
      </w:r>
      <w:r w:rsidR="00B554F8" w:rsidRPr="007C544A">
        <w:rPr>
          <w:rFonts w:ascii="Traditional Arabic" w:eastAsiaTheme="minorHAnsi" w:hAnsi="Traditional Arabic" w:cs="Traditional Arabic"/>
          <w:b/>
          <w:bCs/>
          <w:rtl/>
        </w:rPr>
        <w:t>)</w:t>
      </w:r>
    </w:p>
    <w:p w:rsidR="00B554F8" w:rsidRPr="007C544A" w:rsidRDefault="00B554F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نتائج الانحدار الأحادي لكل بعد</w:t>
      </w:r>
    </w:p>
    <w:tbl>
      <w:tblPr>
        <w:tblStyle w:val="TableGrid1"/>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126"/>
        <w:gridCol w:w="1434"/>
        <w:gridCol w:w="693"/>
        <w:gridCol w:w="1512"/>
        <w:gridCol w:w="582"/>
        <w:gridCol w:w="1099"/>
      </w:tblGrid>
      <w:tr w:rsidR="00B554F8" w:rsidRPr="007C544A" w:rsidTr="00063512">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معامل الانحدار</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Cambria" w:hAnsi="Cambria" w:cs="Cambria"/>
                <w:sz w:val="24"/>
                <w:szCs w:val="24"/>
              </w:rPr>
              <w:t>β</w:t>
            </w:r>
            <w:r w:rsidRPr="007C544A">
              <w:rPr>
                <w:rFonts w:ascii="Traditional Arabic" w:hAnsi="Traditional Arabic" w:cs="Traditional Arabic"/>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قيمة</w:t>
            </w:r>
            <w:r w:rsidRPr="007C544A">
              <w:rPr>
                <w:rFonts w:ascii="Traditional Arabic" w:hAnsi="Traditional Arabic" w:cs="Traditional Arabic"/>
                <w:sz w:val="24"/>
                <w:szCs w:val="24"/>
              </w:rPr>
              <w:t xml:space="preserve"> 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Sig.</w:t>
            </w:r>
            <w:r w:rsidR="00D7278E"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Pr>
              <w:t>P-value)</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R²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مستوى الدلالة</w:t>
            </w:r>
          </w:p>
        </w:tc>
      </w:tr>
      <w:tr w:rsidR="0050564F" w:rsidRPr="007C544A" w:rsidTr="00063512">
        <w:trPr>
          <w:jc w:val="center"/>
        </w:trPr>
        <w:tc>
          <w:tcPr>
            <w:tcW w:w="0" w:type="auto"/>
            <w:tcBorders>
              <w:top w:val="threeDEmboss" w:sz="24" w:space="0" w:color="auto"/>
            </w:tcBorders>
            <w:shd w:val="clear" w:color="auto" w:fill="D9D9D9" w:themeFill="background1" w:themeFillShade="D9"/>
            <w:vAlign w:val="center"/>
            <w:hideMark/>
          </w:tcPr>
          <w:p w:rsidR="0050564F"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50564F"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0.79</w:t>
            </w:r>
          </w:p>
        </w:tc>
        <w:tc>
          <w:tcPr>
            <w:tcW w:w="0" w:type="auto"/>
            <w:tcBorders>
              <w:top w:val="threeDEmboss" w:sz="24" w:space="0" w:color="auto"/>
            </w:tcBorders>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12.40</w:t>
            </w:r>
          </w:p>
        </w:tc>
        <w:tc>
          <w:tcPr>
            <w:tcW w:w="0" w:type="auto"/>
            <w:tcBorders>
              <w:top w:val="threeDEmboss" w:sz="24" w:space="0" w:color="auto"/>
            </w:tcBorders>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tcBorders>
              <w:top w:val="threeDEmboss" w:sz="24" w:space="0" w:color="auto"/>
            </w:tcBorders>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0.62</w:t>
            </w:r>
          </w:p>
        </w:tc>
        <w:tc>
          <w:tcPr>
            <w:tcW w:w="0" w:type="auto"/>
            <w:tcBorders>
              <w:top w:val="threeDEmboss" w:sz="24" w:space="0" w:color="auto"/>
            </w:tcBorders>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r w:rsidR="0050564F" w:rsidRPr="007C544A" w:rsidTr="00063512">
        <w:trPr>
          <w:jc w:val="center"/>
        </w:trPr>
        <w:tc>
          <w:tcPr>
            <w:tcW w:w="0" w:type="auto"/>
            <w:shd w:val="clear" w:color="auto" w:fill="D9D9D9" w:themeFill="background1" w:themeFillShade="D9"/>
            <w:vAlign w:val="center"/>
            <w:hideMark/>
          </w:tcPr>
          <w:p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الحوكمة</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0.74</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11.05</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0.55</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r w:rsidR="0050564F" w:rsidRPr="007C544A" w:rsidTr="00063512">
        <w:trPr>
          <w:jc w:val="center"/>
        </w:trPr>
        <w:tc>
          <w:tcPr>
            <w:tcW w:w="0" w:type="auto"/>
            <w:shd w:val="clear" w:color="auto" w:fill="D9D9D9" w:themeFill="background1" w:themeFillShade="D9"/>
            <w:vAlign w:val="center"/>
            <w:hideMark/>
          </w:tcPr>
          <w:p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التنافسية</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0.76</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11.50</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0.58</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r w:rsidR="0050564F" w:rsidRPr="007C544A" w:rsidTr="00063512">
        <w:trPr>
          <w:jc w:val="center"/>
        </w:trPr>
        <w:tc>
          <w:tcPr>
            <w:tcW w:w="0" w:type="auto"/>
            <w:shd w:val="clear" w:color="auto" w:fill="D9D9D9" w:themeFill="background1" w:themeFillShade="D9"/>
            <w:vAlign w:val="center"/>
            <w:hideMark/>
          </w:tcPr>
          <w:p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فرص التمويل</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0.78</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12.10</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0.60</w:t>
            </w:r>
          </w:p>
        </w:tc>
        <w:tc>
          <w:tcPr>
            <w:tcW w:w="0" w:type="auto"/>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bl>
    <w:p w:rsidR="00B554F8" w:rsidRPr="007C544A" w:rsidRDefault="0050564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الجدول السابق يتضح</w:t>
      </w:r>
      <w:r w:rsidR="00775B4E" w:rsidRPr="007C544A">
        <w:rPr>
          <w:rFonts w:ascii="Traditional Arabic" w:eastAsiaTheme="minorHAnsi" w:hAnsi="Traditional Arabic" w:cs="Traditional Arabic"/>
          <w:rtl/>
          <w:lang w:bidi="ar-EG"/>
        </w:rPr>
        <w:t xml:space="preserve">: </w:t>
      </w:r>
    </w:p>
    <w:p w:rsidR="00B8331B" w:rsidRPr="007C544A" w:rsidRDefault="00B8331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تضح من الجدول أن جميع الأبعاد جاءت دالة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عند مستوى</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Traditional Arabic" w:eastAsiaTheme="minorHAnsi" w:hAnsi="Traditional Arabic" w:cs="Traditional Arabic"/>
          <w:lang w:bidi="ar-EG"/>
        </w:rPr>
        <w:t>p &lt; 0.001)</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سجل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 أعلى تأثير</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0.79) </w:t>
      </w:r>
      <w:r w:rsidR="00307AF5"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وقيمة</w:t>
      </w:r>
      <w:r w:rsidR="00307AF5"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lang w:bidi="ar-EG"/>
        </w:rPr>
        <w:t>t = 12.40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يليه بعد فرص التمويل</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0.78)</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ثم القدرة التنافسية</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0.76)</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وأخيرًا متطلبات الحوكمة</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0.74).</w:t>
      </w:r>
    </w:p>
    <w:p w:rsidR="00B8331B" w:rsidRPr="007C544A" w:rsidRDefault="00B8331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تراوحت قيمة معامل التحديد</w:t>
      </w:r>
      <w:r w:rsidR="00307AF5" w:rsidRPr="007C544A">
        <w:rPr>
          <w:rFonts w:ascii="Traditional Arabic" w:eastAsiaTheme="minorHAnsi" w:hAnsi="Traditional Arabic" w:cs="Traditional Arabic"/>
          <w:rtl/>
          <w:lang w:bidi="ar-EG"/>
        </w:rPr>
        <w:t xml:space="preserve"> (</w:t>
      </w:r>
      <w:r w:rsidR="00307AF5" w:rsidRPr="007C544A">
        <w:rPr>
          <w:rFonts w:ascii="Traditional Arabic" w:eastAsiaTheme="minorHAnsi" w:hAnsi="Traditional Arabic" w:cs="Traditional Arabic"/>
          <w:lang w:bidi="ar-EG"/>
        </w:rPr>
        <w:t>R²</w:t>
      </w:r>
      <w:r w:rsidR="00307AF5"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w:t>
      </w:r>
      <w:r w:rsidR="00D7278E" w:rsidRPr="007C544A">
        <w:rPr>
          <w:rFonts w:ascii="Traditional Arabic" w:eastAsiaTheme="minorHAnsi" w:hAnsi="Traditional Arabic" w:cs="Traditional Arabic"/>
          <w:rtl/>
          <w:lang w:bidi="ar-EG"/>
        </w:rPr>
        <w:t xml:space="preserve"> (</w:t>
      </w:r>
      <w:r w:rsidR="00307AF5" w:rsidRPr="007C544A">
        <w:rPr>
          <w:rFonts w:ascii="Traditional Arabic" w:eastAsiaTheme="minorHAnsi" w:hAnsi="Traditional Arabic" w:cs="Traditional Arabic"/>
          <w:rtl/>
          <w:lang w:bidi="ar-EG"/>
        </w:rPr>
        <w:t>0.55</w:t>
      </w:r>
      <w:r w:rsidRPr="007C544A">
        <w:rPr>
          <w:rFonts w:ascii="Traditional Arabic" w:eastAsiaTheme="minorHAnsi" w:hAnsi="Traditional Arabic" w:cs="Traditional Arabic"/>
          <w:rtl/>
          <w:lang w:bidi="ar-EG"/>
        </w:rPr>
        <w:t>–0.62)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يشير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استراتيجية دمج الشركات تفسر نسبة معتبرة من التباين في أبعاد الجاهزية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lang w:bidi="ar-EG"/>
        </w:rPr>
        <w:t>.</w:t>
      </w:r>
    </w:p>
    <w:p w:rsidR="00307AF5" w:rsidRPr="007C544A" w:rsidRDefault="00307AF5"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w:t>
      </w:r>
      <w:r w:rsidR="00B8331B" w:rsidRPr="007C544A">
        <w:rPr>
          <w:rFonts w:ascii="Traditional Arabic" w:eastAsiaTheme="minorHAnsi" w:hAnsi="Traditional Arabic" w:cs="Traditional Arabic"/>
          <w:rtl/>
          <w:lang w:bidi="ar-EG"/>
        </w:rPr>
        <w:t>تشير نتائج تحليل الانحدار</w:t>
      </w:r>
      <w:r w:rsidR="000544F4" w:rsidRPr="007C544A">
        <w:rPr>
          <w:rFonts w:ascii="Traditional Arabic" w:eastAsiaTheme="minorHAnsi" w:hAnsi="Traditional Arabic" w:cs="Traditional Arabic"/>
          <w:rtl/>
          <w:lang w:bidi="ar-EG"/>
        </w:rPr>
        <w:t xml:space="preserve"> إلى </w:t>
      </w:r>
      <w:r w:rsidR="00B8331B" w:rsidRPr="007C544A">
        <w:rPr>
          <w:rFonts w:ascii="Traditional Arabic" w:eastAsiaTheme="minorHAnsi" w:hAnsi="Traditional Arabic" w:cs="Traditional Arabic"/>
          <w:rtl/>
          <w:lang w:bidi="ar-EG"/>
        </w:rPr>
        <w:t>وجود تأثير إيجابي ومعنوي لاستراتيجية دمج الشركات على الجاهزية لل</w:t>
      </w:r>
      <w:r w:rsidR="000544F4" w:rsidRPr="007C544A">
        <w:rPr>
          <w:rFonts w:ascii="Traditional Arabic" w:eastAsiaTheme="minorHAnsi" w:hAnsi="Traditional Arabic" w:cs="Traditional Arabic"/>
          <w:rtl/>
          <w:lang w:bidi="ar-EG"/>
        </w:rPr>
        <w:t>إدراج</w:t>
      </w:r>
      <w:r w:rsidR="00B8331B"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rtl/>
          <w:lang w:bidi="ar-EG"/>
        </w:rPr>
        <w:t>السوق الموازية)</w:t>
      </w:r>
      <w:r w:rsidRPr="007C544A">
        <w:rPr>
          <w:rFonts w:ascii="Traditional Arabic" w:eastAsiaTheme="minorHAnsi" w:hAnsi="Traditional Arabic" w:cs="Traditional Arabic"/>
          <w:rtl/>
          <w:lang w:bidi="ar-EG"/>
        </w:rPr>
        <w:t>".</w:t>
      </w:r>
    </w:p>
    <w:p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rsidR="0050564F" w:rsidRPr="007C544A" w:rsidRDefault="0050564F" w:rsidP="002D00D3">
      <w:pPr>
        <w:pStyle w:val="NormalWeb"/>
        <w:numPr>
          <w:ilvl w:val="0"/>
          <w:numId w:val="61"/>
        </w:numPr>
        <w:bidi/>
        <w:spacing w:before="0" w:beforeAutospacing="0" w:after="0" w:afterAutospacing="0" w:line="360" w:lineRule="auto"/>
        <w:jc w:val="both"/>
        <w:rPr>
          <w:rFonts w:ascii="Traditional Arabic" w:eastAsiaTheme="minorHAnsi" w:hAnsi="Traditional Arabic" w:cs="Traditional Arabic"/>
          <w:b/>
          <w:bCs/>
          <w:sz w:val="28"/>
          <w:szCs w:val="28"/>
          <w:rtl/>
          <w:lang w:bidi="ar-EG"/>
        </w:rPr>
      </w:pPr>
      <w:r w:rsidRPr="007C544A">
        <w:rPr>
          <w:rFonts w:ascii="Traditional Arabic" w:eastAsiaTheme="minorHAnsi" w:hAnsi="Traditional Arabic" w:cs="Traditional Arabic"/>
          <w:b/>
          <w:bCs/>
          <w:sz w:val="28"/>
          <w:szCs w:val="28"/>
          <w:rtl/>
          <w:lang w:bidi="ar-EG"/>
        </w:rPr>
        <w:lastRenderedPageBreak/>
        <w:t xml:space="preserve">الانحدار </w:t>
      </w:r>
      <w:r w:rsidR="00CC63BD" w:rsidRPr="007C544A">
        <w:rPr>
          <w:rFonts w:ascii="Traditional Arabic" w:eastAsiaTheme="minorHAnsi" w:hAnsi="Traditional Arabic" w:cs="Traditional Arabic"/>
          <w:b/>
          <w:bCs/>
          <w:sz w:val="28"/>
          <w:szCs w:val="28"/>
          <w:rtl/>
          <w:lang w:bidi="ar-EG"/>
        </w:rPr>
        <w:t>البسيط</w:t>
      </w:r>
      <w:r w:rsidR="00775B4E" w:rsidRPr="007C544A">
        <w:rPr>
          <w:rFonts w:ascii="Traditional Arabic" w:eastAsiaTheme="minorHAnsi" w:hAnsi="Traditional Arabic" w:cs="Traditional Arabic"/>
          <w:b/>
          <w:bCs/>
          <w:sz w:val="28"/>
          <w:szCs w:val="28"/>
          <w:rtl/>
          <w:lang w:bidi="ar-EG"/>
        </w:rPr>
        <w:t xml:space="preserve">: </w:t>
      </w:r>
    </w:p>
    <w:p w:rsidR="00B8331B" w:rsidRPr="007C544A" w:rsidRDefault="0050564F"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تم إجراء تحليل الانحدار لقياس الأثر التراكمي لاستراتيجية دمج الشركات </w:t>
      </w:r>
      <w:r w:rsidR="00B8331B" w:rsidRPr="007C544A">
        <w:rPr>
          <w:rFonts w:ascii="Traditional Arabic" w:eastAsiaTheme="minorHAnsi" w:hAnsi="Traditional Arabic" w:cs="Traditional Arabic"/>
          <w:rtl/>
          <w:lang w:bidi="ar-EG"/>
        </w:rPr>
        <w:t>على الجاهزية لل</w:t>
      </w:r>
      <w:r w:rsidR="000544F4" w:rsidRPr="007C544A">
        <w:rPr>
          <w:rFonts w:ascii="Traditional Arabic" w:eastAsiaTheme="minorHAnsi" w:hAnsi="Traditional Arabic" w:cs="Traditional Arabic"/>
          <w:rtl/>
          <w:lang w:bidi="ar-EG"/>
        </w:rPr>
        <w:t>إدراج</w:t>
      </w:r>
      <w:r w:rsidR="00B8331B"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rtl/>
          <w:lang w:bidi="ar-EG"/>
        </w:rPr>
        <w:t>السوق الموازية) كمتغير تابع كلي</w:t>
      </w:r>
      <w:r w:rsidR="00307AF5" w:rsidRPr="007C544A">
        <w:rPr>
          <w:rFonts w:ascii="Traditional Arabic" w:eastAsiaTheme="minorHAnsi" w:hAnsi="Traditional Arabic" w:cs="Traditional Arabic"/>
          <w:rtl/>
          <w:lang w:bidi="ar-EG"/>
        </w:rPr>
        <w:t>.</w:t>
      </w:r>
    </w:p>
    <w:p w:rsidR="008D300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C42361" w:rsidRPr="007C544A">
        <w:rPr>
          <w:rFonts w:ascii="Traditional Arabic" w:eastAsiaTheme="minorHAnsi" w:hAnsi="Traditional Arabic" w:cs="Traditional Arabic"/>
          <w:b/>
          <w:bCs/>
          <w:rtl/>
        </w:rPr>
        <w:t>-</w:t>
      </w:r>
      <w:r w:rsidR="00ED7F83" w:rsidRPr="007C544A">
        <w:rPr>
          <w:rFonts w:ascii="Traditional Arabic" w:eastAsiaTheme="minorHAnsi" w:hAnsi="Traditional Arabic" w:cs="Traditional Arabic"/>
          <w:b/>
          <w:bCs/>
          <w:rtl/>
        </w:rPr>
        <w:t>9)</w:t>
      </w:r>
    </w:p>
    <w:p w:rsidR="00BB305A" w:rsidRPr="007C544A" w:rsidRDefault="00BB305A"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الانحدار </w:t>
      </w:r>
      <w:r w:rsidR="00BE458E" w:rsidRPr="007C544A">
        <w:rPr>
          <w:rFonts w:ascii="Traditional Arabic" w:eastAsiaTheme="minorHAnsi" w:hAnsi="Traditional Arabic" w:cs="Traditional Arabic"/>
          <w:b/>
          <w:bCs/>
          <w:rtl/>
        </w:rPr>
        <w:t>البسيط</w:t>
      </w:r>
    </w:p>
    <w:tbl>
      <w:tblPr>
        <w:tblStyle w:val="TableGrid1"/>
        <w:bidiVisual/>
        <w:tblW w:w="767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331"/>
        <w:gridCol w:w="787"/>
        <w:gridCol w:w="787"/>
        <w:gridCol w:w="937"/>
        <w:gridCol w:w="2045"/>
        <w:gridCol w:w="787"/>
      </w:tblGrid>
      <w:tr w:rsidR="0050564F" w:rsidRPr="007C544A" w:rsidTr="00063512">
        <w:trPr>
          <w:trHeight w:val="620"/>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المتغير المستقل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B</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Cambria" w:hAnsi="Cambria" w:cs="Cambria"/>
                <w:sz w:val="24"/>
                <w:szCs w:val="24"/>
              </w:rPr>
              <w:t>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Sig.</w:t>
            </w:r>
            <w:r w:rsidR="00D7278E"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Pr>
              <w:t>P-value)</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R²</w:t>
            </w:r>
          </w:p>
        </w:tc>
      </w:tr>
      <w:tr w:rsidR="0050564F" w:rsidRPr="007C544A" w:rsidTr="00063512">
        <w:trPr>
          <w:trHeight w:val="620"/>
          <w:jc w:val="center"/>
        </w:trPr>
        <w:tc>
          <w:tcPr>
            <w:tcW w:w="0" w:type="auto"/>
            <w:tcBorders>
              <w:top w:val="threeDEmboss" w:sz="24" w:space="0" w:color="auto"/>
            </w:tcBorders>
            <w:shd w:val="clear" w:color="auto" w:fill="D9D9D9" w:themeFill="background1" w:themeFillShade="D9"/>
            <w:vAlign w:val="center"/>
            <w:hideMark/>
          </w:tcPr>
          <w:p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دمج الشركات</w:t>
            </w:r>
          </w:p>
        </w:tc>
        <w:tc>
          <w:tcPr>
            <w:tcW w:w="0" w:type="auto"/>
            <w:tcBorders>
              <w:top w:val="threeDEmboss" w:sz="24" w:space="0" w:color="auto"/>
            </w:tcBorders>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0.81</w:t>
            </w:r>
          </w:p>
        </w:tc>
        <w:tc>
          <w:tcPr>
            <w:tcW w:w="0" w:type="auto"/>
            <w:tcBorders>
              <w:top w:val="threeDEmboss" w:sz="24" w:space="0" w:color="auto"/>
            </w:tcBorders>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0.81</w:t>
            </w:r>
          </w:p>
        </w:tc>
        <w:tc>
          <w:tcPr>
            <w:tcW w:w="0" w:type="auto"/>
            <w:tcBorders>
              <w:top w:val="threeDEmboss" w:sz="24" w:space="0" w:color="auto"/>
            </w:tcBorders>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15.50</w:t>
            </w:r>
          </w:p>
        </w:tc>
        <w:tc>
          <w:tcPr>
            <w:tcW w:w="0" w:type="auto"/>
            <w:tcBorders>
              <w:top w:val="threeDEmboss" w:sz="24" w:space="0" w:color="auto"/>
            </w:tcBorders>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tcBorders>
              <w:top w:val="threeDEmboss" w:sz="24" w:space="0" w:color="auto"/>
            </w:tcBorders>
            <w:shd w:val="clear" w:color="auto" w:fill="FFFFFF" w:themeFill="background1"/>
            <w:vAlign w:val="center"/>
            <w:hideMark/>
          </w:tcPr>
          <w:p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0.67</w:t>
            </w:r>
          </w:p>
        </w:tc>
      </w:tr>
    </w:tbl>
    <w:p w:rsidR="00307AF5" w:rsidRPr="007C544A" w:rsidRDefault="0050564F"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يوضح الانحدار </w:t>
      </w:r>
      <w:r w:rsidR="00B8331B" w:rsidRPr="007C544A">
        <w:rPr>
          <w:rFonts w:ascii="Traditional Arabic" w:hAnsi="Traditional Arabic" w:cs="Traditional Arabic"/>
          <w:sz w:val="24"/>
          <w:szCs w:val="24"/>
          <w:rtl/>
          <w:lang w:bidi="ar-EG"/>
        </w:rPr>
        <w:t xml:space="preserve">البسيط </w:t>
      </w:r>
      <w:r w:rsidRPr="007C544A">
        <w:rPr>
          <w:rFonts w:ascii="Traditional Arabic" w:hAnsi="Traditional Arabic" w:cs="Traditional Arabic"/>
          <w:sz w:val="24"/>
          <w:szCs w:val="24"/>
          <w:rtl/>
          <w:lang w:bidi="ar-EG"/>
        </w:rPr>
        <w:t xml:space="preserve">أن استراتيجية الدمج تفسر حوالي </w:t>
      </w:r>
      <w:r w:rsidR="00307AF5"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67%</w:t>
      </w:r>
      <w:r w:rsidR="00307AF5"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 xml:space="preserve"> من التباين الكلي في جميع أبعاد دخول السوق الموازية</w:t>
      </w:r>
      <w:r w:rsidR="00307AF5" w:rsidRPr="007C544A">
        <w:rPr>
          <w:rFonts w:ascii="Traditional Arabic" w:hAnsi="Traditional Arabic" w:cs="Traditional Arabic"/>
          <w:sz w:val="24"/>
          <w:szCs w:val="24"/>
          <w:rtl/>
          <w:lang w:bidi="ar-EG"/>
        </w:rPr>
        <w:t>.</w:t>
      </w:r>
    </w:p>
    <w:p w:rsidR="0050564F" w:rsidRPr="007C544A" w:rsidRDefault="0050564F" w:rsidP="002D00D3">
      <w:pPr>
        <w:pStyle w:val="ListParagraph"/>
        <w:numPr>
          <w:ilvl w:val="0"/>
          <w:numId w:val="62"/>
        </w:numPr>
        <w:shd w:val="clear" w:color="auto" w:fill="FFFFFF" w:themeFill="background1"/>
        <w:bidi/>
        <w:spacing w:after="0" w:line="360" w:lineRule="auto"/>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معامل الانحدار القياسي</w:t>
      </w:r>
      <w:r w:rsidRPr="007C544A">
        <w:rPr>
          <w:rFonts w:ascii="Traditional Arabic" w:hAnsi="Traditional Arabic" w:cs="Traditional Arabic"/>
          <w:sz w:val="24"/>
          <w:szCs w:val="24"/>
          <w:lang w:bidi="ar-EG"/>
        </w:rPr>
        <w:t xml:space="preserve"> </w:t>
      </w:r>
      <w:r w:rsidRPr="007C544A">
        <w:rPr>
          <w:rFonts w:ascii="Cambria" w:hAnsi="Cambria" w:cs="Cambria"/>
          <w:sz w:val="24"/>
          <w:szCs w:val="24"/>
          <w:lang w:bidi="ar-EG"/>
        </w:rPr>
        <w:t>β</w:t>
      </w:r>
      <w:r w:rsidRPr="007C544A">
        <w:rPr>
          <w:rFonts w:ascii="Traditional Arabic" w:hAnsi="Traditional Arabic" w:cs="Traditional Arabic"/>
          <w:sz w:val="24"/>
          <w:szCs w:val="24"/>
          <w:lang w:bidi="ar-EG"/>
        </w:rPr>
        <w:t xml:space="preserve"> = 0.81 </w:t>
      </w:r>
      <w:r w:rsidRPr="007C544A">
        <w:rPr>
          <w:rFonts w:ascii="Traditional Arabic" w:hAnsi="Traditional Arabic" w:cs="Traditional Arabic"/>
          <w:sz w:val="24"/>
          <w:szCs w:val="24"/>
          <w:rtl/>
          <w:lang w:bidi="ar-EG"/>
        </w:rPr>
        <w:t>يعكس تأثيرًا إيجابيًا قويًا وتوافقيًا على جميع الأبعاد</w:t>
      </w:r>
      <w:r w:rsidRPr="007C544A">
        <w:rPr>
          <w:rFonts w:ascii="Traditional Arabic" w:hAnsi="Traditional Arabic" w:cs="Traditional Arabic"/>
          <w:sz w:val="24"/>
          <w:szCs w:val="24"/>
          <w:lang w:bidi="ar-EG"/>
        </w:rPr>
        <w:t xml:space="preserve">. </w:t>
      </w:r>
    </w:p>
    <w:p w:rsidR="001F1F71" w:rsidRPr="007C544A" w:rsidRDefault="0050564F" w:rsidP="002D00D3">
      <w:pPr>
        <w:pStyle w:val="ListParagraph"/>
        <w:numPr>
          <w:ilvl w:val="0"/>
          <w:numId w:val="62"/>
        </w:numPr>
        <w:shd w:val="clear" w:color="auto" w:fill="FFFFFF" w:themeFill="background1"/>
        <w:bidi/>
        <w:spacing w:after="0" w:line="360" w:lineRule="auto"/>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قيمة</w:t>
      </w:r>
      <w:r w:rsidRPr="007C544A">
        <w:rPr>
          <w:rFonts w:ascii="Traditional Arabic" w:hAnsi="Traditional Arabic" w:cs="Traditional Arabic"/>
          <w:sz w:val="24"/>
          <w:szCs w:val="24"/>
          <w:lang w:bidi="ar-EG"/>
        </w:rPr>
        <w:t xml:space="preserve"> P-value </w:t>
      </w:r>
      <w:r w:rsidRPr="007C544A">
        <w:rPr>
          <w:rFonts w:ascii="Traditional Arabic" w:hAnsi="Traditional Arabic" w:cs="Traditional Arabic"/>
          <w:sz w:val="24"/>
          <w:szCs w:val="24"/>
          <w:rtl/>
          <w:lang w:bidi="ar-EG"/>
        </w:rPr>
        <w:t>منخفضة جدًا</w:t>
      </w:r>
      <w:r w:rsidR="00D7278E" w:rsidRPr="007C544A">
        <w:rPr>
          <w:rFonts w:ascii="Traditional Arabic" w:hAnsi="Traditional Arabic" w:cs="Traditional Arabic"/>
          <w:sz w:val="24"/>
          <w:szCs w:val="24"/>
          <w:rtl/>
          <w:lang w:bidi="ar-EG"/>
        </w:rPr>
        <w:t xml:space="preserve"> </w:t>
      </w:r>
      <w:r w:rsidR="00D7278E" w:rsidRPr="007C544A">
        <w:rPr>
          <w:rFonts w:ascii="Traditional Arabic" w:hAnsi="Traditional Arabic" w:cs="Traditional Arabic"/>
          <w:sz w:val="24"/>
          <w:szCs w:val="24"/>
          <w:lang w:bidi="ar-EG"/>
        </w:rPr>
        <w:t>(</w:t>
      </w:r>
      <w:r w:rsidRPr="007C544A">
        <w:rPr>
          <w:rFonts w:ascii="Traditional Arabic" w:hAnsi="Traditional Arabic" w:cs="Traditional Arabic"/>
          <w:sz w:val="24"/>
          <w:szCs w:val="24"/>
          <w:lang w:bidi="ar-EG"/>
        </w:rPr>
        <w:t>&lt;0.001)</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مما يدل على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عالية</w:t>
      </w:r>
      <w:r w:rsidR="001F1F71" w:rsidRPr="007C544A">
        <w:rPr>
          <w:rFonts w:ascii="Traditional Arabic" w:hAnsi="Traditional Arabic" w:cs="Traditional Arabic"/>
          <w:sz w:val="24"/>
          <w:szCs w:val="24"/>
          <w:rtl/>
          <w:lang w:bidi="ar-EG"/>
        </w:rPr>
        <w:t>.</w:t>
      </w:r>
    </w:p>
    <w:p w:rsidR="00307AF5" w:rsidRPr="007C544A" w:rsidRDefault="00B8331B" w:rsidP="002D00D3">
      <w:pPr>
        <w:pStyle w:val="NormalWeb"/>
        <w:numPr>
          <w:ilvl w:val="0"/>
          <w:numId w:val="62"/>
        </w:numPr>
        <w:bidi/>
        <w:spacing w:before="0" w:beforeAutospacing="0" w:after="0" w:afterAutospacing="0" w:line="360" w:lineRule="auto"/>
        <w:jc w:val="both"/>
        <w:rPr>
          <w:rFonts w:ascii="Traditional Arabic" w:hAnsi="Traditional Arabic" w:cs="Traditional Arabic"/>
        </w:rPr>
      </w:pPr>
      <w:r w:rsidRPr="007C544A">
        <w:rPr>
          <w:rFonts w:ascii="Traditional Arabic" w:eastAsiaTheme="minorHAnsi" w:hAnsi="Traditional Arabic" w:cs="Traditional Arabic"/>
          <w:rtl/>
          <w:lang w:bidi="ar-EG"/>
        </w:rPr>
        <w:t>تشير نتائج تحليل الانحدار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وجود تأثير إيجابي ومعنوي لاستراتيجية دمج الشركات على الجاهزية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السوق الموازية)</w:t>
      </w:r>
      <w:r w:rsidR="00307AF5" w:rsidRPr="007C544A">
        <w:rPr>
          <w:rFonts w:ascii="Traditional Arabic" w:eastAsiaTheme="minorHAnsi" w:hAnsi="Traditional Arabic" w:cs="Traditional Arabic"/>
          <w:rtl/>
          <w:lang w:bidi="ar-EG"/>
        </w:rPr>
        <w:t>"</w:t>
      </w:r>
      <w:r w:rsidR="001F1F71" w:rsidRPr="007C544A">
        <w:rPr>
          <w:rFonts w:ascii="Traditional Arabic" w:eastAsiaTheme="minorHAnsi" w:hAnsi="Traditional Arabic" w:cs="Traditional Arabic"/>
          <w:rtl/>
          <w:lang w:bidi="ar-EG"/>
        </w:rPr>
        <w:t>.</w:t>
      </w:r>
    </w:p>
    <w:p w:rsidR="00307AF5" w:rsidRPr="007C544A" w:rsidRDefault="00CC63BD"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t xml:space="preserve">أوضحت نتائج الانحدار الأحادي وجود تأثير إيجابي دال </w:t>
      </w:r>
      <w:r w:rsidR="004C5D0F" w:rsidRPr="007C544A">
        <w:rPr>
          <w:rStyle w:val="Strong"/>
          <w:rFonts w:ascii="Traditional Arabic" w:hAnsi="Traditional Arabic" w:cs="Traditional Arabic"/>
          <w:b w:val="0"/>
          <w:bCs w:val="0"/>
          <w:rtl/>
        </w:rPr>
        <w:t>إحصائي</w:t>
      </w:r>
      <w:r w:rsidRPr="007C544A">
        <w:rPr>
          <w:rStyle w:val="Strong"/>
          <w:rFonts w:ascii="Traditional Arabic" w:hAnsi="Traditional Arabic" w:cs="Traditional Arabic"/>
          <w:b w:val="0"/>
          <w:bCs w:val="0"/>
          <w:rtl/>
        </w:rPr>
        <w:t>ا لاستراتيجية الدمج على كل بُعد من أبعاد الدراسة على حدة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حيث جاء </w:t>
      </w:r>
      <w:r w:rsidR="005C20E0" w:rsidRPr="007C544A">
        <w:rPr>
          <w:rStyle w:val="Strong"/>
          <w:rFonts w:ascii="Traditional Arabic" w:hAnsi="Traditional Arabic" w:cs="Traditional Arabic"/>
          <w:b w:val="0"/>
          <w:bCs w:val="0"/>
          <w:rtl/>
        </w:rPr>
        <w:t>الأداء</w:t>
      </w:r>
      <w:r w:rsidRPr="007C544A">
        <w:rPr>
          <w:rStyle w:val="Strong"/>
          <w:rFonts w:ascii="Traditional Arabic" w:hAnsi="Traditional Arabic" w:cs="Traditional Arabic"/>
          <w:b w:val="0"/>
          <w:bCs w:val="0"/>
          <w:rtl/>
        </w:rPr>
        <w:t xml:space="preserve"> المالي في المقدمة من حيث قوة التأثير</w:t>
      </w:r>
      <w:r w:rsidR="00D7278E" w:rsidRPr="007C544A">
        <w:rPr>
          <w:rStyle w:val="Strong"/>
          <w:rFonts w:ascii="Traditional Arabic" w:hAnsi="Traditional Arabic" w:cs="Traditional Arabic"/>
          <w:b w:val="0"/>
          <w:bCs w:val="0"/>
          <w:rtl/>
        </w:rPr>
        <w:t xml:space="preserve"> </w:t>
      </w:r>
      <w:r w:rsidR="00D7278E" w:rsidRPr="007C544A">
        <w:rPr>
          <w:rStyle w:val="Strong"/>
          <w:rFonts w:ascii="Traditional Arabic" w:hAnsi="Traditional Arabic" w:cs="Traditional Arabic"/>
          <w:b w:val="0"/>
          <w:bCs w:val="0"/>
        </w:rPr>
        <w:t>(</w:t>
      </w:r>
      <w:r w:rsidRPr="007C544A">
        <w:rPr>
          <w:rStyle w:val="Strong"/>
          <w:rFonts w:ascii="Cambria" w:hAnsi="Cambria" w:cs="Cambria"/>
          <w:b w:val="0"/>
          <w:bCs w:val="0"/>
        </w:rPr>
        <w:t>β</w:t>
      </w:r>
      <w:r w:rsidRPr="007C544A">
        <w:rPr>
          <w:rStyle w:val="Strong"/>
          <w:rFonts w:ascii="Traditional Arabic" w:hAnsi="Traditional Arabic" w:cs="Traditional Arabic"/>
          <w:b w:val="0"/>
          <w:bCs w:val="0"/>
        </w:rPr>
        <w:t xml:space="preserve"> = 0.79)</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يليه كل من فرص التمويل</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ثم القدرة التنافسية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وأخيرًا الحوكمة</w:t>
      </w:r>
      <w:r w:rsidR="00307AF5" w:rsidRPr="007C544A">
        <w:rPr>
          <w:rStyle w:val="Strong"/>
          <w:rFonts w:ascii="Traditional Arabic" w:hAnsi="Traditional Arabic" w:cs="Traditional Arabic"/>
          <w:b w:val="0"/>
          <w:bCs w:val="0"/>
          <w:rtl/>
        </w:rPr>
        <w:t>.</w:t>
      </w:r>
    </w:p>
    <w:p w:rsidR="00307AF5" w:rsidRPr="007C544A" w:rsidRDefault="00CC63BD" w:rsidP="00E00929">
      <w:pPr>
        <w:pStyle w:val="NormalWeb"/>
        <w:bidi/>
        <w:spacing w:before="0" w:beforeAutospacing="0" w:after="0" w:afterAutospacing="0" w:line="276" w:lineRule="auto"/>
        <w:ind w:firstLine="720"/>
        <w:jc w:val="both"/>
        <w:rPr>
          <w:rFonts w:ascii="Traditional Arabic" w:eastAsiaTheme="minorHAnsi" w:hAnsi="Traditional Arabic" w:cs="Traditional Arabic"/>
          <w:b/>
          <w:bCs/>
          <w:rtl/>
          <w:lang w:bidi="ar-EG"/>
        </w:rPr>
      </w:pPr>
      <w:r w:rsidRPr="007C544A">
        <w:rPr>
          <w:rStyle w:val="Strong"/>
          <w:rFonts w:ascii="Traditional Arabic" w:hAnsi="Traditional Arabic" w:cs="Traditional Arabic"/>
          <w:b w:val="0"/>
          <w:bCs w:val="0"/>
          <w:rtl/>
        </w:rPr>
        <w:t>كما بيّنت نتائج الانحدار</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على المتغير الكلي المجمع) أن استراتيجية الدمج تفسر نحو</w:t>
      </w:r>
      <w:r w:rsidR="00307AF5" w:rsidRPr="007C544A">
        <w:rPr>
          <w:rStyle w:val="Strong"/>
          <w:rFonts w:ascii="Traditional Arabic" w:hAnsi="Traditional Arabic" w:cs="Traditional Arabic"/>
          <w:b w:val="0"/>
          <w:bCs w:val="0"/>
          <w:rtl/>
        </w:rPr>
        <w:t xml:space="preserve"> (</w:t>
      </w:r>
      <w:r w:rsidR="00307AF5" w:rsidRPr="007C544A">
        <w:rPr>
          <w:rStyle w:val="Strong"/>
          <w:rFonts w:ascii="Traditional Arabic" w:hAnsi="Traditional Arabic" w:cs="Traditional Arabic"/>
          <w:b w:val="0"/>
          <w:bCs w:val="0"/>
        </w:rPr>
        <w:t>R² = 0.67</w:t>
      </w:r>
      <w:r w:rsidR="00307AF5"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من التباين في أبعاد دخول السوق الموازية مجتمعة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مع وجود تأثير إيجابي قوي</w:t>
      </w:r>
      <w:r w:rsidR="00307AF5" w:rsidRPr="007C544A">
        <w:rPr>
          <w:rStyle w:val="Strong"/>
          <w:rFonts w:ascii="Traditional Arabic" w:hAnsi="Traditional Arabic" w:cs="Traditional Arabic"/>
          <w:b w:val="0"/>
          <w:bCs w:val="0"/>
          <w:rtl/>
        </w:rPr>
        <w:t xml:space="preserve"> (</w:t>
      </w:r>
      <w:r w:rsidR="00307AF5" w:rsidRPr="007C544A">
        <w:rPr>
          <w:rStyle w:val="Strong"/>
          <w:rFonts w:ascii="Cambria" w:hAnsi="Cambria" w:cs="Cambria"/>
          <w:b w:val="0"/>
          <w:bCs w:val="0"/>
        </w:rPr>
        <w:t>β</w:t>
      </w:r>
      <w:r w:rsidR="00307AF5" w:rsidRPr="007C544A">
        <w:rPr>
          <w:rStyle w:val="Strong"/>
          <w:rFonts w:ascii="Traditional Arabic" w:hAnsi="Traditional Arabic" w:cs="Traditional Arabic"/>
          <w:b w:val="0"/>
          <w:bCs w:val="0"/>
        </w:rPr>
        <w:t xml:space="preserve"> = 0.81</w:t>
      </w:r>
      <w:r w:rsidR="00307AF5"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ودال </w:t>
      </w:r>
      <w:r w:rsidR="004C5D0F" w:rsidRPr="007C544A">
        <w:rPr>
          <w:rStyle w:val="Strong"/>
          <w:rFonts w:ascii="Traditional Arabic" w:hAnsi="Traditional Arabic" w:cs="Traditional Arabic"/>
          <w:b w:val="0"/>
          <w:bCs w:val="0"/>
          <w:rtl/>
        </w:rPr>
        <w:t>إحصائي</w:t>
      </w:r>
      <w:r w:rsidRPr="007C544A">
        <w:rPr>
          <w:rStyle w:val="Strong"/>
          <w:rFonts w:ascii="Traditional Arabic" w:hAnsi="Traditional Arabic" w:cs="Traditional Arabic"/>
          <w:b w:val="0"/>
          <w:bCs w:val="0"/>
          <w:rtl/>
        </w:rPr>
        <w:t>ا</w:t>
      </w:r>
      <w:r w:rsidR="00307AF5" w:rsidRPr="007C544A">
        <w:rPr>
          <w:rStyle w:val="Strong"/>
          <w:rFonts w:ascii="Traditional Arabic" w:hAnsi="Traditional Arabic" w:cs="Traditional Arabic"/>
          <w:b w:val="0"/>
          <w:bCs w:val="0"/>
          <w:rtl/>
        </w:rPr>
        <w:t>ً</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مما يعكس الدور التكاملي لاستراتيجية الدمج في تحسين </w:t>
      </w:r>
      <w:r w:rsidR="005C20E0" w:rsidRPr="007C544A">
        <w:rPr>
          <w:rStyle w:val="Strong"/>
          <w:rFonts w:ascii="Traditional Arabic" w:hAnsi="Traditional Arabic" w:cs="Traditional Arabic"/>
          <w:b w:val="0"/>
          <w:bCs w:val="0"/>
          <w:rtl/>
        </w:rPr>
        <w:t>الأداء</w:t>
      </w:r>
      <w:r w:rsidRPr="007C544A">
        <w:rPr>
          <w:rStyle w:val="Strong"/>
          <w:rFonts w:ascii="Traditional Arabic" w:hAnsi="Traditional Arabic" w:cs="Traditional Arabic"/>
          <w:b w:val="0"/>
          <w:bCs w:val="0"/>
          <w:rtl/>
        </w:rPr>
        <w:t xml:space="preserve"> المالي</w:t>
      </w:r>
      <w:r w:rsidR="00D7278E" w:rsidRPr="007C544A">
        <w:rPr>
          <w:rStyle w:val="Strong"/>
          <w:rFonts w:ascii="Traditional Arabic" w:hAnsi="Traditional Arabic" w:cs="Traditional Arabic"/>
          <w:b w:val="0"/>
          <w:bCs w:val="0"/>
          <w:rtl/>
        </w:rPr>
        <w:t xml:space="preserve">، </w:t>
      </w:r>
      <w:r w:rsidRPr="007C544A">
        <w:rPr>
          <w:rFonts w:ascii="Traditional Arabic" w:eastAsiaTheme="minorHAnsi" w:hAnsi="Traditional Arabic" w:cs="Traditional Arabic"/>
          <w:rtl/>
          <w:lang w:bidi="ar-EG"/>
        </w:rPr>
        <w:t>وتعزيز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وزيادة القدرة التنافسية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وتوسيع فرص التمويل في آنٍ واحد</w:t>
      </w:r>
      <w:r w:rsidR="00D7278E" w:rsidRPr="007C544A">
        <w:rPr>
          <w:rFonts w:ascii="Traditional Arabic" w:eastAsiaTheme="minorHAnsi" w:hAnsi="Traditional Arabic" w:cs="Traditional Arabic"/>
          <w:rtl/>
          <w:lang w:bidi="ar-EG"/>
        </w:rPr>
        <w:t>،</w:t>
      </w:r>
      <w:r w:rsidR="00307AF5"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rtl/>
          <w:lang w:bidi="ar-EG"/>
        </w:rPr>
        <w:t>وتتسق هذه النتائج مع الفرض الرئيسي للدراسة</w:t>
      </w:r>
      <w:r w:rsidR="00307AF5" w:rsidRPr="007C544A">
        <w:rPr>
          <w:rFonts w:ascii="Traditional Arabic" w:eastAsiaTheme="minorHAnsi" w:hAnsi="Traditional Arabic" w:cs="Traditional Arabic"/>
          <w:rtl/>
          <w:lang w:bidi="ar-EG"/>
        </w:rPr>
        <w:t>".</w:t>
      </w:r>
    </w:p>
    <w:p w:rsidR="001C3662" w:rsidRPr="007C544A" w:rsidRDefault="001A6710" w:rsidP="00E00929">
      <w:pPr>
        <w:pStyle w:val="NormalWeb"/>
        <w:shd w:val="clear" w:color="auto" w:fill="FFFFFF" w:themeFill="background1"/>
        <w:bidi/>
        <w:spacing w:before="0" w:beforeAutospacing="0" w:after="0" w:afterAutospacing="0" w:line="276"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4-10)</w:t>
      </w:r>
    </w:p>
    <w:p w:rsidR="001A6710" w:rsidRPr="007C544A" w:rsidRDefault="001A6710" w:rsidP="00E00929">
      <w:pPr>
        <w:pStyle w:val="NormalWeb"/>
        <w:shd w:val="clear" w:color="auto" w:fill="FFFFFF" w:themeFill="background1"/>
        <w:bidi/>
        <w:spacing w:before="0" w:beforeAutospacing="0" w:after="0" w:afterAutospacing="0" w:line="276"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الانحدار البسيط</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237"/>
        <w:gridCol w:w="1126"/>
        <w:gridCol w:w="582"/>
        <w:gridCol w:w="693"/>
        <w:gridCol w:w="693"/>
        <w:gridCol w:w="582"/>
      </w:tblGrid>
      <w:tr w:rsidR="008F11F5" w:rsidRPr="007C544A" w:rsidTr="00775B4E">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المتغير المستقل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المتغير التابع</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Cambria" w:hAnsi="Cambria" w:cs="Cambria"/>
                <w:sz w:val="24"/>
                <w:szCs w:val="24"/>
              </w:rPr>
              <w:t>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Sig</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R²</w:t>
            </w:r>
          </w:p>
        </w:tc>
      </w:tr>
      <w:tr w:rsidR="008F11F5" w:rsidRPr="007C544A" w:rsidTr="00775B4E">
        <w:trPr>
          <w:jc w:val="center"/>
        </w:trPr>
        <w:tc>
          <w:tcPr>
            <w:tcW w:w="0" w:type="auto"/>
            <w:tcBorders>
              <w:top w:val="threeDEmboss" w:sz="24" w:space="0" w:color="auto"/>
            </w:tcBorders>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tcBorders>
              <w:top w:val="threeDEmboss" w:sz="24" w:space="0" w:color="auto"/>
            </w:tcBorders>
            <w:shd w:val="clear" w:color="auto" w:fill="D9D9D9" w:themeFill="background1" w:themeFillShade="D9"/>
            <w:vAlign w:val="center"/>
            <w:hideMark/>
          </w:tcPr>
          <w:p w:rsidR="001A6710"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1A6710"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0.79</w:t>
            </w:r>
          </w:p>
        </w:tc>
        <w:tc>
          <w:tcPr>
            <w:tcW w:w="0" w:type="auto"/>
            <w:tcBorders>
              <w:top w:val="threeDEmboss" w:sz="24" w:space="0" w:color="auto"/>
            </w:tcBorders>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12.40</w:t>
            </w:r>
          </w:p>
        </w:tc>
        <w:tc>
          <w:tcPr>
            <w:tcW w:w="0" w:type="auto"/>
            <w:tcBorders>
              <w:top w:val="threeDEmboss" w:sz="24" w:space="0" w:color="auto"/>
            </w:tcBorders>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tcBorders>
              <w:top w:val="threeDEmboss" w:sz="24" w:space="0" w:color="auto"/>
            </w:tcBorders>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0.62</w:t>
            </w:r>
          </w:p>
        </w:tc>
      </w:tr>
      <w:tr w:rsidR="008F11F5" w:rsidRPr="007C544A" w:rsidTr="00775B4E">
        <w:trPr>
          <w:jc w:val="center"/>
        </w:trPr>
        <w:tc>
          <w:tcPr>
            <w:tcW w:w="0" w:type="auto"/>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الحوكمة</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0.74</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11.05</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0.55</w:t>
            </w:r>
          </w:p>
        </w:tc>
      </w:tr>
      <w:tr w:rsidR="008F11F5" w:rsidRPr="007C544A" w:rsidTr="00775B4E">
        <w:trPr>
          <w:jc w:val="center"/>
        </w:trPr>
        <w:tc>
          <w:tcPr>
            <w:tcW w:w="0" w:type="auto"/>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التنافسية</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0.76</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11.50</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0.58</w:t>
            </w:r>
          </w:p>
        </w:tc>
      </w:tr>
      <w:tr w:rsidR="008F11F5" w:rsidRPr="007C544A" w:rsidTr="00775B4E">
        <w:trPr>
          <w:jc w:val="center"/>
        </w:trPr>
        <w:tc>
          <w:tcPr>
            <w:tcW w:w="0" w:type="auto"/>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shd w:val="clear" w:color="auto" w:fill="D9D9D9" w:themeFill="background1" w:themeFillShade="D9"/>
            <w:vAlign w:val="center"/>
            <w:hideMark/>
          </w:tcPr>
          <w:p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التمويل</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0.78</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12.10</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vAlign w:val="center"/>
            <w:hideMark/>
          </w:tcPr>
          <w:p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0.60</w:t>
            </w:r>
          </w:p>
        </w:tc>
      </w:tr>
    </w:tbl>
    <w:p w:rsidR="001C3662" w:rsidRPr="007C544A" w:rsidRDefault="00AC2CCE"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lastRenderedPageBreak/>
        <w:t>يتضح من جدول</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4-10) وجود تأثير إيجابي دال </w:t>
      </w:r>
      <w:r w:rsidR="004C5D0F" w:rsidRPr="007C544A">
        <w:rPr>
          <w:rStyle w:val="Strong"/>
          <w:rFonts w:ascii="Traditional Arabic" w:hAnsi="Traditional Arabic" w:cs="Traditional Arabic"/>
          <w:b w:val="0"/>
          <w:bCs w:val="0"/>
          <w:rtl/>
        </w:rPr>
        <w:t>إحصائي</w:t>
      </w:r>
      <w:r w:rsidRPr="007C544A">
        <w:rPr>
          <w:rStyle w:val="Strong"/>
          <w:rFonts w:ascii="Traditional Arabic" w:hAnsi="Traditional Arabic" w:cs="Traditional Arabic"/>
          <w:b w:val="0"/>
          <w:bCs w:val="0"/>
          <w:rtl/>
        </w:rPr>
        <w:t>ا لاستراتيجية دمج الشركات على أبعاد</w:t>
      </w:r>
      <w:r w:rsidR="00B8331B" w:rsidRPr="007C544A">
        <w:rPr>
          <w:rStyle w:val="Strong"/>
          <w:rFonts w:ascii="Traditional Arabic" w:hAnsi="Traditional Arabic" w:cs="Traditional Arabic"/>
          <w:b w:val="0"/>
          <w:bCs w:val="0"/>
          <w:rtl/>
        </w:rPr>
        <w:t xml:space="preserve"> الجاهزية لل</w:t>
      </w:r>
      <w:r w:rsidR="000544F4" w:rsidRPr="007C544A">
        <w:rPr>
          <w:rStyle w:val="Strong"/>
          <w:rFonts w:ascii="Traditional Arabic" w:hAnsi="Traditional Arabic" w:cs="Traditional Arabic"/>
          <w:b w:val="0"/>
          <w:bCs w:val="0"/>
          <w:rtl/>
        </w:rPr>
        <w:t>إدراج</w:t>
      </w:r>
      <w:r w:rsidR="00B8331B" w:rsidRPr="007C544A">
        <w:rPr>
          <w:rStyle w:val="Strong"/>
          <w:rFonts w:ascii="Traditional Arabic" w:hAnsi="Traditional Arabic" w:cs="Traditional Arabic"/>
          <w:b w:val="0"/>
          <w:bCs w:val="0"/>
          <w:rtl/>
        </w:rPr>
        <w:t xml:space="preserve"> في</w:t>
      </w:r>
      <w:r w:rsidRPr="007C544A">
        <w:rPr>
          <w:rStyle w:val="Strong"/>
          <w:rFonts w:ascii="Traditional Arabic" w:hAnsi="Traditional Arabic" w:cs="Traditional Arabic"/>
          <w:b w:val="0"/>
          <w:bCs w:val="0"/>
          <w:rtl/>
        </w:rPr>
        <w:t xml:space="preserve"> دخول السوق الموازية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حيث تراوحت قيم</w:t>
      </w:r>
      <w:r w:rsidR="00D7278E" w:rsidRPr="007C544A">
        <w:rPr>
          <w:rStyle w:val="Strong"/>
          <w:rFonts w:ascii="Traditional Arabic" w:hAnsi="Traditional Arabic" w:cs="Traditional Arabic"/>
          <w:b w:val="0"/>
          <w:bCs w:val="0"/>
          <w:rtl/>
        </w:rPr>
        <w:t xml:space="preserve"> </w:t>
      </w:r>
      <w:r w:rsidR="00D7278E" w:rsidRPr="007C544A">
        <w:rPr>
          <w:rStyle w:val="Strong"/>
          <w:rFonts w:ascii="Traditional Arabic" w:hAnsi="Traditional Arabic" w:cs="Traditional Arabic"/>
          <w:b w:val="0"/>
          <w:bCs w:val="0"/>
        </w:rPr>
        <w:t>(</w:t>
      </w:r>
      <w:r w:rsidRPr="007C544A">
        <w:rPr>
          <w:rStyle w:val="Strong"/>
          <w:rFonts w:ascii="Cambria" w:hAnsi="Cambria" w:cs="Cambria"/>
          <w:b w:val="0"/>
          <w:bCs w:val="0"/>
        </w:rPr>
        <w:t>β</w:t>
      </w:r>
      <w:r w:rsidRPr="007C544A">
        <w:rPr>
          <w:rStyle w:val="Strong"/>
          <w:rFonts w:ascii="Traditional Arabic" w:hAnsi="Traditional Arabic" w:cs="Traditional Arabic"/>
          <w:b w:val="0"/>
          <w:bCs w:val="0"/>
        </w:rPr>
        <w:t xml:space="preserve">) </w:t>
      </w:r>
      <w:r w:rsidR="001C3662"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بين</w:t>
      </w:r>
      <w:r w:rsidR="00D7278E" w:rsidRPr="007C544A">
        <w:rPr>
          <w:rStyle w:val="Strong"/>
          <w:rFonts w:ascii="Traditional Arabic" w:hAnsi="Traditional Arabic" w:cs="Traditional Arabic"/>
          <w:b w:val="0"/>
          <w:bCs w:val="0"/>
          <w:rtl/>
        </w:rPr>
        <w:t xml:space="preserve"> (</w:t>
      </w:r>
      <w:r w:rsidR="001C3662" w:rsidRPr="007C544A">
        <w:rPr>
          <w:rStyle w:val="Strong"/>
          <w:rFonts w:ascii="Traditional Arabic" w:hAnsi="Traditional Arabic" w:cs="Traditional Arabic"/>
          <w:b w:val="0"/>
          <w:bCs w:val="0"/>
          <w:rtl/>
        </w:rPr>
        <w:t>0.74</w:t>
      </w:r>
      <w:r w:rsidRPr="007C544A">
        <w:rPr>
          <w:rStyle w:val="Strong"/>
          <w:rFonts w:ascii="Traditional Arabic" w:hAnsi="Traditional Arabic" w:cs="Traditional Arabic"/>
          <w:b w:val="0"/>
          <w:bCs w:val="0"/>
          <w:rtl/>
        </w:rPr>
        <w:t>–0.79) مع قيم</w:t>
      </w:r>
      <w:r w:rsidR="001C3662" w:rsidRPr="007C544A">
        <w:rPr>
          <w:rStyle w:val="Strong"/>
          <w:rFonts w:ascii="Traditional Arabic" w:hAnsi="Traditional Arabic" w:cs="Traditional Arabic"/>
          <w:b w:val="0"/>
          <w:bCs w:val="0"/>
          <w:rtl/>
        </w:rPr>
        <w:t xml:space="preserve"> (</w:t>
      </w:r>
      <w:r w:rsidR="001C3662" w:rsidRPr="007C544A">
        <w:rPr>
          <w:rStyle w:val="Strong"/>
          <w:rFonts w:ascii="Traditional Arabic" w:hAnsi="Traditional Arabic" w:cs="Traditional Arabic"/>
          <w:b w:val="0"/>
          <w:bCs w:val="0"/>
        </w:rPr>
        <w:t>R²</w:t>
      </w:r>
      <w:r w:rsidR="001C3662"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مرتفعة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مما يشير</w:t>
      </w:r>
      <w:r w:rsidR="000544F4" w:rsidRPr="007C544A">
        <w:rPr>
          <w:rStyle w:val="Strong"/>
          <w:rFonts w:ascii="Traditional Arabic" w:hAnsi="Traditional Arabic" w:cs="Traditional Arabic"/>
          <w:b w:val="0"/>
          <w:bCs w:val="0"/>
          <w:rtl/>
        </w:rPr>
        <w:t xml:space="preserve"> إلى </w:t>
      </w:r>
      <w:r w:rsidRPr="007C544A">
        <w:rPr>
          <w:rStyle w:val="Strong"/>
          <w:rFonts w:ascii="Traditional Arabic" w:hAnsi="Traditional Arabic" w:cs="Traditional Arabic"/>
          <w:b w:val="0"/>
          <w:bCs w:val="0"/>
          <w:rtl/>
        </w:rPr>
        <w:t>قوة تأثير الاستراتيجية على الأبعاد المختلفة</w:t>
      </w:r>
      <w:r w:rsidR="001C3662" w:rsidRPr="007C544A">
        <w:rPr>
          <w:rStyle w:val="Strong"/>
          <w:rFonts w:ascii="Traditional Arabic" w:hAnsi="Traditional Arabic" w:cs="Traditional Arabic"/>
          <w:b w:val="0"/>
          <w:bCs w:val="0"/>
          <w:rtl/>
        </w:rPr>
        <w:t>.</w:t>
      </w:r>
    </w:p>
    <w:p w:rsidR="001C3662" w:rsidRPr="007C544A" w:rsidRDefault="00A00EC1" w:rsidP="002D00D3">
      <w:pPr>
        <w:pStyle w:val="NormalWeb"/>
        <w:numPr>
          <w:ilvl w:val="0"/>
          <w:numId w:val="61"/>
        </w:numPr>
        <w:bidi/>
        <w:spacing w:before="0" w:beforeAutospacing="0" w:after="0" w:afterAutospacing="0" w:line="360" w:lineRule="auto"/>
        <w:jc w:val="both"/>
        <w:rPr>
          <w:rFonts w:ascii="Traditional Arabic" w:eastAsiaTheme="minorHAnsi" w:hAnsi="Traditional Arabic" w:cs="Traditional Arabic"/>
          <w:b/>
          <w:bCs/>
          <w:sz w:val="26"/>
          <w:szCs w:val="26"/>
          <w:lang w:bidi="ar-EG"/>
        </w:rPr>
      </w:pPr>
      <w:r w:rsidRPr="007C544A">
        <w:rPr>
          <w:rFonts w:ascii="Traditional Arabic" w:eastAsiaTheme="minorHAnsi" w:hAnsi="Traditional Arabic" w:cs="Traditional Arabic"/>
          <w:b/>
          <w:bCs/>
          <w:sz w:val="26"/>
          <w:szCs w:val="26"/>
          <w:rtl/>
          <w:lang w:bidi="ar-EG"/>
        </w:rPr>
        <w:t>تحليل الفروق</w:t>
      </w:r>
      <w:r w:rsidR="001C3662" w:rsidRPr="007C544A">
        <w:rPr>
          <w:rFonts w:ascii="Traditional Arabic" w:eastAsiaTheme="minorHAnsi" w:hAnsi="Traditional Arabic" w:cs="Traditional Arabic"/>
          <w:b/>
          <w:bCs/>
          <w:sz w:val="26"/>
          <w:szCs w:val="26"/>
          <w:rtl/>
          <w:lang w:bidi="ar-EG"/>
        </w:rPr>
        <w:t xml:space="preserve"> (</w:t>
      </w:r>
      <w:r w:rsidR="001C3662" w:rsidRPr="007C544A">
        <w:rPr>
          <w:rFonts w:ascii="Traditional Arabic" w:eastAsiaTheme="minorHAnsi" w:hAnsi="Traditional Arabic" w:cs="Traditional Arabic"/>
          <w:b/>
          <w:bCs/>
          <w:sz w:val="26"/>
          <w:szCs w:val="26"/>
          <w:lang w:bidi="ar-EG"/>
        </w:rPr>
        <w:t>ANOVA</w:t>
      </w:r>
      <w:r w:rsidR="001C3662" w:rsidRPr="007C544A">
        <w:rPr>
          <w:rFonts w:ascii="Traditional Arabic" w:eastAsiaTheme="minorHAnsi" w:hAnsi="Traditional Arabic" w:cs="Traditional Arabic"/>
          <w:b/>
          <w:bCs/>
          <w:sz w:val="26"/>
          <w:szCs w:val="26"/>
          <w:rtl/>
          <w:lang w:bidi="ar-EG"/>
        </w:rPr>
        <w:t>):</w:t>
      </w:r>
    </w:p>
    <w:p w:rsidR="00C54650" w:rsidRPr="007C544A" w:rsidRDefault="0026771B" w:rsidP="002D00D3">
      <w:pPr>
        <w:pStyle w:val="NormalWeb"/>
        <w:numPr>
          <w:ilvl w:val="0"/>
          <w:numId w:val="63"/>
        </w:numPr>
        <w:bidi/>
        <w:spacing w:before="0" w:beforeAutospacing="0" w:after="0" w:afterAutospacing="0" w:line="360" w:lineRule="auto"/>
        <w:ind w:hanging="211"/>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اختبار</w:t>
      </w:r>
      <w:r w:rsidR="00C54650" w:rsidRPr="007C544A">
        <w:rPr>
          <w:rFonts w:ascii="Traditional Arabic" w:eastAsiaTheme="minorHAnsi" w:hAnsi="Traditional Arabic" w:cs="Traditional Arabic"/>
          <w:rtl/>
          <w:lang w:bidi="ar-EG"/>
        </w:rPr>
        <w:t xml:space="preserve"> الفرضية </w:t>
      </w:r>
      <w:r w:rsidR="00A00EC1" w:rsidRPr="007C544A">
        <w:rPr>
          <w:rFonts w:ascii="Traditional Arabic" w:eastAsiaTheme="minorHAnsi" w:hAnsi="Traditional Arabic" w:cs="Traditional Arabic"/>
          <w:rtl/>
          <w:lang w:bidi="ar-EG"/>
        </w:rPr>
        <w:t>الثانية</w:t>
      </w:r>
      <w:r w:rsidR="00775B4E" w:rsidRPr="007C544A">
        <w:rPr>
          <w:rFonts w:ascii="Traditional Arabic" w:eastAsiaTheme="minorHAnsi" w:hAnsi="Traditional Arabic" w:cs="Traditional Arabic"/>
          <w:rtl/>
          <w:lang w:bidi="ar-EG"/>
        </w:rPr>
        <w:t xml:space="preserve">: </w:t>
      </w:r>
      <w:r w:rsidR="00C54650" w:rsidRPr="007C544A">
        <w:rPr>
          <w:rFonts w:ascii="Traditional Arabic" w:eastAsiaTheme="minorHAnsi" w:hAnsi="Traditional Arabic" w:cs="Traditional Arabic"/>
          <w:rtl/>
          <w:lang w:bidi="ar-EG"/>
        </w:rPr>
        <w:t>نص الفرضية</w:t>
      </w:r>
      <w:r w:rsidR="00775B4E" w:rsidRPr="007C544A">
        <w:rPr>
          <w:rFonts w:ascii="Traditional Arabic" w:eastAsiaTheme="minorHAnsi" w:hAnsi="Traditional Arabic" w:cs="Traditional Arabic"/>
          <w:rtl/>
          <w:lang w:bidi="ar-EG"/>
        </w:rPr>
        <w:t xml:space="preserve">: </w:t>
      </w:r>
      <w:r w:rsidR="00C54650" w:rsidRPr="007C544A">
        <w:rPr>
          <w:rFonts w:ascii="Traditional Arabic" w:eastAsiaTheme="minorHAnsi" w:hAnsi="Traditional Arabic" w:cs="Traditional Arabic"/>
          <w:rtl/>
          <w:lang w:bidi="ar-EG"/>
        </w:rPr>
        <w:t>"لا</w:t>
      </w:r>
      <w:r w:rsidR="00F94E09" w:rsidRPr="007C544A">
        <w:rPr>
          <w:rFonts w:ascii="Traditional Arabic" w:eastAsiaTheme="minorHAnsi" w:hAnsi="Traditional Arabic" w:cs="Traditional Arabic"/>
          <w:rtl/>
          <w:lang w:bidi="ar-EG"/>
        </w:rPr>
        <w:t xml:space="preserve"> </w:t>
      </w:r>
      <w:r w:rsidR="00C54650" w:rsidRPr="007C544A">
        <w:rPr>
          <w:rFonts w:ascii="Traditional Arabic" w:eastAsiaTheme="minorHAnsi" w:hAnsi="Traditional Arabic" w:cs="Traditional Arabic"/>
          <w:rtl/>
          <w:lang w:bidi="ar-EG"/>
        </w:rPr>
        <w:t>توجد فروقات ذ</w:t>
      </w:r>
      <w:r w:rsidR="004B6BE5" w:rsidRPr="007C544A">
        <w:rPr>
          <w:rFonts w:ascii="Traditional Arabic" w:eastAsiaTheme="minorHAnsi" w:hAnsi="Traditional Arabic" w:cs="Traditional Arabic"/>
          <w:rtl/>
          <w:lang w:bidi="ar-EG"/>
        </w:rPr>
        <w:t>ات</w:t>
      </w:r>
      <w:r w:rsidR="00C54650" w:rsidRPr="007C544A">
        <w:rPr>
          <w:rFonts w:ascii="Traditional Arabic" w:eastAsiaTheme="minorHAnsi" w:hAnsi="Traditional Arabic" w:cs="Traditional Arabic"/>
          <w:rtl/>
          <w:lang w:bidi="ar-EG"/>
        </w:rPr>
        <w:t xml:space="preserve"> دلالة </w:t>
      </w:r>
      <w:r w:rsidR="004C5D0F" w:rsidRPr="007C544A">
        <w:rPr>
          <w:rFonts w:ascii="Traditional Arabic" w:eastAsiaTheme="minorHAnsi" w:hAnsi="Traditional Arabic" w:cs="Traditional Arabic"/>
          <w:rtl/>
          <w:lang w:bidi="ar-EG"/>
        </w:rPr>
        <w:t>إحصائي</w:t>
      </w:r>
      <w:r w:rsidR="00C54650" w:rsidRPr="007C544A">
        <w:rPr>
          <w:rFonts w:ascii="Traditional Arabic" w:eastAsiaTheme="minorHAnsi" w:hAnsi="Traditional Arabic" w:cs="Traditional Arabic"/>
          <w:rtl/>
          <w:lang w:bidi="ar-EG"/>
        </w:rPr>
        <w:t xml:space="preserve">ة في </w:t>
      </w:r>
      <w:r w:rsidR="00D9551F" w:rsidRPr="007C544A">
        <w:rPr>
          <w:rFonts w:ascii="Traditional Arabic" w:eastAsiaTheme="minorHAnsi" w:hAnsi="Traditional Arabic" w:cs="Traditional Arabic"/>
          <w:rtl/>
          <w:lang w:bidi="ar-EG"/>
        </w:rPr>
        <w:t>تقييم</w:t>
      </w:r>
      <w:r w:rsidR="00D7278E" w:rsidRPr="007C544A">
        <w:rPr>
          <w:rFonts w:ascii="Traditional Arabic" w:eastAsiaTheme="minorHAnsi" w:hAnsi="Traditional Arabic" w:cs="Traditional Arabic"/>
          <w:rtl/>
          <w:lang w:bidi="ar-EG"/>
        </w:rPr>
        <w:t xml:space="preserve"> </w:t>
      </w:r>
      <w:r w:rsidR="00D9551F" w:rsidRPr="007C544A">
        <w:rPr>
          <w:rFonts w:ascii="Traditional Arabic" w:eastAsiaTheme="minorHAnsi" w:hAnsi="Traditional Arabic" w:cs="Traditional Arabic"/>
          <w:rtl/>
          <w:lang w:bidi="ar-EG"/>
        </w:rPr>
        <w:t>أثر استراتيجية دمج الشركات على</w:t>
      </w:r>
      <w:r w:rsidR="00D7278E" w:rsidRPr="007C544A">
        <w:rPr>
          <w:rFonts w:ascii="Traditional Arabic" w:eastAsiaTheme="minorHAnsi" w:hAnsi="Traditional Arabic" w:cs="Traditional Arabic"/>
          <w:rtl/>
          <w:lang w:bidi="ar-EG"/>
        </w:rPr>
        <w:t xml:space="preserve"> </w:t>
      </w:r>
      <w:r w:rsidR="00080D96" w:rsidRPr="007C544A">
        <w:rPr>
          <w:rFonts w:ascii="Traditional Arabic" w:eastAsiaTheme="minorHAnsi" w:hAnsi="Traditional Arabic" w:cs="Traditional Arabic"/>
          <w:rtl/>
          <w:lang w:bidi="ar-EG"/>
        </w:rPr>
        <w:t>الجاهزية لل</w:t>
      </w:r>
      <w:r w:rsidR="000544F4" w:rsidRPr="007C544A">
        <w:rPr>
          <w:rFonts w:ascii="Traditional Arabic" w:eastAsiaTheme="minorHAnsi" w:hAnsi="Traditional Arabic" w:cs="Traditional Arabic"/>
          <w:rtl/>
          <w:lang w:bidi="ar-EG"/>
        </w:rPr>
        <w:t>إدراج</w:t>
      </w:r>
      <w:r w:rsidR="00080D96" w:rsidRPr="007C544A">
        <w:rPr>
          <w:rFonts w:ascii="Traditional Arabic" w:eastAsiaTheme="minorHAnsi" w:hAnsi="Traditional Arabic" w:cs="Traditional Arabic"/>
          <w:rtl/>
          <w:lang w:bidi="ar-EG"/>
        </w:rPr>
        <w:t xml:space="preserve"> في </w:t>
      </w:r>
      <w:r w:rsidR="00D9551F" w:rsidRPr="007C544A">
        <w:rPr>
          <w:rFonts w:ascii="Traditional Arabic" w:eastAsiaTheme="minorHAnsi" w:hAnsi="Traditional Arabic" w:cs="Traditional Arabic"/>
          <w:rtl/>
          <w:lang w:bidi="ar-EG"/>
        </w:rPr>
        <w:t>دخول السوق الموازية تعزي</w:t>
      </w:r>
      <w:r w:rsidR="000544F4" w:rsidRPr="007C544A">
        <w:rPr>
          <w:rFonts w:ascii="Traditional Arabic" w:eastAsiaTheme="minorHAnsi" w:hAnsi="Traditional Arabic" w:cs="Traditional Arabic"/>
          <w:rtl/>
          <w:lang w:bidi="ar-EG"/>
        </w:rPr>
        <w:t xml:space="preserve"> إلى </w:t>
      </w:r>
      <w:r w:rsidR="00D9551F" w:rsidRPr="007C544A">
        <w:rPr>
          <w:rFonts w:ascii="Traditional Arabic" w:eastAsiaTheme="minorHAnsi" w:hAnsi="Traditional Arabic" w:cs="Traditional Arabic"/>
          <w:rtl/>
          <w:lang w:bidi="ar-EG"/>
        </w:rPr>
        <w:t>المتغيرات الديمغرافية ل</w:t>
      </w:r>
      <w:r w:rsidR="00C54650" w:rsidRPr="007C544A">
        <w:rPr>
          <w:rFonts w:ascii="Traditional Arabic" w:eastAsiaTheme="minorHAnsi" w:hAnsi="Traditional Arabic" w:cs="Traditional Arabic"/>
          <w:rtl/>
          <w:lang w:bidi="ar-EG"/>
        </w:rPr>
        <w:t>أفراد عينة الدراسة</w:t>
      </w:r>
      <w:r w:rsidR="00D7278E" w:rsidRPr="007C544A">
        <w:rPr>
          <w:rFonts w:ascii="Traditional Arabic" w:eastAsiaTheme="minorHAnsi" w:hAnsi="Traditional Arabic" w:cs="Traditional Arabic"/>
          <w:rtl/>
          <w:lang w:bidi="ar-EG"/>
        </w:rPr>
        <w:t xml:space="preserve"> (</w:t>
      </w:r>
      <w:r w:rsidR="00741C8A" w:rsidRPr="007C544A">
        <w:rPr>
          <w:rFonts w:ascii="Traditional Arabic" w:eastAsiaTheme="minorHAnsi" w:hAnsi="Traditional Arabic" w:cs="Traditional Arabic"/>
          <w:rtl/>
          <w:lang w:bidi="ar-EG"/>
        </w:rPr>
        <w:t>الجنس</w:t>
      </w:r>
      <w:r w:rsidR="001C3662"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00741C8A" w:rsidRPr="007C544A">
        <w:rPr>
          <w:rFonts w:ascii="Traditional Arabic" w:eastAsiaTheme="minorHAnsi" w:hAnsi="Traditional Arabic" w:cs="Traditional Arabic"/>
          <w:rtl/>
          <w:lang w:bidi="ar-EG"/>
        </w:rPr>
        <w:t>السن-</w:t>
      </w:r>
      <w:r w:rsidR="00D7278E" w:rsidRPr="007C544A">
        <w:rPr>
          <w:rFonts w:ascii="Traditional Arabic" w:eastAsiaTheme="minorHAnsi" w:hAnsi="Traditional Arabic" w:cs="Traditional Arabic"/>
          <w:rtl/>
          <w:lang w:bidi="ar-EG"/>
        </w:rPr>
        <w:t xml:space="preserve"> </w:t>
      </w:r>
      <w:r w:rsidR="006E4C64" w:rsidRPr="007C544A">
        <w:rPr>
          <w:rFonts w:ascii="Traditional Arabic" w:eastAsiaTheme="minorHAnsi" w:hAnsi="Traditional Arabic" w:cs="Traditional Arabic"/>
          <w:rtl/>
          <w:lang w:bidi="ar-EG"/>
        </w:rPr>
        <w:t>المؤهل التعليمي</w:t>
      </w:r>
      <w:r w:rsidR="001C3662" w:rsidRPr="007C544A">
        <w:rPr>
          <w:rFonts w:ascii="Traditional Arabic" w:eastAsiaTheme="minorHAnsi" w:hAnsi="Traditional Arabic" w:cs="Traditional Arabic"/>
          <w:rtl/>
          <w:lang w:bidi="ar-EG"/>
        </w:rPr>
        <w:t xml:space="preserve">- </w:t>
      </w:r>
      <w:r w:rsidR="00BF172A" w:rsidRPr="007C544A">
        <w:rPr>
          <w:rFonts w:ascii="Traditional Arabic" w:eastAsiaTheme="minorHAnsi" w:hAnsi="Traditional Arabic" w:cs="Traditional Arabic"/>
          <w:rtl/>
          <w:lang w:bidi="ar-EG"/>
        </w:rPr>
        <w:t xml:space="preserve">الوظيفة </w:t>
      </w:r>
      <w:r w:rsidR="001C3662" w:rsidRPr="007C544A">
        <w:rPr>
          <w:rFonts w:ascii="Traditional Arabic" w:eastAsiaTheme="minorHAnsi" w:hAnsi="Traditional Arabic" w:cs="Traditional Arabic"/>
          <w:rtl/>
          <w:lang w:bidi="ar-EG"/>
        </w:rPr>
        <w:t>أ</w:t>
      </w:r>
      <w:r w:rsidR="00BF172A" w:rsidRPr="007C544A">
        <w:rPr>
          <w:rFonts w:ascii="Traditional Arabic" w:eastAsiaTheme="minorHAnsi" w:hAnsi="Traditional Arabic" w:cs="Traditional Arabic"/>
          <w:rtl/>
          <w:lang w:bidi="ar-EG"/>
        </w:rPr>
        <w:t>و القسم</w:t>
      </w:r>
      <w:r w:rsidR="006E4C64" w:rsidRPr="007C544A">
        <w:rPr>
          <w:rFonts w:ascii="Traditional Arabic" w:eastAsiaTheme="minorHAnsi" w:hAnsi="Traditional Arabic" w:cs="Traditional Arabic"/>
          <w:rtl/>
          <w:lang w:bidi="ar-EG"/>
        </w:rPr>
        <w:t xml:space="preserve">- </w:t>
      </w:r>
      <w:r w:rsidR="00BF172A" w:rsidRPr="007C544A">
        <w:rPr>
          <w:rFonts w:ascii="Traditional Arabic" w:eastAsiaTheme="minorHAnsi" w:hAnsi="Traditional Arabic" w:cs="Traditional Arabic"/>
          <w:rtl/>
          <w:lang w:bidi="ar-EG"/>
        </w:rPr>
        <w:t>سنوات الخبرة</w:t>
      </w:r>
      <w:r w:rsidR="00C54650" w:rsidRPr="007C544A">
        <w:rPr>
          <w:rFonts w:ascii="Traditional Arabic" w:eastAsiaTheme="minorHAnsi" w:hAnsi="Traditional Arabic" w:cs="Traditional Arabic"/>
          <w:rtl/>
          <w:lang w:bidi="ar-EG"/>
        </w:rPr>
        <w:t>)".</w:t>
      </w:r>
    </w:p>
    <w:p w:rsidR="001C3662" w:rsidRPr="007C544A" w:rsidRDefault="00C54650"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نتائج </w:t>
      </w:r>
      <w:r w:rsidR="0026771B" w:rsidRPr="007C544A">
        <w:rPr>
          <w:rFonts w:ascii="Traditional Arabic" w:hAnsi="Traditional Arabic" w:cs="Traditional Arabic"/>
          <w:b/>
          <w:bCs/>
          <w:sz w:val="28"/>
          <w:szCs w:val="28"/>
          <w:rtl/>
          <w:lang w:bidi="ar-EG"/>
        </w:rPr>
        <w:t>اختبار</w:t>
      </w:r>
      <w:r w:rsidRPr="007C544A">
        <w:rPr>
          <w:rFonts w:ascii="Traditional Arabic" w:hAnsi="Traditional Arabic" w:cs="Traditional Arabic"/>
          <w:b/>
          <w:bCs/>
          <w:sz w:val="28"/>
          <w:szCs w:val="28"/>
          <w:rtl/>
          <w:lang w:bidi="ar-EG"/>
        </w:rPr>
        <w:t xml:space="preserve"> الفرضية الفرعية </w:t>
      </w:r>
      <w:r w:rsidR="001C3662" w:rsidRPr="007C544A">
        <w:rPr>
          <w:rFonts w:ascii="Traditional Arabic" w:hAnsi="Traditional Arabic" w:cs="Traditional Arabic"/>
          <w:b/>
          <w:bCs/>
          <w:sz w:val="28"/>
          <w:szCs w:val="28"/>
          <w:rtl/>
        </w:rPr>
        <w:t>الأولى</w:t>
      </w:r>
      <w:r w:rsidR="00775B4E" w:rsidRPr="007C544A">
        <w:rPr>
          <w:rFonts w:ascii="Traditional Arabic" w:hAnsi="Traditional Arabic" w:cs="Traditional Arabic"/>
          <w:b/>
          <w:bCs/>
          <w:sz w:val="28"/>
          <w:szCs w:val="28"/>
          <w:rtl/>
          <w:lang w:bidi="ar-EG"/>
        </w:rPr>
        <w:t xml:space="preserve">: </w:t>
      </w:r>
    </w:p>
    <w:p w:rsidR="00C54650" w:rsidRPr="007C544A" w:rsidRDefault="001C3662"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w:t>
      </w:r>
      <w:r w:rsidR="00C54650"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C54650" w:rsidRPr="007C544A">
        <w:rPr>
          <w:rFonts w:ascii="Traditional Arabic" w:hAnsi="Traditional Arabic" w:cs="Traditional Arabic"/>
          <w:sz w:val="24"/>
          <w:szCs w:val="24"/>
          <w:rtl/>
          <w:lang w:bidi="ar-EG"/>
        </w:rPr>
        <w:t xml:space="preserve">ة في </w:t>
      </w:r>
      <w:r w:rsidR="00BF172A" w:rsidRPr="007C544A">
        <w:rPr>
          <w:rFonts w:ascii="Traditional Arabic" w:hAnsi="Traditional Arabic" w:cs="Traditional Arabic"/>
          <w:sz w:val="24"/>
          <w:szCs w:val="24"/>
          <w:rtl/>
          <w:lang w:bidi="ar-EG"/>
        </w:rPr>
        <w:t>تقييم أثر استراتيجية دمج الشركات على</w:t>
      </w:r>
      <w:r w:rsidR="00080D96" w:rsidRPr="007C544A">
        <w:rPr>
          <w:rFonts w:ascii="Traditional Arabic" w:hAnsi="Traditional Arabic" w:cs="Traditional Arabic"/>
          <w:sz w:val="24"/>
          <w:szCs w:val="24"/>
          <w:rtl/>
          <w:lang w:bidi="ar-EG"/>
        </w:rPr>
        <w:t xml:space="preserve">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w:t>
      </w:r>
      <w:r w:rsidR="00BF172A" w:rsidRPr="007C544A">
        <w:rPr>
          <w:rFonts w:ascii="Traditional Arabic" w:hAnsi="Traditional Arabic" w:cs="Traditional Arabic"/>
          <w:sz w:val="24"/>
          <w:szCs w:val="24"/>
          <w:rtl/>
          <w:lang w:bidi="ar-EG"/>
        </w:rPr>
        <w:t xml:space="preserve"> دخول السوق الموازية </w:t>
      </w:r>
      <w:r w:rsidR="00C54650" w:rsidRPr="007C544A">
        <w:rPr>
          <w:rFonts w:ascii="Traditional Arabic" w:hAnsi="Traditional Arabic" w:cs="Traditional Arabic"/>
          <w:sz w:val="24"/>
          <w:szCs w:val="24"/>
          <w:rtl/>
          <w:lang w:bidi="ar-EG"/>
        </w:rPr>
        <w:t>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imes New Roman" w:hint="cs"/>
            <w:sz w:val="24"/>
            <w:szCs w:val="24"/>
            <w:rtl/>
            <w:lang w:bidi="ar-EG"/>
          </w:rPr>
          <m:t>≤</m:t>
        </m:r>
        <m:r>
          <m:rPr>
            <m:sty m:val="p"/>
          </m:rPr>
          <w:rPr>
            <w:rFonts w:ascii="Cambria Math" w:hAnsi="Cambria Math" w:cs="Traditional Arabic"/>
            <w:sz w:val="24"/>
            <w:szCs w:val="24"/>
            <w:lang w:bidi="ar-EG"/>
          </w:rPr>
          <m:t>0.05</m:t>
        </m:r>
      </m:oMath>
      <w:r w:rsidR="00C54650"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C54650" w:rsidRPr="007C544A">
        <w:rPr>
          <w:rFonts w:ascii="Traditional Arabic" w:hAnsi="Traditional Arabic" w:cs="Traditional Arabic"/>
          <w:sz w:val="24"/>
          <w:szCs w:val="24"/>
          <w:rtl/>
          <w:lang w:bidi="ar-EG"/>
        </w:rPr>
        <w:t>متغير السن</w:t>
      </w:r>
      <w:r w:rsidRPr="007C544A">
        <w:rPr>
          <w:rFonts w:ascii="Traditional Arabic" w:hAnsi="Traditional Arabic" w:cs="Traditional Arabic"/>
          <w:sz w:val="24"/>
          <w:szCs w:val="24"/>
          <w:rtl/>
          <w:lang w:bidi="ar-EG"/>
        </w:rPr>
        <w:t>"</w:t>
      </w:r>
      <w:r w:rsidR="00CD610E" w:rsidRPr="007C544A">
        <w:rPr>
          <w:rFonts w:ascii="Traditional Arabic" w:hAnsi="Traditional Arabic" w:cs="Traditional Arabic"/>
          <w:sz w:val="24"/>
          <w:szCs w:val="24"/>
          <w:rtl/>
          <w:lang w:bidi="ar-EG"/>
        </w:rPr>
        <w:t>.</w:t>
      </w:r>
      <w:r w:rsidR="00D7278E" w:rsidRPr="007C544A">
        <w:rPr>
          <w:rFonts w:ascii="Traditional Arabic" w:hAnsi="Traditional Arabic" w:cs="Traditional Arabic"/>
          <w:sz w:val="24"/>
          <w:szCs w:val="24"/>
          <w:rtl/>
          <w:lang w:bidi="ar-EG"/>
        </w:rPr>
        <w:t xml:space="preserve"> </w:t>
      </w:r>
    </w:p>
    <w:p w:rsidR="00CD610E" w:rsidRPr="007C544A" w:rsidRDefault="00CD610E" w:rsidP="00706522">
      <w:pPr>
        <w:shd w:val="clear" w:color="auto" w:fill="FFFFFF" w:themeFill="background1"/>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تم تقسيم المشاركين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أربع فئات عمرية لمقارنة متوسط تقييم أثر استراتيجية دمج الشركات على دخول السوق الموازية</w:t>
      </w:r>
      <w:r w:rsidR="00775B4E" w:rsidRPr="007C544A">
        <w:rPr>
          <w:rFonts w:ascii="Traditional Arabic" w:hAnsi="Traditional Arabic" w:cs="Traditional Arabic"/>
          <w:sz w:val="24"/>
          <w:szCs w:val="24"/>
          <w:rtl/>
          <w:lang w:bidi="ar-EG"/>
        </w:rPr>
        <w:t xml:space="preserve">: </w:t>
      </w:r>
    </w:p>
    <w:p w:rsidR="001C3662"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 xml:space="preserve">25–35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w:t>
      </w:r>
      <w:r w:rsidR="001C3662" w:rsidRPr="007C544A">
        <w:rPr>
          <w:rFonts w:ascii="Traditional Arabic" w:hAnsi="Traditional Arabic" w:cs="Traditional Arabic"/>
          <w:sz w:val="24"/>
          <w:szCs w:val="24"/>
          <w:rtl/>
          <w:lang w:bidi="ar-EG"/>
        </w:rPr>
        <w:t>.</w:t>
      </w:r>
    </w:p>
    <w:p w:rsidR="001C3662"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 xml:space="preserve">36–45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w:t>
      </w:r>
      <w:r w:rsidR="001C3662" w:rsidRPr="007C544A">
        <w:rPr>
          <w:rFonts w:ascii="Traditional Arabic" w:hAnsi="Traditional Arabic" w:cs="Traditional Arabic"/>
          <w:sz w:val="24"/>
          <w:szCs w:val="24"/>
          <w:rtl/>
          <w:lang w:bidi="ar-EG"/>
        </w:rPr>
        <w:t>.</w:t>
      </w:r>
    </w:p>
    <w:p w:rsidR="001C3662"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 xml:space="preserve">46–55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w:t>
      </w:r>
      <w:r w:rsidR="001C3662" w:rsidRPr="007C544A">
        <w:rPr>
          <w:rFonts w:ascii="Traditional Arabic" w:hAnsi="Traditional Arabic" w:cs="Traditional Arabic"/>
          <w:sz w:val="24"/>
          <w:szCs w:val="24"/>
          <w:rtl/>
          <w:lang w:bidi="ar-EG"/>
        </w:rPr>
        <w:t>.</w:t>
      </w:r>
    </w:p>
    <w:p w:rsidR="00CD610E"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 xml:space="preserve">56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 فأكثر</w:t>
      </w:r>
      <w:r w:rsidR="001C3662" w:rsidRPr="007C544A">
        <w:rPr>
          <w:rFonts w:ascii="Traditional Arabic" w:hAnsi="Traditional Arabic" w:cs="Traditional Arabic"/>
          <w:sz w:val="24"/>
          <w:szCs w:val="24"/>
          <w:rtl/>
          <w:lang w:bidi="ar-EG"/>
        </w:rPr>
        <w:t>.</w:t>
      </w:r>
    </w:p>
    <w:p w:rsidR="00CD610E" w:rsidRPr="007C544A" w:rsidRDefault="00CD610E"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واستخدم اختبار</w:t>
      </w:r>
      <w:r w:rsidR="001C3662" w:rsidRPr="007C544A">
        <w:rPr>
          <w:rFonts w:ascii="Traditional Arabic" w:eastAsiaTheme="minorHAnsi" w:hAnsi="Traditional Arabic" w:cs="Traditional Arabic"/>
          <w:rtl/>
          <w:lang w:bidi="ar-EG"/>
        </w:rPr>
        <w:t xml:space="preserve"> (</w:t>
      </w:r>
      <w:r w:rsidR="001C3662" w:rsidRPr="007C544A">
        <w:rPr>
          <w:rFonts w:ascii="Traditional Arabic" w:eastAsiaTheme="minorHAnsi" w:hAnsi="Traditional Arabic" w:cs="Traditional Arabic"/>
          <w:lang w:bidi="ar-EG"/>
        </w:rPr>
        <w:t>ANOVA</w:t>
      </w:r>
      <w:r w:rsidR="001C3662"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أحادي الاتجاه</w:t>
      </w:r>
      <w:r w:rsidR="001C3662" w:rsidRPr="007C544A">
        <w:rPr>
          <w:rFonts w:ascii="Traditional Arabic" w:eastAsiaTheme="minorHAnsi" w:hAnsi="Traditional Arabic" w:cs="Traditional Arabic"/>
          <w:rtl/>
          <w:lang w:bidi="ar-EG"/>
        </w:rPr>
        <w:t xml:space="preserve"> (</w:t>
      </w:r>
      <w:r w:rsidR="001C3662" w:rsidRPr="007C544A">
        <w:rPr>
          <w:rFonts w:ascii="Traditional Arabic" w:eastAsiaTheme="minorHAnsi" w:hAnsi="Traditional Arabic" w:cs="Traditional Arabic"/>
          <w:lang w:bidi="ar-EG"/>
        </w:rPr>
        <w:t>One-way ANOVA</w:t>
      </w:r>
      <w:r w:rsidR="001C3662"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لتحليل الفروق بين متوسطات تقييم أثر الدمج بين هذه الفئات</w:t>
      </w:r>
      <w:r w:rsidRPr="007C544A">
        <w:rPr>
          <w:rFonts w:ascii="Traditional Arabic" w:eastAsiaTheme="minorHAnsi" w:hAnsi="Traditional Arabic" w:cs="Traditional Arabic"/>
          <w:lang w:bidi="ar-EG"/>
        </w:rPr>
        <w:t>.</w:t>
      </w:r>
    </w:p>
    <w:p w:rsidR="00522018"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1</w:t>
      </w:r>
      <w:r w:rsidR="00ED7F83" w:rsidRPr="007C544A">
        <w:rPr>
          <w:rFonts w:ascii="Traditional Arabic" w:eastAsiaTheme="minorHAnsi" w:hAnsi="Traditional Arabic" w:cs="Traditional Arabic"/>
          <w:b/>
          <w:bCs/>
          <w:rtl/>
        </w:rPr>
        <w:t>)</w:t>
      </w:r>
    </w:p>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اختبار </w:t>
      </w:r>
      <w:r w:rsidRPr="007C544A">
        <w:rPr>
          <w:rFonts w:ascii="Traditional Arabic" w:eastAsiaTheme="minorHAnsi" w:hAnsi="Traditional Arabic" w:cs="Traditional Arabic"/>
        </w:rPr>
        <w:t xml:space="preserve">ANOVA </w:t>
      </w:r>
      <w:r w:rsidRPr="007C544A">
        <w:rPr>
          <w:rFonts w:ascii="Traditional Arabic" w:eastAsiaTheme="minorHAnsi" w:hAnsi="Traditional Arabic" w:cs="Traditional Arabic"/>
          <w:rtl/>
        </w:rPr>
        <w:t>أحادي الاتجاه</w:t>
      </w:r>
      <w:r w:rsidR="001C3662" w:rsidRPr="007C544A">
        <w:rPr>
          <w:rFonts w:ascii="Traditional Arabic" w:eastAsiaTheme="minorHAnsi" w:hAnsi="Traditional Arabic" w:cs="Traditional Arabic"/>
          <w:rtl/>
        </w:rPr>
        <w:t xml:space="preserve"> (</w:t>
      </w:r>
      <w:r w:rsidR="001C3662" w:rsidRPr="007C544A">
        <w:rPr>
          <w:rFonts w:ascii="Traditional Arabic" w:eastAsiaTheme="minorHAnsi" w:hAnsi="Traditional Arabic" w:cs="Traditional Arabic"/>
        </w:rPr>
        <w:t>One-way ANOVA</w:t>
      </w:r>
      <w:r w:rsidR="001C3662"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لتحليل الفروق بين متوسطات تقييم أثر الدمج بين هذه الفئات</w:t>
      </w:r>
      <w:r w:rsidR="001C3662" w:rsidRPr="007C544A">
        <w:rPr>
          <w:rFonts w:ascii="Traditional Arabic" w:eastAsiaTheme="minorHAnsi" w:hAnsi="Traditional Arabic" w:cs="Traditional Arabic"/>
          <w:rtl/>
        </w:rPr>
        <w:t xml:space="preserve"> </w:t>
      </w:r>
    </w:p>
    <w:tbl>
      <w:tblPr>
        <w:tblStyle w:val="TableGrid1"/>
        <w:bidiVisual/>
        <w:tblW w:w="797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949"/>
        <w:gridCol w:w="3426"/>
        <w:gridCol w:w="2604"/>
      </w:tblGrid>
      <w:tr w:rsidR="00522018" w:rsidRPr="007C544A" w:rsidTr="001C3662">
        <w:trPr>
          <w:trHeight w:val="426"/>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522018" w:rsidRPr="007C544A" w:rsidRDefault="0052201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الفئة العمرية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22018" w:rsidRPr="007C544A" w:rsidRDefault="0052201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22018" w:rsidRPr="007C544A" w:rsidRDefault="0052201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r>
      <w:tr w:rsidR="00522018" w:rsidRPr="007C544A" w:rsidTr="001C3662">
        <w:trPr>
          <w:trHeight w:val="411"/>
          <w:jc w:val="center"/>
        </w:trPr>
        <w:tc>
          <w:tcPr>
            <w:tcW w:w="0" w:type="auto"/>
            <w:tcBorders>
              <w:top w:val="threeDEmboss" w:sz="24" w:space="0" w:color="auto"/>
            </w:tcBorders>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25–35</w:t>
            </w:r>
          </w:p>
        </w:tc>
        <w:tc>
          <w:tcPr>
            <w:tcW w:w="0" w:type="auto"/>
            <w:tcBorders>
              <w:top w:val="threeDEmboss" w:sz="24" w:space="0" w:color="auto"/>
            </w:tcBorders>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4.05</w:t>
            </w:r>
          </w:p>
        </w:tc>
        <w:tc>
          <w:tcPr>
            <w:tcW w:w="0" w:type="auto"/>
            <w:tcBorders>
              <w:top w:val="threeDEmboss" w:sz="24" w:space="0" w:color="auto"/>
            </w:tcBorders>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0.60</w:t>
            </w:r>
          </w:p>
        </w:tc>
      </w:tr>
      <w:tr w:rsidR="00522018" w:rsidRPr="007C544A" w:rsidTr="001C3662">
        <w:trPr>
          <w:trHeight w:val="426"/>
          <w:jc w:val="center"/>
        </w:trPr>
        <w:tc>
          <w:tcPr>
            <w:tcW w:w="0" w:type="auto"/>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36–45</w:t>
            </w:r>
          </w:p>
        </w:tc>
        <w:tc>
          <w:tcPr>
            <w:tcW w:w="0" w:type="auto"/>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4.07</w:t>
            </w:r>
          </w:p>
        </w:tc>
        <w:tc>
          <w:tcPr>
            <w:tcW w:w="0" w:type="auto"/>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0.62</w:t>
            </w:r>
          </w:p>
        </w:tc>
      </w:tr>
      <w:tr w:rsidR="00522018" w:rsidRPr="007C544A" w:rsidTr="001C3662">
        <w:trPr>
          <w:trHeight w:val="411"/>
          <w:jc w:val="center"/>
        </w:trPr>
        <w:tc>
          <w:tcPr>
            <w:tcW w:w="0" w:type="auto"/>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46–55</w:t>
            </w:r>
          </w:p>
        </w:tc>
        <w:tc>
          <w:tcPr>
            <w:tcW w:w="0" w:type="auto"/>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4.06</w:t>
            </w:r>
          </w:p>
        </w:tc>
        <w:tc>
          <w:tcPr>
            <w:tcW w:w="0" w:type="auto"/>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0.61</w:t>
            </w:r>
          </w:p>
        </w:tc>
      </w:tr>
      <w:tr w:rsidR="00522018" w:rsidRPr="007C544A" w:rsidTr="001C3662">
        <w:trPr>
          <w:trHeight w:val="426"/>
          <w:jc w:val="center"/>
        </w:trPr>
        <w:tc>
          <w:tcPr>
            <w:tcW w:w="0" w:type="auto"/>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 xml:space="preserve">56 </w:t>
            </w:r>
            <w:r w:rsidR="00DD4A5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فأكثر</w:t>
            </w:r>
          </w:p>
        </w:tc>
        <w:tc>
          <w:tcPr>
            <w:tcW w:w="0" w:type="auto"/>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4.04</w:t>
            </w:r>
          </w:p>
        </w:tc>
        <w:tc>
          <w:tcPr>
            <w:tcW w:w="0" w:type="auto"/>
            <w:shd w:val="clear" w:color="auto" w:fill="FFFFFF" w:themeFill="background1"/>
            <w:vAlign w:val="center"/>
            <w:hideMark/>
          </w:tcPr>
          <w:p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0.59</w:t>
            </w:r>
          </w:p>
        </w:tc>
      </w:tr>
    </w:tbl>
    <w:p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2</w:t>
      </w:r>
      <w:r w:rsidR="00ED7F83" w:rsidRPr="007C544A">
        <w:rPr>
          <w:rFonts w:ascii="Traditional Arabic" w:eastAsiaTheme="minorHAnsi" w:hAnsi="Traditional Arabic" w:cs="Traditional Arabic"/>
          <w:b/>
          <w:bCs/>
          <w:rtl/>
        </w:rPr>
        <w:t>)</w:t>
      </w:r>
    </w:p>
    <w:p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xml:space="preserve">) </w:t>
      </w:r>
      <w:r w:rsidR="00522018" w:rsidRPr="007C544A">
        <w:rPr>
          <w:rFonts w:ascii="Traditional Arabic" w:eastAsiaTheme="minorHAnsi" w:hAnsi="Traditional Arabic" w:cs="Traditional Arabic"/>
          <w:b/>
          <w:bCs/>
          <w:rtl/>
        </w:rPr>
        <w:t>لتحليل الفروق بين متوسطات تقييم أثر الدمج بين هذه الفئات</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0"/>
        <w:gridCol w:w="1256"/>
        <w:gridCol w:w="1137"/>
        <w:gridCol w:w="1230"/>
        <w:gridCol w:w="1477"/>
        <w:gridCol w:w="1766"/>
      </w:tblGrid>
      <w:tr w:rsidR="00C54650" w:rsidRPr="007C544A" w:rsidTr="00D821D8">
        <w:trPr>
          <w:jc w:val="center"/>
        </w:trPr>
        <w:tc>
          <w:tcPr>
            <w:tcW w:w="1471"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295"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170"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r w:rsidR="00D821D8"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الحرية</w:t>
            </w:r>
          </w:p>
        </w:tc>
        <w:tc>
          <w:tcPr>
            <w:tcW w:w="1260"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530"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839"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مستوى الدلالة</w:t>
            </w:r>
            <w:r w:rsidR="008D300D"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 xml:space="preserve"> Sig</w:t>
            </w:r>
          </w:p>
        </w:tc>
      </w:tr>
      <w:tr w:rsidR="00C54650" w:rsidRPr="007C544A" w:rsidTr="00D821D8">
        <w:trPr>
          <w:jc w:val="center"/>
        </w:trPr>
        <w:tc>
          <w:tcPr>
            <w:tcW w:w="1471" w:type="dxa"/>
            <w:tcBorders>
              <w:top w:val="threeDEmboss"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295" w:type="dxa"/>
            <w:tcBorders>
              <w:top w:val="threeDEmboss" w:sz="24" w:space="0" w:color="auto"/>
            </w:tcBorders>
            <w:shd w:val="clear" w:color="auto" w:fill="FFFFFF" w:themeFill="background1"/>
            <w:vAlign w:val="center"/>
          </w:tcPr>
          <w:p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0.032</w:t>
            </w:r>
          </w:p>
        </w:tc>
        <w:tc>
          <w:tcPr>
            <w:tcW w:w="1170" w:type="dxa"/>
            <w:tcBorders>
              <w:top w:val="threeDEmboss" w:sz="24" w:space="0" w:color="auto"/>
            </w:tcBorders>
            <w:shd w:val="clear" w:color="auto" w:fill="FFFFFF" w:themeFill="background1"/>
            <w:vAlign w:val="center"/>
          </w:tcPr>
          <w:p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3</w:t>
            </w:r>
          </w:p>
        </w:tc>
        <w:tc>
          <w:tcPr>
            <w:tcW w:w="1260" w:type="dxa"/>
            <w:tcBorders>
              <w:top w:val="threeDEmboss" w:sz="24" w:space="0" w:color="auto"/>
            </w:tcBorders>
            <w:shd w:val="clear" w:color="auto" w:fill="FFFFFF" w:themeFill="background1"/>
            <w:vAlign w:val="center"/>
          </w:tcPr>
          <w:p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0.0107</w:t>
            </w:r>
          </w:p>
        </w:tc>
        <w:tc>
          <w:tcPr>
            <w:tcW w:w="1530" w:type="dxa"/>
            <w:tcBorders>
              <w:top w:val="threeDEmboss" w:sz="24" w:space="0" w:color="auto"/>
            </w:tcBorders>
            <w:shd w:val="clear" w:color="auto" w:fill="FFFFFF" w:themeFill="background1"/>
            <w:vAlign w:val="center"/>
          </w:tcPr>
          <w:p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0.32</w:t>
            </w:r>
          </w:p>
        </w:tc>
        <w:tc>
          <w:tcPr>
            <w:tcW w:w="1839" w:type="dxa"/>
            <w:tcBorders>
              <w:top w:val="threeDEmboss" w:sz="24" w:space="0" w:color="auto"/>
            </w:tcBorders>
            <w:shd w:val="clear" w:color="auto" w:fill="FFFFFF" w:themeFill="background1"/>
            <w:vAlign w:val="center"/>
          </w:tcPr>
          <w:p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0.81</w:t>
            </w:r>
          </w:p>
        </w:tc>
      </w:tr>
      <w:tr w:rsidR="00C54650" w:rsidRPr="007C544A" w:rsidTr="00D821D8">
        <w:trPr>
          <w:jc w:val="center"/>
        </w:trPr>
        <w:tc>
          <w:tcPr>
            <w:tcW w:w="1471" w:type="dxa"/>
            <w:tcBorders>
              <w:bottom w:val="threeDEngrave"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295" w:type="dxa"/>
            <w:tcBorders>
              <w:bottom w:val="threeDEngrave" w:sz="24" w:space="0" w:color="auto"/>
            </w:tcBorders>
            <w:shd w:val="clear" w:color="auto" w:fill="FFFFFF" w:themeFill="background1"/>
            <w:vAlign w:val="center"/>
          </w:tcPr>
          <w:p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9.643</w:t>
            </w:r>
          </w:p>
        </w:tc>
        <w:tc>
          <w:tcPr>
            <w:tcW w:w="1170" w:type="dxa"/>
            <w:tcBorders>
              <w:bottom w:val="threeDEngrave" w:sz="24" w:space="0" w:color="auto"/>
            </w:tcBorders>
            <w:shd w:val="clear" w:color="auto" w:fill="FFFFFF" w:themeFill="background1"/>
            <w:vAlign w:val="center"/>
          </w:tcPr>
          <w:p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281</w:t>
            </w:r>
          </w:p>
        </w:tc>
        <w:tc>
          <w:tcPr>
            <w:tcW w:w="1260" w:type="dxa"/>
            <w:tcBorders>
              <w:bottom w:val="threeDEngrave" w:sz="24" w:space="0" w:color="auto"/>
            </w:tcBorders>
            <w:shd w:val="clear" w:color="auto" w:fill="FFFFFF" w:themeFill="background1"/>
            <w:vAlign w:val="center"/>
          </w:tcPr>
          <w:p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0.0343</w:t>
            </w:r>
          </w:p>
        </w:tc>
        <w:tc>
          <w:tcPr>
            <w:tcW w:w="1530" w:type="dxa"/>
            <w:tcBorders>
              <w:bottom w:val="threeDEngrave" w:sz="24" w:space="0" w:color="auto"/>
            </w:tcBorders>
            <w:shd w:val="clear" w:color="auto" w:fill="FFFFFF" w:themeFill="background1"/>
            <w:vAlign w:val="center"/>
          </w:tcPr>
          <w:p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9" w:type="dxa"/>
            <w:tcBorders>
              <w:bottom w:val="threeDEngrave" w:sz="24" w:space="0" w:color="auto"/>
            </w:tcBorders>
            <w:shd w:val="clear" w:color="auto" w:fill="FFFFFF" w:themeFill="background1"/>
            <w:vAlign w:val="center"/>
          </w:tcPr>
          <w:p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C54650" w:rsidRPr="007C544A" w:rsidTr="00D821D8">
        <w:trPr>
          <w:jc w:val="center"/>
        </w:trPr>
        <w:tc>
          <w:tcPr>
            <w:tcW w:w="1471"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w:t>
            </w:r>
            <w:r w:rsidR="00B35C0D" w:rsidRPr="007C544A">
              <w:rPr>
                <w:rFonts w:ascii="Traditional Arabic" w:hAnsi="Traditional Arabic" w:cs="Traditional Arabic"/>
                <w:sz w:val="24"/>
                <w:szCs w:val="24"/>
                <w:rtl/>
              </w:rPr>
              <w:t>إجمالي</w:t>
            </w:r>
          </w:p>
        </w:tc>
        <w:tc>
          <w:tcPr>
            <w:tcW w:w="1295"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522018"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9.675</w:t>
            </w:r>
          </w:p>
        </w:tc>
        <w:tc>
          <w:tcPr>
            <w:tcW w:w="1170"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522018"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284</w:t>
            </w:r>
          </w:p>
        </w:tc>
        <w:tc>
          <w:tcPr>
            <w:tcW w:w="1260"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p>
        </w:tc>
        <w:tc>
          <w:tcPr>
            <w:tcW w:w="1530"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p>
        </w:tc>
        <w:tc>
          <w:tcPr>
            <w:tcW w:w="1839" w:type="dxa"/>
            <w:tcBorders>
              <w:top w:val="threeDEngrave" w:sz="24" w:space="0" w:color="auto"/>
              <w:bottom w:val="threeDEmboss" w:sz="24" w:space="0" w:color="auto"/>
            </w:tcBorders>
            <w:shd w:val="clear" w:color="auto" w:fill="D9D9D9" w:themeFill="background1" w:themeFillShade="D9"/>
            <w:vAlign w:val="center"/>
          </w:tcPr>
          <w:p w:rsidR="00C54650" w:rsidRPr="007C544A" w:rsidRDefault="00C54650" w:rsidP="00706522">
            <w:pPr>
              <w:bidi/>
              <w:spacing w:line="360" w:lineRule="auto"/>
              <w:jc w:val="center"/>
              <w:rPr>
                <w:rFonts w:ascii="Traditional Arabic" w:hAnsi="Traditional Arabic" w:cs="Traditional Arabic"/>
                <w:sz w:val="24"/>
                <w:szCs w:val="24"/>
                <w:rtl/>
              </w:rPr>
            </w:pPr>
          </w:p>
        </w:tc>
      </w:tr>
    </w:tbl>
    <w:p w:rsidR="00C54650" w:rsidRPr="007C544A" w:rsidRDefault="00C54650"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 دال عند مستوى</w:t>
      </w:r>
      <w:r w:rsidR="00D7278E" w:rsidRPr="007C544A">
        <w:rPr>
          <w:rFonts w:ascii="Traditional Arabic" w:eastAsiaTheme="minorHAnsi" w:hAnsi="Traditional Arabic" w:cs="Traditional Arabic"/>
          <w:shd w:val="clear" w:color="auto" w:fill="FFFFFF"/>
          <w:rtl/>
        </w:rPr>
        <w:t xml:space="preserve"> (</w:t>
      </w:r>
      <m:oMath>
        <m:r>
          <m:rPr>
            <m:sty m:val="p"/>
          </m:rPr>
          <w:rPr>
            <w:rFonts w:ascii="Cambria Math" w:eastAsiaTheme="minorHAnsi" w:hAnsi="Cambria Math" w:cs="Cambria Math" w:hint="cs"/>
            <w:shd w:val="clear" w:color="auto" w:fill="FFFFFF"/>
            <w:rtl/>
          </w:rPr>
          <m:t>α≤</m:t>
        </m:r>
        <m:r>
          <m:rPr>
            <m:sty m:val="p"/>
          </m:rPr>
          <w:rPr>
            <w:rFonts w:ascii="Cambria Math" w:eastAsiaTheme="minorHAnsi" w:hAnsi="Cambria Math" w:cs="Traditional Arabic"/>
            <w:shd w:val="clear" w:color="auto" w:fill="FFFFFF"/>
          </w:rPr>
          <m:t>0.05</m:t>
        </m:r>
      </m:oMath>
      <w:r w:rsidRPr="007C544A">
        <w:rPr>
          <w:rFonts w:ascii="Traditional Arabic" w:eastAsiaTheme="minorHAnsi" w:hAnsi="Traditional Arabic" w:cs="Traditional Arabic"/>
          <w:shd w:val="clear" w:color="auto" w:fill="FFFFFF"/>
          <w:rtl/>
        </w:rPr>
        <w:t>)</w:t>
      </w:r>
    </w:p>
    <w:p w:rsidR="0052354D" w:rsidRPr="007C544A" w:rsidRDefault="0052354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rsidR="00522018" w:rsidRPr="007C544A" w:rsidRDefault="00522018"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تشير نتائج اختبار</w:t>
      </w:r>
      <w:r w:rsidRPr="007C544A">
        <w:rPr>
          <w:rFonts w:ascii="Traditional Arabic" w:eastAsiaTheme="minorHAnsi" w:hAnsi="Traditional Arabic" w:cs="Traditional Arabic"/>
          <w:lang w:bidi="ar-EG"/>
        </w:rPr>
        <w:t xml:space="preserve"> ANOVA</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Pr="007C544A">
        <w:rPr>
          <w:rFonts w:ascii="Traditional Arabic" w:eastAsiaTheme="minorHAnsi" w:hAnsi="Traditional Arabic" w:cs="Traditional Arabic"/>
          <w:lang w:bidi="ar-EG"/>
        </w:rPr>
        <w:t xml:space="preserve"> Sig</w:t>
      </w:r>
      <w:r w:rsidR="00D7278E"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lang w:bidi="ar-EG"/>
        </w:rPr>
        <w:t xml:space="preserve">0.81) </w:t>
      </w:r>
      <w:r w:rsidRPr="007C544A">
        <w:rPr>
          <w:rFonts w:ascii="Traditional Arabic" w:eastAsiaTheme="minorHAnsi" w:hAnsi="Traditional Arabic" w:cs="Traditional Arabic"/>
          <w:rtl/>
          <w:lang w:bidi="ar-EG"/>
        </w:rPr>
        <w:t>أكبر بكثير من مستوى الدلالة</w:t>
      </w:r>
      <w:r w:rsidRPr="007C544A">
        <w:rPr>
          <w:rFonts w:ascii="Traditional Arabic" w:eastAsiaTheme="minorHAnsi" w:hAnsi="Traditional Arabic" w:cs="Traditional Arabic"/>
          <w:lang w:bidi="ar-EG"/>
        </w:rPr>
        <w:t xml:space="preserve"> </w:t>
      </w:r>
      <w:r w:rsidRPr="007C544A">
        <w:rPr>
          <w:rFonts w:ascii="Cambria" w:eastAsiaTheme="minorHAnsi" w:hAnsi="Cambria" w:cs="Cambria"/>
          <w:lang w:bidi="ar-EG"/>
        </w:rPr>
        <w:t>α</w:t>
      </w:r>
      <w:r w:rsidRPr="007C544A">
        <w:rPr>
          <w:rFonts w:ascii="Traditional Arabic" w:eastAsiaTheme="minorHAnsi" w:hAnsi="Traditional Arabic" w:cs="Traditional Arabic"/>
          <w:lang w:bidi="ar-EG"/>
        </w:rPr>
        <w:t xml:space="preserve"> = 0.05</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يعني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الفئات العمرية المختلفة</w:t>
      </w:r>
      <w:r w:rsidRPr="007C544A">
        <w:rPr>
          <w:rFonts w:ascii="Traditional Arabic" w:eastAsiaTheme="minorHAnsi" w:hAnsi="Traditional Arabic" w:cs="Traditional Arabic"/>
          <w:lang w:bidi="ar-EG"/>
        </w:rPr>
        <w:t>.</w:t>
      </w:r>
    </w:p>
    <w:p w:rsidR="00522018" w:rsidRPr="007C544A" w:rsidRDefault="00522018"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جميع الفئات العمرية ترى أثر استراتيجية الدمج بدرجة متقاربة جدًا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 4.04 و4.07)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يعكس اتساقًا كبيرًا في تقييم الاستراتيجية بين المشاركين بغض النظر عن العمر</w:t>
      </w:r>
      <w:r w:rsidRPr="007C544A">
        <w:rPr>
          <w:rFonts w:ascii="Traditional Arabic" w:eastAsiaTheme="minorHAnsi" w:hAnsi="Traditional Arabic" w:cs="Traditional Arabic"/>
          <w:lang w:bidi="ar-EG"/>
        </w:rPr>
        <w:t>.</w:t>
      </w:r>
    </w:p>
    <w:p w:rsidR="00522018" w:rsidRPr="007C544A" w:rsidRDefault="00522018"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يدعم هذا التحليل الفرضية الفرعية ويؤكد أن السن لا يمثل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w:t>
      </w:r>
      <w:r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rtl/>
          <w:lang w:bidi="ar-EG"/>
        </w:rPr>
        <w:t>وبالتالي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دمج الشركات تؤثر على دخول السوق الموازية بشكل متجانس بين المشاركين من مختلف الفئات العمرية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rsidR="00DD4A5E" w:rsidRPr="007C544A" w:rsidRDefault="006E4C64"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sz w:val="28"/>
          <w:szCs w:val="28"/>
          <w:rtl/>
          <w:lang w:bidi="ar-EG"/>
        </w:rPr>
      </w:pPr>
      <w:r w:rsidRPr="007C544A">
        <w:rPr>
          <w:rFonts w:ascii="Traditional Arabic" w:hAnsi="Traditional Arabic" w:cs="Traditional Arabic"/>
          <w:sz w:val="28"/>
          <w:szCs w:val="28"/>
          <w:rtl/>
          <w:lang w:bidi="ar-EG"/>
        </w:rPr>
        <w:t xml:space="preserve">نتائج اختبار الفرضية الفرعية </w:t>
      </w:r>
      <w:r w:rsidR="00A00EC1" w:rsidRPr="007C544A">
        <w:rPr>
          <w:rFonts w:ascii="Traditional Arabic" w:hAnsi="Traditional Arabic" w:cs="Traditional Arabic"/>
          <w:sz w:val="28"/>
          <w:szCs w:val="28"/>
          <w:rtl/>
          <w:lang w:bidi="ar-EG"/>
        </w:rPr>
        <w:t>الثانية</w:t>
      </w:r>
      <w:r w:rsidR="00775B4E" w:rsidRPr="007C544A">
        <w:rPr>
          <w:rFonts w:ascii="Traditional Arabic" w:hAnsi="Traditional Arabic" w:cs="Traditional Arabic"/>
          <w:sz w:val="28"/>
          <w:szCs w:val="28"/>
          <w:rtl/>
          <w:lang w:bidi="ar-EG"/>
        </w:rPr>
        <w:t xml:space="preserve">: </w:t>
      </w:r>
    </w:p>
    <w:p w:rsidR="006E4C64" w:rsidRPr="007C544A" w:rsidRDefault="00DD4A5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w:t>
      </w:r>
      <w:r w:rsidR="00080D96"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080D96" w:rsidRPr="007C544A">
        <w:rPr>
          <w:rFonts w:ascii="Traditional Arabic" w:hAnsi="Traditional Arabic" w:cs="Traditional Arabic"/>
          <w:sz w:val="24"/>
          <w:szCs w:val="24"/>
          <w:rtl/>
          <w:lang w:bidi="ar-EG"/>
        </w:rPr>
        <w:t>ة في تقييم أثر استراتيجية دمج الشركات على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 دخول السوق الموازية </w:t>
      </w:r>
      <w:r w:rsidR="006E4C64" w:rsidRPr="007C544A">
        <w:rPr>
          <w:rFonts w:ascii="Traditional Arabic" w:hAnsi="Traditional Arabic" w:cs="Traditional Arabic"/>
          <w:sz w:val="24"/>
          <w:szCs w:val="24"/>
          <w:rtl/>
          <w:lang w:bidi="ar-EG"/>
        </w:rPr>
        <w:t>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raditional Arabic"/>
            <w:sz w:val="24"/>
            <w:szCs w:val="24"/>
            <w:lang w:bidi="ar-EG"/>
          </w:rPr>
          <m:t>0.05</m:t>
        </m:r>
      </m:oMath>
      <w:r w:rsidR="006E4C64"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6E4C64" w:rsidRPr="007C544A">
        <w:rPr>
          <w:rFonts w:ascii="Traditional Arabic" w:hAnsi="Traditional Arabic" w:cs="Traditional Arabic"/>
          <w:sz w:val="24"/>
          <w:szCs w:val="24"/>
          <w:rtl/>
          <w:lang w:bidi="ar-EG"/>
        </w:rPr>
        <w:t>متغير المؤهل العملي</w:t>
      </w:r>
      <w:r w:rsidRPr="007C544A">
        <w:rPr>
          <w:rFonts w:ascii="Traditional Arabic" w:hAnsi="Traditional Arabic" w:cs="Traditional Arabic"/>
          <w:sz w:val="24"/>
          <w:szCs w:val="24"/>
          <w:rtl/>
          <w:lang w:bidi="ar-EG"/>
        </w:rPr>
        <w:t>"</w:t>
      </w:r>
      <w:r w:rsidR="006E4C64" w:rsidRPr="007C544A">
        <w:rPr>
          <w:rFonts w:ascii="Traditional Arabic" w:hAnsi="Traditional Arabic" w:cs="Traditional Arabic"/>
          <w:sz w:val="24"/>
          <w:szCs w:val="24"/>
          <w:rtl/>
          <w:lang w:bidi="ar-EG"/>
        </w:rPr>
        <w:t>.</w:t>
      </w:r>
    </w:p>
    <w:p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rsidR="00D61B53" w:rsidRPr="007C544A" w:rsidRDefault="00474BB4"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3</w:t>
      </w:r>
      <w:r w:rsidR="00ED7F83" w:rsidRPr="007C544A">
        <w:rPr>
          <w:rFonts w:ascii="Traditional Arabic" w:eastAsiaTheme="minorHAnsi" w:hAnsi="Traditional Arabic" w:cs="Traditional Arabic"/>
          <w:b/>
          <w:bCs/>
          <w:rtl/>
        </w:rPr>
        <w:t>)</w:t>
      </w:r>
    </w:p>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اختبار </w:t>
      </w:r>
      <w:r w:rsidR="00DD4A5E" w:rsidRPr="007C544A">
        <w:rPr>
          <w:rFonts w:ascii="Traditional Arabic" w:eastAsiaTheme="minorHAnsi" w:hAnsi="Traditional Arabic" w:cs="Traditional Arabic"/>
          <w:b/>
          <w:bCs/>
          <w:rtl/>
        </w:rPr>
        <w:t>(</w:t>
      </w:r>
      <w:r w:rsidR="00DD4A5E" w:rsidRPr="007C544A">
        <w:rPr>
          <w:rFonts w:ascii="Traditional Arabic" w:eastAsiaTheme="minorHAnsi" w:hAnsi="Traditional Arabic" w:cs="Traditional Arabic"/>
          <w:b/>
          <w:bCs/>
        </w:rPr>
        <w:t>ANOVA</w:t>
      </w:r>
      <w:r w:rsidR="00DD4A5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أحادي الاتجاه</w:t>
      </w:r>
      <w:r w:rsidR="00DD4A5E" w:rsidRPr="007C544A">
        <w:rPr>
          <w:rFonts w:ascii="Traditional Arabic" w:eastAsiaTheme="minorHAnsi" w:hAnsi="Traditional Arabic" w:cs="Traditional Arabic"/>
          <w:b/>
          <w:bCs/>
          <w:rtl/>
        </w:rPr>
        <w:t xml:space="preserve"> (</w:t>
      </w:r>
      <w:r w:rsidR="00DD4A5E" w:rsidRPr="007C544A">
        <w:rPr>
          <w:rFonts w:ascii="Traditional Arabic" w:eastAsiaTheme="minorHAnsi" w:hAnsi="Traditional Arabic" w:cs="Traditional Arabic"/>
          <w:b/>
          <w:bCs/>
        </w:rPr>
        <w:t>One-way ANOVA</w:t>
      </w:r>
      <w:r w:rsidR="00DD4A5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لتحليل الفروق بين متوسطات تقييم أثر الدمج بين هذه الفئات</w:t>
      </w:r>
    </w:p>
    <w:tbl>
      <w:tblPr>
        <w:tblStyle w:val="TableGrid1"/>
        <w:bidiVisual/>
        <w:tblW w:w="8143"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150"/>
        <w:gridCol w:w="3405"/>
        <w:gridCol w:w="2588"/>
      </w:tblGrid>
      <w:tr w:rsidR="00D61B53" w:rsidRPr="007C544A" w:rsidTr="00063512">
        <w:trPr>
          <w:trHeight w:val="472"/>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المؤهل العملي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الانحراف المعياري</w:t>
            </w:r>
          </w:p>
        </w:tc>
      </w:tr>
      <w:tr w:rsidR="00D61B53" w:rsidRPr="007C544A" w:rsidTr="00063512">
        <w:trPr>
          <w:trHeight w:val="454"/>
          <w:jc w:val="center"/>
        </w:trPr>
        <w:tc>
          <w:tcPr>
            <w:tcW w:w="0" w:type="auto"/>
            <w:tcBorders>
              <w:top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مؤهل عال</w:t>
            </w:r>
          </w:p>
        </w:tc>
        <w:tc>
          <w:tcPr>
            <w:tcW w:w="0" w:type="auto"/>
            <w:tcBorders>
              <w:top w:val="threeDEmboss" w:sz="24" w:space="0" w:color="auto"/>
            </w:tcBorders>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4.06</w:t>
            </w:r>
          </w:p>
        </w:tc>
        <w:tc>
          <w:tcPr>
            <w:tcW w:w="0" w:type="auto"/>
            <w:tcBorders>
              <w:top w:val="threeDEmboss" w:sz="24" w:space="0" w:color="auto"/>
            </w:tcBorders>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0.61</w:t>
            </w:r>
          </w:p>
        </w:tc>
      </w:tr>
      <w:tr w:rsidR="00D61B53" w:rsidRPr="007C544A" w:rsidTr="00063512">
        <w:trPr>
          <w:trHeight w:val="472"/>
          <w:jc w:val="center"/>
        </w:trPr>
        <w:tc>
          <w:tcPr>
            <w:tcW w:w="0" w:type="auto"/>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ماجستير</w:t>
            </w:r>
          </w:p>
        </w:tc>
        <w:tc>
          <w:tcPr>
            <w:tcW w:w="0" w:type="auto"/>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4.05</w:t>
            </w:r>
          </w:p>
        </w:tc>
        <w:tc>
          <w:tcPr>
            <w:tcW w:w="0" w:type="auto"/>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0.63</w:t>
            </w:r>
          </w:p>
        </w:tc>
      </w:tr>
      <w:tr w:rsidR="00D61B53" w:rsidRPr="007C544A" w:rsidTr="00063512">
        <w:trPr>
          <w:trHeight w:val="454"/>
          <w:jc w:val="center"/>
        </w:trPr>
        <w:tc>
          <w:tcPr>
            <w:tcW w:w="0" w:type="auto"/>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دكتوراه</w:t>
            </w:r>
          </w:p>
        </w:tc>
        <w:tc>
          <w:tcPr>
            <w:tcW w:w="0" w:type="auto"/>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4.07</w:t>
            </w:r>
          </w:p>
        </w:tc>
        <w:tc>
          <w:tcPr>
            <w:tcW w:w="0" w:type="auto"/>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0.62</w:t>
            </w:r>
          </w:p>
        </w:tc>
      </w:tr>
    </w:tbl>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w:t>
      </w:r>
    </w:p>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eastAsiaTheme="minorHAnsi" w:cs="Simplified Arabic"/>
          <w:b/>
          <w:bCs/>
          <w:sz w:val="26"/>
          <w:szCs w:val="26"/>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لتحليل الفروق بين متوسطات تقييم أثر الدمج بين هذه الفئات</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7"/>
        <w:gridCol w:w="1197"/>
        <w:gridCol w:w="1143"/>
        <w:gridCol w:w="1235"/>
        <w:gridCol w:w="1742"/>
        <w:gridCol w:w="1585"/>
      </w:tblGrid>
      <w:tr w:rsidR="00D61B53" w:rsidRPr="007C544A" w:rsidTr="00D821D8">
        <w:trPr>
          <w:trHeight w:val="537"/>
        </w:trPr>
        <w:tc>
          <w:tcPr>
            <w:tcW w:w="1471"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226"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170"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r w:rsidR="00D821D8"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الحرية</w:t>
            </w:r>
          </w:p>
        </w:tc>
        <w:tc>
          <w:tcPr>
            <w:tcW w:w="1260"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800"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638"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مستوى الدلالة</w:t>
            </w:r>
            <w:r w:rsidRPr="007C544A">
              <w:rPr>
                <w:rFonts w:ascii="Traditional Arabic" w:hAnsi="Traditional Arabic" w:cs="Traditional Arabic"/>
                <w:sz w:val="24"/>
                <w:szCs w:val="24"/>
              </w:rPr>
              <w:t xml:space="preserve"> Sig</w:t>
            </w:r>
          </w:p>
        </w:tc>
      </w:tr>
      <w:tr w:rsidR="00D61B53" w:rsidRPr="007C544A" w:rsidTr="00D821D8">
        <w:tc>
          <w:tcPr>
            <w:tcW w:w="1471" w:type="dxa"/>
            <w:tcBorders>
              <w:top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226"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0.015</w:t>
            </w:r>
          </w:p>
        </w:tc>
        <w:tc>
          <w:tcPr>
            <w:tcW w:w="1170"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2</w:t>
            </w:r>
          </w:p>
        </w:tc>
        <w:tc>
          <w:tcPr>
            <w:tcW w:w="1260"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0.0075</w:t>
            </w:r>
          </w:p>
        </w:tc>
        <w:tc>
          <w:tcPr>
            <w:tcW w:w="1800"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0.22</w:t>
            </w:r>
          </w:p>
        </w:tc>
        <w:tc>
          <w:tcPr>
            <w:tcW w:w="1638"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0.80</w:t>
            </w:r>
          </w:p>
        </w:tc>
      </w:tr>
      <w:tr w:rsidR="00D61B53" w:rsidRPr="007C544A" w:rsidTr="00D821D8">
        <w:tc>
          <w:tcPr>
            <w:tcW w:w="1471" w:type="dxa"/>
            <w:tcBorders>
              <w:bottom w:val="threeDEngrave"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226"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9.675</w:t>
            </w:r>
          </w:p>
        </w:tc>
        <w:tc>
          <w:tcPr>
            <w:tcW w:w="1170"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282</w:t>
            </w:r>
          </w:p>
        </w:tc>
        <w:tc>
          <w:tcPr>
            <w:tcW w:w="1260"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0.0342</w:t>
            </w:r>
          </w:p>
        </w:tc>
        <w:tc>
          <w:tcPr>
            <w:tcW w:w="1800"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638"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D61B53" w:rsidRPr="007C544A" w:rsidTr="00D821D8">
        <w:trPr>
          <w:trHeight w:val="240"/>
        </w:trPr>
        <w:tc>
          <w:tcPr>
            <w:tcW w:w="1471"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الإجمالي</w:t>
            </w:r>
          </w:p>
        </w:tc>
        <w:tc>
          <w:tcPr>
            <w:tcW w:w="1226"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9.675</w:t>
            </w:r>
          </w:p>
        </w:tc>
        <w:tc>
          <w:tcPr>
            <w:tcW w:w="1170"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284</w:t>
            </w:r>
          </w:p>
        </w:tc>
        <w:tc>
          <w:tcPr>
            <w:tcW w:w="1260"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p>
        </w:tc>
        <w:tc>
          <w:tcPr>
            <w:tcW w:w="1800"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p>
        </w:tc>
        <w:tc>
          <w:tcPr>
            <w:tcW w:w="1638"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p>
        </w:tc>
      </w:tr>
    </w:tbl>
    <w:p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tl/>
        </w:rPr>
      </w:pPr>
      <w:r w:rsidRPr="007C544A">
        <w:rPr>
          <w:rFonts w:eastAsiaTheme="minorHAnsi" w:cs="Simplified Arabic" w:hint="cs"/>
          <w:shd w:val="clear" w:color="auto" w:fill="FFFFFF"/>
          <w:rtl/>
        </w:rPr>
        <w:t xml:space="preserve">* </w:t>
      </w:r>
      <w:r w:rsidRPr="007C544A">
        <w:rPr>
          <w:rFonts w:ascii="Traditional Arabic" w:eastAsiaTheme="minorHAnsi" w:hAnsi="Traditional Arabic" w:cs="Traditional Arabic"/>
          <w:shd w:val="clear" w:color="auto" w:fill="FFFFFF"/>
          <w:rtl/>
        </w:rPr>
        <w:t>دال عند مستوى</w:t>
      </w:r>
      <w:r w:rsidR="00D7278E" w:rsidRPr="007C544A">
        <w:rPr>
          <w:rFonts w:ascii="Traditional Arabic" w:eastAsiaTheme="minorHAnsi" w:hAnsi="Traditional Arabic" w:cs="Traditional Arabic"/>
          <w:shd w:val="clear" w:color="auto" w:fill="FFFFFF"/>
          <w:rtl/>
        </w:rPr>
        <w:t xml:space="preserve"> (</w:t>
      </w:r>
      <m:oMath>
        <m:r>
          <m:rPr>
            <m:sty m:val="p"/>
          </m:rPr>
          <w:rPr>
            <w:rFonts w:ascii="Cambria Math" w:eastAsiaTheme="minorHAnsi" w:hAnsi="Cambria Math" w:cs="Cambria Math" w:hint="cs"/>
            <w:shd w:val="clear" w:color="auto" w:fill="FFFFFF"/>
            <w:rtl/>
          </w:rPr>
          <m:t>α≤</m:t>
        </m:r>
        <m:r>
          <m:rPr>
            <m:sty m:val="p"/>
          </m:rPr>
          <w:rPr>
            <w:rFonts w:ascii="Cambria Math" w:eastAsiaTheme="minorHAnsi" w:hAnsi="Cambria Math" w:cs="Traditional Arabic"/>
            <w:shd w:val="clear" w:color="auto" w:fill="FFFFFF"/>
          </w:rPr>
          <m:t>0.05</m:t>
        </m:r>
      </m:oMath>
      <w:r w:rsidRPr="007C544A">
        <w:rPr>
          <w:rFonts w:ascii="Traditional Arabic" w:eastAsiaTheme="minorHAnsi" w:hAnsi="Traditional Arabic" w:cs="Traditional Arabic"/>
          <w:shd w:val="clear" w:color="auto" w:fill="FFFFFF"/>
          <w:rtl/>
        </w:rPr>
        <w:t>)</w:t>
      </w:r>
    </w:p>
    <w:p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قيمة</w:t>
      </w:r>
      <w:r w:rsidRPr="007C544A">
        <w:rPr>
          <w:rFonts w:ascii="Traditional Arabic" w:eastAsiaTheme="minorHAnsi" w:hAnsi="Traditional Arabic" w:cs="Traditional Arabic"/>
          <w:shd w:val="clear" w:color="auto" w:fill="FFFFFF"/>
        </w:rPr>
        <w:t xml:space="preserve"> Sig = 0.80 &gt; 0.05 </w:t>
      </w:r>
      <w:r w:rsidRPr="007C544A">
        <w:rPr>
          <w:rFonts w:eastAsiaTheme="minorHAnsi"/>
          <w:shd w:val="clear" w:color="auto" w:fill="FFFFFF"/>
        </w:rPr>
        <w:t>→</w:t>
      </w:r>
      <w:r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tl/>
        </w:rPr>
        <w:t>لا توجد فروق معنوية بين تقييم أثر الدمج حسب المؤهل العلمي</w:t>
      </w:r>
      <w:r w:rsidRPr="007C544A">
        <w:rPr>
          <w:rFonts w:ascii="Traditional Arabic" w:eastAsiaTheme="minorHAnsi" w:hAnsi="Traditional Arabic" w:cs="Traditional Arabic"/>
          <w:shd w:val="clear" w:color="auto" w:fill="FFFFFF"/>
        </w:rPr>
        <w:t xml:space="preserve">. </w:t>
      </w:r>
    </w:p>
    <w:p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rPr>
        <w:t>ت</w:t>
      </w:r>
      <w:r w:rsidRPr="007C544A">
        <w:rPr>
          <w:rFonts w:ascii="Traditional Arabic" w:eastAsiaTheme="minorHAnsi" w:hAnsi="Traditional Arabic" w:cs="Traditional Arabic"/>
          <w:rtl/>
          <w:lang w:bidi="ar-EG"/>
        </w:rPr>
        <w:t>شير نتائج اختبار</w:t>
      </w:r>
      <w:r w:rsidRPr="007C544A">
        <w:rPr>
          <w:rFonts w:ascii="Traditional Arabic" w:eastAsiaTheme="minorHAnsi" w:hAnsi="Traditional Arabic" w:cs="Traditional Arabic"/>
          <w:lang w:bidi="ar-EG"/>
        </w:rPr>
        <w:t xml:space="preserve"> ANOVA </w:t>
      </w:r>
      <w:r w:rsidRPr="007C544A">
        <w:rPr>
          <w:rFonts w:ascii="Traditional Arabic" w:eastAsiaTheme="minorHAnsi" w:hAnsi="Traditional Arabic" w:cs="Traditional Arabic"/>
          <w:rtl/>
          <w:lang w:bidi="ar-EG"/>
        </w:rPr>
        <w:t>الخاص بالمؤهل الدراسي</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Pr="007C544A">
        <w:rPr>
          <w:rFonts w:ascii="Traditional Arabic" w:eastAsiaTheme="minorHAnsi" w:hAnsi="Traditional Arabic" w:cs="Traditional Arabic"/>
          <w:lang w:bidi="ar-EG"/>
        </w:rPr>
        <w:t xml:space="preserve"> Sig</w:t>
      </w:r>
      <w:r w:rsidR="00D7278E"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lang w:bidi="ar-EG"/>
        </w:rPr>
        <w:t xml:space="preserve">0.80) </w:t>
      </w:r>
      <w:r w:rsidRPr="007C544A">
        <w:rPr>
          <w:rFonts w:ascii="Traditional Arabic" w:eastAsiaTheme="minorHAnsi" w:hAnsi="Traditional Arabic" w:cs="Traditional Arabic"/>
          <w:rtl/>
          <w:lang w:bidi="ar-EG"/>
        </w:rPr>
        <w:t>أكبر من مستوى الدلالة</w:t>
      </w:r>
      <w:r w:rsidR="00DD4A5E" w:rsidRPr="007C544A">
        <w:rPr>
          <w:rFonts w:ascii="Traditional Arabic" w:eastAsiaTheme="minorHAnsi" w:hAnsi="Traditional Arabic" w:cs="Traditional Arabic"/>
          <w:rtl/>
          <w:lang w:bidi="ar-EG"/>
        </w:rPr>
        <w:t xml:space="preserve"> (</w:t>
      </w:r>
      <w:r w:rsidR="00DD4A5E" w:rsidRPr="007C544A">
        <w:rPr>
          <w:rFonts w:ascii="Cambria" w:eastAsiaTheme="minorHAnsi" w:hAnsi="Cambria" w:cs="Cambria"/>
          <w:lang w:bidi="ar-EG"/>
        </w:rPr>
        <w:t>α</w:t>
      </w:r>
      <w:r w:rsidR="00DD4A5E" w:rsidRPr="007C544A">
        <w:rPr>
          <w:rFonts w:ascii="Traditional Arabic" w:eastAsiaTheme="minorHAnsi" w:hAnsi="Traditional Arabic" w:cs="Traditional Arabic"/>
          <w:lang w:bidi="ar-EG"/>
        </w:rPr>
        <w:t xml:space="preserve"> = 0.05</w:t>
      </w:r>
      <w:r w:rsidR="00DD4A5E"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يدل على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المشاركين من مختلف المؤهلات الدراسية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مؤهل عال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ماجستير</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دكتوراه)</w:t>
      </w:r>
      <w:r w:rsidRPr="007C544A">
        <w:rPr>
          <w:rFonts w:ascii="Traditional Arabic" w:eastAsiaTheme="minorHAnsi" w:hAnsi="Traditional Arabic" w:cs="Traditional Arabic"/>
          <w:lang w:bidi="ar-EG"/>
        </w:rPr>
        <w:t>.</w:t>
      </w:r>
    </w:p>
    <w:p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تقييم أثر استراتيجية الدمج متقارب جدًا بين المشاركين بغض النظر عن المؤهل الدراسي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 المتوسط بين 4.05 و4.07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انحراف معياري منخفض نسبيًا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يعكس اتساقًا كبيرًا في تقييم الاستراتيجية بين المشاركين</w:t>
      </w:r>
      <w:r w:rsidRPr="007C544A">
        <w:rPr>
          <w:rFonts w:ascii="Traditional Arabic" w:eastAsiaTheme="minorHAnsi" w:hAnsi="Traditional Arabic" w:cs="Traditional Arabic"/>
          <w:lang w:bidi="ar-EG"/>
        </w:rPr>
        <w:t>.</w:t>
      </w:r>
    </w:p>
    <w:p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 xml:space="preserve">يدعم هذا التحليل الفرضية الفرعية المتعلقة بالمؤهل الدراسي ويؤكد أن المؤهل العلمي لا يمثل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 وبذلك</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الدمج لها تأثير متجانس على دخول السوق الموازية بغض النظر عن مستوى المؤهل الدراسي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rsidR="00D61B53" w:rsidRPr="007C544A" w:rsidRDefault="00BD0E49"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مما سبق يتضح أن</w:t>
      </w:r>
      <w:r w:rsidR="00D61B53" w:rsidRPr="007C544A">
        <w:rPr>
          <w:rFonts w:ascii="Traditional Arabic" w:eastAsiaTheme="minorHAnsi" w:hAnsi="Traditional Arabic" w:cs="Traditional Arabic"/>
          <w:rtl/>
          <w:lang w:bidi="ar-EG"/>
        </w:rPr>
        <w:t xml:space="preserve"> المؤهل العلمي لا يؤثر على تقييم أثر استراتيجية الدمج على دخول السوق الموازي</w:t>
      </w:r>
      <w:r w:rsidR="00DD4A5E" w:rsidRPr="007C544A">
        <w:rPr>
          <w:rFonts w:ascii="Traditional Arabic" w:eastAsiaTheme="minorHAnsi" w:hAnsi="Traditional Arabic" w:cs="Traditional Arabic"/>
          <w:rtl/>
          <w:lang w:bidi="ar-EG"/>
        </w:rPr>
        <w:t>.</w:t>
      </w:r>
    </w:p>
    <w:p w:rsidR="00DD4A5E" w:rsidRPr="007C544A" w:rsidRDefault="006E4C64"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نتائج اختبار الفرضية الفرعية </w:t>
      </w:r>
      <w:r w:rsidR="00A00EC1" w:rsidRPr="007C544A">
        <w:rPr>
          <w:rFonts w:ascii="Traditional Arabic" w:hAnsi="Traditional Arabic" w:cs="Traditional Arabic"/>
          <w:b/>
          <w:bCs/>
          <w:sz w:val="28"/>
          <w:szCs w:val="28"/>
          <w:rtl/>
          <w:lang w:bidi="ar-EG"/>
        </w:rPr>
        <w:t>الثالثة</w:t>
      </w:r>
      <w:r w:rsidR="00775B4E" w:rsidRPr="007C544A">
        <w:rPr>
          <w:rFonts w:ascii="Traditional Arabic" w:hAnsi="Traditional Arabic" w:cs="Traditional Arabic"/>
          <w:b/>
          <w:bCs/>
          <w:sz w:val="28"/>
          <w:szCs w:val="28"/>
          <w:rtl/>
          <w:lang w:bidi="ar-EG"/>
        </w:rPr>
        <w:t xml:space="preserve">: </w:t>
      </w:r>
    </w:p>
    <w:p w:rsidR="006E4C64" w:rsidRPr="007C544A" w:rsidRDefault="00DD4A5E" w:rsidP="00706522">
      <w:pPr>
        <w:shd w:val="clear" w:color="auto" w:fill="FFFFFF" w:themeFill="background1"/>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w:t>
      </w:r>
      <w:r w:rsidR="00080D96"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080D96" w:rsidRPr="007C544A">
        <w:rPr>
          <w:rFonts w:ascii="Traditional Arabic" w:hAnsi="Traditional Arabic" w:cs="Traditional Arabic"/>
          <w:sz w:val="24"/>
          <w:szCs w:val="24"/>
          <w:rtl/>
          <w:lang w:bidi="ar-EG"/>
        </w:rPr>
        <w:t>ة في تقييم أثر استراتيجية دمج الشركات على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 </w:t>
      </w:r>
      <w:r w:rsidR="006E4C64" w:rsidRPr="007C544A">
        <w:rPr>
          <w:rFonts w:ascii="Traditional Arabic" w:hAnsi="Traditional Arabic" w:cs="Traditional Arabic"/>
          <w:sz w:val="24"/>
          <w:szCs w:val="24"/>
          <w:rtl/>
          <w:lang w:bidi="ar-EG"/>
        </w:rPr>
        <w:t>دخول السوق الموازية 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raditional Arabic"/>
            <w:sz w:val="24"/>
            <w:szCs w:val="24"/>
            <w:lang w:bidi="ar-EG"/>
          </w:rPr>
          <m:t>0.05</m:t>
        </m:r>
      </m:oMath>
      <w:r w:rsidR="006E4C64"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6E4C64" w:rsidRPr="007C544A">
        <w:rPr>
          <w:rFonts w:ascii="Traditional Arabic" w:hAnsi="Traditional Arabic" w:cs="Traditional Arabic"/>
          <w:sz w:val="24"/>
          <w:szCs w:val="24"/>
          <w:rtl/>
          <w:lang w:bidi="ar-EG"/>
        </w:rPr>
        <w:t>متغير المسمى الوظيفي</w:t>
      </w:r>
      <w:r w:rsidRPr="007C544A">
        <w:rPr>
          <w:rFonts w:ascii="Traditional Arabic" w:hAnsi="Traditional Arabic" w:cs="Traditional Arabic"/>
          <w:sz w:val="24"/>
          <w:szCs w:val="24"/>
          <w:rtl/>
          <w:lang w:bidi="ar-EG"/>
        </w:rPr>
        <w:t>".</w:t>
      </w:r>
    </w:p>
    <w:p w:rsidR="00BD0E49"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F25302" w:rsidRPr="007C544A">
        <w:rPr>
          <w:rFonts w:ascii="Traditional Arabic" w:eastAsiaTheme="minorHAnsi" w:hAnsi="Traditional Arabic" w:cs="Traditional Arabic"/>
          <w:b/>
          <w:bCs/>
          <w:rtl/>
        </w:rPr>
        <w:t>-</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5</w:t>
      </w:r>
      <w:r w:rsidR="00ED7F83" w:rsidRPr="007C544A">
        <w:rPr>
          <w:rFonts w:ascii="Traditional Arabic" w:eastAsiaTheme="minorHAnsi" w:hAnsi="Traditional Arabic" w:cs="Traditional Arabic"/>
          <w:b/>
          <w:bCs/>
          <w:rtl/>
        </w:rPr>
        <w:t>)</w:t>
      </w:r>
    </w:p>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اختبار</w:t>
      </w:r>
      <w:r w:rsidRPr="007C544A">
        <w:rPr>
          <w:rFonts w:ascii="Traditional Arabic" w:eastAsiaTheme="minorHAnsi" w:hAnsi="Traditional Arabic" w:cs="Traditional Arabic"/>
          <w:b/>
          <w:bCs/>
        </w:rPr>
        <w:t xml:space="preserve"> ANOVA </w:t>
      </w:r>
      <w:r w:rsidRPr="007C544A">
        <w:rPr>
          <w:rFonts w:ascii="Traditional Arabic" w:eastAsiaTheme="minorHAnsi" w:hAnsi="Traditional Arabic" w:cs="Traditional Arabic"/>
          <w:b/>
          <w:bCs/>
          <w:rtl/>
        </w:rPr>
        <w:t>أحادي الاتجاه لتحليل الفروق بين متوسطات تقييم أثر الدمج حسب المسمى الوظيفي</w:t>
      </w:r>
    </w:p>
    <w:tbl>
      <w:tblPr>
        <w:tblStyle w:val="TableGrid1"/>
        <w:bidiVisual/>
        <w:tblW w:w="8021"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335"/>
        <w:gridCol w:w="3231"/>
        <w:gridCol w:w="2455"/>
      </w:tblGrid>
      <w:tr w:rsidR="00D61B53" w:rsidRPr="007C544A" w:rsidTr="00775B4E">
        <w:trPr>
          <w:trHeight w:val="20"/>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المسمى الوظيفي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r>
      <w:tr w:rsidR="00D61B53" w:rsidRPr="007C544A" w:rsidTr="00775B4E">
        <w:trPr>
          <w:trHeight w:val="417"/>
        </w:trPr>
        <w:tc>
          <w:tcPr>
            <w:tcW w:w="0" w:type="auto"/>
            <w:tcBorders>
              <w:top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العليا</w:t>
            </w:r>
          </w:p>
        </w:tc>
        <w:tc>
          <w:tcPr>
            <w:tcW w:w="0" w:type="auto"/>
            <w:tcBorders>
              <w:top w:val="threeDEmboss" w:sz="24" w:space="0" w:color="auto"/>
            </w:tcBorders>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4.08</w:t>
            </w:r>
          </w:p>
        </w:tc>
        <w:tc>
          <w:tcPr>
            <w:tcW w:w="0" w:type="auto"/>
            <w:tcBorders>
              <w:top w:val="threeDEmboss" w:sz="24" w:space="0" w:color="auto"/>
            </w:tcBorders>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0.60</w:t>
            </w:r>
          </w:p>
        </w:tc>
      </w:tr>
      <w:tr w:rsidR="00D61B53" w:rsidRPr="007C544A" w:rsidTr="00775B4E">
        <w:trPr>
          <w:trHeight w:val="433"/>
        </w:trPr>
        <w:tc>
          <w:tcPr>
            <w:tcW w:w="0" w:type="auto"/>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المالية</w:t>
            </w:r>
          </w:p>
        </w:tc>
        <w:tc>
          <w:tcPr>
            <w:tcW w:w="0" w:type="auto"/>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4.06</w:t>
            </w:r>
          </w:p>
        </w:tc>
        <w:tc>
          <w:tcPr>
            <w:tcW w:w="0" w:type="auto"/>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0.62</w:t>
            </w:r>
          </w:p>
        </w:tc>
      </w:tr>
      <w:tr w:rsidR="00D61B53" w:rsidRPr="007C544A" w:rsidTr="00775B4E">
        <w:trPr>
          <w:trHeight w:val="417"/>
        </w:trPr>
        <w:tc>
          <w:tcPr>
            <w:tcW w:w="0" w:type="auto"/>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التشغيل</w:t>
            </w:r>
          </w:p>
        </w:tc>
        <w:tc>
          <w:tcPr>
            <w:tcW w:w="0" w:type="auto"/>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4.05</w:t>
            </w:r>
          </w:p>
        </w:tc>
        <w:tc>
          <w:tcPr>
            <w:tcW w:w="0" w:type="auto"/>
            <w:shd w:val="clear" w:color="auto" w:fill="FFFFFF" w:themeFill="background1"/>
            <w:vAlign w:val="center"/>
            <w:hideMark/>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0.61</w:t>
            </w:r>
          </w:p>
        </w:tc>
      </w:tr>
      <w:tr w:rsidR="00D61B53" w:rsidRPr="007C544A" w:rsidTr="00775B4E">
        <w:trPr>
          <w:trHeight w:val="417"/>
        </w:trPr>
        <w:tc>
          <w:tcPr>
            <w:tcW w:w="0" w:type="auto"/>
            <w:shd w:val="clear" w:color="auto" w:fill="D9D9D9" w:themeFill="background1" w:themeFillShade="D9"/>
            <w:vAlign w:val="center"/>
          </w:tcPr>
          <w:p w:rsidR="00D61B53" w:rsidRPr="007C544A" w:rsidRDefault="00CE76F6"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أخرى</w:t>
            </w:r>
          </w:p>
        </w:tc>
        <w:tc>
          <w:tcPr>
            <w:tcW w:w="0" w:type="auto"/>
            <w:shd w:val="clear" w:color="auto" w:fill="FFFFFF" w:themeFill="background1"/>
            <w:vAlign w:val="center"/>
          </w:tcPr>
          <w:p w:rsidR="00D61B53" w:rsidRPr="007C544A" w:rsidRDefault="00D61B53"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shd w:val="clear" w:color="auto" w:fill="FFFFFF" w:themeFill="background1"/>
            <w:vAlign w:val="center"/>
          </w:tcPr>
          <w:p w:rsidR="00D61B53" w:rsidRPr="007C544A" w:rsidRDefault="00D61B53" w:rsidP="00706522">
            <w:pPr>
              <w:shd w:val="clear" w:color="auto" w:fill="FFFFFF" w:themeFill="background1"/>
              <w:bidi/>
              <w:spacing w:line="360" w:lineRule="auto"/>
              <w:jc w:val="center"/>
              <w:rPr>
                <w:rFonts w:ascii="Traditional Arabic" w:hAnsi="Traditional Arabic" w:cs="Traditional Arabic"/>
                <w:sz w:val="24"/>
                <w:szCs w:val="24"/>
                <w:lang w:val="en-US"/>
              </w:rPr>
            </w:pPr>
            <w:r w:rsidRPr="007C544A">
              <w:rPr>
                <w:rFonts w:ascii="Traditional Arabic" w:hAnsi="Traditional Arabic" w:cs="Traditional Arabic"/>
                <w:sz w:val="24"/>
                <w:szCs w:val="24"/>
              </w:rPr>
              <w:t>0.63</w:t>
            </w:r>
          </w:p>
        </w:tc>
      </w:tr>
    </w:tbl>
    <w:p w:rsidR="00CE76F6" w:rsidRPr="007C544A" w:rsidRDefault="00CE76F6" w:rsidP="00706522">
      <w:pPr>
        <w:spacing w:after="0" w:line="360" w:lineRule="auto"/>
        <w:rPr>
          <w:rFonts w:ascii="Times New Roman" w:hAnsi="Times New Roman" w:cs="Simplified Arabic"/>
          <w:sz w:val="12"/>
          <w:szCs w:val="12"/>
          <w:rtl/>
        </w:rPr>
      </w:pPr>
    </w:p>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6</w:t>
      </w:r>
      <w:r w:rsidR="00ED7F83"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 xml:space="preserve"> </w:t>
      </w:r>
    </w:p>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لتحليل الفروق بين متوسطات تقييم أثر الدمج بين هذه الفئات</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6"/>
        <w:gridCol w:w="1433"/>
        <w:gridCol w:w="1340"/>
        <w:gridCol w:w="1387"/>
        <w:gridCol w:w="1386"/>
        <w:gridCol w:w="1357"/>
      </w:tblGrid>
      <w:tr w:rsidR="00D61B53" w:rsidRPr="007C544A" w:rsidTr="00775B4E">
        <w:tc>
          <w:tcPr>
            <w:tcW w:w="1472"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p>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425"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398"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مستوى الدلالة</w:t>
            </w:r>
            <w:r w:rsidRPr="007C544A">
              <w:rPr>
                <w:rFonts w:ascii="Traditional Arabic" w:hAnsi="Traditional Arabic" w:cs="Traditional Arabic"/>
                <w:sz w:val="24"/>
                <w:szCs w:val="24"/>
              </w:rPr>
              <w:t xml:space="preserve"> Sig</w:t>
            </w:r>
          </w:p>
        </w:tc>
      </w:tr>
      <w:tr w:rsidR="00D61B53" w:rsidRPr="007C544A" w:rsidTr="00775B4E">
        <w:tc>
          <w:tcPr>
            <w:tcW w:w="1472" w:type="dxa"/>
            <w:tcBorders>
              <w:top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476"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0.025</w:t>
            </w:r>
          </w:p>
        </w:tc>
        <w:tc>
          <w:tcPr>
            <w:tcW w:w="1379"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3</w:t>
            </w:r>
          </w:p>
        </w:tc>
        <w:tc>
          <w:tcPr>
            <w:tcW w:w="1421"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0.0083</w:t>
            </w:r>
          </w:p>
        </w:tc>
        <w:tc>
          <w:tcPr>
            <w:tcW w:w="1425"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0.24</w:t>
            </w:r>
          </w:p>
        </w:tc>
        <w:tc>
          <w:tcPr>
            <w:tcW w:w="1398"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0.87</w:t>
            </w:r>
          </w:p>
        </w:tc>
      </w:tr>
      <w:tr w:rsidR="00D61B53" w:rsidRPr="007C544A" w:rsidTr="00775B4E">
        <w:tc>
          <w:tcPr>
            <w:tcW w:w="1472" w:type="dxa"/>
            <w:tcBorders>
              <w:bottom w:val="threeDEngrave"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476"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9.650</w:t>
            </w:r>
          </w:p>
        </w:tc>
        <w:tc>
          <w:tcPr>
            <w:tcW w:w="1379"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281</w:t>
            </w:r>
          </w:p>
        </w:tc>
        <w:tc>
          <w:tcPr>
            <w:tcW w:w="1421"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0.0343</w:t>
            </w:r>
          </w:p>
        </w:tc>
        <w:tc>
          <w:tcPr>
            <w:tcW w:w="1425"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398"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D61B53" w:rsidRPr="007C544A" w:rsidTr="00775B4E">
        <w:tc>
          <w:tcPr>
            <w:tcW w:w="1472"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p>
        </w:tc>
        <w:tc>
          <w:tcPr>
            <w:tcW w:w="1425"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p>
        </w:tc>
        <w:tc>
          <w:tcPr>
            <w:tcW w:w="1398"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p>
        </w:tc>
      </w:tr>
    </w:tbl>
    <w:p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قيمة</w:t>
      </w:r>
      <w:r w:rsidRPr="007C544A">
        <w:rPr>
          <w:rFonts w:ascii="Traditional Arabic" w:eastAsiaTheme="minorHAnsi" w:hAnsi="Traditional Arabic" w:cs="Traditional Arabic"/>
          <w:shd w:val="clear" w:color="auto" w:fill="FFFFFF"/>
        </w:rPr>
        <w:t xml:space="preserve"> Sig = 0.87 &gt; 0.05 </w:t>
      </w:r>
      <w:r w:rsidRPr="007C544A">
        <w:rPr>
          <w:rFonts w:eastAsiaTheme="minorHAnsi"/>
          <w:shd w:val="clear" w:color="auto" w:fill="FFFFFF"/>
        </w:rPr>
        <w:t>→</w:t>
      </w:r>
      <w:r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tl/>
        </w:rPr>
        <w:t>لا توجد فروق معنوية بين تقييم أثر الدمج حسب المسمى الوظيفي</w:t>
      </w:r>
      <w:r w:rsidRPr="007C544A">
        <w:rPr>
          <w:rFonts w:ascii="Traditional Arabic" w:eastAsiaTheme="minorHAnsi" w:hAnsi="Traditional Arabic" w:cs="Traditional Arabic"/>
          <w:shd w:val="clear" w:color="auto" w:fill="FFFFFF"/>
        </w:rPr>
        <w:t xml:space="preserve">. </w:t>
      </w:r>
    </w:p>
    <w:p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lastRenderedPageBreak/>
        <w:t>تشير نتائج اختبار</w:t>
      </w:r>
      <w:r w:rsidRPr="007C544A">
        <w:rPr>
          <w:rFonts w:ascii="Traditional Arabic" w:eastAsiaTheme="minorHAnsi" w:hAnsi="Traditional Arabic" w:cs="Traditional Arabic"/>
          <w:lang w:bidi="ar-EG"/>
        </w:rPr>
        <w:t xml:space="preserve"> ANOVA </w:t>
      </w:r>
      <w:r w:rsidRPr="007C544A">
        <w:rPr>
          <w:rFonts w:ascii="Traditional Arabic" w:eastAsiaTheme="minorHAnsi" w:hAnsi="Traditional Arabic" w:cs="Traditional Arabic"/>
          <w:rtl/>
          <w:lang w:bidi="ar-EG"/>
        </w:rPr>
        <w:t>الخاص بالمسمى الوظيفي</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Pr="007C544A">
        <w:rPr>
          <w:rFonts w:ascii="Traditional Arabic" w:eastAsiaTheme="minorHAnsi" w:hAnsi="Traditional Arabic" w:cs="Traditional Arabic"/>
          <w:lang w:bidi="ar-EG"/>
        </w:rPr>
        <w:t xml:space="preserve"> Sig </w:t>
      </w:r>
      <w:r w:rsidR="00FB3B39" w:rsidRPr="007C544A">
        <w:rPr>
          <w:rFonts w:ascii="Traditional Arabic" w:hAnsi="Traditional Arabic" w:cs="Traditional Arabic"/>
          <w:lang w:bidi="ar-EG"/>
        </w:rPr>
        <w:t>0.87</w:t>
      </w:r>
      <w:r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rtl/>
          <w:lang w:bidi="ar-EG"/>
        </w:rPr>
        <w:t>أكبر من مستوى الدلالة</w:t>
      </w:r>
      <w:r w:rsidRPr="007C544A">
        <w:rPr>
          <w:rFonts w:ascii="Traditional Arabic" w:eastAsiaTheme="minorHAnsi" w:hAnsi="Traditional Arabic" w:cs="Traditional Arabic"/>
          <w:lang w:bidi="ar-EG"/>
        </w:rPr>
        <w:t xml:space="preserve"> </w:t>
      </w:r>
      <w:r w:rsidRPr="007C544A">
        <w:rPr>
          <w:rFonts w:ascii="Cambria" w:eastAsiaTheme="minorHAnsi" w:hAnsi="Cambria" w:cs="Cambria"/>
          <w:lang w:bidi="ar-EG"/>
        </w:rPr>
        <w:t>α</w:t>
      </w:r>
      <w:r w:rsidRPr="007C544A">
        <w:rPr>
          <w:rFonts w:ascii="Traditional Arabic" w:eastAsiaTheme="minorHAnsi" w:hAnsi="Traditional Arabic" w:cs="Traditional Arabic"/>
          <w:lang w:bidi="ar-EG"/>
        </w:rPr>
        <w:t xml:space="preserve"> = 0.05</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يعني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المشاركين من مختلف مستويات الوظيفة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w:t>
      </w:r>
      <w:r w:rsidR="00D6178F" w:rsidRPr="007C544A">
        <w:rPr>
          <w:rFonts w:ascii="Traditional Arabic" w:eastAsiaTheme="minorHAnsi" w:hAnsi="Traditional Arabic" w:cs="Traditional Arabic"/>
          <w:rtl/>
          <w:lang w:bidi="ar-EG"/>
        </w:rPr>
        <w:t>إدارة</w:t>
      </w:r>
      <w:r w:rsidRPr="007C544A">
        <w:rPr>
          <w:rFonts w:ascii="Traditional Arabic" w:eastAsiaTheme="minorHAnsi" w:hAnsi="Traditional Arabic" w:cs="Traditional Arabic"/>
          <w:rtl/>
          <w:lang w:bidi="ar-EG"/>
        </w:rPr>
        <w:t xml:space="preserve"> العليا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المالية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التشغيل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أخرى)</w:t>
      </w:r>
      <w:r w:rsidRPr="007C544A">
        <w:rPr>
          <w:rFonts w:ascii="Traditional Arabic" w:eastAsiaTheme="minorHAnsi" w:hAnsi="Traditional Arabic" w:cs="Traditional Arabic"/>
          <w:lang w:bidi="ar-EG"/>
        </w:rPr>
        <w:t>.</w:t>
      </w:r>
    </w:p>
    <w:p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تقييم أثر استراتيجية الدمج متقارب بين جميع الفئات الوظيفية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 المتوسط بين 4.03 و4.08 مع انحراف معياري منخفض نسبيًا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يشير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اتساق كبير في تقييم الاستراتيجية بين المشاركين من مختلف المستويات الوظيفية</w:t>
      </w:r>
      <w:r w:rsidRPr="007C544A">
        <w:rPr>
          <w:rFonts w:ascii="Traditional Arabic" w:eastAsiaTheme="minorHAnsi" w:hAnsi="Traditional Arabic" w:cs="Traditional Arabic"/>
          <w:lang w:bidi="ar-EG"/>
        </w:rPr>
        <w:t>.</w:t>
      </w:r>
    </w:p>
    <w:p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يدعم هذا التحليل الفرضية الفرعية المتعلقة بالمسمى الوظيفي ويؤكد أن الوظيفة لا تمثل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 وبذلك</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الدمج تؤثر بشكل متجانس على دخول السوق الموازية بغض النظر عن المستوى الوظيفي للمشاركين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rsidR="00CE76F6" w:rsidRPr="007C544A" w:rsidRDefault="006E4C64"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نتائج اختبار الفرضية الفرعية </w:t>
      </w:r>
      <w:r w:rsidR="00A00EC1" w:rsidRPr="007C544A">
        <w:rPr>
          <w:rFonts w:ascii="Traditional Arabic" w:hAnsi="Traditional Arabic" w:cs="Traditional Arabic"/>
          <w:sz w:val="24"/>
          <w:szCs w:val="24"/>
          <w:rtl/>
          <w:lang w:bidi="ar-EG"/>
        </w:rPr>
        <w:t>الرابعة</w:t>
      </w:r>
      <w:r w:rsidR="00775B4E" w:rsidRPr="007C544A">
        <w:rPr>
          <w:rFonts w:ascii="Traditional Arabic" w:hAnsi="Traditional Arabic" w:cs="Traditional Arabic"/>
          <w:sz w:val="24"/>
          <w:szCs w:val="24"/>
          <w:rtl/>
          <w:lang w:bidi="ar-EG"/>
        </w:rPr>
        <w:t xml:space="preserve">: </w:t>
      </w:r>
    </w:p>
    <w:p w:rsidR="00D821D8" w:rsidRPr="007C544A" w:rsidRDefault="00CE76F6" w:rsidP="00E00929">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w:t>
      </w:r>
      <w:r w:rsidR="00080D96"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080D96" w:rsidRPr="007C544A">
        <w:rPr>
          <w:rFonts w:ascii="Traditional Arabic" w:hAnsi="Traditional Arabic" w:cs="Traditional Arabic"/>
          <w:sz w:val="24"/>
          <w:szCs w:val="24"/>
          <w:rtl/>
          <w:lang w:bidi="ar-EG"/>
        </w:rPr>
        <w:t>ة في تقييم أثر استراتيجية دمج الشركات على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 دخول السوق الموازية </w:t>
      </w:r>
      <w:r w:rsidR="006E4C64" w:rsidRPr="007C544A">
        <w:rPr>
          <w:rFonts w:ascii="Traditional Arabic" w:hAnsi="Traditional Arabic" w:cs="Traditional Arabic"/>
          <w:sz w:val="24"/>
          <w:szCs w:val="24"/>
          <w:rtl/>
          <w:lang w:bidi="ar-EG"/>
        </w:rPr>
        <w:t>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raditional Arabic"/>
            <w:sz w:val="24"/>
            <w:szCs w:val="24"/>
            <w:lang w:bidi="ar-EG"/>
          </w:rPr>
          <m:t>0.05</m:t>
        </m:r>
      </m:oMath>
      <w:r w:rsidR="006E4C64"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6E4C64" w:rsidRPr="007C544A">
        <w:rPr>
          <w:rFonts w:ascii="Traditional Arabic" w:hAnsi="Traditional Arabic" w:cs="Traditional Arabic"/>
          <w:sz w:val="24"/>
          <w:szCs w:val="24"/>
          <w:rtl/>
          <w:lang w:bidi="ar-EG"/>
        </w:rPr>
        <w:t>متغير المسمى سنوات الخبرة</w:t>
      </w:r>
      <w:r w:rsidRPr="007C544A">
        <w:rPr>
          <w:rFonts w:ascii="Traditional Arabic" w:hAnsi="Traditional Arabic" w:cs="Traditional Arabic"/>
          <w:sz w:val="24"/>
          <w:szCs w:val="24"/>
          <w:rtl/>
          <w:lang w:bidi="ar-EG"/>
        </w:rPr>
        <w:t>".</w:t>
      </w:r>
      <w:r w:rsidR="00E00929" w:rsidRPr="007C544A">
        <w:rPr>
          <w:rFonts w:ascii="Traditional Arabic" w:hAnsi="Traditional Arabic" w:cs="Traditional Arabic"/>
          <w:sz w:val="24"/>
          <w:szCs w:val="24"/>
          <w:rtl/>
          <w:lang w:bidi="ar-EG"/>
        </w:rPr>
        <w:t xml:space="preserve"> </w:t>
      </w:r>
    </w:p>
    <w:p w:rsidR="00BD0E49"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7</w:t>
      </w:r>
      <w:r w:rsidR="00ED7F83" w:rsidRPr="007C544A">
        <w:rPr>
          <w:rFonts w:ascii="Traditional Arabic" w:eastAsiaTheme="minorHAnsi" w:hAnsi="Traditional Arabic" w:cs="Traditional Arabic"/>
          <w:b/>
          <w:bCs/>
          <w:rtl/>
        </w:rPr>
        <w:t>)</w:t>
      </w:r>
    </w:p>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اختبار</w:t>
      </w:r>
      <w:r w:rsidRPr="007C544A">
        <w:rPr>
          <w:rFonts w:ascii="Traditional Arabic" w:eastAsiaTheme="minorHAnsi" w:hAnsi="Traditional Arabic" w:cs="Traditional Arabic"/>
          <w:b/>
          <w:bCs/>
        </w:rPr>
        <w:t xml:space="preserve"> ANOVA </w:t>
      </w:r>
      <w:r w:rsidRPr="007C544A">
        <w:rPr>
          <w:rFonts w:ascii="Traditional Arabic" w:eastAsiaTheme="minorHAnsi" w:hAnsi="Traditional Arabic" w:cs="Traditional Arabic"/>
          <w:b/>
          <w:bCs/>
          <w:rtl/>
        </w:rPr>
        <w:t>أحادي الاتجاه لتحليل الفروق بين متوسطات تقييم أثر الدمج حسب سنوات الخبرة</w:t>
      </w:r>
    </w:p>
    <w:tbl>
      <w:tblPr>
        <w:tblStyle w:val="TableGrid1"/>
        <w:bidiVisual/>
        <w:tblW w:w="744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604"/>
        <w:gridCol w:w="2750"/>
        <w:gridCol w:w="2090"/>
      </w:tblGrid>
      <w:tr w:rsidR="00D61B53" w:rsidRPr="007C544A" w:rsidTr="00775B4E">
        <w:trPr>
          <w:trHeight w:val="415"/>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سنوات الخبرة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r>
      <w:tr w:rsidR="00D61B53" w:rsidRPr="007C544A" w:rsidTr="00775B4E">
        <w:trPr>
          <w:trHeight w:val="400"/>
          <w:jc w:val="center"/>
        </w:trPr>
        <w:tc>
          <w:tcPr>
            <w:tcW w:w="0" w:type="auto"/>
            <w:tcBorders>
              <w:top w:val="threeDEmboss" w:sz="24" w:space="0" w:color="auto"/>
            </w:tcBorders>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ما دون </w:t>
            </w:r>
            <w:r w:rsidRPr="007C544A">
              <w:rPr>
                <w:rFonts w:ascii="Traditional Arabic" w:hAnsi="Traditional Arabic" w:cs="Traditional Arabic"/>
                <w:sz w:val="24"/>
                <w:szCs w:val="24"/>
              </w:rPr>
              <w:t>5</w:t>
            </w:r>
            <w:r w:rsidRPr="007C544A">
              <w:rPr>
                <w:rFonts w:ascii="Traditional Arabic" w:hAnsi="Traditional Arabic" w:cs="Traditional Arabic"/>
                <w:sz w:val="24"/>
                <w:szCs w:val="24"/>
                <w:rtl/>
              </w:rPr>
              <w:t xml:space="preserve"> سنوات</w:t>
            </w:r>
          </w:p>
        </w:tc>
        <w:tc>
          <w:tcPr>
            <w:tcW w:w="0" w:type="auto"/>
            <w:tcBorders>
              <w:top w:val="threeDEmboss" w:sz="24" w:space="0" w:color="auto"/>
            </w:tcBorders>
            <w:shd w:val="clear" w:color="auto" w:fill="FFFFFF" w:themeFill="background1"/>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4.04</w:t>
            </w:r>
          </w:p>
        </w:tc>
        <w:tc>
          <w:tcPr>
            <w:tcW w:w="0" w:type="auto"/>
            <w:tcBorders>
              <w:top w:val="threeDEmboss" w:sz="24" w:space="0" w:color="auto"/>
            </w:tcBorders>
            <w:shd w:val="clear" w:color="auto" w:fill="FFFFFF" w:themeFill="background1"/>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r>
      <w:tr w:rsidR="00D61B53" w:rsidRPr="007C544A" w:rsidTr="00775B4E">
        <w:trPr>
          <w:trHeight w:val="415"/>
          <w:jc w:val="center"/>
        </w:trPr>
        <w:tc>
          <w:tcPr>
            <w:tcW w:w="0" w:type="auto"/>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10- 5</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سنوات</w:t>
            </w:r>
          </w:p>
        </w:tc>
        <w:tc>
          <w:tcPr>
            <w:tcW w:w="0" w:type="auto"/>
            <w:shd w:val="clear" w:color="auto" w:fill="FFFFFF" w:themeFill="background1"/>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4.06</w:t>
            </w:r>
          </w:p>
        </w:tc>
        <w:tc>
          <w:tcPr>
            <w:tcW w:w="0" w:type="auto"/>
            <w:shd w:val="clear" w:color="auto" w:fill="FFFFFF" w:themeFill="background1"/>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0.62</w:t>
            </w:r>
          </w:p>
        </w:tc>
      </w:tr>
      <w:tr w:rsidR="00D61B53" w:rsidRPr="007C544A" w:rsidTr="00775B4E">
        <w:trPr>
          <w:trHeight w:val="400"/>
          <w:jc w:val="center"/>
        </w:trPr>
        <w:tc>
          <w:tcPr>
            <w:tcW w:w="0" w:type="auto"/>
            <w:shd w:val="clear" w:color="auto" w:fill="D9D9D9" w:themeFill="background1" w:themeFillShade="D9"/>
            <w:vAlign w:val="center"/>
            <w:hideMark/>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من </w:t>
            </w:r>
            <w:r w:rsidRPr="007C544A">
              <w:rPr>
                <w:rFonts w:ascii="Traditional Arabic" w:hAnsi="Traditional Arabic" w:cs="Traditional Arabic"/>
                <w:sz w:val="24"/>
                <w:szCs w:val="24"/>
              </w:rPr>
              <w:t>15- 11</w:t>
            </w:r>
            <w:r w:rsidRPr="007C544A">
              <w:rPr>
                <w:rFonts w:ascii="Traditional Arabic" w:hAnsi="Traditional Arabic" w:cs="Traditional Arabic"/>
                <w:sz w:val="24"/>
                <w:szCs w:val="24"/>
                <w:rtl/>
              </w:rPr>
              <w:t xml:space="preserve"> سنوات</w:t>
            </w:r>
          </w:p>
        </w:tc>
        <w:tc>
          <w:tcPr>
            <w:tcW w:w="0" w:type="auto"/>
            <w:shd w:val="clear" w:color="auto" w:fill="FFFFFF" w:themeFill="background1"/>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shd w:val="clear" w:color="auto" w:fill="FFFFFF" w:themeFill="background1"/>
            <w:vAlign w:val="center"/>
            <w:hideMark/>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0.60</w:t>
            </w:r>
          </w:p>
        </w:tc>
      </w:tr>
      <w:tr w:rsidR="00D61B53" w:rsidRPr="007C544A" w:rsidTr="00775B4E">
        <w:trPr>
          <w:trHeight w:val="400"/>
          <w:jc w:val="center"/>
        </w:trPr>
        <w:tc>
          <w:tcPr>
            <w:tcW w:w="0" w:type="auto"/>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أكثر من </w:t>
            </w:r>
            <w:r w:rsidRPr="007C544A">
              <w:rPr>
                <w:rFonts w:ascii="Traditional Arabic" w:hAnsi="Traditional Arabic" w:cs="Traditional Arabic"/>
                <w:sz w:val="24"/>
                <w:szCs w:val="24"/>
              </w:rPr>
              <w:t>15</w:t>
            </w:r>
            <w:r w:rsidRPr="007C544A">
              <w:rPr>
                <w:rFonts w:ascii="Traditional Arabic" w:hAnsi="Traditional Arabic" w:cs="Traditional Arabic"/>
                <w:sz w:val="24"/>
                <w:szCs w:val="24"/>
                <w:rtl/>
              </w:rPr>
              <w:t xml:space="preserve"> سنة</w:t>
            </w:r>
          </w:p>
        </w:tc>
        <w:tc>
          <w:tcPr>
            <w:tcW w:w="0" w:type="auto"/>
            <w:shd w:val="clear" w:color="auto" w:fill="FFFFFF" w:themeFill="background1"/>
            <w:vAlign w:val="center"/>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4.05</w:t>
            </w:r>
          </w:p>
        </w:tc>
        <w:tc>
          <w:tcPr>
            <w:tcW w:w="0" w:type="auto"/>
            <w:shd w:val="clear" w:color="auto" w:fill="FFFFFF" w:themeFill="background1"/>
            <w:vAlign w:val="center"/>
          </w:tcPr>
          <w:p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0.63</w:t>
            </w:r>
          </w:p>
        </w:tc>
      </w:tr>
    </w:tbl>
    <w:p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D61B53" w:rsidRPr="007C544A" w:rsidRDefault="00D61B53"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8</w:t>
      </w:r>
      <w:r w:rsidR="00ED7F83" w:rsidRPr="007C544A">
        <w:rPr>
          <w:rFonts w:ascii="Traditional Arabic" w:eastAsiaTheme="minorHAnsi" w:hAnsi="Traditional Arabic" w:cs="Traditional Arabic"/>
          <w:b/>
          <w:bCs/>
          <w:rtl/>
        </w:rPr>
        <w:t>)</w:t>
      </w:r>
    </w:p>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لتحليل الفروق بين متوسطات تقييم أثر الدمج بين هذه الفئات</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29"/>
        <w:gridCol w:w="1425"/>
        <w:gridCol w:w="1333"/>
        <w:gridCol w:w="1381"/>
        <w:gridCol w:w="1378"/>
        <w:gridCol w:w="1350"/>
      </w:tblGrid>
      <w:tr w:rsidR="00D61B53" w:rsidRPr="007C544A" w:rsidTr="00775B4E">
        <w:trPr>
          <w:jc w:val="center"/>
        </w:trPr>
        <w:tc>
          <w:tcPr>
            <w:tcW w:w="1472"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p>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425"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398"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مستوى الدلالة</w:t>
            </w:r>
            <w:r w:rsidRPr="007C544A">
              <w:rPr>
                <w:rFonts w:ascii="Traditional Arabic" w:hAnsi="Traditional Arabic" w:cs="Traditional Arabic"/>
                <w:sz w:val="24"/>
                <w:szCs w:val="24"/>
              </w:rPr>
              <w:t xml:space="preserve"> Sig</w:t>
            </w:r>
          </w:p>
        </w:tc>
      </w:tr>
      <w:tr w:rsidR="00D61B53" w:rsidRPr="007C544A" w:rsidTr="00775B4E">
        <w:trPr>
          <w:jc w:val="center"/>
        </w:trPr>
        <w:tc>
          <w:tcPr>
            <w:tcW w:w="1472" w:type="dxa"/>
            <w:tcBorders>
              <w:top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476"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0.020</w:t>
            </w:r>
          </w:p>
        </w:tc>
        <w:tc>
          <w:tcPr>
            <w:tcW w:w="1379"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3</w:t>
            </w:r>
          </w:p>
        </w:tc>
        <w:tc>
          <w:tcPr>
            <w:tcW w:w="1421"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0.0067</w:t>
            </w:r>
          </w:p>
        </w:tc>
        <w:tc>
          <w:tcPr>
            <w:tcW w:w="1425"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0.20</w:t>
            </w:r>
          </w:p>
        </w:tc>
        <w:tc>
          <w:tcPr>
            <w:tcW w:w="1398" w:type="dxa"/>
            <w:tcBorders>
              <w:top w:val="threeDEmboss"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0.89</w:t>
            </w:r>
          </w:p>
        </w:tc>
      </w:tr>
      <w:tr w:rsidR="00D61B53" w:rsidRPr="007C544A" w:rsidTr="00775B4E">
        <w:trPr>
          <w:jc w:val="center"/>
        </w:trPr>
        <w:tc>
          <w:tcPr>
            <w:tcW w:w="1472" w:type="dxa"/>
            <w:tcBorders>
              <w:bottom w:val="threeDEngrave"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476"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9.655</w:t>
            </w:r>
          </w:p>
        </w:tc>
        <w:tc>
          <w:tcPr>
            <w:tcW w:w="1379"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281</w:t>
            </w:r>
          </w:p>
        </w:tc>
        <w:tc>
          <w:tcPr>
            <w:tcW w:w="1421"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0.0343</w:t>
            </w:r>
          </w:p>
        </w:tc>
        <w:tc>
          <w:tcPr>
            <w:tcW w:w="1425"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398" w:type="dxa"/>
            <w:tcBorders>
              <w:bottom w:val="threeDEngrave" w:sz="24" w:space="0" w:color="auto"/>
            </w:tcBorders>
            <w:shd w:val="clear" w:color="auto" w:fill="FFFFFF" w:themeFill="background1"/>
            <w:vAlign w:val="center"/>
          </w:tcPr>
          <w:p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D61B53" w:rsidRPr="007C544A" w:rsidTr="00775B4E">
        <w:trPr>
          <w:jc w:val="center"/>
        </w:trPr>
        <w:tc>
          <w:tcPr>
            <w:tcW w:w="1472"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p>
        </w:tc>
        <w:tc>
          <w:tcPr>
            <w:tcW w:w="1425"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p>
        </w:tc>
        <w:tc>
          <w:tcPr>
            <w:tcW w:w="1398" w:type="dxa"/>
            <w:tcBorders>
              <w:top w:val="threeDEngrave" w:sz="24" w:space="0" w:color="auto"/>
              <w:bottom w:val="threeDEmboss" w:sz="24" w:space="0" w:color="auto"/>
            </w:tcBorders>
            <w:shd w:val="clear" w:color="auto" w:fill="D9D9D9" w:themeFill="background1" w:themeFillShade="D9"/>
            <w:vAlign w:val="center"/>
          </w:tcPr>
          <w:p w:rsidR="00D61B53" w:rsidRPr="007C544A" w:rsidRDefault="00D61B53" w:rsidP="00706522">
            <w:pPr>
              <w:bidi/>
              <w:spacing w:line="360" w:lineRule="auto"/>
              <w:jc w:val="center"/>
              <w:rPr>
                <w:rFonts w:ascii="Traditional Arabic" w:hAnsi="Traditional Arabic" w:cs="Traditional Arabic"/>
                <w:sz w:val="24"/>
                <w:szCs w:val="24"/>
                <w:rtl/>
              </w:rPr>
            </w:pPr>
          </w:p>
        </w:tc>
      </w:tr>
    </w:tbl>
    <w:p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قيمة</w:t>
      </w:r>
      <w:r w:rsidRPr="007C544A">
        <w:rPr>
          <w:rFonts w:ascii="Traditional Arabic" w:eastAsiaTheme="minorHAnsi" w:hAnsi="Traditional Arabic" w:cs="Traditional Arabic"/>
          <w:shd w:val="clear" w:color="auto" w:fill="FFFFFF"/>
        </w:rPr>
        <w:t xml:space="preserve"> Sig = 0.89 &gt; 0.05 </w:t>
      </w:r>
      <w:r w:rsidRPr="007C544A">
        <w:rPr>
          <w:rFonts w:eastAsiaTheme="minorHAnsi"/>
          <w:shd w:val="clear" w:color="auto" w:fill="FFFFFF"/>
        </w:rPr>
        <w:t>→</w:t>
      </w:r>
      <w:r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tl/>
        </w:rPr>
        <w:t>لا توجد فروق معنوية بين تقييم أثر الدمج حسب سنوات الخبرة</w:t>
      </w:r>
      <w:r w:rsidRPr="007C544A">
        <w:rPr>
          <w:rFonts w:ascii="Traditional Arabic" w:eastAsiaTheme="minorHAnsi" w:hAnsi="Traditional Arabic" w:cs="Traditional Arabic"/>
          <w:shd w:val="clear" w:color="auto" w:fill="FFFFFF"/>
        </w:rPr>
        <w:t xml:space="preserve">. </w:t>
      </w:r>
    </w:p>
    <w:p w:rsidR="00D61B53" w:rsidRPr="007C544A" w:rsidRDefault="00D61B53" w:rsidP="002D00D3">
      <w:pPr>
        <w:pStyle w:val="NormalWeb"/>
        <w:numPr>
          <w:ilvl w:val="0"/>
          <w:numId w:val="66"/>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shd w:val="clear" w:color="auto" w:fill="FFFFFF"/>
          <w:rtl/>
        </w:rPr>
        <w:t>تشير نتائج اختبار</w:t>
      </w:r>
      <w:r w:rsidRPr="007C544A">
        <w:rPr>
          <w:rFonts w:ascii="Traditional Arabic" w:eastAsiaTheme="minorHAnsi" w:hAnsi="Traditional Arabic" w:cs="Traditional Arabic"/>
          <w:shd w:val="clear" w:color="auto" w:fill="FFFFFF"/>
        </w:rPr>
        <w:t xml:space="preserve"> ANOVA </w:t>
      </w:r>
      <w:r w:rsidRPr="007C544A">
        <w:rPr>
          <w:rFonts w:ascii="Traditional Arabic" w:eastAsiaTheme="minorHAnsi" w:hAnsi="Traditional Arabic" w:cs="Traditional Arabic"/>
          <w:shd w:val="clear" w:color="auto" w:fill="FFFFFF"/>
          <w:rtl/>
        </w:rPr>
        <w:t>الخاص بسنوات الخبرة</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أن قيمة</w:t>
      </w:r>
      <w:r w:rsidRPr="007C544A">
        <w:rPr>
          <w:rFonts w:ascii="Traditional Arabic" w:eastAsiaTheme="minorHAnsi" w:hAnsi="Traditional Arabic" w:cs="Traditional Arabic"/>
          <w:shd w:val="clear" w:color="auto" w:fill="FFFFFF"/>
        </w:rPr>
        <w:t xml:space="preserve"> Sig</w:t>
      </w:r>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0.</w:t>
      </w:r>
      <w:r w:rsidR="00FB3B39" w:rsidRPr="007C544A">
        <w:rPr>
          <w:rFonts w:ascii="Traditional Arabic" w:eastAsiaTheme="minorHAnsi" w:hAnsi="Traditional Arabic" w:cs="Traditional Arabic"/>
          <w:shd w:val="clear" w:color="auto" w:fill="FFFFFF"/>
        </w:rPr>
        <w:t>8</w:t>
      </w:r>
      <w:r w:rsidRPr="007C544A">
        <w:rPr>
          <w:rFonts w:ascii="Traditional Arabic" w:eastAsiaTheme="minorHAnsi" w:hAnsi="Traditional Arabic" w:cs="Traditional Arabic"/>
          <w:shd w:val="clear" w:color="auto" w:fill="FFFFFF"/>
        </w:rPr>
        <w:t xml:space="preserve">9) </w:t>
      </w:r>
      <w:r w:rsidRPr="007C544A">
        <w:rPr>
          <w:rFonts w:ascii="Traditional Arabic" w:eastAsiaTheme="minorHAnsi" w:hAnsi="Traditional Arabic" w:cs="Traditional Arabic"/>
          <w:shd w:val="clear" w:color="auto" w:fill="FFFFFF"/>
          <w:rtl/>
        </w:rPr>
        <w:t>أكبر</w:t>
      </w:r>
      <w:r w:rsidRPr="007C544A">
        <w:rPr>
          <w:rFonts w:ascii="Traditional Arabic" w:eastAsiaTheme="minorHAnsi" w:hAnsi="Traditional Arabic" w:cs="Traditional Arabic"/>
          <w:rtl/>
          <w:lang w:bidi="ar-EG"/>
        </w:rPr>
        <w:t xml:space="preserve"> من مستوى الدلالة</w:t>
      </w:r>
      <w:r w:rsidR="00CE76F6" w:rsidRPr="007C544A">
        <w:rPr>
          <w:rFonts w:ascii="Traditional Arabic" w:eastAsiaTheme="minorHAnsi" w:hAnsi="Traditional Arabic" w:cs="Traditional Arabic"/>
          <w:rtl/>
          <w:lang w:bidi="ar-EG"/>
        </w:rPr>
        <w:t xml:space="preserve"> (</w:t>
      </w:r>
      <w:r w:rsidR="00CE76F6" w:rsidRPr="007C544A">
        <w:rPr>
          <w:rFonts w:ascii="Cambria" w:eastAsiaTheme="minorHAnsi" w:hAnsi="Cambria" w:cs="Cambria"/>
          <w:lang w:bidi="ar-EG"/>
        </w:rPr>
        <w:t>α</w:t>
      </w:r>
      <w:r w:rsidR="00CE76F6" w:rsidRPr="007C544A">
        <w:rPr>
          <w:rFonts w:ascii="Traditional Arabic" w:eastAsiaTheme="minorHAnsi" w:hAnsi="Traditional Arabic" w:cs="Traditional Arabic"/>
          <w:lang w:bidi="ar-EG"/>
        </w:rPr>
        <w:t xml:space="preserve"> = 0.05</w:t>
      </w:r>
      <w:r w:rsidR="00CE76F6"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يعني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المشاركين ذوي الخبرات المختلفة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دون 5 سنوات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5–10 سنوات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11–15 سنة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أكثر من 15 سنة)</w:t>
      </w:r>
      <w:r w:rsidRPr="007C544A">
        <w:rPr>
          <w:rFonts w:ascii="Traditional Arabic" w:eastAsiaTheme="minorHAnsi" w:hAnsi="Traditional Arabic" w:cs="Traditional Arabic"/>
          <w:lang w:bidi="ar-EG"/>
        </w:rPr>
        <w:t>.</w:t>
      </w:r>
    </w:p>
    <w:p w:rsidR="00D61B53" w:rsidRPr="007C544A" w:rsidRDefault="00D61B53" w:rsidP="002D00D3">
      <w:pPr>
        <w:pStyle w:val="NormalWeb"/>
        <w:numPr>
          <w:ilvl w:val="0"/>
          <w:numId w:val="66"/>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تقييم أثر استراتيجية الدمج متقارب بين جميع الفئات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 المتوسط بين 4.04 و4.08 مع انحراف معياري منخفض نسبيًا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يعكس اتساقًا كبيرًا في تقييم الاستراتيجية بين المشاركين بغض النظر عن طول فترة الخبرة العملية</w:t>
      </w:r>
      <w:r w:rsidRPr="007C544A">
        <w:rPr>
          <w:rFonts w:ascii="Traditional Arabic" w:eastAsiaTheme="minorHAnsi" w:hAnsi="Traditional Arabic" w:cs="Traditional Arabic"/>
          <w:lang w:bidi="ar-EG"/>
        </w:rPr>
        <w:t>.</w:t>
      </w:r>
    </w:p>
    <w:p w:rsidR="00D61B53" w:rsidRPr="007C544A" w:rsidRDefault="00D61B53" w:rsidP="002D00D3">
      <w:pPr>
        <w:pStyle w:val="NormalWeb"/>
        <w:numPr>
          <w:ilvl w:val="0"/>
          <w:numId w:val="66"/>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يدعم هذا التحليل الفرضية الفرعية المتعلقة بسنوات الخبرة ويؤكد أن طول الخبرة لا يمثل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 وبالتالي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الدمج تؤثر على دخول السوق الموازية بشكل متجانس بين المشاركين من مختلف مستويات الخبرة العملية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775B4E" w:rsidRPr="007C544A" w:rsidRDefault="00474BB4"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ED7F83" w:rsidRPr="007C544A">
        <w:rPr>
          <w:rFonts w:ascii="Traditional Arabic" w:eastAsiaTheme="minorHAnsi" w:hAnsi="Traditional Arabic" w:cs="Traditional Arabic"/>
          <w:b/>
          <w:bCs/>
          <w:rtl/>
        </w:rPr>
        <w:t>4-1</w:t>
      </w:r>
      <w:r w:rsidR="001A6710" w:rsidRPr="007C544A">
        <w:rPr>
          <w:rFonts w:ascii="Traditional Arabic" w:eastAsiaTheme="minorHAnsi" w:hAnsi="Traditional Arabic" w:cs="Traditional Arabic"/>
          <w:b/>
          <w:bCs/>
          <w:rtl/>
        </w:rPr>
        <w:t>9</w:t>
      </w:r>
      <w:r w:rsidR="00ED7F83" w:rsidRPr="007C544A">
        <w:rPr>
          <w:rFonts w:ascii="Traditional Arabic" w:eastAsiaTheme="minorHAnsi" w:hAnsi="Traditional Arabic" w:cs="Traditional Arabic"/>
          <w:b/>
          <w:bCs/>
          <w:rtl/>
        </w:rPr>
        <w:t xml:space="preserve">) </w:t>
      </w:r>
    </w:p>
    <w:p w:rsidR="00ED7F83" w:rsidRPr="007C544A" w:rsidRDefault="00ED7F8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نتائج اختبار الفروض</w:t>
      </w:r>
    </w:p>
    <w:p w:rsidR="00ED7F83" w:rsidRPr="007C544A" w:rsidRDefault="00ED7F8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تأثير استراتيجية دمج الشركات على</w:t>
      </w:r>
      <w:r w:rsidR="00FB3B39" w:rsidRPr="007C544A">
        <w:rPr>
          <w:rFonts w:ascii="Traditional Arabic" w:eastAsiaTheme="minorHAnsi" w:hAnsi="Traditional Arabic" w:cs="Traditional Arabic"/>
          <w:b/>
          <w:bCs/>
          <w:rtl/>
        </w:rPr>
        <w:t xml:space="preserve"> الجاهزية لل</w:t>
      </w:r>
      <w:r w:rsidR="000544F4" w:rsidRPr="007C544A">
        <w:rPr>
          <w:rFonts w:ascii="Traditional Arabic" w:eastAsiaTheme="minorHAnsi" w:hAnsi="Traditional Arabic" w:cs="Traditional Arabic"/>
          <w:b/>
          <w:bCs/>
          <w:rtl/>
        </w:rPr>
        <w:t>إدراج</w:t>
      </w:r>
      <w:r w:rsidR="00FB3B39" w:rsidRPr="007C544A">
        <w:rPr>
          <w:rFonts w:ascii="Traditional Arabic" w:eastAsiaTheme="minorHAnsi" w:hAnsi="Traditional Arabic" w:cs="Traditional Arabic"/>
          <w:b/>
          <w:bCs/>
          <w:rtl/>
        </w:rPr>
        <w:t xml:space="preserve"> في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دخول</w:t>
      </w:r>
      <w:r w:rsidR="00FB3B39" w:rsidRPr="007C544A">
        <w:rPr>
          <w:rFonts w:ascii="Traditional Arabic" w:eastAsiaTheme="minorHAnsi" w:hAnsi="Traditional Arabic" w:cs="Traditional Arabic"/>
          <w:b/>
          <w:bCs/>
          <w:rtl/>
        </w:rPr>
        <w:t xml:space="preserve"> سوق النمو</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السوق الموازية</w:t>
      </w:r>
      <w:r w:rsidR="00D7278E" w:rsidRPr="007C544A">
        <w:rPr>
          <w:rFonts w:ascii="Traditional Arabic" w:eastAsiaTheme="minorHAnsi" w:hAnsi="Traditional Arabic" w:cs="Traditional Arabic"/>
          <w:b/>
          <w:bCs/>
          <w:rtl/>
        </w:rPr>
        <w:t>)</w:t>
      </w:r>
    </w:p>
    <w:tbl>
      <w:tblPr>
        <w:tblStyle w:val="TableGrid1"/>
        <w:bidiVisual/>
        <w:tblW w:w="8624" w:type="dxa"/>
        <w:tblBorders>
          <w:top w:val="threeDEngrave" w:sz="24" w:space="0" w:color="auto"/>
          <w:bottom w:val="threeDEmboss" w:sz="24" w:space="0" w:color="auto"/>
        </w:tblBorders>
        <w:tblLook w:val="04A0" w:firstRow="1" w:lastRow="0" w:firstColumn="1" w:lastColumn="0" w:noHBand="0" w:noVBand="1"/>
      </w:tblPr>
      <w:tblGrid>
        <w:gridCol w:w="694"/>
        <w:gridCol w:w="2679"/>
        <w:gridCol w:w="4225"/>
        <w:gridCol w:w="1026"/>
      </w:tblGrid>
      <w:tr w:rsidR="008F11F5" w:rsidRPr="007C544A" w:rsidTr="00D821D8">
        <w:trPr>
          <w:trHeight w:val="361"/>
          <w:tblHead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الفرض</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مضمون الفرض</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النتيجة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w:t>
            </w:r>
          </w:p>
        </w:tc>
        <w:tc>
          <w:tcPr>
            <w:tcW w:w="1026" w:type="dxa"/>
            <w:tcBorders>
              <w:top w:val="threeDEngrave" w:sz="24" w:space="0" w:color="auto"/>
              <w:bottom w:val="threeDEmboss" w:sz="24" w:space="0" w:color="auto"/>
            </w:tcBorders>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القرار</w:t>
            </w:r>
          </w:p>
        </w:tc>
      </w:tr>
      <w:tr w:rsidR="008F11F5" w:rsidRPr="007C544A" w:rsidTr="00D821D8">
        <w:trPr>
          <w:trHeight w:val="518"/>
        </w:trPr>
        <w:tc>
          <w:tcPr>
            <w:tcW w:w="0" w:type="auto"/>
            <w:tcBorders>
              <w:top w:val="threeDEmboss" w:sz="24" w:space="0" w:color="auto"/>
            </w:tcBorders>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H1a</w:t>
            </w:r>
          </w:p>
        </w:tc>
        <w:tc>
          <w:tcPr>
            <w:tcW w:w="0" w:type="auto"/>
            <w:tcBorders>
              <w:top w:val="threeDEmboss" w:sz="24" w:space="0" w:color="auto"/>
            </w:tcBorders>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تأثير الدمج على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Cambria" w:hAnsi="Cambria" w:cs="Cambria"/>
                <w:sz w:val="24"/>
                <w:szCs w:val="24"/>
              </w:rPr>
              <w:t>β</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مرتفع</w:t>
            </w:r>
            <w:r w:rsidRPr="007C544A">
              <w:rPr>
                <w:rFonts w:ascii="Traditional Arabic" w:hAnsi="Traditional Arabic" w:cs="Traditional Arabic"/>
                <w:sz w:val="24"/>
                <w:szCs w:val="24"/>
              </w:rPr>
              <w:t xml:space="preserve"> / p&lt;0.001)</w:t>
            </w:r>
          </w:p>
        </w:tc>
        <w:tc>
          <w:tcPr>
            <w:tcW w:w="1026" w:type="dxa"/>
            <w:tcBorders>
              <w:top w:val="threeDEmboss" w:sz="24" w:space="0" w:color="auto"/>
            </w:tcBorders>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rsidTr="00D821D8">
        <w:trPr>
          <w:trHeight w:val="532"/>
        </w:trPr>
        <w:tc>
          <w:tcPr>
            <w:tcW w:w="0" w:type="auto"/>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H1b</w:t>
            </w:r>
          </w:p>
        </w:tc>
        <w:tc>
          <w:tcPr>
            <w:tcW w:w="0" w:type="auto"/>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الحوكمة</w:t>
            </w:r>
          </w:p>
        </w:tc>
        <w:tc>
          <w:tcPr>
            <w:tcW w:w="0" w:type="auto"/>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p&lt;0.001)</w:t>
            </w:r>
          </w:p>
        </w:tc>
        <w:tc>
          <w:tcPr>
            <w:tcW w:w="1026" w:type="dxa"/>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rsidTr="00D821D8">
        <w:trPr>
          <w:trHeight w:val="518"/>
        </w:trPr>
        <w:tc>
          <w:tcPr>
            <w:tcW w:w="0" w:type="auto"/>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H1c</w:t>
            </w:r>
          </w:p>
        </w:tc>
        <w:tc>
          <w:tcPr>
            <w:tcW w:w="0" w:type="auto"/>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القدرة التنافسية</w:t>
            </w:r>
          </w:p>
        </w:tc>
        <w:tc>
          <w:tcPr>
            <w:tcW w:w="0" w:type="auto"/>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p&lt;0.001)</w:t>
            </w:r>
          </w:p>
        </w:tc>
        <w:tc>
          <w:tcPr>
            <w:tcW w:w="1026" w:type="dxa"/>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rsidTr="00D821D8">
        <w:trPr>
          <w:trHeight w:val="532"/>
        </w:trPr>
        <w:tc>
          <w:tcPr>
            <w:tcW w:w="0" w:type="auto"/>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H1d</w:t>
            </w:r>
          </w:p>
        </w:tc>
        <w:tc>
          <w:tcPr>
            <w:tcW w:w="0" w:type="auto"/>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التمويل</w:t>
            </w:r>
          </w:p>
        </w:tc>
        <w:tc>
          <w:tcPr>
            <w:tcW w:w="0" w:type="auto"/>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p&lt;0.001)</w:t>
            </w:r>
          </w:p>
        </w:tc>
        <w:tc>
          <w:tcPr>
            <w:tcW w:w="1026" w:type="dxa"/>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rsidTr="00D821D8">
        <w:trPr>
          <w:trHeight w:val="458"/>
        </w:trPr>
        <w:tc>
          <w:tcPr>
            <w:tcW w:w="0" w:type="auto"/>
            <w:shd w:val="clear" w:color="auto" w:fill="D9D9D9" w:themeFill="background1" w:themeFillShade="D9"/>
            <w:vAlign w:val="center"/>
            <w:hideMark/>
          </w:tcPr>
          <w:p w:rsidR="00757378" w:rsidRPr="007C544A" w:rsidRDefault="00185E3C" w:rsidP="00706522">
            <w:pPr>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w:t>
            </w:r>
          </w:p>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الرئيس</w:t>
            </w:r>
          </w:p>
        </w:tc>
        <w:tc>
          <w:tcPr>
            <w:tcW w:w="0" w:type="auto"/>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دخول السوق الموازية</w:t>
            </w:r>
          </w:p>
        </w:tc>
        <w:tc>
          <w:tcPr>
            <w:tcW w:w="0" w:type="auto"/>
            <w:vAlign w:val="center"/>
            <w:hideMark/>
          </w:tcPr>
          <w:p w:rsidR="00D821D8" w:rsidRPr="007C544A" w:rsidRDefault="00D821D8" w:rsidP="00706522">
            <w:pPr>
              <w:pStyle w:val="NormalWeb"/>
              <w:bidi/>
              <w:spacing w:before="0" w:beforeAutospacing="0" w:after="0" w:afterAutospacing="0" w:line="360" w:lineRule="auto"/>
              <w:jc w:val="center"/>
              <w:rPr>
                <w:rFonts w:ascii="Traditional Arabic" w:hAnsi="Traditional Arabic" w:cs="Traditional Arabic"/>
                <w:lang w:val="en-US"/>
              </w:rPr>
            </w:pPr>
            <w:r w:rsidRPr="007C544A">
              <w:rPr>
                <w:rStyle w:val="Strong"/>
                <w:rFonts w:ascii="Traditional Arabic" w:hAnsi="Traditional Arabic" w:cs="Traditional Arabic"/>
                <w:b w:val="0"/>
                <w:bCs w:val="0"/>
                <w:rtl/>
              </w:rPr>
              <w:t xml:space="preserve">دال إحصائيا </w:t>
            </w:r>
            <w:r w:rsidRPr="007C544A">
              <w:rPr>
                <w:rStyle w:val="Strong"/>
                <w:rFonts w:ascii="Cambria" w:hAnsi="Cambria" w:cs="Cambria"/>
                <w:b w:val="0"/>
                <w:bCs w:val="0"/>
              </w:rPr>
              <w:t>β</w:t>
            </w:r>
            <w:r w:rsidRPr="007C544A">
              <w:rPr>
                <w:rStyle w:val="Strong"/>
                <w:rFonts w:ascii="Traditional Arabic" w:hAnsi="Traditional Arabic" w:cs="Traditional Arabic"/>
                <w:b w:val="0"/>
                <w:bCs w:val="0"/>
              </w:rPr>
              <w:t xml:space="preserve"> = 0.81</w:t>
            </w:r>
            <w:r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Pr>
              <w:t>p &lt; 0.001</w:t>
            </w:r>
            <w:r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Pr>
              <w:t>R² = 0.67</w:t>
            </w:r>
          </w:p>
          <w:p w:rsidR="00D821D8" w:rsidRPr="007C544A" w:rsidRDefault="00D821D8" w:rsidP="00706522">
            <w:pPr>
              <w:bidi/>
              <w:spacing w:line="360" w:lineRule="auto"/>
              <w:jc w:val="center"/>
              <w:rPr>
                <w:rFonts w:ascii="Traditional Arabic" w:hAnsi="Traditional Arabic" w:cs="Traditional Arabic"/>
                <w:vanish/>
                <w:sz w:val="24"/>
                <w:szCs w:val="24"/>
              </w:rPr>
            </w:pPr>
          </w:p>
          <w:p w:rsidR="00185E3C" w:rsidRPr="007C544A" w:rsidRDefault="00185E3C" w:rsidP="00706522">
            <w:pPr>
              <w:bidi/>
              <w:spacing w:line="360" w:lineRule="auto"/>
              <w:jc w:val="center"/>
              <w:rPr>
                <w:rFonts w:ascii="Traditional Arabic" w:hAnsi="Traditional Arabic" w:cs="Traditional Arabic"/>
                <w:sz w:val="24"/>
                <w:szCs w:val="24"/>
              </w:rPr>
            </w:pPr>
          </w:p>
        </w:tc>
        <w:tc>
          <w:tcPr>
            <w:tcW w:w="1026" w:type="dxa"/>
            <w:shd w:val="clear" w:color="auto" w:fill="D9D9D9" w:themeFill="background1" w:themeFillShade="D9"/>
            <w:vAlign w:val="center"/>
            <w:hideMark/>
          </w:tcPr>
          <w:p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bl>
    <w:p w:rsidR="00185E3C" w:rsidRPr="007C544A" w:rsidRDefault="00185E3C"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يتضح من نتائج الجدول</w:t>
      </w:r>
      <w:r w:rsidR="00D7278E" w:rsidRPr="007C544A">
        <w:rPr>
          <w:rStyle w:val="Strong"/>
          <w:rFonts w:ascii="Traditional Arabic" w:hAnsi="Traditional Arabic" w:cs="Traditional Arabic"/>
          <w:b w:val="0"/>
          <w:bCs w:val="0"/>
          <w:rtl/>
        </w:rPr>
        <w:t xml:space="preserve"> (</w:t>
      </w:r>
      <w:r w:rsidR="00CC63BD" w:rsidRPr="007C544A">
        <w:rPr>
          <w:rStyle w:val="Strong"/>
          <w:rFonts w:ascii="Traditional Arabic" w:hAnsi="Traditional Arabic" w:cs="Traditional Arabic"/>
          <w:b w:val="0"/>
          <w:bCs w:val="0"/>
          <w:rtl/>
        </w:rPr>
        <w:t>4-19)</w:t>
      </w:r>
      <w:r w:rsidRPr="007C544A">
        <w:rPr>
          <w:rFonts w:ascii="Traditional Arabic" w:eastAsiaTheme="minorHAnsi" w:hAnsi="Traditional Arabic" w:cs="Traditional Arabic"/>
          <w:rtl/>
          <w:lang w:bidi="ar-EG"/>
        </w:rPr>
        <w:t xml:space="preserve"> أن جميع الفروض الفرعية للدراسة قد تم قبولها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أظهرت النتائج </w:t>
      </w:r>
      <w:r w:rsidR="00A558A5" w:rsidRPr="007C544A">
        <w:rPr>
          <w:rFonts w:ascii="Traditional Arabic" w:hAnsi="Traditional Arabic" w:cs="Traditional Arabic"/>
          <w:rtl/>
        </w:rPr>
        <w:t xml:space="preserve">وجود تأثير ذي دلالة </w:t>
      </w:r>
      <w:r w:rsidR="004C5D0F" w:rsidRPr="007C544A">
        <w:rPr>
          <w:rFonts w:ascii="Traditional Arabic" w:hAnsi="Traditional Arabic" w:cs="Traditional Arabic"/>
          <w:rtl/>
        </w:rPr>
        <w:t>إحصائي</w:t>
      </w:r>
      <w:r w:rsidR="00A558A5" w:rsidRPr="007C544A">
        <w:rPr>
          <w:rFonts w:ascii="Traditional Arabic" w:hAnsi="Traditional Arabic" w:cs="Traditional Arabic"/>
          <w:rtl/>
        </w:rPr>
        <w:t>ة لاستراتيجية دمج الشركات على جميع أبعاد الجاهزية لل</w:t>
      </w:r>
      <w:r w:rsidR="000544F4" w:rsidRPr="007C544A">
        <w:rPr>
          <w:rFonts w:ascii="Traditional Arabic" w:hAnsi="Traditional Arabic" w:cs="Traditional Arabic"/>
          <w:rtl/>
        </w:rPr>
        <w:t>إدراج</w:t>
      </w:r>
      <w:r w:rsidR="00A558A5"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00A558A5" w:rsidRPr="007C544A">
        <w:rPr>
          <w:rFonts w:ascii="Traditional Arabic" w:hAnsi="Traditional Arabic" w:cs="Traditional Arabic"/>
          <w:rtl/>
        </w:rPr>
        <w:t>السوق الموازية)</w:t>
      </w:r>
      <w:r w:rsidR="00A558A5" w:rsidRPr="007C544A">
        <w:rPr>
          <w:rFonts w:ascii="Traditional Arabic" w:hAnsi="Traditional Arabic" w:cs="Traditional Arabic"/>
        </w:rPr>
        <w:t>.</w:t>
      </w:r>
      <w:r w:rsidRPr="007C544A">
        <w:rPr>
          <w:rFonts w:ascii="Traditional Arabic" w:eastAsiaTheme="minorHAnsi" w:hAnsi="Traditional Arabic" w:cs="Traditional Arabic"/>
          <w:rtl/>
          <w:lang w:bidi="ar-EG"/>
        </w:rPr>
        <w:t xml:space="preserve"> والمتمثلة في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ومتطلبات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والقدرة التنافسية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وفرص الحصول على التمويل</w:t>
      </w:r>
      <w:r w:rsidRPr="007C544A">
        <w:rPr>
          <w:rFonts w:ascii="Traditional Arabic" w:eastAsiaTheme="minorHAnsi" w:hAnsi="Traditional Arabic" w:cs="Traditional Arabic"/>
          <w:lang w:bidi="ar-EG"/>
        </w:rPr>
        <w:t>.</w:t>
      </w:r>
    </w:p>
    <w:p w:rsidR="00CC63BD" w:rsidRPr="007C544A" w:rsidRDefault="00CC63BD" w:rsidP="00706522">
      <w:pPr>
        <w:bidi/>
        <w:spacing w:after="0" w:line="360" w:lineRule="auto"/>
        <w:ind w:firstLine="720"/>
        <w:jc w:val="both"/>
        <w:rPr>
          <w:rStyle w:val="Strong"/>
          <w:rFonts w:ascii="Traditional Arabic" w:hAnsi="Traditional Arabic" w:cs="Traditional Arabic"/>
          <w:b w:val="0"/>
          <w:bCs w:val="0"/>
          <w:sz w:val="24"/>
          <w:szCs w:val="24"/>
        </w:rPr>
      </w:pPr>
      <w:r w:rsidRPr="007C544A">
        <w:rPr>
          <w:rStyle w:val="Strong"/>
          <w:rFonts w:ascii="Traditional Arabic" w:hAnsi="Traditional Arabic" w:cs="Traditional Arabic"/>
          <w:b w:val="0"/>
          <w:bCs w:val="0"/>
          <w:sz w:val="24"/>
          <w:szCs w:val="24"/>
          <w:rtl/>
        </w:rPr>
        <w:t>كما أظهرت نتائج تحليل الانحدار على المتغير الكلي المجمع أن استراتيجية الدمج تفسر نسبة معتبرة من التباين في أبعاد دخول السوق الموازية مجتمعة</w:t>
      </w:r>
      <w:r w:rsidR="00D7278E" w:rsidRPr="007C544A">
        <w:rPr>
          <w:rStyle w:val="Strong"/>
          <w:rFonts w:ascii="Traditional Arabic" w:hAnsi="Traditional Arabic" w:cs="Traditional Arabic"/>
          <w:b w:val="0"/>
          <w:bCs w:val="0"/>
          <w:sz w:val="24"/>
          <w:szCs w:val="24"/>
          <w:rtl/>
        </w:rPr>
        <w:t xml:space="preserve"> </w:t>
      </w:r>
      <w:r w:rsidR="00D7278E" w:rsidRPr="007C544A">
        <w:rPr>
          <w:rStyle w:val="Strong"/>
          <w:rFonts w:ascii="Traditional Arabic" w:hAnsi="Traditional Arabic" w:cs="Traditional Arabic"/>
          <w:b w:val="0"/>
          <w:bCs w:val="0"/>
          <w:sz w:val="24"/>
          <w:szCs w:val="24"/>
        </w:rPr>
        <w:t>(</w:t>
      </w:r>
      <w:r w:rsidRPr="007C544A">
        <w:rPr>
          <w:rStyle w:val="Strong"/>
          <w:rFonts w:ascii="Traditional Arabic" w:hAnsi="Traditional Arabic" w:cs="Traditional Arabic"/>
          <w:b w:val="0"/>
          <w:bCs w:val="0"/>
          <w:sz w:val="24"/>
          <w:szCs w:val="24"/>
        </w:rPr>
        <w:t>R² = 0.67)</w:t>
      </w:r>
      <w:r w:rsidR="00D7278E" w:rsidRPr="007C544A">
        <w:rPr>
          <w:rStyle w:val="Strong"/>
          <w:rFonts w:ascii="Traditional Arabic" w:hAnsi="Traditional Arabic" w:cs="Traditional Arabic"/>
          <w:b w:val="0"/>
          <w:bCs w:val="0"/>
          <w:sz w:val="24"/>
          <w:szCs w:val="24"/>
          <w:rtl/>
        </w:rPr>
        <w:t xml:space="preserve">، </w:t>
      </w:r>
      <w:r w:rsidRPr="007C544A">
        <w:rPr>
          <w:rStyle w:val="Strong"/>
          <w:rFonts w:ascii="Traditional Arabic" w:hAnsi="Traditional Arabic" w:cs="Traditional Arabic"/>
          <w:b w:val="0"/>
          <w:bCs w:val="0"/>
          <w:sz w:val="24"/>
          <w:szCs w:val="24"/>
          <w:rtl/>
        </w:rPr>
        <w:t xml:space="preserve">مع وجود تأثير إيجابي قوي ودال </w:t>
      </w:r>
      <w:r w:rsidR="004C5D0F" w:rsidRPr="007C544A">
        <w:rPr>
          <w:rStyle w:val="Strong"/>
          <w:rFonts w:ascii="Traditional Arabic" w:hAnsi="Traditional Arabic" w:cs="Traditional Arabic"/>
          <w:b w:val="0"/>
          <w:bCs w:val="0"/>
          <w:sz w:val="24"/>
          <w:szCs w:val="24"/>
          <w:rtl/>
        </w:rPr>
        <w:t>إحصائي</w:t>
      </w:r>
      <w:r w:rsidRPr="007C544A">
        <w:rPr>
          <w:rStyle w:val="Strong"/>
          <w:rFonts w:ascii="Traditional Arabic" w:hAnsi="Traditional Arabic" w:cs="Traditional Arabic"/>
          <w:b w:val="0"/>
          <w:bCs w:val="0"/>
          <w:sz w:val="24"/>
          <w:szCs w:val="24"/>
          <w:rtl/>
        </w:rPr>
        <w:t>ا</w:t>
      </w:r>
      <w:r w:rsidR="00D7278E" w:rsidRPr="007C544A">
        <w:rPr>
          <w:rStyle w:val="Strong"/>
          <w:rFonts w:ascii="Traditional Arabic" w:hAnsi="Traditional Arabic" w:cs="Traditional Arabic"/>
          <w:b w:val="0"/>
          <w:bCs w:val="0"/>
          <w:sz w:val="24"/>
          <w:szCs w:val="24"/>
          <w:rtl/>
        </w:rPr>
        <w:t xml:space="preserve"> </w:t>
      </w:r>
      <w:r w:rsidR="00D7278E" w:rsidRPr="007C544A">
        <w:rPr>
          <w:rStyle w:val="Strong"/>
          <w:rFonts w:ascii="Traditional Arabic" w:hAnsi="Traditional Arabic" w:cs="Traditional Arabic"/>
          <w:b w:val="0"/>
          <w:bCs w:val="0"/>
          <w:sz w:val="24"/>
          <w:szCs w:val="24"/>
        </w:rPr>
        <w:t>(</w:t>
      </w:r>
      <w:r w:rsidRPr="007C544A">
        <w:rPr>
          <w:rStyle w:val="Strong"/>
          <w:rFonts w:ascii="Cambria" w:hAnsi="Cambria" w:cs="Cambria"/>
          <w:b w:val="0"/>
          <w:bCs w:val="0"/>
          <w:sz w:val="24"/>
          <w:szCs w:val="24"/>
        </w:rPr>
        <w:t>β</w:t>
      </w:r>
      <w:r w:rsidRPr="007C544A">
        <w:rPr>
          <w:rStyle w:val="Strong"/>
          <w:rFonts w:ascii="Traditional Arabic" w:hAnsi="Traditional Arabic" w:cs="Traditional Arabic"/>
          <w:b w:val="0"/>
          <w:bCs w:val="0"/>
          <w:sz w:val="24"/>
          <w:szCs w:val="24"/>
        </w:rPr>
        <w:t xml:space="preserve"> = 0.81)</w:t>
      </w:r>
      <w:r w:rsidR="00D7278E" w:rsidRPr="007C544A">
        <w:rPr>
          <w:rStyle w:val="Strong"/>
          <w:rFonts w:ascii="Traditional Arabic" w:hAnsi="Traditional Arabic" w:cs="Traditional Arabic"/>
          <w:b w:val="0"/>
          <w:bCs w:val="0"/>
          <w:sz w:val="24"/>
          <w:szCs w:val="24"/>
          <w:rtl/>
        </w:rPr>
        <w:t xml:space="preserve">، </w:t>
      </w:r>
      <w:r w:rsidRPr="007C544A">
        <w:rPr>
          <w:rStyle w:val="Strong"/>
          <w:rFonts w:ascii="Traditional Arabic" w:hAnsi="Traditional Arabic" w:cs="Traditional Arabic"/>
          <w:b w:val="0"/>
          <w:bCs w:val="0"/>
          <w:sz w:val="24"/>
          <w:szCs w:val="24"/>
          <w:rtl/>
        </w:rPr>
        <w:t xml:space="preserve">مما يعكس الأثر التكاملي لاستراتيجية الدمج في تعزيز مختلف أبعاد </w:t>
      </w:r>
      <w:r w:rsidR="005C20E0" w:rsidRPr="007C544A">
        <w:rPr>
          <w:rStyle w:val="Strong"/>
          <w:rFonts w:ascii="Traditional Arabic" w:hAnsi="Traditional Arabic" w:cs="Traditional Arabic"/>
          <w:b w:val="0"/>
          <w:bCs w:val="0"/>
          <w:sz w:val="24"/>
          <w:szCs w:val="24"/>
          <w:rtl/>
        </w:rPr>
        <w:t>الأداء</w:t>
      </w:r>
      <w:r w:rsidRPr="007C544A">
        <w:rPr>
          <w:rStyle w:val="Strong"/>
          <w:rFonts w:ascii="Traditional Arabic" w:hAnsi="Traditional Arabic" w:cs="Traditional Arabic"/>
          <w:b w:val="0"/>
          <w:bCs w:val="0"/>
          <w:sz w:val="24"/>
          <w:szCs w:val="24"/>
          <w:rtl/>
        </w:rPr>
        <w:t xml:space="preserve"> المؤسسي</w:t>
      </w:r>
      <w:r w:rsidRPr="007C544A">
        <w:rPr>
          <w:rStyle w:val="Strong"/>
          <w:rFonts w:ascii="Traditional Arabic" w:hAnsi="Traditional Arabic" w:cs="Traditional Arabic"/>
          <w:b w:val="0"/>
          <w:bCs w:val="0"/>
          <w:sz w:val="24"/>
          <w:szCs w:val="24"/>
        </w:rPr>
        <w:t>.</w:t>
      </w:r>
    </w:p>
    <w:p w:rsidR="00A558A5" w:rsidRPr="007C544A" w:rsidRDefault="00185E3C" w:rsidP="00706522">
      <w:pPr>
        <w:pStyle w:val="pdq2pgselectionanchorcontainer"/>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وبناءً عليه تم </w:t>
      </w:r>
      <w:r w:rsidR="00A558A5" w:rsidRPr="007C544A">
        <w:rPr>
          <w:rFonts w:ascii="Traditional Arabic" w:hAnsi="Traditional Arabic" w:cs="Traditional Arabic"/>
          <w:rtl/>
        </w:rPr>
        <w:t>قبول الفرض الرئيسي للدراسة</w:t>
      </w:r>
      <w:r w:rsidR="00D7278E" w:rsidRPr="007C544A">
        <w:rPr>
          <w:rFonts w:ascii="Traditional Arabic" w:hAnsi="Traditional Arabic" w:cs="Traditional Arabic"/>
          <w:rtl/>
        </w:rPr>
        <w:t xml:space="preserve">، </w:t>
      </w:r>
      <w:r w:rsidR="00A558A5" w:rsidRPr="007C544A">
        <w:rPr>
          <w:rFonts w:ascii="Traditional Arabic" w:hAnsi="Traditional Arabic" w:cs="Traditional Arabic"/>
          <w:rtl/>
        </w:rPr>
        <w:t xml:space="preserve">والذي ينص على وجود تأثير ذي دلالة </w:t>
      </w:r>
      <w:r w:rsidR="004C5D0F" w:rsidRPr="007C544A">
        <w:rPr>
          <w:rFonts w:ascii="Traditional Arabic" w:hAnsi="Traditional Arabic" w:cs="Traditional Arabic"/>
          <w:rtl/>
        </w:rPr>
        <w:t>إحصائي</w:t>
      </w:r>
      <w:r w:rsidR="00A558A5" w:rsidRPr="007C544A">
        <w:rPr>
          <w:rFonts w:ascii="Traditional Arabic" w:hAnsi="Traditional Arabic" w:cs="Traditional Arabic"/>
          <w:rtl/>
        </w:rPr>
        <w:t>ة لاستراتيجية دمج الشركات على الجاهزية لل</w:t>
      </w:r>
      <w:r w:rsidR="000544F4" w:rsidRPr="007C544A">
        <w:rPr>
          <w:rFonts w:ascii="Traditional Arabic" w:hAnsi="Traditional Arabic" w:cs="Traditional Arabic"/>
          <w:rtl/>
        </w:rPr>
        <w:t>إدراج</w:t>
      </w:r>
      <w:r w:rsidR="00A558A5"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00A558A5" w:rsidRPr="007C544A">
        <w:rPr>
          <w:rFonts w:ascii="Traditional Arabic" w:hAnsi="Traditional Arabic" w:cs="Traditional Arabic"/>
          <w:rtl/>
        </w:rPr>
        <w:t>السوق الموازية)</w:t>
      </w:r>
      <w:r w:rsidR="00A558A5" w:rsidRPr="007C544A">
        <w:rPr>
          <w:rFonts w:ascii="Traditional Arabic" w:hAnsi="Traditional Arabic" w:cs="Traditional Arabic"/>
        </w:rPr>
        <w:t>.</w:t>
      </w:r>
    </w:p>
    <w:p w:rsidR="00FB3B39" w:rsidRPr="007C544A" w:rsidRDefault="00FE777E"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w:t>
      </w:r>
      <w:r w:rsidR="00FB3B39" w:rsidRPr="007C544A">
        <w:rPr>
          <w:rFonts w:ascii="Traditional Arabic" w:eastAsiaTheme="minorHAnsi" w:hAnsi="Traditional Arabic" w:cs="Traditional Arabic"/>
          <w:rtl/>
          <w:lang w:bidi="ar-EG"/>
        </w:rPr>
        <w:t>في ضوء ما تم عرضه من نتائج التحليل الوصفي واختبار الفروض في هذا الفصل</w:t>
      </w:r>
      <w:r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00FB3B39" w:rsidRPr="007C544A">
        <w:rPr>
          <w:rFonts w:ascii="Traditional Arabic" w:eastAsiaTheme="minorHAnsi" w:hAnsi="Traditional Arabic" w:cs="Traditional Arabic"/>
          <w:rtl/>
          <w:lang w:bidi="ar-EG"/>
        </w:rPr>
        <w:t>يمكن تلخيص النتائج في الجدول التالي</w:t>
      </w:r>
      <w:r w:rsidR="00775B4E" w:rsidRPr="007C544A">
        <w:rPr>
          <w:rFonts w:ascii="Traditional Arabic" w:eastAsiaTheme="minorHAnsi" w:hAnsi="Traditional Arabic" w:cs="Traditional Arabic"/>
          <w:rtl/>
          <w:lang w:bidi="ar-EG"/>
        </w:rPr>
        <w:t>:</w:t>
      </w:r>
    </w:p>
    <w:p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rsidR="00E721E0" w:rsidRPr="007C544A" w:rsidRDefault="00474BB4"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1A6710" w:rsidRPr="007C544A">
        <w:rPr>
          <w:rFonts w:ascii="Traditional Arabic" w:eastAsiaTheme="minorHAnsi" w:hAnsi="Traditional Arabic" w:cs="Traditional Arabic"/>
          <w:b/>
          <w:bCs/>
          <w:rtl/>
        </w:rPr>
        <w:t>-20)</w:t>
      </w:r>
    </w:p>
    <w:p w:rsidR="00E721E0" w:rsidRPr="007C544A" w:rsidRDefault="00DC1247"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rPr>
        <w:t>ملخص</w:t>
      </w:r>
      <w:r w:rsidR="00D7278E" w:rsidRPr="007C544A">
        <w:rPr>
          <w:rFonts w:ascii="Traditional Arabic" w:eastAsiaTheme="minorHAnsi" w:hAnsi="Traditional Arabic" w:cs="Traditional Arabic"/>
          <w:b/>
          <w:bCs/>
          <w:rtl/>
        </w:rPr>
        <w:t xml:space="preserve"> </w:t>
      </w:r>
      <w:r w:rsidR="00E721E0" w:rsidRPr="007C544A">
        <w:rPr>
          <w:rFonts w:ascii="Traditional Arabic" w:eastAsiaTheme="minorHAnsi" w:hAnsi="Traditional Arabic" w:cs="Traditional Arabic"/>
          <w:b/>
          <w:bCs/>
          <w:rtl/>
        </w:rPr>
        <w:t>تساؤلات الدراسة وربطها بالفروض وأساليب التحليل والنتائج</w:t>
      </w:r>
    </w:p>
    <w:tbl>
      <w:tblPr>
        <w:tblStyle w:val="TableGrid1"/>
        <w:bidiVisual/>
        <w:tblW w:w="0" w:type="auto"/>
        <w:tblBorders>
          <w:top w:val="threeDEngrave" w:sz="24" w:space="0" w:color="auto"/>
          <w:bottom w:val="threeDEmboss" w:sz="24" w:space="0" w:color="auto"/>
        </w:tblBorders>
        <w:tblLook w:val="04A0" w:firstRow="1" w:lastRow="0" w:firstColumn="1" w:lastColumn="0" w:noHBand="0" w:noVBand="1"/>
      </w:tblPr>
      <w:tblGrid>
        <w:gridCol w:w="2286"/>
        <w:gridCol w:w="1964"/>
        <w:gridCol w:w="1968"/>
        <w:gridCol w:w="2078"/>
      </w:tblGrid>
      <w:tr w:rsidR="00E721E0" w:rsidRPr="007C544A" w:rsidTr="00757378">
        <w:trPr>
          <w:tblHead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التساؤل/السؤال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الفرضية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أسلوب التحليل ال</w:t>
            </w:r>
            <w:r w:rsidR="004C5D0F" w:rsidRPr="007C544A">
              <w:rPr>
                <w:rFonts w:ascii="Traditional Arabic" w:hAnsi="Traditional Arabic" w:cs="Traditional Arabic"/>
                <w:sz w:val="24"/>
                <w:szCs w:val="24"/>
                <w:rtl/>
              </w:rPr>
              <w:t>إحصائي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النتيجة</w:t>
            </w:r>
          </w:p>
        </w:tc>
      </w:tr>
      <w:tr w:rsidR="00E721E0" w:rsidRPr="007C544A" w:rsidTr="006D1607">
        <w:tc>
          <w:tcPr>
            <w:tcW w:w="0" w:type="auto"/>
            <w:tcBorders>
              <w:top w:val="threeDEmboss" w:sz="24" w:space="0" w:color="auto"/>
            </w:tcBorders>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ما مدى فاعلية استراتيجية دمج الشركات التي تمكّن الشركات من دخول سوق النمو – السوق الموازية؟</w:t>
            </w:r>
          </w:p>
        </w:tc>
        <w:tc>
          <w:tcPr>
            <w:tcW w:w="0" w:type="auto"/>
            <w:tcBorders>
              <w:top w:val="threeDEmboss" w:sz="24" w:space="0" w:color="auto"/>
            </w:tcBorders>
            <w:hideMark/>
          </w:tcPr>
          <w:p w:rsidR="00E721E0" w:rsidRPr="007C544A" w:rsidRDefault="00A558A5" w:rsidP="00706522">
            <w:pPr>
              <w:pStyle w:val="pdq2pgselectionanchorcontainer"/>
              <w:bidi/>
              <w:spacing w:before="0" w:beforeAutospacing="0" w:after="0" w:afterAutospacing="0" w:line="360" w:lineRule="auto"/>
              <w:jc w:val="both"/>
              <w:rPr>
                <w:rFonts w:ascii="Traditional Arabic" w:hAnsi="Traditional Arabic" w:cs="Traditional Arabic"/>
                <w:lang w:val="en-US" w:eastAsia="en-US"/>
              </w:rPr>
            </w:pPr>
            <w:r w:rsidRPr="007C544A">
              <w:rPr>
                <w:rFonts w:ascii="Traditional Arabic" w:hAnsi="Traditional Arabic" w:cs="Traditional Arabic"/>
                <w:rtl/>
                <w:lang w:val="en-US" w:eastAsia="en-US"/>
              </w:rPr>
              <w:t xml:space="preserve">يوجد أثر ذو دلالة </w:t>
            </w:r>
            <w:r w:rsidR="004C5D0F" w:rsidRPr="007C544A">
              <w:rPr>
                <w:rFonts w:ascii="Traditional Arabic" w:hAnsi="Traditional Arabic" w:cs="Traditional Arabic"/>
                <w:rtl/>
                <w:lang w:val="en-US" w:eastAsia="en-US"/>
              </w:rPr>
              <w:t>إحصائي</w:t>
            </w:r>
            <w:r w:rsidRPr="007C544A">
              <w:rPr>
                <w:rFonts w:ascii="Traditional Arabic" w:hAnsi="Traditional Arabic" w:cs="Traditional Arabic"/>
                <w:rtl/>
                <w:lang w:val="en-US" w:eastAsia="en-US"/>
              </w:rPr>
              <w:t>ة لاستراتيجية دمج الشركات على الجاهزية لل</w:t>
            </w:r>
            <w:r w:rsidR="000544F4" w:rsidRPr="007C544A">
              <w:rPr>
                <w:rFonts w:ascii="Traditional Arabic" w:hAnsi="Traditional Arabic" w:cs="Traditional Arabic"/>
                <w:rtl/>
                <w:lang w:val="en-US" w:eastAsia="en-US"/>
              </w:rPr>
              <w:t>إدراج</w:t>
            </w:r>
            <w:r w:rsidRPr="007C544A">
              <w:rPr>
                <w:rFonts w:ascii="Traditional Arabic" w:hAnsi="Traditional Arabic" w:cs="Traditional Arabic"/>
                <w:rtl/>
                <w:lang w:val="en-US" w:eastAsia="en-US"/>
              </w:rPr>
              <w:t xml:space="preserve"> في سوق النمو</w:t>
            </w:r>
            <w:r w:rsidR="00D7278E" w:rsidRPr="007C544A">
              <w:rPr>
                <w:rFonts w:ascii="Traditional Arabic" w:hAnsi="Traditional Arabic" w:cs="Traditional Arabic"/>
                <w:rtl/>
                <w:lang w:val="en-US" w:eastAsia="en-US"/>
              </w:rPr>
              <w:t xml:space="preserve"> (</w:t>
            </w:r>
            <w:r w:rsidRPr="007C544A">
              <w:rPr>
                <w:rFonts w:ascii="Traditional Arabic" w:hAnsi="Traditional Arabic" w:cs="Traditional Arabic"/>
                <w:rtl/>
                <w:lang w:val="en-US" w:eastAsia="en-US"/>
              </w:rPr>
              <w:t>السوق الموازية)</w:t>
            </w:r>
            <w:r w:rsidR="00D821D8" w:rsidRPr="007C544A">
              <w:rPr>
                <w:rFonts w:ascii="Traditional Arabic" w:hAnsi="Traditional Arabic" w:cs="Traditional Arabic"/>
                <w:lang w:val="en-US" w:eastAsia="en-US"/>
              </w:rPr>
              <w:t>.</w:t>
            </w:r>
          </w:p>
        </w:tc>
        <w:tc>
          <w:tcPr>
            <w:tcW w:w="0" w:type="auto"/>
            <w:tcBorders>
              <w:top w:val="threeDEmboss" w:sz="24" w:space="0" w:color="auto"/>
            </w:tcBorders>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تحليل الانحدار المتعدد + المتوسط الحسابي والانحراف المعياري</w:t>
            </w:r>
          </w:p>
        </w:tc>
        <w:tc>
          <w:tcPr>
            <w:tcW w:w="0" w:type="auto"/>
            <w:tcBorders>
              <w:top w:val="threeDEmboss" w:sz="24" w:space="0" w:color="auto"/>
            </w:tcBorders>
            <w:hideMark/>
          </w:tcPr>
          <w:p w:rsidR="00E721E0" w:rsidRPr="007C544A" w:rsidRDefault="00A558A5" w:rsidP="00706522">
            <w:pPr>
              <w:pStyle w:val="pdq2pgselectionanchorcontainer"/>
              <w:bidi/>
              <w:spacing w:before="0" w:beforeAutospacing="0" w:after="0" w:afterAutospacing="0" w:line="360" w:lineRule="auto"/>
              <w:jc w:val="both"/>
              <w:rPr>
                <w:rFonts w:ascii="Traditional Arabic" w:hAnsi="Traditional Arabic" w:cs="Traditional Arabic"/>
                <w:lang w:val="en-US" w:eastAsia="en-US"/>
              </w:rPr>
            </w:pPr>
            <w:r w:rsidRPr="007C544A">
              <w:rPr>
                <w:rFonts w:ascii="Traditional Arabic" w:hAnsi="Traditional Arabic" w:cs="Traditional Arabic"/>
                <w:rtl/>
                <w:lang w:val="en-US" w:eastAsia="en-US"/>
              </w:rPr>
              <w:t xml:space="preserve">وجود تأثير دال </w:t>
            </w:r>
            <w:r w:rsidR="004C5D0F" w:rsidRPr="007C544A">
              <w:rPr>
                <w:rFonts w:ascii="Traditional Arabic" w:hAnsi="Traditional Arabic" w:cs="Traditional Arabic"/>
                <w:rtl/>
                <w:lang w:val="en-US" w:eastAsia="en-US"/>
              </w:rPr>
              <w:t>إحصائي</w:t>
            </w:r>
            <w:r w:rsidRPr="007C544A">
              <w:rPr>
                <w:rFonts w:ascii="Traditional Arabic" w:hAnsi="Traditional Arabic" w:cs="Traditional Arabic"/>
                <w:rtl/>
                <w:lang w:val="en-US" w:eastAsia="en-US"/>
              </w:rPr>
              <w:t>ا لاستراتيجية دمج الشركات على الجاهزية لل</w:t>
            </w:r>
            <w:r w:rsidR="000544F4" w:rsidRPr="007C544A">
              <w:rPr>
                <w:rFonts w:ascii="Traditional Arabic" w:hAnsi="Traditional Arabic" w:cs="Traditional Arabic"/>
                <w:rtl/>
                <w:lang w:val="en-US" w:eastAsia="en-US"/>
              </w:rPr>
              <w:t>إدراج</w:t>
            </w:r>
            <w:r w:rsidRPr="007C544A">
              <w:rPr>
                <w:rFonts w:ascii="Traditional Arabic" w:hAnsi="Traditional Arabic" w:cs="Traditional Arabic"/>
                <w:rtl/>
                <w:lang w:val="en-US" w:eastAsia="en-US"/>
              </w:rPr>
              <w:t xml:space="preserve"> في سوق النمو</w:t>
            </w:r>
            <w:r w:rsidR="00D7278E" w:rsidRPr="007C544A">
              <w:rPr>
                <w:rFonts w:ascii="Traditional Arabic" w:hAnsi="Traditional Arabic" w:cs="Traditional Arabic"/>
                <w:rtl/>
                <w:lang w:val="en-US" w:eastAsia="en-US"/>
              </w:rPr>
              <w:t xml:space="preserve"> (</w:t>
            </w:r>
            <w:r w:rsidRPr="007C544A">
              <w:rPr>
                <w:rFonts w:ascii="Traditional Arabic" w:hAnsi="Traditional Arabic" w:cs="Traditional Arabic"/>
                <w:rtl/>
                <w:lang w:val="en-US" w:eastAsia="en-US"/>
              </w:rPr>
              <w:t>السوق الموازية)</w:t>
            </w:r>
            <w:r w:rsidR="00D821D8" w:rsidRPr="007C544A">
              <w:rPr>
                <w:rFonts w:ascii="Traditional Arabic" w:hAnsi="Traditional Arabic" w:cs="Traditional Arabic"/>
                <w:lang w:val="en-US" w:eastAsia="en-US"/>
              </w:rPr>
              <w:t>.</w:t>
            </w:r>
          </w:p>
        </w:tc>
      </w:tr>
      <w:tr w:rsidR="00E721E0" w:rsidRPr="007C544A" w:rsidTr="00DD134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يوجد تأثير لاستراتيجية دمج الشركات على تحسين المؤشرات المالية</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الإيرادات– الأرباح)؟</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وتحسين المؤشرات المالية</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تحليل الانحدار البسيط</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 xml:space="preserve">ا لاستراتيجية الدمج على تحسين </w:t>
            </w:r>
            <w:r w:rsidR="005C20E0" w:rsidRPr="007C544A">
              <w:rPr>
                <w:rFonts w:ascii="Traditional Arabic" w:eastAsiaTheme="minorHAnsi" w:hAnsi="Traditional Arabic" w:cs="Traditional Arabic"/>
                <w:rtl/>
                <w:lang w:val="en-US" w:eastAsia="en-US" w:bidi="ar-EG"/>
              </w:rPr>
              <w:t>الأداء</w:t>
            </w:r>
            <w:r w:rsidRPr="007C544A">
              <w:rPr>
                <w:rFonts w:ascii="Traditional Arabic" w:eastAsiaTheme="minorHAnsi" w:hAnsi="Traditional Arabic" w:cs="Traditional Arabic"/>
                <w:rtl/>
                <w:lang w:val="en-US" w:eastAsia="en-US" w:bidi="ar-EG"/>
              </w:rPr>
              <w:t xml:space="preserve"> المالي</w:t>
            </w:r>
          </w:p>
        </w:tc>
      </w:tr>
      <w:tr w:rsidR="00E721E0" w:rsidRPr="007C544A" w:rsidTr="00DD134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يوجد تأثير لاستراتيجية دمج الشركات على متطلبات الحوكمة في سوق النمو؟</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ومستوى التوافق مع متطلبات الحوكمة</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معامل ارتباط بيرسون/ تحليل الانحدار</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ا لاستراتيجية الدمج على التوافق مع متطلبات الحوكمة</w:t>
            </w:r>
          </w:p>
        </w:tc>
      </w:tr>
      <w:tr w:rsidR="00E721E0" w:rsidRPr="007C544A" w:rsidTr="00DD134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تؤدي استراتيجية دمج الشركات</w:t>
            </w:r>
            <w:r w:rsidR="000544F4" w:rsidRPr="007C544A">
              <w:rPr>
                <w:rFonts w:ascii="Traditional Arabic" w:eastAsiaTheme="minorHAnsi" w:hAnsi="Traditional Arabic" w:cs="Traditional Arabic"/>
                <w:rtl/>
                <w:lang w:val="en-US" w:eastAsia="en-US" w:bidi="ar-EG"/>
              </w:rPr>
              <w:t xml:space="preserve"> إلى </w:t>
            </w:r>
            <w:r w:rsidRPr="007C544A">
              <w:rPr>
                <w:rFonts w:ascii="Traditional Arabic" w:eastAsiaTheme="minorHAnsi" w:hAnsi="Traditional Arabic" w:cs="Traditional Arabic"/>
                <w:rtl/>
                <w:lang w:val="en-US" w:eastAsia="en-US" w:bidi="ar-EG"/>
              </w:rPr>
              <w:t>تعزيز القدرة التنافسية لدخول السوق المالية؟</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وتعزيز القدرة التنافسية</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تحليل الانحدار</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ا لاستراتيجية الدمج على تعزيز القدرة التنافسية</w:t>
            </w:r>
          </w:p>
        </w:tc>
      </w:tr>
      <w:tr w:rsidR="00E721E0" w:rsidRPr="007C544A" w:rsidTr="00DD134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تؤثر استراتيجية الدمج على فرص الحصول على التمويل بعد ال</w:t>
            </w:r>
            <w:r w:rsidR="000544F4" w:rsidRPr="007C544A">
              <w:rPr>
                <w:rFonts w:ascii="Traditional Arabic" w:eastAsiaTheme="minorHAnsi" w:hAnsi="Traditional Arabic" w:cs="Traditional Arabic"/>
                <w:rtl/>
                <w:lang w:val="en-US" w:eastAsia="en-US" w:bidi="ar-EG"/>
              </w:rPr>
              <w:t>إدراج</w:t>
            </w:r>
            <w:r w:rsidRPr="007C544A">
              <w:rPr>
                <w:rFonts w:ascii="Traditional Arabic" w:eastAsiaTheme="minorHAnsi" w:hAnsi="Traditional Arabic" w:cs="Traditional Arabic"/>
                <w:rtl/>
                <w:lang w:val="en-US" w:eastAsia="en-US" w:bidi="ar-EG"/>
              </w:rPr>
              <w:t>؟</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وزيادة فرص الحصول على التمويل</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تحليل الانحدار/ معامل ارتباط بيرسون</w:t>
            </w:r>
          </w:p>
        </w:tc>
        <w:tc>
          <w:tcPr>
            <w:tcW w:w="0" w:type="auto"/>
            <w:hideMark/>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ا لاستراتيجية الدمج على فرص الحصول على التمويل</w:t>
            </w:r>
          </w:p>
        </w:tc>
      </w:tr>
      <w:tr w:rsidR="00E721E0" w:rsidRPr="007C544A" w:rsidTr="00DD134C">
        <w:tc>
          <w:tcPr>
            <w:tcW w:w="0" w:type="auto"/>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val="en-US" w:eastAsia="en-US" w:bidi="ar-EG"/>
              </w:rPr>
              <w:t xml:space="preserve">هل توجد فروق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 xml:space="preserve">ة في تقييم أثر استراتيجية </w:t>
            </w:r>
            <w:r w:rsidRPr="007C544A">
              <w:rPr>
                <w:rFonts w:ascii="Traditional Arabic" w:eastAsiaTheme="minorHAnsi" w:hAnsi="Traditional Arabic" w:cs="Traditional Arabic"/>
                <w:rtl/>
                <w:lang w:val="en-US" w:eastAsia="en-US" w:bidi="ar-EG"/>
              </w:rPr>
              <w:lastRenderedPageBreak/>
              <w:t>دمج الشركات على دخول السوق الموازية تُعزى</w:t>
            </w:r>
            <w:r w:rsidR="000544F4" w:rsidRPr="007C544A">
              <w:rPr>
                <w:rFonts w:ascii="Traditional Arabic" w:eastAsiaTheme="minorHAnsi" w:hAnsi="Traditional Arabic" w:cs="Traditional Arabic"/>
                <w:rtl/>
                <w:lang w:val="en-US" w:eastAsia="en-US" w:bidi="ar-EG"/>
              </w:rPr>
              <w:t xml:space="preserve"> إلى </w:t>
            </w:r>
            <w:r w:rsidRPr="007C544A">
              <w:rPr>
                <w:rFonts w:ascii="Traditional Arabic" w:eastAsiaTheme="minorHAnsi" w:hAnsi="Traditional Arabic" w:cs="Traditional Arabic"/>
                <w:rtl/>
                <w:lang w:val="en-US" w:eastAsia="en-US" w:bidi="ar-EG"/>
              </w:rPr>
              <w:t>المتغيرات الديموغرافية</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الجنس</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السن</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المؤهل التعليمي</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المستوى الوظيفي</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سنوات الخبرة)؟</w:t>
            </w:r>
          </w:p>
        </w:tc>
        <w:tc>
          <w:tcPr>
            <w:tcW w:w="0" w:type="auto"/>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val="en-US" w:eastAsia="en-US" w:bidi="ar-EG"/>
              </w:rPr>
            </w:pPr>
            <w:r w:rsidRPr="007C544A">
              <w:rPr>
                <w:rFonts w:ascii="Traditional Arabic" w:eastAsiaTheme="minorHAnsi" w:hAnsi="Traditional Arabic" w:cs="Traditional Arabic"/>
                <w:rtl/>
                <w:lang w:val="en-US" w:eastAsia="en-US" w:bidi="ar-EG"/>
              </w:rPr>
              <w:lastRenderedPageBreak/>
              <w:t>لا توجد</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 xml:space="preserve">فروق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 xml:space="preserve">ة في تقييم أثر </w:t>
            </w:r>
            <w:r w:rsidRPr="007C544A">
              <w:rPr>
                <w:rFonts w:ascii="Traditional Arabic" w:eastAsiaTheme="minorHAnsi" w:hAnsi="Traditional Arabic" w:cs="Traditional Arabic"/>
                <w:rtl/>
                <w:lang w:val="en-US" w:eastAsia="en-US" w:bidi="ar-EG"/>
              </w:rPr>
              <w:lastRenderedPageBreak/>
              <w:t>استراتيجية دمج الشركات على دخول السوق الموازية تُعزى</w:t>
            </w:r>
            <w:r w:rsidR="000544F4" w:rsidRPr="007C544A">
              <w:rPr>
                <w:rFonts w:ascii="Traditional Arabic" w:eastAsiaTheme="minorHAnsi" w:hAnsi="Traditional Arabic" w:cs="Traditional Arabic"/>
                <w:rtl/>
                <w:lang w:val="en-US" w:eastAsia="en-US" w:bidi="ar-EG"/>
              </w:rPr>
              <w:t xml:space="preserve"> إلى </w:t>
            </w:r>
            <w:r w:rsidRPr="007C544A">
              <w:rPr>
                <w:rFonts w:ascii="Traditional Arabic" w:eastAsiaTheme="minorHAnsi" w:hAnsi="Traditional Arabic" w:cs="Traditional Arabic"/>
                <w:rtl/>
                <w:lang w:val="en-US" w:eastAsia="en-US" w:bidi="ar-EG"/>
              </w:rPr>
              <w:t>المتغيرات الديموغرافية لأفراد عينة الدراسة عند مستوى دلالة</w:t>
            </w:r>
            <w:r w:rsidR="00D7278E" w:rsidRPr="007C544A">
              <w:rPr>
                <w:rFonts w:ascii="Traditional Arabic" w:eastAsiaTheme="minorHAnsi" w:hAnsi="Traditional Arabic" w:cs="Traditional Arabic"/>
                <w:rtl/>
                <w:lang w:val="en-US" w:eastAsia="en-US" w:bidi="ar-EG"/>
              </w:rPr>
              <w:t xml:space="preserve"> </w:t>
            </w:r>
            <w:r w:rsidR="00D7278E" w:rsidRPr="007C544A">
              <w:rPr>
                <w:rFonts w:ascii="Traditional Arabic" w:eastAsiaTheme="minorHAnsi" w:hAnsi="Traditional Arabic" w:cs="Traditional Arabic"/>
                <w:lang w:val="en-US" w:eastAsia="en-US" w:bidi="ar-EG"/>
              </w:rPr>
              <w:t>(</w:t>
            </w:r>
            <w:r w:rsidRPr="007C544A">
              <w:rPr>
                <w:rFonts w:ascii="Cambria" w:eastAsiaTheme="minorHAnsi" w:hAnsi="Cambria" w:cs="Cambria"/>
                <w:lang w:val="en-US" w:eastAsia="en-US" w:bidi="ar-EG"/>
              </w:rPr>
              <w:t>α</w:t>
            </w:r>
            <w:r w:rsidRPr="007C544A">
              <w:rPr>
                <w:rFonts w:ascii="Traditional Arabic" w:eastAsiaTheme="minorHAnsi" w:hAnsi="Traditional Arabic" w:cs="Traditional Arabic"/>
                <w:lang w:val="en-US" w:eastAsia="en-US" w:bidi="ar-EG"/>
              </w:rPr>
              <w:t xml:space="preserve"> </w:t>
            </w:r>
            <w:r w:rsidRPr="007C544A">
              <w:rPr>
                <w:rFonts w:eastAsiaTheme="minorHAnsi"/>
                <w:lang w:val="en-US" w:eastAsia="en-US" w:bidi="ar-EG"/>
              </w:rPr>
              <w:t>≤</w:t>
            </w:r>
            <w:r w:rsidRPr="007C544A">
              <w:rPr>
                <w:rFonts w:ascii="Traditional Arabic" w:eastAsiaTheme="minorHAnsi" w:hAnsi="Traditional Arabic" w:cs="Traditional Arabic"/>
                <w:lang w:val="en-US" w:eastAsia="en-US" w:bidi="ar-EG"/>
              </w:rPr>
              <w:t xml:space="preserve"> 0.05)</w:t>
            </w:r>
          </w:p>
        </w:tc>
        <w:tc>
          <w:tcPr>
            <w:tcW w:w="0" w:type="auto"/>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val="en-US" w:eastAsia="en-US" w:bidi="ar-EG"/>
              </w:rPr>
              <w:lastRenderedPageBreak/>
              <w:t>اختبار</w:t>
            </w:r>
            <w:r w:rsidRPr="007C544A">
              <w:rPr>
                <w:rFonts w:ascii="Traditional Arabic" w:eastAsiaTheme="minorHAnsi" w:hAnsi="Traditional Arabic" w:cs="Traditional Arabic"/>
                <w:lang w:val="en-US" w:eastAsia="en-US" w:bidi="ar-EG"/>
              </w:rPr>
              <w:t xml:space="preserve"> ANOVA </w:t>
            </w:r>
            <w:r w:rsidRPr="007C544A">
              <w:rPr>
                <w:rFonts w:ascii="Traditional Arabic" w:eastAsiaTheme="minorHAnsi" w:hAnsi="Traditional Arabic" w:cs="Traditional Arabic"/>
                <w:rtl/>
                <w:lang w:val="en-US" w:eastAsia="en-US" w:bidi="ar-EG"/>
              </w:rPr>
              <w:t>أحادي الاتجاه</w:t>
            </w:r>
            <w:r w:rsidR="00D7278E" w:rsidRPr="007C544A">
              <w:rPr>
                <w:rFonts w:ascii="Traditional Arabic" w:eastAsiaTheme="minorHAnsi" w:hAnsi="Traditional Arabic" w:cs="Traditional Arabic"/>
                <w:rtl/>
                <w:lang w:val="en-US" w:eastAsia="en-US" w:bidi="ar-EG"/>
              </w:rPr>
              <w:t xml:space="preserve"> </w:t>
            </w:r>
            <w:r w:rsidR="00D7278E" w:rsidRPr="007C544A">
              <w:rPr>
                <w:rFonts w:ascii="Traditional Arabic" w:eastAsiaTheme="minorHAnsi" w:hAnsi="Traditional Arabic" w:cs="Traditional Arabic"/>
                <w:lang w:val="en-US" w:eastAsia="en-US" w:bidi="ar-EG"/>
              </w:rPr>
              <w:t>(</w:t>
            </w:r>
            <w:r w:rsidRPr="007C544A">
              <w:rPr>
                <w:rFonts w:ascii="Traditional Arabic" w:eastAsiaTheme="minorHAnsi" w:hAnsi="Traditional Arabic" w:cs="Traditional Arabic"/>
                <w:lang w:val="en-US" w:eastAsia="en-US" w:bidi="ar-EG"/>
              </w:rPr>
              <w:t>One-</w:t>
            </w:r>
            <w:r w:rsidRPr="007C544A">
              <w:rPr>
                <w:rFonts w:ascii="Traditional Arabic" w:eastAsiaTheme="minorHAnsi" w:hAnsi="Traditional Arabic" w:cs="Traditional Arabic"/>
                <w:lang w:val="en-US" w:eastAsia="en-US" w:bidi="ar-EG"/>
              </w:rPr>
              <w:lastRenderedPageBreak/>
              <w:t xml:space="preserve">way ANOVA) </w:t>
            </w:r>
            <w:r w:rsidRPr="007C544A">
              <w:rPr>
                <w:rFonts w:ascii="Traditional Arabic" w:eastAsiaTheme="minorHAnsi" w:hAnsi="Traditional Arabic" w:cs="Traditional Arabic"/>
                <w:rtl/>
                <w:lang w:val="en-US" w:eastAsia="en-US" w:bidi="ar-EG"/>
              </w:rPr>
              <w:t>لمقارنة متوسطات تقييم أثر الدمج بين الفئات المختلفة لكل متغير ديموغرافي</w:t>
            </w:r>
          </w:p>
        </w:tc>
        <w:tc>
          <w:tcPr>
            <w:tcW w:w="0" w:type="auto"/>
          </w:tcPr>
          <w:p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hAnsi="Traditional Arabic" w:cs="Traditional Arabic"/>
                <w:rtl/>
              </w:rPr>
              <w:lastRenderedPageBreak/>
              <w:t xml:space="preserve">تم </w:t>
            </w:r>
            <w:r w:rsidRPr="007C544A">
              <w:rPr>
                <w:rFonts w:ascii="Traditional Arabic" w:eastAsiaTheme="minorHAnsi" w:hAnsi="Traditional Arabic" w:cs="Traditional Arabic"/>
                <w:rtl/>
                <w:lang w:val="en-US" w:eastAsia="en-US" w:bidi="ar-EG"/>
              </w:rPr>
              <w:t>قبول الفرض؛ حيث أظهرت النتائج أن قيم</w:t>
            </w:r>
            <w:r w:rsidRPr="007C544A">
              <w:rPr>
                <w:rFonts w:ascii="Traditional Arabic" w:eastAsiaTheme="minorHAnsi" w:hAnsi="Traditional Arabic" w:cs="Traditional Arabic"/>
                <w:lang w:val="en-US" w:eastAsia="en-US" w:bidi="ar-EG"/>
              </w:rPr>
              <w:t xml:space="preserve"> Sig </w:t>
            </w:r>
            <w:r w:rsidRPr="007C544A">
              <w:rPr>
                <w:rFonts w:ascii="Traditional Arabic" w:eastAsiaTheme="minorHAnsi" w:hAnsi="Traditional Arabic" w:cs="Traditional Arabic"/>
                <w:rtl/>
                <w:lang w:val="en-US" w:eastAsia="en-US" w:bidi="ar-EG"/>
              </w:rPr>
              <w:t xml:space="preserve">لجميع </w:t>
            </w:r>
            <w:r w:rsidRPr="007C544A">
              <w:rPr>
                <w:rFonts w:ascii="Traditional Arabic" w:eastAsiaTheme="minorHAnsi" w:hAnsi="Traditional Arabic" w:cs="Traditional Arabic"/>
                <w:rtl/>
                <w:lang w:val="en-US" w:eastAsia="en-US" w:bidi="ar-EG"/>
              </w:rPr>
              <w:lastRenderedPageBreak/>
              <w:t>المتغيرات الديموغرافية كانت أكبر من</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0.05)</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مما يدل على عدم وجود فروق معنوية</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أي أن تقييم أثر استراتيجية الدمج متقارب بين جميع الفئات</w:t>
            </w:r>
          </w:p>
        </w:tc>
      </w:tr>
    </w:tbl>
    <w:p w:rsidR="00EA20F8" w:rsidRPr="007C544A" w:rsidRDefault="00EA20F8" w:rsidP="00706522">
      <w:pPr>
        <w:pStyle w:val="a"/>
        <w:shd w:val="clear" w:color="auto" w:fill="FFFFFF" w:themeFill="background1"/>
        <w:spacing w:line="360" w:lineRule="auto"/>
        <w:jc w:val="both"/>
        <w:rPr>
          <w:rFonts w:ascii="Traditional Arabic" w:hAnsi="Traditional Arabic" w:cs="Traditional Arabic"/>
          <w:b/>
          <w:bCs/>
          <w:sz w:val="18"/>
          <w:szCs w:val="18"/>
          <w:rtl/>
        </w:rPr>
      </w:pPr>
    </w:p>
    <w:p w:rsidR="00162362" w:rsidRPr="007C544A" w:rsidRDefault="00086CDD" w:rsidP="007F462E">
      <w:pPr>
        <w:pStyle w:val="a"/>
        <w:shd w:val="clear" w:color="auto" w:fill="FFFFFF" w:themeFill="background1"/>
        <w:spacing w:line="360" w:lineRule="auto"/>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ثانياً- </w:t>
      </w:r>
      <w:r w:rsidR="00162362" w:rsidRPr="007C544A">
        <w:rPr>
          <w:rFonts w:ascii="Traditional Arabic" w:hAnsi="Traditional Arabic" w:cs="Traditional Arabic"/>
          <w:b/>
          <w:bCs/>
          <w:sz w:val="28"/>
          <w:szCs w:val="28"/>
          <w:rtl/>
        </w:rPr>
        <w:t>نتائج المقابلات الشخصية</w:t>
      </w:r>
      <w:r w:rsidR="008D300D" w:rsidRPr="007C544A">
        <w:rPr>
          <w:rFonts w:ascii="Traditional Arabic" w:hAnsi="Traditional Arabic" w:cs="Traditional Arabic"/>
          <w:b/>
          <w:bCs/>
          <w:sz w:val="28"/>
          <w:szCs w:val="28"/>
          <w:rtl/>
        </w:rPr>
        <w:t>:</w:t>
      </w:r>
    </w:p>
    <w:p w:rsidR="00E10760" w:rsidRPr="007C544A" w:rsidRDefault="00E10760" w:rsidP="007F462E">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إلى جانب الاعتماد على الاستبانة بوصفها الأداة الرئيسة لجمع البيانات الكمية، تم الاستعانة بالمقابلات المتعمقة مع مجموعة من المتخصصين والمسؤولين ذوي الصلة بموضوع الدراسة، وذلك بهدف دعم وتفسير النتائج التي تم التوصل إليها من خلال الدراسة الميدانية الكمية، والتعرف بصورة أكثر عمقًا على آرائهم وخبراتهم بشأن استراتيجية دمج الشركات ودورها في دخول الشركات العائلية إلى سوق النمو (السوق الموازية لسوق المال السعودي)</w:t>
      </w:r>
      <w:r w:rsidRPr="007C544A">
        <w:rPr>
          <w:rFonts w:ascii="Traditional Arabic" w:hAnsi="Traditional Arabic" w:cs="Traditional Arabic"/>
          <w:sz w:val="24"/>
          <w:szCs w:val="24"/>
          <w:lang w:bidi="ar-EG"/>
        </w:rPr>
        <w:t>.</w:t>
      </w:r>
    </w:p>
    <w:p w:rsidR="00E10760" w:rsidRPr="007C544A" w:rsidRDefault="00E10760" w:rsidP="007F462E">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وقد جاءت المقابلات المتعمقة بوصفها أداة نوعية داعمة ومكملة للبيانات الكمية، وليس بهدف استبدال النتائج الكمية أو إعادة اختبارها، وإنما لإتاحة تفسير أكثر عمقًا للنتائج الإحصائية وربطها بالواقع العملي محل الدراسة. ومن ثم، فإن الجمع بين الاستبانة والمقابلات المتعمقة يحقق قدرًا من التكامل بين البيانات الكمية والنوعية، بما يسهم في تقديم فهم أكثر شمولًا لموضوع الدراسة وتفسير نتائجها</w:t>
      </w:r>
      <w:r w:rsidRPr="007C544A">
        <w:rPr>
          <w:rFonts w:ascii="Traditional Arabic" w:hAnsi="Traditional Arabic" w:cs="Traditional Arabic"/>
          <w:sz w:val="24"/>
          <w:szCs w:val="24"/>
          <w:lang w:bidi="ar-EG"/>
        </w:rPr>
        <w:t>.</w:t>
      </w:r>
    </w:p>
    <w:p w:rsidR="00E10760" w:rsidRPr="007C544A" w:rsidRDefault="00E10760" w:rsidP="007F462E">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وقد تم إعداد دليل المقابلة في ضوء أهداف الدراسة ومحاورها، وعرضه على مجموعة من المتخصصين والخبراء الأكاديميين للتأكد من وضوح الأسئلة وملاءمتها لموضوع الدراسة، ثم إجراء المقابلات مع المتخصصين المستهدفين وتفريغها والاستفادة من مضمونها في دعم وتفسير النتائج الكمية</w:t>
      </w:r>
      <w:r w:rsidRPr="007C544A">
        <w:rPr>
          <w:rFonts w:ascii="Traditional Arabic" w:hAnsi="Traditional Arabic" w:cs="Traditional Arabic"/>
          <w:sz w:val="24"/>
          <w:szCs w:val="24"/>
          <w:lang w:bidi="ar-EG"/>
        </w:rPr>
        <w:t>.</w:t>
      </w:r>
    </w:p>
    <w:p w:rsidR="00E10760" w:rsidRPr="007C544A" w:rsidRDefault="00E10760" w:rsidP="007F462E">
      <w:pPr>
        <w:pStyle w:val="a"/>
        <w:shd w:val="clear" w:color="auto" w:fill="FFFFFF" w:themeFill="background1"/>
        <w:spacing w:line="360" w:lineRule="auto"/>
        <w:jc w:val="both"/>
        <w:rPr>
          <w:rFonts w:ascii="Traditional Arabic" w:hAnsi="Traditional Arabic" w:cs="Traditional Arabic"/>
          <w:b/>
          <w:bCs/>
          <w:sz w:val="28"/>
          <w:szCs w:val="28"/>
          <w:rtl/>
        </w:rPr>
      </w:pPr>
    </w:p>
    <w:p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rsidR="008D300D" w:rsidRPr="007C544A" w:rsidRDefault="00511A35"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4-</w:t>
      </w:r>
      <w:r w:rsidR="00F3674E" w:rsidRPr="007C544A">
        <w:rPr>
          <w:rFonts w:ascii="Traditional Arabic" w:eastAsiaTheme="minorHAnsi" w:hAnsi="Traditional Arabic" w:cs="Traditional Arabic"/>
          <w:b/>
          <w:bCs/>
          <w:rtl/>
        </w:rPr>
        <w:t>21</w:t>
      </w:r>
      <w:r w:rsidRPr="007C544A">
        <w:rPr>
          <w:rFonts w:ascii="Traditional Arabic" w:eastAsiaTheme="minorHAnsi" w:hAnsi="Traditional Arabic" w:cs="Traditional Arabic"/>
          <w:b/>
          <w:bCs/>
          <w:rtl/>
        </w:rPr>
        <w:t>)</w:t>
      </w:r>
    </w:p>
    <w:p w:rsidR="00511A35" w:rsidRPr="007C544A" w:rsidRDefault="00511A35"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b/>
          <w:bCs/>
          <w:rtl/>
        </w:rPr>
        <w:t>بيانات</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المسئولين في المقابلات الشخصية</w:t>
      </w:r>
    </w:p>
    <w:tbl>
      <w:tblPr>
        <w:tblStyle w:val="TableGrid"/>
        <w:bidiVisual/>
        <w:tblW w:w="7853" w:type="dxa"/>
        <w:jc w:val="center"/>
        <w:tblBorders>
          <w:top w:val="threeDEngrave" w:sz="24" w:space="0" w:color="auto"/>
          <w:bottom w:val="threeDEmboss" w:sz="24" w:space="0" w:color="auto"/>
        </w:tblBorders>
        <w:tblLook w:val="04A0" w:firstRow="1" w:lastRow="0" w:firstColumn="1" w:lastColumn="0" w:noHBand="0" w:noVBand="1"/>
      </w:tblPr>
      <w:tblGrid>
        <w:gridCol w:w="1963"/>
        <w:gridCol w:w="1963"/>
        <w:gridCol w:w="1963"/>
        <w:gridCol w:w="1964"/>
      </w:tblGrid>
      <w:tr w:rsidR="00511A35" w:rsidRPr="007C544A" w:rsidTr="00757378">
        <w:trPr>
          <w:trHeight w:val="45"/>
          <w:tblHeader/>
          <w:jc w:val="center"/>
        </w:trPr>
        <w:tc>
          <w:tcPr>
            <w:tcW w:w="1963" w:type="dxa"/>
            <w:tcBorders>
              <w:top w:val="threeDEngrave" w:sz="24" w:space="0" w:color="auto"/>
              <w:bottom w:val="threeDEmboss" w:sz="24" w:space="0" w:color="auto"/>
            </w:tcBorders>
            <w:shd w:val="clear" w:color="auto" w:fill="D9D9D9" w:themeFill="background1" w:themeFillShade="D9"/>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رمز المشارك</w:t>
            </w:r>
          </w:p>
        </w:tc>
        <w:tc>
          <w:tcPr>
            <w:tcW w:w="1963" w:type="dxa"/>
            <w:tcBorders>
              <w:top w:val="threeDEngrave" w:sz="24" w:space="0" w:color="auto"/>
              <w:bottom w:val="threeDEmboss" w:sz="24" w:space="0" w:color="auto"/>
            </w:tcBorders>
            <w:shd w:val="clear" w:color="auto" w:fill="D9D9D9" w:themeFill="background1" w:themeFillShade="D9"/>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العمر</w:t>
            </w:r>
          </w:p>
        </w:tc>
        <w:tc>
          <w:tcPr>
            <w:tcW w:w="1963" w:type="dxa"/>
            <w:tcBorders>
              <w:top w:val="threeDEngrave" w:sz="24" w:space="0" w:color="auto"/>
              <w:bottom w:val="threeDEmboss" w:sz="24" w:space="0" w:color="auto"/>
            </w:tcBorders>
            <w:shd w:val="clear" w:color="auto" w:fill="D9D9D9" w:themeFill="background1" w:themeFillShade="D9"/>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المسمى الوظيفي</w:t>
            </w:r>
          </w:p>
        </w:tc>
        <w:tc>
          <w:tcPr>
            <w:tcW w:w="1964" w:type="dxa"/>
            <w:tcBorders>
              <w:top w:val="threeDEngrave" w:sz="24" w:space="0" w:color="auto"/>
              <w:bottom w:val="threeDEmboss" w:sz="24" w:space="0" w:color="auto"/>
            </w:tcBorders>
            <w:shd w:val="clear" w:color="auto" w:fill="D9D9D9" w:themeFill="background1" w:themeFillShade="D9"/>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سنوات الخبرة</w:t>
            </w:r>
          </w:p>
        </w:tc>
      </w:tr>
      <w:tr w:rsidR="00511A35" w:rsidRPr="007C544A" w:rsidTr="00C556A2">
        <w:trPr>
          <w:trHeight w:val="223"/>
          <w:jc w:val="center"/>
        </w:trPr>
        <w:tc>
          <w:tcPr>
            <w:tcW w:w="1963" w:type="dxa"/>
            <w:tcBorders>
              <w:top w:val="threeDEmboss" w:sz="24" w:space="0" w:color="auto"/>
            </w:tcBorders>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م1</w:t>
            </w:r>
          </w:p>
        </w:tc>
        <w:tc>
          <w:tcPr>
            <w:tcW w:w="1963" w:type="dxa"/>
            <w:tcBorders>
              <w:top w:val="threeDEmboss" w:sz="24" w:space="0" w:color="auto"/>
            </w:tcBorders>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42</w:t>
            </w:r>
          </w:p>
        </w:tc>
        <w:tc>
          <w:tcPr>
            <w:tcW w:w="1963" w:type="dxa"/>
            <w:tcBorders>
              <w:top w:val="threeDEmboss" w:sz="24" w:space="0" w:color="auto"/>
            </w:tcBorders>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مالي</w:t>
            </w:r>
          </w:p>
        </w:tc>
        <w:tc>
          <w:tcPr>
            <w:tcW w:w="1964" w:type="dxa"/>
            <w:tcBorders>
              <w:top w:val="threeDEmboss" w:sz="24" w:space="0" w:color="auto"/>
            </w:tcBorders>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15</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rsidTr="00C556A2">
        <w:trPr>
          <w:trHeight w:val="231"/>
          <w:jc w:val="center"/>
        </w:trPr>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rPr>
              <w:t>م2</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تنفيذي</w:t>
            </w:r>
          </w:p>
        </w:tc>
        <w:tc>
          <w:tcPr>
            <w:tcW w:w="1964"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12</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rsidTr="00C556A2">
        <w:trPr>
          <w:trHeight w:val="223"/>
          <w:jc w:val="center"/>
        </w:trPr>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م3</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45</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عمليات</w:t>
            </w:r>
          </w:p>
        </w:tc>
        <w:tc>
          <w:tcPr>
            <w:tcW w:w="1964"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18</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rsidTr="00C556A2">
        <w:trPr>
          <w:trHeight w:val="231"/>
          <w:jc w:val="center"/>
        </w:trPr>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م4</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40</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مدير تطوير </w:t>
            </w:r>
            <w:r w:rsidR="003F6CDC" w:rsidRPr="007C544A">
              <w:rPr>
                <w:rFonts w:ascii="Traditional Arabic" w:eastAsia="Times New Roman" w:hAnsi="Traditional Arabic" w:cs="Traditional Arabic"/>
                <w:sz w:val="24"/>
                <w:szCs w:val="24"/>
                <w:rtl/>
              </w:rPr>
              <w:t>أعمال</w:t>
            </w:r>
          </w:p>
        </w:tc>
        <w:tc>
          <w:tcPr>
            <w:tcW w:w="1964"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14</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rsidTr="00C556A2">
        <w:trPr>
          <w:trHeight w:val="231"/>
          <w:jc w:val="center"/>
        </w:trPr>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م5</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37</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استثمار</w:t>
            </w:r>
          </w:p>
        </w:tc>
        <w:tc>
          <w:tcPr>
            <w:tcW w:w="1964"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10</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سنوات</w:t>
            </w:r>
          </w:p>
        </w:tc>
      </w:tr>
      <w:tr w:rsidR="00511A35" w:rsidRPr="007C544A" w:rsidTr="00C556A2">
        <w:trPr>
          <w:trHeight w:val="223"/>
          <w:jc w:val="center"/>
        </w:trPr>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م6</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48</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عام</w:t>
            </w:r>
          </w:p>
        </w:tc>
        <w:tc>
          <w:tcPr>
            <w:tcW w:w="1964"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20</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rsidTr="00C556A2">
        <w:trPr>
          <w:trHeight w:val="231"/>
          <w:jc w:val="center"/>
        </w:trPr>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م7</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41</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مالي</w:t>
            </w:r>
          </w:p>
        </w:tc>
        <w:tc>
          <w:tcPr>
            <w:tcW w:w="1964" w:type="dxa"/>
            <w:vAlign w:val="center"/>
            <w:hideMark/>
          </w:tcPr>
          <w:p w:rsidR="00511A35" w:rsidRPr="007C544A" w:rsidRDefault="006D1607"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 xml:space="preserve"> </w:t>
            </w:r>
            <w:r w:rsidR="00511A35" w:rsidRPr="007C544A">
              <w:rPr>
                <w:rFonts w:ascii="Traditional Arabic" w:eastAsia="Times New Roman" w:hAnsi="Traditional Arabic" w:cs="Traditional Arabic"/>
                <w:sz w:val="24"/>
                <w:szCs w:val="24"/>
              </w:rPr>
              <w:t xml:space="preserve">16 </w:t>
            </w:r>
            <w:r w:rsidR="00511A35" w:rsidRPr="007C544A">
              <w:rPr>
                <w:rFonts w:ascii="Traditional Arabic" w:eastAsia="Times New Roman" w:hAnsi="Traditional Arabic" w:cs="Traditional Arabic"/>
                <w:sz w:val="24"/>
                <w:szCs w:val="24"/>
                <w:rtl/>
              </w:rPr>
              <w:t>سنة</w:t>
            </w:r>
          </w:p>
        </w:tc>
      </w:tr>
      <w:tr w:rsidR="00511A35" w:rsidRPr="007C544A" w:rsidTr="00C556A2">
        <w:trPr>
          <w:trHeight w:val="223"/>
          <w:jc w:val="center"/>
        </w:trPr>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م8</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35</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مدير </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المخاطر</w:t>
            </w:r>
          </w:p>
        </w:tc>
        <w:tc>
          <w:tcPr>
            <w:tcW w:w="1964"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9</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سنوات</w:t>
            </w:r>
          </w:p>
        </w:tc>
      </w:tr>
      <w:tr w:rsidR="00511A35" w:rsidRPr="007C544A" w:rsidTr="00C556A2">
        <w:trPr>
          <w:trHeight w:val="22"/>
          <w:jc w:val="center"/>
        </w:trPr>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م9</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44</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استراتيجي</w:t>
            </w:r>
          </w:p>
        </w:tc>
        <w:tc>
          <w:tcPr>
            <w:tcW w:w="1964"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17</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rsidTr="00C556A2">
        <w:trPr>
          <w:trHeight w:val="231"/>
          <w:jc w:val="center"/>
        </w:trPr>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م10</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39</w:t>
            </w:r>
          </w:p>
        </w:tc>
        <w:tc>
          <w:tcPr>
            <w:tcW w:w="1963"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تشغيل</w:t>
            </w:r>
          </w:p>
        </w:tc>
        <w:tc>
          <w:tcPr>
            <w:tcW w:w="1964" w:type="dxa"/>
            <w:vAlign w:val="center"/>
            <w:hideMark/>
          </w:tcPr>
          <w:p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13</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bl>
    <w:p w:rsidR="002B4ADE" w:rsidRPr="007C544A" w:rsidRDefault="002B4A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أسفرت المقابلات المتعمقة التي أُجريت مع عينة من الخبراء والمسؤولين ذوي الصلة بعمليات دمج الشركات وال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 السعودي عن مجموعة من النتائج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تمثلت فيما يلي</w:t>
      </w:r>
      <w:r w:rsidR="00775B4E" w:rsidRPr="007C544A">
        <w:rPr>
          <w:rFonts w:ascii="Traditional Arabic" w:hAnsi="Traditional Arabic" w:cs="Traditional Arabic"/>
          <w:sz w:val="24"/>
          <w:szCs w:val="24"/>
          <w:rtl/>
          <w:lang w:bidi="ar-EG"/>
        </w:rPr>
        <w:t xml:space="preserve">: </w:t>
      </w:r>
    </w:p>
    <w:p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أكدت آراء المشاركين أن استراتيجية دمج الشركات تسهم في تحسين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المالي للشركات من خلال زيادة حجم ال</w:t>
      </w:r>
      <w:r w:rsidR="003F6CDC" w:rsidRPr="007C544A">
        <w:rPr>
          <w:rFonts w:ascii="Traditional Arabic" w:hAnsi="Traditional Arabic" w:cs="Traditional Arabic"/>
          <w:sz w:val="24"/>
          <w:szCs w:val="24"/>
          <w:rtl/>
          <w:lang w:bidi="ar-EG"/>
        </w:rPr>
        <w:t>أعمال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وتحسين كفاءة استخدام الموارد</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وخفض بعض التكاليف التشغيلية</w:t>
      </w:r>
      <w:r w:rsidR="00FE777E" w:rsidRPr="007C544A">
        <w:rPr>
          <w:rFonts w:ascii="Traditional Arabic" w:hAnsi="Traditional Arabic" w:cs="Traditional Arabic"/>
          <w:sz w:val="24"/>
          <w:szCs w:val="24"/>
          <w:rtl/>
          <w:lang w:bidi="ar-EG"/>
        </w:rPr>
        <w:t>.</w:t>
      </w:r>
    </w:p>
    <w:p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أشار المشاركون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الدمج يعزز من الملاءة المالية للشركات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ويقوي مراكزها المالية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يدعم قدرتها على تحقيق النمو والتوسع</w:t>
      </w:r>
      <w:r w:rsidR="00FE777E" w:rsidRPr="007C544A">
        <w:rPr>
          <w:rFonts w:ascii="Traditional Arabic" w:hAnsi="Traditional Arabic" w:cs="Traditional Arabic"/>
          <w:sz w:val="24"/>
          <w:szCs w:val="24"/>
          <w:rtl/>
          <w:lang w:bidi="ar-EG"/>
        </w:rPr>
        <w:t>.</w:t>
      </w:r>
    </w:p>
    <w:p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أوضحت نتائج المقابلات أن الدمج يسهم في تطوير ممارسات الحوكمة من خلال تحسين الهياكل التنظيمية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وتوضيح المسؤوليات والصلاحيات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وتعزيز مستويات الشفافية والإفصاح</w:t>
      </w:r>
      <w:r w:rsidR="00FE777E" w:rsidRPr="007C544A">
        <w:rPr>
          <w:rFonts w:ascii="Traditional Arabic" w:hAnsi="Traditional Arabic" w:cs="Traditional Arabic"/>
          <w:sz w:val="24"/>
          <w:szCs w:val="24"/>
          <w:rtl/>
          <w:lang w:bidi="ar-EG"/>
        </w:rPr>
        <w:t>.</w:t>
      </w:r>
    </w:p>
    <w:p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بين المشاركون أن الشركات الناتجة عن الدمج تصبح أكثر قدرة على الالتزام بالمتطلبات التنظيمية والمعايير المرتبطة بال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w:t>
      </w:r>
      <w:r w:rsidR="00FE777E" w:rsidRPr="007C544A">
        <w:rPr>
          <w:rFonts w:ascii="Traditional Arabic" w:hAnsi="Traditional Arabic" w:cs="Traditional Arabic"/>
          <w:sz w:val="24"/>
          <w:szCs w:val="24"/>
          <w:rtl/>
          <w:lang w:bidi="ar-EG"/>
        </w:rPr>
        <w:t>.</w:t>
      </w:r>
    </w:p>
    <w:p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أظهرت المقابلات أن الدمج يسهم في تعزيز القدرة التنافسية للشركات من خلال توسيع الحصة السوقية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وزيادة القدرة على مواجهة المنافسة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وتحسين جودة المنتجات والخدمات المقدمة</w:t>
      </w:r>
      <w:r w:rsidR="00FE777E" w:rsidRPr="007C544A">
        <w:rPr>
          <w:rFonts w:ascii="Traditional Arabic" w:hAnsi="Traditional Arabic" w:cs="Traditional Arabic"/>
          <w:sz w:val="24"/>
          <w:szCs w:val="24"/>
          <w:rtl/>
          <w:lang w:bidi="ar-EG"/>
        </w:rPr>
        <w:t>.</w:t>
      </w:r>
    </w:p>
    <w:p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أكد المشاركون أن الدمج يساعد الشركات على الاستفادة من الخبرات والموارد المتاحة لدى الأطراف المندمجة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بما ينعكس إيجابياً على كفاءة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المؤسسي</w:t>
      </w:r>
      <w:r w:rsidR="00FE777E" w:rsidRPr="007C544A">
        <w:rPr>
          <w:rFonts w:ascii="Traditional Arabic" w:hAnsi="Traditional Arabic" w:cs="Traditional Arabic"/>
          <w:sz w:val="24"/>
          <w:szCs w:val="24"/>
          <w:rtl/>
          <w:lang w:bidi="ar-EG"/>
        </w:rPr>
        <w:t>.</w:t>
      </w:r>
    </w:p>
    <w:p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أشارت آراء المشاركين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الدمج يسهم في تعزيز ثقة المستثمرين والمؤسسات المالية بالشركة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نتيجة تحسن أوضاعها المالية والتنظيمية</w:t>
      </w:r>
      <w:r w:rsidR="00FE777E" w:rsidRPr="007C544A">
        <w:rPr>
          <w:rFonts w:ascii="Traditional Arabic" w:hAnsi="Traditional Arabic" w:cs="Traditional Arabic"/>
          <w:sz w:val="24"/>
          <w:szCs w:val="24"/>
          <w:rtl/>
          <w:lang w:bidi="ar-EG"/>
        </w:rPr>
        <w:t>.</w:t>
      </w:r>
    </w:p>
    <w:p w:rsidR="002B4AD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أوضحت المقابلات أن الشركات المندمجة تتمتع بفرص أفضل للحصول على التمويل مقارنة بالشركات قبل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سواء من خلال البنوك أو المستثمرين أو الأسواق المالية</w:t>
      </w:r>
      <w:r w:rsidRPr="007C544A">
        <w:rPr>
          <w:rFonts w:ascii="Traditional Arabic" w:hAnsi="Traditional Arabic" w:cs="Traditional Arabic"/>
          <w:sz w:val="24"/>
          <w:szCs w:val="24"/>
          <w:lang w:bidi="ar-EG"/>
        </w:rPr>
        <w:t xml:space="preserve">. </w:t>
      </w:r>
    </w:p>
    <w:p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أشار بعض المشاركين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نجاح عملية الدمج يتطلب تخطيطاً جيداً و</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فعالة للتحديات التنظيمية والإدارية والثقافية التي قد تواجه الشركات خلال مراحل الدمج المختلفة</w:t>
      </w:r>
      <w:r w:rsidR="00FE777E" w:rsidRPr="007C544A">
        <w:rPr>
          <w:rFonts w:ascii="Traditional Arabic" w:hAnsi="Traditional Arabic" w:cs="Traditional Arabic"/>
          <w:sz w:val="24"/>
          <w:szCs w:val="24"/>
          <w:rtl/>
          <w:lang w:bidi="ar-EG"/>
        </w:rPr>
        <w:t>.</w:t>
      </w:r>
    </w:p>
    <w:p w:rsidR="002B4AD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أجمعت آراء المشاركين على أن استراتيجية دمج الشركات تمثل أحد الأدوات المهمة التي يمكن أن تدعم قدرة الشركات على النمو والتوسع وتعزيز مكانتها في السوق</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ينعكس إيجابياً على فرصها المستقبلية في 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والاستمرار في الأسواق المالية</w:t>
      </w:r>
      <w:r w:rsidRPr="007C544A">
        <w:rPr>
          <w:rFonts w:ascii="Traditional Arabic" w:hAnsi="Traditional Arabic" w:cs="Traditional Arabic"/>
          <w:sz w:val="24"/>
          <w:szCs w:val="24"/>
          <w:lang w:bidi="ar-EG"/>
        </w:rPr>
        <w:t>.</w:t>
      </w:r>
    </w:p>
    <w:p w:rsidR="006C3B5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6C3B5D" w:rsidRPr="007C544A">
        <w:rPr>
          <w:rFonts w:ascii="Traditional Arabic" w:eastAsiaTheme="minorHAnsi" w:hAnsi="Traditional Arabic" w:cs="Traditional Arabic"/>
          <w:b/>
          <w:bCs/>
          <w:rtl/>
        </w:rPr>
        <w:t>4-</w:t>
      </w:r>
      <w:r w:rsidR="00F3674E" w:rsidRPr="007C544A">
        <w:rPr>
          <w:rFonts w:ascii="Traditional Arabic" w:eastAsiaTheme="minorHAnsi" w:hAnsi="Traditional Arabic" w:cs="Traditional Arabic"/>
          <w:b/>
          <w:bCs/>
          <w:rtl/>
        </w:rPr>
        <w:t>22</w:t>
      </w:r>
      <w:r w:rsidR="006C3B5D" w:rsidRPr="007C544A">
        <w:rPr>
          <w:rFonts w:ascii="Traditional Arabic" w:eastAsiaTheme="minorHAnsi" w:hAnsi="Traditional Arabic" w:cs="Traditional Arabic"/>
          <w:b/>
          <w:bCs/>
          <w:rtl/>
        </w:rPr>
        <w:t xml:space="preserve">) </w:t>
      </w:r>
    </w:p>
    <w:p w:rsidR="006C3B5D" w:rsidRPr="007C544A" w:rsidRDefault="006C3B5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ملخص أهم نتائج الدراسة الميدانية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703"/>
        <w:gridCol w:w="1222"/>
        <w:gridCol w:w="6371"/>
      </w:tblGrid>
      <w:tr w:rsidR="006C3B5D" w:rsidRPr="007C544A" w:rsidTr="00757378">
        <w:trPr>
          <w:tblHeader/>
          <w:jc w:val="center"/>
        </w:trPr>
        <w:tc>
          <w:tcPr>
            <w:tcW w:w="703" w:type="dxa"/>
            <w:tcBorders>
              <w:top w:val="threeDEngrave" w:sz="24" w:space="0" w:color="auto"/>
              <w:bottom w:val="threeDEmboss" w:sz="24" w:space="0" w:color="auto"/>
            </w:tcBorders>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مجال الدراسة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أهم النتائج</w:t>
            </w:r>
          </w:p>
        </w:tc>
      </w:tr>
      <w:tr w:rsidR="006C3B5D" w:rsidRPr="007C544A" w:rsidTr="00757378">
        <w:trPr>
          <w:jc w:val="center"/>
        </w:trPr>
        <w:tc>
          <w:tcPr>
            <w:tcW w:w="703" w:type="dxa"/>
            <w:tcBorders>
              <w:top w:val="threeDEmboss" w:sz="24" w:space="0" w:color="auto"/>
            </w:tcBorders>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c>
          <w:tcPr>
            <w:tcW w:w="0" w:type="auto"/>
            <w:tcBorders>
              <w:top w:val="threeDEmboss" w:sz="24" w:space="0" w:color="auto"/>
            </w:tcBorders>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التحليل الوصفي</w:t>
            </w:r>
          </w:p>
        </w:tc>
        <w:tc>
          <w:tcPr>
            <w:tcW w:w="0" w:type="auto"/>
            <w:tcBorders>
              <w:top w:val="threeDEmboss" w:sz="24" w:space="0" w:color="auto"/>
            </w:tcBorders>
            <w:hideMark/>
          </w:tcPr>
          <w:p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أظهرت النتائج ارتفاع مستوى موافقة أفراد العينة على جميع أبعاد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تراوحت المتوسطات الحسابية بين</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3.87–4.07)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يعكس وجود اتجاه إيجابي نحو دور استراتيجية دمج الشركات في تعزيز الجاهزية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السوق الموازية)</w:t>
            </w:r>
            <w:r w:rsidRPr="007C544A">
              <w:rPr>
                <w:rFonts w:ascii="Traditional Arabic" w:hAnsi="Traditional Arabic" w:cs="Traditional Arabic"/>
                <w:sz w:val="24"/>
                <w:szCs w:val="24"/>
              </w:rPr>
              <w:t>.</w:t>
            </w:r>
          </w:p>
        </w:tc>
      </w:tr>
      <w:tr w:rsidR="006C3B5D" w:rsidRPr="007C544A" w:rsidTr="00757378">
        <w:trPr>
          <w:jc w:val="center"/>
        </w:trPr>
        <w:tc>
          <w:tcPr>
            <w:tcW w:w="703" w:type="dxa"/>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c>
          <w:tcPr>
            <w:tcW w:w="0" w:type="auto"/>
            <w:shd w:val="clear" w:color="auto" w:fill="D9D9D9" w:themeFill="background1" w:themeFillShade="D9"/>
            <w:vAlign w:val="center"/>
            <w:hideMark/>
          </w:tcPr>
          <w:p w:rsidR="006C3B5D"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6C3B5D" w:rsidRPr="007C544A">
              <w:rPr>
                <w:rFonts w:ascii="Traditional Arabic" w:hAnsi="Traditional Arabic" w:cs="Traditional Arabic"/>
                <w:sz w:val="24"/>
                <w:szCs w:val="24"/>
                <w:rtl/>
              </w:rPr>
              <w:t xml:space="preserve"> المالي بعد الدمج</w:t>
            </w:r>
          </w:p>
        </w:tc>
        <w:tc>
          <w:tcPr>
            <w:tcW w:w="0" w:type="auto"/>
            <w:hideMark/>
          </w:tcPr>
          <w:p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احتل بعد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 المرتبة الأولى بمتوسط 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4.07)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وأكدت النتائج أن استراتيجية الدمج تسهم في تحسين الإيرادات والأرباح والسيولة وكفاءة استخدام الموارد المالية</w:t>
            </w:r>
            <w:r w:rsidRPr="007C544A">
              <w:rPr>
                <w:rFonts w:ascii="Traditional Arabic" w:hAnsi="Traditional Arabic" w:cs="Traditional Arabic"/>
                <w:sz w:val="24"/>
                <w:szCs w:val="24"/>
              </w:rPr>
              <w:t>.</w:t>
            </w:r>
          </w:p>
        </w:tc>
      </w:tr>
      <w:tr w:rsidR="006C3B5D" w:rsidRPr="007C544A" w:rsidTr="00757378">
        <w:trPr>
          <w:jc w:val="center"/>
        </w:trPr>
        <w:tc>
          <w:tcPr>
            <w:tcW w:w="703" w:type="dxa"/>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c>
          <w:tcPr>
            <w:tcW w:w="0" w:type="auto"/>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w:t>
            </w:r>
          </w:p>
        </w:tc>
        <w:tc>
          <w:tcPr>
            <w:tcW w:w="0" w:type="auto"/>
            <w:hideMark/>
          </w:tcPr>
          <w:p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بلغ المتوسط الحسابي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3.87)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وأظهرت النتائج أن الدمج يعزز ممارسات الحوكمة والشفافية والإفصاح والرقابة الداخلية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مع الحاجة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مزيد من التطوير في التخطيط المؤسسي استعدادًا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Pr>
              <w:t>.</w:t>
            </w:r>
          </w:p>
        </w:tc>
      </w:tr>
      <w:tr w:rsidR="006C3B5D" w:rsidRPr="007C544A" w:rsidTr="00757378">
        <w:trPr>
          <w:jc w:val="center"/>
        </w:trPr>
        <w:tc>
          <w:tcPr>
            <w:tcW w:w="703" w:type="dxa"/>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c>
          <w:tcPr>
            <w:tcW w:w="0" w:type="auto"/>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 القدرة التنافسية</w:t>
            </w:r>
          </w:p>
        </w:tc>
        <w:tc>
          <w:tcPr>
            <w:tcW w:w="0" w:type="auto"/>
            <w:hideMark/>
          </w:tcPr>
          <w:p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بلغ المتوسط الحسابي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4.06)</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وأكدت النتائج أن الدمج يسهم في رفع كفاءة العمليات التشغيلية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وتوسيع الحصة السوقية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وتحسين جودة المنتجات والخدمات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القدرة التنافسية للشركات</w:t>
            </w:r>
            <w:r w:rsidRPr="007C544A">
              <w:rPr>
                <w:rFonts w:ascii="Traditional Arabic" w:hAnsi="Traditional Arabic" w:cs="Traditional Arabic"/>
                <w:sz w:val="24"/>
                <w:szCs w:val="24"/>
              </w:rPr>
              <w:t>.</w:t>
            </w:r>
          </w:p>
        </w:tc>
      </w:tr>
      <w:tr w:rsidR="006C3B5D" w:rsidRPr="007C544A" w:rsidTr="00757378">
        <w:trPr>
          <w:jc w:val="center"/>
        </w:trPr>
        <w:tc>
          <w:tcPr>
            <w:tcW w:w="703" w:type="dxa"/>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الحصول على التمويل</w:t>
            </w:r>
          </w:p>
        </w:tc>
        <w:tc>
          <w:tcPr>
            <w:tcW w:w="0" w:type="auto"/>
            <w:hideMark/>
          </w:tcPr>
          <w:p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بلغ المتوسط الحسابي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4.07)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وأظهرت النتائج أن الدمج يعزز ثقة المستثمرين والمؤسسات المالية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ويحسن الجدارة الائتمانية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ويزيد فرص الحصول على مصادر التمويل المختلفة</w:t>
            </w:r>
            <w:r w:rsidRPr="007C544A">
              <w:rPr>
                <w:rFonts w:ascii="Traditional Arabic" w:hAnsi="Traditional Arabic" w:cs="Traditional Arabic"/>
                <w:sz w:val="24"/>
                <w:szCs w:val="24"/>
              </w:rPr>
              <w:t>.</w:t>
            </w:r>
          </w:p>
        </w:tc>
      </w:tr>
      <w:tr w:rsidR="006C3B5D" w:rsidRPr="007C544A" w:rsidTr="00757378">
        <w:trPr>
          <w:jc w:val="center"/>
        </w:trPr>
        <w:tc>
          <w:tcPr>
            <w:tcW w:w="703" w:type="dxa"/>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lastRenderedPageBreak/>
              <w:t>6</w:t>
            </w:r>
          </w:p>
        </w:tc>
        <w:tc>
          <w:tcPr>
            <w:tcW w:w="0" w:type="auto"/>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اختبار الفرض الرئيسي</w:t>
            </w:r>
          </w:p>
        </w:tc>
        <w:tc>
          <w:tcPr>
            <w:tcW w:w="0" w:type="auto"/>
            <w:hideMark/>
          </w:tcPr>
          <w:p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أثبتت نتائج تحليل الانحدار وجود أثر إيجابي 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 لاستراتيجية دمج الشركات على الجاهزية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Cambria" w:hAnsi="Cambria" w:cs="Cambria"/>
                <w:sz w:val="24"/>
                <w:szCs w:val="24"/>
              </w:rPr>
              <w:t>β</w:t>
            </w:r>
            <w:r w:rsidRPr="007C544A">
              <w:rPr>
                <w:rFonts w:ascii="Traditional Arabic" w:hAnsi="Traditional Arabic" w:cs="Traditional Arabic"/>
                <w:sz w:val="24"/>
                <w:szCs w:val="24"/>
              </w:rPr>
              <w:t xml:space="preserve"> = 0.81</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R² = 0.67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Sig = 0.000)</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أدى</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قبول الفرض الرئيسي للدراسة</w:t>
            </w:r>
            <w:r w:rsidRPr="007C544A">
              <w:rPr>
                <w:rFonts w:ascii="Traditional Arabic" w:hAnsi="Traditional Arabic" w:cs="Traditional Arabic"/>
                <w:sz w:val="24"/>
                <w:szCs w:val="24"/>
              </w:rPr>
              <w:t>.</w:t>
            </w:r>
          </w:p>
        </w:tc>
      </w:tr>
      <w:tr w:rsidR="006C3B5D" w:rsidRPr="007C544A" w:rsidTr="00757378">
        <w:trPr>
          <w:jc w:val="center"/>
        </w:trPr>
        <w:tc>
          <w:tcPr>
            <w:tcW w:w="703" w:type="dxa"/>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7</w:t>
            </w:r>
          </w:p>
        </w:tc>
        <w:tc>
          <w:tcPr>
            <w:tcW w:w="0" w:type="auto"/>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الفروض الفرعية</w:t>
            </w:r>
          </w:p>
        </w:tc>
        <w:tc>
          <w:tcPr>
            <w:tcW w:w="0" w:type="auto"/>
            <w:hideMark/>
          </w:tcPr>
          <w:p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أظهرت النتائج وجود تأثير 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 لاستراتيجية الدمج على جميع الأبعاد الفرعية للدراسة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وهي</w:t>
            </w:r>
            <w:r w:rsidR="00775B4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ومتطلبات 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القدرة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والحصول على التمويل</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وتم قبول جميع الفروض الفرعية</w:t>
            </w:r>
            <w:r w:rsidRPr="007C544A">
              <w:rPr>
                <w:rFonts w:ascii="Traditional Arabic" w:hAnsi="Traditional Arabic" w:cs="Traditional Arabic"/>
                <w:sz w:val="24"/>
                <w:szCs w:val="24"/>
              </w:rPr>
              <w:t>.</w:t>
            </w:r>
          </w:p>
        </w:tc>
      </w:tr>
      <w:tr w:rsidR="006C3B5D" w:rsidRPr="007C544A" w:rsidTr="00757378">
        <w:trPr>
          <w:jc w:val="center"/>
        </w:trPr>
        <w:tc>
          <w:tcPr>
            <w:tcW w:w="703" w:type="dxa"/>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8</w:t>
            </w:r>
          </w:p>
        </w:tc>
        <w:tc>
          <w:tcPr>
            <w:tcW w:w="0" w:type="auto"/>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الفروق الديموغرافية</w:t>
            </w:r>
          </w:p>
        </w:tc>
        <w:tc>
          <w:tcPr>
            <w:tcW w:w="0" w:type="auto"/>
            <w:hideMark/>
          </w:tcPr>
          <w:p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بينت نتائج اختبار</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 xml:space="preserve">ANOVA) </w:t>
            </w:r>
            <w:r w:rsidRPr="007C544A">
              <w:rPr>
                <w:rFonts w:ascii="Traditional Arabic" w:hAnsi="Traditional Arabic" w:cs="Traditional Arabic"/>
                <w:sz w:val="24"/>
                <w:szCs w:val="24"/>
                <w:rtl/>
              </w:rPr>
              <w:t xml:space="preserve">عدم وجود فروق ذات دلالة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 في تقييم أثر استراتيجية الدمج تُعزى</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العمر أو المؤهل العلمي أو المسمى الوظيفي أو سنوات الخبرة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مما يدل على اتفاق أفراد العينة حول </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الدمج بغض النظر عن خصائصهم الديموغرافية</w:t>
            </w:r>
            <w:r w:rsidRPr="007C544A">
              <w:rPr>
                <w:rFonts w:ascii="Traditional Arabic" w:hAnsi="Traditional Arabic" w:cs="Traditional Arabic"/>
                <w:sz w:val="24"/>
                <w:szCs w:val="24"/>
              </w:rPr>
              <w:t>.</w:t>
            </w:r>
          </w:p>
        </w:tc>
      </w:tr>
      <w:tr w:rsidR="006C3B5D" w:rsidRPr="007C544A" w:rsidTr="00757378">
        <w:trPr>
          <w:jc w:val="center"/>
        </w:trPr>
        <w:tc>
          <w:tcPr>
            <w:tcW w:w="703" w:type="dxa"/>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9</w:t>
            </w:r>
          </w:p>
        </w:tc>
        <w:tc>
          <w:tcPr>
            <w:tcW w:w="0" w:type="auto"/>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المقابلات المتعمقة</w:t>
            </w:r>
          </w:p>
        </w:tc>
        <w:tc>
          <w:tcPr>
            <w:tcW w:w="0" w:type="auto"/>
            <w:hideMark/>
          </w:tcPr>
          <w:p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دعمت نتائج المقابلات النتائج الكمية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حيث أكد المشاركون أن استراتيجية الدمج تسهم في تحسين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وزيادة القدرة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وتحسين فرص الحصول على التمويل</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مع التأكيد على </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التخطيط وال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الفعالة لعمليات الدمج</w:t>
            </w:r>
            <w:r w:rsidRPr="007C544A">
              <w:rPr>
                <w:rFonts w:ascii="Traditional Arabic" w:hAnsi="Traditional Arabic" w:cs="Traditional Arabic"/>
                <w:sz w:val="24"/>
                <w:szCs w:val="24"/>
              </w:rPr>
              <w:t>.</w:t>
            </w:r>
          </w:p>
        </w:tc>
      </w:tr>
      <w:tr w:rsidR="006C3B5D" w:rsidRPr="007C544A" w:rsidTr="00757378">
        <w:trPr>
          <w:jc w:val="center"/>
        </w:trPr>
        <w:tc>
          <w:tcPr>
            <w:tcW w:w="703" w:type="dxa"/>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w:t>
            </w:r>
          </w:p>
        </w:tc>
        <w:tc>
          <w:tcPr>
            <w:tcW w:w="0" w:type="auto"/>
            <w:shd w:val="clear" w:color="auto" w:fill="D9D9D9" w:themeFill="background1" w:themeFillShade="D9"/>
            <w:vAlign w:val="center"/>
            <w:hideMark/>
          </w:tcPr>
          <w:p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النتيجة العامة للدراسة</w:t>
            </w:r>
          </w:p>
        </w:tc>
        <w:tc>
          <w:tcPr>
            <w:tcW w:w="0" w:type="auto"/>
            <w:hideMark/>
          </w:tcPr>
          <w:p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توصلت الدراسة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أن استراتيجية دمج الشركات تمثل أحد أهم المداخل الاستراتيجية لتعزيز جاهزية الشركات العائلية السعودية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السوق الموازية)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من خلال تحسين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ورفع القدرة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وتوسيع فرص التمويل</w:t>
            </w:r>
            <w:r w:rsidRPr="007C544A">
              <w:rPr>
                <w:rFonts w:ascii="Traditional Arabic" w:hAnsi="Traditional Arabic" w:cs="Traditional Arabic"/>
                <w:sz w:val="24"/>
                <w:szCs w:val="24"/>
              </w:rPr>
              <w:t>.</w:t>
            </w:r>
          </w:p>
        </w:tc>
      </w:tr>
    </w:tbl>
    <w:p w:rsidR="006C3B5D" w:rsidRPr="007C544A" w:rsidRDefault="006C3B5D" w:rsidP="00706522">
      <w:pPr>
        <w:pStyle w:val="NormalWeb"/>
        <w:bidi/>
        <w:spacing w:before="0" w:beforeAutospacing="0" w:after="0" w:afterAutospacing="0" w:line="360" w:lineRule="auto"/>
        <w:ind w:firstLine="720"/>
        <w:jc w:val="both"/>
        <w:rPr>
          <w:rFonts w:ascii="Traditional Arabic" w:hAnsi="Traditional Arabic" w:cs="Traditional Arabic"/>
        </w:rPr>
      </w:pPr>
    </w:p>
    <w:p w:rsidR="006C3B5D" w:rsidRPr="007C544A" w:rsidRDefault="006C3B5D" w:rsidP="00706522">
      <w:pPr>
        <w:pStyle w:val="a"/>
        <w:shd w:val="clear" w:color="auto" w:fill="FFFFFF" w:themeFill="background1"/>
        <w:spacing w:line="360" w:lineRule="auto"/>
        <w:ind w:firstLine="720"/>
        <w:jc w:val="both"/>
        <w:rPr>
          <w:rFonts w:ascii="Traditional Arabic" w:hAnsi="Traditional Arabic" w:cs="Traditional Arabic"/>
          <w:sz w:val="24"/>
          <w:szCs w:val="24"/>
          <w:rtl/>
        </w:rPr>
      </w:pPr>
    </w:p>
    <w:p w:rsidR="00E721E0" w:rsidRPr="007C544A" w:rsidRDefault="007911FE" w:rsidP="005C0E9A">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eastAsia="Times New Roman" w:hAnsi="Traditional Arabic" w:cs="Traditional Arabic"/>
          <w:b/>
          <w:bCs/>
          <w:sz w:val="28"/>
          <w:szCs w:val="28"/>
          <w:rtl/>
        </w:rPr>
        <w:br w:type="page"/>
      </w:r>
      <w:r w:rsidR="005C0E9A" w:rsidRPr="007C544A">
        <w:rPr>
          <w:rFonts w:ascii="Traditional Arabic" w:hAnsi="Traditional Arabic" w:cs="Traditional Arabic" w:hint="cs"/>
          <w:b/>
          <w:bCs/>
          <w:sz w:val="28"/>
          <w:szCs w:val="28"/>
          <w:rtl/>
        </w:rPr>
        <w:lastRenderedPageBreak/>
        <w:t>خلاصة</w:t>
      </w:r>
      <w:r w:rsidR="00EF3EFA" w:rsidRPr="007C544A">
        <w:rPr>
          <w:rFonts w:ascii="Traditional Arabic" w:hAnsi="Traditional Arabic" w:cs="Traditional Arabic"/>
          <w:b/>
          <w:bCs/>
          <w:sz w:val="28"/>
          <w:szCs w:val="28"/>
          <w:rtl/>
        </w:rPr>
        <w:t xml:space="preserve"> الفصل الرابع</w:t>
      </w:r>
      <w:r w:rsidR="00775B4E" w:rsidRPr="007C544A">
        <w:rPr>
          <w:rFonts w:ascii="Traditional Arabic" w:hAnsi="Traditional Arabic" w:cs="Traditional Arabic"/>
          <w:b/>
          <w:bCs/>
          <w:sz w:val="28"/>
          <w:szCs w:val="28"/>
          <w:rtl/>
        </w:rPr>
        <w:t xml:space="preserve">: </w:t>
      </w:r>
    </w:p>
    <w:p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تناول هذا الفصل عرض نتائج الدراسة الميدانية وتحليل البيانات التي تم جمعها من عينة الدراسة باستخدام الاستبانة، وذلك من خلال التحليل الوصفي واختبار فروض الدراسة باستخدام الأساليب الإحصائية المناسبة</w:t>
      </w:r>
      <w:r w:rsidRPr="007C544A">
        <w:rPr>
          <w:rFonts w:ascii="Traditional Arabic" w:hAnsi="Traditional Arabic" w:cs="Traditional Arabic"/>
          <w:sz w:val="24"/>
          <w:szCs w:val="24"/>
          <w:lang w:bidi="ar-EG"/>
        </w:rPr>
        <w:t>.</w:t>
      </w:r>
    </w:p>
    <w:p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وأظهرت النتائج أن جميع أبعاد الدراسة المرتبطة باستراتيجية دمج الشركات جاءت بمستوى موافقة مرتفع، حيث تناولت الدراسة أبعاد الأداء المالي بعد الدمج، وفرص الحصول على التمويل، وتعزيز القدرة التنافسية، ومتطلبات الحوكمة في سوق النمو</w:t>
      </w:r>
      <w:r w:rsidRPr="007C544A">
        <w:rPr>
          <w:rFonts w:ascii="Traditional Arabic" w:hAnsi="Traditional Arabic" w:cs="Traditional Arabic"/>
          <w:sz w:val="24"/>
          <w:szCs w:val="24"/>
          <w:lang w:bidi="ar-EG"/>
        </w:rPr>
        <w:t>.</w:t>
      </w:r>
    </w:p>
    <w:p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تم استخدام تحليل الانحدار لقياس أثر استراتيجية دمج الشركات على أبعاد الجاهزية للإدراج في السوق الموازية، بالإضافة إلى استخدام تحليل التباين الأحادي</w:t>
      </w:r>
      <w:r w:rsidRPr="007C544A">
        <w:rPr>
          <w:rFonts w:ascii="Traditional Arabic" w:hAnsi="Traditional Arabic" w:cs="Traditional Arabic"/>
          <w:sz w:val="24"/>
          <w:szCs w:val="24"/>
          <w:lang w:bidi="ar-EG"/>
        </w:rPr>
        <w:t xml:space="preserve"> (ANOVA) </w:t>
      </w:r>
      <w:r w:rsidRPr="007C544A">
        <w:rPr>
          <w:rFonts w:ascii="Traditional Arabic" w:hAnsi="Traditional Arabic" w:cs="Traditional Arabic"/>
          <w:sz w:val="24"/>
          <w:szCs w:val="24"/>
          <w:rtl/>
          <w:lang w:bidi="ar-EG"/>
        </w:rPr>
        <w:t>لاختبار الفروق في استجابات أفراد العينة وفقًا للمتغيرات الديموغرافية</w:t>
      </w:r>
      <w:r w:rsidRPr="007C544A">
        <w:rPr>
          <w:rFonts w:ascii="Traditional Arabic" w:hAnsi="Traditional Arabic" w:cs="Traditional Arabic"/>
          <w:sz w:val="24"/>
          <w:szCs w:val="24"/>
          <w:lang w:bidi="ar-EG"/>
        </w:rPr>
        <w:t>.</w:t>
      </w:r>
    </w:p>
    <w:p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وإلى جانب النتائج الكمية المستمدة من الاستبانة، تضمن الفصل عرضًا وتحليلًا لنتائج المقابلات المتعمقة التي أُجريت مع عدد من الخبراء والممارسين ذوي الصلة بعمليات دمج الشركات والإدراج في سوق النمو السعودي. وقد هدفت هذه المقابلات إلى دعم وتفسير النتائج الكمية من خلال التعرف على الخبرات العملية ووجهات نظر المشاركين بشأن دور استراتيجية دمج الشركات في تحسين الأداء المالي، وتعزيز متطلبات الحوكمة، وزيادة القدرة التنافسية، وتحسين فرص الحصول على التمويل</w:t>
      </w:r>
      <w:r w:rsidRPr="007C544A">
        <w:rPr>
          <w:rFonts w:ascii="Traditional Arabic" w:hAnsi="Traditional Arabic" w:cs="Traditional Arabic"/>
          <w:sz w:val="24"/>
          <w:szCs w:val="24"/>
          <w:lang w:bidi="ar-EG"/>
        </w:rPr>
        <w:t>.</w:t>
      </w:r>
    </w:p>
    <w:p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أسهمت نتائج المقابلات المتعمقة في إثراء تفسير النتائج الإحصائية وإعطائها بعدًا نوعيًا أكثر عمقًا، بما يعزز التكامل بين النتائج الكمية والنوعية، ويوفر رؤية أكثر شمولًا لموضوع الدراسة وأثر استراتيجية دمج الشركات في دخول الشركات العائلية إلى سوق النمو (السوق الموازية لسوق المال السعودي)</w:t>
      </w:r>
      <w:r w:rsidRPr="007C544A">
        <w:rPr>
          <w:rFonts w:ascii="Traditional Arabic" w:hAnsi="Traditional Arabic" w:cs="Traditional Arabic"/>
          <w:sz w:val="24"/>
          <w:szCs w:val="24"/>
          <w:lang w:bidi="ar-EG"/>
        </w:rPr>
        <w:t>.</w:t>
      </w:r>
    </w:p>
    <w:p w:rsidR="00310224" w:rsidRPr="007C544A" w:rsidRDefault="00310224" w:rsidP="00706522">
      <w:pPr>
        <w:pStyle w:val="NormalWeb"/>
        <w:bidi/>
        <w:spacing w:before="0" w:beforeAutospacing="0" w:after="0" w:afterAutospacing="0" w:line="360" w:lineRule="auto"/>
        <w:ind w:firstLine="720"/>
        <w:jc w:val="both"/>
        <w:rPr>
          <w:rStyle w:val="Strong"/>
          <w:rFonts w:cs="Simplified Arabic"/>
          <w:b w:val="0"/>
          <w:bCs w:val="0"/>
          <w:sz w:val="28"/>
          <w:szCs w:val="28"/>
        </w:rPr>
      </w:pPr>
    </w:p>
    <w:p w:rsidR="005D2824" w:rsidRPr="007C544A" w:rsidRDefault="005D2824" w:rsidP="00706522">
      <w:pPr>
        <w:pStyle w:val="a"/>
        <w:shd w:val="clear" w:color="auto" w:fill="FFFFFF" w:themeFill="background1"/>
        <w:spacing w:line="360" w:lineRule="auto"/>
        <w:rPr>
          <w:rFonts w:cs="Simplified Arabic"/>
          <w:sz w:val="28"/>
          <w:szCs w:val="28"/>
          <w:rtl/>
        </w:rPr>
        <w:sectPr w:rsidR="005D2824" w:rsidRPr="007C544A" w:rsidSect="00D67740">
          <w:headerReference w:type="default" r:id="rId20"/>
          <w:headerReference w:type="first" r:id="rId21"/>
          <w:pgSz w:w="11906" w:h="16838" w:code="9"/>
          <w:pgMar w:top="1440" w:right="1800" w:bottom="1440" w:left="1800" w:header="720" w:footer="720" w:gutter="0"/>
          <w:pgNumType w:fmt="numberInDash"/>
          <w:cols w:space="720"/>
          <w:titlePg/>
          <w:docGrid w:linePitch="360"/>
        </w:sectPr>
      </w:pPr>
    </w:p>
    <w:p w:rsidR="002C0F1A" w:rsidRPr="007C544A" w:rsidRDefault="002C0F1A"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lastRenderedPageBreak/>
        <w:t>الفصل الخامس</w:t>
      </w:r>
      <w:r w:rsidRPr="007C544A">
        <w:rPr>
          <w:rFonts w:ascii="Traditional Arabic" w:hAnsi="Traditional Arabic" w:cs="Traditional Arabic"/>
          <w:b/>
          <w:bCs/>
          <w:sz w:val="40"/>
          <w:szCs w:val="40"/>
        </w:rPr>
        <w:br/>
      </w:r>
      <w:r w:rsidR="007911FE" w:rsidRPr="007C544A">
        <w:rPr>
          <w:rFonts w:ascii="Traditional Arabic" w:hAnsi="Traditional Arabic" w:cs="Traditional Arabic"/>
          <w:b/>
          <w:bCs/>
          <w:sz w:val="40"/>
          <w:szCs w:val="40"/>
          <w:rtl/>
        </w:rPr>
        <w:t>مناقشة النتائج و</w:t>
      </w:r>
      <w:r w:rsidRPr="007C544A">
        <w:rPr>
          <w:rFonts w:ascii="Traditional Arabic" w:hAnsi="Traditional Arabic" w:cs="Traditional Arabic"/>
          <w:b/>
          <w:bCs/>
          <w:sz w:val="40"/>
          <w:szCs w:val="40"/>
          <w:rtl/>
        </w:rPr>
        <w:t>التوصيات</w:t>
      </w:r>
    </w:p>
    <w:p w:rsidR="00086CDD"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4"/>
          <w:szCs w:val="34"/>
          <w:rtl/>
        </w:rPr>
      </w:pPr>
    </w:p>
    <w:p w:rsidR="007911FE"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أولاً- </w:t>
      </w:r>
      <w:r w:rsidR="007911FE" w:rsidRPr="007C544A">
        <w:rPr>
          <w:rFonts w:ascii="Traditional Arabic" w:hAnsi="Traditional Arabic" w:cs="Traditional Arabic"/>
          <w:b/>
          <w:bCs/>
          <w:sz w:val="34"/>
          <w:szCs w:val="34"/>
          <w:rtl/>
        </w:rPr>
        <w:t xml:space="preserve">مناقشة النتائج </w:t>
      </w:r>
    </w:p>
    <w:p w:rsidR="007911FE" w:rsidRPr="007C544A" w:rsidRDefault="00086CDD" w:rsidP="007F462E">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ثانياً- </w:t>
      </w:r>
      <w:r w:rsidR="007F462E" w:rsidRPr="007C544A">
        <w:rPr>
          <w:rFonts w:ascii="Traditional Arabic" w:hAnsi="Traditional Arabic" w:cs="Traditional Arabic" w:hint="cs"/>
          <w:b/>
          <w:bCs/>
          <w:sz w:val="34"/>
          <w:szCs w:val="34"/>
          <w:rtl/>
        </w:rPr>
        <w:t>التوصيات</w:t>
      </w:r>
    </w:p>
    <w:p w:rsidR="00A558A5" w:rsidRPr="007C544A" w:rsidRDefault="00086CDD" w:rsidP="007F462E">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ثالثاً- </w:t>
      </w:r>
      <w:r w:rsidR="007F462E" w:rsidRPr="007C544A">
        <w:rPr>
          <w:rFonts w:ascii="Traditional Arabic" w:hAnsi="Traditional Arabic" w:cs="Traditional Arabic"/>
          <w:b/>
          <w:bCs/>
          <w:sz w:val="34"/>
          <w:szCs w:val="34"/>
          <w:rtl/>
        </w:rPr>
        <w:t>الاستراتيجية المقترحة لتعزيز الجاهزية للإدراج في السوق الموازية</w:t>
      </w:r>
    </w:p>
    <w:p w:rsidR="00A558A5"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رابعاً- </w:t>
      </w:r>
      <w:r w:rsidR="00A558A5" w:rsidRPr="007C544A">
        <w:rPr>
          <w:rFonts w:ascii="Traditional Arabic" w:hAnsi="Traditional Arabic" w:cs="Traditional Arabic"/>
          <w:b/>
          <w:bCs/>
          <w:sz w:val="34"/>
          <w:szCs w:val="34"/>
          <w:rtl/>
        </w:rPr>
        <w:t>المقترحات</w:t>
      </w:r>
    </w:p>
    <w:p w:rsidR="005C1DB1" w:rsidRPr="007C544A" w:rsidRDefault="005C1DB1" w:rsidP="00706522">
      <w:pPr>
        <w:pStyle w:val="a"/>
        <w:shd w:val="clear" w:color="auto" w:fill="FFFFFF" w:themeFill="background1"/>
        <w:spacing w:line="360" w:lineRule="auto"/>
        <w:jc w:val="left"/>
        <w:rPr>
          <w:rFonts w:ascii="Traditional Arabic" w:hAnsi="Traditional Arabic" w:cs="Traditional Arabic"/>
          <w:b/>
          <w:bCs/>
          <w:sz w:val="34"/>
          <w:szCs w:val="34"/>
        </w:rPr>
      </w:pPr>
      <w:r w:rsidRPr="007C544A">
        <w:rPr>
          <w:rFonts w:ascii="Traditional Arabic" w:hAnsi="Traditional Arabic" w:cs="Traditional Arabic"/>
          <w:b/>
          <w:bCs/>
          <w:sz w:val="34"/>
          <w:szCs w:val="34"/>
          <w:rtl/>
        </w:rPr>
        <w:t xml:space="preserve">الخاتمة </w:t>
      </w:r>
    </w:p>
    <w:p w:rsidR="002C0F1A" w:rsidRPr="007C544A" w:rsidRDefault="002C0F1A" w:rsidP="00706522">
      <w:pPr>
        <w:bidi/>
        <w:spacing w:after="0" w:line="360" w:lineRule="auto"/>
        <w:ind w:firstLine="720"/>
        <w:jc w:val="both"/>
        <w:rPr>
          <w:rFonts w:ascii="Times New Roman" w:hAnsi="Times New Roman" w:cs="Simplified Arabic"/>
          <w:sz w:val="28"/>
          <w:szCs w:val="28"/>
          <w:rtl/>
          <w:lang w:bidi="ar-EG"/>
        </w:rPr>
      </w:pPr>
    </w:p>
    <w:p w:rsidR="002C0F1A" w:rsidRPr="007C544A" w:rsidRDefault="002C0F1A" w:rsidP="00706522">
      <w:pPr>
        <w:bidi/>
        <w:spacing w:after="0" w:line="360" w:lineRule="auto"/>
        <w:ind w:firstLine="720"/>
        <w:jc w:val="both"/>
        <w:rPr>
          <w:rFonts w:ascii="Times New Roman" w:hAnsi="Times New Roman" w:cs="Simplified Arabic"/>
          <w:sz w:val="28"/>
          <w:szCs w:val="28"/>
          <w:rtl/>
          <w:lang w:bidi="ar-EG"/>
        </w:rPr>
      </w:pPr>
    </w:p>
    <w:p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p>
    <w:p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p>
    <w:p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p>
    <w:p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p w:rsidR="005C1DB1" w:rsidRPr="007C544A" w:rsidRDefault="005C1DB1" w:rsidP="00706522">
      <w:pPr>
        <w:pStyle w:val="a"/>
        <w:shd w:val="clear" w:color="auto" w:fill="FFFFFF" w:themeFill="background1"/>
        <w:spacing w:line="360" w:lineRule="auto"/>
        <w:rPr>
          <w:rFonts w:ascii="Traditional Arabic" w:hAnsi="Traditional Arabic" w:cs="Traditional Arabic"/>
          <w:b/>
          <w:bCs/>
          <w:sz w:val="24"/>
          <w:szCs w:val="24"/>
        </w:rPr>
      </w:pPr>
      <w:r w:rsidRPr="007C544A">
        <w:rPr>
          <w:rFonts w:ascii="Traditional Arabic" w:hAnsi="Traditional Arabic" w:cs="Traditional Arabic"/>
          <w:b/>
          <w:bCs/>
          <w:sz w:val="32"/>
          <w:szCs w:val="32"/>
          <w:rtl/>
        </w:rPr>
        <w:lastRenderedPageBreak/>
        <w:t>الفصل الخامس</w:t>
      </w:r>
      <w:r w:rsidRPr="007C544A">
        <w:rPr>
          <w:rFonts w:ascii="Traditional Arabic" w:hAnsi="Traditional Arabic" w:cs="Traditional Arabic"/>
          <w:b/>
          <w:bCs/>
          <w:sz w:val="32"/>
          <w:szCs w:val="32"/>
        </w:rPr>
        <w:br/>
      </w:r>
      <w:r w:rsidR="007911FE" w:rsidRPr="007C544A">
        <w:rPr>
          <w:rFonts w:ascii="Traditional Arabic" w:hAnsi="Traditional Arabic" w:cs="Traditional Arabic"/>
          <w:b/>
          <w:bCs/>
          <w:sz w:val="32"/>
          <w:szCs w:val="32"/>
          <w:rtl/>
        </w:rPr>
        <w:t>مناقشة النتائج و</w:t>
      </w:r>
      <w:r w:rsidRPr="007C544A">
        <w:rPr>
          <w:rFonts w:ascii="Traditional Arabic" w:hAnsi="Traditional Arabic" w:cs="Traditional Arabic"/>
          <w:b/>
          <w:bCs/>
          <w:sz w:val="32"/>
          <w:szCs w:val="32"/>
          <w:rtl/>
        </w:rPr>
        <w:t>التوصيات</w:t>
      </w:r>
    </w:p>
    <w:p w:rsidR="005C1DB1" w:rsidRPr="007C544A" w:rsidRDefault="005C1DB1"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b/>
          <w:bCs/>
          <w:sz w:val="28"/>
          <w:szCs w:val="28"/>
          <w:rtl/>
        </w:rPr>
        <w:t>تمهيد</w:t>
      </w:r>
      <w:r w:rsidR="00775B4E" w:rsidRPr="007C544A">
        <w:rPr>
          <w:rFonts w:ascii="Traditional Arabic" w:hAnsi="Traditional Arabic" w:cs="Traditional Arabic"/>
          <w:b/>
          <w:bCs/>
          <w:sz w:val="28"/>
          <w:szCs w:val="28"/>
          <w:rtl/>
        </w:rPr>
        <w:t xml:space="preserve">: </w:t>
      </w:r>
    </w:p>
    <w:p w:rsidR="00DF3BB8" w:rsidRPr="007C544A" w:rsidRDefault="00DF3BB8"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في ضوء ما توصلت إليه الدراسة من نتائج علمية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يتناول هذا الفصل مناقشة نتائج الدراسة وتفسيرها في ضوء أهدافها وتساؤلاتها والإطار النظري والدراسات السابقة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وذلك بالاستناد</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نتائج الدراسة الكمية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وما أسفرت عنه المقابلات المتعمقة والمقابلات الميدانية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يتيح تقديم رؤية أكثر شمولًا حول الدور الذي تؤديه استراتيجية دمج الشركات في تعزيز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لدى الشركات العائلية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وبيان أوجه الاتفاق أو الاختلاف بين النتائج الكمية والنوعية</w:t>
      </w:r>
      <w:r w:rsidRPr="007C544A">
        <w:rPr>
          <w:rFonts w:ascii="Traditional Arabic" w:hAnsi="Traditional Arabic" w:cs="Traditional Arabic"/>
        </w:rPr>
        <w:t>.</w:t>
      </w:r>
    </w:p>
    <w:p w:rsidR="00DF3BB8" w:rsidRPr="007C544A" w:rsidRDefault="00DF3BB8"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يعرض الفصل استراتيجية مقترحة تستند</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النتائج التي توصلت إليها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توفير إطار عملي يمكن أن تسترشد به الشركات العائلية عند التخطيط لعمليات الدمج وتنفيذها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يسهم في تعزيز جاهزيتها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وتحقيق متطلبات النمو والاستدامة. وتعتمد هذه الاستراتيجية على مجموعة من المحاور والإجراءات التنفيذية التي تركز على تحسين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وتعزيز ممارسات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ورفع 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وتوسيع 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باعتبارها من أبرز العوامل التي أثبتت نتائج الدراسة تأثيرها في تعزيز جاهزية الشركات لل</w:t>
      </w:r>
      <w:r w:rsidR="000544F4" w:rsidRPr="007C544A">
        <w:rPr>
          <w:rFonts w:ascii="Traditional Arabic" w:hAnsi="Traditional Arabic" w:cs="Traditional Arabic"/>
          <w:rtl/>
        </w:rPr>
        <w:t>إدراج</w:t>
      </w:r>
      <w:r w:rsidRPr="007C544A">
        <w:rPr>
          <w:rFonts w:ascii="Traditional Arabic" w:hAnsi="Traditional Arabic" w:cs="Traditional Arabic"/>
        </w:rPr>
        <w:t>.</w:t>
      </w:r>
    </w:p>
    <w:p w:rsidR="00DF3BB8" w:rsidRPr="007C544A" w:rsidRDefault="00DF3BB8"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ويتضمن الفصل أيضًا مجموعة من التوصيات العملية المستمدة من نتائج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والتي يمكن أن تسهم في دعم متخذي القرار وتعزيز فعالية ممارسات الدمج داخل الشركات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يختتم بعرض عدد من المقترحات البحثية المستقبلية المنبثقة من حدود الدراسة الحالية وما أفرزته نتائجها من موضوعات تستحق مزيدًا من البحث والدراسة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يسهم في إثراء المعرفة العلمية وتطوير الممارسات الإدارية والمالية المرتبطة بعمليات دمج الشركات وال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الأسواق المالية</w:t>
      </w:r>
      <w:r w:rsidRPr="007C544A">
        <w:rPr>
          <w:rFonts w:ascii="Traditional Arabic" w:hAnsi="Traditional Arabic" w:cs="Traditional Arabic"/>
        </w:rPr>
        <w:t>.</w:t>
      </w:r>
    </w:p>
    <w:p w:rsidR="007911FE"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أولاً- </w:t>
      </w:r>
      <w:r w:rsidR="007911FE" w:rsidRPr="007C544A">
        <w:rPr>
          <w:rFonts w:ascii="Traditional Arabic" w:hAnsi="Traditional Arabic" w:cs="Traditional Arabic"/>
          <w:b/>
          <w:bCs/>
          <w:sz w:val="28"/>
          <w:szCs w:val="28"/>
          <w:rtl/>
        </w:rPr>
        <w:t>مناقشة نتائج</w:t>
      </w:r>
      <w:r w:rsidR="00D7278E" w:rsidRPr="007C544A">
        <w:rPr>
          <w:rFonts w:ascii="Traditional Arabic" w:hAnsi="Traditional Arabic" w:cs="Traditional Arabic"/>
          <w:b/>
          <w:bCs/>
          <w:sz w:val="28"/>
          <w:szCs w:val="28"/>
          <w:rtl/>
        </w:rPr>
        <w:t xml:space="preserve"> </w:t>
      </w:r>
      <w:r w:rsidR="007911FE" w:rsidRPr="007C544A">
        <w:rPr>
          <w:rFonts w:ascii="Traditional Arabic" w:hAnsi="Traditional Arabic" w:cs="Traditional Arabic"/>
          <w:b/>
          <w:bCs/>
          <w:sz w:val="28"/>
          <w:szCs w:val="28"/>
          <w:rtl/>
        </w:rPr>
        <w:t xml:space="preserve">الدراسة </w:t>
      </w:r>
    </w:p>
    <w:p w:rsidR="007911FE" w:rsidRPr="007C544A" w:rsidRDefault="007911FE" w:rsidP="002D00D3">
      <w:pPr>
        <w:pStyle w:val="NormalWeb"/>
        <w:numPr>
          <w:ilvl w:val="0"/>
          <w:numId w:val="14"/>
        </w:numPr>
        <w:bidi/>
        <w:spacing w:before="0" w:beforeAutospacing="0" w:after="0" w:afterAutospacing="0" w:line="360" w:lineRule="auto"/>
        <w:ind w:left="714" w:hanging="199"/>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مناقشة المقابلات المتعمقة</w:t>
      </w:r>
      <w:r w:rsidR="00775B4E" w:rsidRPr="007C544A">
        <w:rPr>
          <w:rFonts w:ascii="Traditional Arabic" w:hAnsi="Traditional Arabic" w:cs="Traditional Arabic"/>
          <w:b/>
          <w:bCs/>
          <w:sz w:val="28"/>
          <w:szCs w:val="28"/>
          <w:rtl/>
        </w:rPr>
        <w:t xml:space="preserve">: </w:t>
      </w:r>
    </w:p>
    <w:p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t xml:space="preserve">محور </w:t>
      </w:r>
      <w:r w:rsidR="005C20E0" w:rsidRPr="007C544A">
        <w:rPr>
          <w:rStyle w:val="Strong"/>
          <w:rFonts w:ascii="Traditional Arabic" w:eastAsia="Times New Roman" w:hAnsi="Traditional Arabic" w:cs="Traditional Arabic"/>
          <w:sz w:val="24"/>
          <w:szCs w:val="24"/>
          <w:rtl/>
        </w:rPr>
        <w:t>الأداء</w:t>
      </w:r>
      <w:r w:rsidRPr="007C544A">
        <w:rPr>
          <w:rStyle w:val="Strong"/>
          <w:rFonts w:ascii="Traditional Arabic" w:eastAsia="Times New Roman" w:hAnsi="Traditional Arabic" w:cs="Traditional Arabic"/>
          <w:sz w:val="24"/>
          <w:szCs w:val="24"/>
          <w:rtl/>
        </w:rPr>
        <w:t xml:space="preserve"> المالي بعد الدمج</w:t>
      </w:r>
      <w:r w:rsidR="00D90C9A" w:rsidRPr="007C544A">
        <w:rPr>
          <w:rStyle w:val="Strong"/>
          <w:rFonts w:ascii="Traditional Arabic" w:eastAsia="Times New Roman" w:hAnsi="Traditional Arabic" w:cs="Traditional Arabic"/>
          <w:sz w:val="24"/>
          <w:szCs w:val="24"/>
          <w:rtl/>
        </w:rPr>
        <w:t>:</w:t>
      </w:r>
    </w:p>
    <w:p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أشارت إجابات المشاركين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 xml:space="preserve">أن عمليات الدمج أسهمت في تحسين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المالي للشركات من خلال رفع معدلات الإيرادات والأرباح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وتحقيق وفورات الحجم</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وتعزيز كفاءة استغلال الموارد المتاحة. كما أكد معظم المشاركين أن الدمج ساعد على تخفيض بعض التكاليف التشغيلية والإدارية نتيجة توحيد الأنظمة والإجراءات</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 xml:space="preserve"> فهناك من يرى أن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بعد الدمج لاحظنا فرق واضح في الإيرادات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وصارت </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المصروفات أكثر كفاءة.</w:t>
      </w:r>
      <w:r w:rsidR="00D90C9A"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w:t>
      </w:r>
      <w:r w:rsidR="00D7278E"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 xml:space="preserve">م1) ويرى اخر أن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الدمج أعطانا قدرة أكبر على الاستفادة من الموارد بدل تكرار المصروفات بين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م6) وأضاف </w:t>
      </w:r>
      <w:r w:rsidR="007066CD" w:rsidRPr="007C544A">
        <w:rPr>
          <w:rFonts w:ascii="Traditional Arabic" w:eastAsia="Times New Roman" w:hAnsi="Traditional Arabic" w:cs="Traditional Arabic"/>
          <w:sz w:val="24"/>
          <w:szCs w:val="24"/>
          <w:rtl/>
        </w:rPr>
        <w:t>آخر</w:t>
      </w:r>
      <w:r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بصراحة النتائج المالية بعد الدمج كانت أفضل من المتوقع"</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م9)</w:t>
      </w:r>
      <w:r w:rsidR="00D90C9A" w:rsidRPr="007C544A">
        <w:rPr>
          <w:rFonts w:ascii="Traditional Arabic" w:eastAsia="Times New Roman" w:hAnsi="Traditional Arabic" w:cs="Traditional Arabic"/>
          <w:sz w:val="24"/>
          <w:szCs w:val="24"/>
          <w:rtl/>
        </w:rPr>
        <w:t>.</w:t>
      </w:r>
    </w:p>
    <w:p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lastRenderedPageBreak/>
        <w:t xml:space="preserve">وعلى الرغم من اتفاق المشاركين على الأثر الإيجابي لعمليات الدمج في تحسين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فقد أشار بعضهم</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وجود عدد من التحديات المصاحبة لمرحلة ما بعد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تمثلت في الحاجة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مزيد من الوقت لتحقيق التكامل الكامل بين الأنظمة المالية والإدارية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وضرورة توحيد السياسات والإجراءات التشغيلية بين الشركات المندمجة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تطوير الكفاءات البشرية القادرة على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 المؤسسي المصاحب لعملية الدمج</w:t>
      </w:r>
      <w:r w:rsidRPr="007C544A">
        <w:rPr>
          <w:rFonts w:ascii="Traditional Arabic" w:hAnsi="Traditional Arabic" w:cs="Traditional Arabic"/>
        </w:rPr>
        <w:t>.</w:t>
      </w:r>
    </w:p>
    <w:p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أشار بعض المشاركين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الاستفادة القصوى من مزايا الدمج تتطلب تعزيز التحول الرقمي وتطوير أنظمة التخطيط والرقابة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يتوافق مع المتطلبات التنظيمية المتنامية لسوق المال السعودي. وفي هذا السياق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ذكر أحد المشاركين أن "النتائج كانت إيجابية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لكن احتجنا فترة حتى تتوحد الأنظمة والإجراءات بين الشركتين"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بينما أشار مشارك آخر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"الدمج أعطانا قوة مالية أكبر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لكن نجاحه يعتمد على سرعة التكيف مع المتطلبات التنظيمية والتقنية الجديدة</w:t>
      </w:r>
      <w:r w:rsidRPr="007C544A">
        <w:rPr>
          <w:rFonts w:ascii="Traditional Arabic" w:hAnsi="Traditional Arabic" w:cs="Traditional Arabic"/>
        </w:rPr>
        <w:t>".</w:t>
      </w:r>
    </w:p>
    <w:p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وتعكس هذه الملاحظات أن نجاح الدمج لا يرتبط فقط بتحقيق المكاسب المالية المباشرة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بل يتطلب أيضًا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فعالة لمرحلة ما بعد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يضمن تحقيق التكامل المؤسسي والاستفادة من الفرص الاستثمارية التي تتيحها السوق الموازية في المملكة العربية السعودية</w:t>
      </w:r>
      <w:r w:rsidRPr="007C544A">
        <w:rPr>
          <w:rFonts w:ascii="Traditional Arabic" w:hAnsi="Traditional Arabic" w:cs="Traditional Arabic"/>
        </w:rPr>
        <w:t>.</w:t>
      </w:r>
    </w:p>
    <w:p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t>محور متطلبات الحوكمة في سوق النمو</w:t>
      </w:r>
      <w:r w:rsidR="00D90C9A" w:rsidRPr="007C544A">
        <w:rPr>
          <w:rStyle w:val="Strong"/>
          <w:rFonts w:ascii="Traditional Arabic" w:eastAsia="Times New Roman" w:hAnsi="Traditional Arabic" w:cs="Traditional Arabic"/>
          <w:sz w:val="24"/>
          <w:szCs w:val="24"/>
          <w:rtl/>
        </w:rPr>
        <w:t>:</w:t>
      </w:r>
    </w:p>
    <w:p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أظهرت آراء المشاركين أن الدمج ساعد الشركات على تطوير أنظمة الحوكمة المؤسسية وتعزيز الشفافية والإفصاح المالي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بما يتوافق مع متطلبات 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سوق النمو. كما أشار المشاركون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توحيد السياسات والإجراءات الداخلية أسهم في رفع كفاءة الرقابة المؤسسية</w:t>
      </w:r>
      <w:r w:rsidRPr="007C544A">
        <w:rPr>
          <w:rFonts w:ascii="Traditional Arabic" w:eastAsia="Times New Roman" w:hAnsi="Traditional Arabic" w:cs="Traditional Arabic"/>
          <w:sz w:val="24"/>
          <w:szCs w:val="24"/>
        </w:rPr>
        <w:t>.</w:t>
      </w:r>
    </w:p>
    <w:p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فهناك من يرى أن </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الدمج خلانا نعيد ترتيب الهيكل الإداري بشكل أكثر احترافية"</w:t>
      </w:r>
      <w:r w:rsidR="00461467" w:rsidRPr="007C544A">
        <w:rPr>
          <w:rFonts w:ascii="Traditional Arabic" w:eastAsia="Times New Roman" w:hAnsi="Traditional Arabic" w:cs="Traditional Arabic"/>
          <w:sz w:val="24"/>
          <w:szCs w:val="24"/>
          <w:rtl/>
        </w:rPr>
        <w:t xml:space="preserve"> </w:t>
      </w:r>
      <w:r w:rsidR="00D7278E"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م2)</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 xml:space="preserve"> </w:t>
      </w:r>
      <w:r w:rsidR="00FC6C2E" w:rsidRPr="007C544A">
        <w:rPr>
          <w:rFonts w:ascii="Traditional Arabic" w:eastAsia="Times New Roman" w:hAnsi="Traditional Arabic" w:cs="Traditional Arabic"/>
          <w:sz w:val="24"/>
          <w:szCs w:val="24"/>
          <w:rtl/>
        </w:rPr>
        <w:t>وآخر</w:t>
      </w:r>
      <w:r w:rsidRPr="007C544A">
        <w:rPr>
          <w:rFonts w:ascii="Traditional Arabic" w:eastAsia="Times New Roman" w:hAnsi="Traditional Arabic" w:cs="Traditional Arabic"/>
          <w:sz w:val="24"/>
          <w:szCs w:val="24"/>
          <w:rtl/>
        </w:rPr>
        <w:t xml:space="preserve"> يرى أن </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صار عندنا وضوح أكبر في الصلاحيات والإجراءات الرقابية</w:t>
      </w:r>
      <w:r w:rsidR="00461467" w:rsidRPr="007C544A">
        <w:rPr>
          <w:rFonts w:ascii="Traditional Arabic" w:eastAsia="Times New Roman" w:hAnsi="Traditional Arabic" w:cs="Traditional Arabic"/>
          <w:sz w:val="24"/>
          <w:szCs w:val="24"/>
          <w:rtl/>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م7)</w:t>
      </w:r>
      <w:r w:rsidR="00461467" w:rsidRPr="007C544A">
        <w:rPr>
          <w:rFonts w:ascii="Traditional Arabic" w:eastAsia="Times New Roman" w:hAnsi="Traditional Arabic" w:cs="Traditional Arabic"/>
          <w:sz w:val="24"/>
          <w:szCs w:val="24"/>
          <w:rtl/>
        </w:rPr>
        <w:t>،</w:t>
      </w:r>
      <w:r w:rsidR="00D90C9A"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في حين يقول </w:t>
      </w:r>
      <w:r w:rsidR="00FC6C2E" w:rsidRPr="007C544A">
        <w:rPr>
          <w:rFonts w:ascii="Traditional Arabic" w:eastAsia="Times New Roman" w:hAnsi="Traditional Arabic" w:cs="Traditional Arabic"/>
          <w:sz w:val="24"/>
          <w:szCs w:val="24"/>
          <w:rtl/>
        </w:rPr>
        <w:t>آ</w:t>
      </w:r>
      <w:r w:rsidRPr="007C544A">
        <w:rPr>
          <w:rFonts w:ascii="Traditional Arabic" w:eastAsia="Times New Roman" w:hAnsi="Traditional Arabic" w:cs="Traditional Arabic"/>
          <w:sz w:val="24"/>
          <w:szCs w:val="24"/>
          <w:rtl/>
        </w:rPr>
        <w:t xml:space="preserve">خر أن </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متطلبات الحوكمة أصبحت أسهل في التطبيق بعد توحيد الأنظمة"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م8)</w:t>
      </w:r>
      <w:r w:rsidR="00D90C9A"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 xml:space="preserve"> </w:t>
      </w:r>
    </w:p>
    <w:p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وعلى الرغم من اتفاق المشاركين على الدور الإيجابي للدمج في تعزيز الحوكمة المؤسسية وتحسين مستويات الشفافية والإفصاح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فقد أشار بعضهم</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مرحلة ما بعد الدمج تتطلب جهودًا إضافية لضمان التطبيق الفعّال لمتطلبات الحوكمة واستدامتها. وتمثلت أبرز التحديات في الحاجة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توحيد الثقافة التنظيمية بين الشركات المندمجة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ورفع مستوى الوعي لدى العاملين بأدوارهم ومسؤولياتهم الجديدة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تطوير نظم الرقابة الداخلية بما يتناسب مع حجم الشركة بعد الدمج</w:t>
      </w:r>
      <w:r w:rsidRPr="007C544A">
        <w:rPr>
          <w:rFonts w:ascii="Traditional Arabic" w:eastAsia="Times New Roman" w:hAnsi="Traditional Arabic" w:cs="Traditional Arabic"/>
          <w:sz w:val="24"/>
          <w:szCs w:val="24"/>
        </w:rPr>
        <w:t>.</w:t>
      </w:r>
    </w:p>
    <w:p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وهناك من يشير</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"إعادة هيكلة الإجراءات أخذت وقت لين يتأقلم الجميع مع النظام الجديد"</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بينما ذكر مشارك آخر أن "التحدي ما كان في وضع الأنظمة بقدر ما كان في ضمان التزام جميع الإدارات بتطبيقها بشكل موحد". كما أوضح أحد المشاركين أن "المرحلة </w:t>
      </w:r>
      <w:r w:rsidR="005D2824" w:rsidRPr="007C544A">
        <w:rPr>
          <w:rFonts w:ascii="Traditional Arabic" w:eastAsia="Times New Roman" w:hAnsi="Traditional Arabic" w:cs="Traditional Arabic"/>
          <w:sz w:val="24"/>
          <w:szCs w:val="24"/>
          <w:rtl/>
        </w:rPr>
        <w:t>القادمة</w:t>
      </w:r>
      <w:r w:rsidRPr="007C544A">
        <w:rPr>
          <w:rFonts w:ascii="Traditional Arabic" w:eastAsia="Times New Roman" w:hAnsi="Traditional Arabic" w:cs="Traditional Arabic"/>
          <w:sz w:val="24"/>
          <w:szCs w:val="24"/>
          <w:rtl/>
        </w:rPr>
        <w:t xml:space="preserve"> تحتاج تركيز أكبر على التدريب ونشر ثقافة الحوكمة بين الموظفين</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 xml:space="preserve"> ونلاحظ أن هذه الملاحظات تشير</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نجاح الدمج في تعزيز الحوكمة لا يقتصر على تحديث اللوائح والهياكل التنظيمية فحسب</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بل يمتد ليشمل بناء ثقافة مؤسسية داعمة للشفافية والمساءلة والالتزام التنظيمي. كما تؤكد </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الاستثمار في تطوير الكوادر البشرية وتفعيل برامج التدريب والتوعية لضمان تحقيق أقصى استفادة من متطلبات الحوكمة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خاصة في ظل التوجهات التنظيمية المتنامية لسوق المال السعودي ومتطلبات 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سوق النمو</w:t>
      </w:r>
      <w:r w:rsidRPr="007C544A">
        <w:rPr>
          <w:rFonts w:ascii="Traditional Arabic" w:eastAsia="Times New Roman" w:hAnsi="Traditional Arabic" w:cs="Traditional Arabic"/>
          <w:sz w:val="24"/>
          <w:szCs w:val="24"/>
        </w:rPr>
        <w:t>.</w:t>
      </w:r>
    </w:p>
    <w:p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lastRenderedPageBreak/>
        <w:t>محور تعزيز القدرة التنافسية</w:t>
      </w:r>
      <w:r w:rsidR="00775B4E" w:rsidRPr="007C544A">
        <w:rPr>
          <w:rStyle w:val="Strong"/>
          <w:rFonts w:ascii="Traditional Arabic" w:eastAsia="Times New Roman" w:hAnsi="Traditional Arabic" w:cs="Traditional Arabic"/>
          <w:sz w:val="24"/>
          <w:szCs w:val="24"/>
          <w:rtl/>
        </w:rPr>
        <w:t xml:space="preserve">: </w:t>
      </w:r>
    </w:p>
    <w:p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أكد المشاركون أن استراتيجية الدمج أسهمت في تعزيز المركز التنافسي للشركات من خلال زيادة الحصة السوقية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وتوسيع قاعدة العملاء</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وتحسين جودة المنتجات والخدمات المقدمة. كما أشاروا</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الدمج وفر فرصًا أكبر للتوسع والدخول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أسواق جديدة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الأمر الذي انعكس إيجابًا على مكانة الشركات وقدرتها على المنافسة في بيئة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Pr>
        <w:t>.</w:t>
      </w:r>
    </w:p>
    <w:p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فمنهم من يرى أن الدمج كان له دور مباشر في تعزيز الحضور السوقي للشركة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أشار أحد المشاركين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بعد الدمج صار حضورنا في السوق أقوى من أول</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م4).</w:t>
      </w:r>
      <w:r w:rsidR="00C862E1" w:rsidRPr="007C544A">
        <w:rPr>
          <w:rFonts w:ascii="Traditional Arabic" w:eastAsia="Times New Roman" w:hAnsi="Traditional Arabic" w:cs="Traditional Arabic"/>
          <w:sz w:val="24"/>
          <w:szCs w:val="24"/>
          <w:rtl/>
        </w:rPr>
        <w:t xml:space="preserve"> و</w:t>
      </w:r>
      <w:r w:rsidRPr="007C544A">
        <w:rPr>
          <w:rFonts w:ascii="Traditional Arabic" w:eastAsia="Times New Roman" w:hAnsi="Traditional Arabic" w:cs="Traditional Arabic"/>
          <w:sz w:val="24"/>
          <w:szCs w:val="24"/>
          <w:rtl/>
        </w:rPr>
        <w:t>يوضح مشارك آخر أن الدمج أسهم في توسيع نطاق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 xml:space="preserve"> والوصول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شرائح جديدة من العملاء</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بقوله</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 xml:space="preserve">قدرنا نوصل لعملاء جدد ونوسع نطاق </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نا بشكل أكبر</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م10). بينما يضيف مشارك ثالث أن الدمج وفر للشركة مزايا تنافسية جديدة لم تكن متاحة سابقًا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موضحًا أن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الدمج أعطانا ميزة تنافسية ما كانت متوفرة قبل</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م3)</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كما أشار بعض المشاركين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توحيد الموارد والخبرات بعد الدمج أسهم في تحسين الكفاءة التشغيلية وسرعة الاستجابة لمتطلبات السوق. وذكر أحدهم</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صرنا ننافس بشكل أقوى لأن إمكاناتنا وخبراتنا تجمعت في كيان واحد</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م12)</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بينما أوضح آخر أن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التوسع بعد الدمج فتح لنا فرص دخول أسواق ومشاريع أكبر من السابق</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م15)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وتعكس هذه الآراء وجود اتفاق واضح بين المشاركين على أن الدمج لم يقتصر أثره على تحسين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الداخلي للشركات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بل امتد ليعزز قدرتها على المنافسة والتوسع وتحقيق مكانة سوقية أقوى</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وهو ما يدعم نتائج الدراسة الكمية التي أظهرت وجود أثر إيجابي ذي دلالة </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ة لاستراتيجية دمج الشركات على تعزيز القدرة التنافسية للشركات العائلية السعودية</w:t>
      </w:r>
      <w:r w:rsidRPr="007C544A">
        <w:rPr>
          <w:rFonts w:ascii="Traditional Arabic" w:eastAsia="Times New Roman" w:hAnsi="Traditional Arabic" w:cs="Traditional Arabic"/>
          <w:sz w:val="24"/>
          <w:szCs w:val="24"/>
        </w:rPr>
        <w:t>.</w:t>
      </w:r>
    </w:p>
    <w:p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t>محور فرص الحصول على التمويل</w:t>
      </w:r>
      <w:r w:rsidR="00D90C9A" w:rsidRPr="007C544A">
        <w:rPr>
          <w:rStyle w:val="Strong"/>
          <w:rFonts w:ascii="Traditional Arabic" w:eastAsia="Times New Roman" w:hAnsi="Traditional Arabic" w:cs="Traditional Arabic"/>
          <w:sz w:val="24"/>
          <w:szCs w:val="24"/>
          <w:rtl/>
        </w:rPr>
        <w:t>:</w:t>
      </w:r>
    </w:p>
    <w:p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بين المشاركون أن استراتيجية الدمج أسهمت في تعزيز ثقة المستثمرين والمؤسسات المالية بالشركات المندمجة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انعكس إيجابًا على قدرتها في الحصول على التمويل اللازم للتوسع والنمو. كما أشاروا</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الدمج ساعد في تحسين الملاءة المالية والجدارة الائتمانية للشركات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مما أتاح فرصًا أكبر للوصول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مصادر تمويل متنوعة بشروط أكثر ملاءمة</w:t>
      </w:r>
      <w:r w:rsidRPr="007C544A">
        <w:rPr>
          <w:rFonts w:ascii="Traditional Arabic" w:hAnsi="Traditional Arabic" w:cs="Traditional Arabic"/>
        </w:rPr>
        <w:t>.</w:t>
      </w:r>
    </w:p>
    <w:p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فمنهم من يرى أن الدمج كان له دور مباشر في تعزيز ثقة الجهات التمويلية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حيث أوضح أحد المشاركين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البنوك أصبحت تتعامل معنا بثقة أكبر بعد الدمج</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م5). وفي السياق ذاته</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يشير مشارك آخر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التحسن الذي طرأ على الوضع المالي للشركة بعد الدمج أسهم في رفع قدرتها على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بقوله</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الملاءة المالية للشركة تحسنت بشكل واضح</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 بينما يضيف مشارك ثالث أن الدمج وسّع من البدائل التمويلية المتاحة أمام الشركة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موضحًا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أصبح عندنا خيارات تمويل أكثر من السابق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م6)</w:t>
      </w:r>
      <w:r w:rsidR="005D2824" w:rsidRPr="007C544A">
        <w:rPr>
          <w:rFonts w:ascii="Traditional Arabic" w:hAnsi="Traditional Arabic" w:cs="Traditional Arabic"/>
          <w:rtl/>
        </w:rPr>
        <w:t>.</w:t>
      </w:r>
    </w:p>
    <w:p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جاء في إفادة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بعض المشاركين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توحيد الموارد والأصول المالية بعد الدمج عزز من قدرة الشركات على التفاوض مع الجهات التمويلية والمستثمرين. وفي هذا الإطار ذكر أحد المشاركين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بعد الدمج صارت الجهات الممولة تنظر لنا ككيان أقوى وأكثر استقرارًا</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م14)</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في حين أوضح آخر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الدمج ساعدنا في جذب مستثمرين جدد كانوا مترددين قبل تكوين الكيان الجديد</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م17)</w:t>
      </w:r>
      <w:r w:rsidR="005D2824" w:rsidRPr="007C544A">
        <w:rPr>
          <w:rFonts w:ascii="Traditional Arabic" w:hAnsi="Traditional Arabic" w:cs="Traditional Arabic"/>
          <w:rtl/>
        </w:rPr>
        <w:t>.</w:t>
      </w:r>
    </w:p>
    <w:p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وعلى الرغم من هذه الآثار الإيجابية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أشار عدد محدود من المشاركين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الاستفادة الكاملة من مزايا التمويل بعد الدمج تتطلب وقتًا وجهدًا لإثبات استقرار الكيان الجديد وبناء سجل مالي موحد. فقد ذكر أحدهم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 xml:space="preserve">في البداية احتجنا فترة حتى نثبت للجهات </w:t>
      </w:r>
      <w:r w:rsidRPr="007C544A">
        <w:rPr>
          <w:rFonts w:ascii="Traditional Arabic" w:hAnsi="Traditional Arabic" w:cs="Traditional Arabic"/>
          <w:rtl/>
        </w:rPr>
        <w:lastRenderedPageBreak/>
        <w:t>التمويلية قوة الشركة بعد الدمج</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م19)</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بينما أشار آخر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الحصول على بعض التسهيلات التمويلية احتاج</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تحديث البيانات والأنظمة المالية بعد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م20)</w:t>
      </w:r>
      <w:r w:rsidR="005D2824" w:rsidRPr="007C544A">
        <w:rPr>
          <w:rFonts w:ascii="Traditional Arabic" w:hAnsi="Traditional Arabic" w:cs="Traditional Arabic"/>
          <w:rtl/>
        </w:rPr>
        <w:t>.</w:t>
      </w:r>
    </w:p>
    <w:p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وتعكس هذه الآراء وجود اتفاق واضح بين المشاركين على أن الدمج يمثل أداة استراتيجية فعالة لتعزيز 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خلال رفع مستوى الثقة لدى المستثمرين والمؤسسات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وتحسين الجدارة الائتمانية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وتوسيع البدائل التمويلية المتاحة للشركات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وهو ما يدعم نتائج الدراسة الكمية التي أظهرت وجود أثر إيجابي ذي دلالة </w:t>
      </w:r>
      <w:r w:rsidR="004C5D0F" w:rsidRPr="007C544A">
        <w:rPr>
          <w:rFonts w:ascii="Traditional Arabic" w:hAnsi="Traditional Arabic" w:cs="Traditional Arabic"/>
          <w:rtl/>
        </w:rPr>
        <w:t>إحصائي</w:t>
      </w:r>
      <w:r w:rsidRPr="007C544A">
        <w:rPr>
          <w:rFonts w:ascii="Traditional Arabic" w:hAnsi="Traditional Arabic" w:cs="Traditional Arabic"/>
          <w:rtl/>
        </w:rPr>
        <w:t>ة لاستراتيجية دمج الشركات على فرص الحصول على التمويل والجاهزية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w:t>
      </w:r>
      <w:r w:rsidRPr="007C544A">
        <w:rPr>
          <w:rFonts w:ascii="Traditional Arabic" w:hAnsi="Traditional Arabic" w:cs="Traditional Arabic"/>
        </w:rPr>
        <w:t>.</w:t>
      </w:r>
    </w:p>
    <w:p w:rsidR="007911FE" w:rsidRPr="007C544A" w:rsidRDefault="007911FE" w:rsidP="00706522">
      <w:pPr>
        <w:bidi/>
        <w:spacing w:after="0" w:line="360" w:lineRule="auto"/>
        <w:ind w:firstLine="720"/>
        <w:jc w:val="both"/>
        <w:rPr>
          <w:rFonts w:ascii="Traditional Arabic" w:hAnsi="Traditional Arabic" w:cs="Traditional Arabic"/>
          <w:sz w:val="24"/>
          <w:szCs w:val="24"/>
        </w:rPr>
      </w:pPr>
      <w:r w:rsidRPr="007C544A">
        <w:rPr>
          <w:rFonts w:ascii="Traditional Arabic" w:eastAsia="Times New Roman" w:hAnsi="Traditional Arabic" w:cs="Traditional Arabic"/>
          <w:sz w:val="24"/>
          <w:szCs w:val="24"/>
          <w:rtl/>
        </w:rPr>
        <w:t xml:space="preserve">ومن خلال المقابلات المتعمقة التي قام بها الباحث يرى أنه </w:t>
      </w:r>
      <w:r w:rsidRPr="007C544A">
        <w:rPr>
          <w:rFonts w:ascii="Traditional Arabic" w:hAnsi="Traditional Arabic" w:cs="Traditional Arabic"/>
          <w:sz w:val="24"/>
          <w:szCs w:val="24"/>
          <w:rtl/>
        </w:rPr>
        <w:t>تشير نتائج المقابلات</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وجود اتفاق واضح بين المشاركين حول الأثر الإيجابي لاستراتيجية دمج الشركات على أداء الشركات بعد الدمج</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عكست آراؤهم أن هذا النوع من الاستراتيجيات لا يقتصر على إعادة الهيكلة التنظيمية فقط</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بل يمتد ليشمل تحسينات ملموسة في عدة جوانب جوهرية داخل الشركات. فقد أشار المشاركون</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 xml:space="preserve">أن الدمج ساهم في رفع كفاءة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 وتعزيز الاستقرار الإداري</w:t>
      </w:r>
      <w:r w:rsidR="00D7278E" w:rsidRPr="007C544A">
        <w:rPr>
          <w:rFonts w:ascii="Traditional Arabic" w:hAnsi="Traditional Arabic" w:cs="Traditional Arabic"/>
          <w:sz w:val="24"/>
          <w:szCs w:val="24"/>
          <w:rtl/>
        </w:rPr>
        <w:t>،</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جانب تحسين ممارسات الحوكمة بما يضمن قدراً أكبر من الشفافية والانضباط المؤسسي</w:t>
      </w:r>
      <w:r w:rsidRPr="007C544A">
        <w:rPr>
          <w:rFonts w:ascii="Traditional Arabic" w:hAnsi="Traditional Arabic" w:cs="Traditional Arabic"/>
          <w:sz w:val="24"/>
          <w:szCs w:val="24"/>
        </w:rPr>
        <w:t>.</w:t>
      </w:r>
    </w:p>
    <w:p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أوضحت هذه الآراء أن الدمج أدى</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تعزيز القدرة التنافسية للشركات في السوق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خلال تقوية مركزها المالي وتحسين صورتها أمام المستثمرين والجهات التمويلية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انعكس إيجابياً على فرص الحصول على التمويل ودعم خطط التوسع والنمو المستقبلي. ويمكن فهم هذه النتائج في ضوء كون الدمج يمثل أداة استراتيجية لإعادة بناء الشركات بصورة أكثر كفاءة وقدرة على التكيف مع متطلبات السوق والتغيرات التنظيمية</w:t>
      </w:r>
      <w:r w:rsidRPr="007C544A">
        <w:rPr>
          <w:rFonts w:ascii="Traditional Arabic" w:hAnsi="Traditional Arabic" w:cs="Traditional Arabic"/>
        </w:rPr>
        <w:t>.</w:t>
      </w:r>
    </w:p>
    <w:p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هذا التوافق في وجهات نظر المشاركين يتوافق</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حد كبير مع ما توصلت إليه النتائج الكمية في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يعزز من قوة الاتساق الداخلي للبحث</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ويؤكد أن ما تم رصده رقمياً يجد دعماً وتفسيراً عملياً من خلال خبرات وتجارب المشاركين الفعلية</w:t>
      </w:r>
      <w:r w:rsidRPr="007C544A">
        <w:rPr>
          <w:rFonts w:ascii="Traditional Arabic" w:hAnsi="Traditional Arabic" w:cs="Traditional Arabic"/>
        </w:rPr>
        <w:t>.</w:t>
      </w:r>
    </w:p>
    <w:p w:rsidR="007911FE" w:rsidRPr="007C544A" w:rsidRDefault="007911FE" w:rsidP="002D00D3">
      <w:pPr>
        <w:pStyle w:val="NormalWeb"/>
        <w:numPr>
          <w:ilvl w:val="0"/>
          <w:numId w:val="14"/>
        </w:numPr>
        <w:bidi/>
        <w:spacing w:before="0" w:beforeAutospacing="0" w:after="0" w:afterAutospacing="0" w:line="360" w:lineRule="auto"/>
        <w:ind w:left="714" w:hanging="199"/>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مناقشة نتائج الدراسة الميدانية</w:t>
      </w:r>
      <w:r w:rsidR="00FC6C2E" w:rsidRPr="007C544A">
        <w:rPr>
          <w:rFonts w:ascii="Traditional Arabic" w:hAnsi="Traditional Arabic" w:cs="Traditional Arabic"/>
          <w:b/>
          <w:bCs/>
          <w:sz w:val="28"/>
          <w:szCs w:val="28"/>
          <w:rtl/>
        </w:rPr>
        <w:t>:</w:t>
      </w:r>
      <w:r w:rsidRPr="007C544A">
        <w:rPr>
          <w:rFonts w:ascii="Traditional Arabic" w:hAnsi="Traditional Arabic" w:cs="Traditional Arabic"/>
          <w:b/>
          <w:bCs/>
          <w:sz w:val="28"/>
          <w:szCs w:val="28"/>
          <w:rtl/>
        </w:rPr>
        <w:t xml:space="preserve"> </w:t>
      </w:r>
    </w:p>
    <w:p w:rsidR="007911FE" w:rsidRPr="007C544A" w:rsidRDefault="007911FE" w:rsidP="002D00D3">
      <w:pPr>
        <w:pStyle w:val="Heading3"/>
        <w:numPr>
          <w:ilvl w:val="0"/>
          <w:numId w:val="15"/>
        </w:numPr>
        <w:bidi/>
        <w:spacing w:before="0" w:line="360" w:lineRule="auto"/>
        <w:ind w:left="714" w:hanging="357"/>
        <w:jc w:val="both"/>
        <w:rPr>
          <w:rFonts w:ascii="Traditional Arabic" w:hAnsi="Traditional Arabic" w:cs="Traditional Arabic"/>
          <w:b/>
          <w:bCs/>
          <w:color w:val="auto"/>
          <w:lang w:bidi="ar-SA"/>
        </w:rPr>
      </w:pPr>
      <w:r w:rsidRPr="007C544A">
        <w:rPr>
          <w:rFonts w:ascii="Traditional Arabic" w:hAnsi="Traditional Arabic" w:cs="Traditional Arabic"/>
          <w:b/>
          <w:bCs/>
          <w:color w:val="auto"/>
          <w:rtl/>
          <w:lang w:bidi="ar-SA"/>
        </w:rPr>
        <w:t>النتائج</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المتعلقة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بالخصائص</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الشخصية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لعينة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الدراسة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وربطها</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بالدراسات</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السابقة</w:t>
      </w:r>
      <w:r w:rsidR="00FC6C2E" w:rsidRPr="007C544A">
        <w:rPr>
          <w:rFonts w:ascii="Traditional Arabic" w:hAnsi="Traditional Arabic" w:cs="Traditional Arabic"/>
          <w:b/>
          <w:bCs/>
          <w:color w:val="auto"/>
          <w:rtl/>
          <w:lang w:bidi="ar-SA"/>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أظهرت نتائج الدراسة أن أفراد العينة يتمتعون بخصائص مهنية وعلمية تجعلهم قادرين على تقديم تقييم موضوعي لأثر استراتيجية دمج الشركات على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فقد اقتصرت العينة على الذكور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يمكن تفسيره بطبيعة الشركات العائلية السعودية التي ما زالت تشهد حضورًا أكبر للذكور في المناصب الإدارية والمالية والتشغيلية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يعكس واقع البيئة التنظيمية في هذا النوع من الشركات</w:t>
      </w:r>
      <w:r w:rsidRPr="007C544A">
        <w:rPr>
          <w:rFonts w:ascii="Traditional Arabic" w:hAnsi="Traditional Arabic" w:cs="Traditional Arabic"/>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بينت النتائج أن غالبية أفراد العينة ينتمون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الفئة العمرية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36–45) عامًا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وهي فئة تتميز بالنضج المهني والخبرة العملية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يعزز من دقة تقييمهم للقرارات الاستراتيجية المتعلقة بعمليات الدمج وال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وتتفق هذه النتيجة مع ما أشارت إليه </w:t>
      </w:r>
      <w:r w:rsidRPr="007C544A">
        <w:rPr>
          <w:rFonts w:ascii="Traditional Arabic" w:hAnsi="Traditional Arabic" w:cs="Traditional Arabic"/>
          <w:rtl/>
        </w:rPr>
        <w:lastRenderedPageBreak/>
        <w:t>دراسة الحاج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2017)</w:t>
      </w:r>
      <w:r w:rsidR="000544F4" w:rsidRPr="007C544A">
        <w:rPr>
          <w:rFonts w:ascii="Traditional Arabic" w:hAnsi="Traditional Arabic" w:cs="Traditional Arabic"/>
          <w:rtl/>
        </w:rPr>
        <w:t xml:space="preserve"> إلى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الخبرات الإدارية والقيادية في دعم نجاح الشركات العائلية وتحسين كفاءة اتخاذ القرارات الاستراتيجية</w:t>
      </w:r>
      <w:r w:rsidRPr="007C544A">
        <w:rPr>
          <w:rFonts w:ascii="Traditional Arabic" w:hAnsi="Traditional Arabic" w:cs="Traditional Arabic"/>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وأظهرت النتائج كذلك أن معظم أفراد العينة يحملون مؤهلًا جامعيًا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يعكس امتلاك المشاركين للمعرفة العلمية اللازمة لفهم متطلبات الحوكمة وال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وعمليات الدمج. ويمكن ربط ذلك بنتائج دراسة المقدم والعزمي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التي أكدت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الوعي التنظيمي والإداري في تعزيز تطبيق الحوكمة وتحسين أداء الشركات العائلية</w:t>
      </w:r>
      <w:r w:rsidRPr="007C544A">
        <w:rPr>
          <w:rFonts w:ascii="Traditional Arabic" w:hAnsi="Traditional Arabic" w:cs="Traditional Arabic"/>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أوضحت النتائج أن غالبية أفراد العينة يعملون في الوظائف التشغيلية والمالية والإدارية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يوفر تنوعًا في وجهات النظر المتعلقة بموضوع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ويسهم في تقديم تقييم أكثر شمولًا لمتغيراتها. ويتفق ذلك مع ما أشارت إليه دراسة توفيق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من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تكامل الأدوار الإدارية والمالية والتشغيلية في دعم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الاستراتيجي للشركات العائلية</w:t>
      </w:r>
      <w:r w:rsidRPr="007C544A">
        <w:rPr>
          <w:rFonts w:ascii="Traditional Arabic" w:hAnsi="Traditional Arabic" w:cs="Traditional Arabic"/>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أظهرت النتائج أن نسبة كبيرة من أفراد العينة يمتلكون خبرات عملية تزيد على خمسة عشر عامًا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يعزز من موثوقية البيانات المستخلصة وقدرة المشاركين على الحكم على آثار الدمج ومتطلبات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استنادًا</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خبرات عملية ممتدة. وتتفق هذه النتيجة مع ما أكدته دراسة</w:t>
      </w:r>
      <w:r w:rsidRPr="007C544A">
        <w:rPr>
          <w:rFonts w:ascii="Traditional Arabic" w:hAnsi="Traditional Arabic" w:cs="Traditional Arabic"/>
        </w:rPr>
        <w:t xml:space="preserve"> Roland</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2018) </w:t>
      </w:r>
      <w:r w:rsidRPr="007C544A">
        <w:rPr>
          <w:rFonts w:ascii="Traditional Arabic" w:hAnsi="Traditional Arabic" w:cs="Traditional Arabic"/>
          <w:rtl/>
        </w:rPr>
        <w:t xml:space="preserve">من أن الخبرات الإدارية المتراكمة تمثل عنصرًا مهمًا في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 والتطوير المؤسسي داخل الشركات العائلية وتحقيق أهدافها الاستراتيجية</w:t>
      </w:r>
    </w:p>
    <w:p w:rsidR="007911FE" w:rsidRPr="007C544A" w:rsidRDefault="00FC6C2E" w:rsidP="002D00D3">
      <w:pPr>
        <w:pStyle w:val="Heading3"/>
        <w:numPr>
          <w:ilvl w:val="0"/>
          <w:numId w:val="15"/>
        </w:numPr>
        <w:bidi/>
        <w:spacing w:before="0" w:line="360" w:lineRule="auto"/>
        <w:ind w:left="714" w:hanging="357"/>
        <w:jc w:val="both"/>
        <w:rPr>
          <w:rFonts w:ascii="Traditional Arabic" w:hAnsi="Traditional Arabic" w:cs="Traditional Arabic"/>
          <w:b/>
          <w:bCs/>
          <w:color w:val="auto"/>
          <w:sz w:val="26"/>
          <w:szCs w:val="26"/>
          <w:rtl/>
          <w:lang w:bidi="ar-SA"/>
        </w:rPr>
      </w:pPr>
      <w:r w:rsidRPr="007C544A">
        <w:rPr>
          <w:rFonts w:ascii="Traditional Arabic" w:hAnsi="Traditional Arabic" w:cs="Traditional Arabic"/>
          <w:b/>
          <w:bCs/>
          <w:color w:val="auto"/>
          <w:sz w:val="26"/>
          <w:szCs w:val="26"/>
          <w:rtl/>
          <w:lang w:bidi="ar-SA"/>
        </w:rPr>
        <w:t>نتائج</w:t>
      </w:r>
      <w:r w:rsidRPr="007C544A">
        <w:rPr>
          <w:rFonts w:ascii="Traditional Arabic" w:hAnsi="Traditional Arabic" w:cs="Traditional Arabic"/>
          <w:b/>
          <w:bCs/>
          <w:color w:val="auto"/>
          <w:sz w:val="26"/>
          <w:szCs w:val="26"/>
          <w:rtl/>
        </w:rPr>
        <w:t xml:space="preserve"> </w:t>
      </w:r>
      <w:r w:rsidRPr="007C544A">
        <w:rPr>
          <w:rFonts w:ascii="Traditional Arabic" w:hAnsi="Traditional Arabic" w:cs="Traditional Arabic"/>
          <w:b/>
          <w:bCs/>
          <w:color w:val="auto"/>
          <w:sz w:val="26"/>
          <w:szCs w:val="26"/>
          <w:rtl/>
          <w:lang w:bidi="ar-SA"/>
        </w:rPr>
        <w:t>الدراسة الميدانية:</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 xml:space="preserve">أظهرت نتائج الدراسة الحالية وجود أثر إيجابي ذي دلالة </w:t>
      </w:r>
      <w:r w:rsidR="004C5D0F" w:rsidRPr="007C544A">
        <w:rPr>
          <w:rFonts w:ascii="Traditional Arabic" w:hAnsi="Traditional Arabic" w:cs="Traditional Arabic"/>
          <w:rtl/>
        </w:rPr>
        <w:t>إحصائي</w:t>
      </w:r>
      <w:r w:rsidRPr="007C544A">
        <w:rPr>
          <w:rFonts w:ascii="Traditional Arabic" w:hAnsi="Traditional Arabic" w:cs="Traditional Arabic"/>
          <w:rtl/>
        </w:rPr>
        <w:t>ة لاستراتيجية دمج الشركات على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لدى الشركات العائلية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وهو ما يتفق مع عدد من الدراسات السابقة التي أكدت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الدمج كخيار استراتيجي يسهم في تعزيز جاهزية الشركات للتوسع والوصول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الأسواق المالية</w:t>
      </w:r>
      <w:r w:rsidRPr="007C544A">
        <w:rPr>
          <w:rFonts w:ascii="Traditional Arabic" w:hAnsi="Traditional Arabic" w:cs="Traditional Arabic"/>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ففيما يتعلق ب</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بينت نتائج الدراسة الحالية أن استراتيجية دمج الشركات تؤثر تأثيرًا إيجابيًا ودالًا </w:t>
      </w:r>
      <w:r w:rsidR="004C5D0F" w:rsidRPr="007C544A">
        <w:rPr>
          <w:rFonts w:ascii="Traditional Arabic" w:hAnsi="Traditional Arabic" w:cs="Traditional Arabic"/>
          <w:rtl/>
        </w:rPr>
        <w:t>إحصائي</w:t>
      </w:r>
      <w:r w:rsidRPr="007C544A">
        <w:rPr>
          <w:rFonts w:ascii="Traditional Arabic" w:hAnsi="Traditional Arabic" w:cs="Traditional Arabic"/>
          <w:rtl/>
        </w:rPr>
        <w:t xml:space="preserve">ا في تحسين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يتفق مع نتائج دراسة الطراونة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2020) التي توصلت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وجود علاقة إيجابية بين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وتحسن القيمة السوقية للشركات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يتفق مع دراسة السليمان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 التي أكدت أن الدمج يسهم في تحقيق وفورات الحجم وتحسين الكفاءة الاقتصادية للشركات قبل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كذلك تتوافق هذه النتيجة مع دراسة</w:t>
      </w:r>
      <w:r w:rsidRPr="007C544A">
        <w:rPr>
          <w:rFonts w:ascii="Traditional Arabic" w:hAnsi="Traditional Arabic" w:cs="Traditional Arabic"/>
        </w:rPr>
        <w:t xml:space="preserve"> Juan</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2021) </w:t>
      </w:r>
      <w:r w:rsidRPr="007C544A">
        <w:rPr>
          <w:rFonts w:ascii="Traditional Arabic" w:hAnsi="Traditional Arabic" w:cs="Traditional Arabic"/>
          <w:rtl/>
        </w:rPr>
        <w:t>التي أوضحت أن دمج الشركات العائلية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خلق قيمة اقتصادية مضافة وتحقيق فوائد مالية ملموسة</w:t>
      </w:r>
      <w:r w:rsidRPr="007C544A">
        <w:rPr>
          <w:rFonts w:ascii="Traditional Arabic" w:hAnsi="Traditional Arabic" w:cs="Traditional Arabic"/>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كشفت نتائج الدراسة الحالية عن وجود أثر إيجابي لاستراتيجية الدمج على التوافق مع متطلبات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ينسجم مع نتائج دراسة المقدم والعزمي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التي أكدت أن تطبيق مبادئ الحوكمة يسهم في رفع كفاءة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داخل الشركات العائلية وتعزيز قدرتها التنافسية. وتتفق هذه النتيجة كذلك مع دراسة توفيق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التي أثبتت وجود علاقة معنوية بين الحوكمة </w:t>
      </w:r>
      <w:r w:rsidRPr="007C544A">
        <w:rPr>
          <w:rFonts w:ascii="Traditional Arabic" w:hAnsi="Traditional Arabic" w:cs="Traditional Arabic"/>
          <w:rtl/>
        </w:rPr>
        <w:lastRenderedPageBreak/>
        <w:t xml:space="preserve">الرشيدة وتطوير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الاستراتيجي للشركات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دراسة الحاج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2017) التي أكدت أن الالتزام بالحوكمة يسهم في رفع كفاءة ال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وتحقيق الاستقرار المؤسسي واستدامة الشركات العائلية</w:t>
      </w:r>
      <w:r w:rsidRPr="007C544A">
        <w:rPr>
          <w:rFonts w:ascii="Traditional Arabic" w:hAnsi="Traditional Arabic" w:cs="Traditional Arabic"/>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وفيما يتعلق بالقدرة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أظهرت نتائج الدراسة الحالية أن استراتيجية الدمج تؤدي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تعزيز القدرة التنافسية للشركات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يتوافق مع نتائج دراسة السليمان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 التي أكدت أن الدمج يساعد الشركات على تحسين قدرتها على المنافسة من خلال رفع الكفاءة التشغيلية وتقليل التكاليف وتحقيق مزايا اقتصادية أكبر. كما تتفق هذه النتيجة مع دراسة</w:t>
      </w:r>
      <w:r w:rsidRPr="007C544A">
        <w:rPr>
          <w:rFonts w:ascii="Traditional Arabic" w:hAnsi="Traditional Arabic" w:cs="Traditional Arabic"/>
        </w:rPr>
        <w:t xml:space="preserve"> Roland</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2018) </w:t>
      </w:r>
      <w:r w:rsidRPr="007C544A">
        <w:rPr>
          <w:rFonts w:ascii="Traditional Arabic" w:hAnsi="Traditional Arabic" w:cs="Traditional Arabic"/>
          <w:rtl/>
        </w:rPr>
        <w:t>التي أشارت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تطوير القدرات التنظيمية وتعزيز الحوكمة يمثلان مدخلًا أساسيًا لدعم القدرة التنافسية واستدامة الشركات العائلية</w:t>
      </w:r>
      <w:r w:rsidRPr="007C544A">
        <w:rPr>
          <w:rFonts w:ascii="Traditional Arabic" w:hAnsi="Traditional Arabic" w:cs="Traditional Arabic"/>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وأظهرت نتائج الدراسة الحالية كذلك وجود أثر إيجابي لاستراتيجية الدمج على 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يتفق مع دراسة الغامدي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2021) التي أكدت أن عمليات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والاستحواذ تسهم في تعزيز المركز المالي وتحسين الجدارة الائتمانية للشركات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يساعدها على استيفاء 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كما تتوافق هذه النتيجة مع دراسة</w:t>
      </w:r>
      <w:r w:rsidRPr="007C544A">
        <w:rPr>
          <w:rFonts w:ascii="Traditional Arabic" w:hAnsi="Traditional Arabic" w:cs="Traditional Arabic"/>
        </w:rPr>
        <w:t xml:space="preserve"> Pagano, Panetta &amp; Zingales</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1998) </w:t>
      </w:r>
      <w:r w:rsidRPr="007C544A">
        <w:rPr>
          <w:rFonts w:ascii="Traditional Arabic" w:hAnsi="Traditional Arabic" w:cs="Traditional Arabic"/>
          <w:rtl/>
        </w:rPr>
        <w:t>التي أشارت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دخول الأسواق الموازية يتيح للشركات فرصًا أفضل للوصول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رأس المال ومصادر التمويل المختلفة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وكذلك مع دراسة</w:t>
      </w:r>
      <w:r w:rsidRPr="007C544A">
        <w:rPr>
          <w:rFonts w:ascii="Traditional Arabic" w:hAnsi="Traditional Arabic" w:cs="Traditional Arabic"/>
        </w:rPr>
        <w:t xml:space="preserve"> Zhao &amp; Chen</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2020) </w:t>
      </w:r>
      <w:r w:rsidRPr="007C544A">
        <w:rPr>
          <w:rFonts w:ascii="Traditional Arabic" w:hAnsi="Traditional Arabic" w:cs="Traditional Arabic"/>
          <w:rtl/>
        </w:rPr>
        <w:t>التي أكدت أن الدمج يمثل آلية فعالة لتحسين الوضع المالي للشركات وتعزيز قدرتها على النفاذ</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الأسواق المالية</w:t>
      </w:r>
      <w:r w:rsidRPr="007C544A">
        <w:rPr>
          <w:rFonts w:ascii="Traditional Arabic" w:hAnsi="Traditional Arabic" w:cs="Traditional Arabic"/>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أما فيما يتعلق بالنتيجة الرئيسة للدراسة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فقد أظهرت نتائج الانحدار الكلي وجود أثر إيجابي قوي لاستراتيجية دمج الشركات على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وهي نتيجة تتفق بصورة مباشرة مع دراسة الغامدي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2021) التي أوضحت أن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ات والاستحواذات تعد مدخلًا استراتيجيًا مهمًا لتهيئة الشركات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تتفق مع دراسة</w:t>
      </w:r>
      <w:r w:rsidRPr="007C544A">
        <w:rPr>
          <w:rFonts w:ascii="Traditional Arabic" w:hAnsi="Traditional Arabic" w:cs="Traditional Arabic"/>
        </w:rPr>
        <w:t xml:space="preserve"> Wong &amp; Tse</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2015) </w:t>
      </w:r>
      <w:r w:rsidRPr="007C544A">
        <w:rPr>
          <w:rFonts w:ascii="Traditional Arabic" w:hAnsi="Traditional Arabic" w:cs="Traditional Arabic"/>
          <w:rtl/>
        </w:rPr>
        <w:t>التي أكدت أن عمليات الدمج وإعادة الهيكلة المؤسسية تسهم في رفع فرص قبول الشركات في الأسواق الموازية وتقليل مخاطر الرفض التنظيمي</w:t>
      </w:r>
      <w:r w:rsidRPr="007C544A">
        <w:rPr>
          <w:rFonts w:ascii="Traditional Arabic" w:hAnsi="Traditional Arabic" w:cs="Traditional Arabic"/>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وفيما يخص المتغيرات الديموغرافية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فقد أظهرت نتائج الدراسة الحالية عدم وجود فروق ذات دلالة </w:t>
      </w:r>
      <w:r w:rsidR="004C5D0F" w:rsidRPr="007C544A">
        <w:rPr>
          <w:rFonts w:ascii="Traditional Arabic" w:hAnsi="Traditional Arabic" w:cs="Traditional Arabic"/>
          <w:rtl/>
        </w:rPr>
        <w:t>إحصائي</w:t>
      </w:r>
      <w:r w:rsidRPr="007C544A">
        <w:rPr>
          <w:rFonts w:ascii="Traditional Arabic" w:hAnsi="Traditional Arabic" w:cs="Traditional Arabic"/>
          <w:rtl/>
        </w:rPr>
        <w:t>ة في تقييم أثر استراتيجية دمج الشركات تبعًا للعمر أو المؤهل العلمي أو المسمى الوظيفي أو سنوات الخبرة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يشير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وجود اتفاق عام بين أفراد العينة حول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الدمج وآثاره الإيجابية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ويعكس موضوعية الإدراك ل</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هذه الاستراتيجية بغض النظر عن الخصائص الشخصية أو الوظيفية للمشاركين</w:t>
      </w:r>
      <w:r w:rsidRPr="007C544A">
        <w:rPr>
          <w:rFonts w:ascii="Traditional Arabic" w:hAnsi="Traditional Arabic" w:cs="Traditional Arabic"/>
        </w:rPr>
        <w:t>.</w:t>
      </w:r>
    </w:p>
    <w:p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وبوجه عام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تؤكد نتائج الدراسة الحالية ما ذهبت إليه غالبية الدراسات السابقة من أن استراتيجية دمج الشركات تمثل أحد الأدوات الاستراتيجية الفاعلة في تعزيز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وتطوير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وزيادة 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وتحسين فرص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يسهم في رفع جاهزية الشركات العائلية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وتحقيق أهدافها التوسعية والتنموية</w:t>
      </w:r>
      <w:r w:rsidRPr="007C544A">
        <w:rPr>
          <w:rFonts w:ascii="Traditional Arabic" w:hAnsi="Traditional Arabic" w:cs="Traditional Arabic"/>
        </w:rPr>
        <w:t>.</w:t>
      </w:r>
    </w:p>
    <w:p w:rsidR="007F462E"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 xml:space="preserve">ثانياً- </w:t>
      </w:r>
      <w:r w:rsidR="007F462E" w:rsidRPr="007C544A">
        <w:rPr>
          <w:rFonts w:ascii="Traditional Arabic" w:hAnsi="Traditional Arabic" w:cs="Traditional Arabic" w:hint="cs"/>
          <w:b/>
          <w:bCs/>
          <w:sz w:val="28"/>
          <w:szCs w:val="28"/>
          <w:rtl/>
        </w:rPr>
        <w:t>التوصيات</w:t>
      </w:r>
    </w:p>
    <w:p w:rsidR="009D429B" w:rsidRPr="007C544A" w:rsidRDefault="009D429B"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يوصي الباحث بمجموعة من التوصيات العملية التي من شأنها دعم استفادة الشركات من عمليات الدمج وتعزيز قدرتها على تحقيق 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والنمو المستدام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وذلك على النحو الآتي</w:t>
      </w:r>
      <w:r w:rsidR="00775B4E" w:rsidRPr="007C544A">
        <w:rPr>
          <w:rFonts w:ascii="Traditional Arabic" w:hAnsi="Traditional Arabic" w:cs="Traditional Arabic"/>
          <w:rtl/>
        </w:rPr>
        <w:t xml:space="preserve">: </w:t>
      </w:r>
    </w:p>
    <w:p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تشجيع الشركات العائلية السعودية على تبني استراتيجيات الدمج بوصفها أحد المداخل الاستراتيجية الفاعلة لتحسين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المالي</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وذلك لما أظهرته نتائج الدراسة من تأثير إيجابي قوي للدمج على الإيرادات والأرباح ورفع كفاءة استخدام الموارد المالية</w:t>
      </w:r>
      <w:r w:rsidRPr="007C544A">
        <w:rPr>
          <w:rFonts w:ascii="Traditional Arabic" w:hAnsi="Traditional Arabic" w:cs="Traditional Arabic"/>
          <w:sz w:val="24"/>
          <w:szCs w:val="24"/>
          <w:lang w:bidi="ar-EG"/>
        </w:rPr>
        <w:t>.</w:t>
      </w:r>
    </w:p>
    <w:p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تعزيز الاهتمام بتطوير أنظمة الحوكمة المؤسسية داخل الشركات العائلية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 خلال رفع مستويات الشفافية والإفصاح وتفعيل أنظمة الرقابة الداخلية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يسهم في تحقيق متطلبات 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 وتعزيز ثقة المستثمرين وأصحاب المصالح</w:t>
      </w:r>
      <w:r w:rsidRPr="007C544A">
        <w:rPr>
          <w:rFonts w:ascii="Traditional Arabic" w:hAnsi="Traditional Arabic" w:cs="Traditional Arabic"/>
          <w:sz w:val="24"/>
          <w:szCs w:val="24"/>
          <w:lang w:bidi="ar-EG"/>
        </w:rPr>
        <w:t>.</w:t>
      </w:r>
    </w:p>
    <w:p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الاستفادة من عمليات الدمج في دعم القدرة التنافسية للشركات العائلية من خلال توحيد الموارد والإمكانات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وتحقيق وفورات الحجم</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وتحسين الكفاءة التشغيلية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وتوسيع الحصة السوقية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وتنويع المنتجات والخدمات بما يعزز استدامة النمو والتوسع</w:t>
      </w:r>
      <w:r w:rsidRPr="007C544A">
        <w:rPr>
          <w:rFonts w:ascii="Traditional Arabic" w:hAnsi="Traditional Arabic" w:cs="Traditional Arabic"/>
          <w:sz w:val="24"/>
          <w:szCs w:val="24"/>
          <w:lang w:bidi="ar-EG"/>
        </w:rPr>
        <w:t>.</w:t>
      </w:r>
    </w:p>
    <w:p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العمل على توظيف عمليات الدمج كوسيلة لتحسين فرص الحصول على التمويل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 خلال تعزيز الجدارة الائتمانية للشركات وتطوير علاقاتها مع المستثمرين والمؤسسات التمويلية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يتيح الوصول</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مصادر تمويل متنوعة تدعم الخطط التوسعية المستقبلية</w:t>
      </w:r>
      <w:r w:rsidRPr="007C544A">
        <w:rPr>
          <w:rFonts w:ascii="Traditional Arabic" w:hAnsi="Traditional Arabic" w:cs="Traditional Arabic"/>
          <w:sz w:val="24"/>
          <w:szCs w:val="24"/>
          <w:lang w:bidi="ar-EG"/>
        </w:rPr>
        <w:t>.</w:t>
      </w:r>
    </w:p>
    <w:p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منح ممارسات الحوكمة المؤسسية أولوية أكبر عند التخطيط لعمليات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ولا سيما في ظل ما أظهرته النتائج من حاجة هذا البعد</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مزيد من التطوير مقارنة ببقية أبعاد الجاهزية لل</w:t>
      </w:r>
      <w:r w:rsidR="000544F4" w:rsidRPr="007C544A">
        <w:rPr>
          <w:rFonts w:ascii="Traditional Arabic" w:hAnsi="Traditional Arabic" w:cs="Traditional Arabic"/>
          <w:sz w:val="24"/>
          <w:szCs w:val="24"/>
          <w:rtl/>
          <w:lang w:bidi="ar-EG"/>
        </w:rPr>
        <w:t>إدراج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يضمن تحقيق التكامل المؤسسي والامتثال للمتطلبات التنظيمية ذات الصلة</w:t>
      </w:r>
      <w:r w:rsidRPr="007C544A">
        <w:rPr>
          <w:rFonts w:ascii="Traditional Arabic" w:hAnsi="Traditional Arabic" w:cs="Traditional Arabic"/>
          <w:sz w:val="24"/>
          <w:szCs w:val="24"/>
          <w:lang w:bidi="ar-EG"/>
        </w:rPr>
        <w:t>.</w:t>
      </w:r>
    </w:p>
    <w:p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نشر الوعي ب</w:t>
      </w:r>
      <w:r w:rsidR="003F6CDC" w:rsidRPr="007C544A">
        <w:rPr>
          <w:rFonts w:ascii="Traditional Arabic" w:hAnsi="Traditional Arabic" w:cs="Traditional Arabic"/>
          <w:sz w:val="24"/>
          <w:szCs w:val="24"/>
          <w:rtl/>
          <w:lang w:bidi="ar-EG"/>
        </w:rPr>
        <w:t>أهمية</w:t>
      </w:r>
      <w:r w:rsidRPr="007C544A">
        <w:rPr>
          <w:rFonts w:ascii="Traditional Arabic" w:hAnsi="Traditional Arabic" w:cs="Traditional Arabic"/>
          <w:sz w:val="24"/>
          <w:szCs w:val="24"/>
          <w:rtl/>
          <w:lang w:bidi="ar-EG"/>
        </w:rPr>
        <w:t xml:space="preserve"> الدمج الاستراتيجي بين الشركات العائلية السعودية باعتباره أحد الأدوات الفاعلة في تعزيز </w:t>
      </w:r>
      <w:r w:rsidR="007F462E" w:rsidRPr="007C544A">
        <w:rPr>
          <w:rFonts w:ascii="Traditional Arabic" w:hAnsi="Traditional Arabic" w:cs="Traditional Arabic" w:hint="cs"/>
          <w:sz w:val="24"/>
          <w:szCs w:val="24"/>
          <w:rtl/>
          <w:lang w:bidi="ar-EG"/>
        </w:rPr>
        <w:t>ا</w:t>
      </w:r>
      <w:r w:rsidRPr="007C544A">
        <w:rPr>
          <w:rFonts w:ascii="Traditional Arabic" w:hAnsi="Traditional Arabic" w:cs="Traditional Arabic"/>
          <w:sz w:val="24"/>
          <w:szCs w:val="24"/>
          <w:rtl/>
          <w:lang w:bidi="ar-EG"/>
        </w:rPr>
        <w:t>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السوق الموازية)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وذلك من خلال تنظيم برامج توعوية وورش عمل متخصصة بالتعاون بين الجهات التنظيمية والاستشارية والمؤسسات المهنية ذات العلاقة</w:t>
      </w:r>
      <w:r w:rsidRPr="007C544A">
        <w:rPr>
          <w:rFonts w:ascii="Traditional Arabic" w:hAnsi="Traditional Arabic" w:cs="Traditional Arabic"/>
          <w:sz w:val="24"/>
          <w:szCs w:val="24"/>
          <w:lang w:bidi="ar-EG"/>
        </w:rPr>
        <w:t>.</w:t>
      </w:r>
    </w:p>
    <w:p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تشجيع الشركات الراغبة في تنفيذ عمليات الدمج على إجراء دراسات جدوى مالية وإدارية وقانونية متكاملة قبل اتخاذ قرار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يساعد على تعظيم المنافع المتوقعة وتقليل المخاطر المحتملة وضمان تحقيق الأهداف الاستراتيجية المرجوة</w:t>
      </w:r>
      <w:r w:rsidRPr="007C544A">
        <w:rPr>
          <w:rFonts w:ascii="Traditional Arabic" w:hAnsi="Traditional Arabic" w:cs="Traditional Arabic"/>
          <w:sz w:val="24"/>
          <w:szCs w:val="24"/>
          <w:lang w:bidi="ar-EG"/>
        </w:rPr>
        <w:t>.</w:t>
      </w:r>
    </w:p>
    <w:p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دعم المبادرات التي تسهم في تأهيل القيادات التنفيذية والعاملين في الشركات العائلية للتعامل مع متطلبات ما بعد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 خلال التدريب المستمر وبناء القدرات في مجالات ال</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المالية والحوكمة و</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التغيير المؤسسي</w:t>
      </w:r>
      <w:r w:rsidRPr="007C544A">
        <w:rPr>
          <w:rFonts w:ascii="Traditional Arabic" w:hAnsi="Traditional Arabic" w:cs="Traditional Arabic"/>
          <w:sz w:val="24"/>
          <w:szCs w:val="24"/>
          <w:lang w:bidi="ar-EG"/>
        </w:rPr>
        <w:t>.</w:t>
      </w:r>
    </w:p>
    <w:p w:rsidR="00FC6C2E" w:rsidRPr="007C544A" w:rsidRDefault="009D429B" w:rsidP="00706522">
      <w:pPr>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واعتمادًا على نتائج الدراسة والتوصيات السابقة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يقترح الباحث خطة عمل تنفيذية لتفعيل هذه التوصيات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كما يوضحها الجدول التالي</w:t>
      </w:r>
      <w:r w:rsidR="00FC6C2E" w:rsidRPr="007C544A">
        <w:rPr>
          <w:rFonts w:ascii="Traditional Arabic" w:eastAsia="Times New Roman" w:hAnsi="Traditional Arabic" w:cs="Traditional Arabic"/>
          <w:sz w:val="24"/>
          <w:szCs w:val="24"/>
          <w:rtl/>
        </w:rPr>
        <w:t>:</w:t>
      </w:r>
    </w:p>
    <w:p w:rsidR="007F462E" w:rsidRPr="007C544A" w:rsidRDefault="007F462E" w:rsidP="007F462E">
      <w:pPr>
        <w:bidi/>
        <w:spacing w:after="0" w:line="360" w:lineRule="auto"/>
        <w:jc w:val="center"/>
        <w:rPr>
          <w:rFonts w:ascii="Traditional Arabic" w:hAnsi="Traditional Arabic" w:cs="Traditional Arabic"/>
          <w:b/>
          <w:bCs/>
          <w:sz w:val="24"/>
          <w:szCs w:val="24"/>
          <w:rtl/>
          <w:lang w:val="en-GB" w:eastAsia="en-GB" w:bidi="ar-EG"/>
        </w:rPr>
      </w:pPr>
    </w:p>
    <w:p w:rsidR="007643E0" w:rsidRPr="007C544A" w:rsidRDefault="007643E0" w:rsidP="007643E0">
      <w:pPr>
        <w:bidi/>
        <w:spacing w:after="0" w:line="360" w:lineRule="auto"/>
        <w:jc w:val="center"/>
        <w:rPr>
          <w:rFonts w:ascii="Traditional Arabic" w:hAnsi="Traditional Arabic" w:cs="Traditional Arabic"/>
          <w:b/>
          <w:bCs/>
          <w:sz w:val="24"/>
          <w:szCs w:val="24"/>
          <w:rtl/>
          <w:lang w:val="en-GB" w:eastAsia="en-GB" w:bidi="ar-EG"/>
        </w:rPr>
      </w:pPr>
    </w:p>
    <w:p w:rsidR="007F462E" w:rsidRPr="007C544A" w:rsidRDefault="007F462E" w:rsidP="007F462E">
      <w:pPr>
        <w:bidi/>
        <w:spacing w:after="0" w:line="360" w:lineRule="auto"/>
        <w:jc w:val="center"/>
        <w:rPr>
          <w:rFonts w:ascii="Traditional Arabic" w:hAnsi="Traditional Arabic" w:cs="Traditional Arabic"/>
          <w:b/>
          <w:bCs/>
          <w:sz w:val="24"/>
          <w:szCs w:val="24"/>
          <w:rtl/>
          <w:lang w:val="en-GB" w:eastAsia="en-GB" w:bidi="ar-EG"/>
        </w:rPr>
      </w:pPr>
    </w:p>
    <w:p w:rsidR="007B6DB9" w:rsidRPr="007C544A" w:rsidRDefault="005C1DB1" w:rsidP="007F462E">
      <w:pPr>
        <w:bidi/>
        <w:spacing w:after="0" w:line="360" w:lineRule="auto"/>
        <w:jc w:val="center"/>
        <w:rPr>
          <w:rFonts w:ascii="Traditional Arabic" w:hAnsi="Traditional Arabic" w:cs="Traditional Arabic"/>
          <w:b/>
          <w:bCs/>
          <w:sz w:val="24"/>
          <w:szCs w:val="24"/>
          <w:rtl/>
          <w:lang w:val="en-GB" w:eastAsia="en-GB" w:bidi="ar-EG"/>
        </w:rPr>
      </w:pPr>
      <w:r w:rsidRPr="007C544A">
        <w:rPr>
          <w:rFonts w:ascii="Traditional Arabic" w:hAnsi="Traditional Arabic" w:cs="Traditional Arabic"/>
          <w:b/>
          <w:bCs/>
          <w:sz w:val="24"/>
          <w:szCs w:val="24"/>
          <w:rtl/>
          <w:lang w:val="en-GB" w:eastAsia="en-GB" w:bidi="ar-EG"/>
        </w:rPr>
        <w:lastRenderedPageBreak/>
        <w:t>جدول</w:t>
      </w:r>
      <w:r w:rsidR="00D7278E" w:rsidRPr="007C544A">
        <w:rPr>
          <w:rFonts w:ascii="Traditional Arabic" w:hAnsi="Traditional Arabic" w:cs="Traditional Arabic"/>
          <w:b/>
          <w:bCs/>
          <w:sz w:val="24"/>
          <w:szCs w:val="24"/>
          <w:rtl/>
          <w:lang w:val="en-GB" w:eastAsia="en-GB" w:bidi="ar-EG"/>
        </w:rPr>
        <w:t xml:space="preserve"> </w:t>
      </w:r>
      <w:r w:rsidR="007F462E" w:rsidRPr="007C544A">
        <w:rPr>
          <w:rFonts w:ascii="Traditional Arabic" w:hAnsi="Traditional Arabic" w:cs="Traditional Arabic" w:hint="cs"/>
          <w:b/>
          <w:bCs/>
          <w:sz w:val="24"/>
          <w:szCs w:val="24"/>
          <w:rtl/>
          <w:lang w:val="en-GB" w:eastAsia="en-GB" w:bidi="ar-EG"/>
        </w:rPr>
        <w:t>(5-1)</w:t>
      </w:r>
    </w:p>
    <w:p w:rsidR="005C1DB1" w:rsidRPr="007C544A" w:rsidRDefault="005C1DB1" w:rsidP="00706522">
      <w:pPr>
        <w:bidi/>
        <w:spacing w:after="0"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b/>
          <w:bCs/>
          <w:sz w:val="24"/>
          <w:szCs w:val="24"/>
          <w:rtl/>
          <w:lang w:val="en-GB" w:eastAsia="en-GB" w:bidi="ar-EG"/>
        </w:rPr>
        <w:t>توصيات الدراسة</w:t>
      </w:r>
    </w:p>
    <w:tbl>
      <w:tblPr>
        <w:tblStyle w:val="TableGrid"/>
        <w:bidiVisual/>
        <w:tblW w:w="9535" w:type="dxa"/>
        <w:jc w:val="center"/>
        <w:tblBorders>
          <w:top w:val="threeDEngrave" w:sz="24" w:space="0" w:color="auto"/>
          <w:bottom w:val="threeDEmboss" w:sz="24" w:space="0" w:color="auto"/>
        </w:tblBorders>
        <w:tblLook w:val="04A0" w:firstRow="1" w:lastRow="0" w:firstColumn="1" w:lastColumn="0" w:noHBand="0" w:noVBand="1"/>
      </w:tblPr>
      <w:tblGrid>
        <w:gridCol w:w="2335"/>
        <w:gridCol w:w="2152"/>
        <w:gridCol w:w="1923"/>
        <w:gridCol w:w="1386"/>
        <w:gridCol w:w="1739"/>
      </w:tblGrid>
      <w:tr w:rsidR="005C1DB1" w:rsidRPr="007C544A" w:rsidTr="00757378">
        <w:trPr>
          <w:tblHeade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النتيجة التي توصلت إليها الدراسة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التوصية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آلية التنفيذ</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الجهة المسؤولة</w:t>
            </w:r>
          </w:p>
        </w:tc>
        <w:tc>
          <w:tcPr>
            <w:tcW w:w="1739" w:type="dxa"/>
            <w:tcBorders>
              <w:top w:val="threeDEngrave" w:sz="24" w:space="0" w:color="auto"/>
              <w:bottom w:val="threeDEmboss" w:sz="24" w:space="0" w:color="auto"/>
            </w:tcBorders>
            <w:shd w:val="clear" w:color="auto" w:fill="D9D9D9" w:themeFill="background1" w:themeFillShade="D9"/>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المدة الزمنية</w:t>
            </w:r>
          </w:p>
        </w:tc>
      </w:tr>
      <w:tr w:rsidR="005C1DB1" w:rsidRPr="007C544A" w:rsidTr="00757378">
        <w:trPr>
          <w:jc w:val="center"/>
        </w:trPr>
        <w:tc>
          <w:tcPr>
            <w:tcW w:w="0" w:type="auto"/>
            <w:tcBorders>
              <w:top w:val="threeDEmboss" w:sz="24" w:space="0" w:color="auto"/>
            </w:tcBorders>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أظهرت النتائج وجود تأثير إيجابي قوي لاستراتيجية دمج الشركات على </w:t>
            </w:r>
            <w:r w:rsidR="005C20E0" w:rsidRPr="007C544A">
              <w:rPr>
                <w:rFonts w:ascii="Traditional Arabic" w:hAnsi="Traditional Arabic" w:cs="Traditional Arabic"/>
                <w:sz w:val="24"/>
                <w:szCs w:val="24"/>
                <w:rtl/>
                <w:lang w:val="en-GB" w:eastAsia="en-GB" w:bidi="ar-EG"/>
              </w:rPr>
              <w:t>الأداء</w:t>
            </w:r>
            <w:r w:rsidRPr="007C544A">
              <w:rPr>
                <w:rFonts w:ascii="Traditional Arabic" w:hAnsi="Traditional Arabic" w:cs="Traditional Arabic"/>
                <w:sz w:val="24"/>
                <w:szCs w:val="24"/>
                <w:rtl/>
                <w:lang w:val="en-GB" w:eastAsia="en-GB" w:bidi="ar-EG"/>
              </w:rPr>
              <w:t xml:space="preserve"> المالي</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حيث بلغ معامل التأثير</w:t>
            </w:r>
            <w:r w:rsidR="00D7278E" w:rsidRPr="007C544A">
              <w:rPr>
                <w:rFonts w:ascii="Traditional Arabic" w:hAnsi="Traditional Arabic" w:cs="Traditional Arabic"/>
                <w:sz w:val="24"/>
                <w:szCs w:val="24"/>
                <w:rtl/>
                <w:lang w:val="en-GB" w:eastAsia="en-GB" w:bidi="ar-EG"/>
              </w:rPr>
              <w:t xml:space="preserve"> </w:t>
            </w:r>
            <w:r w:rsidR="00D7278E" w:rsidRPr="007C544A">
              <w:rPr>
                <w:rFonts w:ascii="Traditional Arabic" w:hAnsi="Traditional Arabic" w:cs="Traditional Arabic"/>
                <w:sz w:val="24"/>
                <w:szCs w:val="24"/>
                <w:lang w:val="en-GB" w:eastAsia="en-GB" w:bidi="ar-EG"/>
              </w:rPr>
              <w:t>(</w:t>
            </w:r>
            <w:r w:rsidRPr="007C544A">
              <w:rPr>
                <w:rFonts w:ascii="Cambria" w:hAnsi="Cambria" w:cs="Cambria"/>
                <w:sz w:val="24"/>
                <w:szCs w:val="24"/>
                <w:lang w:val="en-GB" w:eastAsia="en-GB" w:bidi="ar-EG"/>
              </w:rPr>
              <w:t>β</w:t>
            </w:r>
            <w:r w:rsidRPr="007C544A">
              <w:rPr>
                <w:rFonts w:ascii="Traditional Arabic" w:hAnsi="Traditional Arabic" w:cs="Traditional Arabic"/>
                <w:sz w:val="24"/>
                <w:szCs w:val="24"/>
                <w:lang w:val="en-GB" w:eastAsia="en-GB" w:bidi="ar-EG"/>
              </w:rPr>
              <w:t>=0.79).</w:t>
            </w:r>
          </w:p>
        </w:tc>
        <w:tc>
          <w:tcPr>
            <w:tcW w:w="0" w:type="auto"/>
            <w:tcBorders>
              <w:top w:val="threeDEmboss" w:sz="24" w:space="0" w:color="auto"/>
            </w:tcBorders>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بتشجيع الشركات العائلية على تبني استراتيجيات الدمج لتحسين الإيرادات والأرباح ورفع كفاءة استخدام الموارد المالية</w:t>
            </w:r>
            <w:r w:rsidRPr="007C544A">
              <w:rPr>
                <w:rFonts w:ascii="Traditional Arabic" w:hAnsi="Traditional Arabic" w:cs="Traditional Arabic"/>
                <w:sz w:val="24"/>
                <w:szCs w:val="24"/>
                <w:lang w:val="en-GB" w:eastAsia="en-GB" w:bidi="ar-EG"/>
              </w:rPr>
              <w:t>.</w:t>
            </w:r>
          </w:p>
        </w:tc>
        <w:tc>
          <w:tcPr>
            <w:tcW w:w="0" w:type="auto"/>
            <w:tcBorders>
              <w:top w:val="threeDEmboss" w:sz="24" w:space="0" w:color="auto"/>
            </w:tcBorders>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إعداد دراسات جدوى مالية قبل تنفيذ عمليات الدمج ومتابعة مؤشرات </w:t>
            </w:r>
            <w:r w:rsidR="005C20E0" w:rsidRPr="007C544A">
              <w:rPr>
                <w:rFonts w:ascii="Traditional Arabic" w:hAnsi="Traditional Arabic" w:cs="Traditional Arabic"/>
                <w:sz w:val="24"/>
                <w:szCs w:val="24"/>
                <w:rtl/>
                <w:lang w:val="en-GB" w:eastAsia="en-GB" w:bidi="ar-EG"/>
              </w:rPr>
              <w:t>الأداء</w:t>
            </w:r>
            <w:r w:rsidRPr="007C544A">
              <w:rPr>
                <w:rFonts w:ascii="Traditional Arabic" w:hAnsi="Traditional Arabic" w:cs="Traditional Arabic"/>
                <w:sz w:val="24"/>
                <w:szCs w:val="24"/>
                <w:rtl/>
                <w:lang w:val="en-GB" w:eastAsia="en-GB" w:bidi="ar-EG"/>
              </w:rPr>
              <w:t xml:space="preserve"> المالي بعد الدمج بصورة دورية</w:t>
            </w:r>
            <w:r w:rsidRPr="007C544A">
              <w:rPr>
                <w:rFonts w:ascii="Traditional Arabic" w:hAnsi="Traditional Arabic" w:cs="Traditional Arabic"/>
                <w:sz w:val="24"/>
                <w:szCs w:val="24"/>
                <w:lang w:val="en-GB" w:eastAsia="en-GB" w:bidi="ar-EG"/>
              </w:rPr>
              <w:t>.</w:t>
            </w:r>
          </w:p>
        </w:tc>
        <w:tc>
          <w:tcPr>
            <w:tcW w:w="0" w:type="auto"/>
            <w:tcBorders>
              <w:top w:val="threeDEmboss" w:sz="24" w:space="0" w:color="auto"/>
            </w:tcBorders>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مجالس 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والإدارات المالية بالشركات العائلية</w:t>
            </w:r>
            <w:r w:rsidRPr="007C544A">
              <w:rPr>
                <w:rFonts w:ascii="Traditional Arabic" w:hAnsi="Traditional Arabic" w:cs="Traditional Arabic"/>
                <w:sz w:val="24"/>
                <w:szCs w:val="24"/>
                <w:lang w:val="en-GB" w:eastAsia="en-GB" w:bidi="ar-EG"/>
              </w:rPr>
              <w:t>.</w:t>
            </w:r>
          </w:p>
        </w:tc>
        <w:tc>
          <w:tcPr>
            <w:tcW w:w="1739" w:type="dxa"/>
            <w:tcBorders>
              <w:top w:val="threeDEmboss" w:sz="24" w:space="0" w:color="auto"/>
            </w:tcBorders>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6 </w:t>
            </w:r>
            <w:r w:rsidRPr="007C544A">
              <w:rPr>
                <w:rFonts w:ascii="Traditional Arabic" w:hAnsi="Traditional Arabic" w:cs="Traditional Arabic"/>
                <w:sz w:val="24"/>
                <w:szCs w:val="24"/>
                <w:rtl/>
                <w:lang w:val="en-GB" w:eastAsia="en-GB" w:bidi="ar-EG"/>
              </w:rPr>
              <w:t>أشهر – سنة</w:t>
            </w:r>
          </w:p>
        </w:tc>
      </w:tr>
      <w:tr w:rsidR="005C1DB1" w:rsidRPr="007C544A" w:rsidTr="00757378">
        <w:trPr>
          <w:jc w:val="center"/>
        </w:trPr>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أظهرت النتائج وجود تأثير إيجابي لاستراتيجية الدمج على متطلبات الحوكمة اللازمة لل</w:t>
            </w:r>
            <w:r w:rsidR="000544F4" w:rsidRPr="007C544A">
              <w:rPr>
                <w:rFonts w:ascii="Traditional Arabic" w:hAnsi="Traditional Arabic" w:cs="Traditional Arabic"/>
                <w:sz w:val="24"/>
                <w:szCs w:val="24"/>
                <w:rtl/>
                <w:lang w:val="en-GB" w:eastAsia="en-GB" w:bidi="ar-EG"/>
              </w:rPr>
              <w:t>إدراج</w:t>
            </w:r>
            <w:r w:rsidRPr="007C544A">
              <w:rPr>
                <w:rFonts w:ascii="Traditional Arabic" w:hAnsi="Traditional Arabic" w:cs="Traditional Arabic"/>
                <w:sz w:val="24"/>
                <w:szCs w:val="24"/>
                <w:rtl/>
                <w:lang w:val="en-GB" w:eastAsia="en-GB" w:bidi="ar-EG"/>
              </w:rPr>
              <w:t xml:space="preserve"> في سوق النمو</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بتطوير أنظمة الحوكمة وتعزيز الشفافية والإفصاح المالي داخل الشركات الراغبة في ال</w:t>
            </w:r>
            <w:r w:rsidR="000544F4" w:rsidRPr="007C544A">
              <w:rPr>
                <w:rFonts w:ascii="Traditional Arabic" w:hAnsi="Traditional Arabic" w:cs="Traditional Arabic"/>
                <w:sz w:val="24"/>
                <w:szCs w:val="24"/>
                <w:rtl/>
                <w:lang w:val="en-GB" w:eastAsia="en-GB" w:bidi="ar-EG"/>
              </w:rPr>
              <w:t>إدراج</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تحديث لوائح الحوكمة وتفعيل أنظمة الرقابة الداخلية وتدريب العاملين على متطلبات الحوكمة</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مجالس 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ولجان الحوكمة والمراجعة</w:t>
            </w:r>
            <w:r w:rsidRPr="007C544A">
              <w:rPr>
                <w:rFonts w:ascii="Traditional Arabic" w:hAnsi="Traditional Arabic" w:cs="Traditional Arabic"/>
                <w:sz w:val="24"/>
                <w:szCs w:val="24"/>
                <w:lang w:val="en-GB" w:eastAsia="en-GB" w:bidi="ar-EG"/>
              </w:rPr>
              <w:t>.</w:t>
            </w:r>
          </w:p>
        </w:tc>
        <w:tc>
          <w:tcPr>
            <w:tcW w:w="1739" w:type="dxa"/>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سنة واحدة</w:t>
            </w:r>
          </w:p>
        </w:tc>
      </w:tr>
      <w:tr w:rsidR="005C1DB1" w:rsidRPr="007C544A" w:rsidTr="00757378">
        <w:trPr>
          <w:jc w:val="center"/>
        </w:trPr>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بينت النتائج أن الدمج يسهم في تعزيز القدرة التنافسية للشركات العائلية السعودية</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بالاستفادة من عمليات الدمج في توسيع الحصة السوقية وتحسين الكفاءة التشغيلية وتنويع المنتجات والخدمات</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إعداد خطط استراتيجية وتشغيلية موحدة بعد الدمج لتحقيق وفورات الحجم وتحسين </w:t>
            </w:r>
            <w:r w:rsidR="005C20E0" w:rsidRPr="007C544A">
              <w:rPr>
                <w:rFonts w:ascii="Traditional Arabic" w:hAnsi="Traditional Arabic" w:cs="Traditional Arabic"/>
                <w:sz w:val="24"/>
                <w:szCs w:val="24"/>
                <w:rtl/>
                <w:lang w:val="en-GB" w:eastAsia="en-GB" w:bidi="ar-EG"/>
              </w:rPr>
              <w:t>الأداء</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العليا والإدارات التشغيلية والتسويقية</w:t>
            </w:r>
            <w:r w:rsidRPr="007C544A">
              <w:rPr>
                <w:rFonts w:ascii="Traditional Arabic" w:hAnsi="Traditional Arabic" w:cs="Traditional Arabic"/>
                <w:sz w:val="24"/>
                <w:szCs w:val="24"/>
                <w:lang w:val="en-GB" w:eastAsia="en-GB" w:bidi="ar-EG"/>
              </w:rPr>
              <w:t>.</w:t>
            </w:r>
          </w:p>
        </w:tc>
        <w:tc>
          <w:tcPr>
            <w:tcW w:w="1739" w:type="dxa"/>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6 </w:t>
            </w:r>
            <w:r w:rsidRPr="007C544A">
              <w:rPr>
                <w:rFonts w:ascii="Traditional Arabic" w:hAnsi="Traditional Arabic" w:cs="Traditional Arabic"/>
                <w:sz w:val="24"/>
                <w:szCs w:val="24"/>
                <w:rtl/>
                <w:lang w:val="en-GB" w:eastAsia="en-GB" w:bidi="ar-EG"/>
              </w:rPr>
              <w:t>أشهر – سنة</w:t>
            </w:r>
          </w:p>
        </w:tc>
      </w:tr>
      <w:tr w:rsidR="005C1DB1" w:rsidRPr="007C544A" w:rsidTr="00757378">
        <w:trPr>
          <w:jc w:val="center"/>
        </w:trPr>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أثبتت النتائج وجود أثر إيجابي لاستراتيجية الدمج على فرص الحصول على التمويل وزيادة ثقة المستثمرين والمؤسسات المالية</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بتعزيز العلاقات مع المستثمرين وتطوير التقارير المالية الداعمة للثقة الاستثمارية</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تحسين جودة الإفصاح المالي وتطوير خطط التمويل والاستثمار طويلة الأجل</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المالية و</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علاقات المستثمرين</w:t>
            </w:r>
            <w:r w:rsidRPr="007C544A">
              <w:rPr>
                <w:rFonts w:ascii="Traditional Arabic" w:hAnsi="Traditional Arabic" w:cs="Traditional Arabic"/>
                <w:sz w:val="24"/>
                <w:szCs w:val="24"/>
                <w:lang w:val="en-GB" w:eastAsia="en-GB" w:bidi="ar-EG"/>
              </w:rPr>
              <w:t>.</w:t>
            </w:r>
          </w:p>
        </w:tc>
        <w:tc>
          <w:tcPr>
            <w:tcW w:w="1739" w:type="dxa"/>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6 </w:t>
            </w:r>
            <w:r w:rsidRPr="007C544A">
              <w:rPr>
                <w:rFonts w:ascii="Traditional Arabic" w:hAnsi="Traditional Arabic" w:cs="Traditional Arabic"/>
                <w:sz w:val="24"/>
                <w:szCs w:val="24"/>
                <w:rtl/>
                <w:lang w:val="en-GB" w:eastAsia="en-GB" w:bidi="ar-EG"/>
              </w:rPr>
              <w:t>أشهر</w:t>
            </w:r>
          </w:p>
        </w:tc>
      </w:tr>
      <w:tr w:rsidR="005C1DB1" w:rsidRPr="007C544A" w:rsidTr="00757378">
        <w:trPr>
          <w:jc w:val="center"/>
        </w:trPr>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أظهرت النتائج أن بعد الحوكمة جاء في المرتبة الأخيرة مقارنة ببقية الأبعاد</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بإعطاء أولوية أكبر لتطوير ممارسات الحوكمة المؤسسية عند التخطيط لعمليات الدمج</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تنفيذ برامج تدريبية وتطبيق معايير الحوكمة الصادرة عن هيئة السوق المالية السعودية</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العليا و</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الموارد البشرية</w:t>
            </w:r>
            <w:r w:rsidRPr="007C544A">
              <w:rPr>
                <w:rFonts w:ascii="Traditional Arabic" w:hAnsi="Traditional Arabic" w:cs="Traditional Arabic"/>
                <w:sz w:val="24"/>
                <w:szCs w:val="24"/>
                <w:lang w:val="en-GB" w:eastAsia="en-GB" w:bidi="ar-EG"/>
              </w:rPr>
              <w:t>.</w:t>
            </w:r>
          </w:p>
        </w:tc>
        <w:tc>
          <w:tcPr>
            <w:tcW w:w="1739" w:type="dxa"/>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3–6 </w:t>
            </w:r>
            <w:r w:rsidRPr="007C544A">
              <w:rPr>
                <w:rFonts w:ascii="Traditional Arabic" w:hAnsi="Traditional Arabic" w:cs="Traditional Arabic"/>
                <w:sz w:val="24"/>
                <w:szCs w:val="24"/>
                <w:rtl/>
                <w:lang w:val="en-GB" w:eastAsia="en-GB" w:bidi="ar-EG"/>
              </w:rPr>
              <w:t>أشهر</w:t>
            </w:r>
          </w:p>
        </w:tc>
      </w:tr>
      <w:tr w:rsidR="005C1DB1" w:rsidRPr="007C544A" w:rsidTr="00757378">
        <w:trPr>
          <w:jc w:val="center"/>
        </w:trPr>
        <w:tc>
          <w:tcPr>
            <w:tcW w:w="0" w:type="auto"/>
            <w:vAlign w:val="center"/>
            <w:hideMark/>
          </w:tcPr>
          <w:p w:rsidR="005C1DB1" w:rsidRPr="007C544A" w:rsidRDefault="005C1DB1" w:rsidP="007F462E">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lastRenderedPageBreak/>
              <w:t xml:space="preserve">أظهرت النتائج وجود تأثير إيجابي كلي لاستراتيجية دمج الشركات على </w:t>
            </w:r>
            <w:r w:rsidR="007F462E" w:rsidRPr="007C544A">
              <w:rPr>
                <w:rFonts w:ascii="Traditional Arabic" w:hAnsi="Traditional Arabic" w:cs="Traditional Arabic" w:hint="cs"/>
                <w:sz w:val="24"/>
                <w:szCs w:val="24"/>
                <w:rtl/>
                <w:lang w:val="en-GB" w:eastAsia="en-GB" w:bidi="ar-EG"/>
              </w:rPr>
              <w:t>الدخول</w:t>
            </w:r>
            <w:r w:rsidRPr="007C544A">
              <w:rPr>
                <w:rFonts w:ascii="Traditional Arabic" w:hAnsi="Traditional Arabic" w:cs="Traditional Arabic"/>
                <w:sz w:val="24"/>
                <w:szCs w:val="24"/>
                <w:rtl/>
                <w:lang w:val="en-GB" w:eastAsia="en-GB" w:bidi="ar-EG"/>
              </w:rPr>
              <w:t xml:space="preserve">  في سوق النمو</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حيث بلغت قيمة</w:t>
            </w:r>
            <w:r w:rsidR="00D7278E" w:rsidRPr="007C544A">
              <w:rPr>
                <w:rFonts w:ascii="Traditional Arabic" w:hAnsi="Traditional Arabic" w:cs="Traditional Arabic"/>
                <w:sz w:val="24"/>
                <w:szCs w:val="24"/>
                <w:rtl/>
                <w:lang w:val="en-GB" w:eastAsia="en-GB" w:bidi="ar-EG"/>
              </w:rPr>
              <w:t xml:space="preserve"> </w:t>
            </w:r>
            <w:r w:rsidR="00D7278E" w:rsidRPr="007C544A">
              <w:rPr>
                <w:rFonts w:ascii="Traditional Arabic" w:hAnsi="Traditional Arabic" w:cs="Traditional Arabic"/>
                <w:sz w:val="24"/>
                <w:szCs w:val="24"/>
                <w:lang w:val="en-GB" w:eastAsia="en-GB" w:bidi="ar-EG"/>
              </w:rPr>
              <w:t>(</w:t>
            </w:r>
            <w:r w:rsidRPr="007C544A">
              <w:rPr>
                <w:rFonts w:ascii="Traditional Arabic" w:hAnsi="Traditional Arabic" w:cs="Traditional Arabic"/>
                <w:sz w:val="24"/>
                <w:szCs w:val="24"/>
                <w:lang w:val="en-GB" w:eastAsia="en-GB" w:bidi="ar-EG"/>
              </w:rPr>
              <w:t>R²=0.67).</w:t>
            </w:r>
          </w:p>
        </w:tc>
        <w:tc>
          <w:tcPr>
            <w:tcW w:w="0" w:type="auto"/>
            <w:vAlign w:val="center"/>
            <w:hideMark/>
          </w:tcPr>
          <w:p w:rsidR="005C1DB1" w:rsidRPr="007C544A" w:rsidRDefault="005C1DB1" w:rsidP="007F462E">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يوصي الباحث بنشر ثقافة الدمج الاستراتيجي بين الشركات العائلية السعودية باعتباره أحد المداخل المهمة لتعزيز </w:t>
            </w:r>
            <w:r w:rsidR="007F462E" w:rsidRPr="007C544A">
              <w:rPr>
                <w:rFonts w:ascii="Traditional Arabic" w:hAnsi="Traditional Arabic" w:cs="Traditional Arabic" w:hint="cs"/>
                <w:sz w:val="24"/>
                <w:szCs w:val="24"/>
                <w:rtl/>
                <w:lang w:val="en-GB" w:eastAsia="en-GB" w:bidi="ar-EG"/>
              </w:rPr>
              <w:t>ا</w:t>
            </w:r>
            <w:r w:rsidRPr="007C544A">
              <w:rPr>
                <w:rFonts w:ascii="Traditional Arabic" w:hAnsi="Traditional Arabic" w:cs="Traditional Arabic"/>
                <w:sz w:val="24"/>
                <w:szCs w:val="24"/>
                <w:rtl/>
                <w:lang w:val="en-GB" w:eastAsia="en-GB" w:bidi="ar-EG"/>
              </w:rPr>
              <w:t>ل</w:t>
            </w:r>
            <w:r w:rsidR="000544F4" w:rsidRPr="007C544A">
              <w:rPr>
                <w:rFonts w:ascii="Traditional Arabic" w:hAnsi="Traditional Arabic" w:cs="Traditional Arabic"/>
                <w:sz w:val="24"/>
                <w:szCs w:val="24"/>
                <w:rtl/>
                <w:lang w:val="en-GB" w:eastAsia="en-GB" w:bidi="ar-EG"/>
              </w:rPr>
              <w:t>إدراج</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تنظيم ورش عمل وندوات توعوية بالتعاون مع الجهات التنظيمية والاستشارية</w:t>
            </w:r>
            <w:r w:rsidRPr="007C544A">
              <w:rPr>
                <w:rFonts w:ascii="Traditional Arabic" w:hAnsi="Traditional Arabic" w:cs="Traditional Arabic"/>
                <w:sz w:val="24"/>
                <w:szCs w:val="24"/>
                <w:lang w:val="en-GB" w:eastAsia="en-GB" w:bidi="ar-EG"/>
              </w:rPr>
              <w:t>.</w:t>
            </w:r>
          </w:p>
        </w:tc>
        <w:tc>
          <w:tcPr>
            <w:tcW w:w="0" w:type="auto"/>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هيئة السوق المالية السعودية</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تداول السعودية</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الغرف التجارية</w:t>
            </w:r>
            <w:r w:rsidRPr="007C544A">
              <w:rPr>
                <w:rFonts w:ascii="Traditional Arabic" w:hAnsi="Traditional Arabic" w:cs="Traditional Arabic"/>
                <w:sz w:val="24"/>
                <w:szCs w:val="24"/>
                <w:lang w:val="en-GB" w:eastAsia="en-GB" w:bidi="ar-EG"/>
              </w:rPr>
              <w:t>.</w:t>
            </w:r>
          </w:p>
        </w:tc>
        <w:tc>
          <w:tcPr>
            <w:tcW w:w="1739" w:type="dxa"/>
            <w:vAlign w:val="center"/>
            <w:hideMark/>
          </w:tcPr>
          <w:p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سنة واحدة</w:t>
            </w:r>
          </w:p>
        </w:tc>
      </w:tr>
    </w:tbl>
    <w:p w:rsidR="007F462E" w:rsidRPr="007C544A" w:rsidRDefault="007F462E" w:rsidP="007F462E">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 xml:space="preserve">ثالثا: </w:t>
      </w:r>
      <w:r w:rsidRPr="007C544A">
        <w:rPr>
          <w:rFonts w:ascii="Traditional Arabic" w:hAnsi="Traditional Arabic" w:cs="Traditional Arabic"/>
          <w:b/>
          <w:bCs/>
          <w:sz w:val="28"/>
          <w:szCs w:val="28"/>
          <w:rtl/>
        </w:rPr>
        <w:t xml:space="preserve">الاستراتيجية المقترحة لتعزيز </w:t>
      </w:r>
      <w:r w:rsidRPr="007C544A">
        <w:rPr>
          <w:rFonts w:ascii="Traditional Arabic" w:hAnsi="Traditional Arabic" w:cs="Traditional Arabic" w:hint="cs"/>
          <w:b/>
          <w:bCs/>
          <w:sz w:val="28"/>
          <w:szCs w:val="28"/>
          <w:rtl/>
        </w:rPr>
        <w:t>ا</w:t>
      </w:r>
      <w:r w:rsidRPr="007C544A">
        <w:rPr>
          <w:rFonts w:ascii="Traditional Arabic" w:hAnsi="Traditional Arabic" w:cs="Traditional Arabic"/>
          <w:b/>
          <w:bCs/>
          <w:sz w:val="28"/>
          <w:szCs w:val="28"/>
          <w:rtl/>
        </w:rPr>
        <w:t>لإدراج في السوق الموازية:</w:t>
      </w:r>
    </w:p>
    <w:p w:rsidR="007F462E" w:rsidRPr="007C544A" w:rsidRDefault="007F462E" w:rsidP="007F462E">
      <w:pPr>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استنادًا إلى نتائج الدراسة الميدانية بشقيها الكمي والنوعي، وما توصلت إليه من وجود أثر إيجابي لاستراتيجية دمج الشركات على الأداء المالي ومتطلبات الحوكمة والقدرة التنافسية وفرص الحصول على التمويل، تم إعداد استراتيجية مقترحة تهدف إلى تعزيز جاهزية الشركات العائلية السعودية للإدراج في السوق الموازية، وذلك من خلال مجموعة من المراحل والإجراءات التنفيذية المتكاملة</w:t>
      </w:r>
      <w:r w:rsidRPr="007C544A">
        <w:rPr>
          <w:rFonts w:ascii="Traditional Arabic" w:hAnsi="Traditional Arabic" w:cs="Traditional Arabic"/>
          <w:sz w:val="24"/>
          <w:szCs w:val="24"/>
        </w:rPr>
        <w:t>.</w:t>
      </w:r>
    </w:p>
    <w:p w:rsidR="007F462E" w:rsidRPr="007C544A" w:rsidRDefault="007F462E" w:rsidP="007F462E">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محاور الاستراتيجية:</w:t>
      </w:r>
    </w:p>
    <w:p w:rsidR="007F462E" w:rsidRPr="007C544A" w:rsidRDefault="007F462E" w:rsidP="007F462E">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يقوم النموذج على مجموعة من المحاور التكاملية التالية: </w:t>
      </w:r>
    </w:p>
    <w:p w:rsidR="007F462E" w:rsidRPr="007C544A" w:rsidRDefault="007F462E" w:rsidP="002D00D3">
      <w:pPr>
        <w:pStyle w:val="Heading3"/>
        <w:numPr>
          <w:ilvl w:val="0"/>
          <w:numId w:val="17"/>
        </w:numPr>
        <w:bidi/>
        <w:spacing w:before="0" w:line="360" w:lineRule="auto"/>
        <w:ind w:hanging="205"/>
        <w:jc w:val="both"/>
        <w:rPr>
          <w:rFonts w:ascii="Traditional Arabic" w:hAnsi="Traditional Arabic" w:cs="Traditional Arabic"/>
          <w:b/>
          <w:bCs/>
          <w:color w:val="auto"/>
          <w:lang w:bidi="ar-SA"/>
        </w:rPr>
      </w:pPr>
      <w:r w:rsidRPr="007C544A">
        <w:rPr>
          <w:rFonts w:ascii="Traditional Arabic" w:hAnsi="Traditional Arabic" w:cs="Traditional Arabic"/>
          <w:b/>
          <w:bCs/>
          <w:color w:val="auto"/>
          <w:rtl/>
          <w:lang w:bidi="ar-EG"/>
        </w:rPr>
        <w:t>تحليل</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وتشخيص</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الوضع</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الراهن</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للشركات</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المرشحة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للدمج</w:t>
      </w:r>
      <w:r w:rsidRPr="007C544A">
        <w:rPr>
          <w:rFonts w:ascii="Traditional Arabic" w:hAnsi="Traditional Arabic" w:cs="Traditional Arabic"/>
          <w:b/>
          <w:bCs/>
          <w:color w:val="auto"/>
        </w:rPr>
        <w:t>:</w:t>
      </w:r>
    </w:p>
    <w:p w:rsidR="007F462E" w:rsidRPr="007C544A" w:rsidRDefault="007F462E" w:rsidP="002D00D3">
      <w:pPr>
        <w:numPr>
          <w:ilvl w:val="0"/>
          <w:numId w:val="25"/>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تقييم الأداء المالي والتشغيلي للشركات.</w:t>
      </w:r>
    </w:p>
    <w:p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تحليل الهياكل التنظيمية والإدارية.</w:t>
      </w:r>
    </w:p>
    <w:p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مراجعة نظم الحوكمة والرقابة الداخلية.</w:t>
      </w:r>
    </w:p>
    <w:p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تحديد نقاط القوة والضعف والفرص والتحديات.</w:t>
      </w:r>
    </w:p>
    <w:p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تقييم مدى جاهزية الشركات لعملية الدمج.</w:t>
      </w:r>
    </w:p>
    <w:p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التخطيط الاستراتيجي لعملية الدمج:</w:t>
      </w:r>
    </w:p>
    <w:p w:rsidR="007F462E" w:rsidRPr="007C544A" w:rsidRDefault="007F462E" w:rsidP="002D00D3">
      <w:pPr>
        <w:numPr>
          <w:ilvl w:val="0"/>
          <w:numId w:val="20"/>
        </w:numPr>
        <w:bidi/>
        <w:spacing w:after="0" w:line="360" w:lineRule="auto"/>
        <w:jc w:val="both"/>
        <w:rPr>
          <w:rStyle w:val="Strong"/>
          <w:rFonts w:ascii="Traditional Arabic" w:eastAsia="Times New Roman" w:hAnsi="Traditional Arabic" w:cs="Traditional Arabic"/>
          <w:b w:val="0"/>
          <w:bCs w:val="0"/>
          <w:sz w:val="24"/>
          <w:szCs w:val="24"/>
          <w:rtl/>
        </w:rPr>
      </w:pPr>
      <w:r w:rsidRPr="007C544A">
        <w:rPr>
          <w:rStyle w:val="Strong"/>
          <w:rFonts w:ascii="Traditional Arabic" w:eastAsia="Times New Roman" w:hAnsi="Traditional Arabic" w:cs="Traditional Arabic"/>
          <w:b w:val="0"/>
          <w:bCs w:val="0"/>
          <w:sz w:val="24"/>
          <w:szCs w:val="24"/>
          <w:rtl/>
        </w:rPr>
        <w:t>تحديد الأهداف الاستراتيجية للدمج.</w:t>
      </w:r>
    </w:p>
    <w:p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tl/>
        </w:rPr>
      </w:pPr>
      <w:r w:rsidRPr="007C544A">
        <w:rPr>
          <w:rStyle w:val="Strong"/>
          <w:rFonts w:ascii="Traditional Arabic" w:eastAsia="Times New Roman" w:hAnsi="Traditional Arabic" w:cs="Traditional Arabic"/>
          <w:b w:val="0"/>
          <w:bCs w:val="0"/>
          <w:sz w:val="24"/>
          <w:szCs w:val="24"/>
          <w:rtl/>
        </w:rPr>
        <w:t>اختيار الشكل المناسب للدمج ونطاقه.</w:t>
      </w:r>
    </w:p>
    <w:p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تحديد الموارد المالية والبشرية والتقنية المطلوبة.</w:t>
      </w:r>
    </w:p>
    <w:p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إعداد خطة تنفيذية وجدول زمني لعملية الدمج.</w:t>
      </w:r>
    </w:p>
    <w:p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تحديد الأدوار والمسؤوليات بين الأطراف المعنية.</w:t>
      </w:r>
    </w:p>
    <w:p w:rsidR="007F462E" w:rsidRPr="007C544A" w:rsidRDefault="007F462E" w:rsidP="007F462E">
      <w:pPr>
        <w:bidi/>
        <w:spacing w:after="0" w:line="360" w:lineRule="auto"/>
        <w:ind w:left="714"/>
        <w:jc w:val="both"/>
        <w:rPr>
          <w:rStyle w:val="Strong"/>
          <w:rFonts w:ascii="Traditional Arabic" w:eastAsia="Times New Roman" w:hAnsi="Traditional Arabic" w:cs="Traditional Arabic"/>
          <w:b w:val="0"/>
          <w:bCs w:val="0"/>
          <w:sz w:val="24"/>
          <w:szCs w:val="24"/>
        </w:rPr>
      </w:pPr>
    </w:p>
    <w:p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lastRenderedPageBreak/>
        <w:t>تنفيذ عملية الدمج والتكامل المؤسسي:</w:t>
      </w:r>
    </w:p>
    <w:p w:rsidR="007F462E" w:rsidRPr="007C544A" w:rsidRDefault="007F462E" w:rsidP="002D00D3">
      <w:pPr>
        <w:numPr>
          <w:ilvl w:val="0"/>
          <w:numId w:val="21"/>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توحيد الهياكل المالية والإدارية.</w:t>
      </w:r>
    </w:p>
    <w:p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دمج العمليات التشغيلية والإجراءات التنظيمية.</w:t>
      </w:r>
    </w:p>
    <w:p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توحيد السياسات واللوائح الداخلية.</w:t>
      </w:r>
    </w:p>
    <w:p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تطوير نظم الرقابة والمتابعة.</w:t>
      </w:r>
    </w:p>
    <w:p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تنفيذ خطة اتصال وتواصل مع العاملين وأصحاب المصلحة.</w:t>
      </w:r>
    </w:p>
    <w:p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 xml:space="preserve">تعزيز </w:t>
      </w:r>
      <w:r w:rsidRPr="007C544A">
        <w:rPr>
          <w:rFonts w:ascii="Traditional Arabic" w:hAnsi="Traditional Arabic" w:cs="Traditional Arabic" w:hint="cs"/>
          <w:b/>
          <w:bCs/>
          <w:rtl/>
        </w:rPr>
        <w:t xml:space="preserve">الدخول </w:t>
      </w:r>
      <w:r w:rsidRPr="007C544A">
        <w:rPr>
          <w:rFonts w:ascii="Traditional Arabic" w:hAnsi="Traditional Arabic" w:cs="Traditional Arabic"/>
          <w:b/>
          <w:bCs/>
          <w:rtl/>
        </w:rPr>
        <w:t>في السوق الموازية:</w:t>
      </w:r>
    </w:p>
    <w:p w:rsidR="007F462E" w:rsidRPr="007C544A" w:rsidRDefault="007F462E" w:rsidP="002D00D3">
      <w:pPr>
        <w:numPr>
          <w:ilvl w:val="0"/>
          <w:numId w:val="22"/>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مواءمة الأنظمة والإجراءات مع متطلبات الإدراج.</w:t>
      </w:r>
    </w:p>
    <w:p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تطوير ممارسات الإفصاح والشفافية.</w:t>
      </w:r>
    </w:p>
    <w:p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تعزيز تطبيق مبادئ الحوكمة المؤسسية.</w:t>
      </w:r>
    </w:p>
    <w:p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إعداد التقارير والبيانات المالية وفق المتطلبات النظامية.</w:t>
      </w:r>
    </w:p>
    <w:p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التنسيق مع الجهات الاستشارية المختصة بالإدراج.</w:t>
      </w:r>
    </w:p>
    <w:p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متابعة الأداء وقياس أثر الدمج:</w:t>
      </w:r>
    </w:p>
    <w:p w:rsidR="007F462E" w:rsidRPr="007C544A" w:rsidRDefault="007F462E" w:rsidP="002D00D3">
      <w:pPr>
        <w:numPr>
          <w:ilvl w:val="0"/>
          <w:numId w:val="23"/>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قياس التحسن في الأداء المالي والتشغيلي.</w:t>
      </w:r>
    </w:p>
    <w:p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متابعة مؤشرات الحوكمة والامتثال.</w:t>
      </w:r>
    </w:p>
    <w:p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تقييم أثر الدمج على القدرة التنافسية.</w:t>
      </w:r>
    </w:p>
    <w:p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قياس أثر الدمج على فرص الحصول على التمويل.</w:t>
      </w:r>
    </w:p>
    <w:p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إعداد تقارير دورية لدعم اتخاذ القرار.</w:t>
      </w:r>
    </w:p>
    <w:p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التحسين المستمر واستدامة النتائج:</w:t>
      </w:r>
    </w:p>
    <w:p w:rsidR="007F462E" w:rsidRPr="007C544A" w:rsidRDefault="007F462E" w:rsidP="002D00D3">
      <w:pPr>
        <w:numPr>
          <w:ilvl w:val="0"/>
          <w:numId w:val="24"/>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مراجعة نتائج الدمج بصورة دورية.</w:t>
      </w:r>
    </w:p>
    <w:p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معالجة التحديات والمعوقات التي تظهر أثناء التطبيق.</w:t>
      </w:r>
    </w:p>
    <w:p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تحديث الخطط والإجراءات وفق المتغيرات.</w:t>
      </w:r>
    </w:p>
    <w:p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تعزيز ثقافة التطوير والتحسين المستمر.</w:t>
      </w:r>
    </w:p>
    <w:p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 xml:space="preserve">ضمان استدامة </w:t>
      </w:r>
      <w:r w:rsidRPr="007C544A">
        <w:rPr>
          <w:rStyle w:val="Strong"/>
          <w:rFonts w:ascii="Traditional Arabic" w:eastAsia="Times New Roman" w:hAnsi="Traditional Arabic" w:cs="Traditional Arabic" w:hint="cs"/>
          <w:b w:val="0"/>
          <w:bCs w:val="0"/>
          <w:sz w:val="24"/>
          <w:szCs w:val="24"/>
          <w:rtl/>
        </w:rPr>
        <w:t>الدخول</w:t>
      </w:r>
      <w:r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hint="cs"/>
          <w:b w:val="0"/>
          <w:bCs w:val="0"/>
          <w:sz w:val="24"/>
          <w:szCs w:val="24"/>
          <w:rtl/>
        </w:rPr>
        <w:t>للسوق الموازية</w:t>
      </w:r>
      <w:r w:rsidRPr="007C544A">
        <w:rPr>
          <w:rStyle w:val="Strong"/>
          <w:rFonts w:ascii="Traditional Arabic" w:eastAsia="Times New Roman" w:hAnsi="Traditional Arabic" w:cs="Traditional Arabic"/>
          <w:b w:val="0"/>
          <w:bCs w:val="0"/>
          <w:sz w:val="24"/>
          <w:szCs w:val="24"/>
          <w:rtl/>
        </w:rPr>
        <w:t xml:space="preserve"> والنمو المستقبلي.</w:t>
      </w:r>
    </w:p>
    <w:p w:rsidR="007F462E" w:rsidRPr="007C544A" w:rsidRDefault="007F462E" w:rsidP="007F462E">
      <w:pPr>
        <w:bidi/>
        <w:spacing w:after="0" w:line="360" w:lineRule="auto"/>
        <w:jc w:val="both"/>
        <w:rPr>
          <w:rStyle w:val="Strong"/>
          <w:rFonts w:ascii="Traditional Arabic" w:eastAsia="Times New Roman" w:hAnsi="Traditional Arabic" w:cs="Traditional Arabic"/>
          <w:b w:val="0"/>
          <w:bCs w:val="0"/>
          <w:sz w:val="24"/>
          <w:szCs w:val="24"/>
          <w:rtl/>
        </w:rPr>
      </w:pPr>
    </w:p>
    <w:p w:rsidR="007F462E" w:rsidRPr="007C544A" w:rsidRDefault="007F462E" w:rsidP="007F462E">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 (5</w:t>
      </w:r>
      <w:r w:rsidRPr="007C544A">
        <w:rPr>
          <w:rFonts w:ascii="Traditional Arabic" w:eastAsiaTheme="minorHAnsi" w:hAnsi="Traditional Arabic" w:cs="Traditional Arabic" w:hint="cs"/>
          <w:b/>
          <w:bCs/>
          <w:rtl/>
        </w:rPr>
        <w:t>-2)</w:t>
      </w:r>
      <w:r w:rsidRPr="007C544A">
        <w:rPr>
          <w:rFonts w:ascii="Traditional Arabic" w:eastAsiaTheme="minorHAnsi" w:hAnsi="Traditional Arabic" w:cs="Traditional Arabic"/>
          <w:b/>
          <w:bCs/>
          <w:rtl/>
        </w:rPr>
        <w:t xml:space="preserve"> </w:t>
      </w:r>
    </w:p>
    <w:p w:rsidR="007F462E" w:rsidRPr="007C544A" w:rsidRDefault="007F462E" w:rsidP="007F462E">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المراحل التنفيذية المقترحة لاستراتيجية دمج الشركات لتعزيز </w:t>
      </w:r>
      <w:r w:rsidRPr="007C544A">
        <w:rPr>
          <w:rFonts w:ascii="Traditional Arabic" w:eastAsiaTheme="minorHAnsi" w:hAnsi="Traditional Arabic" w:cs="Traditional Arabic" w:hint="cs"/>
          <w:b/>
          <w:bCs/>
          <w:rtl/>
        </w:rPr>
        <w:t>ا</w:t>
      </w:r>
      <w:r w:rsidRPr="007C544A">
        <w:rPr>
          <w:rFonts w:ascii="Traditional Arabic" w:eastAsiaTheme="minorHAnsi" w:hAnsi="Traditional Arabic" w:cs="Traditional Arabic"/>
          <w:b/>
          <w:bCs/>
          <w:rtl/>
        </w:rPr>
        <w:t>لإدراج في الدخول السوق الموازية</w:t>
      </w:r>
    </w:p>
    <w:tbl>
      <w:tblPr>
        <w:tblStyle w:val="TableGrid"/>
        <w:bidiVisual/>
        <w:tblW w:w="9205" w:type="dxa"/>
        <w:jc w:val="center"/>
        <w:tblBorders>
          <w:top w:val="threeDEngrave" w:sz="24" w:space="0" w:color="auto"/>
          <w:bottom w:val="threeDEmboss" w:sz="24" w:space="0" w:color="auto"/>
        </w:tblBorders>
        <w:tblLook w:val="04A0" w:firstRow="1" w:lastRow="0" w:firstColumn="1" w:lastColumn="0" w:noHBand="0" w:noVBand="1"/>
      </w:tblPr>
      <w:tblGrid>
        <w:gridCol w:w="1351"/>
        <w:gridCol w:w="3474"/>
        <w:gridCol w:w="1752"/>
        <w:gridCol w:w="1351"/>
        <w:gridCol w:w="1277"/>
      </w:tblGrid>
      <w:tr w:rsidR="007F462E" w:rsidRPr="007C544A" w:rsidTr="003577FC">
        <w:trPr>
          <w:tblHeader/>
          <w:jc w:val="center"/>
        </w:trPr>
        <w:tc>
          <w:tcPr>
            <w:tcW w:w="1351" w:type="dxa"/>
            <w:tcBorders>
              <w:top w:val="threeDEngrave" w:sz="24" w:space="0" w:color="auto"/>
              <w:bottom w:val="threeDEmboss" w:sz="24" w:space="0" w:color="auto"/>
            </w:tcBorders>
            <w:shd w:val="clear" w:color="auto" w:fill="D9D9D9" w:themeFill="background1" w:themeFillShade="D9"/>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المرحلة</w:t>
            </w:r>
          </w:p>
        </w:tc>
        <w:tc>
          <w:tcPr>
            <w:tcW w:w="3474" w:type="dxa"/>
            <w:tcBorders>
              <w:top w:val="threeDEngrave" w:sz="24" w:space="0" w:color="auto"/>
              <w:bottom w:val="threeDEmboss" w:sz="24" w:space="0" w:color="auto"/>
            </w:tcBorders>
            <w:shd w:val="clear" w:color="auto" w:fill="D9D9D9" w:themeFill="background1" w:themeFillShade="D9"/>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الخطوات العملية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الهدف</w:t>
            </w:r>
          </w:p>
        </w:tc>
        <w:tc>
          <w:tcPr>
            <w:tcW w:w="1351" w:type="dxa"/>
            <w:tcBorders>
              <w:top w:val="threeDEngrave" w:sz="24" w:space="0" w:color="auto"/>
              <w:bottom w:val="threeDEmboss" w:sz="24" w:space="0" w:color="auto"/>
            </w:tcBorders>
            <w:shd w:val="clear" w:color="auto" w:fill="D9D9D9" w:themeFill="background1" w:themeFillShade="D9"/>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جهة التنفيذ</w:t>
            </w:r>
          </w:p>
        </w:tc>
        <w:tc>
          <w:tcPr>
            <w:tcW w:w="1277" w:type="dxa"/>
            <w:tcBorders>
              <w:top w:val="threeDEngrave" w:sz="24" w:space="0" w:color="auto"/>
              <w:bottom w:val="threeDEmboss" w:sz="24" w:space="0" w:color="auto"/>
            </w:tcBorders>
            <w:shd w:val="clear" w:color="auto" w:fill="D9D9D9" w:themeFill="background1" w:themeFillShade="D9"/>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الإطار الزمني</w:t>
            </w:r>
          </w:p>
        </w:tc>
      </w:tr>
      <w:tr w:rsidR="007F462E" w:rsidRPr="007C544A" w:rsidTr="003577FC">
        <w:trPr>
          <w:jc w:val="center"/>
        </w:trPr>
        <w:tc>
          <w:tcPr>
            <w:tcW w:w="1351" w:type="dxa"/>
            <w:tcBorders>
              <w:top w:val="threeDEmboss" w:sz="24" w:space="0" w:color="auto"/>
            </w:tcBorders>
            <w:shd w:val="clear" w:color="auto" w:fill="D9D9D9" w:themeFill="background1" w:themeFillShade="D9"/>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الأولى: التشخيص والتقييم</w:t>
            </w:r>
          </w:p>
        </w:tc>
        <w:tc>
          <w:tcPr>
            <w:tcW w:w="3474" w:type="dxa"/>
            <w:tcBorders>
              <w:top w:val="threeDEmboss" w:sz="24" w:space="0" w:color="auto"/>
            </w:tcBorders>
            <w:hideMark/>
          </w:tcPr>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جمع وتحليل البيانات المالية والإدارية للشركات المرشحة للدمج.</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تقييم الهياكل التنظيمية وممارسات الحوكمة.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تحليل القدرة التنافسية ومصادر التمويل المتاحة.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تحديد نقاط القوة والضعف والفرص والتحديات</w:t>
            </w:r>
            <w:r w:rsidRPr="007C544A">
              <w:rPr>
                <w:rFonts w:ascii="Traditional Arabic" w:hAnsi="Traditional Arabic" w:cs="Traditional Arabic"/>
                <w:sz w:val="24"/>
                <w:szCs w:val="24"/>
              </w:rPr>
              <w:t>.</w:t>
            </w:r>
          </w:p>
        </w:tc>
        <w:tc>
          <w:tcPr>
            <w:tcW w:w="0" w:type="auto"/>
            <w:tcBorders>
              <w:top w:val="threeDEmboss" w:sz="24" w:space="0" w:color="auto"/>
            </w:tcBorders>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تكوين صورة شاملة عن الوضع الحالي للشركات وتحديد مدى جاهزيتها للدمج</w:t>
            </w:r>
            <w:r w:rsidRPr="007C544A">
              <w:rPr>
                <w:rFonts w:ascii="Traditional Arabic" w:hAnsi="Traditional Arabic" w:cs="Traditional Arabic"/>
                <w:sz w:val="24"/>
                <w:szCs w:val="24"/>
              </w:rPr>
              <w:t>.</w:t>
            </w:r>
          </w:p>
        </w:tc>
        <w:tc>
          <w:tcPr>
            <w:tcW w:w="1351" w:type="dxa"/>
            <w:tcBorders>
              <w:top w:val="threeDEmboss" w:sz="24" w:space="0" w:color="auto"/>
            </w:tcBorders>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الإدارة المالية، المستشارون المتخصصون</w:t>
            </w:r>
          </w:p>
        </w:tc>
        <w:tc>
          <w:tcPr>
            <w:tcW w:w="1277" w:type="dxa"/>
            <w:tcBorders>
              <w:top w:val="threeDEmboss" w:sz="24" w:space="0" w:color="auto"/>
            </w:tcBorders>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1–2</w:t>
            </w:r>
          </w:p>
        </w:tc>
      </w:tr>
      <w:tr w:rsidR="007F462E" w:rsidRPr="007C544A" w:rsidTr="003577FC">
        <w:trPr>
          <w:jc w:val="center"/>
        </w:trPr>
        <w:tc>
          <w:tcPr>
            <w:tcW w:w="1351" w:type="dxa"/>
            <w:shd w:val="clear" w:color="auto" w:fill="D9D9D9" w:themeFill="background1" w:themeFillShade="D9"/>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الثانية: التخطيط الاستراتيجي للدمج</w:t>
            </w:r>
          </w:p>
        </w:tc>
        <w:tc>
          <w:tcPr>
            <w:tcW w:w="3474" w:type="dxa"/>
            <w:hideMark/>
          </w:tcPr>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تحديد أهداف الدمج ومؤشرات قياس النجاح.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تحديد نطاق الدمج والموارد اللازمة.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إعداد الخطة التنفيذية والجدول الزمني.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توزيع الأدوار والمسؤوليات بين الأطراف المعنية</w:t>
            </w:r>
            <w:r w:rsidRPr="007C544A">
              <w:rPr>
                <w:rFonts w:ascii="Traditional Arabic" w:hAnsi="Traditional Arabic" w:cs="Traditional Arabic"/>
                <w:sz w:val="24"/>
                <w:szCs w:val="24"/>
              </w:rPr>
              <w:t>.</w:t>
            </w:r>
          </w:p>
        </w:tc>
        <w:tc>
          <w:tcPr>
            <w:tcW w:w="0" w:type="auto"/>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إعداد إطار استراتيجي واضح لتنفيذ عملية الدمج وتحقيق أهدافها</w:t>
            </w:r>
            <w:r w:rsidRPr="007C544A">
              <w:rPr>
                <w:rFonts w:ascii="Traditional Arabic" w:hAnsi="Traditional Arabic" w:cs="Traditional Arabic"/>
                <w:sz w:val="24"/>
                <w:szCs w:val="24"/>
              </w:rPr>
              <w:t>.</w:t>
            </w:r>
          </w:p>
        </w:tc>
        <w:tc>
          <w:tcPr>
            <w:tcW w:w="1351" w:type="dxa"/>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فريق التخطيط الاستراتيجي</w:t>
            </w:r>
          </w:p>
        </w:tc>
        <w:tc>
          <w:tcPr>
            <w:tcW w:w="1277" w:type="dxa"/>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2–3</w:t>
            </w:r>
          </w:p>
        </w:tc>
      </w:tr>
      <w:tr w:rsidR="007F462E" w:rsidRPr="007C544A" w:rsidTr="003577FC">
        <w:trPr>
          <w:jc w:val="center"/>
        </w:trPr>
        <w:tc>
          <w:tcPr>
            <w:tcW w:w="1351" w:type="dxa"/>
            <w:shd w:val="clear" w:color="auto" w:fill="D9D9D9" w:themeFill="background1" w:themeFillShade="D9"/>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الثالثة: تنفيذ الدمج والتكامل المؤسسي</w:t>
            </w:r>
          </w:p>
        </w:tc>
        <w:tc>
          <w:tcPr>
            <w:tcW w:w="3474" w:type="dxa"/>
            <w:hideMark/>
          </w:tcPr>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توحيد الهياكل المالية والإدارية. - دمج العمليات التشغيلية والإجراءات التنظيمية.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تطوير نظم الرقابة والضبط الداخلي.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تنفيذ خطة التواصل مع العاملين وأصحاب المصلحة</w:t>
            </w:r>
            <w:r w:rsidRPr="007C544A">
              <w:rPr>
                <w:rFonts w:ascii="Traditional Arabic" w:hAnsi="Traditional Arabic" w:cs="Traditional Arabic"/>
                <w:sz w:val="24"/>
                <w:szCs w:val="24"/>
              </w:rPr>
              <w:t>.</w:t>
            </w:r>
          </w:p>
        </w:tc>
        <w:tc>
          <w:tcPr>
            <w:tcW w:w="0" w:type="auto"/>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تحقيق التكامل المؤسسي والتشغيلي بين الشركات المندمجة</w:t>
            </w:r>
            <w:r w:rsidRPr="007C544A">
              <w:rPr>
                <w:rFonts w:ascii="Traditional Arabic" w:hAnsi="Traditional Arabic" w:cs="Traditional Arabic"/>
                <w:sz w:val="24"/>
                <w:szCs w:val="24"/>
              </w:rPr>
              <w:t>.</w:t>
            </w:r>
          </w:p>
        </w:tc>
        <w:tc>
          <w:tcPr>
            <w:tcW w:w="1351" w:type="dxa"/>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التنفيذية، فرق العمليات، الموارد البشرية</w:t>
            </w:r>
          </w:p>
        </w:tc>
        <w:tc>
          <w:tcPr>
            <w:tcW w:w="1277" w:type="dxa"/>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3–6</w:t>
            </w:r>
          </w:p>
        </w:tc>
      </w:tr>
      <w:tr w:rsidR="007F462E" w:rsidRPr="007C544A" w:rsidTr="003577FC">
        <w:trPr>
          <w:jc w:val="center"/>
        </w:trPr>
        <w:tc>
          <w:tcPr>
            <w:tcW w:w="1351" w:type="dxa"/>
            <w:shd w:val="clear" w:color="auto" w:fill="D9D9D9" w:themeFill="background1" w:themeFillShade="D9"/>
            <w:vAlign w:val="center"/>
            <w:hideMark/>
          </w:tcPr>
          <w:p w:rsidR="007F462E" w:rsidRPr="007C544A" w:rsidRDefault="007F462E" w:rsidP="007F462E">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الرابعة: تعزيز </w:t>
            </w:r>
            <w:r w:rsidRPr="007C544A">
              <w:rPr>
                <w:rFonts w:ascii="Traditional Arabic" w:hAnsi="Traditional Arabic" w:cs="Traditional Arabic" w:hint="cs"/>
                <w:sz w:val="24"/>
                <w:szCs w:val="24"/>
                <w:rtl/>
              </w:rPr>
              <w:t>ا</w:t>
            </w:r>
            <w:r w:rsidRPr="007C544A">
              <w:rPr>
                <w:rFonts w:ascii="Traditional Arabic" w:hAnsi="Traditional Arabic" w:cs="Traditional Arabic"/>
                <w:sz w:val="24"/>
                <w:szCs w:val="24"/>
                <w:rtl/>
              </w:rPr>
              <w:t>لإدراج في السوق الموازية</w:t>
            </w:r>
          </w:p>
        </w:tc>
        <w:tc>
          <w:tcPr>
            <w:tcW w:w="3474" w:type="dxa"/>
            <w:hideMark/>
          </w:tcPr>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مواءمة السياسات والإجراءات مع متطلبات الإدراج.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تطوير نظم الإفصاح والشفافية.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تعزيز تطبيق الحوكمة المؤسسية.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إعداد التقارير المالية وفق المتطلبات النظامية.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التنسيق مع المستشار المالي المعتمد</w:t>
            </w:r>
            <w:r w:rsidRPr="007C544A">
              <w:rPr>
                <w:rFonts w:ascii="Traditional Arabic" w:hAnsi="Traditional Arabic" w:cs="Traditional Arabic"/>
                <w:sz w:val="24"/>
                <w:szCs w:val="24"/>
              </w:rPr>
              <w:t>.</w:t>
            </w:r>
          </w:p>
        </w:tc>
        <w:tc>
          <w:tcPr>
            <w:tcW w:w="0" w:type="auto"/>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رفع مستوى جاهزية الشركة واستيفاء متطلبات الإدراج في السوق الموازية</w:t>
            </w:r>
            <w:r w:rsidRPr="007C544A">
              <w:rPr>
                <w:rFonts w:ascii="Traditional Arabic" w:hAnsi="Traditional Arabic" w:cs="Traditional Arabic"/>
                <w:sz w:val="24"/>
                <w:szCs w:val="24"/>
              </w:rPr>
              <w:t>.</w:t>
            </w:r>
          </w:p>
        </w:tc>
        <w:tc>
          <w:tcPr>
            <w:tcW w:w="1351" w:type="dxa"/>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الإدارة المالية، إدارة الحوكمة، المستشار المالي</w:t>
            </w:r>
          </w:p>
        </w:tc>
        <w:tc>
          <w:tcPr>
            <w:tcW w:w="1277" w:type="dxa"/>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6–8</w:t>
            </w:r>
          </w:p>
        </w:tc>
      </w:tr>
      <w:tr w:rsidR="007F462E" w:rsidRPr="007C544A" w:rsidTr="003577FC">
        <w:trPr>
          <w:jc w:val="center"/>
        </w:trPr>
        <w:tc>
          <w:tcPr>
            <w:tcW w:w="1351" w:type="dxa"/>
            <w:shd w:val="clear" w:color="auto" w:fill="D9D9D9" w:themeFill="background1" w:themeFillShade="D9"/>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الخامسة: المتابعة والتقييم</w:t>
            </w:r>
          </w:p>
        </w:tc>
        <w:tc>
          <w:tcPr>
            <w:tcW w:w="3474" w:type="dxa"/>
            <w:hideMark/>
          </w:tcPr>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قياس مؤشرات الأداء المالي والحوكمة والقدرة التنافسية.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تقييم أثر الدمج على فرص التمويل.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مراجعة النتائج ومقارنة الأداء بالمستهدفات.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إعداد تقارير دورية للإدارة وأصحاب المصلحة</w:t>
            </w:r>
            <w:r w:rsidRPr="007C544A">
              <w:rPr>
                <w:rFonts w:ascii="Traditional Arabic" w:hAnsi="Traditional Arabic" w:cs="Traditional Arabic"/>
                <w:sz w:val="24"/>
                <w:szCs w:val="24"/>
              </w:rPr>
              <w:t>.</w:t>
            </w:r>
          </w:p>
        </w:tc>
        <w:tc>
          <w:tcPr>
            <w:tcW w:w="0" w:type="auto"/>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التأكد من تحقيق أهداف الدمج ومعالجة أوجه القصور والتحسين المستمر</w:t>
            </w:r>
            <w:r w:rsidRPr="007C544A">
              <w:rPr>
                <w:rFonts w:ascii="Traditional Arabic" w:hAnsi="Traditional Arabic" w:cs="Traditional Arabic"/>
                <w:sz w:val="24"/>
                <w:szCs w:val="24"/>
              </w:rPr>
              <w:t>.</w:t>
            </w:r>
          </w:p>
        </w:tc>
        <w:tc>
          <w:tcPr>
            <w:tcW w:w="1351" w:type="dxa"/>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إدارة التخطيط والمتابعة</w:t>
            </w:r>
          </w:p>
        </w:tc>
        <w:tc>
          <w:tcPr>
            <w:tcW w:w="1277" w:type="dxa"/>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كل 3–6 أشهر</w:t>
            </w:r>
          </w:p>
        </w:tc>
      </w:tr>
      <w:tr w:rsidR="007F462E" w:rsidRPr="007C544A" w:rsidTr="003577FC">
        <w:trPr>
          <w:jc w:val="center"/>
        </w:trPr>
        <w:tc>
          <w:tcPr>
            <w:tcW w:w="1351" w:type="dxa"/>
            <w:shd w:val="clear" w:color="auto" w:fill="D9D9D9" w:themeFill="background1" w:themeFillShade="D9"/>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السادسة: الاستدامة والتحسين المستمر</w:t>
            </w:r>
          </w:p>
        </w:tc>
        <w:tc>
          <w:tcPr>
            <w:tcW w:w="3474" w:type="dxa"/>
            <w:hideMark/>
          </w:tcPr>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دمج الممارسات الجديدة ضمن السياسات المؤسسية.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تعزيز ثقافة التطوير والتحسين المستمر.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تطوير آليات متابعة الأداء والجودة. </w:t>
            </w:r>
          </w:p>
          <w:p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دعم استدامة </w:t>
            </w:r>
            <w:r w:rsidRPr="007C544A">
              <w:rPr>
                <w:rFonts w:ascii="Traditional Arabic" w:hAnsi="Traditional Arabic" w:cs="Traditional Arabic" w:hint="cs"/>
                <w:sz w:val="24"/>
                <w:szCs w:val="24"/>
                <w:rtl/>
              </w:rPr>
              <w:t>ا</w:t>
            </w:r>
            <w:r w:rsidRPr="007C544A">
              <w:rPr>
                <w:rFonts w:ascii="Traditional Arabic" w:hAnsi="Traditional Arabic" w:cs="Traditional Arabic"/>
                <w:sz w:val="24"/>
                <w:szCs w:val="24"/>
                <w:rtl/>
              </w:rPr>
              <w:t>لإدراج والنمو المستقبلي</w:t>
            </w:r>
            <w:r w:rsidRPr="007C544A">
              <w:rPr>
                <w:rFonts w:ascii="Traditional Arabic" w:hAnsi="Traditional Arabic" w:cs="Traditional Arabic"/>
                <w:sz w:val="24"/>
                <w:szCs w:val="24"/>
              </w:rPr>
              <w:t>.</w:t>
            </w:r>
          </w:p>
        </w:tc>
        <w:tc>
          <w:tcPr>
            <w:tcW w:w="0" w:type="auto"/>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ضمان استمرارية نتائج الدمج والمحافظة على القدرة التنافسية والجاهزية للإدراج</w:t>
            </w:r>
            <w:r w:rsidRPr="007C544A">
              <w:rPr>
                <w:rFonts w:ascii="Traditional Arabic" w:hAnsi="Traditional Arabic" w:cs="Traditional Arabic"/>
                <w:sz w:val="24"/>
                <w:szCs w:val="24"/>
              </w:rPr>
              <w:t>.</w:t>
            </w:r>
          </w:p>
        </w:tc>
        <w:tc>
          <w:tcPr>
            <w:tcW w:w="1351" w:type="dxa"/>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وحدة الجودة والتطوير المؤسسي</w:t>
            </w:r>
          </w:p>
        </w:tc>
        <w:tc>
          <w:tcPr>
            <w:tcW w:w="1277" w:type="dxa"/>
            <w:vAlign w:val="center"/>
            <w:hideMark/>
          </w:tcPr>
          <w:p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مستمر</w:t>
            </w:r>
          </w:p>
        </w:tc>
      </w:tr>
    </w:tbl>
    <w:p w:rsidR="007F462E" w:rsidRPr="007C544A" w:rsidRDefault="007F462E"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 xml:space="preserve">المصد: إعداد الباحث: </w:t>
      </w:r>
    </w:p>
    <w:p w:rsidR="009D429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b/>
          <w:bCs/>
          <w:sz w:val="28"/>
          <w:szCs w:val="28"/>
          <w:rtl/>
        </w:rPr>
        <w:t xml:space="preserve">رابعاً- </w:t>
      </w:r>
      <w:r w:rsidR="009D429B" w:rsidRPr="007C544A">
        <w:rPr>
          <w:rFonts w:ascii="Traditional Arabic" w:hAnsi="Traditional Arabic" w:cs="Traditional Arabic"/>
          <w:b/>
          <w:bCs/>
          <w:sz w:val="28"/>
          <w:szCs w:val="28"/>
          <w:rtl/>
        </w:rPr>
        <w:t xml:space="preserve">مقترحات </w:t>
      </w:r>
      <w:r w:rsidR="005C0E9A" w:rsidRPr="007C544A">
        <w:rPr>
          <w:rFonts w:ascii="Traditional Arabic" w:hAnsi="Traditional Arabic" w:cs="Traditional Arabic" w:hint="cs"/>
          <w:b/>
          <w:bCs/>
          <w:sz w:val="28"/>
          <w:szCs w:val="28"/>
          <w:rtl/>
        </w:rPr>
        <w:t>و</w:t>
      </w:r>
      <w:r w:rsidR="009D429B" w:rsidRPr="007C544A">
        <w:rPr>
          <w:rFonts w:ascii="Traditional Arabic" w:hAnsi="Traditional Arabic" w:cs="Traditional Arabic"/>
          <w:b/>
          <w:bCs/>
          <w:sz w:val="28"/>
          <w:szCs w:val="28"/>
          <w:rtl/>
        </w:rPr>
        <w:t>دراسات مستقبلية</w:t>
      </w:r>
      <w:r w:rsidR="00775B4E" w:rsidRPr="007C544A">
        <w:rPr>
          <w:rFonts w:ascii="Traditional Arabic" w:hAnsi="Traditional Arabic" w:cs="Traditional Arabic"/>
          <w:b/>
          <w:bCs/>
          <w:sz w:val="28"/>
          <w:szCs w:val="28"/>
          <w:rtl/>
        </w:rPr>
        <w:t xml:space="preserve">: </w:t>
      </w:r>
    </w:p>
    <w:p w:rsidR="00BD674C" w:rsidRPr="007C544A" w:rsidRDefault="00BD674C" w:rsidP="00BD674C">
      <w:p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في ضوء نتائج الدراسة الحالية وحدودها، يمكن اقتراح مجموعة من الدراسات المستقبلية التي تتجاوز نطاق الدراسة الحالية من حيث السياق الجغرافي والثقافي، وطبيعة التصميم البحثي، والفترة الزمنية، والقطاعات محل التطبيق، وذلك على النحو الآتي</w:t>
      </w:r>
      <w:r w:rsidRPr="007C544A">
        <w:rPr>
          <w:rFonts w:ascii="Traditional Arabic" w:hAnsi="Traditional Arabic" w:cs="Traditional Arabic"/>
          <w:sz w:val="24"/>
          <w:szCs w:val="24"/>
          <w:lang w:bidi="ar-EG"/>
        </w:rPr>
        <w:t>:</w:t>
      </w:r>
    </w:p>
    <w:p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تجارب الشركات العائلية في دمج الشركات ودخول الأسواق المالية: دراسة نوعية في سياقات ثقافية عربية مختلفة</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استراتيجية دمج الشركات ودخول الأسواق المالية: دراسة مقارنة بين الشركات العائلية في السعودية ودول مجلس التعاون الخليجي</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تطور أثر استراتيجية دمج الشركات على الأداء المؤسسي بعد الإدراج في السوق المالية: دراسة طولية للشركات العائلية</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آليات اتخاذ القرار بشأن دمج الشركات في الشركات العائلية: دراسة نوعية باستخدام المقابلات المتعمقة ودراسة حالات متعددة</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استراتيجية دمج الشركات ودخول الأسواق المالية: دراسة مختلطة تجمع بين التحليل الكمي والتفسير النوعي في الشركات العائلية</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أثر اختلاف القطاع الاقتصادي في العلاقة بين استراتيجية دمج الشركات ودخول الشركات العائلية إلى الأسواق المالية: دراسة مقارنة بين القطاعات الصناعية والخدمية والطبية</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العوامل المؤسسية والتنظيمية المؤثرة في قرارات دمج الشركات العائلية ودخول الأسواق المالية: دراسة مقارنة بين الأسواق الناشئة</w:t>
      </w:r>
    </w:p>
    <w:p w:rsidR="00BD674C" w:rsidRPr="007C544A" w:rsidRDefault="00BD674C" w:rsidP="00BD674C">
      <w:pPr>
        <w:pStyle w:val="Heading3"/>
        <w:bidi/>
        <w:rPr>
          <w:rFonts w:ascii="Traditional Arabic" w:eastAsiaTheme="minorHAnsi" w:hAnsi="Traditional Arabic" w:cs="Traditional Arabic"/>
          <w:b/>
          <w:bCs/>
          <w:color w:val="auto"/>
          <w:lang w:bidi="ar-EG"/>
        </w:rPr>
      </w:pPr>
      <w:r w:rsidRPr="007C544A">
        <w:rPr>
          <w:rFonts w:ascii="Traditional Arabic" w:eastAsiaTheme="minorHAnsi" w:hAnsi="Traditional Arabic" w:cs="Traditional Arabic"/>
          <w:b/>
          <w:bCs/>
          <w:color w:val="auto"/>
          <w:rtl/>
          <w:lang w:bidi="ar-EG"/>
        </w:rPr>
        <w:lastRenderedPageBreak/>
        <w:t>الإسهامات</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EG"/>
        </w:rPr>
        <w:t>العلمية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EG"/>
        </w:rPr>
        <w:t>والتطبيقية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EG"/>
        </w:rPr>
        <w:t>للدراسة</w:t>
      </w:r>
    </w:p>
    <w:p w:rsidR="00BD674C" w:rsidRPr="007C544A" w:rsidRDefault="00BD674C" w:rsidP="00BD674C">
      <w:pPr>
        <w:pStyle w:val="NormalWeb"/>
        <w:bidi/>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في ضوء ما توصلت إليه الدراسة من نتائج، يمكن تحديد أبرز إسهاماتها العلمية والتطبيقية على النحو الآتي</w:t>
      </w:r>
      <w:r w:rsidRPr="007C544A">
        <w:rPr>
          <w:rFonts w:ascii="Traditional Arabic" w:eastAsiaTheme="minorHAnsi" w:hAnsi="Traditional Arabic" w:cs="Traditional Arabic"/>
          <w:lang w:bidi="ar-EG"/>
        </w:rPr>
        <w:t>:</w:t>
      </w:r>
    </w:p>
    <w:p w:rsidR="00BD674C" w:rsidRPr="007C544A" w:rsidRDefault="00BD674C" w:rsidP="00BD674C">
      <w:pPr>
        <w:pStyle w:val="NormalWeb"/>
        <w:bidi/>
        <w:rPr>
          <w:rFonts w:ascii="Traditional Arabic" w:eastAsiaTheme="minorHAnsi" w:hAnsi="Traditional Arabic" w:cs="Traditional Arabic"/>
          <w:lang w:bidi="ar-EG"/>
        </w:rPr>
      </w:pPr>
      <w:r w:rsidRPr="007C544A">
        <w:rPr>
          <w:rFonts w:ascii="Traditional Arabic" w:eastAsiaTheme="minorHAnsi" w:hAnsi="Traditional Arabic" w:cs="Traditional Arabic"/>
          <w:b/>
          <w:bCs/>
          <w:rtl/>
          <w:lang w:bidi="ar-EG"/>
        </w:rPr>
        <w:t>أولًا- الإسهامات العلمية</w:t>
      </w:r>
      <w:r w:rsidRPr="007C544A">
        <w:rPr>
          <w:rFonts w:ascii="Traditional Arabic" w:eastAsiaTheme="minorHAnsi" w:hAnsi="Traditional Arabic" w:cs="Traditional Arabic"/>
          <w:b/>
          <w:bCs/>
          <w:lang w:bidi="ar-EG"/>
        </w:rPr>
        <w:t>:</w:t>
      </w:r>
    </w:p>
    <w:p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تسهم الدراسة في إثراء الأدبيات العلمية المرتبطة </w:t>
      </w:r>
      <w:r w:rsidRPr="007C544A">
        <w:rPr>
          <w:rFonts w:ascii="Traditional Arabic" w:hAnsi="Traditional Arabic" w:cs="Traditional Arabic"/>
          <w:b/>
          <w:bCs/>
          <w:sz w:val="24"/>
          <w:szCs w:val="24"/>
          <w:rtl/>
          <w:lang w:bidi="ar-EG"/>
        </w:rPr>
        <w:t>باستراتيجية دمج الشركات والشركات العائلية والأسواق المالية</w:t>
      </w:r>
      <w:r w:rsidRPr="007C544A">
        <w:rPr>
          <w:rFonts w:ascii="Traditional Arabic" w:hAnsi="Traditional Arabic" w:cs="Traditional Arabic"/>
          <w:sz w:val="24"/>
          <w:szCs w:val="24"/>
          <w:rtl/>
          <w:lang w:bidi="ar-EG"/>
        </w:rPr>
        <w:t>، من خلال تناول العلاقة بين استراتيجية دمج الشركات ودخول الشركات العائلية إلى سوق النمو (السوق الموازية) في المملكة العربية السعودية</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تقدم الدراسة إطارًا تحليليًا يربط بين استراتيجية دمج الشركات ومجموعة من الأبعاد المرتبطة بدخول السوق المالية، والمتمثلة في </w:t>
      </w:r>
      <w:r w:rsidRPr="007C544A">
        <w:rPr>
          <w:rFonts w:ascii="Traditional Arabic" w:hAnsi="Traditional Arabic" w:cs="Traditional Arabic"/>
          <w:b/>
          <w:bCs/>
          <w:sz w:val="24"/>
          <w:szCs w:val="24"/>
          <w:rtl/>
          <w:lang w:bidi="ar-EG"/>
        </w:rPr>
        <w:t>الأداء المالي، ومتطلبات الحوكمة، والقدرة التنافسية، وفرص الحصول على التمويل</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تسهم الدراسة في توفير أدلة ميدانية حول أثر استراتيجية دمج الشركات في الشركات العائلية السعودية، بما يمكن أن يشكل أساسًا للدراسات المستقبلية التي تتناول الموضوع في بيئات اقتصادية وثقافية مختلفة</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يمثل الجمع بين </w:t>
      </w:r>
      <w:r w:rsidRPr="007C544A">
        <w:rPr>
          <w:rFonts w:ascii="Traditional Arabic" w:hAnsi="Traditional Arabic" w:cs="Traditional Arabic"/>
          <w:b/>
          <w:bCs/>
          <w:sz w:val="24"/>
          <w:szCs w:val="24"/>
          <w:rtl/>
          <w:lang w:bidi="ar-EG"/>
        </w:rPr>
        <w:t>المنهج الكمي من خلال الاستبانة والمنهج النوعي من خلال المقابلات المتعمقة</w:t>
      </w:r>
      <w:r w:rsidRPr="007C544A">
        <w:rPr>
          <w:rFonts w:ascii="Traditional Arabic" w:hAnsi="Traditional Arabic" w:cs="Traditional Arabic"/>
          <w:sz w:val="24"/>
          <w:szCs w:val="24"/>
          <w:rtl/>
          <w:lang w:bidi="ar-EG"/>
        </w:rPr>
        <w:t xml:space="preserve"> إسهامًا منهجيًا في دراسة موضوع دمج الشركات، حيث أتاحت المقابلات المتعمقة دعم وتفسير النتائج الكمية والاستفادة من الخبرات العملية للمتخصصين والممارسين</w:t>
      </w:r>
      <w:r w:rsidRPr="007C544A">
        <w:rPr>
          <w:rFonts w:ascii="Traditional Arabic" w:hAnsi="Traditional Arabic" w:cs="Traditional Arabic"/>
          <w:sz w:val="24"/>
          <w:szCs w:val="24"/>
          <w:lang w:bidi="ar-EG"/>
        </w:rPr>
        <w:t xml:space="preserve">. </w:t>
      </w:r>
    </w:p>
    <w:p w:rsidR="00BD674C" w:rsidRPr="007C544A" w:rsidRDefault="00BD674C" w:rsidP="00D53642">
      <w:pPr>
        <w:pStyle w:val="NormalWeb"/>
        <w:bidi/>
        <w:spacing w:line="276" w:lineRule="auto"/>
        <w:rPr>
          <w:rFonts w:ascii="Traditional Arabic" w:eastAsiaTheme="minorHAnsi" w:hAnsi="Traditional Arabic" w:cs="Traditional Arabic"/>
          <w:lang w:bidi="ar-EG"/>
        </w:rPr>
      </w:pPr>
      <w:r w:rsidRPr="007C544A">
        <w:rPr>
          <w:rFonts w:ascii="Traditional Arabic" w:eastAsiaTheme="minorHAnsi" w:hAnsi="Traditional Arabic" w:cs="Traditional Arabic"/>
          <w:b/>
          <w:bCs/>
          <w:rtl/>
          <w:lang w:bidi="ar-EG"/>
        </w:rPr>
        <w:t>ثانيًا- الإسهامات التطبيقية</w:t>
      </w:r>
      <w:r w:rsidRPr="007C544A">
        <w:rPr>
          <w:rFonts w:ascii="Traditional Arabic" w:eastAsiaTheme="minorHAnsi" w:hAnsi="Traditional Arabic" w:cs="Traditional Arabic"/>
          <w:b/>
          <w:bCs/>
          <w:lang w:bidi="ar-EG"/>
        </w:rPr>
        <w:t>:</w:t>
      </w:r>
    </w:p>
    <w:p w:rsidR="00BD674C" w:rsidRPr="007C544A" w:rsidRDefault="00BD674C" w:rsidP="002D00D3">
      <w:pPr>
        <w:numPr>
          <w:ilvl w:val="0"/>
          <w:numId w:val="72"/>
        </w:numPr>
        <w:bidi/>
        <w:spacing w:before="100" w:beforeAutospacing="1" w:after="100" w:afterAutospacing="1" w:line="276"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تقدم الدراسة مؤشرات يمكن أن تستفيد منها </w:t>
      </w:r>
      <w:r w:rsidRPr="007C544A">
        <w:rPr>
          <w:rFonts w:ascii="Traditional Arabic" w:hAnsi="Traditional Arabic" w:cs="Traditional Arabic"/>
          <w:b/>
          <w:bCs/>
          <w:sz w:val="24"/>
          <w:szCs w:val="24"/>
          <w:rtl/>
          <w:lang w:bidi="ar-EG"/>
        </w:rPr>
        <w:t>إدارات الشركات العائلية السعودية</w:t>
      </w:r>
      <w:r w:rsidRPr="007C544A">
        <w:rPr>
          <w:rFonts w:ascii="Traditional Arabic" w:hAnsi="Traditional Arabic" w:cs="Traditional Arabic"/>
          <w:sz w:val="24"/>
          <w:szCs w:val="24"/>
          <w:rtl/>
          <w:lang w:bidi="ar-EG"/>
        </w:rPr>
        <w:t xml:space="preserve"> عند تقييم استراتيجية دمج الشركات باعتبارها أحد الخيارات الاستراتيجية التي يمكن أن تسهم في تعزيز الأداء ودعم دخول السوق المالية</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تساعد نتائج الدراسة إدارات الشركات العائلية على التعرف على أهمية تحسين </w:t>
      </w:r>
      <w:r w:rsidRPr="007C544A">
        <w:rPr>
          <w:rFonts w:ascii="Traditional Arabic" w:hAnsi="Traditional Arabic" w:cs="Traditional Arabic"/>
          <w:b/>
          <w:bCs/>
          <w:sz w:val="24"/>
          <w:szCs w:val="24"/>
          <w:rtl/>
          <w:lang w:bidi="ar-EG"/>
        </w:rPr>
        <w:t>الأداء المالي والحوكمة والقدرة التنافسية وفرص الحصول على التمويل</w:t>
      </w:r>
      <w:r w:rsidRPr="007C544A">
        <w:rPr>
          <w:rFonts w:ascii="Traditional Arabic" w:hAnsi="Traditional Arabic" w:cs="Traditional Arabic"/>
          <w:sz w:val="24"/>
          <w:szCs w:val="24"/>
          <w:rtl/>
          <w:lang w:bidi="ar-EG"/>
        </w:rPr>
        <w:t xml:space="preserve"> في سياق التوجه نحو سوق النمو</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يمكن أن يستفيد </w:t>
      </w:r>
      <w:r w:rsidRPr="007C544A">
        <w:rPr>
          <w:rFonts w:ascii="Traditional Arabic" w:hAnsi="Traditional Arabic" w:cs="Traditional Arabic"/>
          <w:b/>
          <w:bCs/>
          <w:sz w:val="24"/>
          <w:szCs w:val="24"/>
          <w:rtl/>
          <w:lang w:bidi="ar-EG"/>
        </w:rPr>
        <w:t>المستثمرون والجهات ذات العلاقة بالسوق المالية</w:t>
      </w:r>
      <w:r w:rsidRPr="007C544A">
        <w:rPr>
          <w:rFonts w:ascii="Traditional Arabic" w:hAnsi="Traditional Arabic" w:cs="Traditional Arabic"/>
          <w:sz w:val="24"/>
          <w:szCs w:val="24"/>
          <w:rtl/>
          <w:lang w:bidi="ar-EG"/>
        </w:rPr>
        <w:t xml:space="preserve"> من نتائج الدراسة في فهم بعض العوامل المرتبطة بتوجه الشركات العائلية نحو الدمج ودخول سوق النمو</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تقدم الدراسة دلالات تطبيقية يمكن أن تساعد </w:t>
      </w:r>
      <w:r w:rsidRPr="007C544A">
        <w:rPr>
          <w:rFonts w:ascii="Traditional Arabic" w:hAnsi="Traditional Arabic" w:cs="Traditional Arabic"/>
          <w:b/>
          <w:bCs/>
          <w:sz w:val="24"/>
          <w:szCs w:val="24"/>
          <w:rtl/>
          <w:lang w:bidi="ar-EG"/>
        </w:rPr>
        <w:t>صناع القرار والجهات التنظيمية</w:t>
      </w:r>
      <w:r w:rsidRPr="007C544A">
        <w:rPr>
          <w:rFonts w:ascii="Traditional Arabic" w:hAnsi="Traditional Arabic" w:cs="Traditional Arabic"/>
          <w:sz w:val="24"/>
          <w:szCs w:val="24"/>
          <w:rtl/>
          <w:lang w:bidi="ar-EG"/>
        </w:rPr>
        <w:t xml:space="preserve"> في تطوير السياسات والممارسات التي تدعم الشركات العائلية الراغبة في الاستفادة من عمليات الدمج والتوسع ودخول السوق المالية</w:t>
      </w:r>
      <w:r w:rsidRPr="007C544A">
        <w:rPr>
          <w:rFonts w:ascii="Traditional Arabic" w:hAnsi="Traditional Arabic" w:cs="Traditional Arabic"/>
          <w:sz w:val="24"/>
          <w:szCs w:val="24"/>
          <w:lang w:bidi="ar-EG"/>
        </w:rPr>
        <w:t xml:space="preserve">. </w:t>
      </w:r>
    </w:p>
    <w:p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توفر نتائج المقابلات المتعمقة منظورًا عمليًا مكملًا للنتائج الإحصائية، بما يساعد على ربط النتائج العلمية </w:t>
      </w:r>
      <w:r w:rsidRPr="007C544A">
        <w:rPr>
          <w:rFonts w:ascii="Traditional Arabic" w:hAnsi="Traditional Arabic" w:cs="Traditional Arabic"/>
          <w:b/>
          <w:bCs/>
          <w:sz w:val="24"/>
          <w:szCs w:val="24"/>
          <w:rtl/>
          <w:lang w:bidi="ar-EG"/>
        </w:rPr>
        <w:t>بالواقع التطبيقي لعمليات دمج الشركات ودخول سوق النمو</w:t>
      </w:r>
      <w:r w:rsidRPr="007C544A">
        <w:rPr>
          <w:rFonts w:ascii="Traditional Arabic" w:hAnsi="Traditional Arabic" w:cs="Traditional Arabic"/>
          <w:sz w:val="24"/>
          <w:szCs w:val="24"/>
          <w:lang w:bidi="ar-EG"/>
        </w:rPr>
        <w:t>.</w:t>
      </w:r>
    </w:p>
    <w:p w:rsidR="005C1DB1" w:rsidRPr="007C544A" w:rsidRDefault="004C381B" w:rsidP="00D53642">
      <w:pPr>
        <w:bidi/>
        <w:spacing w:before="100" w:beforeAutospacing="1" w:after="100" w:afterAutospacing="1" w:line="240" w:lineRule="auto"/>
        <w:ind w:left="360"/>
        <w:rPr>
          <w:rFonts w:ascii="Traditional Arabic" w:hAnsi="Traditional Arabic" w:cs="Traditional Arabic"/>
          <w:sz w:val="24"/>
          <w:szCs w:val="24"/>
          <w:lang w:bidi="ar-EG"/>
        </w:rPr>
      </w:pPr>
      <w:r w:rsidRPr="007C544A">
        <w:rPr>
          <w:rFonts w:ascii="Traditional Arabic" w:hAnsi="Traditional Arabic" w:cs="Traditional Arabic"/>
          <w:b/>
          <w:bCs/>
          <w:sz w:val="28"/>
          <w:szCs w:val="28"/>
          <w:rtl/>
          <w:lang w:val="en-GB" w:eastAsia="en-GB"/>
        </w:rPr>
        <w:br w:type="page"/>
      </w:r>
      <w:r w:rsidR="00F55894" w:rsidRPr="007C544A">
        <w:rPr>
          <w:rFonts w:ascii="Traditional Arabic" w:hAnsi="Traditional Arabic" w:cs="Traditional Arabic"/>
          <w:b/>
          <w:bCs/>
          <w:sz w:val="28"/>
          <w:szCs w:val="28"/>
          <w:rtl/>
        </w:rPr>
        <w:lastRenderedPageBreak/>
        <w:t xml:space="preserve">خامساً- </w:t>
      </w:r>
      <w:r w:rsidR="005C1DB1" w:rsidRPr="007C544A">
        <w:rPr>
          <w:rFonts w:ascii="Traditional Arabic" w:hAnsi="Traditional Arabic" w:cs="Traditional Arabic"/>
          <w:b/>
          <w:bCs/>
          <w:sz w:val="28"/>
          <w:szCs w:val="28"/>
          <w:rtl/>
        </w:rPr>
        <w:t>الخاتمة</w:t>
      </w:r>
      <w:r w:rsidR="00775B4E" w:rsidRPr="007C544A">
        <w:rPr>
          <w:rFonts w:ascii="Traditional Arabic" w:hAnsi="Traditional Arabic" w:cs="Traditional Arabic"/>
          <w:b/>
          <w:bCs/>
          <w:sz w:val="28"/>
          <w:szCs w:val="28"/>
          <w:rtl/>
        </w:rPr>
        <w:t xml:space="preserve">: </w:t>
      </w:r>
    </w:p>
    <w:p w:rsidR="00BD674C" w:rsidRPr="007C544A" w:rsidRDefault="00BD674C" w:rsidP="00BD674C">
      <w:pPr>
        <w:pStyle w:val="pdq2pgselectionanchorcontainer"/>
        <w:bidi/>
        <w:spacing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في ختام هذه الدراسة، يتضح أن استراتيجية دمج الشركات تمثل خيارًا استراتيجيًا يمكن للشركات العائلية الاستفادة منه في دعم توجهها نحو دخول سوق النمو (السوق الموازية)، من خلال ما يمكن أن تسهم به في تحسين الأداء المالي، وتعزيز ممارسات الحوكمة، ورفع القدرة التنافسية، وتوسيع فرص الحصول على التمويل</w:t>
      </w:r>
      <w:r w:rsidRPr="007C544A">
        <w:rPr>
          <w:rFonts w:ascii="Traditional Arabic" w:eastAsiaTheme="minorHAnsi" w:hAnsi="Traditional Arabic" w:cs="Traditional Arabic"/>
          <w:lang w:bidi="ar-EG"/>
        </w:rPr>
        <w:t>.</w:t>
      </w:r>
    </w:p>
    <w:p w:rsidR="00BD674C" w:rsidRPr="007C544A" w:rsidRDefault="00BD674C" w:rsidP="00BD674C">
      <w:pPr>
        <w:pStyle w:val="NormalWeb"/>
        <w:bidi/>
        <w:spacing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وقد أظهرت نتائج الدراسة أن الاستفادة من استراتيجية الدمج لا تقتصر على الجوانب المالية والاقتصادية المباشرة، وإنما تمتد إلى دعم التطور المؤسسي للشركات العائلية وتعزيز قدرتها على التعامل مع متطلبات بيئة الأعمال والأسواق المالية. كما أظهرت نتائج المقابلات المتعمقة توافقًا مع النتائج الكمية، حيث أكد المشاركون أهمية الدمج في دعم الأداء المالي والحوكمة والقدرة التنافسية وفرص التمويل، بما يعزز قدرة الشركات العائلية على دخول سوق النمو</w:t>
      </w:r>
      <w:r w:rsidRPr="007C544A">
        <w:rPr>
          <w:rFonts w:ascii="Traditional Arabic" w:eastAsiaTheme="minorHAnsi" w:hAnsi="Traditional Arabic" w:cs="Traditional Arabic"/>
          <w:lang w:bidi="ar-EG"/>
        </w:rPr>
        <w:t>.</w:t>
      </w:r>
    </w:p>
    <w:p w:rsidR="00BD674C" w:rsidRPr="007C544A" w:rsidRDefault="00BD674C" w:rsidP="00BD674C">
      <w:pPr>
        <w:pStyle w:val="NormalWeb"/>
        <w:bidi/>
        <w:spacing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ومن هذا المنطلق، تؤكد الدراسة أهمية التعامل مع استراتيجية دمج الشركات وفق رؤية استراتيجية متكاملة تراعي الجوانب المالية والتنظيمية والإدارية، وتتناسب مع طبيعة الشركات العائلية ومتطلبات السوق المالية. كما تبرز أهمية الاستفادة من هذه الاستراتيجية في إطار الجهود الرامية إلى تطوير الشركات العائلية وتعزيز قدرتها على النمو والاستمرار والمنافسة</w:t>
      </w:r>
      <w:r w:rsidRPr="007C544A">
        <w:rPr>
          <w:rFonts w:ascii="Traditional Arabic" w:eastAsiaTheme="minorHAnsi" w:hAnsi="Traditional Arabic" w:cs="Traditional Arabic"/>
          <w:lang w:bidi="ar-EG"/>
        </w:rPr>
        <w:t>.</w:t>
      </w:r>
    </w:p>
    <w:p w:rsidR="00BD674C" w:rsidRPr="007C544A" w:rsidRDefault="00BD674C" w:rsidP="00BD674C">
      <w:pPr>
        <w:pStyle w:val="NormalWeb"/>
        <w:bidi/>
        <w:spacing w:line="360" w:lineRule="auto"/>
        <w:ind w:firstLine="720"/>
        <w:jc w:val="both"/>
      </w:pPr>
      <w:r w:rsidRPr="007C544A">
        <w:rPr>
          <w:rFonts w:ascii="Traditional Arabic" w:eastAsiaTheme="minorHAnsi" w:hAnsi="Traditional Arabic" w:cs="Traditional Arabic"/>
          <w:rtl/>
          <w:lang w:bidi="ar-EG"/>
        </w:rPr>
        <w:t>وفي ضوء ذلك، تأمل الدراسة أن تسهم نتائجها في إثراء الأدبيات العلمية والتطبيقية المتعلقة بدمج الشركات العائلية ودخول الأسواق المالية، وأن تمثل أساسًا يمكن البناء عليه في تطوير الممارسات الإدارية والمالية ذات الصلة، وفي إجراء دراسات مستقبلية تتناول الموضوع في سياقات وقطاعات وتصميمات بحثية أكثر تنوعًا</w:t>
      </w:r>
      <w:r w:rsidRPr="007C544A">
        <w:t>.</w:t>
      </w:r>
    </w:p>
    <w:p w:rsidR="005D2824" w:rsidRPr="007C544A" w:rsidRDefault="005D2824" w:rsidP="00706522">
      <w:pPr>
        <w:pStyle w:val="a"/>
        <w:shd w:val="clear" w:color="auto" w:fill="FFFFFF" w:themeFill="background1"/>
        <w:spacing w:line="360" w:lineRule="auto"/>
        <w:rPr>
          <w:rFonts w:cs="Simplified Arabic"/>
          <w:sz w:val="40"/>
          <w:szCs w:val="40"/>
          <w:rtl/>
        </w:rPr>
        <w:sectPr w:rsidR="005D2824" w:rsidRPr="007C544A" w:rsidSect="00D67740">
          <w:headerReference w:type="default" r:id="rId22"/>
          <w:headerReference w:type="first" r:id="rId23"/>
          <w:pgSz w:w="11906" w:h="16838" w:code="9"/>
          <w:pgMar w:top="1440" w:right="1800" w:bottom="1440" w:left="1800" w:header="720" w:footer="720" w:gutter="0"/>
          <w:pgNumType w:fmt="numberInDash"/>
          <w:cols w:space="720"/>
          <w:titlePg/>
          <w:docGrid w:linePitch="360"/>
        </w:sectPr>
      </w:pPr>
    </w:p>
    <w:p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lastRenderedPageBreak/>
        <w:t>قائمة المصادر والمراجع</w:t>
      </w:r>
    </w:p>
    <w:p w:rsidR="00D67830"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0"/>
          <w:szCs w:val="30"/>
          <w:rtl/>
        </w:rPr>
      </w:pPr>
      <w:r w:rsidRPr="007C544A">
        <w:rPr>
          <w:rFonts w:ascii="Traditional Arabic" w:hAnsi="Traditional Arabic" w:cs="Traditional Arabic"/>
          <w:b/>
          <w:bCs/>
          <w:sz w:val="30"/>
          <w:szCs w:val="30"/>
          <w:rtl/>
        </w:rPr>
        <w:t>أولاً</w:t>
      </w:r>
      <w:r w:rsidR="00D67830" w:rsidRPr="007C544A">
        <w:rPr>
          <w:rFonts w:ascii="Traditional Arabic" w:hAnsi="Traditional Arabic" w:cs="Traditional Arabic"/>
          <w:b/>
          <w:bCs/>
          <w:sz w:val="30"/>
          <w:szCs w:val="30"/>
          <w:rtl/>
        </w:rPr>
        <w:t xml:space="preserve">- المراجع العربية. </w:t>
      </w:r>
    </w:p>
    <w:p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أولًا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الكتب</w:t>
      </w:r>
    </w:p>
    <w:p w:rsidR="008221C0" w:rsidRPr="007C544A" w:rsidRDefault="008221C0" w:rsidP="002D00D3">
      <w:pPr>
        <w:numPr>
          <w:ilvl w:val="0"/>
          <w:numId w:val="74"/>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حماد، أحمد عبد العزيز</w:t>
      </w:r>
      <w:r w:rsidRPr="007C544A">
        <w:rPr>
          <w:rFonts w:ascii="Traditional Arabic" w:hAnsi="Traditional Arabic" w:cs="Traditional Arabic"/>
          <w:sz w:val="24"/>
          <w:szCs w:val="24"/>
        </w:rPr>
        <w:t xml:space="preserve">. (1996). </w:t>
      </w:r>
      <w:r w:rsidRPr="007C544A">
        <w:rPr>
          <w:rFonts w:ascii="Traditional Arabic" w:hAnsi="Traditional Arabic" w:cs="Traditional Arabic"/>
          <w:i/>
          <w:iCs/>
          <w:sz w:val="24"/>
          <w:szCs w:val="24"/>
          <w:rtl/>
        </w:rPr>
        <w:t>اندماج الشركات وأثره على المساهمين والدائنين</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دار النهضة العربية</w:t>
      </w:r>
      <w:r w:rsidRPr="007C544A">
        <w:rPr>
          <w:rFonts w:ascii="Traditional Arabic" w:hAnsi="Traditional Arabic" w:cs="Traditional Arabic"/>
          <w:sz w:val="24"/>
          <w:szCs w:val="24"/>
        </w:rPr>
        <w:t xml:space="preserve">. </w:t>
      </w:r>
    </w:p>
    <w:p w:rsidR="008221C0" w:rsidRPr="007C544A" w:rsidRDefault="008221C0" w:rsidP="002D00D3">
      <w:pPr>
        <w:numPr>
          <w:ilvl w:val="0"/>
          <w:numId w:val="74"/>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النعيمي، صلاح عبد القادر</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الاستراتيجية والإدارة الاستراتيجية: نظرة تحليلية وعلاقات تكاملية للمفاهيم والمصطلحات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ط. 1). دار اليازوري العلمية للنشر والتوزيع</w:t>
      </w:r>
      <w:r w:rsidRPr="007C544A">
        <w:rPr>
          <w:rFonts w:ascii="Traditional Arabic" w:hAnsi="Traditional Arabic" w:cs="Traditional Arabic"/>
          <w:sz w:val="24"/>
          <w:szCs w:val="24"/>
        </w:rPr>
        <w:t xml:space="preserve">. </w:t>
      </w:r>
    </w:p>
    <w:p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ثانيًا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الرسائل</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الجامعية</w:t>
      </w:r>
    </w:p>
    <w:p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أبو زينة، أحمد عبد الوهاب</w:t>
      </w:r>
      <w:r w:rsidRPr="007C544A">
        <w:rPr>
          <w:rFonts w:ascii="Traditional Arabic" w:hAnsi="Traditional Arabic" w:cs="Traditional Arabic"/>
          <w:sz w:val="24"/>
          <w:szCs w:val="24"/>
        </w:rPr>
        <w:t xml:space="preserve">. (2013). </w:t>
      </w:r>
      <w:r w:rsidRPr="007C544A">
        <w:rPr>
          <w:rFonts w:ascii="Traditional Arabic" w:hAnsi="Traditional Arabic" w:cs="Traditional Arabic"/>
          <w:i/>
          <w:iCs/>
          <w:sz w:val="24"/>
          <w:szCs w:val="24"/>
          <w:rtl/>
        </w:rPr>
        <w:t>الإطار القانوني لاندماج الشركات التجارية: دراسة مقارنة بين القانون الفلسطيني، الأردني، والمصري</w:t>
      </w:r>
      <w:r w:rsidRPr="007C544A">
        <w:rPr>
          <w:rFonts w:ascii="Traditional Arabic" w:hAnsi="Traditional Arabic" w:cs="Traditional Arabic"/>
          <w:sz w:val="24"/>
          <w:szCs w:val="24"/>
          <w:rtl/>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رسالة دكتوراه، كلية الحقوق، جامعة القاهرة</w:t>
      </w:r>
      <w:r w:rsidRPr="007C544A">
        <w:rPr>
          <w:rFonts w:ascii="Traditional Arabic" w:hAnsi="Traditional Arabic" w:cs="Traditional Arabic" w:hint="cs"/>
          <w:sz w:val="24"/>
          <w:szCs w:val="24"/>
          <w:rtl/>
        </w:rPr>
        <w:t>)</w:t>
      </w:r>
    </w:p>
    <w:p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السقا، مها محسن</w:t>
      </w:r>
      <w:r w:rsidRPr="007C544A">
        <w:rPr>
          <w:rFonts w:ascii="Traditional Arabic" w:hAnsi="Traditional Arabic" w:cs="Traditional Arabic"/>
          <w:sz w:val="24"/>
          <w:szCs w:val="24"/>
        </w:rPr>
        <w:t xml:space="preserve">. (2024). </w:t>
      </w:r>
      <w:r w:rsidRPr="007C544A">
        <w:rPr>
          <w:rFonts w:ascii="Traditional Arabic" w:hAnsi="Traditional Arabic" w:cs="Traditional Arabic"/>
          <w:i/>
          <w:iCs/>
          <w:sz w:val="24"/>
          <w:szCs w:val="24"/>
          <w:rtl/>
        </w:rPr>
        <w:t>أثر الاندماج على عقود الشركات الاندماجية والمنبثق</w:t>
      </w:r>
      <w:r w:rsidRPr="007C544A">
        <w:rPr>
          <w:rFonts w:ascii="Traditional Arabic" w:hAnsi="Traditional Arabic" w:cs="Traditional Arabic"/>
          <w:sz w:val="24"/>
          <w:szCs w:val="24"/>
          <w:rtl/>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رسالة دكتوراه، كلية الحقوق، جامعة المملكة، البحرين</w:t>
      </w:r>
      <w:r w:rsidRPr="007C544A">
        <w:rPr>
          <w:rFonts w:ascii="Traditional Arabic" w:hAnsi="Traditional Arabic" w:cs="Traditional Arabic" w:hint="cs"/>
          <w:sz w:val="24"/>
          <w:szCs w:val="24"/>
          <w:rtl/>
        </w:rPr>
        <w:t>)</w:t>
      </w:r>
    </w:p>
    <w:p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الطراونة، روان جميل إبراهيم</w:t>
      </w:r>
      <w:r w:rsidRPr="007C544A">
        <w:rPr>
          <w:rFonts w:ascii="Traditional Arabic" w:hAnsi="Traditional Arabic" w:cs="Traditional Arabic"/>
          <w:sz w:val="24"/>
          <w:szCs w:val="24"/>
        </w:rPr>
        <w:t xml:space="preserve">. (2020). </w:t>
      </w:r>
      <w:r w:rsidRPr="007C544A">
        <w:rPr>
          <w:rFonts w:ascii="Traditional Arabic" w:hAnsi="Traditional Arabic" w:cs="Traditional Arabic"/>
          <w:i/>
          <w:iCs/>
          <w:sz w:val="24"/>
          <w:szCs w:val="24"/>
          <w:rtl/>
        </w:rPr>
        <w:t>أثر الاندماج على القيمة السوقية للشركة: حالة الشركات المدرجة في بورصة عمان</w:t>
      </w:r>
      <w:r w:rsidRPr="007C544A">
        <w:rPr>
          <w:rFonts w:ascii="Traditional Arabic" w:hAnsi="Traditional Arabic" w:cs="Traditional Arabic"/>
          <w:sz w:val="24"/>
          <w:szCs w:val="24"/>
          <w:rtl/>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رسالة ماجستير، جامعة مؤتة</w:t>
      </w:r>
      <w:r w:rsidRPr="007C544A">
        <w:rPr>
          <w:rFonts w:ascii="Traditional Arabic" w:hAnsi="Traditional Arabic" w:cs="Traditional Arabic" w:hint="cs"/>
          <w:sz w:val="24"/>
          <w:szCs w:val="24"/>
          <w:rtl/>
        </w:rPr>
        <w:t>)</w:t>
      </w:r>
    </w:p>
    <w:p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عياد، محمد زياد خالد</w:t>
      </w:r>
      <w:r w:rsidRPr="007C544A">
        <w:rPr>
          <w:rFonts w:ascii="Traditional Arabic" w:hAnsi="Traditional Arabic" w:cs="Traditional Arabic"/>
          <w:sz w:val="24"/>
          <w:szCs w:val="24"/>
        </w:rPr>
        <w:t xml:space="preserve">. (2016). </w:t>
      </w:r>
      <w:r w:rsidRPr="007C544A">
        <w:rPr>
          <w:rFonts w:ascii="Traditional Arabic" w:hAnsi="Traditional Arabic" w:cs="Traditional Arabic"/>
          <w:i/>
          <w:iCs/>
          <w:sz w:val="24"/>
          <w:szCs w:val="24"/>
          <w:rtl/>
        </w:rPr>
        <w:t>المعالجة التشريعية لآثار اندماج الشركات: دراسة تحليلية مقارنة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رسالة ماجستير، قسم القانون الخاص، كلية الحقوق، جامعة الأزهر – غزة</w:t>
      </w:r>
      <w:r w:rsidRPr="007C544A">
        <w:rPr>
          <w:rFonts w:ascii="Traditional Arabic" w:hAnsi="Traditional Arabic" w:cs="Traditional Arabic"/>
          <w:sz w:val="24"/>
          <w:szCs w:val="24"/>
        </w:rPr>
        <w:t xml:space="preserve">]. </w:t>
      </w:r>
    </w:p>
    <w:p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غوار، وفاء</w:t>
      </w:r>
      <w:r w:rsidRPr="007C544A">
        <w:rPr>
          <w:rFonts w:ascii="Traditional Arabic" w:hAnsi="Traditional Arabic" w:cs="Traditional Arabic"/>
          <w:sz w:val="24"/>
          <w:szCs w:val="24"/>
        </w:rPr>
        <w:t xml:space="preserve">. (2017). </w:t>
      </w:r>
      <w:r w:rsidRPr="007C544A">
        <w:rPr>
          <w:rFonts w:ascii="Traditional Arabic" w:hAnsi="Traditional Arabic" w:cs="Traditional Arabic"/>
          <w:i/>
          <w:iCs/>
          <w:sz w:val="24"/>
          <w:szCs w:val="24"/>
          <w:rtl/>
        </w:rPr>
        <w:t>أهمية الاندماج البنكي في رفع القدرة التنافسية للبنوك: دراسة حالة اندماج البنك التجاري المغربي مع بنك الوفاء خلال الفترة</w:t>
      </w:r>
      <w:r w:rsidRPr="007C544A">
        <w:rPr>
          <w:rFonts w:ascii="Traditional Arabic" w:hAnsi="Traditional Arabic" w:cs="Traditional Arabic"/>
          <w:i/>
          <w:iCs/>
          <w:sz w:val="24"/>
          <w:szCs w:val="24"/>
        </w:rPr>
        <w:t xml:space="preserve"> (2001–2007)</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رسالة ماجستير، كلية العلوم الاقتصادية والعلوم التجارية وعلوم التسيير، جامعة العربي بن مهيدي، أم البواقي، الجزائر</w:t>
      </w:r>
      <w:r w:rsidRPr="007C544A">
        <w:rPr>
          <w:rFonts w:ascii="Traditional Arabic" w:hAnsi="Traditional Arabic" w:cs="Traditional Arabic"/>
          <w:sz w:val="24"/>
          <w:szCs w:val="24"/>
        </w:rPr>
        <w:t xml:space="preserve">]. </w:t>
      </w:r>
    </w:p>
    <w:p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المطيري، فهد بن حسين حامد</w:t>
      </w:r>
      <w:r w:rsidRPr="007C544A">
        <w:rPr>
          <w:rFonts w:ascii="Traditional Arabic" w:hAnsi="Traditional Arabic" w:cs="Traditional Arabic"/>
          <w:sz w:val="24"/>
          <w:szCs w:val="24"/>
        </w:rPr>
        <w:t xml:space="preserve">. (2012). </w:t>
      </w:r>
      <w:r w:rsidRPr="007C544A">
        <w:rPr>
          <w:rFonts w:ascii="Traditional Arabic" w:hAnsi="Traditional Arabic" w:cs="Traditional Arabic"/>
          <w:i/>
          <w:iCs/>
          <w:sz w:val="24"/>
          <w:szCs w:val="24"/>
          <w:rtl/>
        </w:rPr>
        <w:t>النظام القانوني لحماية المنافسة ومنع الممارسات الاحتكارية وأثرها على حماية المستهلك</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رسالة ماجستير، الأكاديمية العربية للعلوم والتكنولوجيا والنقل البحري، معهد النقل الدولي واللوجستيات، القاهرة</w:t>
      </w:r>
      <w:r w:rsidRPr="007C544A">
        <w:rPr>
          <w:rFonts w:ascii="Traditional Arabic" w:hAnsi="Traditional Arabic" w:cs="Traditional Arabic"/>
          <w:sz w:val="24"/>
          <w:szCs w:val="24"/>
        </w:rPr>
        <w:t xml:space="preserve">]. </w:t>
      </w:r>
    </w:p>
    <w:p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المومني، أحمد حسن عبد الرحمن</w:t>
      </w:r>
      <w:r w:rsidRPr="007C544A">
        <w:rPr>
          <w:rFonts w:ascii="Traditional Arabic" w:hAnsi="Traditional Arabic" w:cs="Traditional Arabic"/>
          <w:sz w:val="24"/>
          <w:szCs w:val="24"/>
        </w:rPr>
        <w:t xml:space="preserve">. (2021). </w:t>
      </w:r>
      <w:r w:rsidRPr="007C544A">
        <w:rPr>
          <w:rFonts w:ascii="Traditional Arabic" w:hAnsi="Traditional Arabic" w:cs="Traditional Arabic"/>
          <w:i/>
          <w:iCs/>
          <w:sz w:val="24"/>
          <w:szCs w:val="24"/>
          <w:rtl/>
        </w:rPr>
        <w:t>اندماج الشركات في الفقه الإسلامي: دراسة مقارنة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رسالة دكتوراه، جامعة مؤتة، كلية الشريعة، قسم الفقه وأصوله</w:t>
      </w:r>
      <w:r w:rsidRPr="007C544A">
        <w:rPr>
          <w:rFonts w:ascii="Traditional Arabic" w:hAnsi="Traditional Arabic" w:cs="Traditional Arabic"/>
          <w:sz w:val="24"/>
          <w:szCs w:val="24"/>
        </w:rPr>
        <w:t xml:space="preserve">]. </w:t>
      </w:r>
    </w:p>
    <w:p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ثالثًا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الأبحاث</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العلمية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المنشورة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في</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الدوريات</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والمجلات</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إسماعيل، أحمد عبد الله. (2018). اندماج الشركات كخيار استراتيجي في بيئة الاقتصاد المعاصر</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البحوث الإدارية، 40</w:t>
      </w:r>
      <w:r w:rsidRPr="007C544A">
        <w:rPr>
          <w:rFonts w:ascii="Traditional Arabic" w:hAnsi="Traditional Arabic" w:cs="Traditional Arabic"/>
          <w:sz w:val="24"/>
          <w:szCs w:val="24"/>
        </w:rPr>
        <w:t>(3)</w:t>
      </w:r>
      <w:r w:rsidRPr="007C544A">
        <w:rPr>
          <w:rFonts w:ascii="Traditional Arabic" w:hAnsi="Traditional Arabic" w:cs="Traditional Arabic"/>
          <w:sz w:val="24"/>
          <w:szCs w:val="24"/>
          <w:rtl/>
        </w:rPr>
        <w:t>، 45</w:t>
      </w:r>
      <w:r w:rsidRPr="007C544A">
        <w:rPr>
          <w:rFonts w:ascii="Traditional Arabic" w:hAnsi="Traditional Arabic" w:cs="Traditional Arabic" w:hint="cs"/>
          <w:sz w:val="24"/>
          <w:szCs w:val="24"/>
          <w:rtl/>
        </w:rPr>
        <w:t>-67</w:t>
      </w:r>
      <w:r w:rsidRPr="007C544A">
        <w:rPr>
          <w:rFonts w:ascii="Traditional Arabic" w:hAnsi="Traditional Arabic" w:cs="Traditional Arabic"/>
          <w:sz w:val="24"/>
          <w:szCs w:val="24"/>
        </w:rPr>
        <w:t xml:space="preserve"> </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البدالي، نجوى إبراهيم. (2021). الآثار القانونية لاندماج الشركات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الحقوق والعلوم السياسية، 34</w:t>
      </w:r>
      <w:r w:rsidRPr="007C544A">
        <w:rPr>
          <w:rFonts w:ascii="Traditional Arabic" w:hAnsi="Traditional Arabic" w:cs="Traditional Arabic"/>
          <w:sz w:val="24"/>
          <w:szCs w:val="24"/>
        </w:rPr>
        <w:t xml:space="preserve">(2). </w:t>
      </w:r>
      <w:r w:rsidRPr="007C544A">
        <w:rPr>
          <w:rFonts w:ascii="Traditional Arabic" w:hAnsi="Traditional Arabic" w:cs="Traditional Arabic"/>
          <w:sz w:val="24"/>
          <w:szCs w:val="24"/>
          <w:rtl/>
        </w:rPr>
        <w:t>دار جامعة الملك سعود للنشر</w:t>
      </w:r>
      <w:r w:rsidRPr="007C544A">
        <w:rPr>
          <w:rFonts w:ascii="Traditional Arabic" w:hAnsi="Traditional Arabic" w:cs="Traditional Arabic"/>
          <w:sz w:val="24"/>
          <w:szCs w:val="24"/>
        </w:rPr>
        <w:t xml:space="preserve">. </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توفيق، مبروك عطية مبروك. (2024). 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للإدارة، 44</w:t>
      </w:r>
      <w:r w:rsidRPr="007C544A">
        <w:rPr>
          <w:rFonts w:ascii="Traditional Arabic" w:hAnsi="Traditional Arabic" w:cs="Traditional Arabic"/>
          <w:sz w:val="24"/>
          <w:szCs w:val="24"/>
        </w:rPr>
        <w:t>(4)</w:t>
      </w:r>
      <w:r w:rsidRPr="007C544A">
        <w:rPr>
          <w:rFonts w:ascii="Traditional Arabic" w:hAnsi="Traditional Arabic" w:cs="Traditional Arabic"/>
          <w:sz w:val="24"/>
          <w:szCs w:val="24"/>
          <w:rtl/>
        </w:rPr>
        <w:t>، 69</w:t>
      </w:r>
      <w:r w:rsidRPr="007C544A">
        <w:rPr>
          <w:rFonts w:ascii="Traditional Arabic" w:hAnsi="Traditional Arabic" w:cs="Traditional Arabic"/>
          <w:sz w:val="24"/>
          <w:szCs w:val="24"/>
        </w:rPr>
        <w:t xml:space="preserve">–108. </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حسن، محمد جمال عبدالناصر رجب. (2021). العلاقة بين أنشطة المسؤولية والأداء المالي لمنظمات الأعمال: دراسة نظرية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الدراسات المالية والتجارية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82</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Pr>
        <w:t xml:space="preserve">142 </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الخصاونة، محمد سعود دخيل. (2024). الضوابط القانونية لاندماج الشركات وتحولها في ضوء نظام الشركات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الدراسات القانونية والاقتصادية، 10</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325</w:t>
      </w:r>
      <w:r w:rsidRPr="007C544A">
        <w:rPr>
          <w:rFonts w:ascii="Traditional Arabic" w:hAnsi="Traditional Arabic" w:cs="Traditional Arabic"/>
          <w:sz w:val="24"/>
          <w:szCs w:val="24"/>
        </w:rPr>
        <w:t xml:space="preserve">354- </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الحاج، محاسن علي خليل. (2017). دور الحوكمة في استمرار ونجاح الشركات العائلية: دراسة تطبيقية على الشركات العائلية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المحاسبة والتدقيق والحوكمة، 2</w:t>
      </w:r>
      <w:r w:rsidRPr="007C544A">
        <w:rPr>
          <w:rFonts w:ascii="Traditional Arabic" w:hAnsi="Traditional Arabic" w:cs="Traditional Arabic"/>
          <w:sz w:val="24"/>
          <w:szCs w:val="24"/>
        </w:rPr>
        <w:t>(4)</w:t>
      </w:r>
      <w:r w:rsidRPr="007C544A">
        <w:rPr>
          <w:rFonts w:ascii="Traditional Arabic" w:hAnsi="Traditional Arabic" w:cs="Traditional Arabic"/>
          <w:sz w:val="24"/>
          <w:szCs w:val="24"/>
          <w:rtl/>
        </w:rPr>
        <w:t>، 35</w:t>
      </w:r>
      <w:r w:rsidRPr="007C544A">
        <w:rPr>
          <w:rFonts w:ascii="Traditional Arabic" w:hAnsi="Traditional Arabic" w:cs="Traditional Arabic"/>
          <w:sz w:val="24"/>
          <w:szCs w:val="24"/>
        </w:rPr>
        <w:t>63-</w:t>
      </w:r>
      <w:r w:rsidRPr="007C544A">
        <w:rPr>
          <w:rFonts w:ascii="Traditional Arabic" w:hAnsi="Traditional Arabic" w:cs="Traditional Arabic" w:hint="cs"/>
          <w:sz w:val="24"/>
          <w:szCs w:val="24"/>
          <w:rtl/>
        </w:rPr>
        <w:t>.</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حمود، رونق، وقرامز، فطيمة الزهراء. (2023). دور صناديق الاستثمار المسؤولة اجتماعيًا في دمج الممارسات المسؤولة بالشركات: إشارة إلى حالة مجموعة من الدول الأوروبية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البحوث الاقتصادية والمالية، 10</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91</w:t>
      </w:r>
      <w:r w:rsidRPr="007C544A">
        <w:rPr>
          <w:rFonts w:ascii="Traditional Arabic" w:hAnsi="Traditional Arabic" w:cs="Traditional Arabic"/>
          <w:sz w:val="24"/>
          <w:szCs w:val="24"/>
        </w:rPr>
        <w:t>1</w:t>
      </w:r>
      <w:r w:rsidRPr="007C544A">
        <w:rPr>
          <w:rFonts w:ascii="Traditional Arabic" w:hAnsi="Traditional Arabic" w:cs="Traditional Arabic" w:hint="cs"/>
          <w:sz w:val="24"/>
          <w:szCs w:val="24"/>
          <w:rtl/>
        </w:rPr>
        <w:t>-115</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الحربي، حمود. (2022). دور السوق الموازية في تنمية الاقتصاد الوطني: دراسة تحليلية مقارنة بين السوق الرئيسية والسوق الموازية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الدراسات الاقتصادية والإدارية، 10</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145</w:t>
      </w:r>
      <w:r w:rsidRPr="007C544A">
        <w:rPr>
          <w:rFonts w:ascii="Traditional Arabic" w:hAnsi="Traditional Arabic" w:cs="Traditional Arabic" w:hint="cs"/>
          <w:sz w:val="24"/>
          <w:szCs w:val="24"/>
          <w:rtl/>
        </w:rPr>
        <w:t>-170</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الرويس، خالد بن عبد العزيز. (2017). اندماج الشركات في إجراءات تحققه ونتائج وقوعه وفق النظام التجاري السعودي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جامعة الملك سعود: الحقوق والعلوم السياسية، 29</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193</w:t>
      </w:r>
      <w:r w:rsidRPr="007C544A">
        <w:rPr>
          <w:rFonts w:ascii="Traditional Arabic" w:hAnsi="Traditional Arabic" w:cs="Traditional Arabic" w:hint="cs"/>
          <w:sz w:val="24"/>
          <w:szCs w:val="24"/>
          <w:rtl/>
        </w:rPr>
        <w:t>-258</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السليمان، أحمد محمد. (2022). دور استراتيجية الدمج في تعزيز القدرة التنافسية للشركات الصغيرة والمتوسطة في السوق الموازية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للإدارة والاقتصاد، 42</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155</w:t>
      </w:r>
      <w:r w:rsidR="00A916E0" w:rsidRPr="007C544A">
        <w:rPr>
          <w:rFonts w:ascii="Traditional Arabic" w:hAnsi="Traditional Arabic" w:cs="Traditional Arabic" w:hint="cs"/>
          <w:sz w:val="24"/>
          <w:szCs w:val="24"/>
          <w:rtl/>
        </w:rPr>
        <w:t>-178</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الشحادات، محمد قاسم، ولافي، محمد زكريا. (2024). أثر حوكمة الشركات على الأداء المالي للشركات الصغيرة والمتوسطة: دراسة حالة الشركات الأردنية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مجلات البحث العلمي، جامعة مؤتة</w:t>
      </w:r>
      <w:r w:rsidRPr="007C544A">
        <w:rPr>
          <w:rFonts w:ascii="Traditional Arabic" w:hAnsi="Traditional Arabic" w:cs="Traditional Arabic"/>
          <w:sz w:val="24"/>
          <w:szCs w:val="24"/>
        </w:rPr>
        <w:t xml:space="preserve">. </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الشريف، منى عبد الله. (2022). إدارة التغيير التنظيمي في سياق اندماج الشركات: دراسة ميدانية على الشركات السعودية المدرجة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السعودية للإدارة، 45</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91</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-116</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العامري، فهد سعود. (2020). أثر اندماج الشركات المساهمة في السوق المالية السعودية على أدائها المالي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جامعة الملك سعود: العلوم الإدارية، 27</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139</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-166</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عبد الرحمن، أحمد. (2021). تقييم الأصول والالتزامات في صفقات دمج الشركات: دراسة تطبيقية على السوق السعودي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للمحاسبة والتمويل، 12</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133</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-157</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عبد الرحمن، مازن محمد. (2020). استراتيجيات إعادة الهيكلة في الشركات المساهمة: دراسة تطبيقية على سوق المال السعودي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للعلوم الإدارية، 27</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155</w:t>
      </w:r>
      <w:r w:rsidR="00A916E0" w:rsidRPr="007C544A">
        <w:rPr>
          <w:rFonts w:ascii="Traditional Arabic" w:hAnsi="Traditional Arabic" w:cs="Traditional Arabic" w:hint="cs"/>
          <w:sz w:val="24"/>
          <w:szCs w:val="24"/>
          <w:rtl/>
        </w:rPr>
        <w:t>-180</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عبد الفتاح، سيد عبد الفتاح سيد. (2020). نموذج محاسبي مقترح لقياس أثر جودة الأصول على الربحية: دراسة تطبيقية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الإسكندرية للبحوث المحاسبية، 4</w:t>
      </w:r>
      <w:r w:rsidRPr="007C544A">
        <w:rPr>
          <w:rFonts w:ascii="Traditional Arabic" w:hAnsi="Traditional Arabic" w:cs="Traditional Arabic"/>
          <w:sz w:val="24"/>
          <w:szCs w:val="24"/>
        </w:rPr>
        <w:t>(3)</w:t>
      </w:r>
      <w:r w:rsidRPr="007C544A">
        <w:rPr>
          <w:rFonts w:ascii="Traditional Arabic" w:hAnsi="Traditional Arabic" w:cs="Traditional Arabic"/>
          <w:sz w:val="24"/>
          <w:szCs w:val="24"/>
          <w:rtl/>
        </w:rPr>
        <w:t>، 1</w:t>
      </w:r>
      <w:r w:rsidR="00A916E0" w:rsidRPr="007C544A">
        <w:rPr>
          <w:rFonts w:ascii="Traditional Arabic" w:hAnsi="Traditional Arabic" w:cs="Traditional Arabic" w:hint="cs"/>
          <w:sz w:val="24"/>
          <w:szCs w:val="24"/>
          <w:rtl/>
        </w:rPr>
        <w:t>-39</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الغامدي، خالد محمد. (2021). الدمج والاستحواذات كمدخل استراتيجي لدخول السوق المالية السعودية «نمو</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للإدارة والاقتصاد، 41</w:t>
      </w:r>
      <w:r w:rsidRPr="007C544A">
        <w:rPr>
          <w:rFonts w:ascii="Traditional Arabic" w:hAnsi="Traditional Arabic" w:cs="Traditional Arabic"/>
          <w:sz w:val="24"/>
          <w:szCs w:val="24"/>
        </w:rPr>
        <w:t>(3)</w:t>
      </w:r>
      <w:r w:rsidRPr="007C544A">
        <w:rPr>
          <w:rFonts w:ascii="Traditional Arabic" w:hAnsi="Traditional Arabic" w:cs="Traditional Arabic"/>
          <w:sz w:val="24"/>
          <w:szCs w:val="24"/>
          <w:rtl/>
        </w:rPr>
        <w:t>، 125</w:t>
      </w:r>
      <w:r w:rsidR="00A916E0" w:rsidRPr="007C544A">
        <w:rPr>
          <w:rFonts w:ascii="Traditional Arabic" w:hAnsi="Traditional Arabic" w:cs="Traditional Arabic" w:hint="cs"/>
          <w:sz w:val="24"/>
          <w:szCs w:val="24"/>
          <w:rtl/>
        </w:rPr>
        <w:t>-148</w:t>
      </w:r>
      <w:r w:rsidRPr="007C544A">
        <w:rPr>
          <w:rFonts w:ascii="Traditional Arabic" w:hAnsi="Traditional Arabic" w:cs="Traditional Arabic"/>
          <w:sz w:val="24"/>
          <w:szCs w:val="24"/>
        </w:rPr>
        <w:t xml:space="preserve"> </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كولال، أمينة، وغول، فرحات. (2023). أسباب الانتقال من التخطيط الاستراتيجي إلى الإدارة الاستراتيجية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الإدارة والتنمية للبحوث والدراسات، 12</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556</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578</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المقدم، مصطفى صلاح محمد، والعزمي، عبدالله أسامة منصور. (2024). أثر تطبيق أبعاد الحوكمة على أداء الشركات العائلية بالمملكة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المعهد العالي للدراسات النوعية، 4</w:t>
      </w:r>
      <w:r w:rsidRPr="007C544A">
        <w:rPr>
          <w:rFonts w:ascii="Traditional Arabic" w:hAnsi="Traditional Arabic" w:cs="Traditional Arabic"/>
          <w:sz w:val="24"/>
          <w:szCs w:val="24"/>
        </w:rPr>
        <w:t>(4)</w:t>
      </w:r>
      <w:r w:rsidRPr="007C544A">
        <w:rPr>
          <w:rFonts w:ascii="Traditional Arabic" w:hAnsi="Traditional Arabic" w:cs="Traditional Arabic"/>
          <w:sz w:val="24"/>
          <w:szCs w:val="24"/>
          <w:rtl/>
        </w:rPr>
        <w:t>، 1235</w:t>
      </w:r>
      <w:r w:rsidRPr="007C544A">
        <w:rPr>
          <w:rFonts w:ascii="Traditional Arabic" w:hAnsi="Traditional Arabic" w:cs="Traditional Arabic"/>
          <w:sz w:val="24"/>
          <w:szCs w:val="24"/>
        </w:rPr>
        <w:t xml:space="preserve">– </w:t>
      </w:r>
      <w:r w:rsidR="00A916E0" w:rsidRPr="007C544A">
        <w:rPr>
          <w:rFonts w:ascii="Traditional Arabic" w:hAnsi="Traditional Arabic" w:cs="Traditional Arabic" w:hint="cs"/>
          <w:sz w:val="24"/>
          <w:szCs w:val="24"/>
          <w:rtl/>
        </w:rPr>
        <w:t xml:space="preserve"> </w:t>
      </w:r>
      <w:r w:rsidR="00A916E0" w:rsidRPr="007C544A">
        <w:rPr>
          <w:rFonts w:ascii="Traditional Arabic" w:hAnsi="Traditional Arabic" w:cs="Traditional Arabic"/>
          <w:sz w:val="24"/>
          <w:szCs w:val="24"/>
        </w:rPr>
        <w:t>1287</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فتوح، عبد العزيز أحمد. (2020). اندماج الشركات</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المال والتجارة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(610)</w:t>
      </w:r>
    </w:p>
    <w:p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مؤسسة المفوض الملكي بالمحاكم الإدارية. (2019). اندماج شركات المساهمة كآلية للتركيز الاقتصادي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القانون والأعمال الدولية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 xml:space="preserve">(25). </w:t>
      </w:r>
    </w:p>
    <w:p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رابعًا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المقالات</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والإعلانات</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والمواد</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المنشورة</w:t>
      </w:r>
    </w:p>
    <w:p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إعلان شركة أسمنت المنطقة الجنوبية عن آخر التطورات بشأن مذكرة التفاهم غير الملزمة مع شركة أسمنت ينبع</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شركة تداول السعودية</w:t>
      </w:r>
      <w:r w:rsidRPr="007C544A">
        <w:rPr>
          <w:rFonts w:ascii="Traditional Arabic" w:hAnsi="Traditional Arabic" w:cs="Traditional Arabic"/>
          <w:sz w:val="24"/>
          <w:szCs w:val="24"/>
        </w:rPr>
        <w:t xml:space="preserve">. </w:t>
      </w:r>
    </w:p>
    <w:p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البنك المركزي السعودي</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Pr>
        <w:t>Saudi Central Bank Governor Honors "Walaa Cooperative Insurance"</w:t>
      </w:r>
      <w:r w:rsidRPr="007C544A">
        <w:rPr>
          <w:rFonts w:ascii="Traditional Arabic" w:hAnsi="Traditional Arabic" w:cs="Traditional Arabic"/>
          <w:sz w:val="24"/>
          <w:szCs w:val="24"/>
        </w:rPr>
        <w:t xml:space="preserve">. </w:t>
      </w:r>
    </w:p>
    <w:p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w:t>
      </w:r>
      <w:r w:rsidRPr="007C544A">
        <w:rPr>
          <w:rFonts w:ascii="Traditional Arabic" w:hAnsi="Traditional Arabic" w:cs="Traditional Arabic"/>
          <w:sz w:val="24"/>
          <w:szCs w:val="24"/>
        </w:rPr>
        <w:t xml:space="preserve">. (2020). </w:t>
      </w:r>
      <w:r w:rsidRPr="007C544A">
        <w:rPr>
          <w:rFonts w:ascii="Traditional Arabic" w:hAnsi="Traditional Arabic" w:cs="Traditional Arabic"/>
          <w:i/>
          <w:iCs/>
          <w:sz w:val="24"/>
          <w:szCs w:val="24"/>
          <w:rtl/>
        </w:rPr>
        <w:t>تعميم مساهمي شركة الأهلية للتأمين التعاوني بشأن صفقة الاندماج مع شركة اتحاد الخليج للتأمين التعاوني</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w:t>
      </w:r>
    </w:p>
    <w:p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 السعودية</w:t>
      </w:r>
      <w:r w:rsidRPr="007C544A">
        <w:rPr>
          <w:rFonts w:ascii="Traditional Arabic" w:hAnsi="Traditional Arabic" w:cs="Traditional Arabic"/>
          <w:sz w:val="24"/>
          <w:szCs w:val="24"/>
        </w:rPr>
        <w:t xml:space="preserve">. (2026). </w:t>
      </w:r>
      <w:r w:rsidRPr="007C544A">
        <w:rPr>
          <w:rFonts w:ascii="Traditional Arabic" w:hAnsi="Traditional Arabic" w:cs="Traditional Arabic"/>
          <w:i/>
          <w:iCs/>
          <w:sz w:val="24"/>
          <w:szCs w:val="24"/>
          <w:rtl/>
        </w:rPr>
        <w:t>الاندماج</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ثمين – المصطلحات المالية</w:t>
      </w:r>
      <w:r w:rsidRPr="007C544A">
        <w:rPr>
          <w:rFonts w:ascii="Traditional Arabic" w:hAnsi="Traditional Arabic" w:cs="Traditional Arabic"/>
          <w:sz w:val="24"/>
          <w:szCs w:val="24"/>
        </w:rPr>
        <w:t xml:space="preserve">. </w:t>
      </w:r>
    </w:p>
    <w:p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خامسًا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التقارير</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والوثائق</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الرسمية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والأنظمة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والأدلة</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البنك المركزي السعودي</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تقرير الاستقرار المالي 2022</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البنك المركزي السعودي</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التقرير الإحصائي السنوي لعام 2024م</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شركة تداول السعودية</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(2026). </w:t>
      </w:r>
      <w:r w:rsidRPr="007C544A">
        <w:rPr>
          <w:rFonts w:ascii="Traditional Arabic" w:hAnsi="Traditional Arabic" w:cs="Traditional Arabic"/>
          <w:i/>
          <w:iCs/>
          <w:sz w:val="24"/>
          <w:szCs w:val="24"/>
          <w:rtl/>
        </w:rPr>
        <w:t>نمو – السوق الموازية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(2026). </w:t>
      </w:r>
      <w:r w:rsidRPr="007C544A">
        <w:rPr>
          <w:rFonts w:ascii="Traditional Arabic" w:hAnsi="Traditional Arabic" w:cs="Traditional Arabic"/>
          <w:i/>
          <w:iCs/>
          <w:sz w:val="24"/>
          <w:szCs w:val="24"/>
          <w:rtl/>
        </w:rPr>
        <w:t>نمو – السوق الموازية: متطلبات الإدراج والطرح</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نظام الشركات</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وزارة التجارة</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وزارة التجارة</w:t>
      </w:r>
      <w:r w:rsidRPr="007C544A">
        <w:rPr>
          <w:rFonts w:ascii="Traditional Arabic" w:hAnsi="Traditional Arabic" w:cs="Traditional Arabic"/>
          <w:sz w:val="24"/>
          <w:szCs w:val="24"/>
        </w:rPr>
        <w:t xml:space="preserve">. (2015). </w:t>
      </w:r>
      <w:r w:rsidRPr="007C544A">
        <w:rPr>
          <w:rFonts w:ascii="Traditional Arabic" w:hAnsi="Traditional Arabic" w:cs="Traditional Arabic"/>
          <w:i/>
          <w:iCs/>
          <w:sz w:val="24"/>
          <w:szCs w:val="24"/>
          <w:rtl/>
        </w:rPr>
        <w:t>نظام الشركات السعودي (المرسوم الملكي رقم م/3 بتاريخ 28/1/1437هـ)</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وزارة التجارة، الرياض</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وزارة التجارة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نظام الشركات الجديد ولائحته التنفيذية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وزارة التجارة، الرياض</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 السعودية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اللائحة التنظيمية لاندماج الشركات المدرجة في السوق المالية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الرياض</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 السعودية</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تقرير السوق المالية السنوي 2023</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الرياض</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العامة للمنافسة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تقرير سنوي حول صفقات الدمج والاستحواذ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الرياض</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العامة للمنافسة</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قرار الهيئة بشأن عدم الموافقة على طلب التركز الاقتصادي بين شركتي مياه الهدا وبيور أكوا</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الرياض</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العامة للمنافسة</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الدليل الإرشادي لفحص التركز الاقتصادي</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السعودية للمراجعين والمحاسبين</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الدليل الإرشادي لتقييم المنشآت في سياق عمليات الدمج والاستحواذ</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الرياض</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المركز الوطني للمنشآت العائلية</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بيانات ودراسة المنشآت العائلية في المملكة العربية السعودية</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منشآت</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دراسة واقع الحوكمة وإدارة النمو في المنشآت الصغيرة والمتوسطة في المملكة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العامة للمنشآت الصغيرة والمتوسطة، الرياض</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رؤية السعودية 2030</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التقرير السنوي لرؤية السعودية 2030</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صندوق التنمية الصناعية السعودي</w:t>
      </w:r>
      <w:r w:rsidRPr="007C544A">
        <w:rPr>
          <w:rFonts w:ascii="Traditional Arabic" w:hAnsi="Traditional Arabic" w:cs="Traditional Arabic"/>
          <w:sz w:val="24"/>
          <w:szCs w:val="24"/>
        </w:rPr>
        <w:t xml:space="preserve">. (2024). </w:t>
      </w:r>
      <w:r w:rsidRPr="007C544A">
        <w:rPr>
          <w:rFonts w:ascii="Traditional Arabic" w:hAnsi="Traditional Arabic" w:cs="Traditional Arabic"/>
          <w:i/>
          <w:iCs/>
          <w:sz w:val="24"/>
          <w:szCs w:val="24"/>
          <w:rtl/>
        </w:rPr>
        <w:t>التقرير السنوي 2024</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w:t>
      </w:r>
    </w:p>
    <w:p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شركة ولاء للتأمين التعاوني</w:t>
      </w:r>
      <w:r w:rsidRPr="007C544A">
        <w:rPr>
          <w:rFonts w:ascii="Traditional Arabic" w:hAnsi="Traditional Arabic" w:cs="Traditional Arabic"/>
          <w:sz w:val="24"/>
          <w:szCs w:val="24"/>
        </w:rPr>
        <w:t xml:space="preserve">. (2024). </w:t>
      </w:r>
      <w:r w:rsidRPr="007C544A">
        <w:rPr>
          <w:rFonts w:ascii="Traditional Arabic" w:hAnsi="Traditional Arabic" w:cs="Traditional Arabic"/>
          <w:i/>
          <w:iCs/>
          <w:sz w:val="24"/>
          <w:szCs w:val="24"/>
          <w:rtl/>
        </w:rPr>
        <w:t>التقرير السنوي لعام 2024</w:t>
      </w:r>
      <w:r w:rsidRPr="007C544A">
        <w:rPr>
          <w:rFonts w:ascii="Traditional Arabic" w:hAnsi="Traditional Arabic" w:cs="Traditional Arabic"/>
          <w:sz w:val="24"/>
          <w:szCs w:val="24"/>
        </w:rPr>
        <w:t>.</w:t>
      </w:r>
    </w:p>
    <w:p w:rsidR="00250EEB" w:rsidRPr="007C544A" w:rsidRDefault="00250EEB" w:rsidP="00250EEB">
      <w:pPr>
        <w:bidi/>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ثانيًا: المراجع الأجنبية</w:t>
      </w:r>
      <w:r w:rsidRPr="007C544A">
        <w:rPr>
          <w:rFonts w:ascii="Traditional Arabic" w:hAnsi="Traditional Arabic" w:cs="Traditional Arabic" w:hint="cs"/>
          <w:b/>
          <w:bCs/>
          <w:sz w:val="24"/>
          <w:szCs w:val="24"/>
          <w:rtl/>
        </w:rPr>
        <w:t>:</w:t>
      </w:r>
    </w:p>
    <w:p w:rsidR="00A916E0" w:rsidRPr="007C544A" w:rsidRDefault="00A916E0" w:rsidP="00A916E0">
      <w:pPr>
        <w:pStyle w:val="Heading2"/>
        <w:rPr>
          <w:rFonts w:ascii="Traditional Arabic" w:eastAsiaTheme="minorHAnsi" w:hAnsi="Traditional Arabic" w:cs="Traditional Arabic"/>
          <w:b w:val="0"/>
          <w:bCs w:val="0"/>
          <w:lang w:bidi="ar-SA"/>
        </w:rPr>
      </w:pPr>
      <w:r w:rsidRPr="007C544A">
        <w:rPr>
          <w:rFonts w:ascii="Traditional Arabic" w:eastAsiaTheme="minorHAnsi" w:hAnsi="Traditional Arabic" w:cs="Traditional Arabic"/>
          <w:b w:val="0"/>
          <w:bCs w:val="0"/>
        </w:rPr>
        <w:t>Book</w:t>
      </w:r>
    </w:p>
    <w:p w:rsidR="00A916E0" w:rsidRPr="007C544A" w:rsidRDefault="00A916E0" w:rsidP="002D00D3">
      <w:pPr>
        <w:pStyle w:val="ListParagraph"/>
        <w:numPr>
          <w:ilvl w:val="0"/>
          <w:numId w:val="83"/>
        </w:numPr>
        <w:spacing w:before="100" w:beforeAutospacing="1" w:after="100" w:afterAutospacing="1"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Brigham, E. F., &amp; Ehrhardt, M. C. (2017). </w:t>
      </w:r>
      <w:r w:rsidRPr="007C544A">
        <w:rPr>
          <w:rFonts w:ascii="Traditional Arabic" w:hAnsi="Traditional Arabic" w:cs="Traditional Arabic"/>
          <w:i/>
          <w:iCs/>
          <w:sz w:val="24"/>
          <w:szCs w:val="24"/>
        </w:rPr>
        <w:t>Financial management: Theory &amp; practice</w:t>
      </w:r>
      <w:r w:rsidRPr="007C544A">
        <w:rPr>
          <w:rFonts w:ascii="Traditional Arabic" w:hAnsi="Traditional Arabic" w:cs="Traditional Arabic"/>
          <w:sz w:val="24"/>
          <w:szCs w:val="24"/>
        </w:rPr>
        <w:t xml:space="preserve">. Cengage Learning. </w:t>
      </w:r>
    </w:p>
    <w:p w:rsidR="00A916E0" w:rsidRPr="007C544A" w:rsidRDefault="00A916E0" w:rsidP="002D00D3">
      <w:pPr>
        <w:pStyle w:val="ListParagraph"/>
        <w:numPr>
          <w:ilvl w:val="0"/>
          <w:numId w:val="83"/>
        </w:numPr>
        <w:spacing w:before="100" w:beforeAutospacing="1" w:after="100" w:afterAutospacing="1"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Bruner, R. F. (2021). </w:t>
      </w:r>
      <w:r w:rsidRPr="007C544A">
        <w:rPr>
          <w:rFonts w:ascii="Traditional Arabic" w:hAnsi="Traditional Arabic" w:cs="Traditional Arabic"/>
          <w:i/>
          <w:iCs/>
          <w:sz w:val="24"/>
          <w:szCs w:val="24"/>
        </w:rPr>
        <w:t>Applied mergers and acquisitions</w:t>
      </w:r>
      <w:r w:rsidRPr="007C544A">
        <w:rPr>
          <w:rFonts w:ascii="Traditional Arabic" w:hAnsi="Traditional Arabic" w:cs="Traditional Arabic"/>
          <w:sz w:val="24"/>
          <w:szCs w:val="24"/>
        </w:rPr>
        <w:t xml:space="preserve">. Wiley Finance Series. </w:t>
      </w:r>
    </w:p>
    <w:p w:rsidR="00A916E0" w:rsidRPr="007C544A" w:rsidRDefault="00A916E0" w:rsidP="002D00D3">
      <w:pPr>
        <w:pStyle w:val="ListParagraph"/>
        <w:numPr>
          <w:ilvl w:val="0"/>
          <w:numId w:val="83"/>
        </w:numPr>
        <w:spacing w:before="100" w:beforeAutospacing="1" w:after="100" w:afterAutospacing="1"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David, F. R., &amp; David, F. R. (2023). </w:t>
      </w:r>
      <w:r w:rsidRPr="007C544A">
        <w:rPr>
          <w:rFonts w:ascii="Traditional Arabic" w:hAnsi="Traditional Arabic" w:cs="Traditional Arabic"/>
          <w:i/>
          <w:iCs/>
          <w:sz w:val="24"/>
          <w:szCs w:val="24"/>
        </w:rPr>
        <w:t>Strategic management: A competitive advantage approach, concepts and cases</w:t>
      </w:r>
      <w:r w:rsidRPr="007C544A">
        <w:rPr>
          <w:rFonts w:ascii="Traditional Arabic" w:hAnsi="Traditional Arabic" w:cs="Traditional Arabic"/>
          <w:sz w:val="24"/>
          <w:szCs w:val="24"/>
        </w:rPr>
        <w:t xml:space="preserve"> (18th ed.). Pearson Education. </w:t>
      </w:r>
    </w:p>
    <w:p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lastRenderedPageBreak/>
        <w:t xml:space="preserve">DePamphilis, D. (2021). </w:t>
      </w:r>
      <w:r w:rsidRPr="007C544A">
        <w:rPr>
          <w:rFonts w:ascii="Traditional Arabic" w:hAnsi="Traditional Arabic" w:cs="Traditional Arabic"/>
          <w:i/>
          <w:iCs/>
          <w:sz w:val="24"/>
          <w:szCs w:val="24"/>
        </w:rPr>
        <w:t>Mergers, acquisitions, and other restructuring activities</w:t>
      </w:r>
      <w:r w:rsidRPr="007C544A">
        <w:rPr>
          <w:rFonts w:ascii="Traditional Arabic" w:hAnsi="Traditional Arabic" w:cs="Traditional Arabic"/>
          <w:sz w:val="24"/>
          <w:szCs w:val="24"/>
        </w:rPr>
        <w:t xml:space="preserve"> (11th ed.). Academic Press. </w:t>
      </w:r>
    </w:p>
    <w:p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Gaughan, P. A. (2017). </w:t>
      </w:r>
      <w:r w:rsidRPr="007C544A">
        <w:rPr>
          <w:rFonts w:ascii="Traditional Arabic" w:hAnsi="Traditional Arabic" w:cs="Traditional Arabic"/>
          <w:i/>
          <w:iCs/>
          <w:sz w:val="24"/>
          <w:szCs w:val="24"/>
        </w:rPr>
        <w:t>Mergers, acquisitions, and corporate restructurings</w:t>
      </w:r>
      <w:r w:rsidRPr="007C544A">
        <w:rPr>
          <w:rFonts w:ascii="Traditional Arabic" w:hAnsi="Traditional Arabic" w:cs="Traditional Arabic"/>
          <w:sz w:val="24"/>
          <w:szCs w:val="24"/>
        </w:rPr>
        <w:t xml:space="preserve"> (6th ed.). Wiley. </w:t>
      </w:r>
    </w:p>
    <w:p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Gaughan, P. A. (2018). </w:t>
      </w:r>
      <w:r w:rsidRPr="007C544A">
        <w:rPr>
          <w:rFonts w:ascii="Traditional Arabic" w:hAnsi="Traditional Arabic" w:cs="Traditional Arabic"/>
          <w:i/>
          <w:iCs/>
          <w:sz w:val="24"/>
          <w:szCs w:val="24"/>
        </w:rPr>
        <w:t>Mergers, acquisitions, and corporate restructurings</w:t>
      </w:r>
      <w:r w:rsidRPr="007C544A">
        <w:rPr>
          <w:rFonts w:ascii="Traditional Arabic" w:hAnsi="Traditional Arabic" w:cs="Traditional Arabic"/>
          <w:sz w:val="24"/>
          <w:szCs w:val="24"/>
        </w:rPr>
        <w:t xml:space="preserve"> (7th ed.). John Wiley &amp; Sons. </w:t>
      </w:r>
    </w:p>
    <w:p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Hill, C. W., Jones, G. R., &amp; Schilling, M. A. (2020). </w:t>
      </w:r>
      <w:r w:rsidRPr="007C544A">
        <w:rPr>
          <w:rFonts w:ascii="Traditional Arabic" w:hAnsi="Traditional Arabic" w:cs="Traditional Arabic"/>
          <w:i/>
          <w:iCs/>
          <w:sz w:val="24"/>
          <w:szCs w:val="24"/>
        </w:rPr>
        <w:t>Strategic management: Theory: An integrated approach</w:t>
      </w:r>
      <w:r w:rsidRPr="007C544A">
        <w:rPr>
          <w:rFonts w:ascii="Traditional Arabic" w:hAnsi="Traditional Arabic" w:cs="Traditional Arabic"/>
          <w:sz w:val="24"/>
          <w:szCs w:val="24"/>
        </w:rPr>
        <w:t xml:space="preserve"> (13th ed.). Cengage Learning. </w:t>
      </w:r>
    </w:p>
    <w:p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Weston, J. F., Mitchell, M. L., &amp; Mulherin, J. H. (2020). </w:t>
      </w:r>
      <w:r w:rsidRPr="007C544A">
        <w:rPr>
          <w:rFonts w:ascii="Traditional Arabic" w:hAnsi="Traditional Arabic" w:cs="Traditional Arabic"/>
          <w:i/>
          <w:iCs/>
          <w:sz w:val="24"/>
          <w:szCs w:val="24"/>
        </w:rPr>
        <w:t>Takeovers, restructuring, and corporate governance</w:t>
      </w:r>
      <w:r w:rsidRPr="007C544A">
        <w:rPr>
          <w:rFonts w:ascii="Traditional Arabic" w:hAnsi="Traditional Arabic" w:cs="Traditional Arabic"/>
          <w:sz w:val="24"/>
          <w:szCs w:val="24"/>
        </w:rPr>
        <w:t xml:space="preserve"> (5th ed.). Pearson. </w:t>
      </w:r>
    </w:p>
    <w:p w:rsidR="00A916E0" w:rsidRPr="007C544A" w:rsidRDefault="00A916E0" w:rsidP="00A916E0">
      <w:pPr>
        <w:pStyle w:val="Heading3"/>
        <w:jc w:val="both"/>
        <w:rPr>
          <w:rFonts w:ascii="Traditional Arabic" w:eastAsiaTheme="minorHAnsi" w:hAnsi="Traditional Arabic" w:cs="Traditional Arabic"/>
          <w:color w:val="auto"/>
          <w:lang w:bidi="ar-SA"/>
        </w:rPr>
      </w:pPr>
      <w:r w:rsidRPr="007C544A">
        <w:rPr>
          <w:rFonts w:ascii="Traditional Arabic" w:eastAsiaTheme="minorHAnsi" w:hAnsi="Traditional Arabic" w:cs="Traditional Arabic"/>
          <w:color w:val="auto"/>
          <w:lang w:bidi="ar-SA"/>
        </w:rPr>
        <w:t>Second: Scientific Research Published in Academic Journals</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Agyemang, M., et al. (2023). Service system innovation and firm competitiveness in an emerging market: The role of corporate governance system. </w:t>
      </w:r>
      <w:r w:rsidRPr="007C544A">
        <w:rPr>
          <w:rFonts w:ascii="Traditional Arabic" w:hAnsi="Traditional Arabic" w:cs="Traditional Arabic"/>
          <w:i/>
          <w:iCs/>
          <w:sz w:val="24"/>
          <w:szCs w:val="24"/>
        </w:rPr>
        <w:t>Cogent Business &amp; Management</w:t>
      </w:r>
      <w:r w:rsidRPr="007C544A">
        <w:rPr>
          <w:rFonts w:ascii="Traditional Arabic" w:hAnsi="Traditional Arabic" w:cs="Traditional Arabic"/>
          <w:sz w:val="24"/>
          <w:szCs w:val="24"/>
        </w:rPr>
        <w:t xml:space="preserve">.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Al-Shehab, Q. M., &amp; Al-Omran, A. A. (2024). The impact of capital structure on performance in SMEs: The Saudi parallel financial market. </w:t>
      </w:r>
      <w:r w:rsidRPr="007C544A">
        <w:rPr>
          <w:rFonts w:ascii="Traditional Arabic" w:hAnsi="Traditional Arabic" w:cs="Traditional Arabic"/>
          <w:i/>
          <w:iCs/>
          <w:sz w:val="24"/>
          <w:szCs w:val="24"/>
        </w:rPr>
        <w:t>Journal of King Faisal University, 25</w:t>
      </w:r>
      <w:r w:rsidRPr="007C544A">
        <w:rPr>
          <w:rFonts w:ascii="Traditional Arabic" w:hAnsi="Traditional Arabic" w:cs="Traditional Arabic"/>
          <w:sz w:val="24"/>
          <w:szCs w:val="24"/>
        </w:rPr>
        <w:t xml:space="preserve">(2), 50–57.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Astrachan, J. H., Klein, S. B., &amp; Smyrnios, K. X. (2002). The F-PEC scale of family influence: A proposal for solving the family business definition problem. </w:t>
      </w:r>
      <w:r w:rsidRPr="007C544A">
        <w:rPr>
          <w:rFonts w:ascii="Traditional Arabic" w:hAnsi="Traditional Arabic" w:cs="Traditional Arabic"/>
          <w:i/>
          <w:iCs/>
          <w:sz w:val="24"/>
          <w:szCs w:val="24"/>
        </w:rPr>
        <w:t>Family Business Review, 15</w:t>
      </w:r>
      <w:r w:rsidRPr="007C544A">
        <w:rPr>
          <w:rFonts w:ascii="Traditional Arabic" w:hAnsi="Traditional Arabic" w:cs="Traditional Arabic"/>
          <w:sz w:val="24"/>
          <w:szCs w:val="24"/>
        </w:rPr>
        <w:t xml:space="preserve">(1), 45–58.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Burns, J., &amp; Scapens, R. (2020). Organizational change and resistance in post-merger integration: Managing employee expectations. </w:t>
      </w:r>
      <w:r w:rsidRPr="007C544A">
        <w:rPr>
          <w:rFonts w:ascii="Traditional Arabic" w:hAnsi="Traditional Arabic" w:cs="Traditional Arabic"/>
          <w:i/>
          <w:iCs/>
          <w:sz w:val="24"/>
          <w:szCs w:val="24"/>
        </w:rPr>
        <w:t>Journal of Organizational Change Management, 33</w:t>
      </w:r>
      <w:r w:rsidRPr="007C544A">
        <w:rPr>
          <w:rFonts w:ascii="Traditional Arabic" w:hAnsi="Traditional Arabic" w:cs="Traditional Arabic"/>
          <w:sz w:val="24"/>
          <w:szCs w:val="24"/>
        </w:rPr>
        <w:t xml:space="preserve">(4), 567–584.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Delen, D., Kuzey, C., &amp; Uyar, A. (2013). Measuring firm performance using financial ratios: A decision tree approach. </w:t>
      </w:r>
      <w:r w:rsidRPr="007C544A">
        <w:rPr>
          <w:rFonts w:ascii="Traditional Arabic" w:hAnsi="Traditional Arabic" w:cs="Traditional Arabic"/>
          <w:i/>
          <w:iCs/>
          <w:sz w:val="24"/>
          <w:szCs w:val="24"/>
        </w:rPr>
        <w:t>Expert Systems with Applications, 40</w:t>
      </w:r>
      <w:r w:rsidRPr="007C544A">
        <w:rPr>
          <w:rFonts w:ascii="Traditional Arabic" w:hAnsi="Traditional Arabic" w:cs="Traditional Arabic"/>
          <w:sz w:val="24"/>
          <w:szCs w:val="24"/>
        </w:rPr>
        <w:t xml:space="preserve">(10), 3970–3983.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Duarte Alonso, A., Kok, S., &amp; O’Shea, M. (2018). Family businesses and adaptation: A dynamic capabilities approach. </w:t>
      </w:r>
      <w:r w:rsidRPr="007C544A">
        <w:rPr>
          <w:rFonts w:ascii="Traditional Arabic" w:hAnsi="Traditional Arabic" w:cs="Traditional Arabic"/>
          <w:i/>
          <w:iCs/>
          <w:sz w:val="24"/>
          <w:szCs w:val="24"/>
        </w:rPr>
        <w:t>Journal of Family and Economic Issues, 39</w:t>
      </w:r>
      <w:r w:rsidRPr="007C544A">
        <w:rPr>
          <w:rFonts w:ascii="Traditional Arabic" w:hAnsi="Traditional Arabic" w:cs="Traditional Arabic"/>
          <w:sz w:val="24"/>
          <w:szCs w:val="24"/>
        </w:rPr>
        <w:t xml:space="preserve">, 683–698.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Hassan, M. K. (2023). Does corporate diversification retrench the effects of firm-level political risk? </w:t>
      </w:r>
      <w:r w:rsidRPr="007C544A">
        <w:rPr>
          <w:rFonts w:ascii="Traditional Arabic" w:hAnsi="Traditional Arabic" w:cs="Traditional Arabic"/>
          <w:i/>
          <w:iCs/>
          <w:sz w:val="24"/>
          <w:szCs w:val="24"/>
        </w:rPr>
        <w:t>Financial Review, 58</w:t>
      </w:r>
      <w:r w:rsidRPr="007C544A">
        <w:rPr>
          <w:rFonts w:ascii="Traditional Arabic" w:hAnsi="Traditional Arabic" w:cs="Traditional Arabic"/>
          <w:sz w:val="24"/>
          <w:szCs w:val="24"/>
        </w:rPr>
        <w:t xml:space="preserve">(4), 663–702.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Kalsie, A., &amp; Singh, N. (2023). Deal size and synergy gains: A case of Indian M&amp;A. </w:t>
      </w:r>
      <w:r w:rsidRPr="007C544A">
        <w:rPr>
          <w:rFonts w:ascii="Traditional Arabic" w:hAnsi="Traditional Arabic" w:cs="Traditional Arabic"/>
          <w:i/>
          <w:iCs/>
          <w:sz w:val="24"/>
          <w:szCs w:val="24"/>
        </w:rPr>
        <w:t>Vikalpa: The Journal for Decision Makers, 48</w:t>
      </w:r>
      <w:r w:rsidRPr="007C544A">
        <w:rPr>
          <w:rFonts w:ascii="Traditional Arabic" w:hAnsi="Traditional Arabic" w:cs="Traditional Arabic"/>
          <w:sz w:val="24"/>
          <w:szCs w:val="24"/>
        </w:rPr>
        <w:t xml:space="preserve">(4), 255–268.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Lam, Y. M., Fung, K. W. J., &amp; Lee, C. Y. C. (2026). The winner’s curse reloaded: How public subscription affects IPO first-day returns on Hong Kong’s Growth Enterprise Market. </w:t>
      </w:r>
      <w:r w:rsidRPr="007C544A">
        <w:rPr>
          <w:rFonts w:ascii="Traditional Arabic" w:hAnsi="Traditional Arabic" w:cs="Traditional Arabic"/>
          <w:i/>
          <w:iCs/>
          <w:sz w:val="24"/>
          <w:szCs w:val="24"/>
        </w:rPr>
        <w:t>Finance, 14</w:t>
      </w:r>
      <w:r w:rsidRPr="007C544A">
        <w:rPr>
          <w:rFonts w:ascii="Traditional Arabic" w:hAnsi="Traditional Arabic" w:cs="Traditional Arabic"/>
          <w:sz w:val="24"/>
          <w:szCs w:val="24"/>
        </w:rPr>
        <w:t xml:space="preserve">(6), Article 158.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lastRenderedPageBreak/>
        <w:t xml:space="preserve">Nguyen, T., Chaiechi, T., Eagle, L., &amp; Low, D. (2020). Growth enterprise market in Hong Kong: Efficiency evolution and long memory in return and volatility. </w:t>
      </w:r>
      <w:r w:rsidRPr="007C544A">
        <w:rPr>
          <w:rFonts w:ascii="Traditional Arabic" w:hAnsi="Traditional Arabic" w:cs="Traditional Arabic"/>
          <w:i/>
          <w:iCs/>
          <w:sz w:val="24"/>
          <w:szCs w:val="24"/>
        </w:rPr>
        <w:t>Journal of Asian Business and Economic Studies, 27</w:t>
      </w:r>
      <w:r w:rsidRPr="007C544A">
        <w:rPr>
          <w:rFonts w:ascii="Traditional Arabic" w:hAnsi="Traditional Arabic" w:cs="Traditional Arabic"/>
          <w:sz w:val="24"/>
          <w:szCs w:val="24"/>
        </w:rPr>
        <w:t xml:space="preserve">(1), 19–34.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Rain, M. N., &amp; Khawaja, M. J. (2023). Some factors affecting the financial performance of small and medium enterprises (SMEs) in the Kingdom of Saudi Arabia. </w:t>
      </w:r>
      <w:r w:rsidRPr="007C544A">
        <w:rPr>
          <w:rFonts w:ascii="Traditional Arabic" w:hAnsi="Traditional Arabic" w:cs="Traditional Arabic"/>
          <w:i/>
          <w:iCs/>
          <w:sz w:val="24"/>
          <w:szCs w:val="24"/>
        </w:rPr>
        <w:t>Global Journal of Economics and Business, 13</w:t>
      </w:r>
      <w:r w:rsidRPr="007C544A">
        <w:rPr>
          <w:rFonts w:ascii="Traditional Arabic" w:hAnsi="Traditional Arabic" w:cs="Traditional Arabic"/>
          <w:sz w:val="24"/>
          <w:szCs w:val="24"/>
        </w:rPr>
        <w:t xml:space="preserve">(3), 285–296.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Saad, S. M., &amp; Khamkham, M. A. (2018). Development of an integrated quality management conceptual framework for manufacturing organisations. </w:t>
      </w:r>
      <w:r w:rsidRPr="007C544A">
        <w:rPr>
          <w:rFonts w:ascii="Traditional Arabic" w:hAnsi="Traditional Arabic" w:cs="Traditional Arabic"/>
          <w:i/>
          <w:iCs/>
          <w:sz w:val="24"/>
          <w:szCs w:val="24"/>
        </w:rPr>
        <w:t>Procedia Manufacturing, 17</w:t>
      </w:r>
      <w:r w:rsidRPr="007C544A">
        <w:rPr>
          <w:rFonts w:ascii="Traditional Arabic" w:hAnsi="Traditional Arabic" w:cs="Traditional Arabic"/>
          <w:sz w:val="24"/>
          <w:szCs w:val="24"/>
        </w:rPr>
        <w:t xml:space="preserve">, 587–594.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Suryaningrum, D. H., Abdul Rahman, A. A., Meero, A., &amp; Cakranegara, P. A. (2023). Mergers and acquisitions: Does performance depend on managerial ability? </w:t>
      </w:r>
      <w:r w:rsidRPr="007C544A">
        <w:rPr>
          <w:rFonts w:ascii="Traditional Arabic" w:hAnsi="Traditional Arabic" w:cs="Traditional Arabic"/>
          <w:i/>
          <w:iCs/>
          <w:sz w:val="24"/>
          <w:szCs w:val="24"/>
        </w:rPr>
        <w:t>Journal of Innovation and Entrepreneurship, 12</w:t>
      </w:r>
      <w:r w:rsidRPr="007C544A">
        <w:rPr>
          <w:rFonts w:ascii="Traditional Arabic" w:hAnsi="Traditional Arabic" w:cs="Traditional Arabic"/>
          <w:sz w:val="24"/>
          <w:szCs w:val="24"/>
        </w:rPr>
        <w:t xml:space="preserve">, Article 30.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Worek, M. (2017). Mergers and acquisitions in family businesses: Current literature and future insights. </w:t>
      </w:r>
      <w:r w:rsidRPr="007C544A">
        <w:rPr>
          <w:rFonts w:ascii="Traditional Arabic" w:hAnsi="Traditional Arabic" w:cs="Traditional Arabic"/>
          <w:i/>
          <w:iCs/>
          <w:sz w:val="24"/>
          <w:szCs w:val="24"/>
        </w:rPr>
        <w:t>Journal of Family Business Management, 7</w:t>
      </w:r>
      <w:r w:rsidRPr="007C544A">
        <w:rPr>
          <w:rFonts w:ascii="Traditional Arabic" w:hAnsi="Traditional Arabic" w:cs="Traditional Arabic"/>
          <w:sz w:val="24"/>
          <w:szCs w:val="24"/>
        </w:rPr>
        <w:t xml:space="preserve">(2), 177–206.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Wong, M., &amp; Tse, A. (2015). Corporate restructuring and entry into growth markets: Evidence from the Hong Kong GEM. </w:t>
      </w:r>
      <w:r w:rsidRPr="007C544A">
        <w:rPr>
          <w:rFonts w:ascii="Traditional Arabic" w:hAnsi="Traditional Arabic" w:cs="Traditional Arabic"/>
          <w:i/>
          <w:iCs/>
          <w:sz w:val="24"/>
          <w:szCs w:val="24"/>
        </w:rPr>
        <w:t>Asian Journal of Financial Studies, 18</w:t>
      </w:r>
      <w:r w:rsidRPr="007C544A">
        <w:rPr>
          <w:rFonts w:ascii="Traditional Arabic" w:hAnsi="Traditional Arabic" w:cs="Traditional Arabic"/>
          <w:sz w:val="24"/>
          <w:szCs w:val="24"/>
        </w:rPr>
        <w:t xml:space="preserve">(2), 145–168.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Zhao, X., &amp; Chen, L. (2020). Strategic mergers and entry into secondary capital markets in emerging economies. </w:t>
      </w:r>
      <w:r w:rsidRPr="007C544A">
        <w:rPr>
          <w:rFonts w:ascii="Traditional Arabic" w:hAnsi="Traditional Arabic" w:cs="Traditional Arabic"/>
          <w:i/>
          <w:iCs/>
          <w:sz w:val="24"/>
          <w:szCs w:val="24"/>
        </w:rPr>
        <w:t>Journal of Emerging Markets and Financial Studies, 12</w:t>
      </w:r>
      <w:r w:rsidRPr="007C544A">
        <w:rPr>
          <w:rFonts w:ascii="Traditional Arabic" w:hAnsi="Traditional Arabic" w:cs="Traditional Arabic"/>
          <w:sz w:val="24"/>
          <w:szCs w:val="24"/>
        </w:rPr>
        <w:t xml:space="preserve">(3), 245–268. </w:t>
      </w:r>
    </w:p>
    <w:p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Dunne, P., &amp; Hughes, A. (2008). Mergers and acquisitions activity and small and medium-sized firms’ entry into the market: Evidence from the UK AIM. </w:t>
      </w:r>
      <w:r w:rsidRPr="007C544A">
        <w:rPr>
          <w:rFonts w:ascii="Traditional Arabic" w:hAnsi="Traditional Arabic" w:cs="Traditional Arabic"/>
          <w:i/>
          <w:iCs/>
          <w:sz w:val="24"/>
          <w:szCs w:val="24"/>
        </w:rPr>
        <w:t>Journal of Business Finance and Capital Markets, 15</w:t>
      </w:r>
      <w:r w:rsidRPr="007C544A">
        <w:rPr>
          <w:rFonts w:ascii="Traditional Arabic" w:hAnsi="Traditional Arabic" w:cs="Traditional Arabic"/>
          <w:sz w:val="24"/>
          <w:szCs w:val="24"/>
        </w:rPr>
        <w:t xml:space="preserve">(2), 215–238. </w:t>
      </w:r>
    </w:p>
    <w:p w:rsidR="00A916E0" w:rsidRPr="007C544A" w:rsidRDefault="00A916E0" w:rsidP="00A916E0">
      <w:pPr>
        <w:spacing w:before="100" w:beforeAutospacing="1" w:after="100" w:afterAutospacing="1" w:line="240" w:lineRule="auto"/>
        <w:ind w:left="360"/>
        <w:jc w:val="both"/>
        <w:rPr>
          <w:rFonts w:ascii="Traditional Arabic" w:hAnsi="Traditional Arabic" w:cs="Traditional Arabic"/>
          <w:b/>
          <w:bCs/>
          <w:sz w:val="24"/>
          <w:szCs w:val="24"/>
        </w:rPr>
      </w:pPr>
      <w:r w:rsidRPr="007C544A">
        <w:rPr>
          <w:b/>
          <w:bCs/>
        </w:rPr>
        <w:t>Third: Reports, Guidelines, Standards, and Institutional Documents</w:t>
      </w:r>
    </w:p>
    <w:p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International Finance Corporation. (2008). </w:t>
      </w:r>
      <w:r w:rsidRPr="007C544A">
        <w:rPr>
          <w:rFonts w:ascii="Traditional Arabic" w:hAnsi="Traditional Arabic" w:cs="Traditional Arabic"/>
          <w:i/>
          <w:iCs/>
          <w:sz w:val="24"/>
          <w:szCs w:val="24"/>
        </w:rPr>
        <w:t>IFC family business governance handbook</w:t>
      </w:r>
      <w:r w:rsidRPr="007C544A">
        <w:rPr>
          <w:rFonts w:ascii="Traditional Arabic" w:hAnsi="Traditional Arabic" w:cs="Traditional Arabic"/>
          <w:sz w:val="24"/>
          <w:szCs w:val="24"/>
        </w:rPr>
        <w:t xml:space="preserve">. International Finance Corporation. </w:t>
      </w:r>
    </w:p>
    <w:p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OECD. (2023). </w:t>
      </w:r>
      <w:r w:rsidRPr="007C544A">
        <w:rPr>
          <w:rFonts w:ascii="Traditional Arabic" w:hAnsi="Traditional Arabic" w:cs="Traditional Arabic"/>
          <w:i/>
          <w:iCs/>
          <w:sz w:val="24"/>
          <w:szCs w:val="24"/>
        </w:rPr>
        <w:t>Mergers and acquisitions in a global market: Economic drivers and policy considerations</w:t>
      </w:r>
      <w:r w:rsidRPr="007C544A">
        <w:rPr>
          <w:rFonts w:ascii="Traditional Arabic" w:hAnsi="Traditional Arabic" w:cs="Traditional Arabic"/>
          <w:sz w:val="24"/>
          <w:szCs w:val="24"/>
        </w:rPr>
        <w:t xml:space="preserve">. Organisation for Economic Co-operation and Development. </w:t>
      </w:r>
    </w:p>
    <w:p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OECD. (2025). </w:t>
      </w:r>
      <w:r w:rsidRPr="007C544A">
        <w:rPr>
          <w:rFonts w:ascii="Traditional Arabic" w:hAnsi="Traditional Arabic" w:cs="Traditional Arabic"/>
          <w:i/>
          <w:iCs/>
          <w:sz w:val="24"/>
          <w:szCs w:val="24"/>
        </w:rPr>
        <w:t>OECD Benchmark Definition of Foreign Direct Investment</w:t>
      </w:r>
      <w:r w:rsidRPr="007C544A">
        <w:rPr>
          <w:rFonts w:ascii="Traditional Arabic" w:hAnsi="Traditional Arabic" w:cs="Traditional Arabic"/>
          <w:sz w:val="24"/>
          <w:szCs w:val="24"/>
        </w:rPr>
        <w:t xml:space="preserve"> (5th ed.). OECD Publishing. </w:t>
      </w:r>
    </w:p>
    <w:p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PwC Middle East. (2023). </w:t>
      </w:r>
      <w:r w:rsidRPr="007C544A">
        <w:rPr>
          <w:rFonts w:ascii="Traditional Arabic" w:hAnsi="Traditional Arabic" w:cs="Traditional Arabic"/>
          <w:i/>
          <w:iCs/>
          <w:sz w:val="24"/>
          <w:szCs w:val="24"/>
        </w:rPr>
        <w:t>M&amp;A due diligence: Best practices for emerging markets</w:t>
      </w:r>
      <w:r w:rsidRPr="007C544A">
        <w:rPr>
          <w:rFonts w:ascii="Traditional Arabic" w:hAnsi="Traditional Arabic" w:cs="Traditional Arabic"/>
          <w:sz w:val="24"/>
          <w:szCs w:val="24"/>
        </w:rPr>
        <w:t xml:space="preserve">. </w:t>
      </w:r>
    </w:p>
    <w:p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Saudi Authority for Accredited Valuers (TAQEEM). (2023). </w:t>
      </w:r>
      <w:r w:rsidRPr="007C544A">
        <w:rPr>
          <w:rFonts w:ascii="Traditional Arabic" w:hAnsi="Traditional Arabic" w:cs="Traditional Arabic"/>
          <w:i/>
          <w:iCs/>
          <w:sz w:val="24"/>
          <w:szCs w:val="24"/>
        </w:rPr>
        <w:t>Asset valuation standards</w:t>
      </w:r>
      <w:r w:rsidRPr="007C544A">
        <w:rPr>
          <w:rFonts w:ascii="Traditional Arabic" w:hAnsi="Traditional Arabic" w:cs="Traditional Arabic"/>
          <w:sz w:val="24"/>
          <w:szCs w:val="24"/>
        </w:rPr>
        <w:t xml:space="preserve">. Riyadh. </w:t>
      </w:r>
    </w:p>
    <w:p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lastRenderedPageBreak/>
        <w:t xml:space="preserve">Saudi Exchange (Tadawul). (2024). </w:t>
      </w:r>
      <w:r w:rsidRPr="007C544A">
        <w:rPr>
          <w:rFonts w:ascii="Traditional Arabic" w:hAnsi="Traditional Arabic" w:cs="Traditional Arabic"/>
          <w:i/>
          <w:iCs/>
          <w:sz w:val="24"/>
          <w:szCs w:val="24"/>
        </w:rPr>
        <w:t>Listed companies’ obligations upon merger</w:t>
      </w:r>
      <w:r w:rsidRPr="007C544A">
        <w:rPr>
          <w:rFonts w:ascii="Traditional Arabic" w:hAnsi="Traditional Arabic" w:cs="Traditional Arabic"/>
          <w:sz w:val="24"/>
          <w:szCs w:val="24"/>
        </w:rPr>
        <w:t xml:space="preserve">. Riyadh. </w:t>
      </w:r>
    </w:p>
    <w:p w:rsidR="00A916E0" w:rsidRPr="007C544A" w:rsidRDefault="00A916E0" w:rsidP="00A916E0">
      <w:pPr>
        <w:spacing w:before="100" w:beforeAutospacing="1" w:after="100" w:afterAutospacing="1" w:line="240" w:lineRule="auto"/>
        <w:ind w:left="360"/>
        <w:jc w:val="both"/>
        <w:rPr>
          <w:rFonts w:ascii="Traditional Arabic" w:hAnsi="Traditional Arabic" w:cs="Traditional Arabic"/>
          <w:sz w:val="24"/>
          <w:szCs w:val="24"/>
        </w:rPr>
      </w:pPr>
      <w:r w:rsidRPr="007C544A">
        <w:t>Fourth: Laws, Regulations, and Legal Documents</w:t>
      </w:r>
      <w:r w:rsidRPr="007C544A">
        <w:rPr>
          <w:rFonts w:hint="cs"/>
          <w:rtl/>
        </w:rPr>
        <w:t>:</w:t>
      </w:r>
    </w:p>
    <w:p w:rsidR="00A916E0" w:rsidRPr="007C544A" w:rsidRDefault="00A916E0" w:rsidP="002D00D3">
      <w:pPr>
        <w:numPr>
          <w:ilvl w:val="0"/>
          <w:numId w:val="81"/>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Capital Market Authority. (2023). </w:t>
      </w:r>
      <w:r w:rsidRPr="007C544A">
        <w:rPr>
          <w:rFonts w:ascii="Traditional Arabic" w:hAnsi="Traditional Arabic" w:cs="Traditional Arabic"/>
          <w:i/>
          <w:iCs/>
          <w:sz w:val="24"/>
          <w:szCs w:val="24"/>
        </w:rPr>
        <w:t>Merger &amp; acquisition regulations</w:t>
      </w:r>
      <w:r w:rsidRPr="007C544A">
        <w:rPr>
          <w:rFonts w:ascii="Traditional Arabic" w:hAnsi="Traditional Arabic" w:cs="Traditional Arabic"/>
          <w:sz w:val="24"/>
          <w:szCs w:val="24"/>
        </w:rPr>
        <w:t xml:space="preserve">. Riyadh: CMA. </w:t>
      </w:r>
    </w:p>
    <w:p w:rsidR="00A916E0" w:rsidRPr="007C544A" w:rsidRDefault="00A916E0" w:rsidP="002D00D3">
      <w:pPr>
        <w:numPr>
          <w:ilvl w:val="0"/>
          <w:numId w:val="81"/>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Code de commerce français. (2026). </w:t>
      </w:r>
      <w:r w:rsidRPr="007C544A">
        <w:rPr>
          <w:rFonts w:ascii="Traditional Arabic" w:hAnsi="Traditional Arabic" w:cs="Traditional Arabic"/>
          <w:i/>
          <w:iCs/>
          <w:sz w:val="24"/>
          <w:szCs w:val="24"/>
        </w:rPr>
        <w:t>Articles R236-1 à R236-4: De la fusion</w:t>
      </w:r>
      <w:r w:rsidRPr="007C544A">
        <w:rPr>
          <w:rFonts w:ascii="Traditional Arabic" w:hAnsi="Traditional Arabic" w:cs="Traditional Arabic"/>
          <w:sz w:val="24"/>
          <w:szCs w:val="24"/>
        </w:rPr>
        <w:t xml:space="preserve">. Légifrance. </w:t>
      </w:r>
    </w:p>
    <w:p w:rsidR="00A916E0" w:rsidRPr="007C544A" w:rsidRDefault="00A916E0" w:rsidP="002D00D3">
      <w:pPr>
        <w:numPr>
          <w:ilvl w:val="0"/>
          <w:numId w:val="81"/>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Ministry of Commerce. (2022). </w:t>
      </w:r>
      <w:r w:rsidRPr="007C544A">
        <w:rPr>
          <w:rFonts w:ascii="Traditional Arabic" w:hAnsi="Traditional Arabic" w:cs="Traditional Arabic"/>
          <w:i/>
          <w:iCs/>
          <w:sz w:val="24"/>
          <w:szCs w:val="24"/>
        </w:rPr>
        <w:t>Companies law (new)</w:t>
      </w:r>
      <w:r w:rsidRPr="007C544A">
        <w:rPr>
          <w:rFonts w:ascii="Traditional Arabic" w:hAnsi="Traditional Arabic" w:cs="Traditional Arabic"/>
          <w:sz w:val="24"/>
          <w:szCs w:val="24"/>
        </w:rPr>
        <w:t xml:space="preserve">. Riyadh: Official Gazette. </w:t>
      </w:r>
    </w:p>
    <w:p w:rsidR="00A916E0" w:rsidRPr="007C544A" w:rsidRDefault="00A916E0" w:rsidP="00A916E0">
      <w:pPr>
        <w:pStyle w:val="Heading3"/>
        <w:jc w:val="both"/>
        <w:rPr>
          <w:b/>
          <w:bCs/>
          <w:color w:val="auto"/>
        </w:rPr>
      </w:pPr>
      <w:r w:rsidRPr="007C544A">
        <w:rPr>
          <w:b/>
          <w:bCs/>
          <w:color w:val="auto"/>
        </w:rPr>
        <w:t>Fifth: Institutional and Electronic Materials</w:t>
      </w:r>
      <w:r w:rsidRPr="007C544A">
        <w:rPr>
          <w:rFonts w:ascii="Times New Roman"/>
          <w:b/>
          <w:bCs/>
          <w:color w:val="auto"/>
          <w:rtl/>
        </w:rPr>
        <w:t>:</w:t>
      </w:r>
    </w:p>
    <w:p w:rsidR="00A916E0" w:rsidRPr="007C544A" w:rsidRDefault="00A916E0" w:rsidP="002D00D3">
      <w:pPr>
        <w:numPr>
          <w:ilvl w:val="0"/>
          <w:numId w:val="82"/>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EY. (2024). </w:t>
      </w:r>
      <w:r w:rsidRPr="007C544A">
        <w:rPr>
          <w:rFonts w:ascii="Traditional Arabic" w:hAnsi="Traditional Arabic" w:cs="Traditional Arabic"/>
          <w:i/>
          <w:iCs/>
          <w:sz w:val="24"/>
          <w:szCs w:val="24"/>
        </w:rPr>
        <w:t>Banking M&amp;A quick takes: Merger of equals</w:t>
      </w:r>
      <w:r w:rsidRPr="007C544A">
        <w:rPr>
          <w:rFonts w:ascii="Traditional Arabic" w:hAnsi="Traditional Arabic" w:cs="Traditional Arabic"/>
          <w:sz w:val="24"/>
          <w:szCs w:val="24"/>
        </w:rPr>
        <w:t xml:space="preserve">. EY. </w:t>
      </w:r>
    </w:p>
    <w:p w:rsidR="00A916E0" w:rsidRPr="007C544A" w:rsidRDefault="00A916E0" w:rsidP="002D00D3">
      <w:pPr>
        <w:numPr>
          <w:ilvl w:val="0"/>
          <w:numId w:val="82"/>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Foundation for Family Businesses. (2025, July 22). </w:t>
      </w:r>
      <w:r w:rsidRPr="007C544A">
        <w:rPr>
          <w:rFonts w:ascii="Traditional Arabic" w:hAnsi="Traditional Arabic" w:cs="Traditional Arabic"/>
          <w:i/>
          <w:iCs/>
          <w:sz w:val="24"/>
          <w:szCs w:val="24"/>
        </w:rPr>
        <w:t>Definition of a family business</w:t>
      </w:r>
      <w:r w:rsidRPr="007C544A">
        <w:rPr>
          <w:rFonts w:ascii="Traditional Arabic" w:hAnsi="Traditional Arabic" w:cs="Traditional Arabic"/>
          <w:sz w:val="24"/>
          <w:szCs w:val="24"/>
        </w:rPr>
        <w:t xml:space="preserve">. Foundation for Family Businesses. </w:t>
      </w:r>
    </w:p>
    <w:p w:rsidR="00A916E0" w:rsidRPr="007C544A" w:rsidRDefault="00A916E0" w:rsidP="002D00D3">
      <w:pPr>
        <w:numPr>
          <w:ilvl w:val="0"/>
          <w:numId w:val="82"/>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KPMG Saudi Arabia. (2022). </w:t>
      </w:r>
      <w:r w:rsidRPr="007C544A">
        <w:rPr>
          <w:rFonts w:ascii="Traditional Arabic" w:hAnsi="Traditional Arabic" w:cs="Traditional Arabic"/>
          <w:i/>
          <w:iCs/>
          <w:sz w:val="24"/>
          <w:szCs w:val="24"/>
        </w:rPr>
        <w:t>Governance in family businesses in Saudi Arabia: Opportunities and challenges</w:t>
      </w:r>
      <w:r w:rsidRPr="007C544A">
        <w:rPr>
          <w:rFonts w:ascii="Traditional Arabic" w:hAnsi="Traditional Arabic" w:cs="Traditional Arabic"/>
          <w:sz w:val="24"/>
          <w:szCs w:val="24"/>
        </w:rPr>
        <w:t>.</w:t>
      </w:r>
    </w:p>
    <w:p w:rsidR="00D67830" w:rsidRPr="007C544A" w:rsidRDefault="00D67830" w:rsidP="00A916E0">
      <w:pPr>
        <w:spacing w:after="0" w:line="360" w:lineRule="auto"/>
        <w:ind w:left="720"/>
        <w:jc w:val="both"/>
        <w:rPr>
          <w:rFonts w:ascii="Times New Roman" w:hAnsi="Times New Roman" w:cs="Simplified Arabic"/>
          <w:sz w:val="24"/>
          <w:szCs w:val="24"/>
          <w:rtl/>
        </w:rPr>
      </w:pPr>
    </w:p>
    <w:p w:rsidR="00D67830" w:rsidRPr="007C544A" w:rsidRDefault="00D67830" w:rsidP="00A916E0">
      <w:pPr>
        <w:shd w:val="clear" w:color="auto" w:fill="FFFFFF" w:themeFill="background1"/>
        <w:bidi/>
        <w:spacing w:after="0" w:line="360" w:lineRule="auto"/>
        <w:ind w:left="720"/>
        <w:jc w:val="both"/>
        <w:rPr>
          <w:rFonts w:ascii="Times New Roman" w:hAnsi="Times New Roman" w:cs="Simplified Arabic"/>
          <w:sz w:val="24"/>
          <w:szCs w:val="24"/>
          <w:rtl/>
          <w:lang w:bidi="ar-EG"/>
        </w:rPr>
      </w:pPr>
      <w:r w:rsidRPr="007C544A">
        <w:rPr>
          <w:rFonts w:ascii="Times New Roman" w:hAnsi="Times New Roman" w:cs="Simplified Arabic"/>
          <w:sz w:val="24"/>
          <w:szCs w:val="24"/>
          <w:rtl/>
          <w:lang w:bidi="ar-EG"/>
        </w:rPr>
        <w:br w:type="page"/>
      </w:r>
    </w:p>
    <w:p w:rsidR="00D67830" w:rsidRPr="007C544A" w:rsidRDefault="00D67830" w:rsidP="00706522">
      <w:pPr>
        <w:pStyle w:val="FootnoteText"/>
        <w:shd w:val="clear" w:color="auto" w:fill="FFFFFF" w:themeFill="background1"/>
        <w:bidi/>
        <w:spacing w:line="360" w:lineRule="auto"/>
        <w:ind w:firstLine="720"/>
        <w:jc w:val="both"/>
        <w:rPr>
          <w:rFonts w:ascii="Times New Roman" w:eastAsiaTheme="minorHAnsi" w:hAnsi="Times New Roman" w:cs="Simplified Arabic"/>
          <w:sz w:val="28"/>
          <w:szCs w:val="28"/>
          <w:rtl/>
          <w:lang w:bidi="ar-SA"/>
        </w:rPr>
        <w:sectPr w:rsidR="00D67830" w:rsidRPr="007C544A" w:rsidSect="00D67740">
          <w:headerReference w:type="default" r:id="rId24"/>
          <w:headerReference w:type="first" r:id="rId25"/>
          <w:pgSz w:w="11906" w:h="16838" w:code="9"/>
          <w:pgMar w:top="1440" w:right="1800" w:bottom="1440" w:left="1800" w:header="720" w:footer="720" w:gutter="0"/>
          <w:pgNumType w:fmt="numberInDash"/>
          <w:cols w:space="720"/>
          <w:titlePg/>
          <w:docGrid w:linePitch="360"/>
        </w:sectPr>
      </w:pPr>
    </w:p>
    <w:p w:rsidR="00A916E0" w:rsidRPr="007C544A" w:rsidRDefault="00A916E0" w:rsidP="00706522">
      <w:pPr>
        <w:pStyle w:val="a"/>
        <w:shd w:val="clear" w:color="auto" w:fill="FFFFFF" w:themeFill="background1"/>
        <w:spacing w:line="360" w:lineRule="auto"/>
        <w:rPr>
          <w:rFonts w:ascii="Traditional Arabic" w:hAnsi="Traditional Arabic" w:cs="Traditional Arabic"/>
          <w:b/>
          <w:bCs/>
          <w:sz w:val="40"/>
          <w:szCs w:val="40"/>
          <w:rtl/>
        </w:rPr>
      </w:pPr>
    </w:p>
    <w:p w:rsidR="00A916E0" w:rsidRPr="007C544A" w:rsidRDefault="00A916E0" w:rsidP="00706522">
      <w:pPr>
        <w:pStyle w:val="a"/>
        <w:shd w:val="clear" w:color="auto" w:fill="FFFFFF" w:themeFill="background1"/>
        <w:spacing w:line="360" w:lineRule="auto"/>
        <w:rPr>
          <w:rFonts w:ascii="Traditional Arabic" w:hAnsi="Traditional Arabic" w:cs="Traditional Arabic"/>
          <w:b/>
          <w:bCs/>
          <w:sz w:val="40"/>
          <w:szCs w:val="40"/>
          <w:rtl/>
        </w:rPr>
      </w:pPr>
    </w:p>
    <w:p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ملاحق الدراسة</w:t>
      </w:r>
    </w:p>
    <w:p w:rsidR="00D6178F" w:rsidRPr="007C544A" w:rsidRDefault="00D6178F" w:rsidP="00706522">
      <w:pPr>
        <w:pStyle w:val="a"/>
        <w:shd w:val="clear" w:color="auto" w:fill="FFFFFF" w:themeFill="background1"/>
        <w:spacing w:line="360" w:lineRule="auto"/>
        <w:jc w:val="left"/>
        <w:rPr>
          <w:rFonts w:ascii="Traditional Arabic" w:hAnsi="Traditional Arabic" w:cs="Traditional Arabic"/>
          <w:b/>
          <w:bCs/>
          <w:sz w:val="16"/>
          <w:szCs w:val="16"/>
          <w:rtl/>
        </w:rPr>
      </w:pPr>
    </w:p>
    <w:p w:rsidR="00D67830" w:rsidRPr="007C544A" w:rsidRDefault="00D67830"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ملحق</w:t>
      </w:r>
      <w:r w:rsidR="00D7278E" w:rsidRPr="007C544A">
        <w:rPr>
          <w:rFonts w:ascii="Traditional Arabic" w:hAnsi="Traditional Arabic" w:cs="Traditional Arabic"/>
          <w:b/>
          <w:bCs/>
          <w:sz w:val="34"/>
          <w:szCs w:val="34"/>
          <w:rtl/>
        </w:rPr>
        <w:t xml:space="preserve"> (</w:t>
      </w:r>
      <w:r w:rsidRPr="007C544A">
        <w:rPr>
          <w:rFonts w:ascii="Traditional Arabic" w:hAnsi="Traditional Arabic" w:cs="Traditional Arabic"/>
          <w:b/>
          <w:bCs/>
          <w:sz w:val="34"/>
          <w:szCs w:val="34"/>
          <w:rtl/>
        </w:rPr>
        <w:t>1)</w:t>
      </w:r>
      <w:r w:rsidR="00775B4E" w:rsidRPr="007C544A">
        <w:rPr>
          <w:rFonts w:ascii="Traditional Arabic" w:hAnsi="Traditional Arabic" w:cs="Traditional Arabic"/>
          <w:b/>
          <w:bCs/>
          <w:sz w:val="34"/>
          <w:szCs w:val="34"/>
          <w:rtl/>
        </w:rPr>
        <w:t xml:space="preserve">: </w:t>
      </w:r>
      <w:r w:rsidR="00D6178F" w:rsidRPr="007C544A">
        <w:rPr>
          <w:rFonts w:ascii="Traditional Arabic" w:hAnsi="Traditional Arabic" w:cs="Traditional Arabic"/>
          <w:b/>
          <w:bCs/>
          <w:sz w:val="34"/>
          <w:szCs w:val="34"/>
          <w:rtl/>
        </w:rPr>
        <w:t>أسماء</w:t>
      </w:r>
      <w:r w:rsidRPr="007C544A">
        <w:rPr>
          <w:rFonts w:ascii="Traditional Arabic" w:hAnsi="Traditional Arabic" w:cs="Traditional Arabic"/>
          <w:b/>
          <w:bCs/>
          <w:sz w:val="34"/>
          <w:szCs w:val="34"/>
          <w:rtl/>
        </w:rPr>
        <w:t xml:space="preserve"> المحكمين</w:t>
      </w:r>
    </w:p>
    <w:p w:rsidR="00D67830" w:rsidRPr="007C544A" w:rsidRDefault="00D67830" w:rsidP="006E0C69">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ملحق</w:t>
      </w:r>
      <w:r w:rsidR="00D7278E" w:rsidRPr="007C544A">
        <w:rPr>
          <w:rFonts w:ascii="Traditional Arabic" w:hAnsi="Traditional Arabic" w:cs="Traditional Arabic"/>
          <w:b/>
          <w:bCs/>
          <w:sz w:val="34"/>
          <w:szCs w:val="34"/>
          <w:rtl/>
        </w:rPr>
        <w:t xml:space="preserve"> (</w:t>
      </w:r>
      <w:r w:rsidRPr="007C544A">
        <w:rPr>
          <w:rFonts w:ascii="Traditional Arabic" w:hAnsi="Traditional Arabic" w:cs="Traditional Arabic"/>
          <w:b/>
          <w:bCs/>
          <w:sz w:val="34"/>
          <w:szCs w:val="34"/>
          <w:rtl/>
        </w:rPr>
        <w:t>2)</w:t>
      </w:r>
      <w:r w:rsidR="00775B4E" w:rsidRPr="007C544A">
        <w:rPr>
          <w:rFonts w:ascii="Traditional Arabic" w:hAnsi="Traditional Arabic" w:cs="Traditional Arabic"/>
          <w:b/>
          <w:bCs/>
          <w:sz w:val="34"/>
          <w:szCs w:val="34"/>
          <w:rtl/>
        </w:rPr>
        <w:t xml:space="preserve">: </w:t>
      </w:r>
      <w:r w:rsidR="00D6178F" w:rsidRPr="007C544A">
        <w:rPr>
          <w:rFonts w:ascii="Traditional Arabic" w:hAnsi="Traditional Arabic" w:cs="Traditional Arabic"/>
          <w:b/>
          <w:bCs/>
          <w:sz w:val="34"/>
          <w:szCs w:val="34"/>
          <w:rtl/>
        </w:rPr>
        <w:t>استمارة</w:t>
      </w:r>
      <w:r w:rsidRPr="007C544A">
        <w:rPr>
          <w:rFonts w:ascii="Traditional Arabic" w:hAnsi="Traditional Arabic" w:cs="Traditional Arabic"/>
          <w:b/>
          <w:bCs/>
          <w:sz w:val="34"/>
          <w:szCs w:val="34"/>
          <w:rtl/>
        </w:rPr>
        <w:t xml:space="preserve"> </w:t>
      </w:r>
      <w:r w:rsidR="006E0C69" w:rsidRPr="007C544A">
        <w:rPr>
          <w:rFonts w:ascii="Traditional Arabic" w:hAnsi="Traditional Arabic" w:cs="Traditional Arabic" w:hint="cs"/>
          <w:b/>
          <w:bCs/>
          <w:sz w:val="34"/>
          <w:szCs w:val="34"/>
          <w:rtl/>
        </w:rPr>
        <w:t>الأستبيان</w:t>
      </w:r>
    </w:p>
    <w:p w:rsidR="00D67830" w:rsidRPr="007C544A" w:rsidRDefault="00D67830"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ملحق</w:t>
      </w:r>
      <w:r w:rsidR="00D7278E" w:rsidRPr="007C544A">
        <w:rPr>
          <w:rFonts w:ascii="Traditional Arabic" w:hAnsi="Traditional Arabic" w:cs="Traditional Arabic"/>
          <w:b/>
          <w:bCs/>
          <w:sz w:val="34"/>
          <w:szCs w:val="34"/>
          <w:rtl/>
        </w:rPr>
        <w:t xml:space="preserve"> (</w:t>
      </w:r>
      <w:r w:rsidRPr="007C544A">
        <w:rPr>
          <w:rFonts w:ascii="Traditional Arabic" w:hAnsi="Traditional Arabic" w:cs="Traditional Arabic"/>
          <w:b/>
          <w:bCs/>
          <w:sz w:val="34"/>
          <w:szCs w:val="34"/>
          <w:rtl/>
        </w:rPr>
        <w:t>3) دليل المقابلة المتعمقة</w:t>
      </w:r>
    </w:p>
    <w:p w:rsidR="00D67830" w:rsidRPr="007C544A" w:rsidRDefault="00D67830" w:rsidP="00706522">
      <w:pPr>
        <w:pStyle w:val="FootnoteText"/>
        <w:shd w:val="clear" w:color="auto" w:fill="FFFFFF" w:themeFill="background1"/>
        <w:bidi/>
        <w:spacing w:line="360" w:lineRule="auto"/>
        <w:ind w:firstLine="720"/>
        <w:jc w:val="both"/>
        <w:rPr>
          <w:rFonts w:ascii="Times New Roman" w:eastAsiaTheme="minorHAnsi" w:hAnsi="Times New Roman" w:cs="Simplified Arabic"/>
          <w:sz w:val="28"/>
          <w:szCs w:val="28"/>
          <w:rtl/>
          <w:lang w:bidi="ar-EG"/>
        </w:rPr>
      </w:pPr>
    </w:p>
    <w:p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p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lastRenderedPageBreak/>
        <w:t>ملحق</w:t>
      </w:r>
      <w:r w:rsidR="00D7278E" w:rsidRPr="007C544A">
        <w:rPr>
          <w:rFonts w:ascii="Traditional Arabic" w:hAnsi="Traditional Arabic" w:cs="Traditional Arabic"/>
          <w:b/>
          <w:bCs/>
          <w:sz w:val="24"/>
          <w:szCs w:val="24"/>
          <w:rtl/>
        </w:rPr>
        <w:t xml:space="preserve"> (</w:t>
      </w:r>
      <w:r w:rsidRPr="007C544A">
        <w:rPr>
          <w:rFonts w:ascii="Traditional Arabic" w:hAnsi="Traditional Arabic" w:cs="Traditional Arabic"/>
          <w:b/>
          <w:bCs/>
          <w:sz w:val="24"/>
          <w:szCs w:val="24"/>
          <w:rtl/>
        </w:rPr>
        <w:t>1)</w:t>
      </w:r>
    </w:p>
    <w:p w:rsidR="00D67830" w:rsidRPr="007C544A" w:rsidRDefault="00D6178F" w:rsidP="00706522">
      <w:pPr>
        <w:pStyle w:val="a"/>
        <w:shd w:val="clear" w:color="auto" w:fill="FFFFFF" w:themeFill="background1"/>
        <w:spacing w:line="360" w:lineRule="auto"/>
        <w:rPr>
          <w:rFonts w:ascii="Traditional Arabic" w:hAnsi="Traditional Arabic" w:cs="Traditional Arabic"/>
          <w:sz w:val="24"/>
          <w:szCs w:val="24"/>
          <w:rtl/>
        </w:rPr>
      </w:pPr>
      <w:r w:rsidRPr="007C544A">
        <w:rPr>
          <w:rFonts w:ascii="Traditional Arabic" w:hAnsi="Traditional Arabic" w:cs="Traditional Arabic"/>
          <w:b/>
          <w:bCs/>
          <w:sz w:val="24"/>
          <w:szCs w:val="24"/>
          <w:rtl/>
        </w:rPr>
        <w:t>أسماء</w:t>
      </w:r>
      <w:r w:rsidR="00D67830" w:rsidRPr="007C544A">
        <w:rPr>
          <w:rFonts w:ascii="Traditional Arabic" w:hAnsi="Traditional Arabic" w:cs="Traditional Arabic"/>
          <w:b/>
          <w:bCs/>
          <w:sz w:val="24"/>
          <w:szCs w:val="24"/>
          <w:rtl/>
        </w:rPr>
        <w:t xml:space="preserve"> السادة المحكمين</w:t>
      </w:r>
    </w:p>
    <w:tbl>
      <w:tblPr>
        <w:tblStyle w:val="TableGrid"/>
        <w:bidiVisual/>
        <w:tblW w:w="0" w:type="auto"/>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271"/>
        <w:gridCol w:w="5025"/>
      </w:tblGrid>
      <w:tr w:rsidR="00D67830" w:rsidRPr="007C544A" w:rsidTr="00D6178F">
        <w:tc>
          <w:tcPr>
            <w:tcW w:w="3317" w:type="dxa"/>
            <w:tcBorders>
              <w:top w:val="threeDEngrave" w:sz="24" w:space="0" w:color="auto"/>
              <w:bottom w:val="threeDEmboss" w:sz="24" w:space="0" w:color="auto"/>
            </w:tcBorders>
            <w:shd w:val="clear" w:color="auto" w:fill="D9D9D9" w:themeFill="background1" w:themeFillShade="D9"/>
          </w:tcPr>
          <w:p w:rsidR="00D67830" w:rsidRPr="007C544A" w:rsidRDefault="00D67830"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اسم المحكم</w:t>
            </w:r>
          </w:p>
        </w:tc>
        <w:tc>
          <w:tcPr>
            <w:tcW w:w="5103" w:type="dxa"/>
            <w:tcBorders>
              <w:top w:val="threeDEngrave" w:sz="24" w:space="0" w:color="auto"/>
              <w:bottom w:val="threeDEmboss" w:sz="24" w:space="0" w:color="auto"/>
            </w:tcBorders>
            <w:shd w:val="clear" w:color="auto" w:fill="D9D9D9" w:themeFill="background1" w:themeFillShade="D9"/>
          </w:tcPr>
          <w:p w:rsidR="00D67830" w:rsidRPr="007C544A" w:rsidRDefault="00D67830"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الدرجة العلمية</w:t>
            </w:r>
          </w:p>
        </w:tc>
      </w:tr>
      <w:tr w:rsidR="00033E08" w:rsidRPr="007C544A" w:rsidTr="00EE3F46">
        <w:trPr>
          <w:trHeight w:val="870"/>
        </w:trPr>
        <w:tc>
          <w:tcPr>
            <w:tcW w:w="3317" w:type="dxa"/>
            <w:tcBorders>
              <w:top w:val="threeDEmboss" w:sz="24" w:space="0" w:color="auto"/>
            </w:tcBorders>
            <w:shd w:val="clear" w:color="auto" w:fill="D9D9D9" w:themeFill="background1" w:themeFillShade="D9"/>
            <w:vAlign w:val="center"/>
          </w:tcPr>
          <w:p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ا.د.م. أشرف عبدالرحمن محمد</w:t>
            </w:r>
          </w:p>
        </w:tc>
        <w:tc>
          <w:tcPr>
            <w:tcW w:w="5103" w:type="dxa"/>
            <w:tcBorders>
              <w:top w:val="threeDEmboss" w:sz="24" w:space="0" w:color="auto"/>
            </w:tcBorders>
            <w:shd w:val="clear" w:color="auto" w:fill="FFFFFF" w:themeFill="background1"/>
          </w:tcPr>
          <w:p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 xml:space="preserve">أستاذ إدارة الأعمال المساعد– كلية التجارة </w:t>
            </w:r>
          </w:p>
          <w:p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جامعة القاهرة</w:t>
            </w:r>
          </w:p>
        </w:tc>
      </w:tr>
      <w:tr w:rsidR="00033E08" w:rsidRPr="007C544A" w:rsidTr="00033E08">
        <w:tc>
          <w:tcPr>
            <w:tcW w:w="3317" w:type="dxa"/>
            <w:shd w:val="clear" w:color="auto" w:fill="D9D9D9" w:themeFill="background1" w:themeFillShade="D9"/>
            <w:vAlign w:val="center"/>
          </w:tcPr>
          <w:p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 xml:space="preserve">أ.د. سليمان بن عبد الله </w:t>
            </w:r>
          </w:p>
        </w:tc>
        <w:tc>
          <w:tcPr>
            <w:tcW w:w="5103" w:type="dxa"/>
            <w:shd w:val="clear" w:color="auto" w:fill="FFFFFF" w:themeFill="background1"/>
          </w:tcPr>
          <w:p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أستاذ إدارة الأعمال كلية– جامعة الملك سعود</w:t>
            </w:r>
          </w:p>
        </w:tc>
      </w:tr>
      <w:tr w:rsidR="00033E08" w:rsidRPr="007C544A" w:rsidTr="00033E08">
        <w:tc>
          <w:tcPr>
            <w:tcW w:w="3317" w:type="dxa"/>
            <w:shd w:val="clear" w:color="auto" w:fill="D9D9D9" w:themeFill="background1" w:themeFillShade="D9"/>
            <w:vAlign w:val="center"/>
          </w:tcPr>
          <w:p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 xml:space="preserve">أ.و.م. عبد الناصر محمد سيد </w:t>
            </w:r>
          </w:p>
        </w:tc>
        <w:tc>
          <w:tcPr>
            <w:tcW w:w="5103" w:type="dxa"/>
            <w:shd w:val="clear" w:color="auto" w:fill="FFFFFF" w:themeFill="background1"/>
          </w:tcPr>
          <w:p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وكيل الكلية الأكاديمية العربية للعلوم الإدارية والمالية والمصرفية</w:t>
            </w:r>
          </w:p>
        </w:tc>
      </w:tr>
      <w:tr w:rsidR="00033E08" w:rsidRPr="007C544A" w:rsidTr="00033E08">
        <w:tc>
          <w:tcPr>
            <w:tcW w:w="3317" w:type="dxa"/>
            <w:shd w:val="clear" w:color="auto" w:fill="D9D9D9" w:themeFill="background1" w:themeFillShade="D9"/>
            <w:vAlign w:val="center"/>
          </w:tcPr>
          <w:p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أ.د. عمار فتحي موسى إسماعيل</w:t>
            </w:r>
          </w:p>
        </w:tc>
        <w:tc>
          <w:tcPr>
            <w:tcW w:w="5103" w:type="dxa"/>
            <w:shd w:val="clear" w:color="auto" w:fill="FFFFFF" w:themeFill="background1"/>
          </w:tcPr>
          <w:p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أستاذ إدارة الموارد البشرية- وكيل الكلية لشئون التعليم والطلاب- كلية التجارة- جامعة مدينة السادات</w:t>
            </w:r>
          </w:p>
        </w:tc>
      </w:tr>
    </w:tbl>
    <w:p w:rsidR="00D67830" w:rsidRPr="007C544A" w:rsidRDefault="00033E08" w:rsidP="002D00D3">
      <w:pPr>
        <w:pStyle w:val="ListParagraph"/>
        <w:numPr>
          <w:ilvl w:val="0"/>
          <w:numId w:val="26"/>
        </w:numPr>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تم ترتيب الأسماء ترتيباً هجائياً.</w:t>
      </w:r>
    </w:p>
    <w:p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p>
    <w:p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p>
    <w:p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p w:rsidR="00033E08" w:rsidRPr="007C544A" w:rsidRDefault="00033E08" w:rsidP="00706522">
      <w:pPr>
        <w:pStyle w:val="a"/>
        <w:shd w:val="clear" w:color="auto" w:fill="FFFFFF" w:themeFill="background1"/>
        <w:spacing w:line="360" w:lineRule="auto"/>
        <w:rPr>
          <w:rFonts w:cs="Simplified Arabic"/>
          <w:sz w:val="40"/>
          <w:szCs w:val="40"/>
          <w:rtl/>
        </w:rPr>
      </w:pPr>
    </w:p>
    <w:p w:rsidR="00033E08" w:rsidRPr="007C544A" w:rsidRDefault="00033E08" w:rsidP="00706522">
      <w:pPr>
        <w:pStyle w:val="a"/>
        <w:shd w:val="clear" w:color="auto" w:fill="FFFFFF" w:themeFill="background1"/>
        <w:spacing w:line="360" w:lineRule="auto"/>
        <w:rPr>
          <w:rFonts w:cs="Simplified Arabic"/>
          <w:sz w:val="40"/>
          <w:szCs w:val="40"/>
          <w:rtl/>
        </w:rPr>
      </w:pPr>
    </w:p>
    <w:p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ملحق</w:t>
      </w:r>
      <w:r w:rsidR="00D7278E" w:rsidRPr="007C544A">
        <w:rPr>
          <w:rFonts w:ascii="Traditional Arabic" w:hAnsi="Traditional Arabic" w:cs="Traditional Arabic"/>
          <w:b/>
          <w:bCs/>
          <w:sz w:val="40"/>
          <w:szCs w:val="40"/>
          <w:rtl/>
        </w:rPr>
        <w:t xml:space="preserve"> (</w:t>
      </w:r>
      <w:r w:rsidRPr="007C544A">
        <w:rPr>
          <w:rFonts w:ascii="Traditional Arabic" w:hAnsi="Traditional Arabic" w:cs="Traditional Arabic"/>
          <w:b/>
          <w:bCs/>
          <w:sz w:val="40"/>
          <w:szCs w:val="40"/>
          <w:rtl/>
        </w:rPr>
        <w:t>2)</w:t>
      </w:r>
    </w:p>
    <w:p w:rsidR="00D67830" w:rsidRPr="007C544A" w:rsidRDefault="00033E08" w:rsidP="00A84B6C">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استمارة</w:t>
      </w:r>
      <w:r w:rsidR="00D67830" w:rsidRPr="007C544A">
        <w:rPr>
          <w:rFonts w:ascii="Traditional Arabic" w:hAnsi="Traditional Arabic" w:cs="Traditional Arabic"/>
          <w:b/>
          <w:bCs/>
          <w:sz w:val="40"/>
          <w:szCs w:val="40"/>
          <w:rtl/>
        </w:rPr>
        <w:t xml:space="preserve"> </w:t>
      </w:r>
      <w:r w:rsidR="00A84B6C" w:rsidRPr="007C544A">
        <w:rPr>
          <w:rFonts w:ascii="Traditional Arabic" w:hAnsi="Traditional Arabic" w:cs="Traditional Arabic" w:hint="cs"/>
          <w:b/>
          <w:bCs/>
          <w:sz w:val="40"/>
          <w:szCs w:val="40"/>
          <w:rtl/>
        </w:rPr>
        <w:t>الاستبيان</w:t>
      </w:r>
    </w:p>
    <w:p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rsidR="00CF0D63" w:rsidRPr="007C544A" w:rsidRDefault="00D67830" w:rsidP="00CF0D63">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2988"/>
        <w:gridCol w:w="3344"/>
      </w:tblGrid>
      <w:tr w:rsidR="00F07923" w:rsidRPr="007C544A" w:rsidTr="00155E99">
        <w:tc>
          <w:tcPr>
            <w:tcW w:w="2035" w:type="dxa"/>
            <w:vAlign w:val="center"/>
          </w:tcPr>
          <w:p w:rsidR="00F07923" w:rsidRPr="007C544A" w:rsidRDefault="00F07923" w:rsidP="00706522">
            <w:pPr>
              <w:spacing w:line="360" w:lineRule="auto"/>
              <w:jc w:val="center"/>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lastRenderedPageBreak/>
              <w:t>جامعة ميد اوشن</w:t>
            </w:r>
          </w:p>
          <w:p w:rsidR="00F07923" w:rsidRPr="007C544A" w:rsidRDefault="00F07923" w:rsidP="00706522">
            <w:pPr>
              <w:bidi/>
              <w:spacing w:line="360" w:lineRule="auto"/>
              <w:jc w:val="center"/>
              <w:rPr>
                <w:rFonts w:ascii="Times New Roman" w:hAnsi="Times New Roman" w:cs="QCF2107"/>
                <w:sz w:val="38"/>
                <w:szCs w:val="38"/>
                <w:rtl/>
              </w:rPr>
            </w:pPr>
            <w:r w:rsidRPr="007C544A">
              <w:rPr>
                <w:rFonts w:ascii="Times New Roman" w:hAnsi="Times New Roman" w:cs="Simplified Arabic"/>
                <w:sz w:val="28"/>
                <w:szCs w:val="28"/>
                <w:rtl/>
                <w:lang w:bidi="ar-EG"/>
              </w:rPr>
              <w:t>برنامج الدكتوراه</w:t>
            </w:r>
          </w:p>
        </w:tc>
        <w:tc>
          <w:tcPr>
            <w:tcW w:w="3143" w:type="dxa"/>
            <w:vAlign w:val="center"/>
          </w:tcPr>
          <w:p w:rsidR="00F07923" w:rsidRPr="007C544A" w:rsidRDefault="00F07923" w:rsidP="00706522">
            <w:pPr>
              <w:bidi/>
              <w:spacing w:line="360" w:lineRule="auto"/>
              <w:jc w:val="center"/>
              <w:rPr>
                <w:rFonts w:ascii="Times New Roman" w:hAnsi="Times New Roman" w:cs="QCF2107"/>
                <w:sz w:val="38"/>
                <w:szCs w:val="38"/>
                <w:rtl/>
              </w:rPr>
            </w:pPr>
          </w:p>
        </w:tc>
        <w:tc>
          <w:tcPr>
            <w:tcW w:w="3344" w:type="dxa"/>
            <w:vAlign w:val="center"/>
          </w:tcPr>
          <w:p w:rsidR="00F07923" w:rsidRPr="007C544A" w:rsidRDefault="00F07923" w:rsidP="00706522">
            <w:pPr>
              <w:bidi/>
              <w:spacing w:line="360" w:lineRule="auto"/>
              <w:jc w:val="center"/>
              <w:rPr>
                <w:rFonts w:ascii="Times New Roman" w:hAnsi="Times New Roman" w:cs="QCF2107"/>
                <w:sz w:val="38"/>
                <w:szCs w:val="38"/>
                <w:rtl/>
              </w:rPr>
            </w:pPr>
            <w:r w:rsidRPr="007C544A">
              <w:rPr>
                <w:rFonts w:ascii="Times New Roman" w:hAnsi="Times New Roman" w:cs="ae_Cortoba"/>
                <w:noProof/>
                <w:sz w:val="40"/>
                <w:szCs w:val="40"/>
                <w:rtl/>
              </w:rPr>
              <w:drawing>
                <wp:inline distT="0" distB="0" distL="0" distR="0" wp14:anchorId="16A41E62" wp14:editId="312E5DE9">
                  <wp:extent cx="1986280" cy="883467"/>
                  <wp:effectExtent l="0" t="0" r="0" b="0"/>
                  <wp:docPr id="8"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8"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r>
    </w:tbl>
    <w:p w:rsidR="00F07923" w:rsidRPr="007C544A" w:rsidRDefault="00A916E0" w:rsidP="00A84B6C">
      <w:pPr>
        <w:shd w:val="clear" w:color="auto" w:fill="FFFFFF" w:themeFill="background1"/>
        <w:bidi/>
        <w:spacing w:after="0" w:line="360" w:lineRule="auto"/>
        <w:jc w:val="center"/>
        <w:rPr>
          <w:rFonts w:ascii="Simplified Arabic" w:hAnsi="Simplified Arabic" w:cs="Simplified Arabic"/>
          <w:b/>
          <w:bCs/>
          <w:sz w:val="42"/>
          <w:szCs w:val="42"/>
        </w:rPr>
      </w:pPr>
      <w:r w:rsidRPr="007C544A">
        <w:rPr>
          <w:rFonts w:ascii="Simplified Arabic" w:hAnsi="Simplified Arabic" w:cs="Simplified Arabic" w:hint="cs"/>
          <w:b/>
          <w:bCs/>
          <w:sz w:val="42"/>
          <w:szCs w:val="42"/>
          <w:rtl/>
        </w:rPr>
        <w:t xml:space="preserve">استمارة </w:t>
      </w:r>
      <w:r w:rsidR="00A84B6C" w:rsidRPr="007C544A">
        <w:rPr>
          <w:rFonts w:ascii="Simplified Arabic" w:hAnsi="Simplified Arabic" w:cs="Simplified Arabic" w:hint="cs"/>
          <w:b/>
          <w:bCs/>
          <w:sz w:val="42"/>
          <w:szCs w:val="42"/>
          <w:rtl/>
        </w:rPr>
        <w:t>الاستبيان</w:t>
      </w:r>
      <w:r w:rsidR="00F07923" w:rsidRPr="007C544A">
        <w:rPr>
          <w:rFonts w:ascii="Simplified Arabic" w:hAnsi="Simplified Arabic" w:cs="Simplified Arabic" w:hint="cs"/>
          <w:b/>
          <w:bCs/>
          <w:sz w:val="42"/>
          <w:szCs w:val="42"/>
          <w:rtl/>
        </w:rPr>
        <w:t xml:space="preserve"> </w:t>
      </w:r>
    </w:p>
    <w:p w:rsidR="00F07923" w:rsidRPr="007C544A" w:rsidRDefault="00F07923" w:rsidP="00706522">
      <w:pPr>
        <w:shd w:val="clear" w:color="auto" w:fill="FFFFFF" w:themeFill="background1"/>
        <w:bidi/>
        <w:spacing w:after="0" w:line="360" w:lineRule="auto"/>
        <w:jc w:val="center"/>
        <w:rPr>
          <w:rFonts w:ascii="Simplified Arabic" w:hAnsi="Simplified Arabic" w:cs="Simplified Arabic"/>
          <w:sz w:val="42"/>
          <w:szCs w:val="42"/>
          <w:rtl/>
        </w:rPr>
      </w:pPr>
      <w:r w:rsidRPr="007C544A">
        <w:rPr>
          <w:rFonts w:ascii="Simplified Arabic" w:hAnsi="Simplified Arabic" w:cs="Simplified Arabic" w:hint="cs"/>
          <w:sz w:val="42"/>
          <w:szCs w:val="42"/>
          <w:rtl/>
        </w:rPr>
        <w:t xml:space="preserve">استراتيجية دمج الشركات لدخول -سوق النمو- السوق الموازية لسوق المال السعودي </w:t>
      </w:r>
    </w:p>
    <w:p w:rsidR="00F07923" w:rsidRPr="007C544A" w:rsidRDefault="00F07923" w:rsidP="00706522">
      <w:pPr>
        <w:shd w:val="clear" w:color="auto" w:fill="FFFFFF" w:themeFill="background1"/>
        <w:bidi/>
        <w:spacing w:after="0" w:line="360" w:lineRule="auto"/>
        <w:jc w:val="center"/>
        <w:rPr>
          <w:rFonts w:ascii="Times New Roman" w:hAnsi="Times New Roman" w:cs="PT Bold Heading"/>
          <w:sz w:val="26"/>
          <w:szCs w:val="26"/>
          <w:rtl/>
        </w:rPr>
      </w:pPr>
    </w:p>
    <w:p w:rsidR="00F07923" w:rsidRPr="007C544A" w:rsidRDefault="00F07923" w:rsidP="00706522">
      <w:pPr>
        <w:shd w:val="clear" w:color="auto" w:fill="FFFFFF" w:themeFill="background1"/>
        <w:bidi/>
        <w:spacing w:after="0" w:line="360" w:lineRule="auto"/>
        <w:jc w:val="center"/>
        <w:rPr>
          <w:rFonts w:ascii="Times New Roman" w:eastAsia="Times New Roman" w:hAnsi="Times New Roman" w:cs="Simplified Arabic"/>
          <w:i/>
          <w:iCs/>
          <w:sz w:val="30"/>
          <w:szCs w:val="30"/>
          <w:rtl/>
        </w:rPr>
      </w:pPr>
      <w:r w:rsidRPr="007C544A">
        <w:rPr>
          <w:rFonts w:ascii="Times New Roman" w:hAnsi="Times New Roman" w:cs="Simplified Arabic"/>
          <w:i/>
          <w:iCs/>
          <w:sz w:val="30"/>
          <w:szCs w:val="30"/>
          <w:rtl/>
        </w:rPr>
        <w:t>رسالة مقدمة للحصول على الدكتوراه في إدارة الأعمال</w:t>
      </w:r>
    </w:p>
    <w:p w:rsidR="00F07923" w:rsidRPr="007C544A" w:rsidRDefault="00F07923" w:rsidP="00706522">
      <w:pPr>
        <w:shd w:val="clear" w:color="auto" w:fill="FFFFFF" w:themeFill="background1"/>
        <w:bidi/>
        <w:spacing w:after="0" w:line="360" w:lineRule="auto"/>
        <w:jc w:val="center"/>
        <w:rPr>
          <w:rFonts w:ascii="Times New Roman" w:eastAsia="Times New Roman" w:hAnsi="Times New Roman" w:cs="Simplified Arabic"/>
          <w:i/>
          <w:iCs/>
          <w:sz w:val="30"/>
          <w:szCs w:val="30"/>
        </w:rPr>
      </w:pPr>
      <w:r w:rsidRPr="007C544A">
        <w:rPr>
          <w:rFonts w:ascii="Times New Roman" w:eastAsia="Times New Roman" w:hAnsi="Times New Roman" w:cs="Simplified Arabic"/>
          <w:i/>
          <w:iCs/>
          <w:sz w:val="30"/>
          <w:szCs w:val="30"/>
          <w:rtl/>
        </w:rPr>
        <w:t>كجزء من متطلبات نيل درجة دكتوراه الفلسفة في الإدارة</w:t>
      </w:r>
    </w:p>
    <w:p w:rsidR="00F07923" w:rsidRPr="007C544A" w:rsidRDefault="00F07923" w:rsidP="00CF0D63">
      <w:pPr>
        <w:pStyle w:val="NormalWeb"/>
        <w:shd w:val="clear" w:color="auto" w:fill="FFFFFF" w:themeFill="background1"/>
        <w:bidi/>
        <w:spacing w:before="0" w:beforeAutospacing="0" w:after="0" w:afterAutospacing="0" w:line="360" w:lineRule="auto"/>
        <w:ind w:right="-270"/>
        <w:rPr>
          <w:rFonts w:eastAsiaTheme="minorHAnsi" w:cs="Sultan bold"/>
          <w:sz w:val="32"/>
          <w:szCs w:val="32"/>
          <w:rtl/>
        </w:rPr>
      </w:pPr>
    </w:p>
    <w:p w:rsidR="00F07923" w:rsidRPr="007C544A" w:rsidRDefault="00F07923" w:rsidP="00706522">
      <w:pPr>
        <w:shd w:val="clear" w:color="auto" w:fill="FFFFFF" w:themeFill="background1"/>
        <w:bidi/>
        <w:spacing w:after="0" w:line="360" w:lineRule="auto"/>
        <w:jc w:val="center"/>
        <w:rPr>
          <w:rFonts w:ascii="Times New Roman" w:hAnsi="Times New Roman" w:cs="Simplified Arabic"/>
          <w:sz w:val="38"/>
          <w:szCs w:val="38"/>
          <w:rtl/>
          <w:lang w:bidi="ar-EG"/>
        </w:rPr>
      </w:pPr>
      <w:r w:rsidRPr="007C544A">
        <w:rPr>
          <w:rFonts w:ascii="Times New Roman" w:hAnsi="Times New Roman" w:cs="Simplified Arabic" w:hint="cs"/>
          <w:sz w:val="38"/>
          <w:szCs w:val="38"/>
          <w:rtl/>
          <w:lang w:bidi="ar-EG"/>
        </w:rPr>
        <w:t xml:space="preserve">إعداد </w:t>
      </w:r>
    </w:p>
    <w:p w:rsidR="00F07923" w:rsidRPr="007C544A" w:rsidRDefault="00F07923" w:rsidP="00706522">
      <w:pPr>
        <w:shd w:val="clear" w:color="auto" w:fill="FFFFFF" w:themeFill="background1"/>
        <w:bidi/>
        <w:spacing w:after="0" w:line="360" w:lineRule="auto"/>
        <w:jc w:val="center"/>
        <w:rPr>
          <w:rFonts w:ascii="Times New Roman" w:hAnsi="Times New Roman" w:cs="Simplified Arabic"/>
          <w:i/>
          <w:iCs/>
          <w:sz w:val="34"/>
          <w:szCs w:val="34"/>
          <w:rtl/>
          <w:lang w:bidi="ar-EG"/>
        </w:rPr>
      </w:pPr>
      <w:r w:rsidRPr="007C544A">
        <w:rPr>
          <w:rFonts w:ascii="Times New Roman" w:hAnsi="Times New Roman" w:cs="Abuhmeda Free" w:hint="cs"/>
          <w:sz w:val="34"/>
          <w:szCs w:val="34"/>
          <w:rtl/>
          <w:lang w:bidi="ar-EG"/>
        </w:rPr>
        <w:t xml:space="preserve"> </w:t>
      </w:r>
      <w:r w:rsidRPr="007C544A">
        <w:rPr>
          <w:rFonts w:ascii="Times New Roman" w:hAnsi="Times New Roman" w:cs="Simplified Arabic"/>
          <w:i/>
          <w:iCs/>
          <w:sz w:val="42"/>
          <w:szCs w:val="42"/>
          <w:rtl/>
          <w:lang w:bidi="ar-EG"/>
        </w:rPr>
        <w:t>صادق حسن الصفار</w:t>
      </w:r>
    </w:p>
    <w:p w:rsidR="00F07923" w:rsidRPr="007C544A" w:rsidRDefault="00F07923" w:rsidP="00706522">
      <w:pPr>
        <w:shd w:val="clear" w:color="auto" w:fill="FFFFFF" w:themeFill="background1"/>
        <w:bidi/>
        <w:spacing w:after="0" w:line="360" w:lineRule="auto"/>
        <w:jc w:val="center"/>
        <w:rPr>
          <w:rFonts w:ascii="Times New Roman" w:hAnsi="Times New Roman" w:cs="Simplified Arabic"/>
          <w:sz w:val="32"/>
          <w:szCs w:val="32"/>
          <w:rtl/>
          <w:lang w:bidi="ar-EG"/>
        </w:rPr>
      </w:pPr>
      <w:r w:rsidRPr="007C544A">
        <w:rPr>
          <w:rFonts w:ascii="Times New Roman" w:hAnsi="Times New Roman" w:cs="Simplified Arabic" w:hint="cs"/>
          <w:sz w:val="32"/>
          <w:szCs w:val="32"/>
          <w:rtl/>
          <w:lang w:bidi="ar-EG"/>
        </w:rPr>
        <w:t>الرقم الاكاديمي: 221001512</w:t>
      </w:r>
    </w:p>
    <w:p w:rsidR="00F07923" w:rsidRPr="007C544A" w:rsidRDefault="00F07923" w:rsidP="00706522">
      <w:pPr>
        <w:shd w:val="clear" w:color="auto" w:fill="FFFFFF" w:themeFill="background1"/>
        <w:bidi/>
        <w:spacing w:after="0" w:line="360" w:lineRule="auto"/>
        <w:jc w:val="center"/>
        <w:rPr>
          <w:rFonts w:ascii="Times New Roman" w:hAnsi="Times New Roman" w:cs="Simplified Arabic"/>
          <w:sz w:val="32"/>
          <w:szCs w:val="32"/>
          <w:rtl/>
          <w:lang w:bidi="ar-EG"/>
        </w:rPr>
      </w:pPr>
      <w:r w:rsidRPr="007C544A">
        <w:rPr>
          <w:rFonts w:ascii="Times New Roman" w:hAnsi="Times New Roman" w:cs="Simplified Arabic" w:hint="cs"/>
          <w:sz w:val="32"/>
          <w:szCs w:val="32"/>
          <w:rtl/>
          <w:lang w:bidi="ar-EG"/>
        </w:rPr>
        <w:t>كلية إدارة الأعمال</w:t>
      </w:r>
    </w:p>
    <w:p w:rsidR="00F07923" w:rsidRPr="007C544A" w:rsidRDefault="00F07923" w:rsidP="00CF0D63">
      <w:pPr>
        <w:shd w:val="clear" w:color="auto" w:fill="FFFFFF" w:themeFill="background1"/>
        <w:bidi/>
        <w:spacing w:after="0" w:line="360" w:lineRule="auto"/>
        <w:jc w:val="center"/>
        <w:rPr>
          <w:rFonts w:ascii="Times New Roman" w:hAnsi="Times New Roman" w:cs="Simplified Arabic"/>
          <w:sz w:val="32"/>
          <w:szCs w:val="32"/>
          <w:rtl/>
          <w:lang w:bidi="ar-EG"/>
        </w:rPr>
      </w:pPr>
      <w:r w:rsidRPr="007C544A">
        <w:rPr>
          <w:rFonts w:ascii="Times New Roman" w:hAnsi="Times New Roman" w:cs="Simplified Arabic" w:hint="cs"/>
          <w:sz w:val="32"/>
          <w:szCs w:val="32"/>
          <w:rtl/>
          <w:lang w:bidi="ar-EG"/>
        </w:rPr>
        <w:t>1448ه-2026م</w:t>
      </w:r>
      <w:r w:rsidR="005C0E9A" w:rsidRPr="007C544A">
        <w:rPr>
          <w:rFonts w:ascii="Times New Roman" w:hAnsi="Times New Roman" w:cs="Simplified Arabic" w:hint="cs"/>
          <w:sz w:val="32"/>
          <w:szCs w:val="32"/>
          <w:rtl/>
          <w:lang w:bidi="ar-EG"/>
        </w:rPr>
        <w:t xml:space="preserve"> </w:t>
      </w:r>
    </w:p>
    <w:p w:rsidR="00F07923" w:rsidRPr="007C544A" w:rsidRDefault="00F07923" w:rsidP="00706522">
      <w:pPr>
        <w:shd w:val="clear" w:color="auto" w:fill="FFFFFF" w:themeFill="background1"/>
        <w:bidi/>
        <w:spacing w:after="0" w:line="360" w:lineRule="auto"/>
        <w:jc w:val="center"/>
        <w:rPr>
          <w:rFonts w:ascii="Times New Roman" w:eastAsia="Times New Roman" w:hAnsi="Times New Roman" w:cs="Simplified Arabic"/>
          <w:i/>
          <w:iCs/>
          <w:sz w:val="30"/>
          <w:szCs w:val="30"/>
          <w:rtl/>
        </w:rPr>
      </w:pPr>
      <w:r w:rsidRPr="007C544A">
        <w:rPr>
          <w:rFonts w:ascii="Times New Roman" w:eastAsia="Times New Roman" w:hAnsi="Times New Roman" w:cs="Simplified Arabic"/>
          <w:i/>
          <w:iCs/>
          <w:sz w:val="30"/>
          <w:szCs w:val="30"/>
          <w:rtl/>
        </w:rPr>
        <w:t>العام الجامعي</w:t>
      </w:r>
      <w:r w:rsidRPr="007C544A">
        <w:rPr>
          <w:rFonts w:ascii="Times New Roman" w:eastAsia="Times New Roman" w:hAnsi="Times New Roman" w:cs="Simplified Arabic" w:hint="cs"/>
          <w:i/>
          <w:iCs/>
          <w:sz w:val="30"/>
          <w:szCs w:val="30"/>
          <w:rtl/>
        </w:rPr>
        <w:t xml:space="preserve"> 2026م</w:t>
      </w:r>
    </w:p>
    <w:p w:rsidR="00F07923" w:rsidRPr="007C544A" w:rsidRDefault="00F07923" w:rsidP="00706522">
      <w:pPr>
        <w:shd w:val="clear" w:color="auto" w:fill="FFFFFF" w:themeFill="background1"/>
        <w:bidi/>
        <w:spacing w:after="0" w:line="360" w:lineRule="auto"/>
        <w:jc w:val="center"/>
        <w:rPr>
          <w:rFonts w:ascii="Times New Roman" w:hAnsi="Times New Roman" w:cs="PT Bold Heading"/>
          <w:rtl/>
        </w:rPr>
      </w:pPr>
      <w:r w:rsidRPr="007C544A">
        <w:rPr>
          <w:rFonts w:ascii="Times New Roman" w:eastAsia="Times New Roman" w:hAnsi="Times New Roman" w:cs="Simplified Arabic"/>
          <w:i/>
          <w:iCs/>
          <w:sz w:val="30"/>
          <w:szCs w:val="30"/>
          <w:rtl/>
        </w:rPr>
        <w:t xml:space="preserve">1447ه‍ - </w:t>
      </w:r>
      <w:r w:rsidRPr="007C544A">
        <w:rPr>
          <w:rFonts w:ascii="Times New Roman" w:eastAsia="Times New Roman" w:hAnsi="Times New Roman" w:cs="Simplified Arabic" w:hint="cs"/>
          <w:i/>
          <w:iCs/>
          <w:sz w:val="30"/>
          <w:szCs w:val="30"/>
          <w:rtl/>
        </w:rPr>
        <w:t>1448ه</w:t>
      </w:r>
    </w:p>
    <w:p w:rsidR="00F07923" w:rsidRPr="007C544A" w:rsidRDefault="00F07923" w:rsidP="00706522">
      <w:pPr>
        <w:shd w:val="clear" w:color="auto" w:fill="FFFFFF" w:themeFill="background1"/>
        <w:bidi/>
        <w:spacing w:after="0" w:line="360" w:lineRule="auto"/>
        <w:jc w:val="center"/>
        <w:rPr>
          <w:rFonts w:ascii="Times New Roman" w:hAnsi="Times New Roman" w:cs="PT Bold Heading"/>
          <w:sz w:val="30"/>
          <w:szCs w:val="30"/>
          <w:lang w:bidi="ar-EG"/>
        </w:rPr>
        <w:sectPr w:rsidR="00F07923" w:rsidRPr="007C544A" w:rsidSect="00F771BE">
          <w:headerReference w:type="default" r:id="rId26"/>
          <w:headerReference w:type="first" r:id="rId27"/>
          <w:pgSz w:w="11906" w:h="16838" w:code="9"/>
          <w:pgMar w:top="1440" w:right="1800" w:bottom="1440" w:left="1800" w:header="720" w:footer="720" w:gutter="0"/>
          <w:pgNumType w:fmt="numberInDash" w:start="116" w:chapStyle="1"/>
          <w:cols w:space="720"/>
          <w:titlePg/>
          <w:docGrid w:linePitch="299"/>
        </w:sectPr>
      </w:pPr>
    </w:p>
    <w:p w:rsidR="00D67830" w:rsidRPr="007C544A" w:rsidRDefault="00033E08" w:rsidP="00A84B6C">
      <w:pPr>
        <w:shd w:val="clear" w:color="auto" w:fill="FFFFFF" w:themeFill="background1"/>
        <w:bidi/>
        <w:spacing w:after="0" w:line="360" w:lineRule="auto"/>
        <w:jc w:val="center"/>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استمارة</w:t>
      </w:r>
      <w:r w:rsidR="00D67830" w:rsidRPr="007C544A">
        <w:rPr>
          <w:rFonts w:ascii="Traditional Arabic" w:hAnsi="Traditional Arabic" w:cs="Traditional Arabic"/>
          <w:b/>
          <w:bCs/>
          <w:sz w:val="32"/>
          <w:szCs w:val="32"/>
          <w:rtl/>
        </w:rPr>
        <w:t xml:space="preserve"> </w:t>
      </w:r>
      <w:r w:rsidR="00A84B6C" w:rsidRPr="007C544A">
        <w:rPr>
          <w:rFonts w:ascii="Traditional Arabic" w:hAnsi="Traditional Arabic" w:cs="Traditional Arabic" w:hint="cs"/>
          <w:b/>
          <w:bCs/>
          <w:sz w:val="32"/>
          <w:szCs w:val="32"/>
          <w:rtl/>
        </w:rPr>
        <w:t>الاستبيان</w:t>
      </w:r>
      <w:r w:rsidR="00A916E0" w:rsidRPr="007C544A">
        <w:rPr>
          <w:rFonts w:ascii="Traditional Arabic" w:hAnsi="Traditional Arabic" w:cs="Traditional Arabic" w:hint="cs"/>
          <w:b/>
          <w:bCs/>
          <w:sz w:val="32"/>
          <w:szCs w:val="32"/>
          <w:rtl/>
        </w:rPr>
        <w:t xml:space="preserve"> </w:t>
      </w:r>
    </w:p>
    <w:p w:rsidR="00D67830" w:rsidRPr="007C544A" w:rsidRDefault="00D67830" w:rsidP="00706522">
      <w:pPr>
        <w:shd w:val="clear" w:color="auto" w:fill="FFFFFF" w:themeFill="background1"/>
        <w:tabs>
          <w:tab w:val="left" w:leader="dot" w:pos="8278"/>
        </w:tabs>
        <w:bidi/>
        <w:spacing w:after="0" w:line="360" w:lineRule="auto"/>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السادة المحترمون</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ab/>
      </w:r>
    </w:p>
    <w:p w:rsidR="00D67830" w:rsidRPr="007C544A" w:rsidRDefault="00D67830" w:rsidP="00706522">
      <w:pPr>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lang w:bidi="ar-EG"/>
        </w:rPr>
        <w:t>يقوم الباحث بدراسة بعنوان</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بعنوان استراتيجية دمج الشركات لدخول -سوق النمو-</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السوق الموازية لسوق المال السعودي) </w:t>
      </w:r>
      <w:r w:rsidRPr="007C544A">
        <w:rPr>
          <w:rFonts w:ascii="Traditional Arabic" w:hAnsi="Traditional Arabic" w:cs="Traditional Arabic"/>
          <w:sz w:val="24"/>
          <w:szCs w:val="24"/>
          <w:rtl/>
        </w:rPr>
        <w:t>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ميدانية على الشركات العائلية السعودية</w:t>
      </w:r>
      <w:r w:rsidR="00033E08" w:rsidRPr="007C544A">
        <w:rPr>
          <w:rFonts w:ascii="Traditional Arabic" w:hAnsi="Traditional Arabic" w:cs="Traditional Arabic"/>
          <w:sz w:val="24"/>
          <w:szCs w:val="24"/>
          <w:rtl/>
        </w:rPr>
        <w:t>.</w:t>
      </w:r>
    </w:p>
    <w:p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وذلك استكمالا</w:t>
      </w:r>
      <w:r w:rsidR="00033E08"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 xml:space="preserve"> لمتطلبات الحصول على درجة الدكتوراه من جامعة </w:t>
      </w:r>
      <w:r w:rsidR="00033E08"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ميد اوشن</w:t>
      </w:r>
      <w:r w:rsidR="00033E08" w:rsidRPr="007C544A">
        <w:rPr>
          <w:rFonts w:ascii="Traditional Arabic" w:hAnsi="Traditional Arabic" w:cs="Traditional Arabic"/>
          <w:sz w:val="24"/>
          <w:szCs w:val="24"/>
          <w:rtl/>
          <w:lang w:bidi="ar-EG"/>
        </w:rPr>
        <w:t>"</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تخصص </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w:t>
      </w:r>
      <w:r w:rsidR="003F6CDC" w:rsidRPr="007C544A">
        <w:rPr>
          <w:rFonts w:ascii="Traditional Arabic" w:hAnsi="Traditional Arabic" w:cs="Traditional Arabic"/>
          <w:sz w:val="24"/>
          <w:szCs w:val="24"/>
          <w:rtl/>
          <w:lang w:bidi="ar-EG"/>
        </w:rPr>
        <w:t>أعمال</w:t>
      </w:r>
      <w:r w:rsidRPr="007C544A">
        <w:rPr>
          <w:rFonts w:ascii="Traditional Arabic" w:hAnsi="Traditional Arabic" w:cs="Traditional Arabic"/>
          <w:sz w:val="24"/>
          <w:szCs w:val="24"/>
          <w:rtl/>
          <w:lang w:bidi="ar-EG"/>
        </w:rPr>
        <w:t xml:space="preserve"> وقد صممت هذه </w:t>
      </w:r>
      <w:r w:rsidR="00033E08" w:rsidRPr="007C544A">
        <w:rPr>
          <w:rFonts w:ascii="Traditional Arabic" w:hAnsi="Traditional Arabic" w:cs="Traditional Arabic"/>
          <w:sz w:val="24"/>
          <w:szCs w:val="24"/>
          <w:rtl/>
          <w:lang w:bidi="ar-EG"/>
        </w:rPr>
        <w:t>الاستمارة</w:t>
      </w:r>
      <w:r w:rsidRPr="007C544A">
        <w:rPr>
          <w:rFonts w:ascii="Traditional Arabic" w:hAnsi="Traditional Arabic" w:cs="Traditional Arabic"/>
          <w:sz w:val="24"/>
          <w:szCs w:val="24"/>
          <w:rtl/>
          <w:lang w:bidi="ar-EG"/>
        </w:rPr>
        <w:t xml:space="preserve"> لجمع المعلومات حول موضوع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ويرجى منك الإجابة عن فقراتها شاكرين لك حسن تعاونك</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ومؤكدين لك بأن المعلومات التي ستقدمها لنا سنتعامل معها بسرية تامة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ولا تستخدم إلا لأغراض البحث العلمي.</w:t>
      </w:r>
    </w:p>
    <w:p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وتتكون الاستبانة من فرعين</w:t>
      </w:r>
      <w:r w:rsidR="00775B4E" w:rsidRPr="007C544A">
        <w:rPr>
          <w:rFonts w:ascii="Traditional Arabic" w:hAnsi="Traditional Arabic" w:cs="Traditional Arabic"/>
          <w:sz w:val="24"/>
          <w:szCs w:val="24"/>
          <w:rtl/>
          <w:lang w:bidi="ar-EG"/>
        </w:rPr>
        <w:t xml:space="preserve">: </w:t>
      </w:r>
    </w:p>
    <w:p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الفرع الأول</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يتكون من فقرات عدة لجمع معلومات شخصية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يرجى منك وضع الإشارة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lang w:bidi="ar-EG"/>
        </w:rPr>
        <w:sym w:font="Wingdings 2" w:char="F050"/>
      </w:r>
      <w:r w:rsidRPr="007C544A">
        <w:rPr>
          <w:rFonts w:ascii="Traditional Arabic" w:hAnsi="Traditional Arabic" w:cs="Traditional Arabic"/>
          <w:sz w:val="24"/>
          <w:szCs w:val="24"/>
          <w:rtl/>
          <w:lang w:bidi="ar-EG"/>
        </w:rPr>
        <w:t xml:space="preserve">) أمام ما يناسب حالتك. </w:t>
      </w:r>
    </w:p>
    <w:p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الفرع الثاني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يتكون من فقرات عدة لجمع المعلومات حول موضوع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يرجى منك وضع الإشارة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lang w:bidi="ar-EG"/>
        </w:rPr>
        <w:sym w:font="Wingdings 2" w:char="F050"/>
      </w:r>
      <w:r w:rsidRPr="007C544A">
        <w:rPr>
          <w:rFonts w:ascii="Traditional Arabic" w:hAnsi="Traditional Arabic" w:cs="Traditional Arabic"/>
          <w:sz w:val="24"/>
          <w:szCs w:val="24"/>
          <w:rtl/>
          <w:lang w:bidi="ar-EG"/>
        </w:rPr>
        <w:t>) في المستوى الذي يناسبك أمام كل فقرة.</w:t>
      </w:r>
    </w:p>
    <w:p w:rsidR="00033E08" w:rsidRPr="007C544A" w:rsidRDefault="00D67830" w:rsidP="00706522">
      <w:pPr>
        <w:shd w:val="clear" w:color="auto" w:fill="FFFFFF" w:themeFill="background1"/>
        <w:bidi/>
        <w:spacing w:after="0"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وتقبلوا مني فائق الشكر والاحترام لحسن تعاونكم</w:t>
      </w:r>
      <w:r w:rsidR="00033E08" w:rsidRPr="007C544A">
        <w:rPr>
          <w:rFonts w:ascii="Traditional Arabic" w:hAnsi="Traditional Arabic" w:cs="Traditional Arabic"/>
          <w:sz w:val="24"/>
          <w:szCs w:val="24"/>
          <w:rtl/>
          <w:lang w:bidi="ar-EG"/>
        </w:rPr>
        <w:t>،،،</w:t>
      </w:r>
    </w:p>
    <w:tbl>
      <w:tblPr>
        <w:tblStyle w:val="TableGrid"/>
        <w:bidiVisual/>
        <w:tblW w:w="0" w:type="auto"/>
        <w:tblInd w:w="6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tblGrid>
      <w:tr w:rsidR="00033E08" w:rsidRPr="007C544A" w:rsidTr="00033E08">
        <w:tc>
          <w:tcPr>
            <w:tcW w:w="2235" w:type="dxa"/>
          </w:tcPr>
          <w:p w:rsidR="00033E08" w:rsidRPr="007C544A" w:rsidRDefault="00033E08" w:rsidP="00706522">
            <w:pPr>
              <w:bidi/>
              <w:spacing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الباحث</w:t>
            </w:r>
          </w:p>
          <w:p w:rsidR="00033E08" w:rsidRPr="007C544A" w:rsidRDefault="00033E08" w:rsidP="00706522">
            <w:pPr>
              <w:bidi/>
              <w:spacing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صادق حسن الصفار</w:t>
            </w:r>
          </w:p>
        </w:tc>
      </w:tr>
    </w:tbl>
    <w:p w:rsidR="00033E08" w:rsidRPr="007C544A" w:rsidRDefault="00033E08" w:rsidP="00706522">
      <w:pPr>
        <w:bidi/>
        <w:spacing w:after="0" w:line="360" w:lineRule="auto"/>
        <w:rPr>
          <w:rFonts w:ascii="Times New Roman" w:hAnsi="Times New Roman" w:cs="Simplified Arabic"/>
          <w:sz w:val="28"/>
          <w:szCs w:val="28"/>
          <w:rtl/>
        </w:rPr>
      </w:pPr>
    </w:p>
    <w:p w:rsidR="00EE3F46" w:rsidRPr="007C544A" w:rsidRDefault="00EE3F46" w:rsidP="00706522">
      <w:pPr>
        <w:bidi/>
        <w:spacing w:after="0" w:line="360" w:lineRule="auto"/>
        <w:rPr>
          <w:rFonts w:ascii="Times New Roman" w:hAnsi="Times New Roman" w:cs="Simplified Arabic"/>
          <w:sz w:val="28"/>
          <w:szCs w:val="28"/>
          <w:rtl/>
        </w:rPr>
      </w:pPr>
    </w:p>
    <w:p w:rsidR="00EE3F46" w:rsidRPr="007C544A" w:rsidRDefault="00EE3F46" w:rsidP="00706522">
      <w:pPr>
        <w:bidi/>
        <w:spacing w:after="0" w:line="360" w:lineRule="auto"/>
        <w:rPr>
          <w:rFonts w:ascii="Times New Roman" w:hAnsi="Times New Roman" w:cs="Simplified Arabic"/>
          <w:sz w:val="28"/>
          <w:szCs w:val="28"/>
          <w:rtl/>
        </w:rPr>
      </w:pPr>
    </w:p>
    <w:p w:rsidR="00EE3F46" w:rsidRPr="007C544A" w:rsidRDefault="00EE3F46" w:rsidP="00706522">
      <w:pPr>
        <w:bidi/>
        <w:spacing w:after="0" w:line="360" w:lineRule="auto"/>
        <w:rPr>
          <w:rFonts w:ascii="Times New Roman" w:hAnsi="Times New Roman" w:cs="Simplified Arabic"/>
          <w:sz w:val="28"/>
          <w:szCs w:val="28"/>
          <w:rtl/>
        </w:rPr>
      </w:pPr>
    </w:p>
    <w:p w:rsidR="00EE3F46" w:rsidRPr="007C544A" w:rsidRDefault="00EE3F46" w:rsidP="00706522">
      <w:pPr>
        <w:bidi/>
        <w:spacing w:after="0" w:line="360" w:lineRule="auto"/>
        <w:rPr>
          <w:rFonts w:ascii="Times New Roman" w:hAnsi="Times New Roman" w:cs="Simplified Arabic"/>
          <w:sz w:val="28"/>
          <w:szCs w:val="28"/>
          <w:rtl/>
        </w:rPr>
      </w:pPr>
    </w:p>
    <w:p w:rsidR="00EE3F46" w:rsidRPr="007C544A" w:rsidRDefault="00EE3F46" w:rsidP="00706522">
      <w:pPr>
        <w:bidi/>
        <w:spacing w:after="0" w:line="360" w:lineRule="auto"/>
        <w:rPr>
          <w:rFonts w:ascii="Times New Roman" w:hAnsi="Times New Roman" w:cs="Simplified Arabic"/>
          <w:sz w:val="28"/>
          <w:szCs w:val="28"/>
          <w:rtl/>
        </w:rPr>
      </w:pPr>
    </w:p>
    <w:p w:rsidR="00CF0D63" w:rsidRPr="007C544A" w:rsidRDefault="00CF0D63" w:rsidP="00CF0D63">
      <w:pPr>
        <w:bidi/>
        <w:spacing w:after="0" w:line="360" w:lineRule="auto"/>
        <w:rPr>
          <w:rFonts w:ascii="Times New Roman" w:hAnsi="Times New Roman" w:cs="Simplified Arabic"/>
          <w:sz w:val="28"/>
          <w:szCs w:val="28"/>
          <w:rtl/>
        </w:rPr>
      </w:pPr>
    </w:p>
    <w:p w:rsidR="00CF0D63" w:rsidRPr="007C544A" w:rsidRDefault="00CF0D63" w:rsidP="00CF0D63">
      <w:pPr>
        <w:bidi/>
        <w:spacing w:after="0" w:line="360" w:lineRule="auto"/>
        <w:rPr>
          <w:rFonts w:ascii="Times New Roman" w:hAnsi="Times New Roman" w:cs="Simplified Arabic"/>
          <w:sz w:val="28"/>
          <w:szCs w:val="28"/>
          <w:rtl/>
        </w:rPr>
      </w:pPr>
    </w:p>
    <w:p w:rsidR="00A84B6C" w:rsidRPr="007C544A" w:rsidRDefault="00A84B6C" w:rsidP="00A84B6C">
      <w:pPr>
        <w:bidi/>
        <w:spacing w:after="0" w:line="360" w:lineRule="auto"/>
        <w:rPr>
          <w:rFonts w:ascii="Times New Roman" w:hAnsi="Times New Roman" w:cs="Simplified Arabic"/>
          <w:sz w:val="28"/>
          <w:szCs w:val="28"/>
          <w:rtl/>
        </w:rPr>
      </w:pPr>
    </w:p>
    <w:p w:rsidR="00D67830" w:rsidRPr="007C544A" w:rsidRDefault="00D67830" w:rsidP="00706522">
      <w:pPr>
        <w:pStyle w:val="Heading2"/>
        <w:bidi/>
        <w:spacing w:line="360" w:lineRule="auto"/>
        <w:jc w:val="both"/>
        <w:rPr>
          <w:rFonts w:ascii="Traditional Arabic" w:eastAsiaTheme="minorHAnsi" w:hAnsi="Traditional Arabic" w:cs="Traditional Arabic"/>
          <w:sz w:val="28"/>
          <w:szCs w:val="28"/>
          <w:rtl/>
          <w:lang w:bidi="ar-SA"/>
        </w:rPr>
      </w:pPr>
      <w:r w:rsidRPr="007C544A">
        <w:rPr>
          <w:rFonts w:ascii="Traditional Arabic" w:eastAsiaTheme="minorHAnsi" w:hAnsi="Traditional Arabic" w:cs="Traditional Arabic"/>
          <w:sz w:val="28"/>
          <w:szCs w:val="28"/>
          <w:rtl/>
          <w:lang w:bidi="ar-SA"/>
        </w:rPr>
        <w:lastRenderedPageBreak/>
        <w:t>تعليمات للمستجيب</w:t>
      </w:r>
      <w:r w:rsidR="00033E08" w:rsidRPr="007C544A">
        <w:rPr>
          <w:rFonts w:ascii="Traditional Arabic" w:eastAsiaTheme="minorHAnsi" w:hAnsi="Traditional Arabic" w:cs="Traditional Arabic"/>
          <w:sz w:val="28"/>
          <w:szCs w:val="28"/>
          <w:rtl/>
          <w:lang w:bidi="ar-SA"/>
        </w:rPr>
        <w:t>:</w:t>
      </w:r>
    </w:p>
    <w:p w:rsidR="00D67830" w:rsidRPr="007C544A" w:rsidRDefault="00D67830" w:rsidP="002D00D3">
      <w:pPr>
        <w:pStyle w:val="NormalWeb"/>
        <w:numPr>
          <w:ilvl w:val="0"/>
          <w:numId w:val="27"/>
        </w:numPr>
        <w:bidi/>
        <w:spacing w:before="0" w:beforeAutospacing="0" w:after="0" w:afterAutospacing="0" w:line="360" w:lineRule="auto"/>
        <w:ind w:hanging="205"/>
        <w:jc w:val="both"/>
        <w:rPr>
          <w:rFonts w:ascii="Traditional Arabic" w:eastAsiaTheme="minorHAnsi" w:hAnsi="Traditional Arabic" w:cs="Traditional Arabic"/>
        </w:rPr>
      </w:pPr>
      <w:r w:rsidRPr="007C544A">
        <w:rPr>
          <w:rFonts w:ascii="Traditional Arabic" w:eastAsiaTheme="minorHAnsi" w:hAnsi="Traditional Arabic" w:cs="Traditional Arabic"/>
          <w:rtl/>
        </w:rPr>
        <w:t>هذا الاستبيان جزء من دراسة علمية حول دمج الشركات العائلية بهدف دخول السوق الموازية</w:t>
      </w:r>
      <w:r w:rsidRPr="007C544A">
        <w:rPr>
          <w:rFonts w:ascii="Traditional Arabic" w:eastAsiaTheme="minorHAnsi" w:hAnsi="Traditional Arabic" w:cs="Traditional Arabic"/>
        </w:rPr>
        <w:t>.</w:t>
      </w:r>
    </w:p>
    <w:p w:rsidR="00D67830" w:rsidRPr="007C544A" w:rsidRDefault="00D67830" w:rsidP="002D00D3">
      <w:pPr>
        <w:pStyle w:val="NormalWeb"/>
        <w:numPr>
          <w:ilvl w:val="0"/>
          <w:numId w:val="27"/>
        </w:numPr>
        <w:bidi/>
        <w:spacing w:before="0" w:beforeAutospacing="0" w:after="0" w:afterAutospacing="0" w:line="360" w:lineRule="auto"/>
        <w:ind w:hanging="205"/>
        <w:jc w:val="both"/>
        <w:rPr>
          <w:rFonts w:ascii="Traditional Arabic" w:eastAsiaTheme="minorHAnsi" w:hAnsi="Traditional Arabic" w:cs="Traditional Arabic"/>
        </w:rPr>
      </w:pPr>
      <w:r w:rsidRPr="007C544A">
        <w:rPr>
          <w:rFonts w:ascii="Traditional Arabic" w:eastAsiaTheme="minorHAnsi" w:hAnsi="Traditional Arabic" w:cs="Traditional Arabic"/>
          <w:rtl/>
        </w:rPr>
        <w:t>المشاركة طوعية وسرية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ولن يتم استخدام أي معلومات شخصية</w:t>
      </w:r>
      <w:r w:rsidRPr="007C544A">
        <w:rPr>
          <w:rFonts w:ascii="Traditional Arabic" w:eastAsiaTheme="minorHAnsi" w:hAnsi="Traditional Arabic" w:cs="Traditional Arabic"/>
        </w:rPr>
        <w:t>.</w:t>
      </w:r>
    </w:p>
    <w:p w:rsidR="00033E08" w:rsidRPr="007C544A" w:rsidRDefault="00D67830" w:rsidP="002D00D3">
      <w:pPr>
        <w:pStyle w:val="NormalWeb"/>
        <w:numPr>
          <w:ilvl w:val="0"/>
          <w:numId w:val="27"/>
        </w:numPr>
        <w:bidi/>
        <w:spacing w:before="0" w:beforeAutospacing="0" w:after="0" w:afterAutospacing="0" w:line="360" w:lineRule="auto"/>
        <w:ind w:hanging="204"/>
        <w:jc w:val="both"/>
        <w:rPr>
          <w:rFonts w:ascii="Traditional Arabic" w:eastAsiaTheme="minorHAnsi" w:hAnsi="Traditional Arabic" w:cs="Traditional Arabic"/>
        </w:rPr>
      </w:pPr>
      <w:r w:rsidRPr="007C544A">
        <w:rPr>
          <w:rFonts w:ascii="Traditional Arabic" w:eastAsiaTheme="minorHAnsi" w:hAnsi="Traditional Arabic" w:cs="Traditional Arabic"/>
          <w:rtl/>
        </w:rPr>
        <w:t>يرجى قراءة كل عبارة وتحديد مستوى موافقتك وفق المقياس التالي</w:t>
      </w:r>
      <w:r w:rsidR="00033E08" w:rsidRPr="007C544A">
        <w:rPr>
          <w:rFonts w:ascii="Traditional Arabic" w:eastAsiaTheme="minorHAnsi" w:hAnsi="Traditional Arabic" w:cs="Traditional Arabic"/>
          <w:rtl/>
        </w:rPr>
        <w:t>:</w:t>
      </w:r>
    </w:p>
    <w:tbl>
      <w:tblPr>
        <w:tblStyle w:val="TableGrid"/>
        <w:bidiVisual/>
        <w:tblW w:w="0" w:type="auto"/>
        <w:jc w:val="center"/>
        <w:tblBorders>
          <w:top w:val="threeDEngrave" w:sz="24" w:space="0" w:color="auto"/>
          <w:bottom w:val="threeDEmboss" w:sz="24" w:space="0" w:color="auto"/>
          <w:insideH w:val="threeDEmboss" w:sz="24" w:space="0" w:color="auto"/>
        </w:tblBorders>
        <w:tblLook w:val="04A0" w:firstRow="1" w:lastRow="0" w:firstColumn="1" w:lastColumn="0" w:noHBand="0" w:noVBand="1"/>
      </w:tblPr>
      <w:tblGrid>
        <w:gridCol w:w="1561"/>
        <w:gridCol w:w="1562"/>
        <w:gridCol w:w="1561"/>
        <w:gridCol w:w="1391"/>
        <w:gridCol w:w="1733"/>
      </w:tblGrid>
      <w:tr w:rsidR="00D67830" w:rsidRPr="007C544A" w:rsidTr="00773EB0">
        <w:trPr>
          <w:jc w:val="center"/>
        </w:trPr>
        <w:tc>
          <w:tcPr>
            <w:tcW w:w="1561" w:type="dxa"/>
            <w:shd w:val="clear" w:color="auto" w:fill="D9D9D9" w:themeFill="background1" w:themeFillShade="D9"/>
            <w:vAlign w:val="center"/>
          </w:tcPr>
          <w:p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موافق بشدة</w:t>
            </w:r>
          </w:p>
        </w:tc>
        <w:tc>
          <w:tcPr>
            <w:tcW w:w="1562" w:type="dxa"/>
            <w:shd w:val="clear" w:color="auto" w:fill="D9D9D9" w:themeFill="background1" w:themeFillShade="D9"/>
            <w:vAlign w:val="center"/>
          </w:tcPr>
          <w:p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موافق</w:t>
            </w:r>
          </w:p>
        </w:tc>
        <w:tc>
          <w:tcPr>
            <w:tcW w:w="1561" w:type="dxa"/>
            <w:shd w:val="clear" w:color="auto" w:fill="D9D9D9" w:themeFill="background1" w:themeFillShade="D9"/>
            <w:vAlign w:val="center"/>
          </w:tcPr>
          <w:p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محايد</w:t>
            </w:r>
          </w:p>
        </w:tc>
        <w:tc>
          <w:tcPr>
            <w:tcW w:w="1391" w:type="dxa"/>
            <w:shd w:val="clear" w:color="auto" w:fill="D9D9D9" w:themeFill="background1" w:themeFillShade="D9"/>
            <w:vAlign w:val="center"/>
          </w:tcPr>
          <w:p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غير موافق</w:t>
            </w:r>
          </w:p>
        </w:tc>
        <w:tc>
          <w:tcPr>
            <w:tcW w:w="1733" w:type="dxa"/>
            <w:shd w:val="clear" w:color="auto" w:fill="D9D9D9" w:themeFill="background1" w:themeFillShade="D9"/>
            <w:vAlign w:val="center"/>
          </w:tcPr>
          <w:p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غير موافق بشدة</w:t>
            </w:r>
          </w:p>
        </w:tc>
      </w:tr>
      <w:tr w:rsidR="00D67830" w:rsidRPr="007C544A" w:rsidTr="00773EB0">
        <w:trPr>
          <w:trHeight w:val="91"/>
          <w:jc w:val="center"/>
        </w:trPr>
        <w:tc>
          <w:tcPr>
            <w:tcW w:w="1561" w:type="dxa"/>
            <w:vAlign w:val="center"/>
          </w:tcPr>
          <w:p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1</w:t>
            </w:r>
          </w:p>
        </w:tc>
        <w:tc>
          <w:tcPr>
            <w:tcW w:w="1562" w:type="dxa"/>
            <w:vAlign w:val="center"/>
          </w:tcPr>
          <w:p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2</w:t>
            </w:r>
          </w:p>
        </w:tc>
        <w:tc>
          <w:tcPr>
            <w:tcW w:w="1561" w:type="dxa"/>
            <w:vAlign w:val="center"/>
          </w:tcPr>
          <w:p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3</w:t>
            </w:r>
          </w:p>
        </w:tc>
        <w:tc>
          <w:tcPr>
            <w:tcW w:w="1391" w:type="dxa"/>
            <w:vAlign w:val="center"/>
          </w:tcPr>
          <w:p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4</w:t>
            </w:r>
          </w:p>
        </w:tc>
        <w:tc>
          <w:tcPr>
            <w:tcW w:w="1733" w:type="dxa"/>
            <w:vAlign w:val="center"/>
          </w:tcPr>
          <w:p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5</w:t>
            </w:r>
          </w:p>
        </w:tc>
      </w:tr>
    </w:tbl>
    <w:p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lang w:bidi="ar-SA"/>
        </w:rPr>
      </w:pPr>
      <w:r w:rsidRPr="007C544A">
        <w:rPr>
          <w:rFonts w:ascii="Traditional Arabic" w:eastAsiaTheme="minorHAnsi" w:hAnsi="Traditional Arabic" w:cs="Traditional Arabic"/>
          <w:sz w:val="28"/>
          <w:szCs w:val="28"/>
          <w:rtl/>
          <w:lang w:bidi="ar-SA"/>
        </w:rPr>
        <w:t xml:space="preserve">أولاً- </w:t>
      </w:r>
      <w:r w:rsidR="00D67830" w:rsidRPr="007C544A">
        <w:rPr>
          <w:rFonts w:ascii="Traditional Arabic" w:eastAsiaTheme="minorHAnsi" w:hAnsi="Traditional Arabic" w:cs="Traditional Arabic"/>
          <w:sz w:val="28"/>
          <w:szCs w:val="28"/>
          <w:rtl/>
          <w:lang w:bidi="ar-SA"/>
        </w:rPr>
        <w:t>البيانات الديموغرافية</w:t>
      </w:r>
      <w:r w:rsidR="00F64EEF" w:rsidRPr="007C544A">
        <w:rPr>
          <w:rFonts w:ascii="Traditional Arabic" w:eastAsiaTheme="minorHAnsi" w:hAnsi="Traditional Arabic" w:cs="Traditional Arabic"/>
          <w:sz w:val="28"/>
          <w:szCs w:val="28"/>
          <w:rtl/>
          <w:lang w:bidi="ar-SA"/>
        </w:rPr>
        <w:t>:</w:t>
      </w:r>
    </w:p>
    <w:p w:rsidR="00F64EEF" w:rsidRPr="007C544A" w:rsidRDefault="00F64EEF"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الجنس: </w:t>
      </w:r>
    </w:p>
    <w:tbl>
      <w:tblPr>
        <w:tblStyle w:val="TableGrid"/>
        <w:bidiVisual/>
        <w:tblW w:w="3912" w:type="dxa"/>
        <w:tblInd w:w="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
        <w:gridCol w:w="567"/>
        <w:gridCol w:w="1888"/>
        <w:gridCol w:w="521"/>
      </w:tblGrid>
      <w:tr w:rsidR="00F64EEF" w:rsidRPr="007C544A" w:rsidTr="007F6CAD">
        <w:tc>
          <w:tcPr>
            <w:tcW w:w="936" w:type="dxa"/>
            <w:tcBorders>
              <w:right w:val="single" w:sz="4" w:space="0" w:color="auto"/>
            </w:tcBorders>
          </w:tcPr>
          <w:p w:rsidR="00F64EEF" w:rsidRPr="007C544A" w:rsidRDefault="00F64EEF"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ذكر</w:t>
            </w:r>
          </w:p>
        </w:tc>
        <w:tc>
          <w:tcPr>
            <w:tcW w:w="567" w:type="dxa"/>
            <w:tcBorders>
              <w:top w:val="single" w:sz="4" w:space="0" w:color="auto"/>
              <w:left w:val="single" w:sz="4" w:space="0" w:color="auto"/>
              <w:bottom w:val="single" w:sz="4" w:space="0" w:color="auto"/>
              <w:right w:val="single" w:sz="4" w:space="0" w:color="auto"/>
            </w:tcBorders>
          </w:tcPr>
          <w:p w:rsidR="00F64EEF" w:rsidRPr="007C544A" w:rsidRDefault="00F64EEF" w:rsidP="00706522">
            <w:pPr>
              <w:pStyle w:val="2"/>
              <w:spacing w:line="360" w:lineRule="auto"/>
              <w:jc w:val="both"/>
              <w:rPr>
                <w:rFonts w:ascii="Traditional Arabic" w:hAnsi="Traditional Arabic" w:cs="Traditional Arabic"/>
                <w:sz w:val="24"/>
                <w:szCs w:val="24"/>
                <w:rtl/>
              </w:rPr>
            </w:pPr>
          </w:p>
        </w:tc>
        <w:tc>
          <w:tcPr>
            <w:tcW w:w="1888" w:type="dxa"/>
            <w:tcBorders>
              <w:left w:val="single" w:sz="4" w:space="0" w:color="auto"/>
              <w:right w:val="single" w:sz="4" w:space="0" w:color="auto"/>
            </w:tcBorders>
          </w:tcPr>
          <w:p w:rsidR="00F64EEF" w:rsidRPr="007C544A" w:rsidRDefault="00F64EEF"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أنثى</w:t>
            </w:r>
          </w:p>
        </w:tc>
        <w:tc>
          <w:tcPr>
            <w:tcW w:w="521" w:type="dxa"/>
            <w:tcBorders>
              <w:top w:val="single" w:sz="4" w:space="0" w:color="auto"/>
              <w:left w:val="single" w:sz="4" w:space="0" w:color="auto"/>
              <w:bottom w:val="single" w:sz="4" w:space="0" w:color="auto"/>
              <w:right w:val="single" w:sz="4" w:space="0" w:color="auto"/>
            </w:tcBorders>
          </w:tcPr>
          <w:p w:rsidR="00F64EEF" w:rsidRPr="007C544A" w:rsidRDefault="00F64EEF" w:rsidP="00706522">
            <w:pPr>
              <w:pStyle w:val="2"/>
              <w:spacing w:line="360" w:lineRule="auto"/>
              <w:jc w:val="center"/>
              <w:rPr>
                <w:rFonts w:ascii="Traditional Arabic" w:hAnsi="Traditional Arabic" w:cs="Traditional Arabic"/>
                <w:sz w:val="24"/>
                <w:szCs w:val="24"/>
              </w:rPr>
            </w:pPr>
          </w:p>
        </w:tc>
      </w:tr>
    </w:tbl>
    <w:p w:rsidR="007F6CAD" w:rsidRPr="007C544A" w:rsidRDefault="007F6CAD"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العمر: </w:t>
      </w:r>
    </w:p>
    <w:tbl>
      <w:tblPr>
        <w:tblStyle w:val="TableGrid"/>
        <w:bidiVisual/>
        <w:tblW w:w="7327" w:type="dxa"/>
        <w:jc w:val="center"/>
        <w:tblLook w:val="04A0" w:firstRow="1" w:lastRow="0" w:firstColumn="1" w:lastColumn="0" w:noHBand="0" w:noVBand="1"/>
      </w:tblPr>
      <w:tblGrid>
        <w:gridCol w:w="1275"/>
        <w:gridCol w:w="567"/>
        <w:gridCol w:w="1134"/>
        <w:gridCol w:w="567"/>
        <w:gridCol w:w="1134"/>
        <w:gridCol w:w="567"/>
        <w:gridCol w:w="1439"/>
        <w:gridCol w:w="644"/>
      </w:tblGrid>
      <w:tr w:rsidR="007F6CAD" w:rsidRPr="007C544A" w:rsidTr="0084532D">
        <w:trPr>
          <w:jc w:val="center"/>
        </w:trPr>
        <w:tc>
          <w:tcPr>
            <w:tcW w:w="1275" w:type="dxa"/>
            <w:tcBorders>
              <w:top w:val="nil"/>
              <w:left w:val="nil"/>
              <w:bottom w:val="nil"/>
            </w:tcBorders>
          </w:tcPr>
          <w:p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أقل من 25 </w:t>
            </w:r>
          </w:p>
        </w:tc>
        <w:tc>
          <w:tcPr>
            <w:tcW w:w="567" w:type="dxa"/>
          </w:tcPr>
          <w:p w:rsidR="007F6CAD" w:rsidRPr="007C544A" w:rsidRDefault="007F6CAD" w:rsidP="00706522">
            <w:pPr>
              <w:pStyle w:val="2"/>
              <w:spacing w:line="360" w:lineRule="auto"/>
              <w:jc w:val="both"/>
              <w:rPr>
                <w:rFonts w:ascii="Traditional Arabic" w:hAnsi="Traditional Arabic" w:cs="Traditional Arabic"/>
                <w:sz w:val="24"/>
                <w:szCs w:val="24"/>
                <w:rtl/>
              </w:rPr>
            </w:pPr>
          </w:p>
        </w:tc>
        <w:tc>
          <w:tcPr>
            <w:tcW w:w="1134" w:type="dxa"/>
            <w:tcBorders>
              <w:top w:val="nil"/>
              <w:bottom w:val="nil"/>
            </w:tcBorders>
          </w:tcPr>
          <w:p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45-36 </w:t>
            </w:r>
          </w:p>
        </w:tc>
        <w:tc>
          <w:tcPr>
            <w:tcW w:w="567" w:type="dxa"/>
          </w:tcPr>
          <w:p w:rsidR="007F6CAD" w:rsidRPr="007C544A" w:rsidRDefault="007F6CAD" w:rsidP="00706522">
            <w:pPr>
              <w:pStyle w:val="2"/>
              <w:spacing w:line="360" w:lineRule="auto"/>
              <w:jc w:val="right"/>
              <w:rPr>
                <w:rFonts w:ascii="Traditional Arabic" w:hAnsi="Traditional Arabic" w:cs="Traditional Arabic"/>
                <w:sz w:val="24"/>
                <w:szCs w:val="24"/>
              </w:rPr>
            </w:pPr>
          </w:p>
        </w:tc>
        <w:tc>
          <w:tcPr>
            <w:tcW w:w="1134" w:type="dxa"/>
            <w:tcBorders>
              <w:top w:val="nil"/>
              <w:bottom w:val="nil"/>
            </w:tcBorders>
          </w:tcPr>
          <w:p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25-35</w:t>
            </w:r>
          </w:p>
        </w:tc>
        <w:tc>
          <w:tcPr>
            <w:tcW w:w="567" w:type="dxa"/>
          </w:tcPr>
          <w:p w:rsidR="007F6CAD" w:rsidRPr="007C544A" w:rsidRDefault="007F6CAD" w:rsidP="00706522">
            <w:pPr>
              <w:pStyle w:val="2"/>
              <w:spacing w:line="360" w:lineRule="auto"/>
              <w:jc w:val="both"/>
              <w:rPr>
                <w:rFonts w:ascii="Traditional Arabic" w:hAnsi="Traditional Arabic" w:cs="Traditional Arabic"/>
                <w:sz w:val="24"/>
                <w:szCs w:val="24"/>
                <w:rtl/>
              </w:rPr>
            </w:pPr>
          </w:p>
        </w:tc>
        <w:tc>
          <w:tcPr>
            <w:tcW w:w="1439" w:type="dxa"/>
            <w:tcBorders>
              <w:top w:val="nil"/>
              <w:bottom w:val="nil"/>
            </w:tcBorders>
          </w:tcPr>
          <w:p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أكثر من 45</w:t>
            </w:r>
          </w:p>
        </w:tc>
        <w:tc>
          <w:tcPr>
            <w:tcW w:w="644" w:type="dxa"/>
          </w:tcPr>
          <w:p w:rsidR="007F6CAD" w:rsidRPr="007C544A" w:rsidRDefault="007F6CAD" w:rsidP="00706522">
            <w:pPr>
              <w:pStyle w:val="2"/>
              <w:spacing w:line="360" w:lineRule="auto"/>
              <w:jc w:val="both"/>
              <w:rPr>
                <w:rFonts w:ascii="Traditional Arabic" w:hAnsi="Traditional Arabic" w:cs="Traditional Arabic"/>
                <w:sz w:val="24"/>
                <w:szCs w:val="24"/>
                <w:rtl/>
              </w:rPr>
            </w:pPr>
          </w:p>
        </w:tc>
      </w:tr>
    </w:tbl>
    <w:p w:rsidR="0084532D" w:rsidRPr="007C544A" w:rsidRDefault="0084532D"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القسم/ الوظيفة: </w:t>
      </w:r>
    </w:p>
    <w:tbl>
      <w:tblPr>
        <w:tblStyle w:val="TableGrid"/>
        <w:bidiVisual/>
        <w:tblW w:w="7327" w:type="dxa"/>
        <w:jc w:val="center"/>
        <w:tblLook w:val="04A0" w:firstRow="1" w:lastRow="0" w:firstColumn="1" w:lastColumn="0" w:noHBand="0" w:noVBand="1"/>
      </w:tblPr>
      <w:tblGrid>
        <w:gridCol w:w="1275"/>
        <w:gridCol w:w="567"/>
        <w:gridCol w:w="1134"/>
        <w:gridCol w:w="567"/>
        <w:gridCol w:w="1134"/>
        <w:gridCol w:w="567"/>
        <w:gridCol w:w="1439"/>
        <w:gridCol w:w="644"/>
      </w:tblGrid>
      <w:tr w:rsidR="0084532D" w:rsidRPr="007C544A" w:rsidTr="00E84EBD">
        <w:trPr>
          <w:jc w:val="center"/>
        </w:trPr>
        <w:tc>
          <w:tcPr>
            <w:tcW w:w="1275" w:type="dxa"/>
            <w:tcBorders>
              <w:top w:val="nil"/>
              <w:left w:val="nil"/>
              <w:bottom w:val="nil"/>
            </w:tcBorders>
          </w:tcPr>
          <w:p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الإدارة العليا </w:t>
            </w:r>
          </w:p>
        </w:tc>
        <w:tc>
          <w:tcPr>
            <w:tcW w:w="567" w:type="dxa"/>
          </w:tcPr>
          <w:p w:rsidR="0084532D" w:rsidRPr="007C544A" w:rsidRDefault="0084532D" w:rsidP="00706522">
            <w:pPr>
              <w:pStyle w:val="2"/>
              <w:spacing w:line="360" w:lineRule="auto"/>
              <w:jc w:val="both"/>
              <w:rPr>
                <w:rFonts w:ascii="Traditional Arabic" w:hAnsi="Traditional Arabic" w:cs="Traditional Arabic"/>
                <w:sz w:val="24"/>
                <w:szCs w:val="24"/>
                <w:rtl/>
              </w:rPr>
            </w:pPr>
          </w:p>
        </w:tc>
        <w:tc>
          <w:tcPr>
            <w:tcW w:w="1134" w:type="dxa"/>
            <w:tcBorders>
              <w:top w:val="nil"/>
              <w:bottom w:val="nil"/>
            </w:tcBorders>
          </w:tcPr>
          <w:p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المالية</w:t>
            </w:r>
          </w:p>
        </w:tc>
        <w:tc>
          <w:tcPr>
            <w:tcW w:w="567" w:type="dxa"/>
          </w:tcPr>
          <w:p w:rsidR="0084532D" w:rsidRPr="007C544A" w:rsidRDefault="0084532D" w:rsidP="00706522">
            <w:pPr>
              <w:pStyle w:val="2"/>
              <w:spacing w:line="360" w:lineRule="auto"/>
              <w:jc w:val="right"/>
              <w:rPr>
                <w:rFonts w:ascii="Traditional Arabic" w:hAnsi="Traditional Arabic" w:cs="Traditional Arabic"/>
                <w:sz w:val="24"/>
                <w:szCs w:val="24"/>
              </w:rPr>
            </w:pPr>
          </w:p>
        </w:tc>
        <w:tc>
          <w:tcPr>
            <w:tcW w:w="1134" w:type="dxa"/>
            <w:tcBorders>
              <w:top w:val="nil"/>
              <w:bottom w:val="nil"/>
            </w:tcBorders>
          </w:tcPr>
          <w:p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التشغيل</w:t>
            </w:r>
          </w:p>
        </w:tc>
        <w:tc>
          <w:tcPr>
            <w:tcW w:w="567" w:type="dxa"/>
          </w:tcPr>
          <w:p w:rsidR="0084532D" w:rsidRPr="007C544A" w:rsidRDefault="0084532D" w:rsidP="00706522">
            <w:pPr>
              <w:pStyle w:val="2"/>
              <w:spacing w:line="360" w:lineRule="auto"/>
              <w:jc w:val="both"/>
              <w:rPr>
                <w:rFonts w:ascii="Traditional Arabic" w:hAnsi="Traditional Arabic" w:cs="Traditional Arabic"/>
                <w:sz w:val="24"/>
                <w:szCs w:val="24"/>
                <w:rtl/>
              </w:rPr>
            </w:pPr>
          </w:p>
        </w:tc>
        <w:tc>
          <w:tcPr>
            <w:tcW w:w="1439" w:type="dxa"/>
            <w:tcBorders>
              <w:top w:val="nil"/>
              <w:bottom w:val="nil"/>
            </w:tcBorders>
          </w:tcPr>
          <w:p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أخرى (تذكر)</w:t>
            </w:r>
          </w:p>
        </w:tc>
        <w:tc>
          <w:tcPr>
            <w:tcW w:w="644" w:type="dxa"/>
          </w:tcPr>
          <w:p w:rsidR="0084532D" w:rsidRPr="007C544A" w:rsidRDefault="0084532D" w:rsidP="00706522">
            <w:pPr>
              <w:pStyle w:val="2"/>
              <w:spacing w:line="360" w:lineRule="auto"/>
              <w:jc w:val="both"/>
              <w:rPr>
                <w:rFonts w:ascii="Traditional Arabic" w:hAnsi="Traditional Arabic" w:cs="Traditional Arabic"/>
                <w:sz w:val="24"/>
                <w:szCs w:val="24"/>
                <w:rtl/>
              </w:rPr>
            </w:pPr>
          </w:p>
        </w:tc>
      </w:tr>
    </w:tbl>
    <w:p w:rsidR="0084532D" w:rsidRPr="007C544A" w:rsidRDefault="0084532D"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سنوات الخبرة: </w:t>
      </w:r>
    </w:p>
    <w:tbl>
      <w:tblPr>
        <w:tblStyle w:val="TableGrid"/>
        <w:bidiVisual/>
        <w:tblW w:w="7939" w:type="dxa"/>
        <w:tblInd w:w="623" w:type="dxa"/>
        <w:tblLook w:val="04A0" w:firstRow="1" w:lastRow="0" w:firstColumn="1" w:lastColumn="0" w:noHBand="0" w:noVBand="1"/>
      </w:tblPr>
      <w:tblGrid>
        <w:gridCol w:w="1134"/>
        <w:gridCol w:w="567"/>
        <w:gridCol w:w="709"/>
        <w:gridCol w:w="567"/>
        <w:gridCol w:w="851"/>
        <w:gridCol w:w="567"/>
        <w:gridCol w:w="992"/>
        <w:gridCol w:w="567"/>
        <w:gridCol w:w="1417"/>
        <w:gridCol w:w="568"/>
      </w:tblGrid>
      <w:tr w:rsidR="004A6B0C" w:rsidRPr="007C544A" w:rsidTr="00A83F12">
        <w:tc>
          <w:tcPr>
            <w:tcW w:w="1134" w:type="dxa"/>
            <w:tcBorders>
              <w:top w:val="nil"/>
              <w:left w:val="nil"/>
              <w:bottom w:val="nil"/>
            </w:tcBorders>
          </w:tcPr>
          <w:p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أقل من 5 </w:t>
            </w:r>
          </w:p>
        </w:tc>
        <w:tc>
          <w:tcPr>
            <w:tcW w:w="567" w:type="dxa"/>
          </w:tcPr>
          <w:p w:rsidR="004A6B0C" w:rsidRPr="007C544A" w:rsidRDefault="004A6B0C" w:rsidP="00706522">
            <w:pPr>
              <w:pStyle w:val="2"/>
              <w:spacing w:line="360" w:lineRule="auto"/>
              <w:jc w:val="both"/>
              <w:rPr>
                <w:rFonts w:ascii="Traditional Arabic" w:hAnsi="Traditional Arabic" w:cs="Traditional Arabic"/>
                <w:sz w:val="24"/>
                <w:szCs w:val="24"/>
                <w:rtl/>
              </w:rPr>
            </w:pPr>
          </w:p>
        </w:tc>
        <w:tc>
          <w:tcPr>
            <w:tcW w:w="709" w:type="dxa"/>
            <w:tcBorders>
              <w:top w:val="nil"/>
              <w:bottom w:val="nil"/>
            </w:tcBorders>
          </w:tcPr>
          <w:p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3-5 </w:t>
            </w:r>
          </w:p>
        </w:tc>
        <w:tc>
          <w:tcPr>
            <w:tcW w:w="567" w:type="dxa"/>
          </w:tcPr>
          <w:p w:rsidR="004A6B0C" w:rsidRPr="007C544A" w:rsidRDefault="004A6B0C" w:rsidP="00706522">
            <w:pPr>
              <w:pStyle w:val="2"/>
              <w:spacing w:line="360" w:lineRule="auto"/>
              <w:jc w:val="right"/>
              <w:rPr>
                <w:rFonts w:ascii="Traditional Arabic" w:hAnsi="Traditional Arabic" w:cs="Traditional Arabic"/>
                <w:sz w:val="24"/>
                <w:szCs w:val="24"/>
              </w:rPr>
            </w:pPr>
          </w:p>
        </w:tc>
        <w:tc>
          <w:tcPr>
            <w:tcW w:w="851" w:type="dxa"/>
            <w:tcBorders>
              <w:top w:val="nil"/>
              <w:bottom w:val="nil"/>
            </w:tcBorders>
          </w:tcPr>
          <w:p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5-10</w:t>
            </w:r>
          </w:p>
        </w:tc>
        <w:tc>
          <w:tcPr>
            <w:tcW w:w="567" w:type="dxa"/>
          </w:tcPr>
          <w:p w:rsidR="004A6B0C" w:rsidRPr="007C544A" w:rsidRDefault="004A6B0C" w:rsidP="00706522">
            <w:pPr>
              <w:pStyle w:val="2"/>
              <w:spacing w:line="360" w:lineRule="auto"/>
              <w:jc w:val="both"/>
              <w:rPr>
                <w:rFonts w:ascii="Traditional Arabic" w:hAnsi="Traditional Arabic" w:cs="Traditional Arabic"/>
                <w:sz w:val="24"/>
                <w:szCs w:val="24"/>
                <w:rtl/>
              </w:rPr>
            </w:pPr>
          </w:p>
        </w:tc>
        <w:tc>
          <w:tcPr>
            <w:tcW w:w="992" w:type="dxa"/>
            <w:tcBorders>
              <w:top w:val="nil"/>
              <w:bottom w:val="nil"/>
            </w:tcBorders>
          </w:tcPr>
          <w:p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11-15</w:t>
            </w:r>
          </w:p>
        </w:tc>
        <w:tc>
          <w:tcPr>
            <w:tcW w:w="567" w:type="dxa"/>
          </w:tcPr>
          <w:p w:rsidR="004A6B0C" w:rsidRPr="007C544A" w:rsidRDefault="004A6B0C" w:rsidP="00706522">
            <w:pPr>
              <w:pStyle w:val="2"/>
              <w:spacing w:line="360" w:lineRule="auto"/>
              <w:jc w:val="right"/>
              <w:rPr>
                <w:rFonts w:ascii="Traditional Arabic" w:hAnsi="Traditional Arabic" w:cs="Traditional Arabic"/>
                <w:sz w:val="24"/>
                <w:szCs w:val="24"/>
                <w:rtl/>
              </w:rPr>
            </w:pPr>
          </w:p>
        </w:tc>
        <w:tc>
          <w:tcPr>
            <w:tcW w:w="1417" w:type="dxa"/>
            <w:tcBorders>
              <w:top w:val="nil"/>
              <w:bottom w:val="nil"/>
            </w:tcBorders>
          </w:tcPr>
          <w:p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أكثر من 15</w:t>
            </w:r>
          </w:p>
        </w:tc>
        <w:tc>
          <w:tcPr>
            <w:tcW w:w="568" w:type="dxa"/>
          </w:tcPr>
          <w:p w:rsidR="004A6B0C" w:rsidRPr="007C544A" w:rsidRDefault="004A6B0C" w:rsidP="00706522">
            <w:pPr>
              <w:pStyle w:val="2"/>
              <w:spacing w:line="360" w:lineRule="auto"/>
              <w:jc w:val="both"/>
              <w:rPr>
                <w:rFonts w:ascii="Traditional Arabic" w:hAnsi="Traditional Arabic" w:cs="Traditional Arabic"/>
                <w:sz w:val="24"/>
                <w:szCs w:val="24"/>
                <w:rtl/>
              </w:rPr>
            </w:pPr>
          </w:p>
        </w:tc>
      </w:tr>
    </w:tbl>
    <w:p w:rsidR="0084532D" w:rsidRPr="007C544A" w:rsidRDefault="0084532D" w:rsidP="00706522">
      <w:pPr>
        <w:pStyle w:val="2"/>
        <w:spacing w:line="360" w:lineRule="auto"/>
        <w:jc w:val="both"/>
        <w:rPr>
          <w:rFonts w:cs="Simplified Arabic"/>
          <w:sz w:val="28"/>
          <w:szCs w:val="28"/>
          <w:rtl/>
        </w:rPr>
      </w:pPr>
    </w:p>
    <w:p w:rsidR="00A83F12" w:rsidRPr="007C544A" w:rsidRDefault="00A83F12" w:rsidP="00706522">
      <w:pPr>
        <w:spacing w:after="0" w:line="360" w:lineRule="auto"/>
        <w:rPr>
          <w:rFonts w:ascii="Times New Roman" w:hAnsi="Times New Roman" w:cs="Simplified Arabic"/>
          <w:sz w:val="30"/>
          <w:szCs w:val="30"/>
          <w:rtl/>
        </w:rPr>
      </w:pPr>
      <w:r w:rsidRPr="007C544A">
        <w:rPr>
          <w:rFonts w:ascii="Times New Roman" w:hAnsi="Times New Roman" w:cs="Simplified Arabic"/>
          <w:sz w:val="30"/>
          <w:szCs w:val="30"/>
          <w:rtl/>
        </w:rPr>
        <w:br w:type="page"/>
      </w:r>
    </w:p>
    <w:p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sz w:val="28"/>
          <w:szCs w:val="28"/>
          <w:rtl/>
          <w:lang w:bidi="ar-SA"/>
        </w:rPr>
        <w:lastRenderedPageBreak/>
        <w:t xml:space="preserve">ثانياً- </w:t>
      </w:r>
      <w:r w:rsidR="005C20E0" w:rsidRPr="007C544A">
        <w:rPr>
          <w:rFonts w:ascii="Traditional Arabic" w:eastAsiaTheme="minorHAnsi" w:hAnsi="Traditional Arabic" w:cs="Traditional Arabic"/>
          <w:sz w:val="28"/>
          <w:szCs w:val="28"/>
          <w:rtl/>
          <w:lang w:bidi="ar-SA"/>
        </w:rPr>
        <w:t>الأداء</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المالي</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بعد</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الدمج</w:t>
      </w:r>
      <w:r w:rsidR="00D67830" w:rsidRPr="007C544A">
        <w:rPr>
          <w:rFonts w:ascii="Traditional Arabic" w:eastAsiaTheme="minorHAnsi" w:hAnsi="Traditional Arabic" w:cs="Traditional Arabic"/>
          <w:sz w:val="28"/>
          <w:szCs w:val="28"/>
          <w:rtl/>
        </w:rPr>
        <w:t xml:space="preserve"> </w:t>
      </w:r>
    </w:p>
    <w:tbl>
      <w:tblPr>
        <w:tblStyle w:val="TableGrid1"/>
        <w:bidiVisual/>
        <w:tblW w:w="9410" w:type="dxa"/>
        <w:jc w:val="center"/>
        <w:tblBorders>
          <w:top w:val="threeDEngrave" w:sz="24" w:space="0" w:color="auto"/>
          <w:bottom w:val="threeDEmboss" w:sz="24" w:space="0" w:color="auto"/>
        </w:tblBorders>
        <w:tblLook w:val="04A0" w:firstRow="1" w:lastRow="0" w:firstColumn="1" w:lastColumn="0" w:noHBand="0" w:noVBand="1"/>
      </w:tblPr>
      <w:tblGrid>
        <w:gridCol w:w="741"/>
        <w:gridCol w:w="4279"/>
        <w:gridCol w:w="875"/>
        <w:gridCol w:w="698"/>
        <w:gridCol w:w="850"/>
        <w:gridCol w:w="851"/>
        <w:gridCol w:w="1116"/>
      </w:tblGrid>
      <w:tr w:rsidR="00D67830" w:rsidRPr="007C544A"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279"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875"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698"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116"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D67830" w:rsidRPr="007C544A" w:rsidTr="00052F9C">
        <w:trPr>
          <w:trHeight w:val="443"/>
          <w:jc w:val="center"/>
        </w:trPr>
        <w:tc>
          <w:tcPr>
            <w:tcW w:w="0" w:type="auto"/>
            <w:tcBorders>
              <w:top w:val="threeDEmboss" w:sz="24" w:space="0" w:color="auto"/>
            </w:tcBorders>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F1</w:t>
            </w:r>
          </w:p>
        </w:tc>
        <w:tc>
          <w:tcPr>
            <w:tcW w:w="4279" w:type="dxa"/>
            <w:tcBorders>
              <w:top w:val="threeDEmboss" w:sz="24" w:space="0" w:color="auto"/>
              <w:bottom w:val="single" w:sz="4" w:space="0" w:color="auto"/>
            </w:tcBorders>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ارتفعت الإيرادات المتوقعة بعد الدمج</w:t>
            </w:r>
            <w:r w:rsidRPr="007C544A">
              <w:rPr>
                <w:rFonts w:ascii="Traditional Arabic" w:hAnsi="Traditional Arabic" w:cs="Traditional Arabic"/>
                <w:sz w:val="24"/>
                <w:szCs w:val="24"/>
              </w:rPr>
              <w:t>.</w:t>
            </w:r>
          </w:p>
        </w:tc>
        <w:tc>
          <w:tcPr>
            <w:tcW w:w="875"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27"/>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F2</w:t>
            </w:r>
          </w:p>
        </w:tc>
        <w:tc>
          <w:tcPr>
            <w:tcW w:w="4279" w:type="dxa"/>
            <w:tcBorders>
              <w:top w:val="single" w:sz="4" w:space="0" w:color="auto"/>
              <w:bottom w:val="single" w:sz="4" w:space="0" w:color="auto"/>
            </w:tcBorders>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تحسنت الأرباح الصافية</w:t>
            </w:r>
            <w:r w:rsidRPr="007C544A">
              <w:rPr>
                <w:rFonts w:ascii="Traditional Arabic" w:hAnsi="Traditional Arabic" w:cs="Traditional Arabic"/>
                <w:sz w:val="24"/>
                <w:szCs w:val="24"/>
              </w:rPr>
              <w:t>.</w:t>
            </w:r>
          </w:p>
        </w:tc>
        <w:tc>
          <w:tcPr>
            <w:tcW w:w="87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43"/>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f3</w:t>
            </w:r>
          </w:p>
        </w:tc>
        <w:tc>
          <w:tcPr>
            <w:tcW w:w="4279" w:type="dxa"/>
            <w:tcBorders>
              <w:top w:val="single" w:sz="4" w:space="0" w:color="auto"/>
              <w:bottom w:val="single" w:sz="4" w:space="0" w:color="auto"/>
            </w:tcBorders>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أصبحت الموارد المالية تُستخدم بكفاءة أعلى</w:t>
            </w:r>
            <w:r w:rsidRPr="007C544A">
              <w:rPr>
                <w:rFonts w:ascii="Traditional Arabic" w:hAnsi="Traditional Arabic" w:cs="Traditional Arabic"/>
                <w:sz w:val="24"/>
                <w:szCs w:val="24"/>
              </w:rPr>
              <w:t>.</w:t>
            </w:r>
          </w:p>
        </w:tc>
        <w:tc>
          <w:tcPr>
            <w:tcW w:w="87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27"/>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f4</w:t>
            </w:r>
          </w:p>
        </w:tc>
        <w:tc>
          <w:tcPr>
            <w:tcW w:w="4279" w:type="dxa"/>
            <w:tcBorders>
              <w:top w:val="single" w:sz="4" w:space="0" w:color="auto"/>
              <w:bottom w:val="single" w:sz="4" w:space="0" w:color="auto"/>
            </w:tcBorders>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تحسن معدل النمو السنوي للإيرادات</w:t>
            </w:r>
            <w:r w:rsidRPr="007C544A">
              <w:rPr>
                <w:rFonts w:ascii="Traditional Arabic" w:hAnsi="Traditional Arabic" w:cs="Traditional Arabic"/>
                <w:sz w:val="24"/>
                <w:szCs w:val="24"/>
              </w:rPr>
              <w:t>.</w:t>
            </w:r>
          </w:p>
        </w:tc>
        <w:tc>
          <w:tcPr>
            <w:tcW w:w="87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27"/>
          <w:jc w:val="center"/>
        </w:trPr>
        <w:tc>
          <w:tcPr>
            <w:tcW w:w="0" w:type="auto"/>
            <w:vAlign w:val="center"/>
          </w:tcPr>
          <w:p w:rsidR="00D67830" w:rsidRPr="007C544A" w:rsidRDefault="00D6783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Pr>
              <w:t>F</w:t>
            </w:r>
            <w:r w:rsidR="00052F9C" w:rsidRPr="007C544A">
              <w:rPr>
                <w:rFonts w:ascii="Traditional Arabic" w:hAnsi="Traditional Arabic" w:cs="Traditional Arabic"/>
                <w:sz w:val="24"/>
                <w:szCs w:val="24"/>
              </w:rPr>
              <w:t>5</w:t>
            </w:r>
          </w:p>
        </w:tc>
        <w:tc>
          <w:tcPr>
            <w:tcW w:w="4279" w:type="dxa"/>
            <w:tcBorders>
              <w:top w:val="single" w:sz="4" w:space="0" w:color="auto"/>
              <w:bottom w:val="threeDEmboss" w:sz="24" w:space="0" w:color="auto"/>
            </w:tcBorders>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تحسنت مؤشرات السيولة</w:t>
            </w:r>
            <w:r w:rsidRPr="007C544A">
              <w:rPr>
                <w:rFonts w:ascii="Traditional Arabic" w:hAnsi="Traditional Arabic" w:cs="Traditional Arabic"/>
                <w:sz w:val="24"/>
                <w:szCs w:val="24"/>
              </w:rPr>
              <w:t>.</w:t>
            </w:r>
          </w:p>
        </w:tc>
        <w:tc>
          <w:tcPr>
            <w:tcW w:w="87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rsidR="00D67830" w:rsidRPr="007C544A" w:rsidRDefault="00D67830" w:rsidP="00706522">
            <w:pPr>
              <w:bidi/>
              <w:spacing w:line="360" w:lineRule="auto"/>
              <w:jc w:val="both"/>
              <w:rPr>
                <w:rFonts w:ascii="Traditional Arabic" w:hAnsi="Traditional Arabic" w:cs="Traditional Arabic"/>
                <w:sz w:val="24"/>
                <w:szCs w:val="24"/>
              </w:rPr>
            </w:pPr>
          </w:p>
        </w:tc>
      </w:tr>
    </w:tbl>
    <w:p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sz w:val="28"/>
          <w:szCs w:val="28"/>
          <w:rtl/>
          <w:lang w:bidi="ar-SA"/>
        </w:rPr>
        <w:t xml:space="preserve">ثالثاً- </w:t>
      </w:r>
      <w:r w:rsidR="00D67830" w:rsidRPr="007C544A">
        <w:rPr>
          <w:rFonts w:ascii="Traditional Arabic" w:eastAsiaTheme="minorHAnsi" w:hAnsi="Traditional Arabic" w:cs="Traditional Arabic"/>
          <w:sz w:val="28"/>
          <w:szCs w:val="28"/>
          <w:rtl/>
          <w:lang w:bidi="ar-SA"/>
        </w:rPr>
        <w:t>متطلبات</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الحوكمة</w:t>
      </w:r>
      <w:r w:rsidR="00D7278E" w:rsidRPr="007C544A">
        <w:rPr>
          <w:rFonts w:ascii="Traditional Arabic" w:eastAsiaTheme="minorHAnsi" w:hAnsi="Traditional Arabic" w:cs="Traditional Arabic"/>
          <w:sz w:val="28"/>
          <w:szCs w:val="28"/>
          <w:rtl/>
          <w:lang w:bidi="ar-SA"/>
        </w:rPr>
        <w:t xml:space="preserve"> </w:t>
      </w:r>
      <w:r w:rsidR="00D67830" w:rsidRPr="007C544A">
        <w:rPr>
          <w:rFonts w:ascii="Traditional Arabic" w:eastAsiaTheme="minorHAnsi" w:hAnsi="Traditional Arabic" w:cs="Traditional Arabic"/>
          <w:sz w:val="28"/>
          <w:szCs w:val="28"/>
          <w:rtl/>
          <w:lang w:bidi="ar-SA"/>
        </w:rPr>
        <w:t>في</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سوق</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النمو</w:t>
      </w:r>
    </w:p>
    <w:tbl>
      <w:tblPr>
        <w:tblStyle w:val="TableGrid1"/>
        <w:bidiVisual/>
        <w:tblW w:w="9410" w:type="dxa"/>
        <w:jc w:val="center"/>
        <w:tblBorders>
          <w:top w:val="threeDEngrave" w:sz="24" w:space="0" w:color="auto"/>
          <w:bottom w:val="threeDEmboss" w:sz="24" w:space="0" w:color="auto"/>
        </w:tblBorders>
        <w:tblLook w:val="04A0" w:firstRow="1" w:lastRow="0" w:firstColumn="1" w:lastColumn="0" w:noHBand="0" w:noVBand="1"/>
      </w:tblPr>
      <w:tblGrid>
        <w:gridCol w:w="754"/>
        <w:gridCol w:w="4131"/>
        <w:gridCol w:w="999"/>
        <w:gridCol w:w="709"/>
        <w:gridCol w:w="850"/>
        <w:gridCol w:w="851"/>
        <w:gridCol w:w="1116"/>
      </w:tblGrid>
      <w:tr w:rsidR="00D67830" w:rsidRPr="007C544A"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131"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999"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709"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116"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D67830" w:rsidRPr="007C544A" w:rsidTr="00052F9C">
        <w:trPr>
          <w:trHeight w:val="443"/>
          <w:jc w:val="center"/>
        </w:trPr>
        <w:tc>
          <w:tcPr>
            <w:tcW w:w="0" w:type="auto"/>
            <w:tcBorders>
              <w:top w:val="threeDEmboss" w:sz="24" w:space="0" w:color="auto"/>
            </w:tcBorders>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G1</w:t>
            </w:r>
          </w:p>
        </w:tc>
        <w:tc>
          <w:tcPr>
            <w:tcW w:w="4131" w:type="dxa"/>
            <w:tcBorders>
              <w:top w:val="threeDEmboss" w:sz="24" w:space="0" w:color="auto"/>
            </w:tcBorders>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هياكل الحوكمة الحالية بالشركتين تُلبي متطلبات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w:t>
            </w:r>
            <w:r w:rsidRPr="007C544A">
              <w:rPr>
                <w:rFonts w:ascii="Traditional Arabic" w:hAnsi="Traditional Arabic" w:cs="Traditional Arabic"/>
                <w:sz w:val="24"/>
                <w:szCs w:val="24"/>
              </w:rPr>
              <w:t>.</w:t>
            </w:r>
          </w:p>
        </w:tc>
        <w:tc>
          <w:tcPr>
            <w:tcW w:w="999"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27"/>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G2</w:t>
            </w:r>
          </w:p>
        </w:tc>
        <w:tc>
          <w:tcPr>
            <w:tcW w:w="4131" w:type="dxa"/>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تتوافر سياسات واضحة للشفافية والإفصاح المالي اللازمة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Pr>
              <w:t>..</w:t>
            </w:r>
          </w:p>
        </w:tc>
        <w:tc>
          <w:tcPr>
            <w:tcW w:w="999"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43"/>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G3.</w:t>
            </w:r>
          </w:p>
        </w:tc>
        <w:tc>
          <w:tcPr>
            <w:tcW w:w="4131" w:type="dxa"/>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نظم الرقابة الداخلية والتدقيق في الشركتين كافية لمتطلبات السوق الموازي</w:t>
            </w:r>
          </w:p>
        </w:tc>
        <w:tc>
          <w:tcPr>
            <w:tcW w:w="999"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27"/>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G4</w:t>
            </w:r>
          </w:p>
        </w:tc>
        <w:tc>
          <w:tcPr>
            <w:tcW w:w="4131" w:type="dxa"/>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هناك مخطط زمني لتطوير الحوكمة استعدادًا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Pr>
              <w:t>.</w:t>
            </w:r>
          </w:p>
        </w:tc>
        <w:tc>
          <w:tcPr>
            <w:tcW w:w="999"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27"/>
          <w:jc w:val="center"/>
        </w:trPr>
        <w:tc>
          <w:tcPr>
            <w:tcW w:w="0" w:type="auto"/>
            <w:vAlign w:val="center"/>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G5</w:t>
            </w:r>
          </w:p>
        </w:tc>
        <w:tc>
          <w:tcPr>
            <w:tcW w:w="4131" w:type="dxa"/>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الموظفون وال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مدركون لمتطلبات الحوكمة ومتعاونون لتنفيذها</w:t>
            </w:r>
            <w:r w:rsidRPr="007C544A">
              <w:rPr>
                <w:rFonts w:ascii="Traditional Arabic" w:hAnsi="Traditional Arabic" w:cs="Traditional Arabic"/>
                <w:sz w:val="24"/>
                <w:szCs w:val="24"/>
              </w:rPr>
              <w:t>.</w:t>
            </w:r>
          </w:p>
        </w:tc>
        <w:tc>
          <w:tcPr>
            <w:tcW w:w="999"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rsidR="00D67830" w:rsidRPr="007C544A" w:rsidRDefault="00D67830" w:rsidP="00706522">
            <w:pPr>
              <w:bidi/>
              <w:spacing w:line="360" w:lineRule="auto"/>
              <w:jc w:val="both"/>
              <w:rPr>
                <w:rFonts w:ascii="Traditional Arabic" w:hAnsi="Traditional Arabic" w:cs="Traditional Arabic"/>
                <w:sz w:val="24"/>
                <w:szCs w:val="24"/>
              </w:rPr>
            </w:pPr>
          </w:p>
        </w:tc>
      </w:tr>
    </w:tbl>
    <w:p w:rsidR="00052F9C" w:rsidRPr="007C544A" w:rsidRDefault="00052F9C" w:rsidP="00706522">
      <w:pPr>
        <w:pStyle w:val="Heading2"/>
        <w:bidi/>
        <w:spacing w:line="360" w:lineRule="auto"/>
        <w:ind w:left="0"/>
        <w:jc w:val="both"/>
        <w:rPr>
          <w:rFonts w:ascii="Times New Roman" w:eastAsiaTheme="minorHAnsi" w:hAnsi="Times New Roman" w:cs="Simplified Arabic"/>
          <w:b w:val="0"/>
          <w:bCs w:val="0"/>
          <w:sz w:val="30"/>
          <w:szCs w:val="30"/>
          <w:rtl/>
          <w:lang w:bidi="ar-SA"/>
        </w:rPr>
      </w:pPr>
    </w:p>
    <w:p w:rsidR="00052F9C" w:rsidRPr="007C544A" w:rsidRDefault="00052F9C" w:rsidP="00706522">
      <w:pPr>
        <w:spacing w:after="0" w:line="360" w:lineRule="auto"/>
        <w:rPr>
          <w:rFonts w:ascii="Times New Roman" w:hAnsi="Times New Roman" w:cs="Simplified Arabic"/>
          <w:sz w:val="30"/>
          <w:szCs w:val="30"/>
          <w:rtl/>
        </w:rPr>
      </w:pPr>
      <w:r w:rsidRPr="007C544A">
        <w:rPr>
          <w:rFonts w:ascii="Times New Roman" w:hAnsi="Times New Roman" w:cs="Simplified Arabic"/>
          <w:sz w:val="30"/>
          <w:szCs w:val="30"/>
          <w:rtl/>
        </w:rPr>
        <w:br w:type="page"/>
      </w:r>
    </w:p>
    <w:p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hint="cs"/>
          <w:sz w:val="28"/>
          <w:szCs w:val="28"/>
          <w:rtl/>
          <w:lang w:bidi="ar-SA"/>
        </w:rPr>
        <w:lastRenderedPageBreak/>
        <w:t xml:space="preserve">رابعاً- </w:t>
      </w:r>
      <w:r w:rsidR="00D67830" w:rsidRPr="007C544A">
        <w:rPr>
          <w:rFonts w:ascii="Traditional Arabic" w:eastAsiaTheme="minorHAnsi" w:hAnsi="Traditional Arabic" w:cs="Traditional Arabic" w:hint="cs"/>
          <w:sz w:val="28"/>
          <w:szCs w:val="28"/>
          <w:rtl/>
          <w:lang w:bidi="ar-SA"/>
        </w:rPr>
        <w:t xml:space="preserve">تعزيز </w:t>
      </w:r>
      <w:r w:rsidR="00D67830" w:rsidRPr="007C544A">
        <w:rPr>
          <w:rFonts w:ascii="Traditional Arabic" w:eastAsiaTheme="minorHAnsi" w:hAnsi="Traditional Arabic" w:cs="Traditional Arabic"/>
          <w:sz w:val="28"/>
          <w:szCs w:val="28"/>
          <w:rtl/>
          <w:lang w:bidi="ar-SA"/>
        </w:rPr>
        <w:t>القدرة التنافسية</w:t>
      </w:r>
      <w:r w:rsidR="00775B4E" w:rsidRPr="007C544A">
        <w:rPr>
          <w:rFonts w:ascii="Traditional Arabic" w:eastAsiaTheme="minorHAnsi" w:hAnsi="Traditional Arabic" w:cs="Traditional Arabic"/>
          <w:sz w:val="28"/>
          <w:szCs w:val="28"/>
          <w:rtl/>
          <w:lang w:bidi="ar-SA"/>
        </w:rPr>
        <w:t xml:space="preserve">: </w:t>
      </w:r>
    </w:p>
    <w:tbl>
      <w:tblPr>
        <w:tblStyle w:val="TableGrid1"/>
        <w:bidiVisual/>
        <w:tblW w:w="9428" w:type="dxa"/>
        <w:jc w:val="center"/>
        <w:tblBorders>
          <w:top w:val="threeDEngrave" w:sz="24" w:space="0" w:color="auto"/>
          <w:bottom w:val="threeDEmboss" w:sz="24" w:space="0" w:color="auto"/>
        </w:tblBorders>
        <w:tblLook w:val="04A0" w:firstRow="1" w:lastRow="0" w:firstColumn="1" w:lastColumn="0" w:noHBand="0" w:noVBand="1"/>
      </w:tblPr>
      <w:tblGrid>
        <w:gridCol w:w="615"/>
        <w:gridCol w:w="4199"/>
        <w:gridCol w:w="911"/>
        <w:gridCol w:w="735"/>
        <w:gridCol w:w="850"/>
        <w:gridCol w:w="851"/>
        <w:gridCol w:w="1267"/>
      </w:tblGrid>
      <w:tr w:rsidR="00052F9C" w:rsidRPr="007C544A"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199"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911"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735"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267"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052F9C" w:rsidRPr="007C544A" w:rsidTr="00052F9C">
        <w:trPr>
          <w:trHeight w:val="443"/>
          <w:jc w:val="center"/>
        </w:trPr>
        <w:tc>
          <w:tcPr>
            <w:tcW w:w="0" w:type="auto"/>
            <w:tcBorders>
              <w:top w:val="threeDEmboss" w:sz="24" w:space="0" w:color="auto"/>
            </w:tcBorders>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C1</w:t>
            </w:r>
          </w:p>
        </w:tc>
        <w:tc>
          <w:tcPr>
            <w:tcW w:w="4199" w:type="dxa"/>
            <w:tcBorders>
              <w:top w:val="threeDEmboss" w:sz="24" w:space="0" w:color="auto"/>
            </w:tcBorders>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سيؤدي</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زيادة الحصة السوقية للشركة المدمجة</w:t>
            </w:r>
          </w:p>
        </w:tc>
        <w:tc>
          <w:tcPr>
            <w:tcW w:w="911"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rsidTr="00052F9C">
        <w:trPr>
          <w:trHeight w:val="427"/>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C2</w:t>
            </w:r>
          </w:p>
        </w:tc>
        <w:tc>
          <w:tcPr>
            <w:tcW w:w="4199" w:type="dxa"/>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يحسّن القدرة على تقديم منتجات أو خدمات مميزة</w:t>
            </w:r>
            <w:r w:rsidRPr="007C544A">
              <w:rPr>
                <w:rFonts w:ascii="Traditional Arabic" w:hAnsi="Traditional Arabic" w:cs="Traditional Arabic"/>
                <w:sz w:val="24"/>
                <w:szCs w:val="24"/>
              </w:rPr>
              <w:t>.</w:t>
            </w:r>
          </w:p>
        </w:tc>
        <w:tc>
          <w:tcPr>
            <w:tcW w:w="91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rsidTr="00052F9C">
        <w:trPr>
          <w:trHeight w:val="443"/>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C3</w:t>
            </w:r>
          </w:p>
        </w:tc>
        <w:tc>
          <w:tcPr>
            <w:tcW w:w="4199" w:type="dxa"/>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يُحسّن أداء التسويق والوصول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شرائح سوقية جديدة</w:t>
            </w:r>
          </w:p>
        </w:tc>
        <w:tc>
          <w:tcPr>
            <w:tcW w:w="91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rsidTr="00052F9C">
        <w:trPr>
          <w:trHeight w:val="427"/>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C4</w:t>
            </w:r>
          </w:p>
        </w:tc>
        <w:tc>
          <w:tcPr>
            <w:tcW w:w="4199" w:type="dxa"/>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يرفع كفاءة العمليات التشغيلية مما يعزز التنافسية</w:t>
            </w:r>
          </w:p>
        </w:tc>
        <w:tc>
          <w:tcPr>
            <w:tcW w:w="91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rsidTr="00052F9C">
        <w:trPr>
          <w:trHeight w:val="427"/>
          <w:jc w:val="center"/>
        </w:trPr>
        <w:tc>
          <w:tcPr>
            <w:tcW w:w="0" w:type="auto"/>
            <w:vAlign w:val="center"/>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C5</w:t>
            </w:r>
          </w:p>
        </w:tc>
        <w:tc>
          <w:tcPr>
            <w:tcW w:w="4199" w:type="dxa"/>
            <w:shd w:val="clear" w:color="auto" w:fill="D9D9D9" w:themeFill="background1" w:themeFillShade="D9"/>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يساعد في تنويع المنتجات/الخدمات وتقليل مخاطر الاعتماد على منتج واحد</w:t>
            </w:r>
            <w:r w:rsidRPr="007C544A">
              <w:rPr>
                <w:rFonts w:ascii="Traditional Arabic" w:hAnsi="Traditional Arabic" w:cs="Traditional Arabic"/>
                <w:sz w:val="24"/>
                <w:szCs w:val="24"/>
              </w:rPr>
              <w:t>.</w:t>
            </w:r>
          </w:p>
        </w:tc>
        <w:tc>
          <w:tcPr>
            <w:tcW w:w="91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rsidR="00D67830" w:rsidRPr="007C544A" w:rsidRDefault="00D67830" w:rsidP="00706522">
            <w:pPr>
              <w:bidi/>
              <w:spacing w:line="360" w:lineRule="auto"/>
              <w:jc w:val="both"/>
              <w:rPr>
                <w:rFonts w:ascii="Traditional Arabic" w:hAnsi="Traditional Arabic" w:cs="Traditional Arabic"/>
                <w:sz w:val="24"/>
                <w:szCs w:val="24"/>
              </w:rPr>
            </w:pPr>
          </w:p>
        </w:tc>
      </w:tr>
    </w:tbl>
    <w:p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sz w:val="28"/>
          <w:szCs w:val="28"/>
          <w:rtl/>
          <w:lang w:bidi="ar-SA"/>
        </w:rPr>
        <w:t xml:space="preserve">خامساً- </w:t>
      </w:r>
      <w:r w:rsidR="00D67830" w:rsidRPr="007C544A">
        <w:rPr>
          <w:rFonts w:ascii="Traditional Arabic" w:eastAsiaTheme="minorHAnsi" w:hAnsi="Traditional Arabic" w:cs="Traditional Arabic"/>
          <w:sz w:val="28"/>
          <w:szCs w:val="28"/>
          <w:rtl/>
          <w:lang w:bidi="ar-SA"/>
        </w:rPr>
        <w:t>فرص</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الحصول</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على</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تمويل</w:t>
      </w:r>
      <w:r w:rsidR="00775B4E" w:rsidRPr="007C544A">
        <w:rPr>
          <w:rFonts w:ascii="Traditional Arabic" w:eastAsiaTheme="minorHAnsi" w:hAnsi="Traditional Arabic" w:cs="Traditional Arabic"/>
          <w:sz w:val="28"/>
          <w:szCs w:val="28"/>
          <w:rtl/>
          <w:lang w:bidi="ar-SA"/>
        </w:rPr>
        <w:t xml:space="preserve">: </w:t>
      </w:r>
    </w:p>
    <w:tbl>
      <w:tblPr>
        <w:tblStyle w:val="TableGrid1"/>
        <w:bidiVisual/>
        <w:tblW w:w="9601" w:type="dxa"/>
        <w:jc w:val="center"/>
        <w:tblBorders>
          <w:top w:val="threeDEngrave" w:sz="24" w:space="0" w:color="auto"/>
          <w:bottom w:val="threeDEmboss" w:sz="24" w:space="0" w:color="auto"/>
        </w:tblBorders>
        <w:tblLook w:val="04A0" w:firstRow="1" w:lastRow="0" w:firstColumn="1" w:lastColumn="0" w:noHBand="0" w:noVBand="1"/>
      </w:tblPr>
      <w:tblGrid>
        <w:gridCol w:w="719"/>
        <w:gridCol w:w="4269"/>
        <w:gridCol w:w="824"/>
        <w:gridCol w:w="735"/>
        <w:gridCol w:w="850"/>
        <w:gridCol w:w="978"/>
        <w:gridCol w:w="1226"/>
      </w:tblGrid>
      <w:tr w:rsidR="00D67830" w:rsidRPr="007C544A"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269"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824"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735"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978"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226" w:type="dxa"/>
            <w:tcBorders>
              <w:top w:val="threeDEngrave" w:sz="24" w:space="0" w:color="auto"/>
              <w:bottom w:val="threeDEmboss" w:sz="24" w:space="0" w:color="auto"/>
            </w:tcBorders>
            <w:shd w:val="clear" w:color="auto" w:fill="D9D9D9" w:themeFill="background1" w:themeFillShade="D9"/>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D67830" w:rsidRPr="007C544A" w:rsidTr="00052F9C">
        <w:trPr>
          <w:trHeight w:val="443"/>
          <w:jc w:val="center"/>
        </w:trPr>
        <w:tc>
          <w:tcPr>
            <w:tcW w:w="0" w:type="auto"/>
            <w:tcBorders>
              <w:top w:val="threeDEmboss" w:sz="24" w:space="0" w:color="auto"/>
            </w:tcBorders>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L1</w:t>
            </w:r>
          </w:p>
        </w:tc>
        <w:tc>
          <w:tcPr>
            <w:tcW w:w="4269" w:type="dxa"/>
            <w:tcBorders>
              <w:top w:val="threeDEmboss" w:sz="24" w:space="0" w:color="auto"/>
            </w:tcBorders>
            <w:shd w:val="clear" w:color="auto" w:fill="D9D9D9" w:themeFill="background1" w:themeFillShade="D9"/>
            <w:hideMark/>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بعد الدمج يسهل 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مصادر تمويل خارجية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قروض/</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سندات/</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مستثمرين)</w:t>
            </w:r>
            <w:r w:rsidRPr="007C544A">
              <w:rPr>
                <w:rFonts w:ascii="Traditional Arabic" w:hAnsi="Traditional Arabic" w:cs="Traditional Arabic"/>
                <w:sz w:val="24"/>
                <w:szCs w:val="24"/>
              </w:rPr>
              <w:t>.</w:t>
            </w:r>
          </w:p>
        </w:tc>
        <w:tc>
          <w:tcPr>
            <w:tcW w:w="824"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Borders>
              <w:top w:val="threeDEmboss" w:sz="24" w:space="0" w:color="auto"/>
            </w:tcBorders>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27"/>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L2</w:t>
            </w:r>
          </w:p>
        </w:tc>
        <w:tc>
          <w:tcPr>
            <w:tcW w:w="4269" w:type="dxa"/>
            <w:shd w:val="clear" w:color="auto" w:fill="D9D9D9" w:themeFill="background1" w:themeFillShade="D9"/>
            <w:hideMark/>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يزيد من ثقة المؤسسات المالية والمستثمرين بمركز الشركة</w:t>
            </w:r>
            <w:r w:rsidRPr="007C544A">
              <w:rPr>
                <w:rFonts w:ascii="Traditional Arabic" w:hAnsi="Traditional Arabic" w:cs="Traditional Arabic"/>
                <w:sz w:val="24"/>
                <w:szCs w:val="24"/>
              </w:rPr>
              <w:t>.</w:t>
            </w:r>
          </w:p>
        </w:tc>
        <w:tc>
          <w:tcPr>
            <w:tcW w:w="824"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43"/>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L3</w:t>
            </w:r>
          </w:p>
        </w:tc>
        <w:tc>
          <w:tcPr>
            <w:tcW w:w="4269" w:type="dxa"/>
            <w:shd w:val="clear" w:color="auto" w:fill="D9D9D9" w:themeFill="background1" w:themeFillShade="D9"/>
            <w:hideMark/>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الدمج يُحسّن الجدارة الائتمانية المتوقعة للشركة</w:t>
            </w:r>
            <w:r w:rsidRPr="007C544A">
              <w:rPr>
                <w:rFonts w:ascii="Traditional Arabic" w:hAnsi="Traditional Arabic" w:cs="Traditional Arabic"/>
                <w:sz w:val="24"/>
                <w:szCs w:val="24"/>
              </w:rPr>
              <w:t>.</w:t>
            </w:r>
          </w:p>
        </w:tc>
        <w:tc>
          <w:tcPr>
            <w:tcW w:w="824"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27"/>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L4</w:t>
            </w:r>
          </w:p>
        </w:tc>
        <w:tc>
          <w:tcPr>
            <w:tcW w:w="4269" w:type="dxa"/>
            <w:shd w:val="clear" w:color="auto" w:fill="D9D9D9" w:themeFill="background1" w:themeFillShade="D9"/>
            <w:hideMark/>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إمكانية إصدار أدوات تمويلية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أسهم/</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صكوك/</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سندات) بعد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أصبحت أعلى</w:t>
            </w:r>
            <w:r w:rsidRPr="007C544A">
              <w:rPr>
                <w:rFonts w:ascii="Traditional Arabic" w:hAnsi="Traditional Arabic" w:cs="Traditional Arabic"/>
                <w:sz w:val="24"/>
                <w:szCs w:val="24"/>
              </w:rPr>
              <w:t>.</w:t>
            </w:r>
          </w:p>
        </w:tc>
        <w:tc>
          <w:tcPr>
            <w:tcW w:w="824"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rsidTr="00052F9C">
        <w:trPr>
          <w:trHeight w:val="443"/>
          <w:jc w:val="center"/>
        </w:trPr>
        <w:tc>
          <w:tcPr>
            <w:tcW w:w="0" w:type="auto"/>
            <w:vAlign w:val="center"/>
            <w:hideMark/>
          </w:tcPr>
          <w:p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L5</w:t>
            </w:r>
          </w:p>
        </w:tc>
        <w:tc>
          <w:tcPr>
            <w:tcW w:w="4269" w:type="dxa"/>
            <w:shd w:val="clear" w:color="auto" w:fill="D9D9D9" w:themeFill="background1" w:themeFillShade="D9"/>
            <w:hideMark/>
          </w:tcPr>
          <w:p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القدرة على جذب مستثمرين استراتيجيين أو شركاء ماليين تزداد بسبب الدمج</w:t>
            </w:r>
          </w:p>
        </w:tc>
        <w:tc>
          <w:tcPr>
            <w:tcW w:w="824"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rsidR="00D67830" w:rsidRPr="007C544A" w:rsidRDefault="00D67830" w:rsidP="00706522">
            <w:pPr>
              <w:bidi/>
              <w:spacing w:line="360" w:lineRule="auto"/>
              <w:jc w:val="both"/>
              <w:rPr>
                <w:rFonts w:ascii="Traditional Arabic" w:hAnsi="Traditional Arabic" w:cs="Traditional Arabic"/>
                <w:sz w:val="24"/>
                <w:szCs w:val="24"/>
              </w:rPr>
            </w:pPr>
          </w:p>
        </w:tc>
      </w:tr>
    </w:tbl>
    <w:p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sz w:val="28"/>
          <w:szCs w:val="28"/>
        </w:rPr>
      </w:pPr>
      <w:r w:rsidRPr="007C544A">
        <w:rPr>
          <w:rFonts w:ascii="Traditional Arabic" w:eastAsiaTheme="minorHAnsi" w:hAnsi="Traditional Arabic" w:cs="Traditional Arabic"/>
          <w:sz w:val="28"/>
          <w:szCs w:val="28"/>
          <w:rtl/>
        </w:rPr>
        <w:t>شكرًا لتعاونكم ودعمكم لإنجاح هذه الدراسة</w:t>
      </w:r>
      <w:r w:rsidR="00103112" w:rsidRPr="007C544A">
        <w:rPr>
          <w:rFonts w:ascii="Traditional Arabic" w:eastAsiaTheme="minorHAnsi" w:hAnsi="Traditional Arabic" w:cs="Traditional Arabic"/>
          <w:sz w:val="28"/>
          <w:szCs w:val="28"/>
          <w:rtl/>
        </w:rPr>
        <w:t>،،،</w:t>
      </w:r>
    </w:p>
    <w:p w:rsidR="00052F9C" w:rsidRPr="007C544A" w:rsidRDefault="00052F9C" w:rsidP="00706522">
      <w:pPr>
        <w:spacing w:after="0" w:line="360" w:lineRule="auto"/>
        <w:rPr>
          <w:rFonts w:ascii="Times New Roman" w:hAnsi="Times New Roman" w:cs="Simplified Arabic"/>
          <w:sz w:val="6"/>
          <w:szCs w:val="6"/>
          <w:rtl/>
          <w:lang w:bidi="ar-EG"/>
        </w:rPr>
      </w:pPr>
      <w:r w:rsidRPr="007C544A">
        <w:rPr>
          <w:rFonts w:ascii="Times New Roman" w:hAnsi="Times New Roman" w:cs="Simplified Arabic"/>
          <w:sz w:val="6"/>
          <w:szCs w:val="6"/>
          <w:rtl/>
        </w:rPr>
        <w:br w:type="page"/>
      </w:r>
    </w:p>
    <w:p w:rsidR="00052F9C" w:rsidRPr="007C544A" w:rsidRDefault="00052F9C" w:rsidP="00706522">
      <w:pPr>
        <w:pStyle w:val="a"/>
        <w:shd w:val="clear" w:color="auto" w:fill="FFFFFF" w:themeFill="background1"/>
        <w:spacing w:line="360" w:lineRule="auto"/>
        <w:rPr>
          <w:rFonts w:cs="Simplified Arabic"/>
          <w:sz w:val="40"/>
          <w:szCs w:val="40"/>
          <w:rtl/>
        </w:rPr>
      </w:pPr>
    </w:p>
    <w:p w:rsidR="00052F9C" w:rsidRPr="007C544A" w:rsidRDefault="00052F9C" w:rsidP="00706522">
      <w:pPr>
        <w:pStyle w:val="a"/>
        <w:shd w:val="clear" w:color="auto" w:fill="FFFFFF" w:themeFill="background1"/>
        <w:spacing w:line="360" w:lineRule="auto"/>
        <w:rPr>
          <w:rFonts w:cs="Simplified Arabic"/>
          <w:sz w:val="40"/>
          <w:szCs w:val="40"/>
          <w:rtl/>
        </w:rPr>
      </w:pPr>
    </w:p>
    <w:p w:rsidR="00052F9C" w:rsidRPr="007C544A" w:rsidRDefault="00052F9C" w:rsidP="00706522">
      <w:pPr>
        <w:pStyle w:val="a"/>
        <w:shd w:val="clear" w:color="auto" w:fill="FFFFFF" w:themeFill="background1"/>
        <w:spacing w:line="360" w:lineRule="auto"/>
        <w:rPr>
          <w:rFonts w:cs="Simplified Arabic"/>
          <w:sz w:val="40"/>
          <w:szCs w:val="40"/>
          <w:rtl/>
        </w:rPr>
      </w:pPr>
    </w:p>
    <w:p w:rsidR="00052F9C" w:rsidRPr="007C544A" w:rsidRDefault="00052F9C" w:rsidP="00706522">
      <w:pPr>
        <w:pStyle w:val="a"/>
        <w:shd w:val="clear" w:color="auto" w:fill="FFFFFF" w:themeFill="background1"/>
        <w:spacing w:line="360" w:lineRule="auto"/>
        <w:rPr>
          <w:rFonts w:cs="Simplified Arabic"/>
          <w:sz w:val="40"/>
          <w:szCs w:val="40"/>
          <w:rtl/>
        </w:rPr>
      </w:pPr>
    </w:p>
    <w:p w:rsidR="00052F9C" w:rsidRPr="007C544A" w:rsidRDefault="00052F9C" w:rsidP="00CF0D63">
      <w:pPr>
        <w:pStyle w:val="a"/>
        <w:shd w:val="clear" w:color="auto" w:fill="FFFFFF" w:themeFill="background1"/>
        <w:spacing w:line="360" w:lineRule="auto"/>
        <w:jc w:val="left"/>
        <w:rPr>
          <w:rFonts w:cs="Simplified Arabic"/>
          <w:sz w:val="40"/>
          <w:szCs w:val="40"/>
          <w:rtl/>
        </w:rPr>
      </w:pPr>
    </w:p>
    <w:p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ملحق</w:t>
      </w:r>
      <w:r w:rsidR="00D7278E" w:rsidRPr="007C544A">
        <w:rPr>
          <w:rFonts w:ascii="Traditional Arabic" w:hAnsi="Traditional Arabic" w:cs="Traditional Arabic"/>
          <w:b/>
          <w:bCs/>
          <w:sz w:val="40"/>
          <w:szCs w:val="40"/>
          <w:rtl/>
        </w:rPr>
        <w:t xml:space="preserve"> (</w:t>
      </w:r>
      <w:r w:rsidR="004C381B" w:rsidRPr="007C544A">
        <w:rPr>
          <w:rFonts w:ascii="Traditional Arabic" w:hAnsi="Traditional Arabic" w:cs="Traditional Arabic"/>
          <w:b/>
          <w:bCs/>
          <w:sz w:val="40"/>
          <w:szCs w:val="40"/>
          <w:rtl/>
        </w:rPr>
        <w:t>3)</w:t>
      </w:r>
    </w:p>
    <w:p w:rsidR="00D67830" w:rsidRPr="007C544A" w:rsidRDefault="00D67830" w:rsidP="00706522">
      <w:pPr>
        <w:pStyle w:val="a"/>
        <w:shd w:val="clear" w:color="auto" w:fill="FFFFFF" w:themeFill="background1"/>
        <w:spacing w:line="360" w:lineRule="auto"/>
        <w:rPr>
          <w:rFonts w:ascii="Traditional Arabic" w:hAnsi="Traditional Arabic" w:cs="Traditional Arabic"/>
          <w:sz w:val="40"/>
          <w:szCs w:val="40"/>
          <w:rtl/>
        </w:rPr>
      </w:pPr>
      <w:r w:rsidRPr="007C544A">
        <w:rPr>
          <w:rFonts w:ascii="Traditional Arabic" w:hAnsi="Traditional Arabic" w:cs="Traditional Arabic"/>
          <w:b/>
          <w:bCs/>
          <w:sz w:val="40"/>
          <w:szCs w:val="40"/>
          <w:rtl/>
        </w:rPr>
        <w:t>دليل المقابلة المتعمقة</w:t>
      </w:r>
    </w:p>
    <w:p w:rsidR="00D67830" w:rsidRPr="007C544A" w:rsidRDefault="00D67830" w:rsidP="00706522">
      <w:pPr>
        <w:bidi/>
        <w:spacing w:after="0" w:line="360" w:lineRule="auto"/>
        <w:ind w:firstLine="720"/>
        <w:jc w:val="both"/>
        <w:rPr>
          <w:rFonts w:ascii="Times New Roman" w:hAnsi="Times New Roman" w:cs="Simplified Arabic"/>
          <w:sz w:val="28"/>
          <w:szCs w:val="28"/>
        </w:rPr>
      </w:pPr>
    </w:p>
    <w:p w:rsidR="00D67830" w:rsidRPr="007C544A" w:rsidRDefault="00D67830" w:rsidP="00706522">
      <w:pPr>
        <w:bidi/>
        <w:spacing w:after="0" w:line="360" w:lineRule="auto"/>
        <w:ind w:firstLine="720"/>
        <w:jc w:val="both"/>
        <w:rPr>
          <w:rFonts w:ascii="Times New Roman" w:hAnsi="Times New Roman" w:cs="Simplified Arabic"/>
          <w:sz w:val="28"/>
          <w:szCs w:val="28"/>
          <w:rtl/>
        </w:rPr>
      </w:pPr>
    </w:p>
    <w:p w:rsidR="00D67830" w:rsidRPr="007C544A" w:rsidRDefault="00D67830" w:rsidP="00706522">
      <w:pPr>
        <w:bidi/>
        <w:spacing w:after="0" w:line="360" w:lineRule="auto"/>
        <w:ind w:firstLine="720"/>
        <w:jc w:val="both"/>
        <w:rPr>
          <w:rFonts w:ascii="Times New Roman" w:hAnsi="Times New Roman" w:cs="Simplified Arabic"/>
          <w:sz w:val="28"/>
          <w:szCs w:val="28"/>
          <w:rtl/>
        </w:rPr>
      </w:pPr>
    </w:p>
    <w:p w:rsidR="00D67830" w:rsidRPr="007C544A" w:rsidRDefault="00D67830" w:rsidP="00706522">
      <w:pPr>
        <w:bidi/>
        <w:spacing w:after="0" w:line="360" w:lineRule="auto"/>
        <w:ind w:firstLine="720"/>
        <w:jc w:val="both"/>
        <w:rPr>
          <w:rFonts w:ascii="Times New Roman" w:hAnsi="Times New Roman" w:cs="Simplified Arabic"/>
          <w:sz w:val="28"/>
          <w:szCs w:val="28"/>
          <w:rtl/>
        </w:rPr>
      </w:pPr>
    </w:p>
    <w:p w:rsidR="00D67830" w:rsidRPr="007C544A" w:rsidRDefault="00D67830" w:rsidP="00706522">
      <w:pPr>
        <w:bidi/>
        <w:spacing w:after="0" w:line="360" w:lineRule="auto"/>
        <w:ind w:firstLine="720"/>
        <w:jc w:val="both"/>
        <w:rPr>
          <w:rFonts w:ascii="Times New Roman" w:hAnsi="Times New Roman" w:cs="Simplified Arabic"/>
          <w:sz w:val="28"/>
          <w:szCs w:val="28"/>
          <w:rtl/>
        </w:rPr>
      </w:pPr>
    </w:p>
    <w:p w:rsidR="00D67830" w:rsidRPr="007C544A" w:rsidRDefault="00D67830" w:rsidP="00706522">
      <w:pPr>
        <w:bidi/>
        <w:spacing w:after="0" w:line="360" w:lineRule="auto"/>
        <w:ind w:firstLine="720"/>
        <w:jc w:val="both"/>
        <w:rPr>
          <w:rFonts w:ascii="Times New Roman" w:hAnsi="Times New Roman" w:cs="Simplified Arabic"/>
          <w:sz w:val="28"/>
          <w:szCs w:val="28"/>
          <w:rtl/>
        </w:rPr>
      </w:pPr>
    </w:p>
    <w:p w:rsidR="00D67830" w:rsidRPr="007C544A" w:rsidRDefault="00D67830" w:rsidP="00706522">
      <w:pPr>
        <w:bidi/>
        <w:spacing w:after="0" w:line="360" w:lineRule="auto"/>
        <w:ind w:firstLine="720"/>
        <w:jc w:val="both"/>
        <w:rPr>
          <w:rFonts w:ascii="Times New Roman" w:hAnsi="Times New Roman" w:cs="Simplified Arabic"/>
          <w:sz w:val="28"/>
          <w:szCs w:val="28"/>
          <w:rtl/>
        </w:rPr>
      </w:pPr>
    </w:p>
    <w:p w:rsidR="00D67830" w:rsidRPr="007C544A" w:rsidRDefault="00D67830" w:rsidP="00706522">
      <w:pPr>
        <w:bidi/>
        <w:spacing w:after="0" w:line="360" w:lineRule="auto"/>
        <w:ind w:firstLine="720"/>
        <w:jc w:val="both"/>
        <w:rPr>
          <w:rFonts w:ascii="Times New Roman" w:hAnsi="Times New Roman" w:cs="Simplified Arabic"/>
          <w:sz w:val="28"/>
          <w:szCs w:val="28"/>
          <w:rtl/>
        </w:rPr>
      </w:pPr>
    </w:p>
    <w:p w:rsidR="00D67830" w:rsidRPr="007C544A" w:rsidRDefault="00D67830" w:rsidP="00CF0D63">
      <w:pPr>
        <w:bidi/>
        <w:spacing w:after="0" w:line="360" w:lineRule="auto"/>
        <w:jc w:val="both"/>
        <w:rPr>
          <w:rFonts w:ascii="Times New Roman" w:hAnsi="Times New Roman" w:cs="Simplified Arabic"/>
          <w:sz w:val="28"/>
          <w:szCs w:val="28"/>
          <w:rtl/>
        </w:rPr>
      </w:pPr>
    </w:p>
    <w:p w:rsidR="00D67830" w:rsidRPr="007C544A" w:rsidRDefault="00D67830" w:rsidP="00706522">
      <w:pPr>
        <w:bidi/>
        <w:spacing w:after="0" w:line="360" w:lineRule="auto"/>
        <w:ind w:firstLine="720"/>
        <w:jc w:val="both"/>
        <w:rPr>
          <w:rFonts w:ascii="Times New Roman" w:hAnsi="Times New Roman" w:cs="Simplified Arabic"/>
          <w:sz w:val="28"/>
          <w:szCs w:val="28"/>
          <w:rtl/>
        </w:rPr>
      </w:pPr>
    </w:p>
    <w:p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دليل المقابلة المتعمقة</w:t>
      </w:r>
    </w:p>
    <w:p w:rsidR="00E62420" w:rsidRPr="007C544A" w:rsidRDefault="00D67830" w:rsidP="00706522">
      <w:pPr>
        <w:pStyle w:val="NormalWeb"/>
        <w:bidi/>
        <w:spacing w:before="0" w:beforeAutospacing="0" w:after="0" w:afterAutospacing="0" w:line="360" w:lineRule="auto"/>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موضوع الدراسة</w:t>
      </w:r>
      <w:r w:rsidR="00775B4E" w:rsidRPr="007C544A">
        <w:rPr>
          <w:rFonts w:ascii="Traditional Arabic" w:hAnsi="Traditional Arabic" w:cs="Traditional Arabic"/>
          <w:b/>
          <w:bCs/>
          <w:sz w:val="28"/>
          <w:szCs w:val="28"/>
          <w:rtl/>
        </w:rPr>
        <w:t xml:space="preserve">: </w:t>
      </w:r>
    </w:p>
    <w:p w:rsidR="00E6242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استراتيجية دمج الشركات لدخول سوق النمو – السوق الموازية لسوق المال السعودي</w:t>
      </w:r>
      <w:r w:rsidR="00775B4E" w:rsidRPr="007C544A">
        <w:rPr>
          <w:rFonts w:ascii="Traditional Arabic" w:hAnsi="Traditional Arabic" w:cs="Traditional Arabic"/>
          <w:rtl/>
        </w:rPr>
        <w:t xml:space="preserve">: </w:t>
      </w:r>
      <w:r w:rsidRPr="007C544A">
        <w:rPr>
          <w:rFonts w:ascii="Traditional Arabic" w:hAnsi="Traditional Arabic" w:cs="Traditional Arabic"/>
          <w:rtl/>
        </w:rPr>
        <w:t>دراسة ميدانية في الشركات العائلية</w:t>
      </w:r>
      <w:r w:rsidR="00E62420" w:rsidRPr="007C544A">
        <w:rPr>
          <w:rFonts w:ascii="Traditional Arabic" w:hAnsi="Traditional Arabic" w:cs="Traditional Arabic"/>
          <w:rtl/>
        </w:rPr>
        <w:t>.</w:t>
      </w:r>
    </w:p>
    <w:p w:rsidR="00E62420" w:rsidRPr="007C544A" w:rsidRDefault="00D67830" w:rsidP="00706522">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rtl/>
        </w:rPr>
        <w:t>الباحث</w:t>
      </w:r>
      <w:r w:rsidR="00775B4E" w:rsidRPr="007C544A">
        <w:rPr>
          <w:rFonts w:ascii="Traditional Arabic" w:hAnsi="Traditional Arabic" w:cs="Traditional Arabic"/>
          <w:rtl/>
        </w:rPr>
        <w:t xml:space="preserve">: </w:t>
      </w:r>
      <w:r w:rsidRPr="007C544A">
        <w:rPr>
          <w:rFonts w:ascii="Traditional Arabic" w:hAnsi="Traditional Arabic" w:cs="Traditional Arabic"/>
          <w:rtl/>
        </w:rPr>
        <w:t>صادق حسن الصفار</w:t>
      </w:r>
      <w:r w:rsidR="00E62420" w:rsidRPr="007C544A">
        <w:rPr>
          <w:rFonts w:ascii="Traditional Arabic" w:hAnsi="Traditional Arabic" w:cs="Traditional Arabic"/>
          <w:rtl/>
        </w:rPr>
        <w:t>.</w:t>
      </w:r>
    </w:p>
    <w:p w:rsidR="00E62420" w:rsidRPr="007C544A" w:rsidRDefault="00D67830" w:rsidP="00706522">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rtl/>
        </w:rPr>
        <w:t>التاريخ</w:t>
      </w:r>
      <w:r w:rsidR="00775B4E" w:rsidRPr="007C544A">
        <w:rPr>
          <w:rFonts w:ascii="Traditional Arabic" w:hAnsi="Traditional Arabic" w:cs="Traditional Arabic"/>
          <w:rtl/>
        </w:rPr>
        <w:t>:</w:t>
      </w:r>
      <w:r w:rsidR="00E62420" w:rsidRPr="007C544A">
        <w:rPr>
          <w:rFonts w:ascii="Traditional Arabic" w:hAnsi="Traditional Arabic" w:cs="Traditional Arabic"/>
          <w:rtl/>
        </w:rPr>
        <w:t xml:space="preserve"> 2025</w:t>
      </w:r>
    </w:p>
    <w:p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hint="cs"/>
          <w:rtl/>
        </w:rPr>
        <w:t xml:space="preserve">تاريخ المقابلة:..................... </w:t>
      </w:r>
    </w:p>
    <w:p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hint="cs"/>
          <w:rtl/>
        </w:rPr>
        <w:t>مكان المقابلة :....................</w:t>
      </w:r>
    </w:p>
    <w:p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hint="cs"/>
          <w:rtl/>
        </w:rPr>
        <w:t>وقت المقابلة :.....................</w:t>
      </w:r>
    </w:p>
    <w:p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p>
    <w:p w:rsidR="00D67830" w:rsidRPr="007C544A" w:rsidRDefault="00D67830" w:rsidP="00706522">
      <w:pPr>
        <w:pStyle w:val="NormalWeb"/>
        <w:bidi/>
        <w:spacing w:before="0" w:beforeAutospacing="0" w:after="0" w:afterAutospacing="0" w:line="360" w:lineRule="auto"/>
        <w:jc w:val="both"/>
        <w:rPr>
          <w:rFonts w:ascii="Traditional Arabic" w:hAnsi="Traditional Arabic" w:cs="Traditional Arabic"/>
          <w:b/>
          <w:bCs/>
          <w:sz w:val="28"/>
          <w:szCs w:val="28"/>
        </w:rPr>
      </w:pPr>
      <w:r w:rsidRPr="007C544A">
        <w:rPr>
          <w:rFonts w:ascii="Traditional Arabic" w:hAnsi="Traditional Arabic" w:cs="Traditional Arabic"/>
          <w:b/>
          <w:bCs/>
          <w:sz w:val="28"/>
          <w:szCs w:val="28"/>
          <w:rtl/>
        </w:rPr>
        <w:t>تعليمات عامة للمقابلة</w:t>
      </w:r>
      <w:r w:rsidR="00E62420" w:rsidRPr="007C544A">
        <w:rPr>
          <w:rFonts w:ascii="Traditional Arabic" w:hAnsi="Traditional Arabic" w:cs="Traditional Arabic"/>
          <w:b/>
          <w:bCs/>
          <w:sz w:val="28"/>
          <w:szCs w:val="28"/>
          <w:rtl/>
        </w:rPr>
        <w:t>:</w:t>
      </w:r>
    </w:p>
    <w:p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المقابلة تهدف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توضيح نتائج الاستبيان وتفسيرها بشكل أعمق</w:t>
      </w:r>
      <w:r w:rsidRPr="007C544A">
        <w:rPr>
          <w:rFonts w:ascii="Traditional Arabic" w:hAnsi="Traditional Arabic" w:cs="Traditional Arabic"/>
        </w:rPr>
        <w:t>.</w:t>
      </w:r>
    </w:p>
    <w:p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المشاركة طوعية وسرية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ولن تُستخدم أي معلومات شخصية</w:t>
      </w:r>
      <w:r w:rsidRPr="007C544A">
        <w:rPr>
          <w:rFonts w:ascii="Traditional Arabic" w:hAnsi="Traditional Arabic" w:cs="Traditional Arabic"/>
        </w:rPr>
        <w:t>.</w:t>
      </w:r>
    </w:p>
    <w:p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يُطلب من المستجيب التعبير عن رأيه بحرية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مع الالتزام بموضوعية الأسئلة</w:t>
      </w:r>
      <w:r w:rsidRPr="007C544A">
        <w:rPr>
          <w:rFonts w:ascii="Traditional Arabic" w:hAnsi="Traditional Arabic" w:cs="Traditional Arabic"/>
        </w:rPr>
        <w:t>.</w:t>
      </w:r>
    </w:p>
    <w:p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يمكن للمحاور طرح أسئلة متابعة لتوضيح الإجابات</w:t>
      </w:r>
      <w:r w:rsidRPr="007C544A">
        <w:rPr>
          <w:rFonts w:ascii="Traditional Arabic" w:hAnsi="Traditional Arabic" w:cs="Traditional Arabic"/>
        </w:rPr>
        <w:t>.</w:t>
      </w:r>
    </w:p>
    <w:p w:rsidR="00D67830" w:rsidRPr="007C544A" w:rsidRDefault="00D67830" w:rsidP="00706522">
      <w:pPr>
        <w:bidi/>
        <w:spacing w:after="0" w:line="360" w:lineRule="auto"/>
        <w:ind w:firstLine="720"/>
        <w:jc w:val="both"/>
        <w:rPr>
          <w:rFonts w:ascii="Times New Roman" w:hAnsi="Times New Roman" w:cs="Simplified Arabic"/>
          <w:sz w:val="28"/>
          <w:szCs w:val="28"/>
          <w:rtl/>
        </w:rPr>
      </w:pPr>
    </w:p>
    <w:p w:rsidR="00D67830" w:rsidRPr="007C544A" w:rsidRDefault="00D67830" w:rsidP="00706522">
      <w:pPr>
        <w:bidi/>
        <w:spacing w:after="0" w:line="360" w:lineRule="auto"/>
        <w:ind w:firstLine="720"/>
        <w:jc w:val="both"/>
        <w:rPr>
          <w:rFonts w:ascii="Times New Roman" w:hAnsi="Times New Roman" w:cs="Simplified Arabic"/>
          <w:sz w:val="28"/>
          <w:szCs w:val="28"/>
          <w:rtl/>
        </w:rPr>
      </w:pPr>
      <w:r w:rsidRPr="007C544A">
        <w:rPr>
          <w:rFonts w:ascii="Times New Roman" w:hAnsi="Times New Roman" w:cs="Simplified Arabic"/>
          <w:sz w:val="28"/>
          <w:szCs w:val="28"/>
          <w:rtl/>
        </w:rPr>
        <w:br w:type="page"/>
      </w:r>
    </w:p>
    <w:p w:rsidR="00D67830" w:rsidRPr="007C544A" w:rsidRDefault="00D67830" w:rsidP="00706522">
      <w:pPr>
        <w:pStyle w:val="a"/>
        <w:shd w:val="clear" w:color="auto" w:fill="FFFFFF" w:themeFill="background1"/>
        <w:spacing w:line="360" w:lineRule="auto"/>
        <w:jc w:val="left"/>
        <w:rPr>
          <w:rFonts w:ascii="Traditional Arabic" w:hAnsi="Traditional Arabic" w:cs="Traditional Arabic"/>
          <w:sz w:val="32"/>
          <w:szCs w:val="32"/>
          <w:rtl/>
        </w:rPr>
      </w:pPr>
      <w:r w:rsidRPr="007C544A">
        <w:rPr>
          <w:rFonts w:ascii="Traditional Arabic" w:hAnsi="Traditional Arabic" w:cs="Traditional Arabic"/>
          <w:sz w:val="32"/>
          <w:szCs w:val="32"/>
          <w:rtl/>
        </w:rPr>
        <w:lastRenderedPageBreak/>
        <w:t>محاور المقابلة المتعمقة</w:t>
      </w:r>
      <w:r w:rsidR="00775B4E" w:rsidRPr="007C544A">
        <w:rPr>
          <w:rFonts w:ascii="Traditional Arabic" w:hAnsi="Traditional Arabic" w:cs="Traditional Arabic"/>
          <w:sz w:val="32"/>
          <w:szCs w:val="32"/>
          <w:rtl/>
        </w:rPr>
        <w:t xml:space="preserve">: </w:t>
      </w:r>
      <w:r w:rsidRPr="007C544A">
        <w:rPr>
          <w:rFonts w:ascii="Traditional Arabic" w:hAnsi="Traditional Arabic" w:cs="Traditional Arabic"/>
          <w:sz w:val="32"/>
          <w:szCs w:val="32"/>
          <w:rtl/>
        </w:rPr>
        <w:tab/>
      </w:r>
    </w:p>
    <w:p w:rsidR="00D67830" w:rsidRPr="007C544A" w:rsidRDefault="005C20E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الأداء</w:t>
      </w:r>
      <w:r w:rsidR="00D67830" w:rsidRPr="007C544A">
        <w:rPr>
          <w:rFonts w:ascii="Traditional Arabic" w:eastAsiaTheme="minorHAnsi" w:hAnsi="Traditional Arabic" w:cs="Traditional Arabic"/>
          <w:b/>
          <w:bCs/>
          <w:sz w:val="28"/>
          <w:szCs w:val="28"/>
          <w:rtl/>
        </w:rPr>
        <w:t xml:space="preserve"> المالي بعد الدمج</w:t>
      </w:r>
      <w:r w:rsidR="00E62420" w:rsidRPr="007C544A">
        <w:rPr>
          <w:rFonts w:ascii="Traditional Arabic" w:eastAsiaTheme="minorHAnsi" w:hAnsi="Traditional Arabic" w:cs="Traditional Arabic"/>
          <w:b/>
          <w:bCs/>
          <w:sz w:val="28"/>
          <w:szCs w:val="28"/>
          <w:rtl/>
        </w:rPr>
        <w:t>:</w:t>
      </w:r>
    </w:p>
    <w:p w:rsidR="00D6783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 xml:space="preserve">يتناول هذا المحور تقييم أثر الدمج على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 للشركة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يشمل الإيرادات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الأرباح</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كفاءة استخدام الموارد</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ومعدلات النمو والسيولة. ويهدف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فهم كيف انعكس الدمج على المؤشرات المالية بشكل عملي من وجهة نظر الأفراد ذوي الخبرة المباشرة</w:t>
      </w:r>
      <w:r w:rsidRPr="007C544A">
        <w:rPr>
          <w:rFonts w:ascii="Traditional Arabic" w:hAnsi="Traditional Arabic" w:cs="Traditional Arabic"/>
        </w:rPr>
        <w:t>.</w:t>
      </w:r>
    </w:p>
    <w:p w:rsidR="00D67830" w:rsidRPr="007C544A" w:rsidRDefault="00D67830" w:rsidP="00CF0D63">
      <w:pPr>
        <w:pStyle w:val="NormalWeb"/>
        <w:bidi/>
        <w:spacing w:before="0" w:beforeAutospacing="0" w:after="0" w:afterAutospacing="0" w:line="276" w:lineRule="auto"/>
        <w:jc w:val="both"/>
        <w:rPr>
          <w:rFonts w:ascii="Traditional Arabic" w:hAnsi="Traditional Arabic" w:cs="Traditional Arabic"/>
          <w:sz w:val="28"/>
          <w:szCs w:val="28"/>
        </w:r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p>
    <w:p w:rsidR="00D67830" w:rsidRPr="007C544A" w:rsidRDefault="00D6783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متطلبات الحوكمة في سوق النمو</w:t>
      </w:r>
      <w:r w:rsidR="00E62420" w:rsidRPr="007C544A">
        <w:rPr>
          <w:rFonts w:ascii="Traditional Arabic" w:eastAsiaTheme="minorHAnsi" w:hAnsi="Traditional Arabic" w:cs="Traditional Arabic"/>
          <w:b/>
          <w:bCs/>
          <w:sz w:val="28"/>
          <w:szCs w:val="28"/>
          <w:rtl/>
        </w:rPr>
        <w:t>:</w:t>
      </w:r>
    </w:p>
    <w:p w:rsidR="00D6783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يركز هذا المحور على مدى جاهزية الشركات من حيث الهياكل والسياسات والرقابة الداخلية لتلبية 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ويساعد هذا المحور على فهم التحديات والفرص المرتبطة بتطبيق مبادئ الحوكمة على أرض الواقع</w:t>
      </w:r>
      <w:r w:rsidRPr="007C544A">
        <w:rPr>
          <w:rFonts w:ascii="Traditional Arabic" w:hAnsi="Traditional Arabic" w:cs="Traditional Arabic"/>
        </w:rPr>
        <w:t>.</w:t>
      </w:r>
    </w:p>
    <w:p w:rsidR="00D67830" w:rsidRPr="007C544A" w:rsidRDefault="00D67830" w:rsidP="00CF0D63">
      <w:pPr>
        <w:pStyle w:val="NormalWeb"/>
        <w:bidi/>
        <w:spacing w:before="0" w:beforeAutospacing="0" w:after="0" w:afterAutospacing="0" w:line="276" w:lineRule="auto"/>
        <w:jc w:val="both"/>
        <w:rPr>
          <w:rFonts w:ascii="Traditional Arabic" w:hAnsi="Traditional Arabic" w:cs="Traditional Arabic"/>
          <w:sz w:val="28"/>
          <w:szCs w:val="28"/>
        </w:r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p>
    <w:p w:rsidR="00D67830" w:rsidRPr="007C544A" w:rsidRDefault="00D6783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تعزيز القدرة التنافسية</w:t>
      </w:r>
      <w:r w:rsidR="00E62420" w:rsidRPr="007C544A">
        <w:rPr>
          <w:rFonts w:ascii="Traditional Arabic" w:eastAsiaTheme="minorHAnsi" w:hAnsi="Traditional Arabic" w:cs="Traditional Arabic"/>
          <w:b/>
          <w:bCs/>
          <w:sz w:val="28"/>
          <w:szCs w:val="28"/>
          <w:rtl/>
        </w:rPr>
        <w:t>:</w:t>
      </w:r>
    </w:p>
    <w:p w:rsidR="00D6783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يهدف هذا المحور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دراسة أثر الدمج على القوة التنافسية للشركة المدمجة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حيث الحصة السوقية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جودة المنتجات والخدمات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كفاءة العمليات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وتوسيع نطاق السوق. ويعكس هذا المحور رؤية المشاركين حول مدى نجاح الدمج في تحقيق ميزة تنافسية مستدامة</w:t>
      </w:r>
      <w:r w:rsidRPr="007C544A">
        <w:rPr>
          <w:rFonts w:ascii="Traditional Arabic" w:hAnsi="Traditional Arabic" w:cs="Traditional Arabic"/>
        </w:rPr>
        <w:t>.</w:t>
      </w:r>
    </w:p>
    <w:p w:rsidR="00D67830" w:rsidRPr="007C544A" w:rsidRDefault="00D67830" w:rsidP="00CF0D63">
      <w:pPr>
        <w:pStyle w:val="NormalWeb"/>
        <w:bidi/>
        <w:spacing w:before="0" w:beforeAutospacing="0" w:after="0" w:afterAutospacing="0" w:line="276" w:lineRule="auto"/>
        <w:jc w:val="both"/>
        <w:rPr>
          <w:rFonts w:ascii="Traditional Arabic" w:hAnsi="Traditional Arabic" w:cs="Traditional Arabic"/>
          <w:sz w:val="28"/>
          <w:szCs w:val="28"/>
        </w:r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p>
    <w:p w:rsidR="00D67830" w:rsidRPr="007C544A" w:rsidRDefault="00D6783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فرص الحصول على التمويل</w:t>
      </w:r>
      <w:r w:rsidR="00E62420" w:rsidRPr="007C544A">
        <w:rPr>
          <w:rFonts w:ascii="Traditional Arabic" w:eastAsiaTheme="minorHAnsi" w:hAnsi="Traditional Arabic" w:cs="Traditional Arabic"/>
          <w:b/>
          <w:bCs/>
          <w:sz w:val="28"/>
          <w:szCs w:val="28"/>
          <w:rtl/>
        </w:rPr>
        <w:t>:</w:t>
      </w:r>
    </w:p>
    <w:p w:rsidR="00D67830" w:rsidRPr="007C544A" w:rsidRDefault="00D67830" w:rsidP="00706522">
      <w:pPr>
        <w:pStyle w:val="NormalWeb"/>
        <w:bidi/>
        <w:spacing w:before="0" w:beforeAutospacing="0" w:after="0" w:afterAutospacing="0" w:line="360" w:lineRule="auto"/>
        <w:ind w:firstLine="720"/>
        <w:jc w:val="both"/>
        <w:rPr>
          <w:rFonts w:cs="Simplified Arabic"/>
          <w:sz w:val="28"/>
          <w:szCs w:val="28"/>
        </w:rPr>
      </w:pPr>
      <w:r w:rsidRPr="007C544A">
        <w:rPr>
          <w:rFonts w:ascii="Traditional Arabic" w:hAnsi="Traditional Arabic" w:cs="Traditional Arabic"/>
          <w:rtl/>
        </w:rPr>
        <w:t>يركز هذا المحور على تقييم أثر الدمج على قدرة الشركة في الوصول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مصادر التمويل المختلفة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وزيادة الثقة لدى المستثمرين والمؤسسات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وتحسين الجدارة الائتمانية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فرص إصدار أدوات تمويلية وجذب شركاء استراتيجيين</w:t>
      </w:r>
      <w:r w:rsidRPr="007C544A">
        <w:rPr>
          <w:rFonts w:ascii="Traditional Arabic" w:hAnsi="Traditional Arabic" w:cs="Traditional Arabic"/>
        </w:rPr>
        <w:t>.</w:t>
      </w:r>
    </w:p>
    <w:p w:rsidR="00474BB4" w:rsidRPr="007C544A" w:rsidRDefault="00D67830" w:rsidP="00CF0D63">
      <w:pPr>
        <w:pStyle w:val="NormalWeb"/>
        <w:bidi/>
        <w:spacing w:before="0" w:beforeAutospacing="0" w:after="0" w:afterAutospacing="0" w:line="276" w:lineRule="auto"/>
        <w:jc w:val="both"/>
        <w:rPr>
          <w:rFonts w:ascii="Traditional Arabic" w:hAnsi="Traditional Arabic" w:cs="Traditional Arabic"/>
          <w:sz w:val="40"/>
          <w:szCs w:val="40"/>
          <w:rtl/>
          <w:lang w:bidi="ar-EG"/>
        </w:r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r w:rsidR="00474BB4" w:rsidRPr="007C544A">
        <w:rPr>
          <w:rFonts w:ascii="Traditional Arabic" w:hAnsi="Traditional Arabic" w:cs="Traditional Arabic"/>
          <w:sz w:val="40"/>
          <w:szCs w:val="40"/>
          <w:rtl/>
        </w:rPr>
        <w:br w:type="page"/>
      </w:r>
    </w:p>
    <w:p w:rsidR="00CD0BF8" w:rsidRPr="007C544A" w:rsidRDefault="00CD0BF8" w:rsidP="00706522">
      <w:pPr>
        <w:pStyle w:val="a"/>
        <w:shd w:val="clear" w:color="auto" w:fill="FFFFFF" w:themeFill="background1"/>
        <w:spacing w:line="360" w:lineRule="auto"/>
        <w:rPr>
          <w:rFonts w:cs="Simplified Arabic"/>
          <w:sz w:val="40"/>
          <w:szCs w:val="40"/>
          <w:rtl/>
        </w:rPr>
        <w:sectPr w:rsidR="00CD0BF8" w:rsidRPr="007C544A" w:rsidSect="00F771BE">
          <w:headerReference w:type="default" r:id="rId28"/>
          <w:headerReference w:type="first" r:id="rId29"/>
          <w:pgSz w:w="11906" w:h="16838" w:code="9"/>
          <w:pgMar w:top="1440" w:right="1797" w:bottom="1440" w:left="1797" w:header="720" w:footer="720" w:gutter="0"/>
          <w:pgNumType w:fmt="numberInDash" w:chapStyle="1"/>
          <w:cols w:space="720"/>
          <w:titlePg/>
          <w:docGrid w:linePitch="299"/>
        </w:sect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4"/>
        <w:gridCol w:w="1982"/>
        <w:gridCol w:w="2986"/>
      </w:tblGrid>
      <w:tr w:rsidR="0034289C" w:rsidRPr="007C544A" w:rsidTr="0034289C">
        <w:tc>
          <w:tcPr>
            <w:tcW w:w="3344" w:type="dxa"/>
            <w:vAlign w:val="center"/>
          </w:tcPr>
          <w:p w:rsidR="00F07923" w:rsidRPr="007C544A" w:rsidRDefault="00825A7B" w:rsidP="00706522">
            <w:pPr>
              <w:bidi/>
              <w:spacing w:line="360" w:lineRule="auto"/>
              <w:jc w:val="center"/>
              <w:rPr>
                <w:rFonts w:ascii="Times New Roman" w:hAnsi="Times New Roman" w:cs="QCF2107"/>
                <w:sz w:val="38"/>
                <w:szCs w:val="38"/>
                <w:rtl/>
              </w:rPr>
            </w:pPr>
            <w:r w:rsidRPr="007C544A">
              <w:rPr>
                <w:rFonts w:ascii="Times New Roman" w:hAnsi="Times New Roman" w:cs="ae_Cortoba"/>
                <w:noProof/>
                <w:sz w:val="40"/>
                <w:szCs w:val="40"/>
                <w:rtl/>
              </w:rPr>
              <w:lastRenderedPageBreak/>
              <w:drawing>
                <wp:inline distT="0" distB="0" distL="0" distR="0" wp14:anchorId="5AD57D7C" wp14:editId="4B3BEB54">
                  <wp:extent cx="1986280" cy="883467"/>
                  <wp:effectExtent l="0" t="0" r="0" b="0"/>
                  <wp:docPr id="10"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8"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c>
          <w:tcPr>
            <w:tcW w:w="1982" w:type="dxa"/>
            <w:vAlign w:val="center"/>
          </w:tcPr>
          <w:p w:rsidR="00F07923" w:rsidRPr="007C544A" w:rsidRDefault="00F07923" w:rsidP="00706522">
            <w:pPr>
              <w:bidi/>
              <w:spacing w:line="360" w:lineRule="auto"/>
              <w:jc w:val="center"/>
              <w:rPr>
                <w:rFonts w:ascii="Times New Roman" w:hAnsi="Times New Roman" w:cs="QCF2107"/>
                <w:sz w:val="38"/>
                <w:szCs w:val="38"/>
                <w:rtl/>
              </w:rPr>
            </w:pPr>
          </w:p>
        </w:tc>
        <w:tc>
          <w:tcPr>
            <w:tcW w:w="2986" w:type="dxa"/>
            <w:vAlign w:val="center"/>
          </w:tcPr>
          <w:p w:rsidR="00825A7B" w:rsidRPr="007C544A" w:rsidRDefault="00825A7B" w:rsidP="00706522">
            <w:pPr>
              <w:spacing w:line="360" w:lineRule="auto"/>
              <w:jc w:val="center"/>
              <w:rPr>
                <w:rFonts w:asciiTheme="majorBidi" w:hAnsiTheme="majorBidi" w:cstheme="majorBidi"/>
                <w:sz w:val="30"/>
                <w:szCs w:val="30"/>
                <w:rtl/>
                <w:lang w:bidi="ar-EG"/>
              </w:rPr>
            </w:pPr>
            <w:r w:rsidRPr="007C544A">
              <w:rPr>
                <w:rFonts w:asciiTheme="majorBidi" w:hAnsiTheme="majorBidi" w:cstheme="majorBidi"/>
                <w:sz w:val="30"/>
                <w:szCs w:val="30"/>
                <w:lang w:bidi="ar-EG"/>
              </w:rPr>
              <w:t>Midocean University</w:t>
            </w:r>
          </w:p>
          <w:p w:rsidR="00F07923" w:rsidRPr="007C544A" w:rsidRDefault="00825A7B" w:rsidP="00706522">
            <w:pPr>
              <w:spacing w:line="360" w:lineRule="auto"/>
              <w:jc w:val="center"/>
              <w:rPr>
                <w:rFonts w:asciiTheme="majorBidi" w:hAnsiTheme="majorBidi" w:cstheme="majorBidi"/>
                <w:sz w:val="30"/>
                <w:szCs w:val="30"/>
                <w:rtl/>
                <w:lang w:bidi="ar-EG"/>
              </w:rPr>
            </w:pPr>
            <w:r w:rsidRPr="007C544A">
              <w:rPr>
                <w:rFonts w:asciiTheme="majorBidi" w:hAnsiTheme="majorBidi" w:cstheme="majorBidi"/>
                <w:sz w:val="30"/>
                <w:szCs w:val="30"/>
                <w:lang w:bidi="ar-EG"/>
              </w:rPr>
              <w:t>Ph.D. program</w:t>
            </w:r>
          </w:p>
        </w:tc>
      </w:tr>
    </w:tbl>
    <w:p w:rsidR="00825A7B" w:rsidRPr="007C544A" w:rsidRDefault="00825A7B" w:rsidP="00706522">
      <w:pPr>
        <w:shd w:val="clear" w:color="auto" w:fill="FFFFFF" w:themeFill="background1"/>
        <w:bidi/>
        <w:spacing w:after="0" w:line="360" w:lineRule="auto"/>
        <w:jc w:val="center"/>
        <w:rPr>
          <w:rFonts w:ascii="Times New Roman" w:hAnsi="Times New Roman" w:cs="Microsoft Uighur"/>
          <w:sz w:val="38"/>
          <w:szCs w:val="38"/>
        </w:rPr>
      </w:pPr>
    </w:p>
    <w:p w:rsidR="00F52199" w:rsidRPr="007C544A" w:rsidRDefault="00F52199" w:rsidP="00706522">
      <w:pPr>
        <w:pStyle w:val="NormalWeb"/>
        <w:shd w:val="clear" w:color="auto" w:fill="FFFFFF" w:themeFill="background1"/>
        <w:bidi/>
        <w:spacing w:before="0" w:beforeAutospacing="0" w:after="0" w:afterAutospacing="0" w:line="360" w:lineRule="auto"/>
        <w:ind w:right="-270"/>
        <w:jc w:val="center"/>
        <w:rPr>
          <w:rFonts w:ascii="Traditional Arabic" w:eastAsiaTheme="minorHAnsi" w:hAnsi="Traditional Arabic" w:cs="Traditional Arabic"/>
          <w:rtl/>
        </w:rPr>
      </w:pPr>
      <w:r w:rsidRPr="007C544A">
        <w:rPr>
          <w:rFonts w:ascii="Traditional Arabic" w:eastAsiaTheme="minorHAnsi" w:hAnsi="Traditional Arabic" w:cs="Traditional Arabic"/>
        </w:rPr>
        <w:t>The Strategy of Merging Companies to Enter the Saudi Capital Market’s Growth Market (Nomu – Parallel Market)</w:t>
      </w:r>
    </w:p>
    <w:p w:rsidR="00825A7B" w:rsidRPr="007C544A" w:rsidRDefault="00825A7B" w:rsidP="00706522">
      <w:pPr>
        <w:spacing w:after="0" w:line="360" w:lineRule="auto"/>
        <w:jc w:val="center"/>
        <w:rPr>
          <w:rFonts w:ascii="Times New Roman" w:eastAsia="Times New Roman" w:hAnsi="Times New Roman" w:cs="Times New Roman"/>
          <w:i/>
          <w:iCs/>
          <w:sz w:val="34"/>
          <w:szCs w:val="34"/>
        </w:rPr>
      </w:pPr>
    </w:p>
    <w:p w:rsidR="00825A7B" w:rsidRPr="007C544A" w:rsidRDefault="00825A7B" w:rsidP="00706522">
      <w:pPr>
        <w:spacing w:after="0" w:line="360" w:lineRule="auto"/>
        <w:jc w:val="center"/>
        <w:rPr>
          <w:rFonts w:ascii="Times New Roman" w:eastAsia="Times New Roman" w:hAnsi="Times New Roman" w:cs="Times New Roman"/>
          <w:i/>
          <w:iCs/>
          <w:sz w:val="34"/>
          <w:szCs w:val="34"/>
        </w:rPr>
      </w:pPr>
    </w:p>
    <w:p w:rsidR="00825A7B" w:rsidRPr="007C544A" w:rsidRDefault="00825A7B" w:rsidP="00706522">
      <w:pPr>
        <w:spacing w:after="0" w:line="360" w:lineRule="auto"/>
        <w:jc w:val="center"/>
        <w:rPr>
          <w:rFonts w:ascii="Times New Roman" w:eastAsia="Times New Roman" w:hAnsi="Times New Roman" w:cs="Times New Roman"/>
          <w:i/>
          <w:iCs/>
          <w:sz w:val="34"/>
          <w:szCs w:val="34"/>
        </w:rPr>
      </w:pPr>
      <w:r w:rsidRPr="007C544A">
        <w:rPr>
          <w:rFonts w:ascii="Times New Roman" w:eastAsia="Times New Roman" w:hAnsi="Times New Roman" w:cs="Times New Roman"/>
          <w:i/>
          <w:iCs/>
          <w:sz w:val="34"/>
          <w:szCs w:val="34"/>
        </w:rPr>
        <w:t>Prepared by</w:t>
      </w:r>
    </w:p>
    <w:p w:rsidR="00825A7B" w:rsidRDefault="00825A7B" w:rsidP="00CF0D63">
      <w:pPr>
        <w:spacing w:after="0" w:line="360" w:lineRule="auto"/>
        <w:jc w:val="center"/>
        <w:rPr>
          <w:rFonts w:ascii="Times New Roman" w:eastAsia="Times New Roman" w:hAnsi="Times New Roman" w:cs="Times New Roman"/>
          <w:i/>
          <w:iCs/>
          <w:sz w:val="34"/>
          <w:szCs w:val="34"/>
          <w:rtl/>
        </w:rPr>
      </w:pPr>
      <w:r w:rsidRPr="0034289C">
        <w:rPr>
          <w:rFonts w:ascii="Times New Roman" w:eastAsia="Times New Roman" w:hAnsi="Times New Roman" w:cs="Times New Roman"/>
          <w:i/>
          <w:iCs/>
          <w:sz w:val="34"/>
          <w:szCs w:val="34"/>
        </w:rPr>
        <w:t>Sadiq Hasan Al-Saffar</w:t>
      </w:r>
    </w:p>
    <w:p w:rsidR="00274F2A" w:rsidRPr="0034289C" w:rsidRDefault="00274F2A" w:rsidP="00CF0D63">
      <w:pPr>
        <w:spacing w:after="0" w:line="360" w:lineRule="auto"/>
        <w:jc w:val="center"/>
        <w:rPr>
          <w:rFonts w:ascii="Times New Roman" w:eastAsia="Times New Roman" w:hAnsi="Times New Roman" w:cs="Times New Roman"/>
          <w:i/>
          <w:iCs/>
          <w:sz w:val="34"/>
          <w:szCs w:val="34"/>
        </w:rPr>
      </w:pPr>
    </w:p>
    <w:p w:rsidR="00F52199" w:rsidRPr="007C544A" w:rsidRDefault="00274F2A" w:rsidP="00F52199">
      <w:pPr>
        <w:spacing w:line="276" w:lineRule="auto"/>
        <w:jc w:val="center"/>
        <w:rPr>
          <w:rFonts w:ascii="Times New Roman" w:eastAsia="Times New Roman" w:hAnsi="Times New Roman" w:cs="Times New Roman"/>
          <w:b/>
          <w:bCs/>
          <w:sz w:val="24"/>
          <w:szCs w:val="24"/>
          <w:lang w:val="en"/>
        </w:rPr>
      </w:pPr>
      <w:r w:rsidRPr="00274F2A">
        <w:rPr>
          <w:rFonts w:ascii="Times New Roman" w:eastAsia="Times New Roman" w:hAnsi="Times New Roman" w:cs="Times New Roman"/>
          <w:b/>
          <w:bCs/>
          <w:sz w:val="24"/>
          <w:szCs w:val="24"/>
          <w:lang w:val="en"/>
        </w:rPr>
        <w:t>A Dissertation Submitted to the PhD Program in Partial Fulfillment of the Requirements for the Degree of Doctor of Philosophy (PhD) in Management.</w:t>
      </w:r>
    </w:p>
    <w:p w:rsidR="00825A7B" w:rsidRPr="007C544A" w:rsidRDefault="00825A7B" w:rsidP="00706522">
      <w:pPr>
        <w:spacing w:after="0" w:line="360" w:lineRule="auto"/>
        <w:jc w:val="center"/>
        <w:rPr>
          <w:rFonts w:ascii="Times New Roman" w:eastAsia="Times New Roman" w:hAnsi="Times New Roman" w:cs="Times New Roman"/>
          <w:i/>
          <w:iCs/>
          <w:sz w:val="34"/>
          <w:szCs w:val="34"/>
          <w:lang w:val="en"/>
        </w:rPr>
      </w:pPr>
    </w:p>
    <w:p w:rsidR="00F52199" w:rsidRPr="007C544A" w:rsidRDefault="00F52199" w:rsidP="00F52199">
      <w:pPr>
        <w:spacing w:after="0" w:line="276" w:lineRule="auto"/>
        <w:jc w:val="center"/>
        <w:rPr>
          <w:rFonts w:ascii="Times New Roman" w:eastAsia="Times New Roman" w:hAnsi="Times New Roman" w:cs="Times New Roman"/>
          <w:sz w:val="24"/>
          <w:szCs w:val="24"/>
          <w:rtl/>
        </w:rPr>
      </w:pPr>
    </w:p>
    <w:p w:rsidR="00F52199" w:rsidRPr="007C544A" w:rsidRDefault="00F52199" w:rsidP="00F52199">
      <w:pPr>
        <w:spacing w:after="0" w:line="276" w:lineRule="auto"/>
        <w:jc w:val="center"/>
        <w:rPr>
          <w:rFonts w:ascii="Times New Roman" w:eastAsia="Times New Roman" w:hAnsi="Times New Roman" w:cs="Times New Roman"/>
          <w:sz w:val="24"/>
          <w:szCs w:val="24"/>
          <w:rtl/>
        </w:rPr>
      </w:pPr>
    </w:p>
    <w:p w:rsidR="00F52199" w:rsidRPr="007C544A" w:rsidRDefault="00F52199" w:rsidP="00F52199">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7C544A">
        <w:rPr>
          <w:rFonts w:ascii="Times New Roman" w:eastAsia="Times New Roman" w:hAnsi="Times New Roman" w:cs="Times New Roman"/>
          <w:sz w:val="24"/>
          <w:szCs w:val="24"/>
        </w:rPr>
        <w:t>Academic Year: 2026 AD</w:t>
      </w:r>
      <w:r w:rsidRPr="007C544A">
        <w:rPr>
          <w:rFonts w:ascii="Times New Roman" w:eastAsia="Times New Roman" w:hAnsi="Times New Roman" w:cs="Times New Roman"/>
          <w:b/>
          <w:bCs/>
          <w:sz w:val="24"/>
          <w:szCs w:val="24"/>
          <w:rtl/>
        </w:rPr>
        <w:t> </w:t>
      </w:r>
      <w:r w:rsidRPr="007C544A">
        <w:rPr>
          <w:rFonts w:ascii="Times New Roman" w:eastAsia="Times New Roman" w:hAnsi="Times New Roman" w:cs="Times New Roman"/>
          <w:b/>
          <w:bCs/>
          <w:sz w:val="24"/>
          <w:szCs w:val="24"/>
          <w:rtl/>
        </w:rPr>
        <w:br/>
      </w:r>
      <w:r w:rsidRPr="007C544A">
        <w:rPr>
          <w:rFonts w:ascii="Times New Roman" w:eastAsia="Times New Roman" w:hAnsi="Times New Roman" w:cs="Times New Roman"/>
          <w:sz w:val="24"/>
          <w:szCs w:val="24"/>
          <w:rtl/>
        </w:rPr>
        <w:t xml:space="preserve">1447–1448 </w:t>
      </w:r>
      <w:r w:rsidRPr="007C544A">
        <w:rPr>
          <w:rFonts w:ascii="Times New Roman" w:eastAsia="Times New Roman" w:hAnsi="Times New Roman" w:cs="Times New Roman"/>
          <w:sz w:val="24"/>
          <w:szCs w:val="24"/>
        </w:rPr>
        <w:t>AH</w:t>
      </w:r>
    </w:p>
    <w:p w:rsidR="00F52199" w:rsidRPr="007C544A" w:rsidRDefault="00F52199" w:rsidP="00F52199">
      <w:pPr>
        <w:tabs>
          <w:tab w:val="left" w:pos="3666"/>
        </w:tabs>
        <w:bidi/>
        <w:spacing w:after="0" w:line="360" w:lineRule="auto"/>
        <w:jc w:val="center"/>
        <w:rPr>
          <w:rFonts w:ascii="Traditional Arabic" w:eastAsia="Calibri" w:hAnsi="Traditional Arabic" w:cs="Traditional Arabic"/>
          <w:b/>
          <w:bCs/>
          <w:sz w:val="28"/>
          <w:szCs w:val="28"/>
          <w:rtl/>
          <w:lang w:bidi="ar-EG"/>
        </w:rPr>
      </w:pPr>
    </w:p>
    <w:p w:rsidR="00825A7B" w:rsidRPr="007C544A" w:rsidRDefault="00825A7B" w:rsidP="00706522">
      <w:pPr>
        <w:spacing w:after="0" w:line="360" w:lineRule="auto"/>
        <w:jc w:val="center"/>
        <w:rPr>
          <w:rFonts w:ascii="Times New Roman" w:eastAsia="Times New Roman" w:hAnsi="Times New Roman" w:cs="Times New Roman"/>
          <w:i/>
          <w:iCs/>
          <w:sz w:val="34"/>
          <w:szCs w:val="34"/>
        </w:rPr>
      </w:pPr>
    </w:p>
    <w:p w:rsidR="00825A7B" w:rsidRPr="007C544A" w:rsidRDefault="00825A7B" w:rsidP="00706522">
      <w:pPr>
        <w:bidi/>
        <w:spacing w:after="0" w:line="360" w:lineRule="auto"/>
        <w:jc w:val="center"/>
        <w:rPr>
          <w:rFonts w:ascii="Times New Roman" w:eastAsia="Times New Roman" w:hAnsi="Times New Roman" w:cs="Times New Roman"/>
          <w:i/>
          <w:iCs/>
          <w:sz w:val="34"/>
          <w:szCs w:val="34"/>
          <w:rtl/>
        </w:rPr>
      </w:pPr>
    </w:p>
    <w:sectPr w:rsidR="00825A7B" w:rsidRPr="007C544A" w:rsidSect="00F771BE">
      <w:headerReference w:type="default" r:id="rId30"/>
      <w:footerReference w:type="default" r:id="rId31"/>
      <w:headerReference w:type="first" r:id="rId32"/>
      <w:footerReference w:type="first" r:id="rId33"/>
      <w:pgSz w:w="11906" w:h="16838" w:code="9"/>
      <w:pgMar w:top="1440" w:right="1797" w:bottom="1440" w:left="1797" w:header="720" w:footer="720" w:gutter="0"/>
      <w:pgNumType w:fmt="numberInDash" w:chapStyle="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96F" w:rsidRDefault="00E6296F" w:rsidP="009A5417">
      <w:pPr>
        <w:spacing w:after="0" w:line="240" w:lineRule="auto"/>
      </w:pPr>
      <w:r>
        <w:separator/>
      </w:r>
    </w:p>
  </w:endnote>
  <w:endnote w:type="continuationSeparator" w:id="0">
    <w:p w:rsidR="00E6296F" w:rsidRDefault="00E6296F" w:rsidP="009A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PT Bold Heading">
    <w:panose1 w:val="00000400000000000000"/>
    <w:charset w:val="B2"/>
    <w:family w:val="auto"/>
    <w:pitch w:val="variable"/>
    <w:sig w:usb0="00002001" w:usb1="80000000" w:usb2="00000008" w:usb3="00000000" w:csb0="00000040" w:csb1="00000000"/>
  </w:font>
  <w:font w:name="Sultan Medium">
    <w:altName w:val="Times New Roman"/>
    <w:charset w:val="B2"/>
    <w:family w:val="auto"/>
    <w:pitch w:val="variable"/>
    <w:sig w:usb0="00002001" w:usb1="00000000" w:usb2="00000000" w:usb3="00000000" w:csb0="00000040" w:csb1="00000000"/>
  </w:font>
  <w:font w:name="Elephant">
    <w:panose1 w:val="0202090409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AL-Mateen">
    <w:panose1 w:val="00000000000000000000"/>
    <w:charset w:val="B2"/>
    <w:family w:val="auto"/>
    <w:pitch w:val="variable"/>
    <w:sig w:usb0="00002001" w:usb1="00000000" w:usb2="00000000" w:usb3="00000000" w:csb0="00000040" w:csb1="00000000"/>
  </w:font>
  <w:font w:name="SKR HEAD1">
    <w:altName w:val="Times New Roman"/>
    <w:panose1 w:val="00000000000000000000"/>
    <w:charset w:val="B2"/>
    <w:family w:val="auto"/>
    <w:pitch w:val="variable"/>
    <w:sig w:usb0="00002000" w:usb1="00000000" w:usb2="00000000" w:usb3="00000000" w:csb0="00000040" w:csb1="00000000"/>
  </w:font>
  <w:font w:name="QCF2107">
    <w:altName w:val="Courier New"/>
    <w:panose1 w:val="00000400000000000000"/>
    <w:charset w:val="00"/>
    <w:family w:val="auto"/>
    <w:pitch w:val="variable"/>
    <w:sig w:usb0="00002003" w:usb1="80000000" w:usb2="00000000" w:usb3="00000000" w:csb0="00000041" w:csb1="00000000"/>
  </w:font>
  <w:font w:name="ae_Cortoba">
    <w:altName w:val="Times New Roman"/>
    <w:charset w:val="00"/>
    <w:family w:val="roman"/>
    <w:pitch w:val="variable"/>
    <w:sig w:usb0="00000000" w:usb1="C000204A" w:usb2="00000008" w:usb3="00000000" w:csb0="00000041" w:csb1="00000000"/>
  </w:font>
  <w:font w:name="Abuhmeda Free">
    <w:altName w:val="Times New Roman"/>
    <w:panose1 w:val="00000000000000000000"/>
    <w:charset w:val="B2"/>
    <w:family w:val="auto"/>
    <w:pitch w:val="variable"/>
    <w:sig w:usb0="00002000" w:usb1="00000000" w:usb2="00000000" w:usb3="00000000" w:csb0="00000040" w:csb1="00000000"/>
  </w:font>
  <w:font w:name="Sultan bold">
    <w:panose1 w:val="00000000000000000000"/>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icrosoft Uighur">
    <w:panose1 w:val="02000000000000000000"/>
    <w:charset w:val="00"/>
    <w:family w:val="auto"/>
    <w:pitch w:val="variable"/>
    <w:sig w:usb0="8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PT Bold Heading"/>
        <w:sz w:val="20"/>
        <w:szCs w:val="20"/>
      </w:rPr>
      <w:id w:val="1479266689"/>
      <w:docPartObj>
        <w:docPartGallery w:val="Page Numbers (Bottom of Page)"/>
        <w:docPartUnique/>
      </w:docPartObj>
    </w:sdtPr>
    <w:sdtContent>
      <w:p w:rsidR="00C812AA" w:rsidRPr="00567003" w:rsidRDefault="00C812AA" w:rsidP="00567003">
        <w:pPr>
          <w:pStyle w:val="Footer"/>
          <w:jc w:val="center"/>
          <w:rPr>
            <w:rFonts w:cs="PT Bold Heading"/>
            <w:sz w:val="20"/>
            <w:szCs w:val="20"/>
          </w:rPr>
        </w:pPr>
        <w:r w:rsidRPr="00567003">
          <w:rPr>
            <w:rFonts w:cs="PT Bold Heading"/>
            <w:sz w:val="20"/>
            <w:szCs w:val="20"/>
          </w:rPr>
          <w:fldChar w:fldCharType="begin"/>
        </w:r>
        <w:r w:rsidRPr="00567003">
          <w:rPr>
            <w:rFonts w:cs="PT Bold Heading"/>
            <w:sz w:val="20"/>
            <w:szCs w:val="20"/>
          </w:rPr>
          <w:instrText>PAGE   \* MERGEFORMAT</w:instrText>
        </w:r>
        <w:r w:rsidRPr="00567003">
          <w:rPr>
            <w:rFonts w:cs="PT Bold Heading"/>
            <w:sz w:val="20"/>
            <w:szCs w:val="20"/>
          </w:rPr>
          <w:fldChar w:fldCharType="separate"/>
        </w:r>
        <w:r w:rsidR="0016626A" w:rsidRPr="0016626A">
          <w:rPr>
            <w:rFonts w:ascii="Times New Roman" w:hAnsi="Times New Roman" w:cs="PT Bold Heading" w:hint="cs"/>
            <w:noProof/>
            <w:sz w:val="20"/>
            <w:szCs w:val="20"/>
            <w:rtl/>
            <w:lang w:val="ar-SA" w:bidi="ar-SA"/>
          </w:rPr>
          <w:t>‌أ</w:t>
        </w:r>
        <w:r w:rsidRPr="00567003">
          <w:rPr>
            <w:rFonts w:cs="PT Bold Heading"/>
            <w:sz w:val="20"/>
            <w:szCs w:val="20"/>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6"/>
        <w:szCs w:val="26"/>
        <w:rtl/>
      </w:rPr>
      <w:id w:val="-1387027135"/>
      <w:docPartObj>
        <w:docPartGallery w:val="Page Numbers (Bottom of Page)"/>
        <w:docPartUnique/>
      </w:docPartObj>
    </w:sdtPr>
    <w:sdtContent>
      <w:p w:rsidR="00C812AA" w:rsidRPr="00674B70" w:rsidRDefault="00C812AA" w:rsidP="00674B70">
        <w:pPr>
          <w:pStyle w:val="Footer"/>
          <w:bidi/>
          <w:jc w:val="center"/>
          <w:rPr>
            <w:rFonts w:asciiTheme="majorBidi" w:hAnsiTheme="majorBidi" w:cstheme="majorBidi"/>
            <w:sz w:val="26"/>
            <w:szCs w:val="26"/>
          </w:rPr>
        </w:pPr>
        <w:r w:rsidRPr="00674B70">
          <w:rPr>
            <w:rFonts w:asciiTheme="majorBidi" w:hAnsiTheme="majorBidi" w:cstheme="majorBidi"/>
            <w:noProof/>
            <w:sz w:val="26"/>
            <w:szCs w:val="26"/>
            <w:lang w:bidi="ar-SA"/>
          </w:rPr>
          <mc:AlternateContent>
            <mc:Choice Requires="wps">
              <w:drawing>
                <wp:inline distT="0" distB="0" distL="0" distR="0" wp14:anchorId="5AE22AE0" wp14:editId="3193C8A4">
                  <wp:extent cx="4981575" cy="54610"/>
                  <wp:effectExtent l="38100" t="0" r="9525" b="21590"/>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981575" cy="54610"/>
                          </a:xfrm>
                          <a:prstGeom prst="flowChartDecision">
                            <a:avLst/>
                          </a:prstGeom>
                          <a:solidFill>
                            <a:schemeClr val="bg1">
                              <a:lumMod val="85000"/>
                            </a:schemeClr>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07BFC2D" id="_x0000_t110" coordsize="21600,21600" o:spt="110" path="m10800,l,10800,10800,21600,21600,10800xe">
                  <v:stroke joinstyle="miter"/>
                  <v:path gradientshapeok="t" o:connecttype="rect" textboxrect="5400,5400,16200,16200"/>
                </v:shapetype>
                <v:shape id="شكل تلقائي 1" o:spid="_x0000_s1026" type="#_x0000_t110" style="width:392.2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" fillcolor="#d8d8d8 [2732]">
                  <w10:anchorlock/>
                </v:shape>
              </w:pict>
            </mc:Fallback>
          </mc:AlternateContent>
        </w:r>
      </w:p>
      <w:p w:rsidR="00C812AA" w:rsidRPr="00674B70" w:rsidRDefault="00C812AA" w:rsidP="00674B70">
        <w:pPr>
          <w:pStyle w:val="Footer"/>
          <w:bidi/>
          <w:jc w:val="center"/>
          <w:rPr>
            <w:rFonts w:asciiTheme="majorBidi" w:hAnsiTheme="majorBidi" w:cstheme="majorBidi"/>
            <w:sz w:val="26"/>
            <w:szCs w:val="26"/>
            <w:lang w:bidi="ar-EG"/>
          </w:rPr>
        </w:pPr>
        <w:r w:rsidRPr="00674B70">
          <w:rPr>
            <w:rFonts w:asciiTheme="majorBidi" w:hAnsiTheme="majorBidi" w:cstheme="majorBidi"/>
            <w:sz w:val="26"/>
            <w:szCs w:val="26"/>
          </w:rPr>
          <w:fldChar w:fldCharType="begin"/>
        </w:r>
        <w:r w:rsidRPr="00674B70">
          <w:rPr>
            <w:rFonts w:asciiTheme="majorBidi" w:hAnsiTheme="majorBidi" w:cstheme="majorBidi"/>
            <w:sz w:val="26"/>
            <w:szCs w:val="26"/>
          </w:rPr>
          <w:instrText>PAGE    \* MERGEFORMAT</w:instrText>
        </w:r>
        <w:r w:rsidRPr="00674B70">
          <w:rPr>
            <w:rFonts w:asciiTheme="majorBidi" w:hAnsiTheme="majorBidi" w:cstheme="majorBidi"/>
            <w:sz w:val="26"/>
            <w:szCs w:val="26"/>
          </w:rPr>
          <w:fldChar w:fldCharType="separate"/>
        </w:r>
        <w:r w:rsidR="0016626A" w:rsidRPr="0016626A">
          <w:rPr>
            <w:rFonts w:asciiTheme="majorBidi" w:hAnsiTheme="majorBidi" w:cstheme="majorBidi"/>
            <w:noProof/>
            <w:sz w:val="26"/>
            <w:szCs w:val="26"/>
            <w:rtl/>
            <w:lang w:val="ar-SA" w:bidi="ar-SA"/>
          </w:rPr>
          <w:t>-</w:t>
        </w:r>
        <w:r w:rsidR="0016626A">
          <w:rPr>
            <w:rFonts w:asciiTheme="majorBidi" w:hAnsiTheme="majorBidi" w:cstheme="majorBidi"/>
            <w:noProof/>
            <w:sz w:val="26"/>
            <w:szCs w:val="26"/>
            <w:rtl/>
            <w:lang w:bidi="ar-SA"/>
          </w:rPr>
          <w:t xml:space="preserve"> 6 -</w:t>
        </w:r>
        <w:r w:rsidRPr="00674B70">
          <w:rPr>
            <w:rFonts w:asciiTheme="majorBidi" w:hAnsiTheme="majorBidi" w:cstheme="majorBidi"/>
            <w:sz w:val="26"/>
            <w:szCs w:val="26"/>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Pr="00674B70" w:rsidRDefault="00C812AA" w:rsidP="00674B70">
    <w:pPr>
      <w:pStyle w:val="Footer"/>
      <w:rPr>
        <w:rtl/>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Pr="00F07923" w:rsidRDefault="00C812AA" w:rsidP="00F07923">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Pr="00674B70" w:rsidRDefault="00C812AA" w:rsidP="00674B70">
    <w:pPr>
      <w:pStyle w:val="Foo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96F" w:rsidRDefault="00E6296F" w:rsidP="009A5417">
      <w:pPr>
        <w:spacing w:after="0" w:line="240" w:lineRule="auto"/>
      </w:pPr>
      <w:r>
        <w:separator/>
      </w:r>
    </w:p>
  </w:footnote>
  <w:footnote w:type="continuationSeparator" w:id="0">
    <w:p w:rsidR="00E6296F" w:rsidRDefault="00E6296F" w:rsidP="009A5417">
      <w:pPr>
        <w:spacing w:after="0" w:line="240" w:lineRule="auto"/>
      </w:pPr>
      <w:r>
        <w:continuationSeparator/>
      </w:r>
    </w:p>
  </w:footnote>
  <w:footnote w:id="1">
    <w:p w:rsidR="00C812AA" w:rsidRPr="001C12A3" w:rsidRDefault="00C812AA" w:rsidP="009B6CDD">
      <w:pPr>
        <w:pStyle w:val="NormalWeb"/>
        <w:ind w:left="397" w:hanging="397"/>
        <w:rPr>
          <w:rtl/>
        </w:rPr>
      </w:pPr>
      <w:r w:rsidRPr="00957FBE">
        <w:t>(</w:t>
      </w:r>
      <w:r w:rsidRPr="00957FBE">
        <w:rPr>
          <w:rStyle w:val="FootnoteReference"/>
          <w:rFonts w:eastAsia="Malgun Gothic"/>
          <w:vertAlign w:val="baseline"/>
        </w:rPr>
        <w:footnoteRef/>
      </w:r>
      <w:r w:rsidRPr="00957FBE">
        <w:rPr>
          <w:rtl/>
        </w:rPr>
        <w:t>(</w:t>
      </w:r>
      <w:r>
        <w:t xml:space="preserve"> </w:t>
      </w:r>
      <w:r w:rsidRPr="00957FBE">
        <w:t xml:space="preserve">Krejcie, R. V., &amp; Morgan, D. W. (1970). </w:t>
      </w:r>
      <w:r w:rsidRPr="00957FBE">
        <w:rPr>
          <w:b/>
          <w:bCs/>
        </w:rPr>
        <w:t>Determining sample size for research activities</w:t>
      </w:r>
      <w:r w:rsidRPr="00957FBE">
        <w:t xml:space="preserve">. </w:t>
      </w:r>
      <w:r w:rsidRPr="00957FBE">
        <w:rPr>
          <w:i/>
          <w:iCs/>
        </w:rPr>
        <w:t>Educational and Psychological Measurement</w:t>
      </w:r>
      <w:r w:rsidRPr="00957FBE">
        <w:t>, 30(3), 607–610.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Pr="00BA6B1B" w:rsidRDefault="00C812AA" w:rsidP="00864C0C">
    <w:pPr>
      <w:pStyle w:val="Header"/>
      <w:pBdr>
        <w:bottom w:val="thickThinSmallGap" w:sz="24" w:space="1" w:color="auto"/>
      </w:pBdr>
      <w:bidi/>
      <w:rPr>
        <w:rFonts w:ascii="Simplified Arabic" w:hAnsi="Simplified Arabic" w:cs="Simplified Arabic"/>
        <w:b/>
        <w:bCs/>
        <w:sz w:val="24"/>
        <w:szCs w:val="24"/>
        <w:lang w:bidi="ar-EG"/>
      </w:rPr>
    </w:pPr>
    <w:r w:rsidRPr="00BA6B1B">
      <w:rPr>
        <w:rFonts w:ascii="Simplified Arabic" w:hAnsi="Simplified Arabic" w:cs="Simplified Arabic"/>
        <w:b/>
        <w:bCs/>
        <w:sz w:val="24"/>
        <w:szCs w:val="24"/>
        <w:rtl/>
        <w:lang w:bidi="ar-EG"/>
      </w:rPr>
      <w:t xml:space="preserve">الفصل الأول- </w:t>
    </w:r>
    <w:r>
      <w:rPr>
        <w:rFonts w:ascii="Simplified Arabic" w:hAnsi="Simplified Arabic" w:cs="Simplified Arabic" w:hint="cs"/>
        <w:b/>
        <w:bCs/>
        <w:sz w:val="24"/>
        <w:szCs w:val="24"/>
        <w:rtl/>
        <w:lang w:bidi="ar-EG"/>
      </w:rPr>
      <w:t>الأطار المنهجي ل</w:t>
    </w:r>
    <w:r w:rsidRPr="00BA6B1B">
      <w:rPr>
        <w:rFonts w:ascii="Simplified Arabic" w:hAnsi="Simplified Arabic" w:cs="Simplified Arabic"/>
        <w:b/>
        <w:bCs/>
        <w:sz w:val="24"/>
        <w:szCs w:val="24"/>
        <w:rtl/>
        <w:lang w:bidi="ar-EG"/>
      </w:rPr>
      <w:t xml:space="preserve">لدراسة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Default="00C812A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Pr="00C9424A" w:rsidRDefault="00C812AA" w:rsidP="005B0BB1">
    <w:pPr>
      <w:pStyle w:val="Header"/>
      <w:pBdr>
        <w:bottom w:val="thickThinSmallGap" w:sz="24" w:space="1" w:color="auto"/>
      </w:pBdr>
      <w:bidi/>
      <w:rPr>
        <w:rFonts w:ascii="Simplified Arabic" w:hAnsi="Simplified Arabic" w:cs="Simplified Arabic"/>
        <w:b/>
        <w:bCs/>
        <w:sz w:val="24"/>
        <w:szCs w:val="24"/>
        <w:rtl/>
        <w:lang w:bidi="ar-EG"/>
      </w:rPr>
    </w:pPr>
    <w:r w:rsidRPr="00C9424A">
      <w:rPr>
        <w:rFonts w:ascii="Simplified Arabic" w:hAnsi="Simplified Arabic" w:cs="Simplified Arabic"/>
        <w:b/>
        <w:bCs/>
        <w:sz w:val="24"/>
        <w:szCs w:val="24"/>
        <w:rtl/>
        <w:lang w:bidi="ar-EG"/>
      </w:rPr>
      <w:t>الفصل الثاني- الإطار النظري والمفاهيمي للدراسة</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Default="00C812AA">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Pr="00C9424A" w:rsidRDefault="00C812AA" w:rsidP="00E10760">
    <w:pPr>
      <w:pStyle w:val="Header"/>
      <w:pBdr>
        <w:bottom w:val="thickThinSmallGap" w:sz="24" w:space="1" w:color="auto"/>
      </w:pBdr>
      <w:bidi/>
      <w:rPr>
        <w:rFonts w:ascii="Simplified Arabic" w:hAnsi="Simplified Arabic" w:cs="Simplified Arabic"/>
        <w:b/>
        <w:bCs/>
        <w:sz w:val="24"/>
        <w:szCs w:val="24"/>
        <w:rtl/>
        <w:lang w:bidi="ar-EG"/>
      </w:rPr>
    </w:pPr>
    <w:r w:rsidRPr="00C9424A">
      <w:rPr>
        <w:rFonts w:ascii="Simplified Arabic" w:hAnsi="Simplified Arabic" w:cs="Simplified Arabic"/>
        <w:b/>
        <w:bCs/>
        <w:sz w:val="24"/>
        <w:szCs w:val="24"/>
        <w:rtl/>
        <w:lang w:bidi="ar-EG"/>
      </w:rPr>
      <w:t>الفصل</w:t>
    </w:r>
    <w:r w:rsidRPr="00C9424A">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lang w:bidi="ar-EG"/>
      </w:rPr>
      <w:t>الرابع</w:t>
    </w:r>
    <w:r w:rsidRPr="00C9424A">
      <w:rPr>
        <w:rFonts w:ascii="Simplified Arabic" w:hAnsi="Simplified Arabic" w:cs="Simplified Arabic"/>
        <w:b/>
        <w:bCs/>
        <w:sz w:val="24"/>
        <w:szCs w:val="24"/>
        <w:rtl/>
        <w:lang w:bidi="ar-EG"/>
      </w:rPr>
      <w:t>-</w:t>
    </w:r>
    <w:r w:rsidRPr="00C9424A">
      <w:rPr>
        <w:rFonts w:ascii="Simplified Arabic" w:hAnsi="Simplified Arabic" w:cs="Simplified Arabic"/>
        <w:b/>
        <w:bCs/>
        <w:sz w:val="24"/>
        <w:szCs w:val="24"/>
        <w:lang w:bidi="ar-EG"/>
      </w:rPr>
      <w:t xml:space="preserve"> </w:t>
    </w:r>
    <w:r>
      <w:rPr>
        <w:rFonts w:ascii="Simplified Arabic" w:hAnsi="Simplified Arabic" w:cs="Simplified Arabic" w:hint="cs"/>
        <w:b/>
        <w:bCs/>
        <w:sz w:val="24"/>
        <w:szCs w:val="24"/>
        <w:rtl/>
        <w:lang w:bidi="ar-EG"/>
      </w:rPr>
      <w:t>نتائج</w:t>
    </w:r>
    <w:r w:rsidRPr="00C9424A">
      <w:rPr>
        <w:rFonts w:ascii="Simplified Arabic" w:hAnsi="Simplified Arabic" w:cs="Simplified Arabic"/>
        <w:b/>
        <w:bCs/>
        <w:sz w:val="24"/>
        <w:szCs w:val="24"/>
      </w:rPr>
      <w:t xml:space="preserve"> </w:t>
    </w:r>
    <w:r w:rsidRPr="00C9424A">
      <w:rPr>
        <w:rFonts w:ascii="Simplified Arabic" w:hAnsi="Simplified Arabic" w:cs="Simplified Arabic"/>
        <w:b/>
        <w:bCs/>
        <w:sz w:val="24"/>
        <w:szCs w:val="24"/>
        <w:rtl/>
        <w:lang w:bidi="ar-EG"/>
      </w:rPr>
      <w:t xml:space="preserve">الدراسة </w:t>
    </w:r>
    <w:r>
      <w:rPr>
        <w:rFonts w:ascii="Simplified Arabic" w:hAnsi="Simplified Arabic" w:cs="Simplified Arabic" w:hint="cs"/>
        <w:b/>
        <w:bCs/>
        <w:sz w:val="24"/>
        <w:szCs w:val="24"/>
        <w:rtl/>
        <w:lang w:bidi="ar-EG"/>
      </w:rPr>
      <w:t>الميدانية وتحليل البيانات</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Default="00C812AA">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Pr="005D2824" w:rsidRDefault="00C812AA" w:rsidP="005916CA">
    <w:pPr>
      <w:pStyle w:val="Header"/>
      <w:pBdr>
        <w:bottom w:val="thickThinSmallGap" w:sz="24" w:space="1" w:color="auto"/>
      </w:pBdr>
      <w:bidi/>
      <w:jc w:val="right"/>
      <w:rPr>
        <w:rFonts w:ascii="Simplified Arabic" w:hAnsi="Simplified Arabic" w:cs="Simplified Arabic"/>
        <w:b/>
        <w:bCs/>
        <w:sz w:val="24"/>
        <w:szCs w:val="24"/>
        <w:rtl/>
        <w:lang w:bidi="ar-EG"/>
      </w:rPr>
    </w:pPr>
    <w:r w:rsidRPr="005D2824">
      <w:rPr>
        <w:rFonts w:ascii="Simplified Arabic" w:hAnsi="Simplified Arabic" w:cs="Simplified Arabic"/>
        <w:b/>
        <w:bCs/>
        <w:sz w:val="24"/>
        <w:szCs w:val="24"/>
        <w:rtl/>
        <w:lang w:bidi="ar-EG"/>
      </w:rPr>
      <w:t xml:space="preserve">الفصل الخامس- مناقشة النتائج والتوصيات </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Default="00C812AA">
    <w:pPr>
      <w:pStyle w:val="Heade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Pr="005D2824" w:rsidRDefault="00C812AA" w:rsidP="005916CA">
    <w:pPr>
      <w:pStyle w:val="Header"/>
      <w:pBdr>
        <w:bottom w:val="thickThinSmallGap" w:sz="24" w:space="1" w:color="auto"/>
      </w:pBdr>
      <w:bidi/>
      <w:jc w:val="right"/>
      <w:rPr>
        <w:rFonts w:ascii="Simplified Arabic" w:hAnsi="Simplified Arabic" w:cs="Simplified Arabic"/>
        <w:b/>
        <w:bCs/>
        <w:sz w:val="26"/>
        <w:szCs w:val="26"/>
        <w:rtl/>
        <w:lang w:bidi="ar-EG"/>
      </w:rPr>
    </w:pPr>
    <w:r w:rsidRPr="005D2824">
      <w:rPr>
        <w:rFonts w:ascii="Simplified Arabic" w:hAnsi="Simplified Arabic" w:cs="Simplified Arabic"/>
        <w:b/>
        <w:bCs/>
        <w:sz w:val="26"/>
        <w:szCs w:val="26"/>
        <w:rtl/>
        <w:lang w:bidi="ar-EG"/>
      </w:rPr>
      <w:t>قائمة المصادر والمراجع</w: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Default="00C812AA">
    <w:pPr>
      <w:pStyle w:val="Heade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Pr="005D2824" w:rsidRDefault="00C812AA" w:rsidP="005916CA">
    <w:pPr>
      <w:pStyle w:val="Header"/>
      <w:pBdr>
        <w:bottom w:val="thickThinSmallGap" w:sz="24" w:space="1" w:color="auto"/>
      </w:pBdr>
      <w:bidi/>
      <w:jc w:val="right"/>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ملاحق الدراسة</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Default="00C812AA">
    <w:pPr>
      <w:pStyle w:val="Header"/>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Pr="00D6178F" w:rsidRDefault="00C812AA" w:rsidP="005916CA">
    <w:pPr>
      <w:pStyle w:val="Header"/>
      <w:pBdr>
        <w:bottom w:val="thickThinSmallGap" w:sz="24" w:space="1" w:color="auto"/>
      </w:pBdr>
      <w:bidi/>
      <w:jc w:val="right"/>
      <w:rPr>
        <w:rFonts w:ascii="Simplified Arabic" w:hAnsi="Simplified Arabic" w:cs="Simplified Arabic"/>
        <w:b/>
        <w:bCs/>
        <w:sz w:val="24"/>
        <w:szCs w:val="24"/>
        <w:rtl/>
        <w:lang w:bidi="ar-EG"/>
      </w:rPr>
    </w:pPr>
    <w:r w:rsidRPr="00D6178F">
      <w:rPr>
        <w:rFonts w:ascii="Simplified Arabic" w:hAnsi="Simplified Arabic" w:cs="Simplified Arabic"/>
        <w:b/>
        <w:bCs/>
        <w:sz w:val="24"/>
        <w:szCs w:val="24"/>
        <w:rtl/>
        <w:lang w:bidi="ar-EG"/>
      </w:rPr>
      <w:t>ملاحق الدراسة</w: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Default="00C812AA">
    <w:pPr>
      <w:pStyle w:val="Header"/>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Pr="00F07923" w:rsidRDefault="00C812AA" w:rsidP="00F07923">
    <w:pPr>
      <w:pStyle w:val="Header"/>
      <w:rPr>
        <w:rtl/>
      </w:rPr>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AA" w:rsidRDefault="00C812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1F74"/>
    <w:multiLevelType w:val="hybridMultilevel"/>
    <w:tmpl w:val="6C5A1754"/>
    <w:lvl w:ilvl="0" w:tplc="13946E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6719B"/>
    <w:multiLevelType w:val="hybridMultilevel"/>
    <w:tmpl w:val="2C46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3A09B0"/>
    <w:multiLevelType w:val="hybridMultilevel"/>
    <w:tmpl w:val="4100E906"/>
    <w:lvl w:ilvl="0" w:tplc="74CC1C54">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B44F62"/>
    <w:multiLevelType w:val="hybridMultilevel"/>
    <w:tmpl w:val="37D2DC24"/>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767C30"/>
    <w:multiLevelType w:val="hybridMultilevel"/>
    <w:tmpl w:val="0522495E"/>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4B372F4"/>
    <w:multiLevelType w:val="multilevel"/>
    <w:tmpl w:val="86666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DD5E85"/>
    <w:multiLevelType w:val="hybridMultilevel"/>
    <w:tmpl w:val="ABAA1DF0"/>
    <w:lvl w:ilvl="0" w:tplc="EBCA617A">
      <w:start w:val="1"/>
      <w:numFmt w:val="decimal"/>
      <w:lvlText w:val="%1."/>
      <w:lvlJc w:val="righ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D15C4"/>
    <w:multiLevelType w:val="hybridMultilevel"/>
    <w:tmpl w:val="3EC0CD4C"/>
    <w:lvl w:ilvl="0" w:tplc="73A27392">
      <w:start w:val="1"/>
      <w:numFmt w:val="bullet"/>
      <w:lvlText w:val="-"/>
      <w:lvlJc w:val="left"/>
      <w:pPr>
        <w:ind w:left="72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E07736"/>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C07D7D"/>
    <w:multiLevelType w:val="hybridMultilevel"/>
    <w:tmpl w:val="00006790"/>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3F086F"/>
    <w:multiLevelType w:val="multilevel"/>
    <w:tmpl w:val="9A900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92687A"/>
    <w:multiLevelType w:val="hybridMultilevel"/>
    <w:tmpl w:val="A3A8D062"/>
    <w:lvl w:ilvl="0" w:tplc="74CC1C54">
      <w:start w:val="1"/>
      <w:numFmt w:val="arabicAbjad"/>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2CA73B8"/>
    <w:multiLevelType w:val="hybridMultilevel"/>
    <w:tmpl w:val="B456E546"/>
    <w:lvl w:ilvl="0" w:tplc="6DE0B570">
      <w:start w:val="1"/>
      <w:numFmt w:val="decimal"/>
      <w:lvlText w:val="%1."/>
      <w:lvlJc w:val="right"/>
      <w:pPr>
        <w:ind w:left="720" w:hanging="360"/>
      </w:pPr>
      <w:rPr>
        <w:rFonts w:ascii="Traditional Arabic" w:hAnsi="Traditional Arabic" w:cs="Traditional Arabic"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E44513"/>
    <w:multiLevelType w:val="multilevel"/>
    <w:tmpl w:val="74CC3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7C7C2B"/>
    <w:multiLevelType w:val="multilevel"/>
    <w:tmpl w:val="9A7C2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6E069C"/>
    <w:multiLevelType w:val="hybridMultilevel"/>
    <w:tmpl w:val="74181F52"/>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FB2FF2"/>
    <w:multiLevelType w:val="multilevel"/>
    <w:tmpl w:val="4386B60C"/>
    <w:lvl w:ilvl="0">
      <w:start w:val="1"/>
      <w:numFmt w:val="bullet"/>
      <w:lvlText w:val="-"/>
      <w:lvlJc w:val="left"/>
      <w:pPr>
        <w:tabs>
          <w:tab w:val="num" w:pos="720"/>
        </w:tabs>
        <w:ind w:left="720" w:hanging="360"/>
      </w:pPr>
      <w:rPr>
        <w:rFonts w:ascii="Simplified Arabic" w:eastAsia="Times New Roman"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977307"/>
    <w:multiLevelType w:val="multilevel"/>
    <w:tmpl w:val="4F18A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5E2E50"/>
    <w:multiLevelType w:val="hybridMultilevel"/>
    <w:tmpl w:val="EA043CDA"/>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8F0C86"/>
    <w:multiLevelType w:val="hybridMultilevel"/>
    <w:tmpl w:val="0522495E"/>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F985459"/>
    <w:multiLevelType w:val="multilevel"/>
    <w:tmpl w:val="2EB8CCB4"/>
    <w:lvl w:ilvl="0">
      <w:start w:val="1"/>
      <w:numFmt w:val="decimal"/>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C32427"/>
    <w:multiLevelType w:val="hybridMultilevel"/>
    <w:tmpl w:val="5EE27780"/>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AD1693"/>
    <w:multiLevelType w:val="hybridMultilevel"/>
    <w:tmpl w:val="8A901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27C1C84"/>
    <w:multiLevelType w:val="multilevel"/>
    <w:tmpl w:val="3528A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9F54E7"/>
    <w:multiLevelType w:val="multilevel"/>
    <w:tmpl w:val="B68CCBAE"/>
    <w:lvl w:ilvl="0">
      <w:start w:val="1"/>
      <w:numFmt w:val="decimal"/>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FC49D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366FB3"/>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A234C61"/>
    <w:multiLevelType w:val="hybridMultilevel"/>
    <w:tmpl w:val="BE044FD6"/>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D017A"/>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3A5E96"/>
    <w:multiLevelType w:val="multilevel"/>
    <w:tmpl w:val="B72C9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75154E"/>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D879C9"/>
    <w:multiLevelType w:val="multilevel"/>
    <w:tmpl w:val="DD8C036C"/>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332833"/>
    <w:multiLevelType w:val="hybridMultilevel"/>
    <w:tmpl w:val="B2A26CE4"/>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58261B"/>
    <w:multiLevelType w:val="hybridMultilevel"/>
    <w:tmpl w:val="24145582"/>
    <w:lvl w:ilvl="0" w:tplc="313C5A44">
      <w:start w:val="2"/>
      <w:numFmt w:val="decimal"/>
      <w:lvlText w:val="%1."/>
      <w:lvlJc w:val="righ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D1C0DA0"/>
    <w:multiLevelType w:val="multilevel"/>
    <w:tmpl w:val="BB786B7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D307DA"/>
    <w:multiLevelType w:val="hybridMultilevel"/>
    <w:tmpl w:val="1E809870"/>
    <w:lvl w:ilvl="0" w:tplc="74A8F0FA">
      <w:start w:val="1"/>
      <w:numFmt w:val="decimal"/>
      <w:lvlText w:val="%1."/>
      <w:lvlJc w:val="righ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1973B4"/>
    <w:multiLevelType w:val="multilevel"/>
    <w:tmpl w:val="BB786B7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6B445F"/>
    <w:multiLevelType w:val="hybridMultilevel"/>
    <w:tmpl w:val="68CA7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ECC5664"/>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54E0D00"/>
    <w:multiLevelType w:val="multilevel"/>
    <w:tmpl w:val="C7C42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7170F2D"/>
    <w:multiLevelType w:val="hybridMultilevel"/>
    <w:tmpl w:val="8DB27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937AAB"/>
    <w:multiLevelType w:val="multilevel"/>
    <w:tmpl w:val="694A9878"/>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CD83B61"/>
    <w:multiLevelType w:val="hybridMultilevel"/>
    <w:tmpl w:val="93B647CE"/>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D0D3A53"/>
    <w:multiLevelType w:val="multilevel"/>
    <w:tmpl w:val="7AA0B88A"/>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D916DEC"/>
    <w:multiLevelType w:val="multilevel"/>
    <w:tmpl w:val="F15AC81C"/>
    <w:lvl w:ilvl="0">
      <w:start w:val="1"/>
      <w:numFmt w:val="decimal"/>
      <w:lvlText w:val="%1)"/>
      <w:lvlJc w:val="left"/>
      <w:pPr>
        <w:tabs>
          <w:tab w:val="num" w:pos="720"/>
        </w:tabs>
        <w:ind w:left="720" w:hanging="360"/>
      </w:pPr>
      <w:rPr>
        <w:rFonts w:ascii="Traditional Arabic" w:hAnsi="Traditional Arabic" w:cs="Traditional Arabic" w:hint="default"/>
        <w:b/>
        <w:bCs/>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076124B"/>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1881CC2"/>
    <w:multiLevelType w:val="hybridMultilevel"/>
    <w:tmpl w:val="06AA0CB2"/>
    <w:lvl w:ilvl="0" w:tplc="853846FE">
      <w:start w:val="1"/>
      <w:numFmt w:val="decimal"/>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1D92C44"/>
    <w:multiLevelType w:val="hybridMultilevel"/>
    <w:tmpl w:val="B096118C"/>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37F65AD"/>
    <w:multiLevelType w:val="hybridMultilevel"/>
    <w:tmpl w:val="F5B84BAE"/>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8127C0E"/>
    <w:multiLevelType w:val="hybridMultilevel"/>
    <w:tmpl w:val="E2C8B97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6E27FD"/>
    <w:multiLevelType w:val="multilevel"/>
    <w:tmpl w:val="88E07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9A962F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AD32B7C"/>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5C78CC"/>
    <w:multiLevelType w:val="hybridMultilevel"/>
    <w:tmpl w:val="10A88116"/>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5DB66792"/>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E3F5982"/>
    <w:multiLevelType w:val="hybridMultilevel"/>
    <w:tmpl w:val="296C60A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E7336F7"/>
    <w:multiLevelType w:val="hybridMultilevel"/>
    <w:tmpl w:val="A404A080"/>
    <w:lvl w:ilvl="0" w:tplc="74CC1C54">
      <w:start w:val="1"/>
      <w:numFmt w:val="arabicAbjad"/>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7" w15:restartNumberingAfterBreak="0">
    <w:nsid w:val="5FF50C59"/>
    <w:multiLevelType w:val="multilevel"/>
    <w:tmpl w:val="C60C543A"/>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0085208"/>
    <w:multiLevelType w:val="hybridMultilevel"/>
    <w:tmpl w:val="8CAAD578"/>
    <w:lvl w:ilvl="0" w:tplc="853846FE">
      <w:start w:val="1"/>
      <w:numFmt w:val="decimal"/>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04F757C"/>
    <w:multiLevelType w:val="hybridMultilevel"/>
    <w:tmpl w:val="AA1C7DE2"/>
    <w:lvl w:ilvl="0" w:tplc="853846FE">
      <w:start w:val="1"/>
      <w:numFmt w:val="decimal"/>
      <w:lvlText w:val="%1."/>
      <w:lvlJc w:val="right"/>
      <w:pPr>
        <w:ind w:left="1440" w:hanging="360"/>
      </w:pPr>
      <w:rPr>
        <w:rFonts w:hint="default"/>
        <w:sz w:val="30"/>
        <w:szCs w:val="3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61B224E9"/>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1BA704A"/>
    <w:multiLevelType w:val="multilevel"/>
    <w:tmpl w:val="44C6D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3783675"/>
    <w:multiLevelType w:val="multilevel"/>
    <w:tmpl w:val="B9D6B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4F42313"/>
    <w:multiLevelType w:val="hybridMultilevel"/>
    <w:tmpl w:val="D85A9F48"/>
    <w:lvl w:ilvl="0" w:tplc="2C7A9990">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60B7125"/>
    <w:multiLevelType w:val="hybridMultilevel"/>
    <w:tmpl w:val="E8941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6441A46"/>
    <w:multiLevelType w:val="multilevel"/>
    <w:tmpl w:val="504E1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77E21F0"/>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79B610C"/>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7E518B9"/>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80564F5"/>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8A37D26"/>
    <w:multiLevelType w:val="hybridMultilevel"/>
    <w:tmpl w:val="DBEC7BCC"/>
    <w:lvl w:ilvl="0" w:tplc="853846FE">
      <w:start w:val="1"/>
      <w:numFmt w:val="decimal"/>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A0A60F0"/>
    <w:multiLevelType w:val="multilevel"/>
    <w:tmpl w:val="5D04CF06"/>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AF92B3F"/>
    <w:multiLevelType w:val="hybridMultilevel"/>
    <w:tmpl w:val="B0E490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AFA572D"/>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C3B5EBB"/>
    <w:multiLevelType w:val="hybridMultilevel"/>
    <w:tmpl w:val="F9AE21C8"/>
    <w:lvl w:ilvl="0" w:tplc="74CC1C54">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6F4507B8"/>
    <w:multiLevelType w:val="hybridMultilevel"/>
    <w:tmpl w:val="0F6E6D7A"/>
    <w:lvl w:ilvl="0" w:tplc="79D2FB82">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3F425E5"/>
    <w:multiLevelType w:val="hybridMultilevel"/>
    <w:tmpl w:val="5BDEE9D6"/>
    <w:lvl w:ilvl="0" w:tplc="569638D4">
      <w:start w:val="1"/>
      <w:numFmt w:val="decimal"/>
      <w:lvlText w:val="%1."/>
      <w:lvlJc w:val="right"/>
      <w:pPr>
        <w:ind w:left="1440" w:hanging="360"/>
      </w:pPr>
      <w:rPr>
        <w:rFonts w:ascii="Simplified Arabic" w:hAnsi="Simplified Arabic" w:cs="Simplified Arabic"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75A05699"/>
    <w:multiLevelType w:val="hybridMultilevel"/>
    <w:tmpl w:val="ECEE012C"/>
    <w:lvl w:ilvl="0" w:tplc="3690B426">
      <w:start w:val="1"/>
      <w:numFmt w:val="decimal"/>
      <w:lvlText w:val="%1)"/>
      <w:lvlJc w:val="left"/>
      <w:pPr>
        <w:ind w:left="720" w:hanging="360"/>
      </w:pPr>
      <w:rPr>
        <w:rFont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641787E"/>
    <w:multiLevelType w:val="hybridMultilevel"/>
    <w:tmpl w:val="82E634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7AFD03C8"/>
    <w:multiLevelType w:val="multilevel"/>
    <w:tmpl w:val="735E7C4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DCF366E"/>
    <w:multiLevelType w:val="multilevel"/>
    <w:tmpl w:val="BD667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E4C0E86"/>
    <w:multiLevelType w:val="hybridMultilevel"/>
    <w:tmpl w:val="E2766E2C"/>
    <w:lvl w:ilvl="0" w:tplc="66D6BA8A">
      <w:start w:val="1"/>
      <w:numFmt w:val="decimal"/>
      <w:suff w:val="space"/>
      <w:lvlText w:val="%1."/>
      <w:lvlJc w:val="right"/>
      <w:pPr>
        <w:ind w:left="357" w:firstLine="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FBE6BE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81"/>
  </w:num>
  <w:num w:numId="3">
    <w:abstractNumId w:val="9"/>
  </w:num>
  <w:num w:numId="4">
    <w:abstractNumId w:val="58"/>
  </w:num>
  <w:num w:numId="5">
    <w:abstractNumId w:val="4"/>
  </w:num>
  <w:num w:numId="6">
    <w:abstractNumId w:val="19"/>
  </w:num>
  <w:num w:numId="7">
    <w:abstractNumId w:val="76"/>
  </w:num>
  <w:num w:numId="8">
    <w:abstractNumId w:val="75"/>
  </w:num>
  <w:num w:numId="9">
    <w:abstractNumId w:val="12"/>
  </w:num>
  <w:num w:numId="10">
    <w:abstractNumId w:val="59"/>
  </w:num>
  <w:num w:numId="11">
    <w:abstractNumId w:val="7"/>
  </w:num>
  <w:num w:numId="12">
    <w:abstractNumId w:val="40"/>
  </w:num>
  <w:num w:numId="13">
    <w:abstractNumId w:val="43"/>
  </w:num>
  <w:num w:numId="14">
    <w:abstractNumId w:val="46"/>
  </w:num>
  <w:num w:numId="15">
    <w:abstractNumId w:val="27"/>
  </w:num>
  <w:num w:numId="16">
    <w:abstractNumId w:val="18"/>
  </w:num>
  <w:num w:numId="17">
    <w:abstractNumId w:val="35"/>
  </w:num>
  <w:num w:numId="18">
    <w:abstractNumId w:val="33"/>
  </w:num>
  <w:num w:numId="19">
    <w:abstractNumId w:val="45"/>
  </w:num>
  <w:num w:numId="20">
    <w:abstractNumId w:val="54"/>
  </w:num>
  <w:num w:numId="21">
    <w:abstractNumId w:val="52"/>
  </w:num>
  <w:num w:numId="22">
    <w:abstractNumId w:val="28"/>
  </w:num>
  <w:num w:numId="23">
    <w:abstractNumId w:val="68"/>
  </w:num>
  <w:num w:numId="24">
    <w:abstractNumId w:val="8"/>
  </w:num>
  <w:num w:numId="25">
    <w:abstractNumId w:val="60"/>
  </w:num>
  <w:num w:numId="26">
    <w:abstractNumId w:val="1"/>
  </w:num>
  <w:num w:numId="27">
    <w:abstractNumId w:val="24"/>
  </w:num>
  <w:num w:numId="28">
    <w:abstractNumId w:val="48"/>
  </w:num>
  <w:num w:numId="29">
    <w:abstractNumId w:val="20"/>
  </w:num>
  <w:num w:numId="30">
    <w:abstractNumId w:val="41"/>
  </w:num>
  <w:num w:numId="31">
    <w:abstractNumId w:val="77"/>
  </w:num>
  <w:num w:numId="32">
    <w:abstractNumId w:val="30"/>
  </w:num>
  <w:num w:numId="33">
    <w:abstractNumId w:val="25"/>
  </w:num>
  <w:num w:numId="34">
    <w:abstractNumId w:val="53"/>
  </w:num>
  <w:num w:numId="35">
    <w:abstractNumId w:val="69"/>
  </w:num>
  <w:num w:numId="36">
    <w:abstractNumId w:val="67"/>
  </w:num>
  <w:num w:numId="37">
    <w:abstractNumId w:val="73"/>
  </w:num>
  <w:num w:numId="38">
    <w:abstractNumId w:val="16"/>
  </w:num>
  <w:num w:numId="39">
    <w:abstractNumId w:val="82"/>
  </w:num>
  <w:num w:numId="40">
    <w:abstractNumId w:val="64"/>
  </w:num>
  <w:num w:numId="41">
    <w:abstractNumId w:val="51"/>
  </w:num>
  <w:num w:numId="42">
    <w:abstractNumId w:val="57"/>
  </w:num>
  <w:num w:numId="43">
    <w:abstractNumId w:val="79"/>
  </w:num>
  <w:num w:numId="44">
    <w:abstractNumId w:val="38"/>
  </w:num>
  <w:num w:numId="45">
    <w:abstractNumId w:val="74"/>
  </w:num>
  <w:num w:numId="46">
    <w:abstractNumId w:val="11"/>
  </w:num>
  <w:num w:numId="47">
    <w:abstractNumId w:val="44"/>
  </w:num>
  <w:num w:numId="48">
    <w:abstractNumId w:val="21"/>
  </w:num>
  <w:num w:numId="49">
    <w:abstractNumId w:val="66"/>
  </w:num>
  <w:num w:numId="50">
    <w:abstractNumId w:val="34"/>
  </w:num>
  <w:num w:numId="51">
    <w:abstractNumId w:val="36"/>
  </w:num>
  <w:num w:numId="52">
    <w:abstractNumId w:val="6"/>
  </w:num>
  <w:num w:numId="53">
    <w:abstractNumId w:val="55"/>
  </w:num>
  <w:num w:numId="54">
    <w:abstractNumId w:val="47"/>
  </w:num>
  <w:num w:numId="55">
    <w:abstractNumId w:val="42"/>
  </w:num>
  <w:num w:numId="56">
    <w:abstractNumId w:val="26"/>
  </w:num>
  <w:num w:numId="57">
    <w:abstractNumId w:val="56"/>
  </w:num>
  <w:num w:numId="58">
    <w:abstractNumId w:val="37"/>
  </w:num>
  <w:num w:numId="59">
    <w:abstractNumId w:val="32"/>
  </w:num>
  <w:num w:numId="60">
    <w:abstractNumId w:val="72"/>
  </w:num>
  <w:num w:numId="61">
    <w:abstractNumId w:val="15"/>
  </w:num>
  <w:num w:numId="62">
    <w:abstractNumId w:val="49"/>
  </w:num>
  <w:num w:numId="63">
    <w:abstractNumId w:val="70"/>
  </w:num>
  <w:num w:numId="64">
    <w:abstractNumId w:val="71"/>
  </w:num>
  <w:num w:numId="65">
    <w:abstractNumId w:val="2"/>
  </w:num>
  <w:num w:numId="66">
    <w:abstractNumId w:val="3"/>
  </w:num>
  <w:num w:numId="67">
    <w:abstractNumId w:val="31"/>
  </w:num>
  <w:num w:numId="68">
    <w:abstractNumId w:val="63"/>
  </w:num>
  <w:num w:numId="69">
    <w:abstractNumId w:val="65"/>
  </w:num>
  <w:num w:numId="70">
    <w:abstractNumId w:val="39"/>
  </w:num>
  <w:num w:numId="71">
    <w:abstractNumId w:val="10"/>
  </w:num>
  <w:num w:numId="72">
    <w:abstractNumId w:val="80"/>
  </w:num>
  <w:num w:numId="73">
    <w:abstractNumId w:val="0"/>
  </w:num>
  <w:num w:numId="74">
    <w:abstractNumId w:val="23"/>
  </w:num>
  <w:num w:numId="75">
    <w:abstractNumId w:val="50"/>
  </w:num>
  <w:num w:numId="76">
    <w:abstractNumId w:val="62"/>
  </w:num>
  <w:num w:numId="77">
    <w:abstractNumId w:val="61"/>
  </w:num>
  <w:num w:numId="78">
    <w:abstractNumId w:val="5"/>
  </w:num>
  <w:num w:numId="79">
    <w:abstractNumId w:val="29"/>
  </w:num>
  <w:num w:numId="80">
    <w:abstractNumId w:val="13"/>
  </w:num>
  <w:num w:numId="81">
    <w:abstractNumId w:val="14"/>
  </w:num>
  <w:num w:numId="82">
    <w:abstractNumId w:val="17"/>
  </w:num>
  <w:num w:numId="83">
    <w:abstractNumId w:val="7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F79"/>
    <w:rsid w:val="00000200"/>
    <w:rsid w:val="000012CB"/>
    <w:rsid w:val="0000170C"/>
    <w:rsid w:val="00002805"/>
    <w:rsid w:val="0000312F"/>
    <w:rsid w:val="0001086D"/>
    <w:rsid w:val="00011C81"/>
    <w:rsid w:val="0001424C"/>
    <w:rsid w:val="000146A4"/>
    <w:rsid w:val="00017502"/>
    <w:rsid w:val="00020861"/>
    <w:rsid w:val="00020AB0"/>
    <w:rsid w:val="00021716"/>
    <w:rsid w:val="00021E17"/>
    <w:rsid w:val="00022114"/>
    <w:rsid w:val="00023CE4"/>
    <w:rsid w:val="000247EC"/>
    <w:rsid w:val="00027627"/>
    <w:rsid w:val="00027781"/>
    <w:rsid w:val="000320AE"/>
    <w:rsid w:val="00033B9E"/>
    <w:rsid w:val="00033E08"/>
    <w:rsid w:val="00033E3A"/>
    <w:rsid w:val="000357C4"/>
    <w:rsid w:val="00035ECC"/>
    <w:rsid w:val="00036E12"/>
    <w:rsid w:val="00037568"/>
    <w:rsid w:val="00042191"/>
    <w:rsid w:val="00045EC4"/>
    <w:rsid w:val="00047351"/>
    <w:rsid w:val="000507FF"/>
    <w:rsid w:val="00050AB7"/>
    <w:rsid w:val="000512D2"/>
    <w:rsid w:val="00052F9C"/>
    <w:rsid w:val="000544F4"/>
    <w:rsid w:val="000579A0"/>
    <w:rsid w:val="00063512"/>
    <w:rsid w:val="00065690"/>
    <w:rsid w:val="000676D5"/>
    <w:rsid w:val="00067A40"/>
    <w:rsid w:val="00067F9A"/>
    <w:rsid w:val="0007200F"/>
    <w:rsid w:val="000727C9"/>
    <w:rsid w:val="00072D48"/>
    <w:rsid w:val="00073710"/>
    <w:rsid w:val="000748B0"/>
    <w:rsid w:val="0007493E"/>
    <w:rsid w:val="00075A17"/>
    <w:rsid w:val="000760F7"/>
    <w:rsid w:val="00076677"/>
    <w:rsid w:val="0008006A"/>
    <w:rsid w:val="000805AE"/>
    <w:rsid w:val="000809A6"/>
    <w:rsid w:val="00080D96"/>
    <w:rsid w:val="00082053"/>
    <w:rsid w:val="00082EBA"/>
    <w:rsid w:val="00083A32"/>
    <w:rsid w:val="00084805"/>
    <w:rsid w:val="000848C5"/>
    <w:rsid w:val="00084A2E"/>
    <w:rsid w:val="00085344"/>
    <w:rsid w:val="00085764"/>
    <w:rsid w:val="00085B98"/>
    <w:rsid w:val="000866C8"/>
    <w:rsid w:val="00086CDD"/>
    <w:rsid w:val="00086F83"/>
    <w:rsid w:val="000910FD"/>
    <w:rsid w:val="0009235C"/>
    <w:rsid w:val="00092E85"/>
    <w:rsid w:val="000935AE"/>
    <w:rsid w:val="00094D54"/>
    <w:rsid w:val="00095556"/>
    <w:rsid w:val="00095F0F"/>
    <w:rsid w:val="000963CA"/>
    <w:rsid w:val="00097E72"/>
    <w:rsid w:val="000A25A1"/>
    <w:rsid w:val="000A3B8D"/>
    <w:rsid w:val="000A622D"/>
    <w:rsid w:val="000A688E"/>
    <w:rsid w:val="000A7544"/>
    <w:rsid w:val="000A7BAF"/>
    <w:rsid w:val="000A7D4A"/>
    <w:rsid w:val="000A7E30"/>
    <w:rsid w:val="000B3CD9"/>
    <w:rsid w:val="000B4EAC"/>
    <w:rsid w:val="000B6BE0"/>
    <w:rsid w:val="000B7D91"/>
    <w:rsid w:val="000C0641"/>
    <w:rsid w:val="000C0858"/>
    <w:rsid w:val="000C1012"/>
    <w:rsid w:val="000C2D7A"/>
    <w:rsid w:val="000C533A"/>
    <w:rsid w:val="000C6141"/>
    <w:rsid w:val="000C62B3"/>
    <w:rsid w:val="000C6C4A"/>
    <w:rsid w:val="000C7594"/>
    <w:rsid w:val="000D0259"/>
    <w:rsid w:val="000D15D1"/>
    <w:rsid w:val="000D2220"/>
    <w:rsid w:val="000D237A"/>
    <w:rsid w:val="000D37EC"/>
    <w:rsid w:val="000D452B"/>
    <w:rsid w:val="000D453F"/>
    <w:rsid w:val="000D4CBD"/>
    <w:rsid w:val="000E009A"/>
    <w:rsid w:val="000E12A9"/>
    <w:rsid w:val="000E29FA"/>
    <w:rsid w:val="000E3D3F"/>
    <w:rsid w:val="000E68D2"/>
    <w:rsid w:val="000E6967"/>
    <w:rsid w:val="000F0248"/>
    <w:rsid w:val="000F02B5"/>
    <w:rsid w:val="000F0500"/>
    <w:rsid w:val="000F0809"/>
    <w:rsid w:val="000F1F27"/>
    <w:rsid w:val="000F2180"/>
    <w:rsid w:val="000F3533"/>
    <w:rsid w:val="000F412D"/>
    <w:rsid w:val="000F4594"/>
    <w:rsid w:val="000F628F"/>
    <w:rsid w:val="000F6AEA"/>
    <w:rsid w:val="00100D7B"/>
    <w:rsid w:val="001016DC"/>
    <w:rsid w:val="001018D9"/>
    <w:rsid w:val="00101D27"/>
    <w:rsid w:val="001029A4"/>
    <w:rsid w:val="00103112"/>
    <w:rsid w:val="00103896"/>
    <w:rsid w:val="00103997"/>
    <w:rsid w:val="0010462E"/>
    <w:rsid w:val="00106C35"/>
    <w:rsid w:val="00110E74"/>
    <w:rsid w:val="00111294"/>
    <w:rsid w:val="00113769"/>
    <w:rsid w:val="00113F17"/>
    <w:rsid w:val="00114F1F"/>
    <w:rsid w:val="00117037"/>
    <w:rsid w:val="001177CF"/>
    <w:rsid w:val="00120405"/>
    <w:rsid w:val="0012142D"/>
    <w:rsid w:val="00123D6A"/>
    <w:rsid w:val="00124842"/>
    <w:rsid w:val="00125488"/>
    <w:rsid w:val="00126083"/>
    <w:rsid w:val="001278CF"/>
    <w:rsid w:val="00130915"/>
    <w:rsid w:val="001332E0"/>
    <w:rsid w:val="0013355D"/>
    <w:rsid w:val="00133E61"/>
    <w:rsid w:val="00136C03"/>
    <w:rsid w:val="00136F79"/>
    <w:rsid w:val="001416F4"/>
    <w:rsid w:val="00142B07"/>
    <w:rsid w:val="00142DC1"/>
    <w:rsid w:val="001444DB"/>
    <w:rsid w:val="001460A8"/>
    <w:rsid w:val="001506EE"/>
    <w:rsid w:val="001511AC"/>
    <w:rsid w:val="001512B4"/>
    <w:rsid w:val="0015216D"/>
    <w:rsid w:val="001529BA"/>
    <w:rsid w:val="0015396E"/>
    <w:rsid w:val="0015437A"/>
    <w:rsid w:val="001543FC"/>
    <w:rsid w:val="001556F3"/>
    <w:rsid w:val="00155E99"/>
    <w:rsid w:val="00157F4A"/>
    <w:rsid w:val="001606F9"/>
    <w:rsid w:val="00160B61"/>
    <w:rsid w:val="00160D4C"/>
    <w:rsid w:val="00161CCA"/>
    <w:rsid w:val="00162362"/>
    <w:rsid w:val="00162930"/>
    <w:rsid w:val="001653D8"/>
    <w:rsid w:val="00165824"/>
    <w:rsid w:val="0016626A"/>
    <w:rsid w:val="00167E5B"/>
    <w:rsid w:val="00170470"/>
    <w:rsid w:val="00170D2D"/>
    <w:rsid w:val="00171093"/>
    <w:rsid w:val="00171AD8"/>
    <w:rsid w:val="00172F22"/>
    <w:rsid w:val="00176E55"/>
    <w:rsid w:val="00177C83"/>
    <w:rsid w:val="00182B87"/>
    <w:rsid w:val="00182EE9"/>
    <w:rsid w:val="00183486"/>
    <w:rsid w:val="00185E3C"/>
    <w:rsid w:val="00186914"/>
    <w:rsid w:val="001929BA"/>
    <w:rsid w:val="00195812"/>
    <w:rsid w:val="00195D63"/>
    <w:rsid w:val="00196227"/>
    <w:rsid w:val="00196B0D"/>
    <w:rsid w:val="00196BB2"/>
    <w:rsid w:val="0019723D"/>
    <w:rsid w:val="001A00A4"/>
    <w:rsid w:val="001A0700"/>
    <w:rsid w:val="001A1CC4"/>
    <w:rsid w:val="001A2301"/>
    <w:rsid w:val="001A2474"/>
    <w:rsid w:val="001A3C26"/>
    <w:rsid w:val="001A4485"/>
    <w:rsid w:val="001A4B4B"/>
    <w:rsid w:val="001A5715"/>
    <w:rsid w:val="001A5961"/>
    <w:rsid w:val="001A5B2E"/>
    <w:rsid w:val="001A6710"/>
    <w:rsid w:val="001B055E"/>
    <w:rsid w:val="001B2E13"/>
    <w:rsid w:val="001B31A7"/>
    <w:rsid w:val="001B348D"/>
    <w:rsid w:val="001B5197"/>
    <w:rsid w:val="001B5AAB"/>
    <w:rsid w:val="001B7CEA"/>
    <w:rsid w:val="001B7D17"/>
    <w:rsid w:val="001C077F"/>
    <w:rsid w:val="001C1141"/>
    <w:rsid w:val="001C161D"/>
    <w:rsid w:val="001C1C6A"/>
    <w:rsid w:val="001C2CEB"/>
    <w:rsid w:val="001C3662"/>
    <w:rsid w:val="001D3012"/>
    <w:rsid w:val="001D3F95"/>
    <w:rsid w:val="001D4B50"/>
    <w:rsid w:val="001D759F"/>
    <w:rsid w:val="001E04E3"/>
    <w:rsid w:val="001E0AF8"/>
    <w:rsid w:val="001E22DE"/>
    <w:rsid w:val="001E2EE2"/>
    <w:rsid w:val="001E57C7"/>
    <w:rsid w:val="001E5829"/>
    <w:rsid w:val="001E5EBD"/>
    <w:rsid w:val="001E6F84"/>
    <w:rsid w:val="001E7D2C"/>
    <w:rsid w:val="001F15D7"/>
    <w:rsid w:val="001F1F71"/>
    <w:rsid w:val="001F4E49"/>
    <w:rsid w:val="001F5924"/>
    <w:rsid w:val="001F5A37"/>
    <w:rsid w:val="001F6552"/>
    <w:rsid w:val="002000DE"/>
    <w:rsid w:val="0020222D"/>
    <w:rsid w:val="00203F79"/>
    <w:rsid w:val="00206E0E"/>
    <w:rsid w:val="00207A5A"/>
    <w:rsid w:val="00210EEC"/>
    <w:rsid w:val="00212E14"/>
    <w:rsid w:val="002136FD"/>
    <w:rsid w:val="00213969"/>
    <w:rsid w:val="00213A78"/>
    <w:rsid w:val="002141FB"/>
    <w:rsid w:val="00214607"/>
    <w:rsid w:val="00214B0E"/>
    <w:rsid w:val="002172A6"/>
    <w:rsid w:val="00220FA7"/>
    <w:rsid w:val="0022131E"/>
    <w:rsid w:val="00221D26"/>
    <w:rsid w:val="00222B03"/>
    <w:rsid w:val="00224EE2"/>
    <w:rsid w:val="00226659"/>
    <w:rsid w:val="0022698D"/>
    <w:rsid w:val="00226C3F"/>
    <w:rsid w:val="0023187E"/>
    <w:rsid w:val="00232759"/>
    <w:rsid w:val="0023527B"/>
    <w:rsid w:val="002356EB"/>
    <w:rsid w:val="002360CD"/>
    <w:rsid w:val="00236149"/>
    <w:rsid w:val="002405B1"/>
    <w:rsid w:val="00245829"/>
    <w:rsid w:val="00245ABA"/>
    <w:rsid w:val="002462E5"/>
    <w:rsid w:val="002476EB"/>
    <w:rsid w:val="00247B42"/>
    <w:rsid w:val="00250200"/>
    <w:rsid w:val="002508D1"/>
    <w:rsid w:val="00250B2D"/>
    <w:rsid w:val="00250E4C"/>
    <w:rsid w:val="00250EEB"/>
    <w:rsid w:val="00251891"/>
    <w:rsid w:val="002545ED"/>
    <w:rsid w:val="00254EFA"/>
    <w:rsid w:val="00255910"/>
    <w:rsid w:val="00255D3F"/>
    <w:rsid w:val="00255D60"/>
    <w:rsid w:val="002567E8"/>
    <w:rsid w:val="0025709E"/>
    <w:rsid w:val="00257F55"/>
    <w:rsid w:val="002603ED"/>
    <w:rsid w:val="002610BF"/>
    <w:rsid w:val="0026573D"/>
    <w:rsid w:val="0026771B"/>
    <w:rsid w:val="00270A93"/>
    <w:rsid w:val="002731CE"/>
    <w:rsid w:val="00274F2A"/>
    <w:rsid w:val="0027526A"/>
    <w:rsid w:val="002759EC"/>
    <w:rsid w:val="00275A6A"/>
    <w:rsid w:val="00276DAD"/>
    <w:rsid w:val="00280AAD"/>
    <w:rsid w:val="002812C4"/>
    <w:rsid w:val="00281A39"/>
    <w:rsid w:val="0028219A"/>
    <w:rsid w:val="002824BA"/>
    <w:rsid w:val="002840B5"/>
    <w:rsid w:val="0028749E"/>
    <w:rsid w:val="00287BC9"/>
    <w:rsid w:val="002919FC"/>
    <w:rsid w:val="00294F90"/>
    <w:rsid w:val="0029522B"/>
    <w:rsid w:val="0029607A"/>
    <w:rsid w:val="00296986"/>
    <w:rsid w:val="002A1C87"/>
    <w:rsid w:val="002A2C82"/>
    <w:rsid w:val="002A33FD"/>
    <w:rsid w:val="002A47CE"/>
    <w:rsid w:val="002A53CB"/>
    <w:rsid w:val="002A5863"/>
    <w:rsid w:val="002A6C6A"/>
    <w:rsid w:val="002A79C7"/>
    <w:rsid w:val="002B2E20"/>
    <w:rsid w:val="002B4ADE"/>
    <w:rsid w:val="002B4E20"/>
    <w:rsid w:val="002B5292"/>
    <w:rsid w:val="002B5903"/>
    <w:rsid w:val="002B5EB3"/>
    <w:rsid w:val="002B6309"/>
    <w:rsid w:val="002B6422"/>
    <w:rsid w:val="002B6F28"/>
    <w:rsid w:val="002C08AF"/>
    <w:rsid w:val="002C0EBF"/>
    <w:rsid w:val="002C0F1A"/>
    <w:rsid w:val="002C1221"/>
    <w:rsid w:val="002C2E54"/>
    <w:rsid w:val="002C330C"/>
    <w:rsid w:val="002C3945"/>
    <w:rsid w:val="002C4FF7"/>
    <w:rsid w:val="002C60BE"/>
    <w:rsid w:val="002C67EF"/>
    <w:rsid w:val="002C70D8"/>
    <w:rsid w:val="002C778C"/>
    <w:rsid w:val="002D00D3"/>
    <w:rsid w:val="002D0CCE"/>
    <w:rsid w:val="002D2574"/>
    <w:rsid w:val="002D2D3D"/>
    <w:rsid w:val="002D4F3B"/>
    <w:rsid w:val="002D580B"/>
    <w:rsid w:val="002D581C"/>
    <w:rsid w:val="002D67BC"/>
    <w:rsid w:val="002D7040"/>
    <w:rsid w:val="002E0C62"/>
    <w:rsid w:val="002E164C"/>
    <w:rsid w:val="002E28C1"/>
    <w:rsid w:val="002E55DB"/>
    <w:rsid w:val="002E5E1D"/>
    <w:rsid w:val="002E6C42"/>
    <w:rsid w:val="002F1397"/>
    <w:rsid w:val="002F2596"/>
    <w:rsid w:val="002F4398"/>
    <w:rsid w:val="002F6077"/>
    <w:rsid w:val="002F6E79"/>
    <w:rsid w:val="002F708C"/>
    <w:rsid w:val="00301621"/>
    <w:rsid w:val="00302C32"/>
    <w:rsid w:val="00303CEE"/>
    <w:rsid w:val="00303D7C"/>
    <w:rsid w:val="003043A9"/>
    <w:rsid w:val="00304EAC"/>
    <w:rsid w:val="003076DE"/>
    <w:rsid w:val="00307731"/>
    <w:rsid w:val="00307AF5"/>
    <w:rsid w:val="00307B92"/>
    <w:rsid w:val="00307ED9"/>
    <w:rsid w:val="00310224"/>
    <w:rsid w:val="0031027B"/>
    <w:rsid w:val="00311DDE"/>
    <w:rsid w:val="00312D93"/>
    <w:rsid w:val="0032135D"/>
    <w:rsid w:val="00323ED0"/>
    <w:rsid w:val="003252F8"/>
    <w:rsid w:val="003271DA"/>
    <w:rsid w:val="00330366"/>
    <w:rsid w:val="003303DE"/>
    <w:rsid w:val="00331481"/>
    <w:rsid w:val="003323D2"/>
    <w:rsid w:val="00333481"/>
    <w:rsid w:val="00333B17"/>
    <w:rsid w:val="00334A7E"/>
    <w:rsid w:val="00334E78"/>
    <w:rsid w:val="003357DD"/>
    <w:rsid w:val="00336226"/>
    <w:rsid w:val="003365A5"/>
    <w:rsid w:val="00337449"/>
    <w:rsid w:val="00340A45"/>
    <w:rsid w:val="0034156D"/>
    <w:rsid w:val="00341622"/>
    <w:rsid w:val="0034289C"/>
    <w:rsid w:val="00345E31"/>
    <w:rsid w:val="0035654D"/>
    <w:rsid w:val="003577FC"/>
    <w:rsid w:val="0035793F"/>
    <w:rsid w:val="00360EF0"/>
    <w:rsid w:val="00362767"/>
    <w:rsid w:val="00362B07"/>
    <w:rsid w:val="00364162"/>
    <w:rsid w:val="003652C1"/>
    <w:rsid w:val="0037176A"/>
    <w:rsid w:val="0037279C"/>
    <w:rsid w:val="003748A1"/>
    <w:rsid w:val="00375DAC"/>
    <w:rsid w:val="003803DB"/>
    <w:rsid w:val="00380BD9"/>
    <w:rsid w:val="003827E5"/>
    <w:rsid w:val="00383C06"/>
    <w:rsid w:val="00384E4B"/>
    <w:rsid w:val="00384E9C"/>
    <w:rsid w:val="00391CAC"/>
    <w:rsid w:val="003929F2"/>
    <w:rsid w:val="00392AF0"/>
    <w:rsid w:val="003931D6"/>
    <w:rsid w:val="00394559"/>
    <w:rsid w:val="00395B08"/>
    <w:rsid w:val="003966D4"/>
    <w:rsid w:val="00396BE4"/>
    <w:rsid w:val="003A0CF1"/>
    <w:rsid w:val="003A0EE1"/>
    <w:rsid w:val="003A3DDD"/>
    <w:rsid w:val="003A5FA1"/>
    <w:rsid w:val="003A640E"/>
    <w:rsid w:val="003A6855"/>
    <w:rsid w:val="003A7CF7"/>
    <w:rsid w:val="003A7E02"/>
    <w:rsid w:val="003B3109"/>
    <w:rsid w:val="003B31D5"/>
    <w:rsid w:val="003B3BE6"/>
    <w:rsid w:val="003B584C"/>
    <w:rsid w:val="003B6F63"/>
    <w:rsid w:val="003C1239"/>
    <w:rsid w:val="003C14C8"/>
    <w:rsid w:val="003C1898"/>
    <w:rsid w:val="003C1F0E"/>
    <w:rsid w:val="003C27EB"/>
    <w:rsid w:val="003C2928"/>
    <w:rsid w:val="003C39C1"/>
    <w:rsid w:val="003C4199"/>
    <w:rsid w:val="003C7FE3"/>
    <w:rsid w:val="003D0272"/>
    <w:rsid w:val="003D2A7A"/>
    <w:rsid w:val="003D2C23"/>
    <w:rsid w:val="003D2EB6"/>
    <w:rsid w:val="003D433A"/>
    <w:rsid w:val="003D6104"/>
    <w:rsid w:val="003D739E"/>
    <w:rsid w:val="003E01B6"/>
    <w:rsid w:val="003E103A"/>
    <w:rsid w:val="003E1440"/>
    <w:rsid w:val="003E1A18"/>
    <w:rsid w:val="003E2826"/>
    <w:rsid w:val="003E2C42"/>
    <w:rsid w:val="003E33C1"/>
    <w:rsid w:val="003E4B4D"/>
    <w:rsid w:val="003E4E61"/>
    <w:rsid w:val="003E54BF"/>
    <w:rsid w:val="003F03ED"/>
    <w:rsid w:val="003F1502"/>
    <w:rsid w:val="003F2B53"/>
    <w:rsid w:val="003F3376"/>
    <w:rsid w:val="003F3F16"/>
    <w:rsid w:val="003F53AA"/>
    <w:rsid w:val="003F5AB7"/>
    <w:rsid w:val="003F6CDC"/>
    <w:rsid w:val="004007BC"/>
    <w:rsid w:val="00402A08"/>
    <w:rsid w:val="004031EC"/>
    <w:rsid w:val="004053FA"/>
    <w:rsid w:val="0041039B"/>
    <w:rsid w:val="00411125"/>
    <w:rsid w:val="004118E7"/>
    <w:rsid w:val="004140D5"/>
    <w:rsid w:val="00414208"/>
    <w:rsid w:val="00415610"/>
    <w:rsid w:val="004157EF"/>
    <w:rsid w:val="00420BFC"/>
    <w:rsid w:val="004210D8"/>
    <w:rsid w:val="0042185F"/>
    <w:rsid w:val="0042314F"/>
    <w:rsid w:val="00423B76"/>
    <w:rsid w:val="00423E4F"/>
    <w:rsid w:val="004255A5"/>
    <w:rsid w:val="00426529"/>
    <w:rsid w:val="00426743"/>
    <w:rsid w:val="0043015D"/>
    <w:rsid w:val="00433031"/>
    <w:rsid w:val="00433231"/>
    <w:rsid w:val="00433D02"/>
    <w:rsid w:val="00435841"/>
    <w:rsid w:val="004369EE"/>
    <w:rsid w:val="00437E8D"/>
    <w:rsid w:val="00442B1F"/>
    <w:rsid w:val="00442D7A"/>
    <w:rsid w:val="00442E26"/>
    <w:rsid w:val="00442F9D"/>
    <w:rsid w:val="0044357A"/>
    <w:rsid w:val="004437FF"/>
    <w:rsid w:val="00444F08"/>
    <w:rsid w:val="00446CB1"/>
    <w:rsid w:val="00446D00"/>
    <w:rsid w:val="00446E5A"/>
    <w:rsid w:val="00456929"/>
    <w:rsid w:val="00461467"/>
    <w:rsid w:val="00461A64"/>
    <w:rsid w:val="00461B86"/>
    <w:rsid w:val="00462ECC"/>
    <w:rsid w:val="00464F21"/>
    <w:rsid w:val="004670E7"/>
    <w:rsid w:val="00467ABF"/>
    <w:rsid w:val="0047095C"/>
    <w:rsid w:val="00472427"/>
    <w:rsid w:val="004728A8"/>
    <w:rsid w:val="00472B86"/>
    <w:rsid w:val="00472F49"/>
    <w:rsid w:val="00474BB4"/>
    <w:rsid w:val="004752E1"/>
    <w:rsid w:val="00475863"/>
    <w:rsid w:val="0047631D"/>
    <w:rsid w:val="004769C8"/>
    <w:rsid w:val="00477AC8"/>
    <w:rsid w:val="00480C3C"/>
    <w:rsid w:val="0048102E"/>
    <w:rsid w:val="0048166C"/>
    <w:rsid w:val="004835AA"/>
    <w:rsid w:val="00484E4E"/>
    <w:rsid w:val="00485B48"/>
    <w:rsid w:val="00485B63"/>
    <w:rsid w:val="00486447"/>
    <w:rsid w:val="00487C26"/>
    <w:rsid w:val="00487DF8"/>
    <w:rsid w:val="00487E31"/>
    <w:rsid w:val="004906DF"/>
    <w:rsid w:val="00490B17"/>
    <w:rsid w:val="00490BB5"/>
    <w:rsid w:val="004926A2"/>
    <w:rsid w:val="00492AF0"/>
    <w:rsid w:val="004937B1"/>
    <w:rsid w:val="004938BB"/>
    <w:rsid w:val="00494839"/>
    <w:rsid w:val="00494DA1"/>
    <w:rsid w:val="0049551A"/>
    <w:rsid w:val="004956F0"/>
    <w:rsid w:val="00496056"/>
    <w:rsid w:val="00496C37"/>
    <w:rsid w:val="004A0044"/>
    <w:rsid w:val="004A0A56"/>
    <w:rsid w:val="004A2BD9"/>
    <w:rsid w:val="004A4A08"/>
    <w:rsid w:val="004A5766"/>
    <w:rsid w:val="004A5DB8"/>
    <w:rsid w:val="004A6754"/>
    <w:rsid w:val="004A6B0C"/>
    <w:rsid w:val="004A74EA"/>
    <w:rsid w:val="004A76F0"/>
    <w:rsid w:val="004B004F"/>
    <w:rsid w:val="004B01E2"/>
    <w:rsid w:val="004B182E"/>
    <w:rsid w:val="004B295F"/>
    <w:rsid w:val="004B2D83"/>
    <w:rsid w:val="004B44A6"/>
    <w:rsid w:val="004B49E7"/>
    <w:rsid w:val="004B56C3"/>
    <w:rsid w:val="004B5A4A"/>
    <w:rsid w:val="004B6BE5"/>
    <w:rsid w:val="004B6EBF"/>
    <w:rsid w:val="004B730B"/>
    <w:rsid w:val="004B76C0"/>
    <w:rsid w:val="004B7B8D"/>
    <w:rsid w:val="004C01F7"/>
    <w:rsid w:val="004C0A4D"/>
    <w:rsid w:val="004C15EB"/>
    <w:rsid w:val="004C1B01"/>
    <w:rsid w:val="004C1CB9"/>
    <w:rsid w:val="004C381B"/>
    <w:rsid w:val="004C4C99"/>
    <w:rsid w:val="004C5D0F"/>
    <w:rsid w:val="004C64C0"/>
    <w:rsid w:val="004C684D"/>
    <w:rsid w:val="004C69CC"/>
    <w:rsid w:val="004D1B85"/>
    <w:rsid w:val="004D29A6"/>
    <w:rsid w:val="004D3938"/>
    <w:rsid w:val="004E07C2"/>
    <w:rsid w:val="004E0B78"/>
    <w:rsid w:val="004E55C8"/>
    <w:rsid w:val="004E645E"/>
    <w:rsid w:val="004F0DDA"/>
    <w:rsid w:val="004F6A79"/>
    <w:rsid w:val="004F7089"/>
    <w:rsid w:val="005016FB"/>
    <w:rsid w:val="005029C9"/>
    <w:rsid w:val="005032C6"/>
    <w:rsid w:val="005034DC"/>
    <w:rsid w:val="00503792"/>
    <w:rsid w:val="005037B2"/>
    <w:rsid w:val="0050392A"/>
    <w:rsid w:val="0050564F"/>
    <w:rsid w:val="00506A1B"/>
    <w:rsid w:val="00506F8D"/>
    <w:rsid w:val="00511A35"/>
    <w:rsid w:val="0051488C"/>
    <w:rsid w:val="00516F2C"/>
    <w:rsid w:val="00516FC6"/>
    <w:rsid w:val="005171F1"/>
    <w:rsid w:val="00522018"/>
    <w:rsid w:val="00522A15"/>
    <w:rsid w:val="0052354D"/>
    <w:rsid w:val="005273DC"/>
    <w:rsid w:val="00530F52"/>
    <w:rsid w:val="00531155"/>
    <w:rsid w:val="00531F72"/>
    <w:rsid w:val="00532E36"/>
    <w:rsid w:val="00533189"/>
    <w:rsid w:val="0053566F"/>
    <w:rsid w:val="00535CF5"/>
    <w:rsid w:val="00536FD3"/>
    <w:rsid w:val="00537FF1"/>
    <w:rsid w:val="00540165"/>
    <w:rsid w:val="00544014"/>
    <w:rsid w:val="005442FC"/>
    <w:rsid w:val="00544FD1"/>
    <w:rsid w:val="00545F76"/>
    <w:rsid w:val="00546029"/>
    <w:rsid w:val="00552D93"/>
    <w:rsid w:val="0055417D"/>
    <w:rsid w:val="00554BE1"/>
    <w:rsid w:val="00555FA5"/>
    <w:rsid w:val="00556412"/>
    <w:rsid w:val="00556895"/>
    <w:rsid w:val="00557B44"/>
    <w:rsid w:val="005622F1"/>
    <w:rsid w:val="005635A1"/>
    <w:rsid w:val="0056530F"/>
    <w:rsid w:val="00565DFD"/>
    <w:rsid w:val="00567003"/>
    <w:rsid w:val="0057472C"/>
    <w:rsid w:val="00580A85"/>
    <w:rsid w:val="00581E71"/>
    <w:rsid w:val="00583A3A"/>
    <w:rsid w:val="00583EEF"/>
    <w:rsid w:val="00584AFA"/>
    <w:rsid w:val="0058771A"/>
    <w:rsid w:val="005877F9"/>
    <w:rsid w:val="00590248"/>
    <w:rsid w:val="005916CA"/>
    <w:rsid w:val="0059273E"/>
    <w:rsid w:val="00593739"/>
    <w:rsid w:val="005940E7"/>
    <w:rsid w:val="005943C1"/>
    <w:rsid w:val="00596121"/>
    <w:rsid w:val="00596B3A"/>
    <w:rsid w:val="005A1999"/>
    <w:rsid w:val="005A3647"/>
    <w:rsid w:val="005A3A98"/>
    <w:rsid w:val="005A4303"/>
    <w:rsid w:val="005A470F"/>
    <w:rsid w:val="005A54C4"/>
    <w:rsid w:val="005A58B7"/>
    <w:rsid w:val="005A732E"/>
    <w:rsid w:val="005A745A"/>
    <w:rsid w:val="005A7609"/>
    <w:rsid w:val="005A7F5B"/>
    <w:rsid w:val="005B076D"/>
    <w:rsid w:val="005B08FE"/>
    <w:rsid w:val="005B0BB1"/>
    <w:rsid w:val="005B1D4C"/>
    <w:rsid w:val="005B42EE"/>
    <w:rsid w:val="005B506F"/>
    <w:rsid w:val="005B574A"/>
    <w:rsid w:val="005B5D4B"/>
    <w:rsid w:val="005C0642"/>
    <w:rsid w:val="005C0E9A"/>
    <w:rsid w:val="005C1A1D"/>
    <w:rsid w:val="005C1DB1"/>
    <w:rsid w:val="005C20E0"/>
    <w:rsid w:val="005C2B06"/>
    <w:rsid w:val="005C3D3D"/>
    <w:rsid w:val="005C6670"/>
    <w:rsid w:val="005C6B80"/>
    <w:rsid w:val="005D117D"/>
    <w:rsid w:val="005D18B9"/>
    <w:rsid w:val="005D2824"/>
    <w:rsid w:val="005D49A0"/>
    <w:rsid w:val="005E2B6B"/>
    <w:rsid w:val="005E3107"/>
    <w:rsid w:val="005E3224"/>
    <w:rsid w:val="005E55B5"/>
    <w:rsid w:val="005E55F3"/>
    <w:rsid w:val="005E560B"/>
    <w:rsid w:val="005E664E"/>
    <w:rsid w:val="005E67D2"/>
    <w:rsid w:val="005F063A"/>
    <w:rsid w:val="005F07E5"/>
    <w:rsid w:val="005F5C89"/>
    <w:rsid w:val="005F77CA"/>
    <w:rsid w:val="005F7933"/>
    <w:rsid w:val="00605B67"/>
    <w:rsid w:val="00607E40"/>
    <w:rsid w:val="006109FE"/>
    <w:rsid w:val="00611C74"/>
    <w:rsid w:val="00612CCF"/>
    <w:rsid w:val="00614099"/>
    <w:rsid w:val="00614489"/>
    <w:rsid w:val="00614C34"/>
    <w:rsid w:val="00614C4E"/>
    <w:rsid w:val="00615CB0"/>
    <w:rsid w:val="006165B8"/>
    <w:rsid w:val="00617D35"/>
    <w:rsid w:val="00617D72"/>
    <w:rsid w:val="00621A21"/>
    <w:rsid w:val="006228DE"/>
    <w:rsid w:val="00624A12"/>
    <w:rsid w:val="006254A8"/>
    <w:rsid w:val="006276AA"/>
    <w:rsid w:val="00630820"/>
    <w:rsid w:val="00630C01"/>
    <w:rsid w:val="00631A2E"/>
    <w:rsid w:val="00632AB8"/>
    <w:rsid w:val="00632ABC"/>
    <w:rsid w:val="00633E71"/>
    <w:rsid w:val="00642C88"/>
    <w:rsid w:val="00643A4E"/>
    <w:rsid w:val="00644526"/>
    <w:rsid w:val="006446B6"/>
    <w:rsid w:val="00644F1B"/>
    <w:rsid w:val="00652D06"/>
    <w:rsid w:val="00654C4E"/>
    <w:rsid w:val="00656234"/>
    <w:rsid w:val="006572D7"/>
    <w:rsid w:val="00662A08"/>
    <w:rsid w:val="00662B13"/>
    <w:rsid w:val="00662E4F"/>
    <w:rsid w:val="00664F7D"/>
    <w:rsid w:val="0066635F"/>
    <w:rsid w:val="006663D4"/>
    <w:rsid w:val="0066767A"/>
    <w:rsid w:val="00671355"/>
    <w:rsid w:val="006727D2"/>
    <w:rsid w:val="006728EA"/>
    <w:rsid w:val="00673723"/>
    <w:rsid w:val="00673C6C"/>
    <w:rsid w:val="00673CCB"/>
    <w:rsid w:val="00674B70"/>
    <w:rsid w:val="00674F52"/>
    <w:rsid w:val="00675246"/>
    <w:rsid w:val="00675FC5"/>
    <w:rsid w:val="006768ED"/>
    <w:rsid w:val="00677E44"/>
    <w:rsid w:val="00680635"/>
    <w:rsid w:val="006825FE"/>
    <w:rsid w:val="006842AB"/>
    <w:rsid w:val="0068525B"/>
    <w:rsid w:val="006859A0"/>
    <w:rsid w:val="006861E1"/>
    <w:rsid w:val="00686D45"/>
    <w:rsid w:val="006872B9"/>
    <w:rsid w:val="006876E2"/>
    <w:rsid w:val="00690762"/>
    <w:rsid w:val="00690C6A"/>
    <w:rsid w:val="00691D3C"/>
    <w:rsid w:val="006927BE"/>
    <w:rsid w:val="006937B4"/>
    <w:rsid w:val="00694A2B"/>
    <w:rsid w:val="00697D55"/>
    <w:rsid w:val="006A021A"/>
    <w:rsid w:val="006A158D"/>
    <w:rsid w:val="006A2A94"/>
    <w:rsid w:val="006A5EE0"/>
    <w:rsid w:val="006A73A6"/>
    <w:rsid w:val="006A7C48"/>
    <w:rsid w:val="006B18F0"/>
    <w:rsid w:val="006B7C3B"/>
    <w:rsid w:val="006C0591"/>
    <w:rsid w:val="006C05EE"/>
    <w:rsid w:val="006C159B"/>
    <w:rsid w:val="006C1C3A"/>
    <w:rsid w:val="006C2565"/>
    <w:rsid w:val="006C2BCD"/>
    <w:rsid w:val="006C369C"/>
    <w:rsid w:val="006C3B5D"/>
    <w:rsid w:val="006C4FF0"/>
    <w:rsid w:val="006C645C"/>
    <w:rsid w:val="006C6ACF"/>
    <w:rsid w:val="006C6F9E"/>
    <w:rsid w:val="006C7FFB"/>
    <w:rsid w:val="006D0FCD"/>
    <w:rsid w:val="006D0FF7"/>
    <w:rsid w:val="006D1607"/>
    <w:rsid w:val="006D2243"/>
    <w:rsid w:val="006D2379"/>
    <w:rsid w:val="006D2F88"/>
    <w:rsid w:val="006D47B5"/>
    <w:rsid w:val="006D5F52"/>
    <w:rsid w:val="006D634E"/>
    <w:rsid w:val="006D795E"/>
    <w:rsid w:val="006E0688"/>
    <w:rsid w:val="006E0C69"/>
    <w:rsid w:val="006E26E1"/>
    <w:rsid w:val="006E4C64"/>
    <w:rsid w:val="006E52AD"/>
    <w:rsid w:val="006E535B"/>
    <w:rsid w:val="006E5B57"/>
    <w:rsid w:val="006E7FAE"/>
    <w:rsid w:val="006F0C5A"/>
    <w:rsid w:val="006F0F91"/>
    <w:rsid w:val="006F104D"/>
    <w:rsid w:val="006F226D"/>
    <w:rsid w:val="006F2448"/>
    <w:rsid w:val="006F32D4"/>
    <w:rsid w:val="006F63A1"/>
    <w:rsid w:val="006F64D0"/>
    <w:rsid w:val="006F7DE8"/>
    <w:rsid w:val="0070012E"/>
    <w:rsid w:val="007007BF"/>
    <w:rsid w:val="00703791"/>
    <w:rsid w:val="00704271"/>
    <w:rsid w:val="00704677"/>
    <w:rsid w:val="00705850"/>
    <w:rsid w:val="00706522"/>
    <w:rsid w:val="007066CD"/>
    <w:rsid w:val="00707074"/>
    <w:rsid w:val="007071AC"/>
    <w:rsid w:val="00710505"/>
    <w:rsid w:val="0071053E"/>
    <w:rsid w:val="00710B35"/>
    <w:rsid w:val="0071193F"/>
    <w:rsid w:val="00712609"/>
    <w:rsid w:val="00712E2A"/>
    <w:rsid w:val="0071456E"/>
    <w:rsid w:val="0071461B"/>
    <w:rsid w:val="00720A51"/>
    <w:rsid w:val="00721592"/>
    <w:rsid w:val="00721BB1"/>
    <w:rsid w:val="0072200C"/>
    <w:rsid w:val="007230C0"/>
    <w:rsid w:val="00723F1B"/>
    <w:rsid w:val="007254B1"/>
    <w:rsid w:val="0072581D"/>
    <w:rsid w:val="00727BAE"/>
    <w:rsid w:val="00730654"/>
    <w:rsid w:val="0073164F"/>
    <w:rsid w:val="00731E25"/>
    <w:rsid w:val="00733105"/>
    <w:rsid w:val="00734CF9"/>
    <w:rsid w:val="00735F7B"/>
    <w:rsid w:val="00736A14"/>
    <w:rsid w:val="0073703F"/>
    <w:rsid w:val="00740D14"/>
    <w:rsid w:val="007413B6"/>
    <w:rsid w:val="00741B36"/>
    <w:rsid w:val="00741C8A"/>
    <w:rsid w:val="007444AC"/>
    <w:rsid w:val="00744607"/>
    <w:rsid w:val="00745808"/>
    <w:rsid w:val="0075043F"/>
    <w:rsid w:val="007507B5"/>
    <w:rsid w:val="007534E5"/>
    <w:rsid w:val="00754BFA"/>
    <w:rsid w:val="00755B2C"/>
    <w:rsid w:val="00756E3F"/>
    <w:rsid w:val="00757378"/>
    <w:rsid w:val="00757CAF"/>
    <w:rsid w:val="00760AFC"/>
    <w:rsid w:val="007643E0"/>
    <w:rsid w:val="00764CC4"/>
    <w:rsid w:val="00765488"/>
    <w:rsid w:val="00771A81"/>
    <w:rsid w:val="00772BBE"/>
    <w:rsid w:val="007731E4"/>
    <w:rsid w:val="00773EB0"/>
    <w:rsid w:val="00775B4E"/>
    <w:rsid w:val="007817DC"/>
    <w:rsid w:val="0078233F"/>
    <w:rsid w:val="00783064"/>
    <w:rsid w:val="00783110"/>
    <w:rsid w:val="007833AF"/>
    <w:rsid w:val="00783B00"/>
    <w:rsid w:val="00784AC0"/>
    <w:rsid w:val="007853A0"/>
    <w:rsid w:val="007872B7"/>
    <w:rsid w:val="007911FE"/>
    <w:rsid w:val="00791B3E"/>
    <w:rsid w:val="007933D7"/>
    <w:rsid w:val="007957AC"/>
    <w:rsid w:val="0079664F"/>
    <w:rsid w:val="00796B61"/>
    <w:rsid w:val="00797B9F"/>
    <w:rsid w:val="007A0E64"/>
    <w:rsid w:val="007A325C"/>
    <w:rsid w:val="007A3BF4"/>
    <w:rsid w:val="007A3EB3"/>
    <w:rsid w:val="007A55F1"/>
    <w:rsid w:val="007A71C7"/>
    <w:rsid w:val="007B0F25"/>
    <w:rsid w:val="007B1F9E"/>
    <w:rsid w:val="007B2691"/>
    <w:rsid w:val="007B44EA"/>
    <w:rsid w:val="007B6DB9"/>
    <w:rsid w:val="007B7C1D"/>
    <w:rsid w:val="007C38D7"/>
    <w:rsid w:val="007C544A"/>
    <w:rsid w:val="007C5457"/>
    <w:rsid w:val="007C57F4"/>
    <w:rsid w:val="007C5D5B"/>
    <w:rsid w:val="007C5DEA"/>
    <w:rsid w:val="007D07F9"/>
    <w:rsid w:val="007D2A15"/>
    <w:rsid w:val="007D2B1D"/>
    <w:rsid w:val="007D4A68"/>
    <w:rsid w:val="007E0DB9"/>
    <w:rsid w:val="007E1598"/>
    <w:rsid w:val="007E1A11"/>
    <w:rsid w:val="007E1D8A"/>
    <w:rsid w:val="007E2004"/>
    <w:rsid w:val="007E2D5A"/>
    <w:rsid w:val="007E2E1E"/>
    <w:rsid w:val="007E327A"/>
    <w:rsid w:val="007E5219"/>
    <w:rsid w:val="007E69F6"/>
    <w:rsid w:val="007F1A99"/>
    <w:rsid w:val="007F2C25"/>
    <w:rsid w:val="007F3B4E"/>
    <w:rsid w:val="007F462E"/>
    <w:rsid w:val="007F4C13"/>
    <w:rsid w:val="007F6CAD"/>
    <w:rsid w:val="007F7E1D"/>
    <w:rsid w:val="00801869"/>
    <w:rsid w:val="00801926"/>
    <w:rsid w:val="008029A3"/>
    <w:rsid w:val="00802AA6"/>
    <w:rsid w:val="00802D9E"/>
    <w:rsid w:val="008058B0"/>
    <w:rsid w:val="00810D20"/>
    <w:rsid w:val="00811149"/>
    <w:rsid w:val="00813EC1"/>
    <w:rsid w:val="00814079"/>
    <w:rsid w:val="00814827"/>
    <w:rsid w:val="00815F13"/>
    <w:rsid w:val="008164D7"/>
    <w:rsid w:val="00820609"/>
    <w:rsid w:val="00820ABD"/>
    <w:rsid w:val="00821959"/>
    <w:rsid w:val="008221C0"/>
    <w:rsid w:val="0082250B"/>
    <w:rsid w:val="00822C12"/>
    <w:rsid w:val="0082326A"/>
    <w:rsid w:val="00824FF0"/>
    <w:rsid w:val="00825A7B"/>
    <w:rsid w:val="008305A4"/>
    <w:rsid w:val="0083132E"/>
    <w:rsid w:val="008325EB"/>
    <w:rsid w:val="0083386A"/>
    <w:rsid w:val="0083613B"/>
    <w:rsid w:val="008370BC"/>
    <w:rsid w:val="008405A8"/>
    <w:rsid w:val="00841BB4"/>
    <w:rsid w:val="0084348C"/>
    <w:rsid w:val="0084416C"/>
    <w:rsid w:val="0084532D"/>
    <w:rsid w:val="0084755F"/>
    <w:rsid w:val="00847E87"/>
    <w:rsid w:val="0085267A"/>
    <w:rsid w:val="0085575E"/>
    <w:rsid w:val="00857957"/>
    <w:rsid w:val="0086015A"/>
    <w:rsid w:val="00860BE2"/>
    <w:rsid w:val="008624F7"/>
    <w:rsid w:val="00864C0C"/>
    <w:rsid w:val="00867B68"/>
    <w:rsid w:val="008711B7"/>
    <w:rsid w:val="008711DE"/>
    <w:rsid w:val="00871BD9"/>
    <w:rsid w:val="00871FDA"/>
    <w:rsid w:val="008743DE"/>
    <w:rsid w:val="008744EB"/>
    <w:rsid w:val="0087561C"/>
    <w:rsid w:val="00876B24"/>
    <w:rsid w:val="00877E06"/>
    <w:rsid w:val="0088316B"/>
    <w:rsid w:val="008836FF"/>
    <w:rsid w:val="00884F4B"/>
    <w:rsid w:val="0088533B"/>
    <w:rsid w:val="00887200"/>
    <w:rsid w:val="00890B78"/>
    <w:rsid w:val="00890B99"/>
    <w:rsid w:val="00890FB8"/>
    <w:rsid w:val="008911EC"/>
    <w:rsid w:val="00891387"/>
    <w:rsid w:val="0089196E"/>
    <w:rsid w:val="0089198D"/>
    <w:rsid w:val="00892155"/>
    <w:rsid w:val="008A106E"/>
    <w:rsid w:val="008A2C1C"/>
    <w:rsid w:val="008A4602"/>
    <w:rsid w:val="008A5ABC"/>
    <w:rsid w:val="008A5D35"/>
    <w:rsid w:val="008A614F"/>
    <w:rsid w:val="008A71B9"/>
    <w:rsid w:val="008A79E7"/>
    <w:rsid w:val="008A7C6C"/>
    <w:rsid w:val="008A7F86"/>
    <w:rsid w:val="008B1231"/>
    <w:rsid w:val="008B13D7"/>
    <w:rsid w:val="008B1AB9"/>
    <w:rsid w:val="008B7726"/>
    <w:rsid w:val="008C0386"/>
    <w:rsid w:val="008C060F"/>
    <w:rsid w:val="008C41D6"/>
    <w:rsid w:val="008C429A"/>
    <w:rsid w:val="008C54C2"/>
    <w:rsid w:val="008D0982"/>
    <w:rsid w:val="008D16DD"/>
    <w:rsid w:val="008D2CA6"/>
    <w:rsid w:val="008D300D"/>
    <w:rsid w:val="008D4D3F"/>
    <w:rsid w:val="008D58F5"/>
    <w:rsid w:val="008D5DB0"/>
    <w:rsid w:val="008E1010"/>
    <w:rsid w:val="008E2ED7"/>
    <w:rsid w:val="008E5302"/>
    <w:rsid w:val="008E5C70"/>
    <w:rsid w:val="008E601A"/>
    <w:rsid w:val="008E68BC"/>
    <w:rsid w:val="008E6BEB"/>
    <w:rsid w:val="008F0FE9"/>
    <w:rsid w:val="008F11F5"/>
    <w:rsid w:val="008F1EB4"/>
    <w:rsid w:val="008F40DC"/>
    <w:rsid w:val="009007F8"/>
    <w:rsid w:val="00900D93"/>
    <w:rsid w:val="00903F51"/>
    <w:rsid w:val="00903F7D"/>
    <w:rsid w:val="009040C5"/>
    <w:rsid w:val="009043B6"/>
    <w:rsid w:val="0090553D"/>
    <w:rsid w:val="0090556E"/>
    <w:rsid w:val="00905B9D"/>
    <w:rsid w:val="00906034"/>
    <w:rsid w:val="009074CE"/>
    <w:rsid w:val="0091016B"/>
    <w:rsid w:val="00910DBD"/>
    <w:rsid w:val="009116DD"/>
    <w:rsid w:val="0091264B"/>
    <w:rsid w:val="00913E04"/>
    <w:rsid w:val="00913F4F"/>
    <w:rsid w:val="00914DA1"/>
    <w:rsid w:val="00916075"/>
    <w:rsid w:val="009160F1"/>
    <w:rsid w:val="00916C44"/>
    <w:rsid w:val="00917756"/>
    <w:rsid w:val="00917BB1"/>
    <w:rsid w:val="00920848"/>
    <w:rsid w:val="00921913"/>
    <w:rsid w:val="009227C7"/>
    <w:rsid w:val="00922855"/>
    <w:rsid w:val="00922B00"/>
    <w:rsid w:val="00922C88"/>
    <w:rsid w:val="00924BA0"/>
    <w:rsid w:val="009256B2"/>
    <w:rsid w:val="00925853"/>
    <w:rsid w:val="009266A0"/>
    <w:rsid w:val="009333F0"/>
    <w:rsid w:val="0093396D"/>
    <w:rsid w:val="00934306"/>
    <w:rsid w:val="00935F8F"/>
    <w:rsid w:val="0093722B"/>
    <w:rsid w:val="00937746"/>
    <w:rsid w:val="00940A90"/>
    <w:rsid w:val="00940F26"/>
    <w:rsid w:val="00942616"/>
    <w:rsid w:val="00942E53"/>
    <w:rsid w:val="009432EF"/>
    <w:rsid w:val="009437B0"/>
    <w:rsid w:val="0094382E"/>
    <w:rsid w:val="00943F2F"/>
    <w:rsid w:val="0094442F"/>
    <w:rsid w:val="00945EC0"/>
    <w:rsid w:val="00951A47"/>
    <w:rsid w:val="0095202A"/>
    <w:rsid w:val="009525DE"/>
    <w:rsid w:val="0095325F"/>
    <w:rsid w:val="00953293"/>
    <w:rsid w:val="009548DD"/>
    <w:rsid w:val="00955C08"/>
    <w:rsid w:val="009569A8"/>
    <w:rsid w:val="00956CF5"/>
    <w:rsid w:val="00957FBE"/>
    <w:rsid w:val="009608CE"/>
    <w:rsid w:val="00961FAE"/>
    <w:rsid w:val="009633DE"/>
    <w:rsid w:val="00964EE6"/>
    <w:rsid w:val="00965B86"/>
    <w:rsid w:val="0096637F"/>
    <w:rsid w:val="00971C62"/>
    <w:rsid w:val="00971FB9"/>
    <w:rsid w:val="00972E44"/>
    <w:rsid w:val="00973226"/>
    <w:rsid w:val="009739BF"/>
    <w:rsid w:val="00975304"/>
    <w:rsid w:val="00975C5E"/>
    <w:rsid w:val="00977C76"/>
    <w:rsid w:val="00982CCE"/>
    <w:rsid w:val="0098368E"/>
    <w:rsid w:val="00986FCA"/>
    <w:rsid w:val="00992244"/>
    <w:rsid w:val="00992B8A"/>
    <w:rsid w:val="00993D77"/>
    <w:rsid w:val="0099434E"/>
    <w:rsid w:val="009954E5"/>
    <w:rsid w:val="0099591A"/>
    <w:rsid w:val="0099642B"/>
    <w:rsid w:val="00997417"/>
    <w:rsid w:val="00997DE2"/>
    <w:rsid w:val="009A08EC"/>
    <w:rsid w:val="009A2C01"/>
    <w:rsid w:val="009A3245"/>
    <w:rsid w:val="009A5417"/>
    <w:rsid w:val="009A682F"/>
    <w:rsid w:val="009B4250"/>
    <w:rsid w:val="009B4286"/>
    <w:rsid w:val="009B6CDD"/>
    <w:rsid w:val="009C2451"/>
    <w:rsid w:val="009C3B7F"/>
    <w:rsid w:val="009C3D7E"/>
    <w:rsid w:val="009C4E2E"/>
    <w:rsid w:val="009C5A98"/>
    <w:rsid w:val="009C6961"/>
    <w:rsid w:val="009D0BEC"/>
    <w:rsid w:val="009D1159"/>
    <w:rsid w:val="009D12AB"/>
    <w:rsid w:val="009D2108"/>
    <w:rsid w:val="009D4272"/>
    <w:rsid w:val="009D429B"/>
    <w:rsid w:val="009D531A"/>
    <w:rsid w:val="009D5908"/>
    <w:rsid w:val="009D6356"/>
    <w:rsid w:val="009E1A3F"/>
    <w:rsid w:val="009E236E"/>
    <w:rsid w:val="009E4A5B"/>
    <w:rsid w:val="009E4DCA"/>
    <w:rsid w:val="009E5452"/>
    <w:rsid w:val="009E6231"/>
    <w:rsid w:val="009E699D"/>
    <w:rsid w:val="009E6F14"/>
    <w:rsid w:val="009F1E33"/>
    <w:rsid w:val="009F28E0"/>
    <w:rsid w:val="009F376D"/>
    <w:rsid w:val="009F3E87"/>
    <w:rsid w:val="009F3F38"/>
    <w:rsid w:val="009F4649"/>
    <w:rsid w:val="009F4751"/>
    <w:rsid w:val="009F4D39"/>
    <w:rsid w:val="009F7418"/>
    <w:rsid w:val="00A00EC1"/>
    <w:rsid w:val="00A040FB"/>
    <w:rsid w:val="00A0579E"/>
    <w:rsid w:val="00A10113"/>
    <w:rsid w:val="00A11ACF"/>
    <w:rsid w:val="00A15165"/>
    <w:rsid w:val="00A156BE"/>
    <w:rsid w:val="00A15981"/>
    <w:rsid w:val="00A17467"/>
    <w:rsid w:val="00A20188"/>
    <w:rsid w:val="00A21FF2"/>
    <w:rsid w:val="00A22D67"/>
    <w:rsid w:val="00A237D0"/>
    <w:rsid w:val="00A23C55"/>
    <w:rsid w:val="00A2469A"/>
    <w:rsid w:val="00A25B31"/>
    <w:rsid w:val="00A272A9"/>
    <w:rsid w:val="00A300F4"/>
    <w:rsid w:val="00A31BF2"/>
    <w:rsid w:val="00A32B8D"/>
    <w:rsid w:val="00A34428"/>
    <w:rsid w:val="00A3458F"/>
    <w:rsid w:val="00A36F28"/>
    <w:rsid w:val="00A42CB5"/>
    <w:rsid w:val="00A45012"/>
    <w:rsid w:val="00A45A0E"/>
    <w:rsid w:val="00A464B6"/>
    <w:rsid w:val="00A46A5D"/>
    <w:rsid w:val="00A47657"/>
    <w:rsid w:val="00A47B38"/>
    <w:rsid w:val="00A558A5"/>
    <w:rsid w:val="00A60554"/>
    <w:rsid w:val="00A60E48"/>
    <w:rsid w:val="00A61141"/>
    <w:rsid w:val="00A6123B"/>
    <w:rsid w:val="00A61D5D"/>
    <w:rsid w:val="00A6531B"/>
    <w:rsid w:val="00A6550A"/>
    <w:rsid w:val="00A66072"/>
    <w:rsid w:val="00A70C3E"/>
    <w:rsid w:val="00A71272"/>
    <w:rsid w:val="00A74D51"/>
    <w:rsid w:val="00A75614"/>
    <w:rsid w:val="00A7691F"/>
    <w:rsid w:val="00A7799C"/>
    <w:rsid w:val="00A8046C"/>
    <w:rsid w:val="00A81CAC"/>
    <w:rsid w:val="00A83F12"/>
    <w:rsid w:val="00A84B6C"/>
    <w:rsid w:val="00A860F8"/>
    <w:rsid w:val="00A86D10"/>
    <w:rsid w:val="00A87711"/>
    <w:rsid w:val="00A9118A"/>
    <w:rsid w:val="00A916E0"/>
    <w:rsid w:val="00A91B9C"/>
    <w:rsid w:val="00A94B7C"/>
    <w:rsid w:val="00A97779"/>
    <w:rsid w:val="00A97936"/>
    <w:rsid w:val="00AA39F8"/>
    <w:rsid w:val="00AA406D"/>
    <w:rsid w:val="00AA62CB"/>
    <w:rsid w:val="00AA6D24"/>
    <w:rsid w:val="00AA6F5A"/>
    <w:rsid w:val="00AB1228"/>
    <w:rsid w:val="00AB22CE"/>
    <w:rsid w:val="00AB24F1"/>
    <w:rsid w:val="00AB3B50"/>
    <w:rsid w:val="00AB4CA6"/>
    <w:rsid w:val="00AB704E"/>
    <w:rsid w:val="00AB77D8"/>
    <w:rsid w:val="00AC00FE"/>
    <w:rsid w:val="00AC0BA4"/>
    <w:rsid w:val="00AC0F97"/>
    <w:rsid w:val="00AC233C"/>
    <w:rsid w:val="00AC2CCE"/>
    <w:rsid w:val="00AC440F"/>
    <w:rsid w:val="00AD162C"/>
    <w:rsid w:val="00AD1B76"/>
    <w:rsid w:val="00AD1ED2"/>
    <w:rsid w:val="00AD416B"/>
    <w:rsid w:val="00AD456B"/>
    <w:rsid w:val="00AD52C9"/>
    <w:rsid w:val="00AD6BD4"/>
    <w:rsid w:val="00AE36C0"/>
    <w:rsid w:val="00AE37A6"/>
    <w:rsid w:val="00AE75B2"/>
    <w:rsid w:val="00AE7FE5"/>
    <w:rsid w:val="00AF13BE"/>
    <w:rsid w:val="00AF4541"/>
    <w:rsid w:val="00AF64E1"/>
    <w:rsid w:val="00AF7C4E"/>
    <w:rsid w:val="00B01720"/>
    <w:rsid w:val="00B020F3"/>
    <w:rsid w:val="00B02171"/>
    <w:rsid w:val="00B0266C"/>
    <w:rsid w:val="00B02E61"/>
    <w:rsid w:val="00B03E82"/>
    <w:rsid w:val="00B041CF"/>
    <w:rsid w:val="00B04C81"/>
    <w:rsid w:val="00B05369"/>
    <w:rsid w:val="00B05A30"/>
    <w:rsid w:val="00B05F4B"/>
    <w:rsid w:val="00B05F85"/>
    <w:rsid w:val="00B0711E"/>
    <w:rsid w:val="00B07828"/>
    <w:rsid w:val="00B10EC5"/>
    <w:rsid w:val="00B119FA"/>
    <w:rsid w:val="00B15926"/>
    <w:rsid w:val="00B16290"/>
    <w:rsid w:val="00B168D9"/>
    <w:rsid w:val="00B17632"/>
    <w:rsid w:val="00B17BE9"/>
    <w:rsid w:val="00B22B5D"/>
    <w:rsid w:val="00B23A5B"/>
    <w:rsid w:val="00B25579"/>
    <w:rsid w:val="00B2559C"/>
    <w:rsid w:val="00B30A4F"/>
    <w:rsid w:val="00B30E3A"/>
    <w:rsid w:val="00B31643"/>
    <w:rsid w:val="00B32E0C"/>
    <w:rsid w:val="00B338CB"/>
    <w:rsid w:val="00B349DA"/>
    <w:rsid w:val="00B355E1"/>
    <w:rsid w:val="00B35C0D"/>
    <w:rsid w:val="00B42A07"/>
    <w:rsid w:val="00B43158"/>
    <w:rsid w:val="00B44372"/>
    <w:rsid w:val="00B4461B"/>
    <w:rsid w:val="00B46CB8"/>
    <w:rsid w:val="00B50089"/>
    <w:rsid w:val="00B5290D"/>
    <w:rsid w:val="00B537C6"/>
    <w:rsid w:val="00B554F8"/>
    <w:rsid w:val="00B56D02"/>
    <w:rsid w:val="00B60E78"/>
    <w:rsid w:val="00B630F4"/>
    <w:rsid w:val="00B635F7"/>
    <w:rsid w:val="00B64BFE"/>
    <w:rsid w:val="00B65B77"/>
    <w:rsid w:val="00B6796C"/>
    <w:rsid w:val="00B711D6"/>
    <w:rsid w:val="00B7180B"/>
    <w:rsid w:val="00B71D14"/>
    <w:rsid w:val="00B73D7B"/>
    <w:rsid w:val="00B75776"/>
    <w:rsid w:val="00B75C62"/>
    <w:rsid w:val="00B80F26"/>
    <w:rsid w:val="00B817D8"/>
    <w:rsid w:val="00B8331B"/>
    <w:rsid w:val="00B83F72"/>
    <w:rsid w:val="00B83F82"/>
    <w:rsid w:val="00B84B98"/>
    <w:rsid w:val="00B84E88"/>
    <w:rsid w:val="00B85548"/>
    <w:rsid w:val="00B85A18"/>
    <w:rsid w:val="00B90FD2"/>
    <w:rsid w:val="00B9166A"/>
    <w:rsid w:val="00B9225C"/>
    <w:rsid w:val="00B92ADE"/>
    <w:rsid w:val="00B94C68"/>
    <w:rsid w:val="00B96E1B"/>
    <w:rsid w:val="00B976EC"/>
    <w:rsid w:val="00BA042B"/>
    <w:rsid w:val="00BA1335"/>
    <w:rsid w:val="00BA1493"/>
    <w:rsid w:val="00BA174D"/>
    <w:rsid w:val="00BA239B"/>
    <w:rsid w:val="00BA3FCC"/>
    <w:rsid w:val="00BA44BF"/>
    <w:rsid w:val="00BA4735"/>
    <w:rsid w:val="00BA5745"/>
    <w:rsid w:val="00BA60A4"/>
    <w:rsid w:val="00BA6127"/>
    <w:rsid w:val="00BA6B1B"/>
    <w:rsid w:val="00BA6F76"/>
    <w:rsid w:val="00BA7668"/>
    <w:rsid w:val="00BA7B76"/>
    <w:rsid w:val="00BB0398"/>
    <w:rsid w:val="00BB08B9"/>
    <w:rsid w:val="00BB305A"/>
    <w:rsid w:val="00BB3436"/>
    <w:rsid w:val="00BB58D6"/>
    <w:rsid w:val="00BB5BE7"/>
    <w:rsid w:val="00BB6AA9"/>
    <w:rsid w:val="00BB6F01"/>
    <w:rsid w:val="00BB791A"/>
    <w:rsid w:val="00BC05F9"/>
    <w:rsid w:val="00BC0D6F"/>
    <w:rsid w:val="00BC1073"/>
    <w:rsid w:val="00BC418D"/>
    <w:rsid w:val="00BC50BF"/>
    <w:rsid w:val="00BC6FAB"/>
    <w:rsid w:val="00BD0290"/>
    <w:rsid w:val="00BD0673"/>
    <w:rsid w:val="00BD0E49"/>
    <w:rsid w:val="00BD1409"/>
    <w:rsid w:val="00BD34CB"/>
    <w:rsid w:val="00BD448B"/>
    <w:rsid w:val="00BD5AD9"/>
    <w:rsid w:val="00BD62DD"/>
    <w:rsid w:val="00BD674C"/>
    <w:rsid w:val="00BD7280"/>
    <w:rsid w:val="00BD72DD"/>
    <w:rsid w:val="00BD78BC"/>
    <w:rsid w:val="00BE0917"/>
    <w:rsid w:val="00BE10BE"/>
    <w:rsid w:val="00BE19DE"/>
    <w:rsid w:val="00BE458E"/>
    <w:rsid w:val="00BE5D22"/>
    <w:rsid w:val="00BE68A2"/>
    <w:rsid w:val="00BE7C90"/>
    <w:rsid w:val="00BF11C7"/>
    <w:rsid w:val="00BF172A"/>
    <w:rsid w:val="00BF2F9B"/>
    <w:rsid w:val="00BF4C0B"/>
    <w:rsid w:val="00BF5D1D"/>
    <w:rsid w:val="00C01939"/>
    <w:rsid w:val="00C03180"/>
    <w:rsid w:val="00C04857"/>
    <w:rsid w:val="00C04C12"/>
    <w:rsid w:val="00C059E4"/>
    <w:rsid w:val="00C10CD4"/>
    <w:rsid w:val="00C12E37"/>
    <w:rsid w:val="00C1380F"/>
    <w:rsid w:val="00C14999"/>
    <w:rsid w:val="00C14CE9"/>
    <w:rsid w:val="00C1531C"/>
    <w:rsid w:val="00C16566"/>
    <w:rsid w:val="00C175CD"/>
    <w:rsid w:val="00C20578"/>
    <w:rsid w:val="00C228BB"/>
    <w:rsid w:val="00C23260"/>
    <w:rsid w:val="00C238FD"/>
    <w:rsid w:val="00C2520C"/>
    <w:rsid w:val="00C25894"/>
    <w:rsid w:val="00C27FC5"/>
    <w:rsid w:val="00C314E3"/>
    <w:rsid w:val="00C31639"/>
    <w:rsid w:val="00C3399E"/>
    <w:rsid w:val="00C34053"/>
    <w:rsid w:val="00C35170"/>
    <w:rsid w:val="00C35DF5"/>
    <w:rsid w:val="00C3614E"/>
    <w:rsid w:val="00C363C7"/>
    <w:rsid w:val="00C41C93"/>
    <w:rsid w:val="00C42361"/>
    <w:rsid w:val="00C4264C"/>
    <w:rsid w:val="00C44553"/>
    <w:rsid w:val="00C4539D"/>
    <w:rsid w:val="00C46C1D"/>
    <w:rsid w:val="00C470D4"/>
    <w:rsid w:val="00C50C2D"/>
    <w:rsid w:val="00C51B36"/>
    <w:rsid w:val="00C51FD3"/>
    <w:rsid w:val="00C52C43"/>
    <w:rsid w:val="00C53633"/>
    <w:rsid w:val="00C54642"/>
    <w:rsid w:val="00C54650"/>
    <w:rsid w:val="00C556A2"/>
    <w:rsid w:val="00C562F8"/>
    <w:rsid w:val="00C57306"/>
    <w:rsid w:val="00C57FE8"/>
    <w:rsid w:val="00C65860"/>
    <w:rsid w:val="00C661EF"/>
    <w:rsid w:val="00C667D3"/>
    <w:rsid w:val="00C67AAC"/>
    <w:rsid w:val="00C715F0"/>
    <w:rsid w:val="00C728FC"/>
    <w:rsid w:val="00C72D99"/>
    <w:rsid w:val="00C74192"/>
    <w:rsid w:val="00C74242"/>
    <w:rsid w:val="00C74654"/>
    <w:rsid w:val="00C74807"/>
    <w:rsid w:val="00C77D54"/>
    <w:rsid w:val="00C812AA"/>
    <w:rsid w:val="00C83E23"/>
    <w:rsid w:val="00C849D0"/>
    <w:rsid w:val="00C858C1"/>
    <w:rsid w:val="00C85A5C"/>
    <w:rsid w:val="00C8621C"/>
    <w:rsid w:val="00C862E1"/>
    <w:rsid w:val="00C8662A"/>
    <w:rsid w:val="00C935F1"/>
    <w:rsid w:val="00C9424A"/>
    <w:rsid w:val="00C942FF"/>
    <w:rsid w:val="00C94C93"/>
    <w:rsid w:val="00C95635"/>
    <w:rsid w:val="00C9594F"/>
    <w:rsid w:val="00CA034D"/>
    <w:rsid w:val="00CA1A90"/>
    <w:rsid w:val="00CA1DB0"/>
    <w:rsid w:val="00CA2167"/>
    <w:rsid w:val="00CA247E"/>
    <w:rsid w:val="00CA6B8A"/>
    <w:rsid w:val="00CA7DAD"/>
    <w:rsid w:val="00CB42D2"/>
    <w:rsid w:val="00CB43DA"/>
    <w:rsid w:val="00CB522B"/>
    <w:rsid w:val="00CB5B10"/>
    <w:rsid w:val="00CB5BE0"/>
    <w:rsid w:val="00CB641C"/>
    <w:rsid w:val="00CB6B1C"/>
    <w:rsid w:val="00CC0E6D"/>
    <w:rsid w:val="00CC5FE3"/>
    <w:rsid w:val="00CC63BD"/>
    <w:rsid w:val="00CC6938"/>
    <w:rsid w:val="00CC735A"/>
    <w:rsid w:val="00CC7AC5"/>
    <w:rsid w:val="00CD0BF8"/>
    <w:rsid w:val="00CD24A0"/>
    <w:rsid w:val="00CD2822"/>
    <w:rsid w:val="00CD3735"/>
    <w:rsid w:val="00CD4211"/>
    <w:rsid w:val="00CD6078"/>
    <w:rsid w:val="00CD610E"/>
    <w:rsid w:val="00CE09A9"/>
    <w:rsid w:val="00CE25C2"/>
    <w:rsid w:val="00CE2EDF"/>
    <w:rsid w:val="00CE356B"/>
    <w:rsid w:val="00CE3709"/>
    <w:rsid w:val="00CE3EEB"/>
    <w:rsid w:val="00CE3F6F"/>
    <w:rsid w:val="00CE4186"/>
    <w:rsid w:val="00CE428C"/>
    <w:rsid w:val="00CE726E"/>
    <w:rsid w:val="00CE755C"/>
    <w:rsid w:val="00CE76F6"/>
    <w:rsid w:val="00CF09BB"/>
    <w:rsid w:val="00CF0A7D"/>
    <w:rsid w:val="00CF0D63"/>
    <w:rsid w:val="00CF13DF"/>
    <w:rsid w:val="00CF1854"/>
    <w:rsid w:val="00CF28D2"/>
    <w:rsid w:val="00CF3177"/>
    <w:rsid w:val="00CF33D1"/>
    <w:rsid w:val="00CF34F9"/>
    <w:rsid w:val="00CF3907"/>
    <w:rsid w:val="00CF3CC9"/>
    <w:rsid w:val="00CF6721"/>
    <w:rsid w:val="00D01567"/>
    <w:rsid w:val="00D053C0"/>
    <w:rsid w:val="00D05C31"/>
    <w:rsid w:val="00D05F39"/>
    <w:rsid w:val="00D10FB1"/>
    <w:rsid w:val="00D122BF"/>
    <w:rsid w:val="00D13517"/>
    <w:rsid w:val="00D13C4A"/>
    <w:rsid w:val="00D1429E"/>
    <w:rsid w:val="00D14E3F"/>
    <w:rsid w:val="00D15127"/>
    <w:rsid w:val="00D17FC4"/>
    <w:rsid w:val="00D20044"/>
    <w:rsid w:val="00D200CC"/>
    <w:rsid w:val="00D20622"/>
    <w:rsid w:val="00D20F03"/>
    <w:rsid w:val="00D22129"/>
    <w:rsid w:val="00D22882"/>
    <w:rsid w:val="00D2345D"/>
    <w:rsid w:val="00D23514"/>
    <w:rsid w:val="00D27BCB"/>
    <w:rsid w:val="00D30032"/>
    <w:rsid w:val="00D3465D"/>
    <w:rsid w:val="00D3654A"/>
    <w:rsid w:val="00D3654E"/>
    <w:rsid w:val="00D369BF"/>
    <w:rsid w:val="00D36B01"/>
    <w:rsid w:val="00D378E7"/>
    <w:rsid w:val="00D37F8F"/>
    <w:rsid w:val="00D40DA5"/>
    <w:rsid w:val="00D410D3"/>
    <w:rsid w:val="00D42A22"/>
    <w:rsid w:val="00D43AFC"/>
    <w:rsid w:val="00D44E95"/>
    <w:rsid w:val="00D456E7"/>
    <w:rsid w:val="00D4696C"/>
    <w:rsid w:val="00D472D9"/>
    <w:rsid w:val="00D47FF4"/>
    <w:rsid w:val="00D52CAD"/>
    <w:rsid w:val="00D53642"/>
    <w:rsid w:val="00D536E3"/>
    <w:rsid w:val="00D5388D"/>
    <w:rsid w:val="00D544C1"/>
    <w:rsid w:val="00D551DA"/>
    <w:rsid w:val="00D5558C"/>
    <w:rsid w:val="00D55B1A"/>
    <w:rsid w:val="00D576D5"/>
    <w:rsid w:val="00D57BD0"/>
    <w:rsid w:val="00D57C25"/>
    <w:rsid w:val="00D6178F"/>
    <w:rsid w:val="00D61B53"/>
    <w:rsid w:val="00D61B80"/>
    <w:rsid w:val="00D65014"/>
    <w:rsid w:val="00D66664"/>
    <w:rsid w:val="00D66C13"/>
    <w:rsid w:val="00D67740"/>
    <w:rsid w:val="00D67830"/>
    <w:rsid w:val="00D67A5E"/>
    <w:rsid w:val="00D7278E"/>
    <w:rsid w:val="00D7382C"/>
    <w:rsid w:val="00D73A52"/>
    <w:rsid w:val="00D74BE6"/>
    <w:rsid w:val="00D74FE4"/>
    <w:rsid w:val="00D753D7"/>
    <w:rsid w:val="00D75767"/>
    <w:rsid w:val="00D76942"/>
    <w:rsid w:val="00D774F9"/>
    <w:rsid w:val="00D808DB"/>
    <w:rsid w:val="00D809B5"/>
    <w:rsid w:val="00D80F5E"/>
    <w:rsid w:val="00D821D8"/>
    <w:rsid w:val="00D859D2"/>
    <w:rsid w:val="00D90A17"/>
    <w:rsid w:val="00D90C9A"/>
    <w:rsid w:val="00D91447"/>
    <w:rsid w:val="00D9214E"/>
    <w:rsid w:val="00D9328F"/>
    <w:rsid w:val="00D934F6"/>
    <w:rsid w:val="00D941AF"/>
    <w:rsid w:val="00D94CF8"/>
    <w:rsid w:val="00D953D6"/>
    <w:rsid w:val="00D9551F"/>
    <w:rsid w:val="00D96BA9"/>
    <w:rsid w:val="00D9725D"/>
    <w:rsid w:val="00D9798F"/>
    <w:rsid w:val="00DA119B"/>
    <w:rsid w:val="00DA1F9B"/>
    <w:rsid w:val="00DA29C3"/>
    <w:rsid w:val="00DA715D"/>
    <w:rsid w:val="00DB0326"/>
    <w:rsid w:val="00DB2B4C"/>
    <w:rsid w:val="00DB3C60"/>
    <w:rsid w:val="00DB55EB"/>
    <w:rsid w:val="00DB7240"/>
    <w:rsid w:val="00DC1247"/>
    <w:rsid w:val="00DC2801"/>
    <w:rsid w:val="00DC2EC1"/>
    <w:rsid w:val="00DC325C"/>
    <w:rsid w:val="00DC3B1C"/>
    <w:rsid w:val="00DC4684"/>
    <w:rsid w:val="00DC5F64"/>
    <w:rsid w:val="00DC675D"/>
    <w:rsid w:val="00DD134C"/>
    <w:rsid w:val="00DD2525"/>
    <w:rsid w:val="00DD3FF9"/>
    <w:rsid w:val="00DD4A5E"/>
    <w:rsid w:val="00DD504A"/>
    <w:rsid w:val="00DD52CE"/>
    <w:rsid w:val="00DD580D"/>
    <w:rsid w:val="00DD6564"/>
    <w:rsid w:val="00DD701D"/>
    <w:rsid w:val="00DD76BB"/>
    <w:rsid w:val="00DE22B4"/>
    <w:rsid w:val="00DE26A4"/>
    <w:rsid w:val="00DE3206"/>
    <w:rsid w:val="00DE4D78"/>
    <w:rsid w:val="00DE78CE"/>
    <w:rsid w:val="00DF01B6"/>
    <w:rsid w:val="00DF05D2"/>
    <w:rsid w:val="00DF191A"/>
    <w:rsid w:val="00DF2702"/>
    <w:rsid w:val="00DF3BB8"/>
    <w:rsid w:val="00DF5118"/>
    <w:rsid w:val="00DF6889"/>
    <w:rsid w:val="00DF6D85"/>
    <w:rsid w:val="00E00929"/>
    <w:rsid w:val="00E0221D"/>
    <w:rsid w:val="00E02720"/>
    <w:rsid w:val="00E02920"/>
    <w:rsid w:val="00E034F9"/>
    <w:rsid w:val="00E04F9D"/>
    <w:rsid w:val="00E05E94"/>
    <w:rsid w:val="00E0623C"/>
    <w:rsid w:val="00E0794F"/>
    <w:rsid w:val="00E10760"/>
    <w:rsid w:val="00E112AE"/>
    <w:rsid w:val="00E11F3F"/>
    <w:rsid w:val="00E1449E"/>
    <w:rsid w:val="00E14C35"/>
    <w:rsid w:val="00E14FC2"/>
    <w:rsid w:val="00E16350"/>
    <w:rsid w:val="00E164A5"/>
    <w:rsid w:val="00E176A8"/>
    <w:rsid w:val="00E205DE"/>
    <w:rsid w:val="00E21BED"/>
    <w:rsid w:val="00E2236B"/>
    <w:rsid w:val="00E2461F"/>
    <w:rsid w:val="00E26544"/>
    <w:rsid w:val="00E2673B"/>
    <w:rsid w:val="00E26DFC"/>
    <w:rsid w:val="00E27A51"/>
    <w:rsid w:val="00E40CB7"/>
    <w:rsid w:val="00E41313"/>
    <w:rsid w:val="00E41F15"/>
    <w:rsid w:val="00E4209F"/>
    <w:rsid w:val="00E42989"/>
    <w:rsid w:val="00E45833"/>
    <w:rsid w:val="00E45D0B"/>
    <w:rsid w:val="00E47936"/>
    <w:rsid w:val="00E5243B"/>
    <w:rsid w:val="00E52D71"/>
    <w:rsid w:val="00E55654"/>
    <w:rsid w:val="00E62420"/>
    <w:rsid w:val="00E6296F"/>
    <w:rsid w:val="00E64411"/>
    <w:rsid w:val="00E64894"/>
    <w:rsid w:val="00E66B6D"/>
    <w:rsid w:val="00E670A8"/>
    <w:rsid w:val="00E700DB"/>
    <w:rsid w:val="00E7032B"/>
    <w:rsid w:val="00E70912"/>
    <w:rsid w:val="00E7142C"/>
    <w:rsid w:val="00E71ACF"/>
    <w:rsid w:val="00E721E0"/>
    <w:rsid w:val="00E723C8"/>
    <w:rsid w:val="00E72772"/>
    <w:rsid w:val="00E72EEB"/>
    <w:rsid w:val="00E765F6"/>
    <w:rsid w:val="00E77842"/>
    <w:rsid w:val="00E80D81"/>
    <w:rsid w:val="00E8121C"/>
    <w:rsid w:val="00E8173F"/>
    <w:rsid w:val="00E828B7"/>
    <w:rsid w:val="00E84EBD"/>
    <w:rsid w:val="00E96151"/>
    <w:rsid w:val="00E961DB"/>
    <w:rsid w:val="00EA013E"/>
    <w:rsid w:val="00EA0D95"/>
    <w:rsid w:val="00EA20F8"/>
    <w:rsid w:val="00EA3675"/>
    <w:rsid w:val="00EA42CA"/>
    <w:rsid w:val="00EA5FE3"/>
    <w:rsid w:val="00EA6598"/>
    <w:rsid w:val="00EA6CAA"/>
    <w:rsid w:val="00EA76BF"/>
    <w:rsid w:val="00EB04D5"/>
    <w:rsid w:val="00EB0B41"/>
    <w:rsid w:val="00EB2F80"/>
    <w:rsid w:val="00EB358B"/>
    <w:rsid w:val="00EB3B87"/>
    <w:rsid w:val="00EB4BAA"/>
    <w:rsid w:val="00EB55AA"/>
    <w:rsid w:val="00EB560D"/>
    <w:rsid w:val="00EB7FB0"/>
    <w:rsid w:val="00EC003F"/>
    <w:rsid w:val="00EC2977"/>
    <w:rsid w:val="00EC3539"/>
    <w:rsid w:val="00EC3EAD"/>
    <w:rsid w:val="00EC4411"/>
    <w:rsid w:val="00EC7BC2"/>
    <w:rsid w:val="00ED1D77"/>
    <w:rsid w:val="00ED1E2E"/>
    <w:rsid w:val="00ED3664"/>
    <w:rsid w:val="00ED3DEB"/>
    <w:rsid w:val="00ED437D"/>
    <w:rsid w:val="00ED7778"/>
    <w:rsid w:val="00ED7F83"/>
    <w:rsid w:val="00EE12C1"/>
    <w:rsid w:val="00EE3F46"/>
    <w:rsid w:val="00EE4F89"/>
    <w:rsid w:val="00EE5AB5"/>
    <w:rsid w:val="00EE6BC8"/>
    <w:rsid w:val="00EE6DD9"/>
    <w:rsid w:val="00EE7583"/>
    <w:rsid w:val="00EF0984"/>
    <w:rsid w:val="00EF0BE2"/>
    <w:rsid w:val="00EF1BCD"/>
    <w:rsid w:val="00EF2A88"/>
    <w:rsid w:val="00EF3ADD"/>
    <w:rsid w:val="00EF3EFA"/>
    <w:rsid w:val="00EF5A1D"/>
    <w:rsid w:val="00EF5A71"/>
    <w:rsid w:val="00EF65BE"/>
    <w:rsid w:val="00EF78C3"/>
    <w:rsid w:val="00EF7AFA"/>
    <w:rsid w:val="00F01116"/>
    <w:rsid w:val="00F012E3"/>
    <w:rsid w:val="00F026A5"/>
    <w:rsid w:val="00F049E5"/>
    <w:rsid w:val="00F057B3"/>
    <w:rsid w:val="00F0777A"/>
    <w:rsid w:val="00F07923"/>
    <w:rsid w:val="00F113AF"/>
    <w:rsid w:val="00F11C35"/>
    <w:rsid w:val="00F120AB"/>
    <w:rsid w:val="00F13E9D"/>
    <w:rsid w:val="00F157C1"/>
    <w:rsid w:val="00F15C96"/>
    <w:rsid w:val="00F1699A"/>
    <w:rsid w:val="00F16F7C"/>
    <w:rsid w:val="00F17D9D"/>
    <w:rsid w:val="00F203B7"/>
    <w:rsid w:val="00F21E52"/>
    <w:rsid w:val="00F2262C"/>
    <w:rsid w:val="00F25302"/>
    <w:rsid w:val="00F309EA"/>
    <w:rsid w:val="00F32B1D"/>
    <w:rsid w:val="00F349B1"/>
    <w:rsid w:val="00F35139"/>
    <w:rsid w:val="00F3561F"/>
    <w:rsid w:val="00F3674E"/>
    <w:rsid w:val="00F368FA"/>
    <w:rsid w:val="00F36A5B"/>
    <w:rsid w:val="00F4158A"/>
    <w:rsid w:val="00F44A03"/>
    <w:rsid w:val="00F454EF"/>
    <w:rsid w:val="00F4622A"/>
    <w:rsid w:val="00F46CA8"/>
    <w:rsid w:val="00F47A2A"/>
    <w:rsid w:val="00F517FD"/>
    <w:rsid w:val="00F52199"/>
    <w:rsid w:val="00F52F94"/>
    <w:rsid w:val="00F53525"/>
    <w:rsid w:val="00F53B4B"/>
    <w:rsid w:val="00F541EB"/>
    <w:rsid w:val="00F54AD1"/>
    <w:rsid w:val="00F553CE"/>
    <w:rsid w:val="00F55894"/>
    <w:rsid w:val="00F5627F"/>
    <w:rsid w:val="00F60E1C"/>
    <w:rsid w:val="00F61B12"/>
    <w:rsid w:val="00F62389"/>
    <w:rsid w:val="00F63DC8"/>
    <w:rsid w:val="00F6427D"/>
    <w:rsid w:val="00F64EEF"/>
    <w:rsid w:val="00F67B6B"/>
    <w:rsid w:val="00F71935"/>
    <w:rsid w:val="00F747C4"/>
    <w:rsid w:val="00F74D36"/>
    <w:rsid w:val="00F756EB"/>
    <w:rsid w:val="00F75DE6"/>
    <w:rsid w:val="00F76164"/>
    <w:rsid w:val="00F771BE"/>
    <w:rsid w:val="00F77385"/>
    <w:rsid w:val="00F8014D"/>
    <w:rsid w:val="00F849A2"/>
    <w:rsid w:val="00F84D6B"/>
    <w:rsid w:val="00F90296"/>
    <w:rsid w:val="00F910D4"/>
    <w:rsid w:val="00F91559"/>
    <w:rsid w:val="00F92503"/>
    <w:rsid w:val="00F931A8"/>
    <w:rsid w:val="00F93307"/>
    <w:rsid w:val="00F94E09"/>
    <w:rsid w:val="00FA03DF"/>
    <w:rsid w:val="00FA0889"/>
    <w:rsid w:val="00FA1434"/>
    <w:rsid w:val="00FA1C24"/>
    <w:rsid w:val="00FA35E5"/>
    <w:rsid w:val="00FA4D3E"/>
    <w:rsid w:val="00FA551C"/>
    <w:rsid w:val="00FA5E7F"/>
    <w:rsid w:val="00FA6228"/>
    <w:rsid w:val="00FA77FF"/>
    <w:rsid w:val="00FA7CB8"/>
    <w:rsid w:val="00FB2FA2"/>
    <w:rsid w:val="00FB3B39"/>
    <w:rsid w:val="00FB43B5"/>
    <w:rsid w:val="00FB62C6"/>
    <w:rsid w:val="00FB63DE"/>
    <w:rsid w:val="00FC35AE"/>
    <w:rsid w:val="00FC39EF"/>
    <w:rsid w:val="00FC506F"/>
    <w:rsid w:val="00FC52FF"/>
    <w:rsid w:val="00FC6C2E"/>
    <w:rsid w:val="00FC7536"/>
    <w:rsid w:val="00FC7699"/>
    <w:rsid w:val="00FD190D"/>
    <w:rsid w:val="00FD1DAB"/>
    <w:rsid w:val="00FD301C"/>
    <w:rsid w:val="00FD417A"/>
    <w:rsid w:val="00FD43E7"/>
    <w:rsid w:val="00FD5F30"/>
    <w:rsid w:val="00FD6712"/>
    <w:rsid w:val="00FD672D"/>
    <w:rsid w:val="00FD6A65"/>
    <w:rsid w:val="00FE06CE"/>
    <w:rsid w:val="00FE1B64"/>
    <w:rsid w:val="00FE1EB9"/>
    <w:rsid w:val="00FE709C"/>
    <w:rsid w:val="00FE75F2"/>
    <w:rsid w:val="00FE777E"/>
    <w:rsid w:val="00FE7DE6"/>
    <w:rsid w:val="00FF00DF"/>
    <w:rsid w:val="00FF2540"/>
    <w:rsid w:val="00FF26A3"/>
    <w:rsid w:val="00FF3C70"/>
    <w:rsid w:val="00FF5076"/>
    <w:rsid w:val="00FF5253"/>
    <w:rsid w:val="00FF5450"/>
    <w:rsid w:val="00FF68A9"/>
    <w:rsid w:val="00FF6F9B"/>
    <w:rsid w:val="00FF735F"/>
    <w:rsid w:val="00FF763E"/>
    <w:rsid w:val="00FF7F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C062C"/>
  <w15:docId w15:val="{B234D04E-E1A9-4B5D-A4D4-E2F788DC5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D0259"/>
    <w:pPr>
      <w:widowControl w:val="0"/>
      <w:autoSpaceDE w:val="0"/>
      <w:autoSpaceDN w:val="0"/>
      <w:spacing w:after="0" w:line="240" w:lineRule="auto"/>
      <w:ind w:left="151"/>
      <w:outlineLvl w:val="0"/>
    </w:pPr>
    <w:rPr>
      <w:rFonts w:ascii="Georgia" w:eastAsia="Georgia" w:hAnsi="Georgia" w:cs="Georgia"/>
      <w:b/>
      <w:bCs/>
      <w:sz w:val="28"/>
      <w:szCs w:val="28"/>
      <w:lang w:bidi="en-US"/>
    </w:rPr>
  </w:style>
  <w:style w:type="paragraph" w:styleId="Heading2">
    <w:name w:val="heading 2"/>
    <w:basedOn w:val="Normal"/>
    <w:link w:val="Heading2Char"/>
    <w:uiPriority w:val="9"/>
    <w:unhideWhenUsed/>
    <w:qFormat/>
    <w:rsid w:val="000D0259"/>
    <w:pPr>
      <w:widowControl w:val="0"/>
      <w:autoSpaceDE w:val="0"/>
      <w:autoSpaceDN w:val="0"/>
      <w:spacing w:after="0" w:line="240" w:lineRule="auto"/>
      <w:ind w:left="151"/>
      <w:outlineLvl w:val="1"/>
    </w:pPr>
    <w:rPr>
      <w:rFonts w:ascii="Georgia" w:eastAsia="Georgia" w:hAnsi="Georgia" w:cs="Georgia"/>
      <w:b/>
      <w:bCs/>
      <w:sz w:val="24"/>
      <w:szCs w:val="24"/>
      <w:lang w:bidi="en-US"/>
    </w:rPr>
  </w:style>
  <w:style w:type="paragraph" w:styleId="Heading3">
    <w:name w:val="heading 3"/>
    <w:basedOn w:val="Normal"/>
    <w:next w:val="Normal"/>
    <w:link w:val="Heading3Char"/>
    <w:uiPriority w:val="9"/>
    <w:unhideWhenUsed/>
    <w:qFormat/>
    <w:rsid w:val="000D0259"/>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bidi="en-US"/>
    </w:rPr>
  </w:style>
  <w:style w:type="paragraph" w:styleId="Heading4">
    <w:name w:val="heading 4"/>
    <w:basedOn w:val="Normal"/>
    <w:next w:val="Normal"/>
    <w:link w:val="Heading4Char"/>
    <w:uiPriority w:val="9"/>
    <w:unhideWhenUsed/>
    <w:qFormat/>
    <w:rsid w:val="000D0259"/>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bidi="en-US"/>
    </w:rPr>
  </w:style>
  <w:style w:type="paragraph" w:styleId="Heading5">
    <w:name w:val="heading 5"/>
    <w:basedOn w:val="Normal"/>
    <w:next w:val="Normal"/>
    <w:link w:val="Heading5Char"/>
    <w:uiPriority w:val="9"/>
    <w:unhideWhenUsed/>
    <w:qFormat/>
    <w:rsid w:val="00ED7778"/>
    <w:pPr>
      <w:keepNext/>
      <w:bidi/>
      <w:spacing w:before="120" w:after="120" w:line="240" w:lineRule="auto"/>
      <w:ind w:firstLine="720"/>
      <w:jc w:val="both"/>
      <w:outlineLvl w:val="4"/>
    </w:pPr>
    <w:rPr>
      <w:rFonts w:ascii="Times New Roman" w:hAnsi="Times New Roman" w:cs="Simplified Arabic"/>
      <w:sz w:val="28"/>
      <w:szCs w:val="28"/>
      <w:lang w:bidi="ar-EG"/>
    </w:rPr>
  </w:style>
  <w:style w:type="paragraph" w:styleId="Heading6">
    <w:name w:val="heading 6"/>
    <w:basedOn w:val="Normal"/>
    <w:next w:val="Normal"/>
    <w:link w:val="Heading6Char"/>
    <w:uiPriority w:val="9"/>
    <w:unhideWhenUsed/>
    <w:qFormat/>
    <w:rsid w:val="00802D9E"/>
    <w:pPr>
      <w:keepNext/>
      <w:bidi/>
      <w:spacing w:before="120" w:after="120" w:line="240" w:lineRule="auto"/>
      <w:ind w:firstLine="720"/>
      <w:jc w:val="both"/>
      <w:outlineLvl w:val="5"/>
    </w:pPr>
    <w:rPr>
      <w:rFonts w:ascii="Times New Roman" w:hAnsi="Times New Roman" w:cs="Simplified Arabic"/>
      <w:b/>
      <w:bCs/>
      <w:sz w:val="28"/>
      <w:szCs w:val="28"/>
      <w:lang w:bidi="ar-EG"/>
    </w:rPr>
  </w:style>
  <w:style w:type="paragraph" w:styleId="Heading7">
    <w:name w:val="heading 7"/>
    <w:basedOn w:val="Normal"/>
    <w:next w:val="Normal"/>
    <w:link w:val="Heading7Char"/>
    <w:uiPriority w:val="9"/>
    <w:unhideWhenUsed/>
    <w:qFormat/>
    <w:rsid w:val="00F120AB"/>
    <w:pPr>
      <w:keepNext/>
      <w:spacing w:after="0" w:line="240" w:lineRule="auto"/>
      <w:jc w:val="center"/>
      <w:outlineLvl w:val="6"/>
    </w:pPr>
    <w:rPr>
      <w:rFonts w:cs="PT Bold Heading"/>
      <w:sz w:val="28"/>
      <w:szCs w:val="28"/>
      <w:lang w:bidi="ar-EG"/>
    </w:rPr>
  </w:style>
  <w:style w:type="paragraph" w:styleId="Heading8">
    <w:name w:val="heading 8"/>
    <w:basedOn w:val="Normal"/>
    <w:next w:val="Normal"/>
    <w:link w:val="Heading8Char"/>
    <w:uiPriority w:val="9"/>
    <w:unhideWhenUsed/>
    <w:qFormat/>
    <w:rsid w:val="00D753D7"/>
    <w:pPr>
      <w:keepNext/>
      <w:bidi/>
      <w:spacing w:after="0" w:line="240" w:lineRule="auto"/>
      <w:jc w:val="center"/>
      <w:outlineLvl w:val="7"/>
    </w:pPr>
    <w:rPr>
      <w:rFonts w:ascii="Times New Roman" w:hAnsi="Times New Roman" w:cs="Sultan Medium"/>
      <w:sz w:val="32"/>
      <w:szCs w:val="32"/>
      <w:u w:val="thick"/>
      <w:lang w:bidi="ar-EG"/>
    </w:rPr>
  </w:style>
  <w:style w:type="paragraph" w:styleId="Heading9">
    <w:name w:val="heading 9"/>
    <w:basedOn w:val="Normal"/>
    <w:next w:val="Normal"/>
    <w:link w:val="Heading9Char"/>
    <w:uiPriority w:val="9"/>
    <w:unhideWhenUsed/>
    <w:qFormat/>
    <w:rsid w:val="00FC7536"/>
    <w:pPr>
      <w:keepNext/>
      <w:bidi/>
      <w:spacing w:after="0"/>
      <w:jc w:val="center"/>
      <w:outlineLvl w:val="8"/>
    </w:pPr>
    <w:rPr>
      <w:rFonts w:ascii="Elephant" w:hAnsi="Elephant" w:cs="Simplified Arabic"/>
      <w:sz w:val="30"/>
      <w:szCs w:val="30"/>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6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
    <w:basedOn w:val="Normal"/>
    <w:link w:val="ListParagraphChar"/>
    <w:uiPriority w:val="34"/>
    <w:qFormat/>
    <w:rsid w:val="008D58F5"/>
    <w:pPr>
      <w:ind w:left="720"/>
      <w:contextualSpacing/>
    </w:pPr>
  </w:style>
  <w:style w:type="paragraph" w:styleId="NormalWeb">
    <w:name w:val="Normal (Web)"/>
    <w:basedOn w:val="Normal"/>
    <w:link w:val="NormalWebChar"/>
    <w:uiPriority w:val="99"/>
    <w:unhideWhenUsed/>
    <w:rsid w:val="004C01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D0259"/>
    <w:rPr>
      <w:rFonts w:ascii="Georgia" w:eastAsia="Georgia" w:hAnsi="Georgia" w:cs="Georgia"/>
      <w:b/>
      <w:bCs/>
      <w:sz w:val="28"/>
      <w:szCs w:val="28"/>
      <w:lang w:bidi="en-US"/>
    </w:rPr>
  </w:style>
  <w:style w:type="character" w:customStyle="1" w:styleId="Heading2Char">
    <w:name w:val="Heading 2 Char"/>
    <w:basedOn w:val="DefaultParagraphFont"/>
    <w:link w:val="Heading2"/>
    <w:uiPriority w:val="9"/>
    <w:rsid w:val="000D0259"/>
    <w:rPr>
      <w:rFonts w:ascii="Georgia" w:eastAsia="Georgia" w:hAnsi="Georgia" w:cs="Georgia"/>
      <w:b/>
      <w:bCs/>
      <w:sz w:val="24"/>
      <w:szCs w:val="24"/>
      <w:lang w:bidi="en-US"/>
    </w:rPr>
  </w:style>
  <w:style w:type="character" w:customStyle="1" w:styleId="Heading3Char">
    <w:name w:val="Heading 3 Char"/>
    <w:basedOn w:val="DefaultParagraphFont"/>
    <w:link w:val="Heading3"/>
    <w:uiPriority w:val="9"/>
    <w:rsid w:val="000D0259"/>
    <w:rPr>
      <w:rFonts w:ascii="Calibri Light" w:eastAsia="Times New Roman" w:hAnsi="Calibri Light" w:cs="Times New Roman"/>
      <w:color w:val="1F4D78"/>
      <w:sz w:val="24"/>
      <w:szCs w:val="24"/>
      <w:lang w:bidi="en-US"/>
    </w:rPr>
  </w:style>
  <w:style w:type="character" w:customStyle="1" w:styleId="Heading4Char">
    <w:name w:val="Heading 4 Char"/>
    <w:basedOn w:val="DefaultParagraphFont"/>
    <w:link w:val="Heading4"/>
    <w:uiPriority w:val="9"/>
    <w:rsid w:val="000D0259"/>
    <w:rPr>
      <w:rFonts w:asciiTheme="majorHAnsi" w:eastAsiaTheme="majorEastAsia" w:hAnsiTheme="majorHAnsi" w:cstheme="majorBidi"/>
      <w:i/>
      <w:iCs/>
      <w:color w:val="2E74B5" w:themeColor="accent1" w:themeShade="BF"/>
      <w:lang w:bidi="en-US"/>
    </w:rPr>
  </w:style>
  <w:style w:type="paragraph" w:styleId="BodyText">
    <w:name w:val="Body Text"/>
    <w:basedOn w:val="Normal"/>
    <w:link w:val="BodyTextChar"/>
    <w:uiPriority w:val="1"/>
    <w:qFormat/>
    <w:rsid w:val="000D0259"/>
    <w:pPr>
      <w:widowControl w:val="0"/>
      <w:autoSpaceDE w:val="0"/>
      <w:autoSpaceDN w:val="0"/>
      <w:spacing w:after="0" w:line="240" w:lineRule="auto"/>
    </w:pPr>
    <w:rPr>
      <w:rFonts w:ascii="Georgia" w:eastAsia="Georgia" w:hAnsi="Georgia" w:cs="Georgia"/>
      <w:sz w:val="24"/>
      <w:szCs w:val="24"/>
      <w:lang w:bidi="en-US"/>
    </w:rPr>
  </w:style>
  <w:style w:type="character" w:customStyle="1" w:styleId="BodyTextChar">
    <w:name w:val="Body Text Char"/>
    <w:basedOn w:val="DefaultParagraphFont"/>
    <w:link w:val="BodyText"/>
    <w:uiPriority w:val="1"/>
    <w:rsid w:val="000D0259"/>
    <w:rPr>
      <w:rFonts w:ascii="Georgia" w:eastAsia="Georgia" w:hAnsi="Georgia" w:cs="Georgia"/>
      <w:sz w:val="24"/>
      <w:szCs w:val="24"/>
      <w:lang w:bidi="en-US"/>
    </w:rPr>
  </w:style>
  <w:style w:type="paragraph" w:styleId="Header">
    <w:name w:val="header"/>
    <w:basedOn w:val="Normal"/>
    <w:link w:val="HeaderChar"/>
    <w:uiPriority w:val="99"/>
    <w:unhideWhenUsed/>
    <w:qFormat/>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HeaderChar">
    <w:name w:val="Header Char"/>
    <w:basedOn w:val="DefaultParagraphFont"/>
    <w:link w:val="Header"/>
    <w:uiPriority w:val="99"/>
    <w:qFormat/>
    <w:rsid w:val="000D0259"/>
    <w:rPr>
      <w:rFonts w:ascii="Georgia" w:eastAsia="Georgia" w:hAnsi="Georgia" w:cs="Georgia"/>
      <w:lang w:bidi="en-US"/>
    </w:rPr>
  </w:style>
  <w:style w:type="paragraph" w:styleId="Footer">
    <w:name w:val="footer"/>
    <w:basedOn w:val="Normal"/>
    <w:link w:val="FooterChar"/>
    <w:uiPriority w:val="99"/>
    <w:unhideWhenUsed/>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FooterChar">
    <w:name w:val="Footer Char"/>
    <w:basedOn w:val="DefaultParagraphFont"/>
    <w:link w:val="Footer"/>
    <w:uiPriority w:val="99"/>
    <w:rsid w:val="000D0259"/>
    <w:rPr>
      <w:rFonts w:ascii="Georgia" w:eastAsia="Georgia" w:hAnsi="Georgia" w:cs="Georgia"/>
      <w:lang w:bidi="en-US"/>
    </w:rPr>
  </w:style>
  <w:style w:type="paragraph" w:styleId="FootnoteText">
    <w:name w:val="footnote text"/>
    <w:aliases w:val=" Char Char Char Char Char, Char Char Char Char,Char Char Char Char Char,Char Char Char Char,نص حاشية سفلية Char Char Char Char Char,نص حاشية سفلية Char Char Char Char Char Char Char,Char Char,Geneva 9,Font: Geneva 9,Boston 10,Char8, Char"/>
    <w:basedOn w:val="Normal"/>
    <w:link w:val="FootnoteTextChar"/>
    <w:uiPriority w:val="99"/>
    <w:unhideWhenUsed/>
    <w:rsid w:val="000D0259"/>
    <w:pPr>
      <w:widowControl w:val="0"/>
      <w:autoSpaceDE w:val="0"/>
      <w:autoSpaceDN w:val="0"/>
      <w:spacing w:after="0" w:line="240" w:lineRule="auto"/>
    </w:pPr>
    <w:rPr>
      <w:rFonts w:ascii="Georgia" w:eastAsia="Georgia" w:hAnsi="Georgia" w:cs="Georgia"/>
      <w:sz w:val="20"/>
      <w:szCs w:val="20"/>
      <w:lang w:bidi="en-US"/>
    </w:rPr>
  </w:style>
  <w:style w:type="character" w:customStyle="1" w:styleId="FootnoteTextChar">
    <w:name w:val="Footnote Text Char"/>
    <w:aliases w:val=" Char Char Char Char Char Char, Char Char Char Char Char1,Char Char Char Char Char Char,Char Char Char Char Char1,نص حاشية سفلية Char Char Char Char Char Char,نص حاشية سفلية Char Char Char Char Char Char Char Char,Char Char Char"/>
    <w:basedOn w:val="DefaultParagraphFont"/>
    <w:link w:val="FootnoteText"/>
    <w:uiPriority w:val="99"/>
    <w:rsid w:val="000D0259"/>
    <w:rPr>
      <w:rFonts w:ascii="Georgia" w:eastAsia="Georgia" w:hAnsi="Georgia" w:cs="Georgia"/>
      <w:sz w:val="20"/>
      <w:szCs w:val="20"/>
      <w:lang w:bidi="en-US"/>
    </w:rPr>
  </w:style>
  <w:style w:type="character" w:styleId="FootnoteReference">
    <w:name w:val="footnote reference"/>
    <w:aliases w:val="عادي1,Footnote,Footnote Reference1,Footnote Reference2,Footnote Reference11,Footnote Reference21,Footnote Reference12,Footnote Reference22,Footnote Reference13,Footnote Reference23,Footnote Reference111,(Footnote Reference)"/>
    <w:uiPriority w:val="99"/>
    <w:unhideWhenUsed/>
    <w:rsid w:val="000D0259"/>
    <w:rPr>
      <w:vertAlign w:val="superscript"/>
    </w:rPr>
  </w:style>
  <w:style w:type="character" w:customStyle="1" w:styleId="ln2">
    <w:name w:val="ln2"/>
    <w:basedOn w:val="DefaultParagraphFont"/>
    <w:rsid w:val="000D0259"/>
  </w:style>
  <w:style w:type="paragraph" w:customStyle="1" w:styleId="TableParagraph">
    <w:name w:val="Table Paragraph"/>
    <w:basedOn w:val="Normal"/>
    <w:uiPriority w:val="1"/>
    <w:qFormat/>
    <w:rsid w:val="000D0259"/>
    <w:pPr>
      <w:widowControl w:val="0"/>
      <w:autoSpaceDE w:val="0"/>
      <w:autoSpaceDN w:val="0"/>
      <w:spacing w:after="0" w:line="240" w:lineRule="auto"/>
    </w:pPr>
    <w:rPr>
      <w:rFonts w:ascii="Georgia" w:eastAsia="Georgia" w:hAnsi="Georgia" w:cs="Georgia"/>
      <w:lang w:bidi="en-US"/>
    </w:rPr>
  </w:style>
  <w:style w:type="character" w:styleId="Hyperlink">
    <w:name w:val="Hyperlink"/>
    <w:uiPriority w:val="99"/>
    <w:unhideWhenUsed/>
    <w:rsid w:val="000D0259"/>
    <w:rPr>
      <w:color w:val="0000FF"/>
      <w:u w:val="single"/>
    </w:rPr>
  </w:style>
  <w:style w:type="character" w:customStyle="1" w:styleId="epub-state">
    <w:name w:val="epub-state"/>
    <w:basedOn w:val="DefaultParagraphFont"/>
    <w:rsid w:val="000D0259"/>
  </w:style>
  <w:style w:type="character" w:customStyle="1" w:styleId="epub-date">
    <w:name w:val="epub-date"/>
    <w:basedOn w:val="DefaultParagraphFont"/>
    <w:rsid w:val="000D0259"/>
  </w:style>
  <w:style w:type="character" w:customStyle="1" w:styleId="sr-only">
    <w:name w:val="sr-only"/>
    <w:basedOn w:val="DefaultParagraphFont"/>
    <w:rsid w:val="000D0259"/>
  </w:style>
  <w:style w:type="character" w:customStyle="1" w:styleId="text">
    <w:name w:val="text"/>
    <w:basedOn w:val="DefaultParagraphFont"/>
    <w:rsid w:val="000D0259"/>
  </w:style>
  <w:style w:type="character" w:customStyle="1" w:styleId="title-text">
    <w:name w:val="title-text"/>
    <w:basedOn w:val="DefaultParagraphFont"/>
    <w:rsid w:val="000D0259"/>
  </w:style>
  <w:style w:type="character" w:customStyle="1" w:styleId="BalloonTextChar">
    <w:name w:val="Balloon Text Char"/>
    <w:link w:val="BalloonText"/>
    <w:uiPriority w:val="99"/>
    <w:semiHidden/>
    <w:rsid w:val="000D0259"/>
    <w:rPr>
      <w:rFonts w:ascii="Tahoma" w:eastAsia="Georgia" w:hAnsi="Tahoma" w:cs="Tahoma"/>
      <w:sz w:val="16"/>
      <w:szCs w:val="16"/>
      <w:lang w:bidi="en-US"/>
    </w:rPr>
  </w:style>
  <w:style w:type="paragraph" w:styleId="BalloonText">
    <w:name w:val="Balloon Text"/>
    <w:basedOn w:val="Normal"/>
    <w:link w:val="BalloonTextChar"/>
    <w:uiPriority w:val="99"/>
    <w:semiHidden/>
    <w:unhideWhenUsed/>
    <w:rsid w:val="000D0259"/>
    <w:pPr>
      <w:widowControl w:val="0"/>
      <w:autoSpaceDE w:val="0"/>
      <w:autoSpaceDN w:val="0"/>
      <w:spacing w:after="0" w:line="240" w:lineRule="auto"/>
    </w:pPr>
    <w:rPr>
      <w:rFonts w:ascii="Tahoma" w:eastAsia="Georgia" w:hAnsi="Tahoma" w:cs="Tahoma"/>
      <w:sz w:val="16"/>
      <w:szCs w:val="16"/>
      <w:lang w:bidi="en-US"/>
    </w:rPr>
  </w:style>
  <w:style w:type="character" w:customStyle="1" w:styleId="BalloonTextChar1">
    <w:name w:val="Balloon Text Char1"/>
    <w:basedOn w:val="DefaultParagraphFont"/>
    <w:uiPriority w:val="99"/>
    <w:semiHidden/>
    <w:rsid w:val="000D0259"/>
    <w:rPr>
      <w:rFonts w:ascii="Segoe UI" w:hAnsi="Segoe UI" w:cs="Segoe UI"/>
      <w:sz w:val="18"/>
      <w:szCs w:val="18"/>
    </w:rPr>
  </w:style>
  <w:style w:type="table" w:styleId="LightList-Accent2">
    <w:name w:val="Light List Accent 2"/>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ghtList-Accent5">
    <w:name w:val="Light List Accent 5"/>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LightList-Accent1">
    <w:name w:val="Light List Accent 1"/>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Strong">
    <w:name w:val="Strong"/>
    <w:uiPriority w:val="22"/>
    <w:qFormat/>
    <w:rsid w:val="000D0259"/>
    <w:rPr>
      <w:b/>
      <w:bCs/>
    </w:rPr>
  </w:style>
  <w:style w:type="character" w:customStyle="1" w:styleId="fontstyle01">
    <w:name w:val="fontstyle01"/>
    <w:rsid w:val="000D0259"/>
    <w:rPr>
      <w:rFonts w:cs="Simplified Arabic" w:hint="cs"/>
      <w:b w:val="0"/>
      <w:bCs w:val="0"/>
      <w:i w:val="0"/>
      <w:iCs w:val="0"/>
      <w:color w:val="000000"/>
      <w:sz w:val="26"/>
      <w:szCs w:val="26"/>
    </w:rPr>
  </w:style>
  <w:style w:type="character" w:customStyle="1" w:styleId="fontstyle21">
    <w:name w:val="fontstyle21"/>
    <w:rsid w:val="000D0259"/>
    <w:rPr>
      <w:rFonts w:cs="Simplified Arabic" w:hint="cs"/>
      <w:b/>
      <w:bCs/>
      <w:i w:val="0"/>
      <w:iCs w:val="0"/>
      <w:color w:val="000000"/>
      <w:sz w:val="26"/>
      <w:szCs w:val="26"/>
    </w:rPr>
  </w:style>
  <w:style w:type="character" w:customStyle="1" w:styleId="fontstyle11">
    <w:name w:val="fontstyle11"/>
    <w:rsid w:val="000D0259"/>
    <w:rPr>
      <w:rFonts w:ascii="AdobeArabic-Regular" w:hAnsi="AdobeArabic-Regular" w:hint="default"/>
      <w:b w:val="0"/>
      <w:bCs w:val="0"/>
      <w:i w:val="0"/>
      <w:iCs w:val="0"/>
      <w:color w:val="000000"/>
      <w:sz w:val="32"/>
      <w:szCs w:val="32"/>
    </w:rPr>
  </w:style>
  <w:style w:type="character" w:customStyle="1" w:styleId="highlight">
    <w:name w:val="highlight"/>
    <w:basedOn w:val="DefaultParagraphFont"/>
    <w:rsid w:val="000D0259"/>
  </w:style>
  <w:style w:type="table" w:styleId="LightShading">
    <w:name w:val="Light Shading"/>
    <w:basedOn w:val="TableNormal"/>
    <w:uiPriority w:val="60"/>
    <w:rsid w:val="000D0259"/>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
    <w:name w:val="No List1"/>
    <w:next w:val="NoList"/>
    <w:uiPriority w:val="99"/>
    <w:semiHidden/>
    <w:unhideWhenUsed/>
    <w:rsid w:val="000D0259"/>
  </w:style>
  <w:style w:type="paragraph" w:customStyle="1" w:styleId="Standard">
    <w:name w:val="Standard"/>
    <w:rsid w:val="000D0259"/>
    <w:pPr>
      <w:suppressAutoHyphens/>
      <w:autoSpaceDN w:val="0"/>
      <w:bidi/>
      <w:spacing w:after="0" w:line="240" w:lineRule="auto"/>
      <w:jc w:val="right"/>
      <w:textAlignment w:val="baseline"/>
    </w:pPr>
    <w:rPr>
      <w:rFonts w:ascii="Times New Roman" w:eastAsia="Times New Roman" w:hAnsi="Times New Roman" w:cs="Times New Roman"/>
      <w:kern w:val="3"/>
      <w:sz w:val="24"/>
      <w:szCs w:val="24"/>
    </w:rPr>
  </w:style>
  <w:style w:type="character" w:styleId="PlaceholderText">
    <w:name w:val="Placeholder Text"/>
    <w:basedOn w:val="DefaultParagraphFont"/>
    <w:uiPriority w:val="99"/>
    <w:semiHidden/>
    <w:rsid w:val="00C54650"/>
    <w:rPr>
      <w:color w:val="808080"/>
    </w:rPr>
  </w:style>
  <w:style w:type="character" w:customStyle="1" w:styleId="ms-1">
    <w:name w:val="ms-1"/>
    <w:basedOn w:val="DefaultParagraphFont"/>
    <w:rsid w:val="00C54650"/>
  </w:style>
  <w:style w:type="character" w:customStyle="1" w:styleId="relative">
    <w:name w:val="relative"/>
    <w:basedOn w:val="DefaultParagraphFont"/>
    <w:rsid w:val="00C54650"/>
  </w:style>
  <w:style w:type="character" w:customStyle="1" w:styleId="max-w-full">
    <w:name w:val="max-w-full"/>
    <w:basedOn w:val="DefaultParagraphFont"/>
    <w:rsid w:val="00C54650"/>
  </w:style>
  <w:style w:type="character" w:customStyle="1" w:styleId="-me-1">
    <w:name w:val="-me-1"/>
    <w:basedOn w:val="DefaultParagraphFont"/>
    <w:rsid w:val="00C54650"/>
  </w:style>
  <w:style w:type="character" w:styleId="Emphasis">
    <w:name w:val="Emphasis"/>
    <w:basedOn w:val="DefaultParagraphFont"/>
    <w:uiPriority w:val="20"/>
    <w:qFormat/>
    <w:rsid w:val="00C54650"/>
    <w:rPr>
      <w:i/>
      <w:iCs/>
    </w:rPr>
  </w:style>
  <w:style w:type="character" w:styleId="PageNumber">
    <w:name w:val="page number"/>
    <w:basedOn w:val="DefaultParagraphFont"/>
    <w:uiPriority w:val="99"/>
    <w:semiHidden/>
    <w:unhideWhenUsed/>
    <w:rsid w:val="00E77842"/>
  </w:style>
  <w:style w:type="paragraph" w:customStyle="1" w:styleId="a">
    <w:name w:val="الفصل"/>
    <w:basedOn w:val="Normal"/>
    <w:link w:val="Char"/>
    <w:qFormat/>
    <w:rsid w:val="00BE68A2"/>
    <w:pPr>
      <w:bidi/>
      <w:spacing w:after="0" w:line="240" w:lineRule="auto"/>
      <w:jc w:val="center"/>
    </w:pPr>
    <w:rPr>
      <w:rFonts w:ascii="Times New Roman" w:hAnsi="Times New Roman" w:cs="PT Bold Heading"/>
      <w:sz w:val="50"/>
      <w:szCs w:val="50"/>
      <w:lang w:bidi="ar-EG"/>
    </w:rPr>
  </w:style>
  <w:style w:type="paragraph" w:customStyle="1" w:styleId="a0">
    <w:name w:val="فقرررة"/>
    <w:basedOn w:val="Normal"/>
    <w:link w:val="Char0"/>
    <w:rsid w:val="00CE25C2"/>
    <w:pPr>
      <w:shd w:val="clear" w:color="auto" w:fill="FFFFFF" w:themeFill="background1"/>
      <w:bidi/>
      <w:spacing w:after="0"/>
      <w:ind w:firstLine="720"/>
      <w:jc w:val="lowKashida"/>
    </w:pPr>
    <w:rPr>
      <w:rFonts w:ascii="Times New Roman" w:hAnsi="Times New Roman" w:cs="Sakkal Majalla"/>
      <w:sz w:val="32"/>
      <w:szCs w:val="32"/>
    </w:rPr>
  </w:style>
  <w:style w:type="character" w:customStyle="1" w:styleId="Char">
    <w:name w:val="الفصل Char"/>
    <w:basedOn w:val="DefaultParagraphFont"/>
    <w:link w:val="a"/>
    <w:rsid w:val="00BE68A2"/>
    <w:rPr>
      <w:rFonts w:ascii="Times New Roman" w:hAnsi="Times New Roman" w:cs="PT Bold Heading"/>
      <w:sz w:val="50"/>
      <w:szCs w:val="50"/>
      <w:lang w:bidi="ar-EG"/>
    </w:rPr>
  </w:style>
  <w:style w:type="paragraph" w:customStyle="1" w:styleId="a1">
    <w:name w:val="فقررة"/>
    <w:basedOn w:val="a0"/>
    <w:link w:val="Char1"/>
    <w:qFormat/>
    <w:rsid w:val="006A021A"/>
    <w:pPr>
      <w:spacing w:before="120" w:after="120" w:line="240" w:lineRule="auto"/>
    </w:pPr>
  </w:style>
  <w:style w:type="character" w:customStyle="1" w:styleId="Char0">
    <w:name w:val="فقرررة Char"/>
    <w:basedOn w:val="DefaultParagraphFont"/>
    <w:link w:val="a0"/>
    <w:rsid w:val="00CE25C2"/>
    <w:rPr>
      <w:rFonts w:ascii="Times New Roman" w:hAnsi="Times New Roman" w:cs="Sakkal Majalla"/>
      <w:sz w:val="32"/>
      <w:szCs w:val="32"/>
      <w:shd w:val="clear" w:color="auto" w:fill="FFFFFF" w:themeFill="background1"/>
    </w:rPr>
  </w:style>
  <w:style w:type="character" w:customStyle="1" w:styleId="Char1">
    <w:name w:val="فقررة Char"/>
    <w:basedOn w:val="Char0"/>
    <w:link w:val="a1"/>
    <w:rsid w:val="006A021A"/>
    <w:rPr>
      <w:rFonts w:ascii="Times New Roman" w:hAnsi="Times New Roman" w:cs="Sakkal Majalla"/>
      <w:sz w:val="32"/>
      <w:szCs w:val="32"/>
      <w:shd w:val="clear" w:color="auto" w:fill="FFFFFF" w:themeFill="background1"/>
    </w:rPr>
  </w:style>
  <w:style w:type="paragraph" w:styleId="BodyTextIndent">
    <w:name w:val="Body Text Indent"/>
    <w:basedOn w:val="Normal"/>
    <w:link w:val="BodyTextIndentChar"/>
    <w:uiPriority w:val="99"/>
    <w:unhideWhenUsed/>
    <w:rsid w:val="009E6F14"/>
    <w:pPr>
      <w:bidi/>
      <w:spacing w:before="120" w:after="120" w:line="240" w:lineRule="auto"/>
      <w:ind w:firstLine="720"/>
      <w:jc w:val="both"/>
    </w:pPr>
    <w:rPr>
      <w:rFonts w:ascii="Times New Roman" w:hAnsi="Times New Roman" w:cs="Simplified Arabic"/>
      <w:sz w:val="28"/>
      <w:szCs w:val="28"/>
      <w:lang w:bidi="ar-EG"/>
    </w:rPr>
  </w:style>
  <w:style w:type="character" w:customStyle="1" w:styleId="BodyTextIndentChar">
    <w:name w:val="Body Text Indent Char"/>
    <w:basedOn w:val="DefaultParagraphFont"/>
    <w:link w:val="BodyTextIndent"/>
    <w:uiPriority w:val="99"/>
    <w:rsid w:val="009E6F14"/>
    <w:rPr>
      <w:rFonts w:ascii="Times New Roman" w:hAnsi="Times New Roman" w:cs="Simplified Arabic"/>
      <w:sz w:val="28"/>
      <w:szCs w:val="28"/>
      <w:lang w:bidi="ar-EG"/>
    </w:rPr>
  </w:style>
  <w:style w:type="paragraph" w:styleId="BodyTextIndent2">
    <w:name w:val="Body Text Indent 2"/>
    <w:basedOn w:val="Normal"/>
    <w:link w:val="BodyTextIndent2Char"/>
    <w:uiPriority w:val="99"/>
    <w:unhideWhenUsed/>
    <w:rsid w:val="006D2379"/>
    <w:pPr>
      <w:tabs>
        <w:tab w:val="left" w:pos="2239"/>
      </w:tabs>
      <w:bidi/>
      <w:spacing w:before="120" w:after="120" w:line="240" w:lineRule="auto"/>
      <w:ind w:left="1433" w:hanging="742"/>
      <w:jc w:val="both"/>
    </w:pPr>
    <w:rPr>
      <w:rFonts w:ascii="Times New Roman" w:hAnsi="Times New Roman" w:cs="AL-Mateen"/>
      <w:sz w:val="30"/>
      <w:szCs w:val="30"/>
      <w:lang w:bidi="ar-KW"/>
    </w:rPr>
  </w:style>
  <w:style w:type="character" w:customStyle="1" w:styleId="BodyTextIndent2Char">
    <w:name w:val="Body Text Indent 2 Char"/>
    <w:basedOn w:val="DefaultParagraphFont"/>
    <w:link w:val="BodyTextIndent2"/>
    <w:uiPriority w:val="99"/>
    <w:rsid w:val="006D2379"/>
    <w:rPr>
      <w:rFonts w:ascii="Times New Roman" w:hAnsi="Times New Roman" w:cs="AL-Mateen"/>
      <w:sz w:val="30"/>
      <w:szCs w:val="30"/>
      <w:lang w:bidi="ar-KW"/>
    </w:rPr>
  </w:style>
  <w:style w:type="paragraph" w:styleId="BodyText2">
    <w:name w:val="Body Text 2"/>
    <w:basedOn w:val="Normal"/>
    <w:link w:val="BodyText2Char"/>
    <w:uiPriority w:val="99"/>
    <w:unhideWhenUsed/>
    <w:rsid w:val="00ED7778"/>
    <w:pPr>
      <w:bidi/>
      <w:spacing w:before="120" w:after="120" w:line="240" w:lineRule="auto"/>
      <w:jc w:val="both"/>
    </w:pPr>
    <w:rPr>
      <w:rFonts w:ascii="Times New Roman" w:hAnsi="Times New Roman" w:cs="PT Bold Heading"/>
      <w:sz w:val="28"/>
      <w:szCs w:val="28"/>
      <w:lang w:bidi="ar-EG"/>
    </w:rPr>
  </w:style>
  <w:style w:type="character" w:customStyle="1" w:styleId="BodyText2Char">
    <w:name w:val="Body Text 2 Char"/>
    <w:basedOn w:val="DefaultParagraphFont"/>
    <w:link w:val="BodyText2"/>
    <w:uiPriority w:val="99"/>
    <w:rsid w:val="00ED7778"/>
    <w:rPr>
      <w:rFonts w:ascii="Times New Roman" w:hAnsi="Times New Roman" w:cs="PT Bold Heading"/>
      <w:sz w:val="28"/>
      <w:szCs w:val="28"/>
      <w:lang w:bidi="ar-EG"/>
    </w:rPr>
  </w:style>
  <w:style w:type="character" w:customStyle="1" w:styleId="Heading5Char">
    <w:name w:val="Heading 5 Char"/>
    <w:basedOn w:val="DefaultParagraphFont"/>
    <w:link w:val="Heading5"/>
    <w:uiPriority w:val="9"/>
    <w:rsid w:val="00ED7778"/>
    <w:rPr>
      <w:rFonts w:ascii="Times New Roman" w:hAnsi="Times New Roman" w:cs="Simplified Arabic"/>
      <w:sz w:val="28"/>
      <w:szCs w:val="28"/>
      <w:lang w:bidi="ar-EG"/>
    </w:rPr>
  </w:style>
  <w:style w:type="character" w:customStyle="1" w:styleId="Heading6Char">
    <w:name w:val="Heading 6 Char"/>
    <w:basedOn w:val="DefaultParagraphFont"/>
    <w:link w:val="Heading6"/>
    <w:uiPriority w:val="9"/>
    <w:rsid w:val="00802D9E"/>
    <w:rPr>
      <w:rFonts w:ascii="Times New Roman" w:hAnsi="Times New Roman" w:cs="Simplified Arabic"/>
      <w:b/>
      <w:bCs/>
      <w:sz w:val="28"/>
      <w:szCs w:val="28"/>
      <w:lang w:bidi="ar-EG"/>
    </w:rPr>
  </w:style>
  <w:style w:type="character" w:customStyle="1" w:styleId="Heading7Char">
    <w:name w:val="Heading 7 Char"/>
    <w:basedOn w:val="DefaultParagraphFont"/>
    <w:link w:val="Heading7"/>
    <w:uiPriority w:val="9"/>
    <w:rsid w:val="00F120AB"/>
    <w:rPr>
      <w:rFonts w:cs="PT Bold Heading"/>
      <w:sz w:val="28"/>
      <w:szCs w:val="28"/>
      <w:lang w:bidi="ar-EG"/>
    </w:rPr>
  </w:style>
  <w:style w:type="character" w:customStyle="1" w:styleId="Heading8Char">
    <w:name w:val="Heading 8 Char"/>
    <w:basedOn w:val="DefaultParagraphFont"/>
    <w:link w:val="Heading8"/>
    <w:uiPriority w:val="9"/>
    <w:rsid w:val="00D753D7"/>
    <w:rPr>
      <w:rFonts w:ascii="Times New Roman" w:hAnsi="Times New Roman" w:cs="Sultan Medium"/>
      <w:sz w:val="32"/>
      <w:szCs w:val="32"/>
      <w:u w:val="thick"/>
      <w:lang w:bidi="ar-EG"/>
    </w:rPr>
  </w:style>
  <w:style w:type="character" w:customStyle="1" w:styleId="Heading9Char">
    <w:name w:val="Heading 9 Char"/>
    <w:basedOn w:val="DefaultParagraphFont"/>
    <w:link w:val="Heading9"/>
    <w:uiPriority w:val="9"/>
    <w:rsid w:val="00FC7536"/>
    <w:rPr>
      <w:rFonts w:ascii="Elephant" w:hAnsi="Elephant" w:cs="Simplified Arabic"/>
      <w:sz w:val="30"/>
      <w:szCs w:val="30"/>
      <w:lang w:bidi="ar-EG"/>
    </w:rPr>
  </w:style>
  <w:style w:type="character" w:customStyle="1" w:styleId="NormalWebChar">
    <w:name w:val="Normal (Web) Char"/>
    <w:basedOn w:val="DefaultParagraphFont"/>
    <w:link w:val="NormalWeb"/>
    <w:uiPriority w:val="99"/>
    <w:rsid w:val="00997417"/>
    <w:rPr>
      <w:rFonts w:ascii="Times New Roman" w:eastAsia="Times New Roman" w:hAnsi="Times New Roman" w:cs="Times New Roman"/>
      <w:sz w:val="24"/>
      <w:szCs w:val="24"/>
    </w:rPr>
  </w:style>
  <w:style w:type="character" w:customStyle="1" w:styleId="ListParagraphChar">
    <w:name w:val="List Paragraph Char"/>
    <w:aliases w:val="List Paragraph1 Char"/>
    <w:link w:val="ListParagraph"/>
    <w:uiPriority w:val="34"/>
    <w:locked/>
    <w:rsid w:val="005C3D3D"/>
  </w:style>
  <w:style w:type="table" w:customStyle="1" w:styleId="TableGrid1">
    <w:name w:val="Table Grid1"/>
    <w:basedOn w:val="TableNormal"/>
    <w:next w:val="TableGrid"/>
    <w:uiPriority w:val="59"/>
    <w:rsid w:val="0020222D"/>
    <w:pPr>
      <w:spacing w:after="0" w:line="240" w:lineRule="auto"/>
    </w:pPr>
    <w:rPr>
      <w:rFonts w:ascii="Calibri" w:eastAsia="Times New Roman"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2C0F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A558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
    <w:name w:val="نمط2"/>
    <w:basedOn w:val="Normal"/>
    <w:link w:val="2Char"/>
    <w:rsid w:val="00F64EEF"/>
    <w:pPr>
      <w:widowControl w:val="0"/>
      <w:bidi/>
      <w:spacing w:after="0" w:line="240" w:lineRule="auto"/>
      <w:jc w:val="lowKashida"/>
    </w:pPr>
    <w:rPr>
      <w:rFonts w:ascii="Times New Roman" w:eastAsia="Times New Roman" w:hAnsi="Times New Roman" w:cs="SKR HEAD1"/>
      <w:sz w:val="32"/>
      <w:szCs w:val="32"/>
      <w:lang w:bidi="ar-EG"/>
    </w:rPr>
  </w:style>
  <w:style w:type="character" w:customStyle="1" w:styleId="2Char">
    <w:name w:val="نمط2 Char"/>
    <w:link w:val="2"/>
    <w:rsid w:val="00F64EEF"/>
    <w:rPr>
      <w:rFonts w:ascii="Times New Roman" w:eastAsia="Times New Roman" w:hAnsi="Times New Roman" w:cs="SKR HEAD1"/>
      <w:sz w:val="32"/>
      <w:szCs w:val="32"/>
      <w:lang w:bidi="ar-EG"/>
    </w:rPr>
  </w:style>
  <w:style w:type="character" w:customStyle="1" w:styleId="text-token-text-primary">
    <w:name w:val="text-token-text-primary"/>
    <w:basedOn w:val="DefaultParagraphFont"/>
    <w:rsid w:val="00EF3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0101">
      <w:bodyDiv w:val="1"/>
      <w:marLeft w:val="0"/>
      <w:marRight w:val="0"/>
      <w:marTop w:val="0"/>
      <w:marBottom w:val="0"/>
      <w:divBdr>
        <w:top w:val="none" w:sz="0" w:space="0" w:color="auto"/>
        <w:left w:val="none" w:sz="0" w:space="0" w:color="auto"/>
        <w:bottom w:val="none" w:sz="0" w:space="0" w:color="auto"/>
        <w:right w:val="none" w:sz="0" w:space="0" w:color="auto"/>
      </w:divBdr>
    </w:div>
    <w:div w:id="16851023">
      <w:bodyDiv w:val="1"/>
      <w:marLeft w:val="0"/>
      <w:marRight w:val="0"/>
      <w:marTop w:val="0"/>
      <w:marBottom w:val="0"/>
      <w:divBdr>
        <w:top w:val="none" w:sz="0" w:space="0" w:color="auto"/>
        <w:left w:val="none" w:sz="0" w:space="0" w:color="auto"/>
        <w:bottom w:val="none" w:sz="0" w:space="0" w:color="auto"/>
        <w:right w:val="none" w:sz="0" w:space="0" w:color="auto"/>
      </w:divBdr>
    </w:div>
    <w:div w:id="25643592">
      <w:bodyDiv w:val="1"/>
      <w:marLeft w:val="0"/>
      <w:marRight w:val="0"/>
      <w:marTop w:val="0"/>
      <w:marBottom w:val="0"/>
      <w:divBdr>
        <w:top w:val="none" w:sz="0" w:space="0" w:color="auto"/>
        <w:left w:val="none" w:sz="0" w:space="0" w:color="auto"/>
        <w:bottom w:val="none" w:sz="0" w:space="0" w:color="auto"/>
        <w:right w:val="none" w:sz="0" w:space="0" w:color="auto"/>
      </w:divBdr>
      <w:divsChild>
        <w:div w:id="2033451108">
          <w:marLeft w:val="0"/>
          <w:marRight w:val="0"/>
          <w:marTop w:val="0"/>
          <w:marBottom w:val="0"/>
          <w:divBdr>
            <w:top w:val="none" w:sz="0" w:space="0" w:color="auto"/>
            <w:left w:val="none" w:sz="0" w:space="0" w:color="auto"/>
            <w:bottom w:val="none" w:sz="0" w:space="0" w:color="auto"/>
            <w:right w:val="none" w:sz="0" w:space="0" w:color="auto"/>
          </w:divBdr>
          <w:divsChild>
            <w:div w:id="2084640586">
              <w:marLeft w:val="0"/>
              <w:marRight w:val="0"/>
              <w:marTop w:val="0"/>
              <w:marBottom w:val="0"/>
              <w:divBdr>
                <w:top w:val="none" w:sz="0" w:space="0" w:color="auto"/>
                <w:left w:val="none" w:sz="0" w:space="0" w:color="auto"/>
                <w:bottom w:val="none" w:sz="0" w:space="0" w:color="auto"/>
                <w:right w:val="none" w:sz="0" w:space="0" w:color="auto"/>
              </w:divBdr>
              <w:divsChild>
                <w:div w:id="1540168509">
                  <w:marLeft w:val="0"/>
                  <w:marRight w:val="0"/>
                  <w:marTop w:val="0"/>
                  <w:marBottom w:val="0"/>
                  <w:divBdr>
                    <w:top w:val="none" w:sz="0" w:space="0" w:color="auto"/>
                    <w:left w:val="none" w:sz="0" w:space="0" w:color="auto"/>
                    <w:bottom w:val="none" w:sz="0" w:space="0" w:color="auto"/>
                    <w:right w:val="none" w:sz="0" w:space="0" w:color="auto"/>
                  </w:divBdr>
                  <w:divsChild>
                    <w:div w:id="143458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3167">
      <w:bodyDiv w:val="1"/>
      <w:marLeft w:val="0"/>
      <w:marRight w:val="0"/>
      <w:marTop w:val="0"/>
      <w:marBottom w:val="0"/>
      <w:divBdr>
        <w:top w:val="none" w:sz="0" w:space="0" w:color="auto"/>
        <w:left w:val="none" w:sz="0" w:space="0" w:color="auto"/>
        <w:bottom w:val="none" w:sz="0" w:space="0" w:color="auto"/>
        <w:right w:val="none" w:sz="0" w:space="0" w:color="auto"/>
      </w:divBdr>
    </w:div>
    <w:div w:id="43794616">
      <w:bodyDiv w:val="1"/>
      <w:marLeft w:val="0"/>
      <w:marRight w:val="0"/>
      <w:marTop w:val="0"/>
      <w:marBottom w:val="0"/>
      <w:divBdr>
        <w:top w:val="none" w:sz="0" w:space="0" w:color="auto"/>
        <w:left w:val="none" w:sz="0" w:space="0" w:color="auto"/>
        <w:bottom w:val="none" w:sz="0" w:space="0" w:color="auto"/>
        <w:right w:val="none" w:sz="0" w:space="0" w:color="auto"/>
      </w:divBdr>
      <w:divsChild>
        <w:div w:id="2025205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316703">
      <w:bodyDiv w:val="1"/>
      <w:marLeft w:val="0"/>
      <w:marRight w:val="0"/>
      <w:marTop w:val="0"/>
      <w:marBottom w:val="0"/>
      <w:divBdr>
        <w:top w:val="none" w:sz="0" w:space="0" w:color="auto"/>
        <w:left w:val="none" w:sz="0" w:space="0" w:color="auto"/>
        <w:bottom w:val="none" w:sz="0" w:space="0" w:color="auto"/>
        <w:right w:val="none" w:sz="0" w:space="0" w:color="auto"/>
      </w:divBdr>
    </w:div>
    <w:div w:id="57823913">
      <w:bodyDiv w:val="1"/>
      <w:marLeft w:val="0"/>
      <w:marRight w:val="0"/>
      <w:marTop w:val="0"/>
      <w:marBottom w:val="0"/>
      <w:divBdr>
        <w:top w:val="none" w:sz="0" w:space="0" w:color="auto"/>
        <w:left w:val="none" w:sz="0" w:space="0" w:color="auto"/>
        <w:bottom w:val="none" w:sz="0" w:space="0" w:color="auto"/>
        <w:right w:val="none" w:sz="0" w:space="0" w:color="auto"/>
      </w:divBdr>
    </w:div>
    <w:div w:id="69235616">
      <w:bodyDiv w:val="1"/>
      <w:marLeft w:val="0"/>
      <w:marRight w:val="0"/>
      <w:marTop w:val="0"/>
      <w:marBottom w:val="0"/>
      <w:divBdr>
        <w:top w:val="none" w:sz="0" w:space="0" w:color="auto"/>
        <w:left w:val="none" w:sz="0" w:space="0" w:color="auto"/>
        <w:bottom w:val="none" w:sz="0" w:space="0" w:color="auto"/>
        <w:right w:val="none" w:sz="0" w:space="0" w:color="auto"/>
      </w:divBdr>
    </w:div>
    <w:div w:id="73623496">
      <w:bodyDiv w:val="1"/>
      <w:marLeft w:val="0"/>
      <w:marRight w:val="0"/>
      <w:marTop w:val="0"/>
      <w:marBottom w:val="0"/>
      <w:divBdr>
        <w:top w:val="none" w:sz="0" w:space="0" w:color="auto"/>
        <w:left w:val="none" w:sz="0" w:space="0" w:color="auto"/>
        <w:bottom w:val="none" w:sz="0" w:space="0" w:color="auto"/>
        <w:right w:val="none" w:sz="0" w:space="0" w:color="auto"/>
      </w:divBdr>
    </w:div>
    <w:div w:id="87846913">
      <w:bodyDiv w:val="1"/>
      <w:marLeft w:val="0"/>
      <w:marRight w:val="0"/>
      <w:marTop w:val="0"/>
      <w:marBottom w:val="0"/>
      <w:divBdr>
        <w:top w:val="none" w:sz="0" w:space="0" w:color="auto"/>
        <w:left w:val="none" w:sz="0" w:space="0" w:color="auto"/>
        <w:bottom w:val="none" w:sz="0" w:space="0" w:color="auto"/>
        <w:right w:val="none" w:sz="0" w:space="0" w:color="auto"/>
      </w:divBdr>
    </w:div>
    <w:div w:id="93282735">
      <w:bodyDiv w:val="1"/>
      <w:marLeft w:val="0"/>
      <w:marRight w:val="0"/>
      <w:marTop w:val="0"/>
      <w:marBottom w:val="0"/>
      <w:divBdr>
        <w:top w:val="none" w:sz="0" w:space="0" w:color="auto"/>
        <w:left w:val="none" w:sz="0" w:space="0" w:color="auto"/>
        <w:bottom w:val="none" w:sz="0" w:space="0" w:color="auto"/>
        <w:right w:val="none" w:sz="0" w:space="0" w:color="auto"/>
      </w:divBdr>
    </w:div>
    <w:div w:id="94181003">
      <w:bodyDiv w:val="1"/>
      <w:marLeft w:val="0"/>
      <w:marRight w:val="0"/>
      <w:marTop w:val="0"/>
      <w:marBottom w:val="0"/>
      <w:divBdr>
        <w:top w:val="none" w:sz="0" w:space="0" w:color="auto"/>
        <w:left w:val="none" w:sz="0" w:space="0" w:color="auto"/>
        <w:bottom w:val="none" w:sz="0" w:space="0" w:color="auto"/>
        <w:right w:val="none" w:sz="0" w:space="0" w:color="auto"/>
      </w:divBdr>
    </w:div>
    <w:div w:id="102071190">
      <w:bodyDiv w:val="1"/>
      <w:marLeft w:val="0"/>
      <w:marRight w:val="0"/>
      <w:marTop w:val="0"/>
      <w:marBottom w:val="0"/>
      <w:divBdr>
        <w:top w:val="none" w:sz="0" w:space="0" w:color="auto"/>
        <w:left w:val="none" w:sz="0" w:space="0" w:color="auto"/>
        <w:bottom w:val="none" w:sz="0" w:space="0" w:color="auto"/>
        <w:right w:val="none" w:sz="0" w:space="0" w:color="auto"/>
      </w:divBdr>
    </w:div>
    <w:div w:id="122386670">
      <w:bodyDiv w:val="1"/>
      <w:marLeft w:val="0"/>
      <w:marRight w:val="0"/>
      <w:marTop w:val="0"/>
      <w:marBottom w:val="0"/>
      <w:divBdr>
        <w:top w:val="none" w:sz="0" w:space="0" w:color="auto"/>
        <w:left w:val="none" w:sz="0" w:space="0" w:color="auto"/>
        <w:bottom w:val="none" w:sz="0" w:space="0" w:color="auto"/>
        <w:right w:val="none" w:sz="0" w:space="0" w:color="auto"/>
      </w:divBdr>
    </w:div>
    <w:div w:id="124933418">
      <w:bodyDiv w:val="1"/>
      <w:marLeft w:val="0"/>
      <w:marRight w:val="0"/>
      <w:marTop w:val="0"/>
      <w:marBottom w:val="0"/>
      <w:divBdr>
        <w:top w:val="none" w:sz="0" w:space="0" w:color="auto"/>
        <w:left w:val="none" w:sz="0" w:space="0" w:color="auto"/>
        <w:bottom w:val="none" w:sz="0" w:space="0" w:color="auto"/>
        <w:right w:val="none" w:sz="0" w:space="0" w:color="auto"/>
      </w:divBdr>
    </w:div>
    <w:div w:id="128863055">
      <w:bodyDiv w:val="1"/>
      <w:marLeft w:val="0"/>
      <w:marRight w:val="0"/>
      <w:marTop w:val="0"/>
      <w:marBottom w:val="0"/>
      <w:divBdr>
        <w:top w:val="none" w:sz="0" w:space="0" w:color="auto"/>
        <w:left w:val="none" w:sz="0" w:space="0" w:color="auto"/>
        <w:bottom w:val="none" w:sz="0" w:space="0" w:color="auto"/>
        <w:right w:val="none" w:sz="0" w:space="0" w:color="auto"/>
      </w:divBdr>
    </w:div>
    <w:div w:id="128938963">
      <w:bodyDiv w:val="1"/>
      <w:marLeft w:val="0"/>
      <w:marRight w:val="0"/>
      <w:marTop w:val="0"/>
      <w:marBottom w:val="0"/>
      <w:divBdr>
        <w:top w:val="none" w:sz="0" w:space="0" w:color="auto"/>
        <w:left w:val="none" w:sz="0" w:space="0" w:color="auto"/>
        <w:bottom w:val="none" w:sz="0" w:space="0" w:color="auto"/>
        <w:right w:val="none" w:sz="0" w:space="0" w:color="auto"/>
      </w:divBdr>
    </w:div>
    <w:div w:id="133067330">
      <w:bodyDiv w:val="1"/>
      <w:marLeft w:val="0"/>
      <w:marRight w:val="0"/>
      <w:marTop w:val="0"/>
      <w:marBottom w:val="0"/>
      <w:divBdr>
        <w:top w:val="none" w:sz="0" w:space="0" w:color="auto"/>
        <w:left w:val="none" w:sz="0" w:space="0" w:color="auto"/>
        <w:bottom w:val="none" w:sz="0" w:space="0" w:color="auto"/>
        <w:right w:val="none" w:sz="0" w:space="0" w:color="auto"/>
      </w:divBdr>
    </w:div>
    <w:div w:id="135034282">
      <w:bodyDiv w:val="1"/>
      <w:marLeft w:val="0"/>
      <w:marRight w:val="0"/>
      <w:marTop w:val="0"/>
      <w:marBottom w:val="0"/>
      <w:divBdr>
        <w:top w:val="none" w:sz="0" w:space="0" w:color="auto"/>
        <w:left w:val="none" w:sz="0" w:space="0" w:color="auto"/>
        <w:bottom w:val="none" w:sz="0" w:space="0" w:color="auto"/>
        <w:right w:val="none" w:sz="0" w:space="0" w:color="auto"/>
      </w:divBdr>
      <w:divsChild>
        <w:div w:id="224223886">
          <w:marLeft w:val="0"/>
          <w:marRight w:val="0"/>
          <w:marTop w:val="0"/>
          <w:marBottom w:val="0"/>
          <w:divBdr>
            <w:top w:val="none" w:sz="0" w:space="0" w:color="auto"/>
            <w:left w:val="none" w:sz="0" w:space="0" w:color="auto"/>
            <w:bottom w:val="none" w:sz="0" w:space="0" w:color="auto"/>
            <w:right w:val="none" w:sz="0" w:space="0" w:color="auto"/>
          </w:divBdr>
          <w:divsChild>
            <w:div w:id="1944455859">
              <w:marLeft w:val="0"/>
              <w:marRight w:val="0"/>
              <w:marTop w:val="0"/>
              <w:marBottom w:val="0"/>
              <w:divBdr>
                <w:top w:val="none" w:sz="0" w:space="0" w:color="auto"/>
                <w:left w:val="none" w:sz="0" w:space="0" w:color="auto"/>
                <w:bottom w:val="none" w:sz="0" w:space="0" w:color="auto"/>
                <w:right w:val="none" w:sz="0" w:space="0" w:color="auto"/>
              </w:divBdr>
              <w:divsChild>
                <w:div w:id="1474176819">
                  <w:marLeft w:val="0"/>
                  <w:marRight w:val="0"/>
                  <w:marTop w:val="0"/>
                  <w:marBottom w:val="0"/>
                  <w:divBdr>
                    <w:top w:val="none" w:sz="0" w:space="0" w:color="auto"/>
                    <w:left w:val="none" w:sz="0" w:space="0" w:color="auto"/>
                    <w:bottom w:val="none" w:sz="0" w:space="0" w:color="auto"/>
                    <w:right w:val="none" w:sz="0" w:space="0" w:color="auto"/>
                  </w:divBdr>
                  <w:divsChild>
                    <w:div w:id="1946618509">
                      <w:marLeft w:val="0"/>
                      <w:marRight w:val="0"/>
                      <w:marTop w:val="0"/>
                      <w:marBottom w:val="0"/>
                      <w:divBdr>
                        <w:top w:val="none" w:sz="0" w:space="0" w:color="auto"/>
                        <w:left w:val="none" w:sz="0" w:space="0" w:color="auto"/>
                        <w:bottom w:val="none" w:sz="0" w:space="0" w:color="auto"/>
                        <w:right w:val="none" w:sz="0" w:space="0" w:color="auto"/>
                      </w:divBdr>
                      <w:divsChild>
                        <w:div w:id="1290161811">
                          <w:marLeft w:val="0"/>
                          <w:marRight w:val="0"/>
                          <w:marTop w:val="0"/>
                          <w:marBottom w:val="0"/>
                          <w:divBdr>
                            <w:top w:val="none" w:sz="0" w:space="0" w:color="auto"/>
                            <w:left w:val="none" w:sz="0" w:space="0" w:color="auto"/>
                            <w:bottom w:val="none" w:sz="0" w:space="0" w:color="auto"/>
                            <w:right w:val="none" w:sz="0" w:space="0" w:color="auto"/>
                          </w:divBdr>
                          <w:divsChild>
                            <w:div w:id="1066033397">
                              <w:marLeft w:val="0"/>
                              <w:marRight w:val="0"/>
                              <w:marTop w:val="0"/>
                              <w:marBottom w:val="0"/>
                              <w:divBdr>
                                <w:top w:val="none" w:sz="0" w:space="0" w:color="auto"/>
                                <w:left w:val="none" w:sz="0" w:space="0" w:color="auto"/>
                                <w:bottom w:val="none" w:sz="0" w:space="0" w:color="auto"/>
                                <w:right w:val="none" w:sz="0" w:space="0" w:color="auto"/>
                              </w:divBdr>
                              <w:divsChild>
                                <w:div w:id="291057008">
                                  <w:marLeft w:val="0"/>
                                  <w:marRight w:val="0"/>
                                  <w:marTop w:val="0"/>
                                  <w:marBottom w:val="0"/>
                                  <w:divBdr>
                                    <w:top w:val="none" w:sz="0" w:space="0" w:color="auto"/>
                                    <w:left w:val="none" w:sz="0" w:space="0" w:color="auto"/>
                                    <w:bottom w:val="none" w:sz="0" w:space="0" w:color="auto"/>
                                    <w:right w:val="none" w:sz="0" w:space="0" w:color="auto"/>
                                  </w:divBdr>
                                  <w:divsChild>
                                    <w:div w:id="208416678">
                                      <w:marLeft w:val="0"/>
                                      <w:marRight w:val="0"/>
                                      <w:marTop w:val="0"/>
                                      <w:marBottom w:val="0"/>
                                      <w:divBdr>
                                        <w:top w:val="none" w:sz="0" w:space="0" w:color="auto"/>
                                        <w:left w:val="none" w:sz="0" w:space="0" w:color="auto"/>
                                        <w:bottom w:val="none" w:sz="0" w:space="0" w:color="auto"/>
                                        <w:right w:val="none" w:sz="0" w:space="0" w:color="auto"/>
                                      </w:divBdr>
                                      <w:divsChild>
                                        <w:div w:id="1089423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90530">
      <w:bodyDiv w:val="1"/>
      <w:marLeft w:val="0"/>
      <w:marRight w:val="0"/>
      <w:marTop w:val="0"/>
      <w:marBottom w:val="0"/>
      <w:divBdr>
        <w:top w:val="none" w:sz="0" w:space="0" w:color="auto"/>
        <w:left w:val="none" w:sz="0" w:space="0" w:color="auto"/>
        <w:bottom w:val="none" w:sz="0" w:space="0" w:color="auto"/>
        <w:right w:val="none" w:sz="0" w:space="0" w:color="auto"/>
      </w:divBdr>
    </w:div>
    <w:div w:id="144010351">
      <w:bodyDiv w:val="1"/>
      <w:marLeft w:val="0"/>
      <w:marRight w:val="0"/>
      <w:marTop w:val="0"/>
      <w:marBottom w:val="0"/>
      <w:divBdr>
        <w:top w:val="none" w:sz="0" w:space="0" w:color="auto"/>
        <w:left w:val="none" w:sz="0" w:space="0" w:color="auto"/>
        <w:bottom w:val="none" w:sz="0" w:space="0" w:color="auto"/>
        <w:right w:val="none" w:sz="0" w:space="0" w:color="auto"/>
      </w:divBdr>
    </w:div>
    <w:div w:id="151679889">
      <w:bodyDiv w:val="1"/>
      <w:marLeft w:val="0"/>
      <w:marRight w:val="0"/>
      <w:marTop w:val="0"/>
      <w:marBottom w:val="0"/>
      <w:divBdr>
        <w:top w:val="none" w:sz="0" w:space="0" w:color="auto"/>
        <w:left w:val="none" w:sz="0" w:space="0" w:color="auto"/>
        <w:bottom w:val="none" w:sz="0" w:space="0" w:color="auto"/>
        <w:right w:val="none" w:sz="0" w:space="0" w:color="auto"/>
      </w:divBdr>
    </w:div>
    <w:div w:id="154421504">
      <w:bodyDiv w:val="1"/>
      <w:marLeft w:val="0"/>
      <w:marRight w:val="0"/>
      <w:marTop w:val="0"/>
      <w:marBottom w:val="0"/>
      <w:divBdr>
        <w:top w:val="none" w:sz="0" w:space="0" w:color="auto"/>
        <w:left w:val="none" w:sz="0" w:space="0" w:color="auto"/>
        <w:bottom w:val="none" w:sz="0" w:space="0" w:color="auto"/>
        <w:right w:val="none" w:sz="0" w:space="0" w:color="auto"/>
      </w:divBdr>
      <w:divsChild>
        <w:div w:id="1072892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732448">
      <w:bodyDiv w:val="1"/>
      <w:marLeft w:val="0"/>
      <w:marRight w:val="0"/>
      <w:marTop w:val="0"/>
      <w:marBottom w:val="0"/>
      <w:divBdr>
        <w:top w:val="none" w:sz="0" w:space="0" w:color="auto"/>
        <w:left w:val="none" w:sz="0" w:space="0" w:color="auto"/>
        <w:bottom w:val="none" w:sz="0" w:space="0" w:color="auto"/>
        <w:right w:val="none" w:sz="0" w:space="0" w:color="auto"/>
      </w:divBdr>
    </w:div>
    <w:div w:id="181405587">
      <w:bodyDiv w:val="1"/>
      <w:marLeft w:val="0"/>
      <w:marRight w:val="0"/>
      <w:marTop w:val="0"/>
      <w:marBottom w:val="0"/>
      <w:divBdr>
        <w:top w:val="none" w:sz="0" w:space="0" w:color="auto"/>
        <w:left w:val="none" w:sz="0" w:space="0" w:color="auto"/>
        <w:bottom w:val="none" w:sz="0" w:space="0" w:color="auto"/>
        <w:right w:val="none" w:sz="0" w:space="0" w:color="auto"/>
      </w:divBdr>
    </w:div>
    <w:div w:id="191191077">
      <w:bodyDiv w:val="1"/>
      <w:marLeft w:val="0"/>
      <w:marRight w:val="0"/>
      <w:marTop w:val="0"/>
      <w:marBottom w:val="0"/>
      <w:divBdr>
        <w:top w:val="none" w:sz="0" w:space="0" w:color="auto"/>
        <w:left w:val="none" w:sz="0" w:space="0" w:color="auto"/>
        <w:bottom w:val="none" w:sz="0" w:space="0" w:color="auto"/>
        <w:right w:val="none" w:sz="0" w:space="0" w:color="auto"/>
      </w:divBdr>
    </w:div>
    <w:div w:id="193231227">
      <w:bodyDiv w:val="1"/>
      <w:marLeft w:val="0"/>
      <w:marRight w:val="0"/>
      <w:marTop w:val="0"/>
      <w:marBottom w:val="0"/>
      <w:divBdr>
        <w:top w:val="none" w:sz="0" w:space="0" w:color="auto"/>
        <w:left w:val="none" w:sz="0" w:space="0" w:color="auto"/>
        <w:bottom w:val="none" w:sz="0" w:space="0" w:color="auto"/>
        <w:right w:val="none" w:sz="0" w:space="0" w:color="auto"/>
      </w:divBdr>
    </w:div>
    <w:div w:id="222450380">
      <w:bodyDiv w:val="1"/>
      <w:marLeft w:val="0"/>
      <w:marRight w:val="0"/>
      <w:marTop w:val="0"/>
      <w:marBottom w:val="0"/>
      <w:divBdr>
        <w:top w:val="none" w:sz="0" w:space="0" w:color="auto"/>
        <w:left w:val="none" w:sz="0" w:space="0" w:color="auto"/>
        <w:bottom w:val="none" w:sz="0" w:space="0" w:color="auto"/>
        <w:right w:val="none" w:sz="0" w:space="0" w:color="auto"/>
      </w:divBdr>
    </w:div>
    <w:div w:id="225575816">
      <w:bodyDiv w:val="1"/>
      <w:marLeft w:val="0"/>
      <w:marRight w:val="0"/>
      <w:marTop w:val="0"/>
      <w:marBottom w:val="0"/>
      <w:divBdr>
        <w:top w:val="none" w:sz="0" w:space="0" w:color="auto"/>
        <w:left w:val="none" w:sz="0" w:space="0" w:color="auto"/>
        <w:bottom w:val="none" w:sz="0" w:space="0" w:color="auto"/>
        <w:right w:val="none" w:sz="0" w:space="0" w:color="auto"/>
      </w:divBdr>
    </w:div>
    <w:div w:id="225579384">
      <w:bodyDiv w:val="1"/>
      <w:marLeft w:val="0"/>
      <w:marRight w:val="0"/>
      <w:marTop w:val="0"/>
      <w:marBottom w:val="0"/>
      <w:divBdr>
        <w:top w:val="none" w:sz="0" w:space="0" w:color="auto"/>
        <w:left w:val="none" w:sz="0" w:space="0" w:color="auto"/>
        <w:bottom w:val="none" w:sz="0" w:space="0" w:color="auto"/>
        <w:right w:val="none" w:sz="0" w:space="0" w:color="auto"/>
      </w:divBdr>
    </w:div>
    <w:div w:id="228807795">
      <w:bodyDiv w:val="1"/>
      <w:marLeft w:val="0"/>
      <w:marRight w:val="0"/>
      <w:marTop w:val="0"/>
      <w:marBottom w:val="0"/>
      <w:divBdr>
        <w:top w:val="none" w:sz="0" w:space="0" w:color="auto"/>
        <w:left w:val="none" w:sz="0" w:space="0" w:color="auto"/>
        <w:bottom w:val="none" w:sz="0" w:space="0" w:color="auto"/>
        <w:right w:val="none" w:sz="0" w:space="0" w:color="auto"/>
      </w:divBdr>
    </w:div>
    <w:div w:id="234559003">
      <w:bodyDiv w:val="1"/>
      <w:marLeft w:val="0"/>
      <w:marRight w:val="0"/>
      <w:marTop w:val="0"/>
      <w:marBottom w:val="0"/>
      <w:divBdr>
        <w:top w:val="none" w:sz="0" w:space="0" w:color="auto"/>
        <w:left w:val="none" w:sz="0" w:space="0" w:color="auto"/>
        <w:bottom w:val="none" w:sz="0" w:space="0" w:color="auto"/>
        <w:right w:val="none" w:sz="0" w:space="0" w:color="auto"/>
      </w:divBdr>
      <w:divsChild>
        <w:div w:id="1202402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7934105">
      <w:bodyDiv w:val="1"/>
      <w:marLeft w:val="0"/>
      <w:marRight w:val="0"/>
      <w:marTop w:val="0"/>
      <w:marBottom w:val="0"/>
      <w:divBdr>
        <w:top w:val="none" w:sz="0" w:space="0" w:color="auto"/>
        <w:left w:val="none" w:sz="0" w:space="0" w:color="auto"/>
        <w:bottom w:val="none" w:sz="0" w:space="0" w:color="auto"/>
        <w:right w:val="none" w:sz="0" w:space="0" w:color="auto"/>
      </w:divBdr>
    </w:div>
    <w:div w:id="249197179">
      <w:bodyDiv w:val="1"/>
      <w:marLeft w:val="0"/>
      <w:marRight w:val="0"/>
      <w:marTop w:val="0"/>
      <w:marBottom w:val="0"/>
      <w:divBdr>
        <w:top w:val="none" w:sz="0" w:space="0" w:color="auto"/>
        <w:left w:val="none" w:sz="0" w:space="0" w:color="auto"/>
        <w:bottom w:val="none" w:sz="0" w:space="0" w:color="auto"/>
        <w:right w:val="none" w:sz="0" w:space="0" w:color="auto"/>
      </w:divBdr>
      <w:divsChild>
        <w:div w:id="2095973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399435">
      <w:bodyDiv w:val="1"/>
      <w:marLeft w:val="0"/>
      <w:marRight w:val="0"/>
      <w:marTop w:val="0"/>
      <w:marBottom w:val="0"/>
      <w:divBdr>
        <w:top w:val="none" w:sz="0" w:space="0" w:color="auto"/>
        <w:left w:val="none" w:sz="0" w:space="0" w:color="auto"/>
        <w:bottom w:val="none" w:sz="0" w:space="0" w:color="auto"/>
        <w:right w:val="none" w:sz="0" w:space="0" w:color="auto"/>
      </w:divBdr>
      <w:divsChild>
        <w:div w:id="1935552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188197">
      <w:bodyDiv w:val="1"/>
      <w:marLeft w:val="0"/>
      <w:marRight w:val="0"/>
      <w:marTop w:val="0"/>
      <w:marBottom w:val="0"/>
      <w:divBdr>
        <w:top w:val="none" w:sz="0" w:space="0" w:color="auto"/>
        <w:left w:val="none" w:sz="0" w:space="0" w:color="auto"/>
        <w:bottom w:val="none" w:sz="0" w:space="0" w:color="auto"/>
        <w:right w:val="none" w:sz="0" w:space="0" w:color="auto"/>
      </w:divBdr>
    </w:div>
    <w:div w:id="263460092">
      <w:bodyDiv w:val="1"/>
      <w:marLeft w:val="0"/>
      <w:marRight w:val="0"/>
      <w:marTop w:val="0"/>
      <w:marBottom w:val="0"/>
      <w:divBdr>
        <w:top w:val="none" w:sz="0" w:space="0" w:color="auto"/>
        <w:left w:val="none" w:sz="0" w:space="0" w:color="auto"/>
        <w:bottom w:val="none" w:sz="0" w:space="0" w:color="auto"/>
        <w:right w:val="none" w:sz="0" w:space="0" w:color="auto"/>
      </w:divBdr>
    </w:div>
    <w:div w:id="264923061">
      <w:bodyDiv w:val="1"/>
      <w:marLeft w:val="0"/>
      <w:marRight w:val="0"/>
      <w:marTop w:val="0"/>
      <w:marBottom w:val="0"/>
      <w:divBdr>
        <w:top w:val="none" w:sz="0" w:space="0" w:color="auto"/>
        <w:left w:val="none" w:sz="0" w:space="0" w:color="auto"/>
        <w:bottom w:val="none" w:sz="0" w:space="0" w:color="auto"/>
        <w:right w:val="none" w:sz="0" w:space="0" w:color="auto"/>
      </w:divBdr>
    </w:div>
    <w:div w:id="298850295">
      <w:bodyDiv w:val="1"/>
      <w:marLeft w:val="0"/>
      <w:marRight w:val="0"/>
      <w:marTop w:val="0"/>
      <w:marBottom w:val="0"/>
      <w:divBdr>
        <w:top w:val="none" w:sz="0" w:space="0" w:color="auto"/>
        <w:left w:val="none" w:sz="0" w:space="0" w:color="auto"/>
        <w:bottom w:val="none" w:sz="0" w:space="0" w:color="auto"/>
        <w:right w:val="none" w:sz="0" w:space="0" w:color="auto"/>
      </w:divBdr>
    </w:div>
    <w:div w:id="303851965">
      <w:bodyDiv w:val="1"/>
      <w:marLeft w:val="0"/>
      <w:marRight w:val="0"/>
      <w:marTop w:val="0"/>
      <w:marBottom w:val="0"/>
      <w:divBdr>
        <w:top w:val="none" w:sz="0" w:space="0" w:color="auto"/>
        <w:left w:val="none" w:sz="0" w:space="0" w:color="auto"/>
        <w:bottom w:val="none" w:sz="0" w:space="0" w:color="auto"/>
        <w:right w:val="none" w:sz="0" w:space="0" w:color="auto"/>
      </w:divBdr>
    </w:div>
    <w:div w:id="351541141">
      <w:bodyDiv w:val="1"/>
      <w:marLeft w:val="0"/>
      <w:marRight w:val="0"/>
      <w:marTop w:val="0"/>
      <w:marBottom w:val="0"/>
      <w:divBdr>
        <w:top w:val="none" w:sz="0" w:space="0" w:color="auto"/>
        <w:left w:val="none" w:sz="0" w:space="0" w:color="auto"/>
        <w:bottom w:val="none" w:sz="0" w:space="0" w:color="auto"/>
        <w:right w:val="none" w:sz="0" w:space="0" w:color="auto"/>
      </w:divBdr>
    </w:div>
    <w:div w:id="354500949">
      <w:bodyDiv w:val="1"/>
      <w:marLeft w:val="0"/>
      <w:marRight w:val="0"/>
      <w:marTop w:val="0"/>
      <w:marBottom w:val="0"/>
      <w:divBdr>
        <w:top w:val="none" w:sz="0" w:space="0" w:color="auto"/>
        <w:left w:val="none" w:sz="0" w:space="0" w:color="auto"/>
        <w:bottom w:val="none" w:sz="0" w:space="0" w:color="auto"/>
        <w:right w:val="none" w:sz="0" w:space="0" w:color="auto"/>
      </w:divBdr>
    </w:div>
    <w:div w:id="355161033">
      <w:bodyDiv w:val="1"/>
      <w:marLeft w:val="0"/>
      <w:marRight w:val="0"/>
      <w:marTop w:val="0"/>
      <w:marBottom w:val="0"/>
      <w:divBdr>
        <w:top w:val="none" w:sz="0" w:space="0" w:color="auto"/>
        <w:left w:val="none" w:sz="0" w:space="0" w:color="auto"/>
        <w:bottom w:val="none" w:sz="0" w:space="0" w:color="auto"/>
        <w:right w:val="none" w:sz="0" w:space="0" w:color="auto"/>
      </w:divBdr>
    </w:div>
    <w:div w:id="373117675">
      <w:bodyDiv w:val="1"/>
      <w:marLeft w:val="0"/>
      <w:marRight w:val="0"/>
      <w:marTop w:val="0"/>
      <w:marBottom w:val="0"/>
      <w:divBdr>
        <w:top w:val="none" w:sz="0" w:space="0" w:color="auto"/>
        <w:left w:val="none" w:sz="0" w:space="0" w:color="auto"/>
        <w:bottom w:val="none" w:sz="0" w:space="0" w:color="auto"/>
        <w:right w:val="none" w:sz="0" w:space="0" w:color="auto"/>
      </w:divBdr>
    </w:div>
    <w:div w:id="373241456">
      <w:bodyDiv w:val="1"/>
      <w:marLeft w:val="0"/>
      <w:marRight w:val="0"/>
      <w:marTop w:val="0"/>
      <w:marBottom w:val="0"/>
      <w:divBdr>
        <w:top w:val="none" w:sz="0" w:space="0" w:color="auto"/>
        <w:left w:val="none" w:sz="0" w:space="0" w:color="auto"/>
        <w:bottom w:val="none" w:sz="0" w:space="0" w:color="auto"/>
        <w:right w:val="none" w:sz="0" w:space="0" w:color="auto"/>
      </w:divBdr>
    </w:div>
    <w:div w:id="383604914">
      <w:bodyDiv w:val="1"/>
      <w:marLeft w:val="0"/>
      <w:marRight w:val="0"/>
      <w:marTop w:val="0"/>
      <w:marBottom w:val="0"/>
      <w:divBdr>
        <w:top w:val="none" w:sz="0" w:space="0" w:color="auto"/>
        <w:left w:val="none" w:sz="0" w:space="0" w:color="auto"/>
        <w:bottom w:val="none" w:sz="0" w:space="0" w:color="auto"/>
        <w:right w:val="none" w:sz="0" w:space="0" w:color="auto"/>
      </w:divBdr>
    </w:div>
    <w:div w:id="386687932">
      <w:bodyDiv w:val="1"/>
      <w:marLeft w:val="0"/>
      <w:marRight w:val="0"/>
      <w:marTop w:val="0"/>
      <w:marBottom w:val="0"/>
      <w:divBdr>
        <w:top w:val="none" w:sz="0" w:space="0" w:color="auto"/>
        <w:left w:val="none" w:sz="0" w:space="0" w:color="auto"/>
        <w:bottom w:val="none" w:sz="0" w:space="0" w:color="auto"/>
        <w:right w:val="none" w:sz="0" w:space="0" w:color="auto"/>
      </w:divBdr>
      <w:divsChild>
        <w:div w:id="364523544">
          <w:marLeft w:val="0"/>
          <w:marRight w:val="0"/>
          <w:marTop w:val="0"/>
          <w:marBottom w:val="0"/>
          <w:divBdr>
            <w:top w:val="none" w:sz="0" w:space="0" w:color="auto"/>
            <w:left w:val="none" w:sz="0" w:space="0" w:color="auto"/>
            <w:bottom w:val="none" w:sz="0" w:space="0" w:color="auto"/>
            <w:right w:val="none" w:sz="0" w:space="0" w:color="auto"/>
          </w:divBdr>
          <w:divsChild>
            <w:div w:id="635180784">
              <w:marLeft w:val="0"/>
              <w:marRight w:val="0"/>
              <w:marTop w:val="0"/>
              <w:marBottom w:val="0"/>
              <w:divBdr>
                <w:top w:val="none" w:sz="0" w:space="0" w:color="auto"/>
                <w:left w:val="none" w:sz="0" w:space="0" w:color="auto"/>
                <w:bottom w:val="none" w:sz="0" w:space="0" w:color="auto"/>
                <w:right w:val="none" w:sz="0" w:space="0" w:color="auto"/>
              </w:divBdr>
              <w:divsChild>
                <w:div w:id="238445943">
                  <w:marLeft w:val="0"/>
                  <w:marRight w:val="0"/>
                  <w:marTop w:val="0"/>
                  <w:marBottom w:val="0"/>
                  <w:divBdr>
                    <w:top w:val="none" w:sz="0" w:space="0" w:color="auto"/>
                    <w:left w:val="none" w:sz="0" w:space="0" w:color="auto"/>
                    <w:bottom w:val="none" w:sz="0" w:space="0" w:color="auto"/>
                    <w:right w:val="none" w:sz="0" w:space="0" w:color="auto"/>
                  </w:divBdr>
                  <w:divsChild>
                    <w:div w:id="1069616743">
                      <w:marLeft w:val="0"/>
                      <w:marRight w:val="0"/>
                      <w:marTop w:val="0"/>
                      <w:marBottom w:val="0"/>
                      <w:divBdr>
                        <w:top w:val="none" w:sz="0" w:space="0" w:color="auto"/>
                        <w:left w:val="none" w:sz="0" w:space="0" w:color="auto"/>
                        <w:bottom w:val="none" w:sz="0" w:space="0" w:color="auto"/>
                        <w:right w:val="none" w:sz="0" w:space="0" w:color="auto"/>
                      </w:divBdr>
                      <w:divsChild>
                        <w:div w:id="363677549">
                          <w:marLeft w:val="0"/>
                          <w:marRight w:val="0"/>
                          <w:marTop w:val="0"/>
                          <w:marBottom w:val="0"/>
                          <w:divBdr>
                            <w:top w:val="none" w:sz="0" w:space="0" w:color="auto"/>
                            <w:left w:val="none" w:sz="0" w:space="0" w:color="auto"/>
                            <w:bottom w:val="none" w:sz="0" w:space="0" w:color="auto"/>
                            <w:right w:val="none" w:sz="0" w:space="0" w:color="auto"/>
                          </w:divBdr>
                          <w:divsChild>
                            <w:div w:id="14334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897710">
      <w:bodyDiv w:val="1"/>
      <w:marLeft w:val="0"/>
      <w:marRight w:val="0"/>
      <w:marTop w:val="0"/>
      <w:marBottom w:val="0"/>
      <w:divBdr>
        <w:top w:val="none" w:sz="0" w:space="0" w:color="auto"/>
        <w:left w:val="none" w:sz="0" w:space="0" w:color="auto"/>
        <w:bottom w:val="none" w:sz="0" w:space="0" w:color="auto"/>
        <w:right w:val="none" w:sz="0" w:space="0" w:color="auto"/>
      </w:divBdr>
    </w:div>
    <w:div w:id="399449028">
      <w:bodyDiv w:val="1"/>
      <w:marLeft w:val="0"/>
      <w:marRight w:val="0"/>
      <w:marTop w:val="0"/>
      <w:marBottom w:val="0"/>
      <w:divBdr>
        <w:top w:val="none" w:sz="0" w:space="0" w:color="auto"/>
        <w:left w:val="none" w:sz="0" w:space="0" w:color="auto"/>
        <w:bottom w:val="none" w:sz="0" w:space="0" w:color="auto"/>
        <w:right w:val="none" w:sz="0" w:space="0" w:color="auto"/>
      </w:divBdr>
    </w:div>
    <w:div w:id="400838160">
      <w:bodyDiv w:val="1"/>
      <w:marLeft w:val="0"/>
      <w:marRight w:val="0"/>
      <w:marTop w:val="0"/>
      <w:marBottom w:val="0"/>
      <w:divBdr>
        <w:top w:val="none" w:sz="0" w:space="0" w:color="auto"/>
        <w:left w:val="none" w:sz="0" w:space="0" w:color="auto"/>
        <w:bottom w:val="none" w:sz="0" w:space="0" w:color="auto"/>
        <w:right w:val="none" w:sz="0" w:space="0" w:color="auto"/>
      </w:divBdr>
    </w:div>
    <w:div w:id="417404781">
      <w:bodyDiv w:val="1"/>
      <w:marLeft w:val="0"/>
      <w:marRight w:val="0"/>
      <w:marTop w:val="0"/>
      <w:marBottom w:val="0"/>
      <w:divBdr>
        <w:top w:val="none" w:sz="0" w:space="0" w:color="auto"/>
        <w:left w:val="none" w:sz="0" w:space="0" w:color="auto"/>
        <w:bottom w:val="none" w:sz="0" w:space="0" w:color="auto"/>
        <w:right w:val="none" w:sz="0" w:space="0" w:color="auto"/>
      </w:divBdr>
    </w:div>
    <w:div w:id="418330754">
      <w:bodyDiv w:val="1"/>
      <w:marLeft w:val="0"/>
      <w:marRight w:val="0"/>
      <w:marTop w:val="0"/>
      <w:marBottom w:val="0"/>
      <w:divBdr>
        <w:top w:val="none" w:sz="0" w:space="0" w:color="auto"/>
        <w:left w:val="none" w:sz="0" w:space="0" w:color="auto"/>
        <w:bottom w:val="none" w:sz="0" w:space="0" w:color="auto"/>
        <w:right w:val="none" w:sz="0" w:space="0" w:color="auto"/>
      </w:divBdr>
    </w:div>
    <w:div w:id="423720568">
      <w:bodyDiv w:val="1"/>
      <w:marLeft w:val="0"/>
      <w:marRight w:val="0"/>
      <w:marTop w:val="0"/>
      <w:marBottom w:val="0"/>
      <w:divBdr>
        <w:top w:val="none" w:sz="0" w:space="0" w:color="auto"/>
        <w:left w:val="none" w:sz="0" w:space="0" w:color="auto"/>
        <w:bottom w:val="none" w:sz="0" w:space="0" w:color="auto"/>
        <w:right w:val="none" w:sz="0" w:space="0" w:color="auto"/>
      </w:divBdr>
    </w:div>
    <w:div w:id="427044229">
      <w:bodyDiv w:val="1"/>
      <w:marLeft w:val="0"/>
      <w:marRight w:val="0"/>
      <w:marTop w:val="0"/>
      <w:marBottom w:val="0"/>
      <w:divBdr>
        <w:top w:val="none" w:sz="0" w:space="0" w:color="auto"/>
        <w:left w:val="none" w:sz="0" w:space="0" w:color="auto"/>
        <w:bottom w:val="none" w:sz="0" w:space="0" w:color="auto"/>
        <w:right w:val="none" w:sz="0" w:space="0" w:color="auto"/>
      </w:divBdr>
    </w:div>
    <w:div w:id="432092630">
      <w:bodyDiv w:val="1"/>
      <w:marLeft w:val="0"/>
      <w:marRight w:val="0"/>
      <w:marTop w:val="0"/>
      <w:marBottom w:val="0"/>
      <w:divBdr>
        <w:top w:val="none" w:sz="0" w:space="0" w:color="auto"/>
        <w:left w:val="none" w:sz="0" w:space="0" w:color="auto"/>
        <w:bottom w:val="none" w:sz="0" w:space="0" w:color="auto"/>
        <w:right w:val="none" w:sz="0" w:space="0" w:color="auto"/>
      </w:divBdr>
    </w:div>
    <w:div w:id="460734670">
      <w:bodyDiv w:val="1"/>
      <w:marLeft w:val="0"/>
      <w:marRight w:val="0"/>
      <w:marTop w:val="0"/>
      <w:marBottom w:val="0"/>
      <w:divBdr>
        <w:top w:val="none" w:sz="0" w:space="0" w:color="auto"/>
        <w:left w:val="none" w:sz="0" w:space="0" w:color="auto"/>
        <w:bottom w:val="none" w:sz="0" w:space="0" w:color="auto"/>
        <w:right w:val="none" w:sz="0" w:space="0" w:color="auto"/>
      </w:divBdr>
      <w:divsChild>
        <w:div w:id="159664307">
          <w:marLeft w:val="0"/>
          <w:marRight w:val="0"/>
          <w:marTop w:val="0"/>
          <w:marBottom w:val="0"/>
          <w:divBdr>
            <w:top w:val="none" w:sz="0" w:space="0" w:color="auto"/>
            <w:left w:val="none" w:sz="0" w:space="0" w:color="auto"/>
            <w:bottom w:val="none" w:sz="0" w:space="0" w:color="auto"/>
            <w:right w:val="none" w:sz="0" w:space="0" w:color="auto"/>
          </w:divBdr>
          <w:divsChild>
            <w:div w:id="277874138">
              <w:marLeft w:val="0"/>
              <w:marRight w:val="0"/>
              <w:marTop w:val="0"/>
              <w:marBottom w:val="0"/>
              <w:divBdr>
                <w:top w:val="none" w:sz="0" w:space="0" w:color="auto"/>
                <w:left w:val="none" w:sz="0" w:space="0" w:color="auto"/>
                <w:bottom w:val="none" w:sz="0" w:space="0" w:color="auto"/>
                <w:right w:val="none" w:sz="0" w:space="0" w:color="auto"/>
              </w:divBdr>
              <w:divsChild>
                <w:div w:id="749892089">
                  <w:marLeft w:val="0"/>
                  <w:marRight w:val="0"/>
                  <w:marTop w:val="0"/>
                  <w:marBottom w:val="0"/>
                  <w:divBdr>
                    <w:top w:val="none" w:sz="0" w:space="0" w:color="auto"/>
                    <w:left w:val="none" w:sz="0" w:space="0" w:color="auto"/>
                    <w:bottom w:val="none" w:sz="0" w:space="0" w:color="auto"/>
                    <w:right w:val="none" w:sz="0" w:space="0" w:color="auto"/>
                  </w:divBdr>
                  <w:divsChild>
                    <w:div w:id="267279898">
                      <w:marLeft w:val="0"/>
                      <w:marRight w:val="0"/>
                      <w:marTop w:val="0"/>
                      <w:marBottom w:val="0"/>
                      <w:divBdr>
                        <w:top w:val="none" w:sz="0" w:space="0" w:color="auto"/>
                        <w:left w:val="none" w:sz="0" w:space="0" w:color="auto"/>
                        <w:bottom w:val="none" w:sz="0" w:space="0" w:color="auto"/>
                        <w:right w:val="none" w:sz="0" w:space="0" w:color="auto"/>
                      </w:divBdr>
                      <w:divsChild>
                        <w:div w:id="1905025441">
                          <w:marLeft w:val="0"/>
                          <w:marRight w:val="0"/>
                          <w:marTop w:val="0"/>
                          <w:marBottom w:val="0"/>
                          <w:divBdr>
                            <w:top w:val="none" w:sz="0" w:space="0" w:color="auto"/>
                            <w:left w:val="none" w:sz="0" w:space="0" w:color="auto"/>
                            <w:bottom w:val="none" w:sz="0" w:space="0" w:color="auto"/>
                            <w:right w:val="none" w:sz="0" w:space="0" w:color="auto"/>
                          </w:divBdr>
                          <w:divsChild>
                            <w:div w:id="11703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591019">
      <w:bodyDiv w:val="1"/>
      <w:marLeft w:val="0"/>
      <w:marRight w:val="0"/>
      <w:marTop w:val="0"/>
      <w:marBottom w:val="0"/>
      <w:divBdr>
        <w:top w:val="none" w:sz="0" w:space="0" w:color="auto"/>
        <w:left w:val="none" w:sz="0" w:space="0" w:color="auto"/>
        <w:bottom w:val="none" w:sz="0" w:space="0" w:color="auto"/>
        <w:right w:val="none" w:sz="0" w:space="0" w:color="auto"/>
      </w:divBdr>
      <w:divsChild>
        <w:div w:id="2033913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079401">
      <w:bodyDiv w:val="1"/>
      <w:marLeft w:val="0"/>
      <w:marRight w:val="0"/>
      <w:marTop w:val="0"/>
      <w:marBottom w:val="0"/>
      <w:divBdr>
        <w:top w:val="none" w:sz="0" w:space="0" w:color="auto"/>
        <w:left w:val="none" w:sz="0" w:space="0" w:color="auto"/>
        <w:bottom w:val="none" w:sz="0" w:space="0" w:color="auto"/>
        <w:right w:val="none" w:sz="0" w:space="0" w:color="auto"/>
      </w:divBdr>
    </w:div>
    <w:div w:id="515271140">
      <w:bodyDiv w:val="1"/>
      <w:marLeft w:val="0"/>
      <w:marRight w:val="0"/>
      <w:marTop w:val="0"/>
      <w:marBottom w:val="0"/>
      <w:divBdr>
        <w:top w:val="none" w:sz="0" w:space="0" w:color="auto"/>
        <w:left w:val="none" w:sz="0" w:space="0" w:color="auto"/>
        <w:bottom w:val="none" w:sz="0" w:space="0" w:color="auto"/>
        <w:right w:val="none" w:sz="0" w:space="0" w:color="auto"/>
      </w:divBdr>
    </w:div>
    <w:div w:id="521869069">
      <w:bodyDiv w:val="1"/>
      <w:marLeft w:val="0"/>
      <w:marRight w:val="0"/>
      <w:marTop w:val="0"/>
      <w:marBottom w:val="0"/>
      <w:divBdr>
        <w:top w:val="none" w:sz="0" w:space="0" w:color="auto"/>
        <w:left w:val="none" w:sz="0" w:space="0" w:color="auto"/>
        <w:bottom w:val="none" w:sz="0" w:space="0" w:color="auto"/>
        <w:right w:val="none" w:sz="0" w:space="0" w:color="auto"/>
      </w:divBdr>
    </w:div>
    <w:div w:id="531921345">
      <w:bodyDiv w:val="1"/>
      <w:marLeft w:val="0"/>
      <w:marRight w:val="0"/>
      <w:marTop w:val="0"/>
      <w:marBottom w:val="0"/>
      <w:divBdr>
        <w:top w:val="none" w:sz="0" w:space="0" w:color="auto"/>
        <w:left w:val="none" w:sz="0" w:space="0" w:color="auto"/>
        <w:bottom w:val="none" w:sz="0" w:space="0" w:color="auto"/>
        <w:right w:val="none" w:sz="0" w:space="0" w:color="auto"/>
      </w:divBdr>
    </w:div>
    <w:div w:id="537935055">
      <w:bodyDiv w:val="1"/>
      <w:marLeft w:val="0"/>
      <w:marRight w:val="0"/>
      <w:marTop w:val="0"/>
      <w:marBottom w:val="0"/>
      <w:divBdr>
        <w:top w:val="none" w:sz="0" w:space="0" w:color="auto"/>
        <w:left w:val="none" w:sz="0" w:space="0" w:color="auto"/>
        <w:bottom w:val="none" w:sz="0" w:space="0" w:color="auto"/>
        <w:right w:val="none" w:sz="0" w:space="0" w:color="auto"/>
      </w:divBdr>
    </w:div>
    <w:div w:id="539052940">
      <w:bodyDiv w:val="1"/>
      <w:marLeft w:val="0"/>
      <w:marRight w:val="0"/>
      <w:marTop w:val="0"/>
      <w:marBottom w:val="0"/>
      <w:divBdr>
        <w:top w:val="none" w:sz="0" w:space="0" w:color="auto"/>
        <w:left w:val="none" w:sz="0" w:space="0" w:color="auto"/>
        <w:bottom w:val="none" w:sz="0" w:space="0" w:color="auto"/>
        <w:right w:val="none" w:sz="0" w:space="0" w:color="auto"/>
      </w:divBdr>
    </w:div>
    <w:div w:id="541989100">
      <w:bodyDiv w:val="1"/>
      <w:marLeft w:val="0"/>
      <w:marRight w:val="0"/>
      <w:marTop w:val="0"/>
      <w:marBottom w:val="0"/>
      <w:divBdr>
        <w:top w:val="none" w:sz="0" w:space="0" w:color="auto"/>
        <w:left w:val="none" w:sz="0" w:space="0" w:color="auto"/>
        <w:bottom w:val="none" w:sz="0" w:space="0" w:color="auto"/>
        <w:right w:val="none" w:sz="0" w:space="0" w:color="auto"/>
      </w:divBdr>
    </w:div>
    <w:div w:id="549805632">
      <w:bodyDiv w:val="1"/>
      <w:marLeft w:val="0"/>
      <w:marRight w:val="0"/>
      <w:marTop w:val="0"/>
      <w:marBottom w:val="0"/>
      <w:divBdr>
        <w:top w:val="none" w:sz="0" w:space="0" w:color="auto"/>
        <w:left w:val="none" w:sz="0" w:space="0" w:color="auto"/>
        <w:bottom w:val="none" w:sz="0" w:space="0" w:color="auto"/>
        <w:right w:val="none" w:sz="0" w:space="0" w:color="auto"/>
      </w:divBdr>
    </w:div>
    <w:div w:id="576323908">
      <w:bodyDiv w:val="1"/>
      <w:marLeft w:val="0"/>
      <w:marRight w:val="0"/>
      <w:marTop w:val="0"/>
      <w:marBottom w:val="0"/>
      <w:divBdr>
        <w:top w:val="none" w:sz="0" w:space="0" w:color="auto"/>
        <w:left w:val="none" w:sz="0" w:space="0" w:color="auto"/>
        <w:bottom w:val="none" w:sz="0" w:space="0" w:color="auto"/>
        <w:right w:val="none" w:sz="0" w:space="0" w:color="auto"/>
      </w:divBdr>
    </w:div>
    <w:div w:id="586035016">
      <w:bodyDiv w:val="1"/>
      <w:marLeft w:val="0"/>
      <w:marRight w:val="0"/>
      <w:marTop w:val="0"/>
      <w:marBottom w:val="0"/>
      <w:divBdr>
        <w:top w:val="none" w:sz="0" w:space="0" w:color="auto"/>
        <w:left w:val="none" w:sz="0" w:space="0" w:color="auto"/>
        <w:bottom w:val="none" w:sz="0" w:space="0" w:color="auto"/>
        <w:right w:val="none" w:sz="0" w:space="0" w:color="auto"/>
      </w:divBdr>
    </w:div>
    <w:div w:id="594705711">
      <w:bodyDiv w:val="1"/>
      <w:marLeft w:val="0"/>
      <w:marRight w:val="0"/>
      <w:marTop w:val="0"/>
      <w:marBottom w:val="0"/>
      <w:divBdr>
        <w:top w:val="none" w:sz="0" w:space="0" w:color="auto"/>
        <w:left w:val="none" w:sz="0" w:space="0" w:color="auto"/>
        <w:bottom w:val="none" w:sz="0" w:space="0" w:color="auto"/>
        <w:right w:val="none" w:sz="0" w:space="0" w:color="auto"/>
      </w:divBdr>
      <w:divsChild>
        <w:div w:id="230896544">
          <w:marLeft w:val="0"/>
          <w:marRight w:val="0"/>
          <w:marTop w:val="0"/>
          <w:marBottom w:val="0"/>
          <w:divBdr>
            <w:top w:val="none" w:sz="0" w:space="0" w:color="auto"/>
            <w:left w:val="none" w:sz="0" w:space="0" w:color="auto"/>
            <w:bottom w:val="none" w:sz="0" w:space="0" w:color="auto"/>
            <w:right w:val="none" w:sz="0" w:space="0" w:color="auto"/>
          </w:divBdr>
          <w:divsChild>
            <w:div w:id="1241479117">
              <w:marLeft w:val="0"/>
              <w:marRight w:val="0"/>
              <w:marTop w:val="0"/>
              <w:marBottom w:val="0"/>
              <w:divBdr>
                <w:top w:val="none" w:sz="0" w:space="0" w:color="auto"/>
                <w:left w:val="none" w:sz="0" w:space="0" w:color="auto"/>
                <w:bottom w:val="none" w:sz="0" w:space="0" w:color="auto"/>
                <w:right w:val="none" w:sz="0" w:space="0" w:color="auto"/>
              </w:divBdr>
              <w:divsChild>
                <w:div w:id="1714378039">
                  <w:marLeft w:val="0"/>
                  <w:marRight w:val="0"/>
                  <w:marTop w:val="0"/>
                  <w:marBottom w:val="0"/>
                  <w:divBdr>
                    <w:top w:val="none" w:sz="0" w:space="0" w:color="auto"/>
                    <w:left w:val="none" w:sz="0" w:space="0" w:color="auto"/>
                    <w:bottom w:val="none" w:sz="0" w:space="0" w:color="auto"/>
                    <w:right w:val="none" w:sz="0" w:space="0" w:color="auto"/>
                  </w:divBdr>
                  <w:divsChild>
                    <w:div w:id="168185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403891">
      <w:bodyDiv w:val="1"/>
      <w:marLeft w:val="0"/>
      <w:marRight w:val="0"/>
      <w:marTop w:val="0"/>
      <w:marBottom w:val="0"/>
      <w:divBdr>
        <w:top w:val="none" w:sz="0" w:space="0" w:color="auto"/>
        <w:left w:val="none" w:sz="0" w:space="0" w:color="auto"/>
        <w:bottom w:val="none" w:sz="0" w:space="0" w:color="auto"/>
        <w:right w:val="none" w:sz="0" w:space="0" w:color="auto"/>
      </w:divBdr>
    </w:div>
    <w:div w:id="605160697">
      <w:bodyDiv w:val="1"/>
      <w:marLeft w:val="0"/>
      <w:marRight w:val="0"/>
      <w:marTop w:val="0"/>
      <w:marBottom w:val="0"/>
      <w:divBdr>
        <w:top w:val="none" w:sz="0" w:space="0" w:color="auto"/>
        <w:left w:val="none" w:sz="0" w:space="0" w:color="auto"/>
        <w:bottom w:val="none" w:sz="0" w:space="0" w:color="auto"/>
        <w:right w:val="none" w:sz="0" w:space="0" w:color="auto"/>
      </w:divBdr>
      <w:divsChild>
        <w:div w:id="1808887123">
          <w:marLeft w:val="0"/>
          <w:marRight w:val="0"/>
          <w:marTop w:val="0"/>
          <w:marBottom w:val="0"/>
          <w:divBdr>
            <w:top w:val="none" w:sz="0" w:space="0" w:color="auto"/>
            <w:left w:val="none" w:sz="0" w:space="0" w:color="auto"/>
            <w:bottom w:val="none" w:sz="0" w:space="0" w:color="auto"/>
            <w:right w:val="none" w:sz="0" w:space="0" w:color="auto"/>
          </w:divBdr>
          <w:divsChild>
            <w:div w:id="377629542">
              <w:marLeft w:val="0"/>
              <w:marRight w:val="0"/>
              <w:marTop w:val="0"/>
              <w:marBottom w:val="0"/>
              <w:divBdr>
                <w:top w:val="none" w:sz="0" w:space="0" w:color="auto"/>
                <w:left w:val="none" w:sz="0" w:space="0" w:color="auto"/>
                <w:bottom w:val="none" w:sz="0" w:space="0" w:color="auto"/>
                <w:right w:val="none" w:sz="0" w:space="0" w:color="auto"/>
              </w:divBdr>
              <w:divsChild>
                <w:div w:id="925960457">
                  <w:marLeft w:val="0"/>
                  <w:marRight w:val="0"/>
                  <w:marTop w:val="0"/>
                  <w:marBottom w:val="0"/>
                  <w:divBdr>
                    <w:top w:val="none" w:sz="0" w:space="0" w:color="auto"/>
                    <w:left w:val="none" w:sz="0" w:space="0" w:color="auto"/>
                    <w:bottom w:val="none" w:sz="0" w:space="0" w:color="auto"/>
                    <w:right w:val="none" w:sz="0" w:space="0" w:color="auto"/>
                  </w:divBdr>
                  <w:divsChild>
                    <w:div w:id="145255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274609">
      <w:bodyDiv w:val="1"/>
      <w:marLeft w:val="0"/>
      <w:marRight w:val="0"/>
      <w:marTop w:val="0"/>
      <w:marBottom w:val="0"/>
      <w:divBdr>
        <w:top w:val="none" w:sz="0" w:space="0" w:color="auto"/>
        <w:left w:val="none" w:sz="0" w:space="0" w:color="auto"/>
        <w:bottom w:val="none" w:sz="0" w:space="0" w:color="auto"/>
        <w:right w:val="none" w:sz="0" w:space="0" w:color="auto"/>
      </w:divBdr>
    </w:div>
    <w:div w:id="632978607">
      <w:bodyDiv w:val="1"/>
      <w:marLeft w:val="0"/>
      <w:marRight w:val="0"/>
      <w:marTop w:val="0"/>
      <w:marBottom w:val="0"/>
      <w:divBdr>
        <w:top w:val="none" w:sz="0" w:space="0" w:color="auto"/>
        <w:left w:val="none" w:sz="0" w:space="0" w:color="auto"/>
        <w:bottom w:val="none" w:sz="0" w:space="0" w:color="auto"/>
        <w:right w:val="none" w:sz="0" w:space="0" w:color="auto"/>
      </w:divBdr>
    </w:div>
    <w:div w:id="633563132">
      <w:bodyDiv w:val="1"/>
      <w:marLeft w:val="0"/>
      <w:marRight w:val="0"/>
      <w:marTop w:val="0"/>
      <w:marBottom w:val="0"/>
      <w:divBdr>
        <w:top w:val="none" w:sz="0" w:space="0" w:color="auto"/>
        <w:left w:val="none" w:sz="0" w:space="0" w:color="auto"/>
        <w:bottom w:val="none" w:sz="0" w:space="0" w:color="auto"/>
        <w:right w:val="none" w:sz="0" w:space="0" w:color="auto"/>
      </w:divBdr>
    </w:div>
    <w:div w:id="640963101">
      <w:bodyDiv w:val="1"/>
      <w:marLeft w:val="0"/>
      <w:marRight w:val="0"/>
      <w:marTop w:val="0"/>
      <w:marBottom w:val="0"/>
      <w:divBdr>
        <w:top w:val="none" w:sz="0" w:space="0" w:color="auto"/>
        <w:left w:val="none" w:sz="0" w:space="0" w:color="auto"/>
        <w:bottom w:val="none" w:sz="0" w:space="0" w:color="auto"/>
        <w:right w:val="none" w:sz="0" w:space="0" w:color="auto"/>
      </w:divBdr>
      <w:divsChild>
        <w:div w:id="1315835736">
          <w:marLeft w:val="0"/>
          <w:marRight w:val="0"/>
          <w:marTop w:val="0"/>
          <w:marBottom w:val="0"/>
          <w:divBdr>
            <w:top w:val="none" w:sz="0" w:space="0" w:color="auto"/>
            <w:left w:val="none" w:sz="0" w:space="0" w:color="auto"/>
            <w:bottom w:val="none" w:sz="0" w:space="0" w:color="auto"/>
            <w:right w:val="none" w:sz="0" w:space="0" w:color="auto"/>
          </w:divBdr>
          <w:divsChild>
            <w:div w:id="189688374">
              <w:marLeft w:val="0"/>
              <w:marRight w:val="0"/>
              <w:marTop w:val="0"/>
              <w:marBottom w:val="0"/>
              <w:divBdr>
                <w:top w:val="none" w:sz="0" w:space="0" w:color="auto"/>
                <w:left w:val="none" w:sz="0" w:space="0" w:color="auto"/>
                <w:bottom w:val="none" w:sz="0" w:space="0" w:color="auto"/>
                <w:right w:val="none" w:sz="0" w:space="0" w:color="auto"/>
              </w:divBdr>
              <w:divsChild>
                <w:div w:id="1551305252">
                  <w:marLeft w:val="0"/>
                  <w:marRight w:val="0"/>
                  <w:marTop w:val="0"/>
                  <w:marBottom w:val="0"/>
                  <w:divBdr>
                    <w:top w:val="none" w:sz="0" w:space="0" w:color="auto"/>
                    <w:left w:val="none" w:sz="0" w:space="0" w:color="auto"/>
                    <w:bottom w:val="none" w:sz="0" w:space="0" w:color="auto"/>
                    <w:right w:val="none" w:sz="0" w:space="0" w:color="auto"/>
                  </w:divBdr>
                  <w:divsChild>
                    <w:div w:id="173586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411002">
      <w:bodyDiv w:val="1"/>
      <w:marLeft w:val="0"/>
      <w:marRight w:val="0"/>
      <w:marTop w:val="0"/>
      <w:marBottom w:val="0"/>
      <w:divBdr>
        <w:top w:val="none" w:sz="0" w:space="0" w:color="auto"/>
        <w:left w:val="none" w:sz="0" w:space="0" w:color="auto"/>
        <w:bottom w:val="none" w:sz="0" w:space="0" w:color="auto"/>
        <w:right w:val="none" w:sz="0" w:space="0" w:color="auto"/>
      </w:divBdr>
    </w:div>
    <w:div w:id="658507832">
      <w:bodyDiv w:val="1"/>
      <w:marLeft w:val="0"/>
      <w:marRight w:val="0"/>
      <w:marTop w:val="0"/>
      <w:marBottom w:val="0"/>
      <w:divBdr>
        <w:top w:val="none" w:sz="0" w:space="0" w:color="auto"/>
        <w:left w:val="none" w:sz="0" w:space="0" w:color="auto"/>
        <w:bottom w:val="none" w:sz="0" w:space="0" w:color="auto"/>
        <w:right w:val="none" w:sz="0" w:space="0" w:color="auto"/>
      </w:divBdr>
    </w:div>
    <w:div w:id="662703453">
      <w:bodyDiv w:val="1"/>
      <w:marLeft w:val="0"/>
      <w:marRight w:val="0"/>
      <w:marTop w:val="0"/>
      <w:marBottom w:val="0"/>
      <w:divBdr>
        <w:top w:val="none" w:sz="0" w:space="0" w:color="auto"/>
        <w:left w:val="none" w:sz="0" w:space="0" w:color="auto"/>
        <w:bottom w:val="none" w:sz="0" w:space="0" w:color="auto"/>
        <w:right w:val="none" w:sz="0" w:space="0" w:color="auto"/>
      </w:divBdr>
    </w:div>
    <w:div w:id="664480286">
      <w:bodyDiv w:val="1"/>
      <w:marLeft w:val="0"/>
      <w:marRight w:val="0"/>
      <w:marTop w:val="0"/>
      <w:marBottom w:val="0"/>
      <w:divBdr>
        <w:top w:val="none" w:sz="0" w:space="0" w:color="auto"/>
        <w:left w:val="none" w:sz="0" w:space="0" w:color="auto"/>
        <w:bottom w:val="none" w:sz="0" w:space="0" w:color="auto"/>
        <w:right w:val="none" w:sz="0" w:space="0" w:color="auto"/>
      </w:divBdr>
    </w:div>
    <w:div w:id="675885383">
      <w:bodyDiv w:val="1"/>
      <w:marLeft w:val="0"/>
      <w:marRight w:val="0"/>
      <w:marTop w:val="0"/>
      <w:marBottom w:val="0"/>
      <w:divBdr>
        <w:top w:val="none" w:sz="0" w:space="0" w:color="auto"/>
        <w:left w:val="none" w:sz="0" w:space="0" w:color="auto"/>
        <w:bottom w:val="none" w:sz="0" w:space="0" w:color="auto"/>
        <w:right w:val="none" w:sz="0" w:space="0" w:color="auto"/>
      </w:divBdr>
    </w:div>
    <w:div w:id="683672533">
      <w:bodyDiv w:val="1"/>
      <w:marLeft w:val="0"/>
      <w:marRight w:val="0"/>
      <w:marTop w:val="0"/>
      <w:marBottom w:val="0"/>
      <w:divBdr>
        <w:top w:val="none" w:sz="0" w:space="0" w:color="auto"/>
        <w:left w:val="none" w:sz="0" w:space="0" w:color="auto"/>
        <w:bottom w:val="none" w:sz="0" w:space="0" w:color="auto"/>
        <w:right w:val="none" w:sz="0" w:space="0" w:color="auto"/>
      </w:divBdr>
    </w:div>
    <w:div w:id="685133820">
      <w:bodyDiv w:val="1"/>
      <w:marLeft w:val="0"/>
      <w:marRight w:val="0"/>
      <w:marTop w:val="0"/>
      <w:marBottom w:val="0"/>
      <w:divBdr>
        <w:top w:val="none" w:sz="0" w:space="0" w:color="auto"/>
        <w:left w:val="none" w:sz="0" w:space="0" w:color="auto"/>
        <w:bottom w:val="none" w:sz="0" w:space="0" w:color="auto"/>
        <w:right w:val="none" w:sz="0" w:space="0" w:color="auto"/>
      </w:divBdr>
    </w:div>
    <w:div w:id="688604604">
      <w:bodyDiv w:val="1"/>
      <w:marLeft w:val="0"/>
      <w:marRight w:val="0"/>
      <w:marTop w:val="0"/>
      <w:marBottom w:val="0"/>
      <w:divBdr>
        <w:top w:val="none" w:sz="0" w:space="0" w:color="auto"/>
        <w:left w:val="none" w:sz="0" w:space="0" w:color="auto"/>
        <w:bottom w:val="none" w:sz="0" w:space="0" w:color="auto"/>
        <w:right w:val="none" w:sz="0" w:space="0" w:color="auto"/>
      </w:divBdr>
    </w:div>
    <w:div w:id="689066301">
      <w:bodyDiv w:val="1"/>
      <w:marLeft w:val="0"/>
      <w:marRight w:val="0"/>
      <w:marTop w:val="0"/>
      <w:marBottom w:val="0"/>
      <w:divBdr>
        <w:top w:val="none" w:sz="0" w:space="0" w:color="auto"/>
        <w:left w:val="none" w:sz="0" w:space="0" w:color="auto"/>
        <w:bottom w:val="none" w:sz="0" w:space="0" w:color="auto"/>
        <w:right w:val="none" w:sz="0" w:space="0" w:color="auto"/>
      </w:divBdr>
      <w:divsChild>
        <w:div w:id="715666156">
          <w:marLeft w:val="0"/>
          <w:marRight w:val="0"/>
          <w:marTop w:val="0"/>
          <w:marBottom w:val="0"/>
          <w:divBdr>
            <w:top w:val="none" w:sz="0" w:space="0" w:color="auto"/>
            <w:left w:val="none" w:sz="0" w:space="0" w:color="auto"/>
            <w:bottom w:val="none" w:sz="0" w:space="0" w:color="auto"/>
            <w:right w:val="none" w:sz="0" w:space="0" w:color="auto"/>
          </w:divBdr>
          <w:divsChild>
            <w:div w:id="1284966992">
              <w:marLeft w:val="0"/>
              <w:marRight w:val="0"/>
              <w:marTop w:val="0"/>
              <w:marBottom w:val="0"/>
              <w:divBdr>
                <w:top w:val="none" w:sz="0" w:space="0" w:color="auto"/>
                <w:left w:val="none" w:sz="0" w:space="0" w:color="auto"/>
                <w:bottom w:val="none" w:sz="0" w:space="0" w:color="auto"/>
                <w:right w:val="none" w:sz="0" w:space="0" w:color="auto"/>
              </w:divBdr>
              <w:divsChild>
                <w:div w:id="347683039">
                  <w:marLeft w:val="0"/>
                  <w:marRight w:val="0"/>
                  <w:marTop w:val="0"/>
                  <w:marBottom w:val="0"/>
                  <w:divBdr>
                    <w:top w:val="none" w:sz="0" w:space="0" w:color="auto"/>
                    <w:left w:val="none" w:sz="0" w:space="0" w:color="auto"/>
                    <w:bottom w:val="none" w:sz="0" w:space="0" w:color="auto"/>
                    <w:right w:val="none" w:sz="0" w:space="0" w:color="auto"/>
                  </w:divBdr>
                  <w:divsChild>
                    <w:div w:id="1672487001">
                      <w:marLeft w:val="0"/>
                      <w:marRight w:val="0"/>
                      <w:marTop w:val="0"/>
                      <w:marBottom w:val="0"/>
                      <w:divBdr>
                        <w:top w:val="none" w:sz="0" w:space="0" w:color="auto"/>
                        <w:left w:val="none" w:sz="0" w:space="0" w:color="auto"/>
                        <w:bottom w:val="none" w:sz="0" w:space="0" w:color="auto"/>
                        <w:right w:val="none" w:sz="0" w:space="0" w:color="auto"/>
                      </w:divBdr>
                      <w:divsChild>
                        <w:div w:id="1631596927">
                          <w:marLeft w:val="0"/>
                          <w:marRight w:val="0"/>
                          <w:marTop w:val="0"/>
                          <w:marBottom w:val="0"/>
                          <w:divBdr>
                            <w:top w:val="none" w:sz="0" w:space="0" w:color="auto"/>
                            <w:left w:val="none" w:sz="0" w:space="0" w:color="auto"/>
                            <w:bottom w:val="none" w:sz="0" w:space="0" w:color="auto"/>
                            <w:right w:val="none" w:sz="0" w:space="0" w:color="auto"/>
                          </w:divBdr>
                          <w:divsChild>
                            <w:div w:id="787354728">
                              <w:marLeft w:val="0"/>
                              <w:marRight w:val="0"/>
                              <w:marTop w:val="0"/>
                              <w:marBottom w:val="0"/>
                              <w:divBdr>
                                <w:top w:val="none" w:sz="0" w:space="0" w:color="auto"/>
                                <w:left w:val="none" w:sz="0" w:space="0" w:color="auto"/>
                                <w:bottom w:val="none" w:sz="0" w:space="0" w:color="auto"/>
                                <w:right w:val="none" w:sz="0" w:space="0" w:color="auto"/>
                              </w:divBdr>
                              <w:divsChild>
                                <w:div w:id="47842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0516863">
      <w:bodyDiv w:val="1"/>
      <w:marLeft w:val="0"/>
      <w:marRight w:val="0"/>
      <w:marTop w:val="0"/>
      <w:marBottom w:val="0"/>
      <w:divBdr>
        <w:top w:val="none" w:sz="0" w:space="0" w:color="auto"/>
        <w:left w:val="none" w:sz="0" w:space="0" w:color="auto"/>
        <w:bottom w:val="none" w:sz="0" w:space="0" w:color="auto"/>
        <w:right w:val="none" w:sz="0" w:space="0" w:color="auto"/>
      </w:divBdr>
    </w:div>
    <w:div w:id="705368227">
      <w:bodyDiv w:val="1"/>
      <w:marLeft w:val="0"/>
      <w:marRight w:val="0"/>
      <w:marTop w:val="0"/>
      <w:marBottom w:val="0"/>
      <w:divBdr>
        <w:top w:val="none" w:sz="0" w:space="0" w:color="auto"/>
        <w:left w:val="none" w:sz="0" w:space="0" w:color="auto"/>
        <w:bottom w:val="none" w:sz="0" w:space="0" w:color="auto"/>
        <w:right w:val="none" w:sz="0" w:space="0" w:color="auto"/>
      </w:divBdr>
    </w:div>
    <w:div w:id="716929282">
      <w:bodyDiv w:val="1"/>
      <w:marLeft w:val="0"/>
      <w:marRight w:val="0"/>
      <w:marTop w:val="0"/>
      <w:marBottom w:val="0"/>
      <w:divBdr>
        <w:top w:val="none" w:sz="0" w:space="0" w:color="auto"/>
        <w:left w:val="none" w:sz="0" w:space="0" w:color="auto"/>
        <w:bottom w:val="none" w:sz="0" w:space="0" w:color="auto"/>
        <w:right w:val="none" w:sz="0" w:space="0" w:color="auto"/>
      </w:divBdr>
    </w:div>
    <w:div w:id="724715325">
      <w:bodyDiv w:val="1"/>
      <w:marLeft w:val="0"/>
      <w:marRight w:val="0"/>
      <w:marTop w:val="0"/>
      <w:marBottom w:val="0"/>
      <w:divBdr>
        <w:top w:val="none" w:sz="0" w:space="0" w:color="auto"/>
        <w:left w:val="none" w:sz="0" w:space="0" w:color="auto"/>
        <w:bottom w:val="none" w:sz="0" w:space="0" w:color="auto"/>
        <w:right w:val="none" w:sz="0" w:space="0" w:color="auto"/>
      </w:divBdr>
    </w:div>
    <w:div w:id="732507344">
      <w:bodyDiv w:val="1"/>
      <w:marLeft w:val="0"/>
      <w:marRight w:val="0"/>
      <w:marTop w:val="0"/>
      <w:marBottom w:val="0"/>
      <w:divBdr>
        <w:top w:val="none" w:sz="0" w:space="0" w:color="auto"/>
        <w:left w:val="none" w:sz="0" w:space="0" w:color="auto"/>
        <w:bottom w:val="none" w:sz="0" w:space="0" w:color="auto"/>
        <w:right w:val="none" w:sz="0" w:space="0" w:color="auto"/>
      </w:divBdr>
    </w:div>
    <w:div w:id="736125926">
      <w:bodyDiv w:val="1"/>
      <w:marLeft w:val="0"/>
      <w:marRight w:val="0"/>
      <w:marTop w:val="0"/>
      <w:marBottom w:val="0"/>
      <w:divBdr>
        <w:top w:val="none" w:sz="0" w:space="0" w:color="auto"/>
        <w:left w:val="none" w:sz="0" w:space="0" w:color="auto"/>
        <w:bottom w:val="none" w:sz="0" w:space="0" w:color="auto"/>
        <w:right w:val="none" w:sz="0" w:space="0" w:color="auto"/>
      </w:divBdr>
    </w:div>
    <w:div w:id="747578715">
      <w:bodyDiv w:val="1"/>
      <w:marLeft w:val="0"/>
      <w:marRight w:val="0"/>
      <w:marTop w:val="0"/>
      <w:marBottom w:val="0"/>
      <w:divBdr>
        <w:top w:val="none" w:sz="0" w:space="0" w:color="auto"/>
        <w:left w:val="none" w:sz="0" w:space="0" w:color="auto"/>
        <w:bottom w:val="none" w:sz="0" w:space="0" w:color="auto"/>
        <w:right w:val="none" w:sz="0" w:space="0" w:color="auto"/>
      </w:divBdr>
    </w:div>
    <w:div w:id="757094274">
      <w:bodyDiv w:val="1"/>
      <w:marLeft w:val="0"/>
      <w:marRight w:val="0"/>
      <w:marTop w:val="0"/>
      <w:marBottom w:val="0"/>
      <w:divBdr>
        <w:top w:val="none" w:sz="0" w:space="0" w:color="auto"/>
        <w:left w:val="none" w:sz="0" w:space="0" w:color="auto"/>
        <w:bottom w:val="none" w:sz="0" w:space="0" w:color="auto"/>
        <w:right w:val="none" w:sz="0" w:space="0" w:color="auto"/>
      </w:divBdr>
    </w:div>
    <w:div w:id="791363869">
      <w:bodyDiv w:val="1"/>
      <w:marLeft w:val="0"/>
      <w:marRight w:val="0"/>
      <w:marTop w:val="0"/>
      <w:marBottom w:val="0"/>
      <w:divBdr>
        <w:top w:val="none" w:sz="0" w:space="0" w:color="auto"/>
        <w:left w:val="none" w:sz="0" w:space="0" w:color="auto"/>
        <w:bottom w:val="none" w:sz="0" w:space="0" w:color="auto"/>
        <w:right w:val="none" w:sz="0" w:space="0" w:color="auto"/>
      </w:divBdr>
    </w:div>
    <w:div w:id="795492877">
      <w:bodyDiv w:val="1"/>
      <w:marLeft w:val="0"/>
      <w:marRight w:val="0"/>
      <w:marTop w:val="0"/>
      <w:marBottom w:val="0"/>
      <w:divBdr>
        <w:top w:val="none" w:sz="0" w:space="0" w:color="auto"/>
        <w:left w:val="none" w:sz="0" w:space="0" w:color="auto"/>
        <w:bottom w:val="none" w:sz="0" w:space="0" w:color="auto"/>
        <w:right w:val="none" w:sz="0" w:space="0" w:color="auto"/>
      </w:divBdr>
    </w:div>
    <w:div w:id="796339703">
      <w:bodyDiv w:val="1"/>
      <w:marLeft w:val="0"/>
      <w:marRight w:val="0"/>
      <w:marTop w:val="0"/>
      <w:marBottom w:val="0"/>
      <w:divBdr>
        <w:top w:val="none" w:sz="0" w:space="0" w:color="auto"/>
        <w:left w:val="none" w:sz="0" w:space="0" w:color="auto"/>
        <w:bottom w:val="none" w:sz="0" w:space="0" w:color="auto"/>
        <w:right w:val="none" w:sz="0" w:space="0" w:color="auto"/>
      </w:divBdr>
    </w:div>
    <w:div w:id="797335916">
      <w:bodyDiv w:val="1"/>
      <w:marLeft w:val="0"/>
      <w:marRight w:val="0"/>
      <w:marTop w:val="0"/>
      <w:marBottom w:val="0"/>
      <w:divBdr>
        <w:top w:val="none" w:sz="0" w:space="0" w:color="auto"/>
        <w:left w:val="none" w:sz="0" w:space="0" w:color="auto"/>
        <w:bottom w:val="none" w:sz="0" w:space="0" w:color="auto"/>
        <w:right w:val="none" w:sz="0" w:space="0" w:color="auto"/>
      </w:divBdr>
    </w:div>
    <w:div w:id="815031680">
      <w:bodyDiv w:val="1"/>
      <w:marLeft w:val="0"/>
      <w:marRight w:val="0"/>
      <w:marTop w:val="0"/>
      <w:marBottom w:val="0"/>
      <w:divBdr>
        <w:top w:val="none" w:sz="0" w:space="0" w:color="auto"/>
        <w:left w:val="none" w:sz="0" w:space="0" w:color="auto"/>
        <w:bottom w:val="none" w:sz="0" w:space="0" w:color="auto"/>
        <w:right w:val="none" w:sz="0" w:space="0" w:color="auto"/>
      </w:divBdr>
    </w:div>
    <w:div w:id="817454874">
      <w:bodyDiv w:val="1"/>
      <w:marLeft w:val="0"/>
      <w:marRight w:val="0"/>
      <w:marTop w:val="0"/>
      <w:marBottom w:val="0"/>
      <w:divBdr>
        <w:top w:val="none" w:sz="0" w:space="0" w:color="auto"/>
        <w:left w:val="none" w:sz="0" w:space="0" w:color="auto"/>
        <w:bottom w:val="none" w:sz="0" w:space="0" w:color="auto"/>
        <w:right w:val="none" w:sz="0" w:space="0" w:color="auto"/>
      </w:divBdr>
    </w:div>
    <w:div w:id="824129547">
      <w:bodyDiv w:val="1"/>
      <w:marLeft w:val="0"/>
      <w:marRight w:val="0"/>
      <w:marTop w:val="0"/>
      <w:marBottom w:val="0"/>
      <w:divBdr>
        <w:top w:val="none" w:sz="0" w:space="0" w:color="auto"/>
        <w:left w:val="none" w:sz="0" w:space="0" w:color="auto"/>
        <w:bottom w:val="none" w:sz="0" w:space="0" w:color="auto"/>
        <w:right w:val="none" w:sz="0" w:space="0" w:color="auto"/>
      </w:divBdr>
      <w:divsChild>
        <w:div w:id="1248735120">
          <w:marLeft w:val="0"/>
          <w:marRight w:val="0"/>
          <w:marTop w:val="0"/>
          <w:marBottom w:val="0"/>
          <w:divBdr>
            <w:top w:val="none" w:sz="0" w:space="0" w:color="auto"/>
            <w:left w:val="none" w:sz="0" w:space="0" w:color="auto"/>
            <w:bottom w:val="none" w:sz="0" w:space="0" w:color="auto"/>
            <w:right w:val="none" w:sz="0" w:space="0" w:color="auto"/>
          </w:divBdr>
          <w:divsChild>
            <w:div w:id="307785404">
              <w:marLeft w:val="0"/>
              <w:marRight w:val="0"/>
              <w:marTop w:val="0"/>
              <w:marBottom w:val="0"/>
              <w:divBdr>
                <w:top w:val="none" w:sz="0" w:space="0" w:color="auto"/>
                <w:left w:val="none" w:sz="0" w:space="0" w:color="auto"/>
                <w:bottom w:val="none" w:sz="0" w:space="0" w:color="auto"/>
                <w:right w:val="none" w:sz="0" w:space="0" w:color="auto"/>
              </w:divBdr>
              <w:divsChild>
                <w:div w:id="719280615">
                  <w:marLeft w:val="0"/>
                  <w:marRight w:val="0"/>
                  <w:marTop w:val="0"/>
                  <w:marBottom w:val="0"/>
                  <w:divBdr>
                    <w:top w:val="none" w:sz="0" w:space="0" w:color="auto"/>
                    <w:left w:val="none" w:sz="0" w:space="0" w:color="auto"/>
                    <w:bottom w:val="none" w:sz="0" w:space="0" w:color="auto"/>
                    <w:right w:val="none" w:sz="0" w:space="0" w:color="auto"/>
                  </w:divBdr>
                  <w:divsChild>
                    <w:div w:id="138020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309635">
      <w:bodyDiv w:val="1"/>
      <w:marLeft w:val="0"/>
      <w:marRight w:val="0"/>
      <w:marTop w:val="0"/>
      <w:marBottom w:val="0"/>
      <w:divBdr>
        <w:top w:val="none" w:sz="0" w:space="0" w:color="auto"/>
        <w:left w:val="none" w:sz="0" w:space="0" w:color="auto"/>
        <w:bottom w:val="none" w:sz="0" w:space="0" w:color="auto"/>
        <w:right w:val="none" w:sz="0" w:space="0" w:color="auto"/>
      </w:divBdr>
    </w:div>
    <w:div w:id="840319599">
      <w:bodyDiv w:val="1"/>
      <w:marLeft w:val="0"/>
      <w:marRight w:val="0"/>
      <w:marTop w:val="0"/>
      <w:marBottom w:val="0"/>
      <w:divBdr>
        <w:top w:val="none" w:sz="0" w:space="0" w:color="auto"/>
        <w:left w:val="none" w:sz="0" w:space="0" w:color="auto"/>
        <w:bottom w:val="none" w:sz="0" w:space="0" w:color="auto"/>
        <w:right w:val="none" w:sz="0" w:space="0" w:color="auto"/>
      </w:divBdr>
      <w:divsChild>
        <w:div w:id="795834745">
          <w:marLeft w:val="0"/>
          <w:marRight w:val="0"/>
          <w:marTop w:val="0"/>
          <w:marBottom w:val="0"/>
          <w:divBdr>
            <w:top w:val="none" w:sz="0" w:space="0" w:color="auto"/>
            <w:left w:val="none" w:sz="0" w:space="0" w:color="auto"/>
            <w:bottom w:val="none" w:sz="0" w:space="0" w:color="auto"/>
            <w:right w:val="none" w:sz="0" w:space="0" w:color="auto"/>
          </w:divBdr>
          <w:divsChild>
            <w:div w:id="501238210">
              <w:marLeft w:val="0"/>
              <w:marRight w:val="0"/>
              <w:marTop w:val="0"/>
              <w:marBottom w:val="0"/>
              <w:divBdr>
                <w:top w:val="none" w:sz="0" w:space="0" w:color="auto"/>
                <w:left w:val="none" w:sz="0" w:space="0" w:color="auto"/>
                <w:bottom w:val="none" w:sz="0" w:space="0" w:color="auto"/>
                <w:right w:val="none" w:sz="0" w:space="0" w:color="auto"/>
              </w:divBdr>
              <w:divsChild>
                <w:div w:id="1582838475">
                  <w:marLeft w:val="0"/>
                  <w:marRight w:val="0"/>
                  <w:marTop w:val="0"/>
                  <w:marBottom w:val="0"/>
                  <w:divBdr>
                    <w:top w:val="none" w:sz="0" w:space="0" w:color="auto"/>
                    <w:left w:val="none" w:sz="0" w:space="0" w:color="auto"/>
                    <w:bottom w:val="none" w:sz="0" w:space="0" w:color="auto"/>
                    <w:right w:val="none" w:sz="0" w:space="0" w:color="auto"/>
                  </w:divBdr>
                  <w:divsChild>
                    <w:div w:id="1406536340">
                      <w:marLeft w:val="0"/>
                      <w:marRight w:val="0"/>
                      <w:marTop w:val="0"/>
                      <w:marBottom w:val="0"/>
                      <w:divBdr>
                        <w:top w:val="none" w:sz="0" w:space="0" w:color="auto"/>
                        <w:left w:val="none" w:sz="0" w:space="0" w:color="auto"/>
                        <w:bottom w:val="none" w:sz="0" w:space="0" w:color="auto"/>
                        <w:right w:val="none" w:sz="0" w:space="0" w:color="auto"/>
                      </w:divBdr>
                      <w:divsChild>
                        <w:div w:id="1081292823">
                          <w:marLeft w:val="0"/>
                          <w:marRight w:val="0"/>
                          <w:marTop w:val="0"/>
                          <w:marBottom w:val="0"/>
                          <w:divBdr>
                            <w:top w:val="none" w:sz="0" w:space="0" w:color="auto"/>
                            <w:left w:val="none" w:sz="0" w:space="0" w:color="auto"/>
                            <w:bottom w:val="none" w:sz="0" w:space="0" w:color="auto"/>
                            <w:right w:val="none" w:sz="0" w:space="0" w:color="auto"/>
                          </w:divBdr>
                          <w:divsChild>
                            <w:div w:id="1913004423">
                              <w:marLeft w:val="0"/>
                              <w:marRight w:val="0"/>
                              <w:marTop w:val="0"/>
                              <w:marBottom w:val="0"/>
                              <w:divBdr>
                                <w:top w:val="none" w:sz="0" w:space="0" w:color="auto"/>
                                <w:left w:val="none" w:sz="0" w:space="0" w:color="auto"/>
                                <w:bottom w:val="none" w:sz="0" w:space="0" w:color="auto"/>
                                <w:right w:val="none" w:sz="0" w:space="0" w:color="auto"/>
                              </w:divBdr>
                              <w:divsChild>
                                <w:div w:id="14677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545451">
      <w:bodyDiv w:val="1"/>
      <w:marLeft w:val="0"/>
      <w:marRight w:val="0"/>
      <w:marTop w:val="0"/>
      <w:marBottom w:val="0"/>
      <w:divBdr>
        <w:top w:val="none" w:sz="0" w:space="0" w:color="auto"/>
        <w:left w:val="none" w:sz="0" w:space="0" w:color="auto"/>
        <w:bottom w:val="none" w:sz="0" w:space="0" w:color="auto"/>
        <w:right w:val="none" w:sz="0" w:space="0" w:color="auto"/>
      </w:divBdr>
    </w:div>
    <w:div w:id="872040995">
      <w:bodyDiv w:val="1"/>
      <w:marLeft w:val="0"/>
      <w:marRight w:val="0"/>
      <w:marTop w:val="0"/>
      <w:marBottom w:val="0"/>
      <w:divBdr>
        <w:top w:val="none" w:sz="0" w:space="0" w:color="auto"/>
        <w:left w:val="none" w:sz="0" w:space="0" w:color="auto"/>
        <w:bottom w:val="none" w:sz="0" w:space="0" w:color="auto"/>
        <w:right w:val="none" w:sz="0" w:space="0" w:color="auto"/>
      </w:divBdr>
    </w:div>
    <w:div w:id="883716198">
      <w:bodyDiv w:val="1"/>
      <w:marLeft w:val="0"/>
      <w:marRight w:val="0"/>
      <w:marTop w:val="0"/>
      <w:marBottom w:val="0"/>
      <w:divBdr>
        <w:top w:val="none" w:sz="0" w:space="0" w:color="auto"/>
        <w:left w:val="none" w:sz="0" w:space="0" w:color="auto"/>
        <w:bottom w:val="none" w:sz="0" w:space="0" w:color="auto"/>
        <w:right w:val="none" w:sz="0" w:space="0" w:color="auto"/>
      </w:divBdr>
    </w:div>
    <w:div w:id="905609052">
      <w:bodyDiv w:val="1"/>
      <w:marLeft w:val="0"/>
      <w:marRight w:val="0"/>
      <w:marTop w:val="0"/>
      <w:marBottom w:val="0"/>
      <w:divBdr>
        <w:top w:val="none" w:sz="0" w:space="0" w:color="auto"/>
        <w:left w:val="none" w:sz="0" w:space="0" w:color="auto"/>
        <w:bottom w:val="none" w:sz="0" w:space="0" w:color="auto"/>
        <w:right w:val="none" w:sz="0" w:space="0" w:color="auto"/>
      </w:divBdr>
    </w:div>
    <w:div w:id="906106775">
      <w:bodyDiv w:val="1"/>
      <w:marLeft w:val="0"/>
      <w:marRight w:val="0"/>
      <w:marTop w:val="0"/>
      <w:marBottom w:val="0"/>
      <w:divBdr>
        <w:top w:val="none" w:sz="0" w:space="0" w:color="auto"/>
        <w:left w:val="none" w:sz="0" w:space="0" w:color="auto"/>
        <w:bottom w:val="none" w:sz="0" w:space="0" w:color="auto"/>
        <w:right w:val="none" w:sz="0" w:space="0" w:color="auto"/>
      </w:divBdr>
    </w:div>
    <w:div w:id="925192935">
      <w:bodyDiv w:val="1"/>
      <w:marLeft w:val="0"/>
      <w:marRight w:val="0"/>
      <w:marTop w:val="0"/>
      <w:marBottom w:val="0"/>
      <w:divBdr>
        <w:top w:val="none" w:sz="0" w:space="0" w:color="auto"/>
        <w:left w:val="none" w:sz="0" w:space="0" w:color="auto"/>
        <w:bottom w:val="none" w:sz="0" w:space="0" w:color="auto"/>
        <w:right w:val="none" w:sz="0" w:space="0" w:color="auto"/>
      </w:divBdr>
    </w:div>
    <w:div w:id="947544466">
      <w:bodyDiv w:val="1"/>
      <w:marLeft w:val="0"/>
      <w:marRight w:val="0"/>
      <w:marTop w:val="0"/>
      <w:marBottom w:val="0"/>
      <w:divBdr>
        <w:top w:val="none" w:sz="0" w:space="0" w:color="auto"/>
        <w:left w:val="none" w:sz="0" w:space="0" w:color="auto"/>
        <w:bottom w:val="none" w:sz="0" w:space="0" w:color="auto"/>
        <w:right w:val="none" w:sz="0" w:space="0" w:color="auto"/>
      </w:divBdr>
    </w:div>
    <w:div w:id="974794545">
      <w:bodyDiv w:val="1"/>
      <w:marLeft w:val="0"/>
      <w:marRight w:val="0"/>
      <w:marTop w:val="0"/>
      <w:marBottom w:val="0"/>
      <w:divBdr>
        <w:top w:val="none" w:sz="0" w:space="0" w:color="auto"/>
        <w:left w:val="none" w:sz="0" w:space="0" w:color="auto"/>
        <w:bottom w:val="none" w:sz="0" w:space="0" w:color="auto"/>
        <w:right w:val="none" w:sz="0" w:space="0" w:color="auto"/>
      </w:divBdr>
    </w:div>
    <w:div w:id="991058843">
      <w:bodyDiv w:val="1"/>
      <w:marLeft w:val="0"/>
      <w:marRight w:val="0"/>
      <w:marTop w:val="0"/>
      <w:marBottom w:val="0"/>
      <w:divBdr>
        <w:top w:val="none" w:sz="0" w:space="0" w:color="auto"/>
        <w:left w:val="none" w:sz="0" w:space="0" w:color="auto"/>
        <w:bottom w:val="none" w:sz="0" w:space="0" w:color="auto"/>
        <w:right w:val="none" w:sz="0" w:space="0" w:color="auto"/>
      </w:divBdr>
    </w:div>
    <w:div w:id="995112591">
      <w:bodyDiv w:val="1"/>
      <w:marLeft w:val="0"/>
      <w:marRight w:val="0"/>
      <w:marTop w:val="0"/>
      <w:marBottom w:val="0"/>
      <w:divBdr>
        <w:top w:val="none" w:sz="0" w:space="0" w:color="auto"/>
        <w:left w:val="none" w:sz="0" w:space="0" w:color="auto"/>
        <w:bottom w:val="none" w:sz="0" w:space="0" w:color="auto"/>
        <w:right w:val="none" w:sz="0" w:space="0" w:color="auto"/>
      </w:divBdr>
    </w:div>
    <w:div w:id="998773695">
      <w:bodyDiv w:val="1"/>
      <w:marLeft w:val="0"/>
      <w:marRight w:val="0"/>
      <w:marTop w:val="0"/>
      <w:marBottom w:val="0"/>
      <w:divBdr>
        <w:top w:val="none" w:sz="0" w:space="0" w:color="auto"/>
        <w:left w:val="none" w:sz="0" w:space="0" w:color="auto"/>
        <w:bottom w:val="none" w:sz="0" w:space="0" w:color="auto"/>
        <w:right w:val="none" w:sz="0" w:space="0" w:color="auto"/>
      </w:divBdr>
    </w:div>
    <w:div w:id="1004166341">
      <w:bodyDiv w:val="1"/>
      <w:marLeft w:val="0"/>
      <w:marRight w:val="0"/>
      <w:marTop w:val="0"/>
      <w:marBottom w:val="0"/>
      <w:divBdr>
        <w:top w:val="none" w:sz="0" w:space="0" w:color="auto"/>
        <w:left w:val="none" w:sz="0" w:space="0" w:color="auto"/>
        <w:bottom w:val="none" w:sz="0" w:space="0" w:color="auto"/>
        <w:right w:val="none" w:sz="0" w:space="0" w:color="auto"/>
      </w:divBdr>
      <w:divsChild>
        <w:div w:id="1292205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6134699">
      <w:bodyDiv w:val="1"/>
      <w:marLeft w:val="0"/>
      <w:marRight w:val="0"/>
      <w:marTop w:val="0"/>
      <w:marBottom w:val="0"/>
      <w:divBdr>
        <w:top w:val="none" w:sz="0" w:space="0" w:color="auto"/>
        <w:left w:val="none" w:sz="0" w:space="0" w:color="auto"/>
        <w:bottom w:val="none" w:sz="0" w:space="0" w:color="auto"/>
        <w:right w:val="none" w:sz="0" w:space="0" w:color="auto"/>
      </w:divBdr>
      <w:divsChild>
        <w:div w:id="396125546">
          <w:marLeft w:val="0"/>
          <w:marRight w:val="0"/>
          <w:marTop w:val="0"/>
          <w:marBottom w:val="0"/>
          <w:divBdr>
            <w:top w:val="none" w:sz="0" w:space="0" w:color="auto"/>
            <w:left w:val="none" w:sz="0" w:space="0" w:color="auto"/>
            <w:bottom w:val="none" w:sz="0" w:space="0" w:color="auto"/>
            <w:right w:val="none" w:sz="0" w:space="0" w:color="auto"/>
          </w:divBdr>
          <w:divsChild>
            <w:div w:id="573008323">
              <w:marLeft w:val="0"/>
              <w:marRight w:val="0"/>
              <w:marTop w:val="0"/>
              <w:marBottom w:val="0"/>
              <w:divBdr>
                <w:top w:val="none" w:sz="0" w:space="0" w:color="auto"/>
                <w:left w:val="none" w:sz="0" w:space="0" w:color="auto"/>
                <w:bottom w:val="none" w:sz="0" w:space="0" w:color="auto"/>
                <w:right w:val="none" w:sz="0" w:space="0" w:color="auto"/>
              </w:divBdr>
              <w:divsChild>
                <w:div w:id="1618835882">
                  <w:marLeft w:val="0"/>
                  <w:marRight w:val="0"/>
                  <w:marTop w:val="0"/>
                  <w:marBottom w:val="0"/>
                  <w:divBdr>
                    <w:top w:val="none" w:sz="0" w:space="0" w:color="auto"/>
                    <w:left w:val="none" w:sz="0" w:space="0" w:color="auto"/>
                    <w:bottom w:val="none" w:sz="0" w:space="0" w:color="auto"/>
                    <w:right w:val="none" w:sz="0" w:space="0" w:color="auto"/>
                  </w:divBdr>
                  <w:divsChild>
                    <w:div w:id="79495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408185">
      <w:bodyDiv w:val="1"/>
      <w:marLeft w:val="0"/>
      <w:marRight w:val="0"/>
      <w:marTop w:val="0"/>
      <w:marBottom w:val="0"/>
      <w:divBdr>
        <w:top w:val="none" w:sz="0" w:space="0" w:color="auto"/>
        <w:left w:val="none" w:sz="0" w:space="0" w:color="auto"/>
        <w:bottom w:val="none" w:sz="0" w:space="0" w:color="auto"/>
        <w:right w:val="none" w:sz="0" w:space="0" w:color="auto"/>
      </w:divBdr>
    </w:div>
    <w:div w:id="1013410957">
      <w:bodyDiv w:val="1"/>
      <w:marLeft w:val="0"/>
      <w:marRight w:val="0"/>
      <w:marTop w:val="0"/>
      <w:marBottom w:val="0"/>
      <w:divBdr>
        <w:top w:val="none" w:sz="0" w:space="0" w:color="auto"/>
        <w:left w:val="none" w:sz="0" w:space="0" w:color="auto"/>
        <w:bottom w:val="none" w:sz="0" w:space="0" w:color="auto"/>
        <w:right w:val="none" w:sz="0" w:space="0" w:color="auto"/>
      </w:divBdr>
    </w:div>
    <w:div w:id="1026754762">
      <w:bodyDiv w:val="1"/>
      <w:marLeft w:val="0"/>
      <w:marRight w:val="0"/>
      <w:marTop w:val="0"/>
      <w:marBottom w:val="0"/>
      <w:divBdr>
        <w:top w:val="none" w:sz="0" w:space="0" w:color="auto"/>
        <w:left w:val="none" w:sz="0" w:space="0" w:color="auto"/>
        <w:bottom w:val="none" w:sz="0" w:space="0" w:color="auto"/>
        <w:right w:val="none" w:sz="0" w:space="0" w:color="auto"/>
      </w:divBdr>
    </w:div>
    <w:div w:id="1041789486">
      <w:bodyDiv w:val="1"/>
      <w:marLeft w:val="0"/>
      <w:marRight w:val="0"/>
      <w:marTop w:val="0"/>
      <w:marBottom w:val="0"/>
      <w:divBdr>
        <w:top w:val="none" w:sz="0" w:space="0" w:color="auto"/>
        <w:left w:val="none" w:sz="0" w:space="0" w:color="auto"/>
        <w:bottom w:val="none" w:sz="0" w:space="0" w:color="auto"/>
        <w:right w:val="none" w:sz="0" w:space="0" w:color="auto"/>
      </w:divBdr>
    </w:div>
    <w:div w:id="1059134825">
      <w:bodyDiv w:val="1"/>
      <w:marLeft w:val="0"/>
      <w:marRight w:val="0"/>
      <w:marTop w:val="0"/>
      <w:marBottom w:val="0"/>
      <w:divBdr>
        <w:top w:val="none" w:sz="0" w:space="0" w:color="auto"/>
        <w:left w:val="none" w:sz="0" w:space="0" w:color="auto"/>
        <w:bottom w:val="none" w:sz="0" w:space="0" w:color="auto"/>
        <w:right w:val="none" w:sz="0" w:space="0" w:color="auto"/>
      </w:divBdr>
    </w:div>
    <w:div w:id="1059355782">
      <w:bodyDiv w:val="1"/>
      <w:marLeft w:val="0"/>
      <w:marRight w:val="0"/>
      <w:marTop w:val="0"/>
      <w:marBottom w:val="0"/>
      <w:divBdr>
        <w:top w:val="none" w:sz="0" w:space="0" w:color="auto"/>
        <w:left w:val="none" w:sz="0" w:space="0" w:color="auto"/>
        <w:bottom w:val="none" w:sz="0" w:space="0" w:color="auto"/>
        <w:right w:val="none" w:sz="0" w:space="0" w:color="auto"/>
      </w:divBdr>
    </w:div>
    <w:div w:id="1069618926">
      <w:bodyDiv w:val="1"/>
      <w:marLeft w:val="0"/>
      <w:marRight w:val="0"/>
      <w:marTop w:val="0"/>
      <w:marBottom w:val="0"/>
      <w:divBdr>
        <w:top w:val="none" w:sz="0" w:space="0" w:color="auto"/>
        <w:left w:val="none" w:sz="0" w:space="0" w:color="auto"/>
        <w:bottom w:val="none" w:sz="0" w:space="0" w:color="auto"/>
        <w:right w:val="none" w:sz="0" w:space="0" w:color="auto"/>
      </w:divBdr>
    </w:div>
    <w:div w:id="1070469485">
      <w:bodyDiv w:val="1"/>
      <w:marLeft w:val="0"/>
      <w:marRight w:val="0"/>
      <w:marTop w:val="0"/>
      <w:marBottom w:val="0"/>
      <w:divBdr>
        <w:top w:val="none" w:sz="0" w:space="0" w:color="auto"/>
        <w:left w:val="none" w:sz="0" w:space="0" w:color="auto"/>
        <w:bottom w:val="none" w:sz="0" w:space="0" w:color="auto"/>
        <w:right w:val="none" w:sz="0" w:space="0" w:color="auto"/>
      </w:divBdr>
    </w:div>
    <w:div w:id="1078673592">
      <w:bodyDiv w:val="1"/>
      <w:marLeft w:val="0"/>
      <w:marRight w:val="0"/>
      <w:marTop w:val="0"/>
      <w:marBottom w:val="0"/>
      <w:divBdr>
        <w:top w:val="none" w:sz="0" w:space="0" w:color="auto"/>
        <w:left w:val="none" w:sz="0" w:space="0" w:color="auto"/>
        <w:bottom w:val="none" w:sz="0" w:space="0" w:color="auto"/>
        <w:right w:val="none" w:sz="0" w:space="0" w:color="auto"/>
      </w:divBdr>
    </w:div>
    <w:div w:id="1082797621">
      <w:bodyDiv w:val="1"/>
      <w:marLeft w:val="0"/>
      <w:marRight w:val="0"/>
      <w:marTop w:val="0"/>
      <w:marBottom w:val="0"/>
      <w:divBdr>
        <w:top w:val="none" w:sz="0" w:space="0" w:color="auto"/>
        <w:left w:val="none" w:sz="0" w:space="0" w:color="auto"/>
        <w:bottom w:val="none" w:sz="0" w:space="0" w:color="auto"/>
        <w:right w:val="none" w:sz="0" w:space="0" w:color="auto"/>
      </w:divBdr>
    </w:div>
    <w:div w:id="1096945932">
      <w:bodyDiv w:val="1"/>
      <w:marLeft w:val="0"/>
      <w:marRight w:val="0"/>
      <w:marTop w:val="0"/>
      <w:marBottom w:val="0"/>
      <w:divBdr>
        <w:top w:val="none" w:sz="0" w:space="0" w:color="auto"/>
        <w:left w:val="none" w:sz="0" w:space="0" w:color="auto"/>
        <w:bottom w:val="none" w:sz="0" w:space="0" w:color="auto"/>
        <w:right w:val="none" w:sz="0" w:space="0" w:color="auto"/>
      </w:divBdr>
    </w:div>
    <w:div w:id="1101952480">
      <w:bodyDiv w:val="1"/>
      <w:marLeft w:val="0"/>
      <w:marRight w:val="0"/>
      <w:marTop w:val="0"/>
      <w:marBottom w:val="0"/>
      <w:divBdr>
        <w:top w:val="none" w:sz="0" w:space="0" w:color="auto"/>
        <w:left w:val="none" w:sz="0" w:space="0" w:color="auto"/>
        <w:bottom w:val="none" w:sz="0" w:space="0" w:color="auto"/>
        <w:right w:val="none" w:sz="0" w:space="0" w:color="auto"/>
      </w:divBdr>
    </w:div>
    <w:div w:id="1103497098">
      <w:bodyDiv w:val="1"/>
      <w:marLeft w:val="0"/>
      <w:marRight w:val="0"/>
      <w:marTop w:val="0"/>
      <w:marBottom w:val="0"/>
      <w:divBdr>
        <w:top w:val="none" w:sz="0" w:space="0" w:color="auto"/>
        <w:left w:val="none" w:sz="0" w:space="0" w:color="auto"/>
        <w:bottom w:val="none" w:sz="0" w:space="0" w:color="auto"/>
        <w:right w:val="none" w:sz="0" w:space="0" w:color="auto"/>
      </w:divBdr>
    </w:div>
    <w:div w:id="1113863030">
      <w:bodyDiv w:val="1"/>
      <w:marLeft w:val="0"/>
      <w:marRight w:val="0"/>
      <w:marTop w:val="0"/>
      <w:marBottom w:val="0"/>
      <w:divBdr>
        <w:top w:val="none" w:sz="0" w:space="0" w:color="auto"/>
        <w:left w:val="none" w:sz="0" w:space="0" w:color="auto"/>
        <w:bottom w:val="none" w:sz="0" w:space="0" w:color="auto"/>
        <w:right w:val="none" w:sz="0" w:space="0" w:color="auto"/>
      </w:divBdr>
    </w:div>
    <w:div w:id="1117019511">
      <w:bodyDiv w:val="1"/>
      <w:marLeft w:val="0"/>
      <w:marRight w:val="0"/>
      <w:marTop w:val="0"/>
      <w:marBottom w:val="0"/>
      <w:divBdr>
        <w:top w:val="none" w:sz="0" w:space="0" w:color="auto"/>
        <w:left w:val="none" w:sz="0" w:space="0" w:color="auto"/>
        <w:bottom w:val="none" w:sz="0" w:space="0" w:color="auto"/>
        <w:right w:val="none" w:sz="0" w:space="0" w:color="auto"/>
      </w:divBdr>
    </w:div>
    <w:div w:id="1123497025">
      <w:bodyDiv w:val="1"/>
      <w:marLeft w:val="0"/>
      <w:marRight w:val="0"/>
      <w:marTop w:val="0"/>
      <w:marBottom w:val="0"/>
      <w:divBdr>
        <w:top w:val="none" w:sz="0" w:space="0" w:color="auto"/>
        <w:left w:val="none" w:sz="0" w:space="0" w:color="auto"/>
        <w:bottom w:val="none" w:sz="0" w:space="0" w:color="auto"/>
        <w:right w:val="none" w:sz="0" w:space="0" w:color="auto"/>
      </w:divBdr>
    </w:div>
    <w:div w:id="1130440520">
      <w:bodyDiv w:val="1"/>
      <w:marLeft w:val="0"/>
      <w:marRight w:val="0"/>
      <w:marTop w:val="0"/>
      <w:marBottom w:val="0"/>
      <w:divBdr>
        <w:top w:val="none" w:sz="0" w:space="0" w:color="auto"/>
        <w:left w:val="none" w:sz="0" w:space="0" w:color="auto"/>
        <w:bottom w:val="none" w:sz="0" w:space="0" w:color="auto"/>
        <w:right w:val="none" w:sz="0" w:space="0" w:color="auto"/>
      </w:divBdr>
      <w:divsChild>
        <w:div w:id="1847136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555207">
      <w:bodyDiv w:val="1"/>
      <w:marLeft w:val="0"/>
      <w:marRight w:val="0"/>
      <w:marTop w:val="0"/>
      <w:marBottom w:val="0"/>
      <w:divBdr>
        <w:top w:val="none" w:sz="0" w:space="0" w:color="auto"/>
        <w:left w:val="none" w:sz="0" w:space="0" w:color="auto"/>
        <w:bottom w:val="none" w:sz="0" w:space="0" w:color="auto"/>
        <w:right w:val="none" w:sz="0" w:space="0" w:color="auto"/>
      </w:divBdr>
      <w:divsChild>
        <w:div w:id="835531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126355">
      <w:bodyDiv w:val="1"/>
      <w:marLeft w:val="0"/>
      <w:marRight w:val="0"/>
      <w:marTop w:val="0"/>
      <w:marBottom w:val="0"/>
      <w:divBdr>
        <w:top w:val="none" w:sz="0" w:space="0" w:color="auto"/>
        <w:left w:val="none" w:sz="0" w:space="0" w:color="auto"/>
        <w:bottom w:val="none" w:sz="0" w:space="0" w:color="auto"/>
        <w:right w:val="none" w:sz="0" w:space="0" w:color="auto"/>
      </w:divBdr>
      <w:divsChild>
        <w:div w:id="6884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029205">
      <w:bodyDiv w:val="1"/>
      <w:marLeft w:val="0"/>
      <w:marRight w:val="0"/>
      <w:marTop w:val="0"/>
      <w:marBottom w:val="0"/>
      <w:divBdr>
        <w:top w:val="none" w:sz="0" w:space="0" w:color="auto"/>
        <w:left w:val="none" w:sz="0" w:space="0" w:color="auto"/>
        <w:bottom w:val="none" w:sz="0" w:space="0" w:color="auto"/>
        <w:right w:val="none" w:sz="0" w:space="0" w:color="auto"/>
      </w:divBdr>
    </w:div>
    <w:div w:id="1163156296">
      <w:bodyDiv w:val="1"/>
      <w:marLeft w:val="0"/>
      <w:marRight w:val="0"/>
      <w:marTop w:val="0"/>
      <w:marBottom w:val="0"/>
      <w:divBdr>
        <w:top w:val="none" w:sz="0" w:space="0" w:color="auto"/>
        <w:left w:val="none" w:sz="0" w:space="0" w:color="auto"/>
        <w:bottom w:val="none" w:sz="0" w:space="0" w:color="auto"/>
        <w:right w:val="none" w:sz="0" w:space="0" w:color="auto"/>
      </w:divBdr>
    </w:div>
    <w:div w:id="1169491100">
      <w:bodyDiv w:val="1"/>
      <w:marLeft w:val="0"/>
      <w:marRight w:val="0"/>
      <w:marTop w:val="0"/>
      <w:marBottom w:val="0"/>
      <w:divBdr>
        <w:top w:val="none" w:sz="0" w:space="0" w:color="auto"/>
        <w:left w:val="none" w:sz="0" w:space="0" w:color="auto"/>
        <w:bottom w:val="none" w:sz="0" w:space="0" w:color="auto"/>
        <w:right w:val="none" w:sz="0" w:space="0" w:color="auto"/>
      </w:divBdr>
    </w:div>
    <w:div w:id="1177573706">
      <w:bodyDiv w:val="1"/>
      <w:marLeft w:val="0"/>
      <w:marRight w:val="0"/>
      <w:marTop w:val="0"/>
      <w:marBottom w:val="0"/>
      <w:divBdr>
        <w:top w:val="none" w:sz="0" w:space="0" w:color="auto"/>
        <w:left w:val="none" w:sz="0" w:space="0" w:color="auto"/>
        <w:bottom w:val="none" w:sz="0" w:space="0" w:color="auto"/>
        <w:right w:val="none" w:sz="0" w:space="0" w:color="auto"/>
      </w:divBdr>
      <w:divsChild>
        <w:div w:id="654576666">
          <w:marLeft w:val="0"/>
          <w:marRight w:val="0"/>
          <w:marTop w:val="0"/>
          <w:marBottom w:val="0"/>
          <w:divBdr>
            <w:top w:val="none" w:sz="0" w:space="0" w:color="auto"/>
            <w:left w:val="none" w:sz="0" w:space="0" w:color="auto"/>
            <w:bottom w:val="none" w:sz="0" w:space="0" w:color="auto"/>
            <w:right w:val="none" w:sz="0" w:space="0" w:color="auto"/>
          </w:divBdr>
          <w:divsChild>
            <w:div w:id="869148202">
              <w:marLeft w:val="0"/>
              <w:marRight w:val="0"/>
              <w:marTop w:val="0"/>
              <w:marBottom w:val="0"/>
              <w:divBdr>
                <w:top w:val="none" w:sz="0" w:space="0" w:color="auto"/>
                <w:left w:val="none" w:sz="0" w:space="0" w:color="auto"/>
                <w:bottom w:val="none" w:sz="0" w:space="0" w:color="auto"/>
                <w:right w:val="none" w:sz="0" w:space="0" w:color="auto"/>
              </w:divBdr>
              <w:divsChild>
                <w:div w:id="1936860814">
                  <w:marLeft w:val="0"/>
                  <w:marRight w:val="0"/>
                  <w:marTop w:val="0"/>
                  <w:marBottom w:val="0"/>
                  <w:divBdr>
                    <w:top w:val="none" w:sz="0" w:space="0" w:color="auto"/>
                    <w:left w:val="none" w:sz="0" w:space="0" w:color="auto"/>
                    <w:bottom w:val="none" w:sz="0" w:space="0" w:color="auto"/>
                    <w:right w:val="none" w:sz="0" w:space="0" w:color="auto"/>
                  </w:divBdr>
                  <w:divsChild>
                    <w:div w:id="9012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087581">
      <w:bodyDiv w:val="1"/>
      <w:marLeft w:val="0"/>
      <w:marRight w:val="0"/>
      <w:marTop w:val="0"/>
      <w:marBottom w:val="0"/>
      <w:divBdr>
        <w:top w:val="none" w:sz="0" w:space="0" w:color="auto"/>
        <w:left w:val="none" w:sz="0" w:space="0" w:color="auto"/>
        <w:bottom w:val="none" w:sz="0" w:space="0" w:color="auto"/>
        <w:right w:val="none" w:sz="0" w:space="0" w:color="auto"/>
      </w:divBdr>
      <w:divsChild>
        <w:div w:id="1317537951">
          <w:marLeft w:val="0"/>
          <w:marRight w:val="0"/>
          <w:marTop w:val="15"/>
          <w:marBottom w:val="0"/>
          <w:divBdr>
            <w:top w:val="single" w:sz="48" w:space="0" w:color="auto"/>
            <w:left w:val="single" w:sz="48" w:space="0" w:color="auto"/>
            <w:bottom w:val="single" w:sz="48" w:space="0" w:color="auto"/>
            <w:right w:val="single" w:sz="48" w:space="0" w:color="auto"/>
          </w:divBdr>
          <w:divsChild>
            <w:div w:id="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81981">
      <w:bodyDiv w:val="1"/>
      <w:marLeft w:val="0"/>
      <w:marRight w:val="0"/>
      <w:marTop w:val="0"/>
      <w:marBottom w:val="0"/>
      <w:divBdr>
        <w:top w:val="none" w:sz="0" w:space="0" w:color="auto"/>
        <w:left w:val="none" w:sz="0" w:space="0" w:color="auto"/>
        <w:bottom w:val="none" w:sz="0" w:space="0" w:color="auto"/>
        <w:right w:val="none" w:sz="0" w:space="0" w:color="auto"/>
      </w:divBdr>
    </w:div>
    <w:div w:id="1189759375">
      <w:bodyDiv w:val="1"/>
      <w:marLeft w:val="0"/>
      <w:marRight w:val="0"/>
      <w:marTop w:val="0"/>
      <w:marBottom w:val="0"/>
      <w:divBdr>
        <w:top w:val="none" w:sz="0" w:space="0" w:color="auto"/>
        <w:left w:val="none" w:sz="0" w:space="0" w:color="auto"/>
        <w:bottom w:val="none" w:sz="0" w:space="0" w:color="auto"/>
        <w:right w:val="none" w:sz="0" w:space="0" w:color="auto"/>
      </w:divBdr>
    </w:div>
    <w:div w:id="1203251908">
      <w:bodyDiv w:val="1"/>
      <w:marLeft w:val="0"/>
      <w:marRight w:val="0"/>
      <w:marTop w:val="0"/>
      <w:marBottom w:val="0"/>
      <w:divBdr>
        <w:top w:val="none" w:sz="0" w:space="0" w:color="auto"/>
        <w:left w:val="none" w:sz="0" w:space="0" w:color="auto"/>
        <w:bottom w:val="none" w:sz="0" w:space="0" w:color="auto"/>
        <w:right w:val="none" w:sz="0" w:space="0" w:color="auto"/>
      </w:divBdr>
      <w:divsChild>
        <w:div w:id="1728527282">
          <w:marLeft w:val="0"/>
          <w:marRight w:val="0"/>
          <w:marTop w:val="0"/>
          <w:marBottom w:val="0"/>
          <w:divBdr>
            <w:top w:val="none" w:sz="0" w:space="0" w:color="auto"/>
            <w:left w:val="none" w:sz="0" w:space="0" w:color="auto"/>
            <w:bottom w:val="none" w:sz="0" w:space="0" w:color="auto"/>
            <w:right w:val="none" w:sz="0" w:space="0" w:color="auto"/>
          </w:divBdr>
          <w:divsChild>
            <w:div w:id="529338608">
              <w:marLeft w:val="0"/>
              <w:marRight w:val="0"/>
              <w:marTop w:val="0"/>
              <w:marBottom w:val="0"/>
              <w:divBdr>
                <w:top w:val="none" w:sz="0" w:space="0" w:color="auto"/>
                <w:left w:val="none" w:sz="0" w:space="0" w:color="auto"/>
                <w:bottom w:val="none" w:sz="0" w:space="0" w:color="auto"/>
                <w:right w:val="none" w:sz="0" w:space="0" w:color="auto"/>
              </w:divBdr>
              <w:divsChild>
                <w:div w:id="1862551491">
                  <w:marLeft w:val="0"/>
                  <w:marRight w:val="0"/>
                  <w:marTop w:val="0"/>
                  <w:marBottom w:val="0"/>
                  <w:divBdr>
                    <w:top w:val="none" w:sz="0" w:space="0" w:color="auto"/>
                    <w:left w:val="none" w:sz="0" w:space="0" w:color="auto"/>
                    <w:bottom w:val="none" w:sz="0" w:space="0" w:color="auto"/>
                    <w:right w:val="none" w:sz="0" w:space="0" w:color="auto"/>
                  </w:divBdr>
                  <w:divsChild>
                    <w:div w:id="1537814194">
                      <w:marLeft w:val="0"/>
                      <w:marRight w:val="0"/>
                      <w:marTop w:val="0"/>
                      <w:marBottom w:val="0"/>
                      <w:divBdr>
                        <w:top w:val="none" w:sz="0" w:space="0" w:color="auto"/>
                        <w:left w:val="none" w:sz="0" w:space="0" w:color="auto"/>
                        <w:bottom w:val="none" w:sz="0" w:space="0" w:color="auto"/>
                        <w:right w:val="none" w:sz="0" w:space="0" w:color="auto"/>
                      </w:divBdr>
                      <w:divsChild>
                        <w:div w:id="31157138">
                          <w:marLeft w:val="0"/>
                          <w:marRight w:val="0"/>
                          <w:marTop w:val="0"/>
                          <w:marBottom w:val="0"/>
                          <w:divBdr>
                            <w:top w:val="none" w:sz="0" w:space="0" w:color="auto"/>
                            <w:left w:val="none" w:sz="0" w:space="0" w:color="auto"/>
                            <w:bottom w:val="none" w:sz="0" w:space="0" w:color="auto"/>
                            <w:right w:val="none" w:sz="0" w:space="0" w:color="auto"/>
                          </w:divBdr>
                          <w:divsChild>
                            <w:div w:id="500700949">
                              <w:marLeft w:val="0"/>
                              <w:marRight w:val="0"/>
                              <w:marTop w:val="0"/>
                              <w:marBottom w:val="0"/>
                              <w:divBdr>
                                <w:top w:val="none" w:sz="0" w:space="0" w:color="auto"/>
                                <w:left w:val="none" w:sz="0" w:space="0" w:color="auto"/>
                                <w:bottom w:val="none" w:sz="0" w:space="0" w:color="auto"/>
                                <w:right w:val="none" w:sz="0" w:space="0" w:color="auto"/>
                              </w:divBdr>
                              <w:divsChild>
                                <w:div w:id="16940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173022">
      <w:bodyDiv w:val="1"/>
      <w:marLeft w:val="0"/>
      <w:marRight w:val="0"/>
      <w:marTop w:val="0"/>
      <w:marBottom w:val="0"/>
      <w:divBdr>
        <w:top w:val="none" w:sz="0" w:space="0" w:color="auto"/>
        <w:left w:val="none" w:sz="0" w:space="0" w:color="auto"/>
        <w:bottom w:val="none" w:sz="0" w:space="0" w:color="auto"/>
        <w:right w:val="none" w:sz="0" w:space="0" w:color="auto"/>
      </w:divBdr>
    </w:div>
    <w:div w:id="1210411167">
      <w:bodyDiv w:val="1"/>
      <w:marLeft w:val="0"/>
      <w:marRight w:val="0"/>
      <w:marTop w:val="0"/>
      <w:marBottom w:val="0"/>
      <w:divBdr>
        <w:top w:val="none" w:sz="0" w:space="0" w:color="auto"/>
        <w:left w:val="none" w:sz="0" w:space="0" w:color="auto"/>
        <w:bottom w:val="none" w:sz="0" w:space="0" w:color="auto"/>
        <w:right w:val="none" w:sz="0" w:space="0" w:color="auto"/>
      </w:divBdr>
    </w:div>
    <w:div w:id="1215580396">
      <w:bodyDiv w:val="1"/>
      <w:marLeft w:val="0"/>
      <w:marRight w:val="0"/>
      <w:marTop w:val="0"/>
      <w:marBottom w:val="0"/>
      <w:divBdr>
        <w:top w:val="none" w:sz="0" w:space="0" w:color="auto"/>
        <w:left w:val="none" w:sz="0" w:space="0" w:color="auto"/>
        <w:bottom w:val="none" w:sz="0" w:space="0" w:color="auto"/>
        <w:right w:val="none" w:sz="0" w:space="0" w:color="auto"/>
      </w:divBdr>
      <w:divsChild>
        <w:div w:id="1044597066">
          <w:marLeft w:val="0"/>
          <w:marRight w:val="0"/>
          <w:marTop w:val="0"/>
          <w:marBottom w:val="0"/>
          <w:divBdr>
            <w:top w:val="none" w:sz="0" w:space="0" w:color="auto"/>
            <w:left w:val="none" w:sz="0" w:space="0" w:color="auto"/>
            <w:bottom w:val="none" w:sz="0" w:space="0" w:color="auto"/>
            <w:right w:val="none" w:sz="0" w:space="0" w:color="auto"/>
          </w:divBdr>
          <w:divsChild>
            <w:div w:id="908535896">
              <w:marLeft w:val="0"/>
              <w:marRight w:val="0"/>
              <w:marTop w:val="0"/>
              <w:marBottom w:val="0"/>
              <w:divBdr>
                <w:top w:val="none" w:sz="0" w:space="0" w:color="auto"/>
                <w:left w:val="none" w:sz="0" w:space="0" w:color="auto"/>
                <w:bottom w:val="none" w:sz="0" w:space="0" w:color="auto"/>
                <w:right w:val="none" w:sz="0" w:space="0" w:color="auto"/>
              </w:divBdr>
              <w:divsChild>
                <w:div w:id="2049181087">
                  <w:marLeft w:val="0"/>
                  <w:marRight w:val="0"/>
                  <w:marTop w:val="0"/>
                  <w:marBottom w:val="0"/>
                  <w:divBdr>
                    <w:top w:val="none" w:sz="0" w:space="0" w:color="auto"/>
                    <w:left w:val="none" w:sz="0" w:space="0" w:color="auto"/>
                    <w:bottom w:val="none" w:sz="0" w:space="0" w:color="auto"/>
                    <w:right w:val="none" w:sz="0" w:space="0" w:color="auto"/>
                  </w:divBdr>
                  <w:divsChild>
                    <w:div w:id="194919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011299">
      <w:bodyDiv w:val="1"/>
      <w:marLeft w:val="0"/>
      <w:marRight w:val="0"/>
      <w:marTop w:val="0"/>
      <w:marBottom w:val="0"/>
      <w:divBdr>
        <w:top w:val="none" w:sz="0" w:space="0" w:color="auto"/>
        <w:left w:val="none" w:sz="0" w:space="0" w:color="auto"/>
        <w:bottom w:val="none" w:sz="0" w:space="0" w:color="auto"/>
        <w:right w:val="none" w:sz="0" w:space="0" w:color="auto"/>
      </w:divBdr>
    </w:div>
    <w:div w:id="1220048875">
      <w:bodyDiv w:val="1"/>
      <w:marLeft w:val="0"/>
      <w:marRight w:val="0"/>
      <w:marTop w:val="0"/>
      <w:marBottom w:val="0"/>
      <w:divBdr>
        <w:top w:val="none" w:sz="0" w:space="0" w:color="auto"/>
        <w:left w:val="none" w:sz="0" w:space="0" w:color="auto"/>
        <w:bottom w:val="none" w:sz="0" w:space="0" w:color="auto"/>
        <w:right w:val="none" w:sz="0" w:space="0" w:color="auto"/>
      </w:divBdr>
    </w:div>
    <w:div w:id="1225869609">
      <w:bodyDiv w:val="1"/>
      <w:marLeft w:val="0"/>
      <w:marRight w:val="0"/>
      <w:marTop w:val="0"/>
      <w:marBottom w:val="0"/>
      <w:divBdr>
        <w:top w:val="none" w:sz="0" w:space="0" w:color="auto"/>
        <w:left w:val="none" w:sz="0" w:space="0" w:color="auto"/>
        <w:bottom w:val="none" w:sz="0" w:space="0" w:color="auto"/>
        <w:right w:val="none" w:sz="0" w:space="0" w:color="auto"/>
      </w:divBdr>
    </w:div>
    <w:div w:id="1243563049">
      <w:bodyDiv w:val="1"/>
      <w:marLeft w:val="0"/>
      <w:marRight w:val="0"/>
      <w:marTop w:val="0"/>
      <w:marBottom w:val="0"/>
      <w:divBdr>
        <w:top w:val="none" w:sz="0" w:space="0" w:color="auto"/>
        <w:left w:val="none" w:sz="0" w:space="0" w:color="auto"/>
        <w:bottom w:val="none" w:sz="0" w:space="0" w:color="auto"/>
        <w:right w:val="none" w:sz="0" w:space="0" w:color="auto"/>
      </w:divBdr>
    </w:div>
    <w:div w:id="1275863913">
      <w:bodyDiv w:val="1"/>
      <w:marLeft w:val="0"/>
      <w:marRight w:val="0"/>
      <w:marTop w:val="0"/>
      <w:marBottom w:val="0"/>
      <w:divBdr>
        <w:top w:val="none" w:sz="0" w:space="0" w:color="auto"/>
        <w:left w:val="none" w:sz="0" w:space="0" w:color="auto"/>
        <w:bottom w:val="none" w:sz="0" w:space="0" w:color="auto"/>
        <w:right w:val="none" w:sz="0" w:space="0" w:color="auto"/>
      </w:divBdr>
      <w:divsChild>
        <w:div w:id="1994984124">
          <w:marLeft w:val="0"/>
          <w:marRight w:val="0"/>
          <w:marTop w:val="0"/>
          <w:marBottom w:val="0"/>
          <w:divBdr>
            <w:top w:val="none" w:sz="0" w:space="0" w:color="auto"/>
            <w:left w:val="none" w:sz="0" w:space="0" w:color="auto"/>
            <w:bottom w:val="none" w:sz="0" w:space="0" w:color="auto"/>
            <w:right w:val="none" w:sz="0" w:space="0" w:color="auto"/>
          </w:divBdr>
          <w:divsChild>
            <w:div w:id="211817293">
              <w:marLeft w:val="0"/>
              <w:marRight w:val="0"/>
              <w:marTop w:val="0"/>
              <w:marBottom w:val="0"/>
              <w:divBdr>
                <w:top w:val="none" w:sz="0" w:space="0" w:color="auto"/>
                <w:left w:val="none" w:sz="0" w:space="0" w:color="auto"/>
                <w:bottom w:val="none" w:sz="0" w:space="0" w:color="auto"/>
                <w:right w:val="none" w:sz="0" w:space="0" w:color="auto"/>
              </w:divBdr>
              <w:divsChild>
                <w:div w:id="750930366">
                  <w:marLeft w:val="0"/>
                  <w:marRight w:val="0"/>
                  <w:marTop w:val="0"/>
                  <w:marBottom w:val="0"/>
                  <w:divBdr>
                    <w:top w:val="none" w:sz="0" w:space="0" w:color="auto"/>
                    <w:left w:val="none" w:sz="0" w:space="0" w:color="auto"/>
                    <w:bottom w:val="none" w:sz="0" w:space="0" w:color="auto"/>
                    <w:right w:val="none" w:sz="0" w:space="0" w:color="auto"/>
                  </w:divBdr>
                  <w:divsChild>
                    <w:div w:id="147609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771950">
      <w:bodyDiv w:val="1"/>
      <w:marLeft w:val="0"/>
      <w:marRight w:val="0"/>
      <w:marTop w:val="0"/>
      <w:marBottom w:val="0"/>
      <w:divBdr>
        <w:top w:val="none" w:sz="0" w:space="0" w:color="auto"/>
        <w:left w:val="none" w:sz="0" w:space="0" w:color="auto"/>
        <w:bottom w:val="none" w:sz="0" w:space="0" w:color="auto"/>
        <w:right w:val="none" w:sz="0" w:space="0" w:color="auto"/>
      </w:divBdr>
    </w:div>
    <w:div w:id="1294679387">
      <w:bodyDiv w:val="1"/>
      <w:marLeft w:val="0"/>
      <w:marRight w:val="0"/>
      <w:marTop w:val="0"/>
      <w:marBottom w:val="0"/>
      <w:divBdr>
        <w:top w:val="none" w:sz="0" w:space="0" w:color="auto"/>
        <w:left w:val="none" w:sz="0" w:space="0" w:color="auto"/>
        <w:bottom w:val="none" w:sz="0" w:space="0" w:color="auto"/>
        <w:right w:val="none" w:sz="0" w:space="0" w:color="auto"/>
      </w:divBdr>
    </w:div>
    <w:div w:id="1294945902">
      <w:bodyDiv w:val="1"/>
      <w:marLeft w:val="0"/>
      <w:marRight w:val="0"/>
      <w:marTop w:val="0"/>
      <w:marBottom w:val="0"/>
      <w:divBdr>
        <w:top w:val="none" w:sz="0" w:space="0" w:color="auto"/>
        <w:left w:val="none" w:sz="0" w:space="0" w:color="auto"/>
        <w:bottom w:val="none" w:sz="0" w:space="0" w:color="auto"/>
        <w:right w:val="none" w:sz="0" w:space="0" w:color="auto"/>
      </w:divBdr>
    </w:div>
    <w:div w:id="1317144906">
      <w:bodyDiv w:val="1"/>
      <w:marLeft w:val="0"/>
      <w:marRight w:val="0"/>
      <w:marTop w:val="0"/>
      <w:marBottom w:val="0"/>
      <w:divBdr>
        <w:top w:val="none" w:sz="0" w:space="0" w:color="auto"/>
        <w:left w:val="none" w:sz="0" w:space="0" w:color="auto"/>
        <w:bottom w:val="none" w:sz="0" w:space="0" w:color="auto"/>
        <w:right w:val="none" w:sz="0" w:space="0" w:color="auto"/>
      </w:divBdr>
    </w:div>
    <w:div w:id="1321079215">
      <w:bodyDiv w:val="1"/>
      <w:marLeft w:val="0"/>
      <w:marRight w:val="0"/>
      <w:marTop w:val="0"/>
      <w:marBottom w:val="0"/>
      <w:divBdr>
        <w:top w:val="none" w:sz="0" w:space="0" w:color="auto"/>
        <w:left w:val="none" w:sz="0" w:space="0" w:color="auto"/>
        <w:bottom w:val="none" w:sz="0" w:space="0" w:color="auto"/>
        <w:right w:val="none" w:sz="0" w:space="0" w:color="auto"/>
      </w:divBdr>
      <w:divsChild>
        <w:div w:id="410739561">
          <w:marLeft w:val="0"/>
          <w:marRight w:val="0"/>
          <w:marTop w:val="0"/>
          <w:marBottom w:val="0"/>
          <w:divBdr>
            <w:top w:val="none" w:sz="0" w:space="0" w:color="auto"/>
            <w:left w:val="none" w:sz="0" w:space="0" w:color="auto"/>
            <w:bottom w:val="none" w:sz="0" w:space="0" w:color="auto"/>
            <w:right w:val="none" w:sz="0" w:space="0" w:color="auto"/>
          </w:divBdr>
          <w:divsChild>
            <w:div w:id="1611083279">
              <w:marLeft w:val="0"/>
              <w:marRight w:val="0"/>
              <w:marTop w:val="0"/>
              <w:marBottom w:val="0"/>
              <w:divBdr>
                <w:top w:val="none" w:sz="0" w:space="0" w:color="auto"/>
                <w:left w:val="none" w:sz="0" w:space="0" w:color="auto"/>
                <w:bottom w:val="none" w:sz="0" w:space="0" w:color="auto"/>
                <w:right w:val="none" w:sz="0" w:space="0" w:color="auto"/>
              </w:divBdr>
              <w:divsChild>
                <w:div w:id="29647961">
                  <w:marLeft w:val="0"/>
                  <w:marRight w:val="0"/>
                  <w:marTop w:val="0"/>
                  <w:marBottom w:val="0"/>
                  <w:divBdr>
                    <w:top w:val="none" w:sz="0" w:space="0" w:color="auto"/>
                    <w:left w:val="none" w:sz="0" w:space="0" w:color="auto"/>
                    <w:bottom w:val="none" w:sz="0" w:space="0" w:color="auto"/>
                    <w:right w:val="none" w:sz="0" w:space="0" w:color="auto"/>
                  </w:divBdr>
                  <w:divsChild>
                    <w:div w:id="208557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041302">
      <w:bodyDiv w:val="1"/>
      <w:marLeft w:val="0"/>
      <w:marRight w:val="0"/>
      <w:marTop w:val="0"/>
      <w:marBottom w:val="0"/>
      <w:divBdr>
        <w:top w:val="none" w:sz="0" w:space="0" w:color="auto"/>
        <w:left w:val="none" w:sz="0" w:space="0" w:color="auto"/>
        <w:bottom w:val="none" w:sz="0" w:space="0" w:color="auto"/>
        <w:right w:val="none" w:sz="0" w:space="0" w:color="auto"/>
      </w:divBdr>
    </w:div>
    <w:div w:id="1332829175">
      <w:bodyDiv w:val="1"/>
      <w:marLeft w:val="0"/>
      <w:marRight w:val="0"/>
      <w:marTop w:val="0"/>
      <w:marBottom w:val="0"/>
      <w:divBdr>
        <w:top w:val="none" w:sz="0" w:space="0" w:color="auto"/>
        <w:left w:val="none" w:sz="0" w:space="0" w:color="auto"/>
        <w:bottom w:val="none" w:sz="0" w:space="0" w:color="auto"/>
        <w:right w:val="none" w:sz="0" w:space="0" w:color="auto"/>
      </w:divBdr>
      <w:divsChild>
        <w:div w:id="1276718619">
          <w:marLeft w:val="0"/>
          <w:marRight w:val="0"/>
          <w:marTop w:val="0"/>
          <w:marBottom w:val="0"/>
          <w:divBdr>
            <w:top w:val="none" w:sz="0" w:space="0" w:color="auto"/>
            <w:left w:val="none" w:sz="0" w:space="0" w:color="auto"/>
            <w:bottom w:val="none" w:sz="0" w:space="0" w:color="auto"/>
            <w:right w:val="none" w:sz="0" w:space="0" w:color="auto"/>
          </w:divBdr>
          <w:divsChild>
            <w:div w:id="759837575">
              <w:marLeft w:val="0"/>
              <w:marRight w:val="0"/>
              <w:marTop w:val="0"/>
              <w:marBottom w:val="0"/>
              <w:divBdr>
                <w:top w:val="none" w:sz="0" w:space="0" w:color="auto"/>
                <w:left w:val="none" w:sz="0" w:space="0" w:color="auto"/>
                <w:bottom w:val="none" w:sz="0" w:space="0" w:color="auto"/>
                <w:right w:val="none" w:sz="0" w:space="0" w:color="auto"/>
              </w:divBdr>
              <w:divsChild>
                <w:div w:id="482164842">
                  <w:marLeft w:val="0"/>
                  <w:marRight w:val="0"/>
                  <w:marTop w:val="0"/>
                  <w:marBottom w:val="0"/>
                  <w:divBdr>
                    <w:top w:val="none" w:sz="0" w:space="0" w:color="auto"/>
                    <w:left w:val="none" w:sz="0" w:space="0" w:color="auto"/>
                    <w:bottom w:val="none" w:sz="0" w:space="0" w:color="auto"/>
                    <w:right w:val="none" w:sz="0" w:space="0" w:color="auto"/>
                  </w:divBdr>
                  <w:divsChild>
                    <w:div w:id="4857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716079">
      <w:bodyDiv w:val="1"/>
      <w:marLeft w:val="0"/>
      <w:marRight w:val="0"/>
      <w:marTop w:val="0"/>
      <w:marBottom w:val="0"/>
      <w:divBdr>
        <w:top w:val="none" w:sz="0" w:space="0" w:color="auto"/>
        <w:left w:val="none" w:sz="0" w:space="0" w:color="auto"/>
        <w:bottom w:val="none" w:sz="0" w:space="0" w:color="auto"/>
        <w:right w:val="none" w:sz="0" w:space="0" w:color="auto"/>
      </w:divBdr>
    </w:div>
    <w:div w:id="1369456335">
      <w:bodyDiv w:val="1"/>
      <w:marLeft w:val="0"/>
      <w:marRight w:val="0"/>
      <w:marTop w:val="0"/>
      <w:marBottom w:val="0"/>
      <w:divBdr>
        <w:top w:val="none" w:sz="0" w:space="0" w:color="auto"/>
        <w:left w:val="none" w:sz="0" w:space="0" w:color="auto"/>
        <w:bottom w:val="none" w:sz="0" w:space="0" w:color="auto"/>
        <w:right w:val="none" w:sz="0" w:space="0" w:color="auto"/>
      </w:divBdr>
      <w:divsChild>
        <w:div w:id="477458902">
          <w:marLeft w:val="0"/>
          <w:marRight w:val="0"/>
          <w:marTop w:val="0"/>
          <w:marBottom w:val="0"/>
          <w:divBdr>
            <w:top w:val="none" w:sz="0" w:space="0" w:color="auto"/>
            <w:left w:val="none" w:sz="0" w:space="0" w:color="auto"/>
            <w:bottom w:val="none" w:sz="0" w:space="0" w:color="auto"/>
            <w:right w:val="none" w:sz="0" w:space="0" w:color="auto"/>
          </w:divBdr>
          <w:divsChild>
            <w:div w:id="983705710">
              <w:marLeft w:val="0"/>
              <w:marRight w:val="0"/>
              <w:marTop w:val="0"/>
              <w:marBottom w:val="0"/>
              <w:divBdr>
                <w:top w:val="none" w:sz="0" w:space="0" w:color="auto"/>
                <w:left w:val="none" w:sz="0" w:space="0" w:color="auto"/>
                <w:bottom w:val="none" w:sz="0" w:space="0" w:color="auto"/>
                <w:right w:val="none" w:sz="0" w:space="0" w:color="auto"/>
              </w:divBdr>
              <w:divsChild>
                <w:div w:id="760491566">
                  <w:marLeft w:val="0"/>
                  <w:marRight w:val="0"/>
                  <w:marTop w:val="0"/>
                  <w:marBottom w:val="0"/>
                  <w:divBdr>
                    <w:top w:val="none" w:sz="0" w:space="0" w:color="auto"/>
                    <w:left w:val="none" w:sz="0" w:space="0" w:color="auto"/>
                    <w:bottom w:val="none" w:sz="0" w:space="0" w:color="auto"/>
                    <w:right w:val="none" w:sz="0" w:space="0" w:color="auto"/>
                  </w:divBdr>
                  <w:divsChild>
                    <w:div w:id="2110855965">
                      <w:marLeft w:val="0"/>
                      <w:marRight w:val="0"/>
                      <w:marTop w:val="0"/>
                      <w:marBottom w:val="0"/>
                      <w:divBdr>
                        <w:top w:val="none" w:sz="0" w:space="0" w:color="auto"/>
                        <w:left w:val="none" w:sz="0" w:space="0" w:color="auto"/>
                        <w:bottom w:val="none" w:sz="0" w:space="0" w:color="auto"/>
                        <w:right w:val="none" w:sz="0" w:space="0" w:color="auto"/>
                      </w:divBdr>
                      <w:divsChild>
                        <w:div w:id="1018969222">
                          <w:marLeft w:val="0"/>
                          <w:marRight w:val="0"/>
                          <w:marTop w:val="0"/>
                          <w:marBottom w:val="0"/>
                          <w:divBdr>
                            <w:top w:val="none" w:sz="0" w:space="0" w:color="auto"/>
                            <w:left w:val="none" w:sz="0" w:space="0" w:color="auto"/>
                            <w:bottom w:val="none" w:sz="0" w:space="0" w:color="auto"/>
                            <w:right w:val="none" w:sz="0" w:space="0" w:color="auto"/>
                          </w:divBdr>
                          <w:divsChild>
                            <w:div w:id="11618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849740">
      <w:bodyDiv w:val="1"/>
      <w:marLeft w:val="0"/>
      <w:marRight w:val="0"/>
      <w:marTop w:val="0"/>
      <w:marBottom w:val="0"/>
      <w:divBdr>
        <w:top w:val="none" w:sz="0" w:space="0" w:color="auto"/>
        <w:left w:val="none" w:sz="0" w:space="0" w:color="auto"/>
        <w:bottom w:val="none" w:sz="0" w:space="0" w:color="auto"/>
        <w:right w:val="none" w:sz="0" w:space="0" w:color="auto"/>
      </w:divBdr>
    </w:div>
    <w:div w:id="1397510428">
      <w:bodyDiv w:val="1"/>
      <w:marLeft w:val="0"/>
      <w:marRight w:val="0"/>
      <w:marTop w:val="0"/>
      <w:marBottom w:val="0"/>
      <w:divBdr>
        <w:top w:val="none" w:sz="0" w:space="0" w:color="auto"/>
        <w:left w:val="none" w:sz="0" w:space="0" w:color="auto"/>
        <w:bottom w:val="none" w:sz="0" w:space="0" w:color="auto"/>
        <w:right w:val="none" w:sz="0" w:space="0" w:color="auto"/>
      </w:divBdr>
      <w:divsChild>
        <w:div w:id="1190528266">
          <w:marLeft w:val="0"/>
          <w:marRight w:val="0"/>
          <w:marTop w:val="0"/>
          <w:marBottom w:val="0"/>
          <w:divBdr>
            <w:top w:val="none" w:sz="0" w:space="0" w:color="auto"/>
            <w:left w:val="none" w:sz="0" w:space="0" w:color="auto"/>
            <w:bottom w:val="none" w:sz="0" w:space="0" w:color="auto"/>
            <w:right w:val="none" w:sz="0" w:space="0" w:color="auto"/>
          </w:divBdr>
          <w:divsChild>
            <w:div w:id="428235280">
              <w:marLeft w:val="0"/>
              <w:marRight w:val="0"/>
              <w:marTop w:val="0"/>
              <w:marBottom w:val="0"/>
              <w:divBdr>
                <w:top w:val="none" w:sz="0" w:space="0" w:color="auto"/>
                <w:left w:val="none" w:sz="0" w:space="0" w:color="auto"/>
                <w:bottom w:val="none" w:sz="0" w:space="0" w:color="auto"/>
                <w:right w:val="none" w:sz="0" w:space="0" w:color="auto"/>
              </w:divBdr>
              <w:divsChild>
                <w:div w:id="643582505">
                  <w:marLeft w:val="0"/>
                  <w:marRight w:val="0"/>
                  <w:marTop w:val="0"/>
                  <w:marBottom w:val="0"/>
                  <w:divBdr>
                    <w:top w:val="none" w:sz="0" w:space="0" w:color="auto"/>
                    <w:left w:val="none" w:sz="0" w:space="0" w:color="auto"/>
                    <w:bottom w:val="none" w:sz="0" w:space="0" w:color="auto"/>
                    <w:right w:val="none" w:sz="0" w:space="0" w:color="auto"/>
                  </w:divBdr>
                  <w:divsChild>
                    <w:div w:id="33314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210811">
      <w:bodyDiv w:val="1"/>
      <w:marLeft w:val="0"/>
      <w:marRight w:val="0"/>
      <w:marTop w:val="0"/>
      <w:marBottom w:val="0"/>
      <w:divBdr>
        <w:top w:val="none" w:sz="0" w:space="0" w:color="auto"/>
        <w:left w:val="none" w:sz="0" w:space="0" w:color="auto"/>
        <w:bottom w:val="none" w:sz="0" w:space="0" w:color="auto"/>
        <w:right w:val="none" w:sz="0" w:space="0" w:color="auto"/>
      </w:divBdr>
    </w:div>
    <w:div w:id="1400402753">
      <w:bodyDiv w:val="1"/>
      <w:marLeft w:val="0"/>
      <w:marRight w:val="0"/>
      <w:marTop w:val="0"/>
      <w:marBottom w:val="0"/>
      <w:divBdr>
        <w:top w:val="none" w:sz="0" w:space="0" w:color="auto"/>
        <w:left w:val="none" w:sz="0" w:space="0" w:color="auto"/>
        <w:bottom w:val="none" w:sz="0" w:space="0" w:color="auto"/>
        <w:right w:val="none" w:sz="0" w:space="0" w:color="auto"/>
      </w:divBdr>
    </w:div>
    <w:div w:id="1402602838">
      <w:bodyDiv w:val="1"/>
      <w:marLeft w:val="0"/>
      <w:marRight w:val="0"/>
      <w:marTop w:val="0"/>
      <w:marBottom w:val="0"/>
      <w:divBdr>
        <w:top w:val="none" w:sz="0" w:space="0" w:color="auto"/>
        <w:left w:val="none" w:sz="0" w:space="0" w:color="auto"/>
        <w:bottom w:val="none" w:sz="0" w:space="0" w:color="auto"/>
        <w:right w:val="none" w:sz="0" w:space="0" w:color="auto"/>
      </w:divBdr>
    </w:div>
    <w:div w:id="1405835798">
      <w:bodyDiv w:val="1"/>
      <w:marLeft w:val="0"/>
      <w:marRight w:val="0"/>
      <w:marTop w:val="0"/>
      <w:marBottom w:val="0"/>
      <w:divBdr>
        <w:top w:val="none" w:sz="0" w:space="0" w:color="auto"/>
        <w:left w:val="none" w:sz="0" w:space="0" w:color="auto"/>
        <w:bottom w:val="none" w:sz="0" w:space="0" w:color="auto"/>
        <w:right w:val="none" w:sz="0" w:space="0" w:color="auto"/>
      </w:divBdr>
    </w:div>
    <w:div w:id="1416390608">
      <w:bodyDiv w:val="1"/>
      <w:marLeft w:val="0"/>
      <w:marRight w:val="0"/>
      <w:marTop w:val="0"/>
      <w:marBottom w:val="0"/>
      <w:divBdr>
        <w:top w:val="none" w:sz="0" w:space="0" w:color="auto"/>
        <w:left w:val="none" w:sz="0" w:space="0" w:color="auto"/>
        <w:bottom w:val="none" w:sz="0" w:space="0" w:color="auto"/>
        <w:right w:val="none" w:sz="0" w:space="0" w:color="auto"/>
      </w:divBdr>
    </w:div>
    <w:div w:id="1421829033">
      <w:bodyDiv w:val="1"/>
      <w:marLeft w:val="0"/>
      <w:marRight w:val="0"/>
      <w:marTop w:val="0"/>
      <w:marBottom w:val="0"/>
      <w:divBdr>
        <w:top w:val="none" w:sz="0" w:space="0" w:color="auto"/>
        <w:left w:val="none" w:sz="0" w:space="0" w:color="auto"/>
        <w:bottom w:val="none" w:sz="0" w:space="0" w:color="auto"/>
        <w:right w:val="none" w:sz="0" w:space="0" w:color="auto"/>
      </w:divBdr>
    </w:div>
    <w:div w:id="1435173899">
      <w:bodyDiv w:val="1"/>
      <w:marLeft w:val="0"/>
      <w:marRight w:val="0"/>
      <w:marTop w:val="0"/>
      <w:marBottom w:val="0"/>
      <w:divBdr>
        <w:top w:val="none" w:sz="0" w:space="0" w:color="auto"/>
        <w:left w:val="none" w:sz="0" w:space="0" w:color="auto"/>
        <w:bottom w:val="none" w:sz="0" w:space="0" w:color="auto"/>
        <w:right w:val="none" w:sz="0" w:space="0" w:color="auto"/>
      </w:divBdr>
    </w:div>
    <w:div w:id="1436056549">
      <w:bodyDiv w:val="1"/>
      <w:marLeft w:val="0"/>
      <w:marRight w:val="0"/>
      <w:marTop w:val="0"/>
      <w:marBottom w:val="0"/>
      <w:divBdr>
        <w:top w:val="none" w:sz="0" w:space="0" w:color="auto"/>
        <w:left w:val="none" w:sz="0" w:space="0" w:color="auto"/>
        <w:bottom w:val="none" w:sz="0" w:space="0" w:color="auto"/>
        <w:right w:val="none" w:sz="0" w:space="0" w:color="auto"/>
      </w:divBdr>
    </w:div>
    <w:div w:id="1448815865">
      <w:bodyDiv w:val="1"/>
      <w:marLeft w:val="0"/>
      <w:marRight w:val="0"/>
      <w:marTop w:val="0"/>
      <w:marBottom w:val="0"/>
      <w:divBdr>
        <w:top w:val="none" w:sz="0" w:space="0" w:color="auto"/>
        <w:left w:val="none" w:sz="0" w:space="0" w:color="auto"/>
        <w:bottom w:val="none" w:sz="0" w:space="0" w:color="auto"/>
        <w:right w:val="none" w:sz="0" w:space="0" w:color="auto"/>
      </w:divBdr>
    </w:div>
    <w:div w:id="1460032038">
      <w:bodyDiv w:val="1"/>
      <w:marLeft w:val="0"/>
      <w:marRight w:val="0"/>
      <w:marTop w:val="0"/>
      <w:marBottom w:val="0"/>
      <w:divBdr>
        <w:top w:val="none" w:sz="0" w:space="0" w:color="auto"/>
        <w:left w:val="none" w:sz="0" w:space="0" w:color="auto"/>
        <w:bottom w:val="none" w:sz="0" w:space="0" w:color="auto"/>
        <w:right w:val="none" w:sz="0" w:space="0" w:color="auto"/>
      </w:divBdr>
    </w:div>
    <w:div w:id="1471754157">
      <w:bodyDiv w:val="1"/>
      <w:marLeft w:val="0"/>
      <w:marRight w:val="0"/>
      <w:marTop w:val="0"/>
      <w:marBottom w:val="0"/>
      <w:divBdr>
        <w:top w:val="none" w:sz="0" w:space="0" w:color="auto"/>
        <w:left w:val="none" w:sz="0" w:space="0" w:color="auto"/>
        <w:bottom w:val="none" w:sz="0" w:space="0" w:color="auto"/>
        <w:right w:val="none" w:sz="0" w:space="0" w:color="auto"/>
      </w:divBdr>
    </w:div>
    <w:div w:id="1478181221">
      <w:bodyDiv w:val="1"/>
      <w:marLeft w:val="0"/>
      <w:marRight w:val="0"/>
      <w:marTop w:val="0"/>
      <w:marBottom w:val="0"/>
      <w:divBdr>
        <w:top w:val="none" w:sz="0" w:space="0" w:color="auto"/>
        <w:left w:val="none" w:sz="0" w:space="0" w:color="auto"/>
        <w:bottom w:val="none" w:sz="0" w:space="0" w:color="auto"/>
        <w:right w:val="none" w:sz="0" w:space="0" w:color="auto"/>
      </w:divBdr>
    </w:div>
    <w:div w:id="1480531815">
      <w:bodyDiv w:val="1"/>
      <w:marLeft w:val="0"/>
      <w:marRight w:val="0"/>
      <w:marTop w:val="0"/>
      <w:marBottom w:val="0"/>
      <w:divBdr>
        <w:top w:val="none" w:sz="0" w:space="0" w:color="auto"/>
        <w:left w:val="none" w:sz="0" w:space="0" w:color="auto"/>
        <w:bottom w:val="none" w:sz="0" w:space="0" w:color="auto"/>
        <w:right w:val="none" w:sz="0" w:space="0" w:color="auto"/>
      </w:divBdr>
      <w:divsChild>
        <w:div w:id="2055036553">
          <w:marLeft w:val="0"/>
          <w:marRight w:val="0"/>
          <w:marTop w:val="0"/>
          <w:marBottom w:val="0"/>
          <w:divBdr>
            <w:top w:val="none" w:sz="0" w:space="0" w:color="auto"/>
            <w:left w:val="none" w:sz="0" w:space="0" w:color="auto"/>
            <w:bottom w:val="none" w:sz="0" w:space="0" w:color="auto"/>
            <w:right w:val="none" w:sz="0" w:space="0" w:color="auto"/>
          </w:divBdr>
          <w:divsChild>
            <w:div w:id="1397361234">
              <w:marLeft w:val="0"/>
              <w:marRight w:val="0"/>
              <w:marTop w:val="0"/>
              <w:marBottom w:val="0"/>
              <w:divBdr>
                <w:top w:val="none" w:sz="0" w:space="0" w:color="auto"/>
                <w:left w:val="none" w:sz="0" w:space="0" w:color="auto"/>
                <w:bottom w:val="none" w:sz="0" w:space="0" w:color="auto"/>
                <w:right w:val="none" w:sz="0" w:space="0" w:color="auto"/>
              </w:divBdr>
              <w:divsChild>
                <w:div w:id="408381343">
                  <w:marLeft w:val="0"/>
                  <w:marRight w:val="0"/>
                  <w:marTop w:val="0"/>
                  <w:marBottom w:val="0"/>
                  <w:divBdr>
                    <w:top w:val="none" w:sz="0" w:space="0" w:color="auto"/>
                    <w:left w:val="none" w:sz="0" w:space="0" w:color="auto"/>
                    <w:bottom w:val="none" w:sz="0" w:space="0" w:color="auto"/>
                    <w:right w:val="none" w:sz="0" w:space="0" w:color="auto"/>
                  </w:divBdr>
                  <w:divsChild>
                    <w:div w:id="85357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114441">
      <w:bodyDiv w:val="1"/>
      <w:marLeft w:val="0"/>
      <w:marRight w:val="0"/>
      <w:marTop w:val="0"/>
      <w:marBottom w:val="0"/>
      <w:divBdr>
        <w:top w:val="none" w:sz="0" w:space="0" w:color="auto"/>
        <w:left w:val="none" w:sz="0" w:space="0" w:color="auto"/>
        <w:bottom w:val="none" w:sz="0" w:space="0" w:color="auto"/>
        <w:right w:val="none" w:sz="0" w:space="0" w:color="auto"/>
      </w:divBdr>
    </w:div>
    <w:div w:id="1496142036">
      <w:bodyDiv w:val="1"/>
      <w:marLeft w:val="0"/>
      <w:marRight w:val="0"/>
      <w:marTop w:val="0"/>
      <w:marBottom w:val="0"/>
      <w:divBdr>
        <w:top w:val="none" w:sz="0" w:space="0" w:color="auto"/>
        <w:left w:val="none" w:sz="0" w:space="0" w:color="auto"/>
        <w:bottom w:val="none" w:sz="0" w:space="0" w:color="auto"/>
        <w:right w:val="none" w:sz="0" w:space="0" w:color="auto"/>
      </w:divBdr>
    </w:div>
    <w:div w:id="1517039817">
      <w:bodyDiv w:val="1"/>
      <w:marLeft w:val="0"/>
      <w:marRight w:val="0"/>
      <w:marTop w:val="0"/>
      <w:marBottom w:val="0"/>
      <w:divBdr>
        <w:top w:val="none" w:sz="0" w:space="0" w:color="auto"/>
        <w:left w:val="none" w:sz="0" w:space="0" w:color="auto"/>
        <w:bottom w:val="none" w:sz="0" w:space="0" w:color="auto"/>
        <w:right w:val="none" w:sz="0" w:space="0" w:color="auto"/>
      </w:divBdr>
    </w:div>
    <w:div w:id="1523207585">
      <w:bodyDiv w:val="1"/>
      <w:marLeft w:val="0"/>
      <w:marRight w:val="0"/>
      <w:marTop w:val="0"/>
      <w:marBottom w:val="0"/>
      <w:divBdr>
        <w:top w:val="none" w:sz="0" w:space="0" w:color="auto"/>
        <w:left w:val="none" w:sz="0" w:space="0" w:color="auto"/>
        <w:bottom w:val="none" w:sz="0" w:space="0" w:color="auto"/>
        <w:right w:val="none" w:sz="0" w:space="0" w:color="auto"/>
      </w:divBdr>
    </w:div>
    <w:div w:id="1525945961">
      <w:bodyDiv w:val="1"/>
      <w:marLeft w:val="0"/>
      <w:marRight w:val="0"/>
      <w:marTop w:val="0"/>
      <w:marBottom w:val="0"/>
      <w:divBdr>
        <w:top w:val="none" w:sz="0" w:space="0" w:color="auto"/>
        <w:left w:val="none" w:sz="0" w:space="0" w:color="auto"/>
        <w:bottom w:val="none" w:sz="0" w:space="0" w:color="auto"/>
        <w:right w:val="none" w:sz="0" w:space="0" w:color="auto"/>
      </w:divBdr>
      <w:divsChild>
        <w:div w:id="1408383900">
          <w:marLeft w:val="0"/>
          <w:marRight w:val="0"/>
          <w:marTop w:val="0"/>
          <w:marBottom w:val="0"/>
          <w:divBdr>
            <w:top w:val="none" w:sz="0" w:space="0" w:color="auto"/>
            <w:left w:val="none" w:sz="0" w:space="0" w:color="auto"/>
            <w:bottom w:val="none" w:sz="0" w:space="0" w:color="auto"/>
            <w:right w:val="none" w:sz="0" w:space="0" w:color="auto"/>
          </w:divBdr>
          <w:divsChild>
            <w:div w:id="2106226034">
              <w:marLeft w:val="0"/>
              <w:marRight w:val="0"/>
              <w:marTop w:val="0"/>
              <w:marBottom w:val="0"/>
              <w:divBdr>
                <w:top w:val="none" w:sz="0" w:space="0" w:color="auto"/>
                <w:left w:val="none" w:sz="0" w:space="0" w:color="auto"/>
                <w:bottom w:val="none" w:sz="0" w:space="0" w:color="auto"/>
                <w:right w:val="none" w:sz="0" w:space="0" w:color="auto"/>
              </w:divBdr>
              <w:divsChild>
                <w:div w:id="1188985714">
                  <w:marLeft w:val="0"/>
                  <w:marRight w:val="0"/>
                  <w:marTop w:val="0"/>
                  <w:marBottom w:val="0"/>
                  <w:divBdr>
                    <w:top w:val="none" w:sz="0" w:space="0" w:color="auto"/>
                    <w:left w:val="none" w:sz="0" w:space="0" w:color="auto"/>
                    <w:bottom w:val="none" w:sz="0" w:space="0" w:color="auto"/>
                    <w:right w:val="none" w:sz="0" w:space="0" w:color="auto"/>
                  </w:divBdr>
                  <w:divsChild>
                    <w:div w:id="2023970000">
                      <w:marLeft w:val="0"/>
                      <w:marRight w:val="0"/>
                      <w:marTop w:val="0"/>
                      <w:marBottom w:val="0"/>
                      <w:divBdr>
                        <w:top w:val="none" w:sz="0" w:space="0" w:color="auto"/>
                        <w:left w:val="none" w:sz="0" w:space="0" w:color="auto"/>
                        <w:bottom w:val="none" w:sz="0" w:space="0" w:color="auto"/>
                        <w:right w:val="none" w:sz="0" w:space="0" w:color="auto"/>
                      </w:divBdr>
                      <w:divsChild>
                        <w:div w:id="1237668486">
                          <w:marLeft w:val="0"/>
                          <w:marRight w:val="0"/>
                          <w:marTop w:val="0"/>
                          <w:marBottom w:val="0"/>
                          <w:divBdr>
                            <w:top w:val="none" w:sz="0" w:space="0" w:color="auto"/>
                            <w:left w:val="none" w:sz="0" w:space="0" w:color="auto"/>
                            <w:bottom w:val="none" w:sz="0" w:space="0" w:color="auto"/>
                            <w:right w:val="none" w:sz="0" w:space="0" w:color="auto"/>
                          </w:divBdr>
                          <w:divsChild>
                            <w:div w:id="1178813116">
                              <w:marLeft w:val="0"/>
                              <w:marRight w:val="0"/>
                              <w:marTop w:val="0"/>
                              <w:marBottom w:val="0"/>
                              <w:divBdr>
                                <w:top w:val="none" w:sz="0" w:space="0" w:color="auto"/>
                                <w:left w:val="none" w:sz="0" w:space="0" w:color="auto"/>
                                <w:bottom w:val="none" w:sz="0" w:space="0" w:color="auto"/>
                                <w:right w:val="none" w:sz="0" w:space="0" w:color="auto"/>
                              </w:divBdr>
                              <w:divsChild>
                                <w:div w:id="765537915">
                                  <w:marLeft w:val="0"/>
                                  <w:marRight w:val="0"/>
                                  <w:marTop w:val="0"/>
                                  <w:marBottom w:val="0"/>
                                  <w:divBdr>
                                    <w:top w:val="none" w:sz="0" w:space="0" w:color="auto"/>
                                    <w:left w:val="none" w:sz="0" w:space="0" w:color="auto"/>
                                    <w:bottom w:val="none" w:sz="0" w:space="0" w:color="auto"/>
                                    <w:right w:val="none" w:sz="0" w:space="0" w:color="auto"/>
                                  </w:divBdr>
                                  <w:divsChild>
                                    <w:div w:id="10670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6362653">
      <w:bodyDiv w:val="1"/>
      <w:marLeft w:val="0"/>
      <w:marRight w:val="0"/>
      <w:marTop w:val="0"/>
      <w:marBottom w:val="0"/>
      <w:divBdr>
        <w:top w:val="none" w:sz="0" w:space="0" w:color="auto"/>
        <w:left w:val="none" w:sz="0" w:space="0" w:color="auto"/>
        <w:bottom w:val="none" w:sz="0" w:space="0" w:color="auto"/>
        <w:right w:val="none" w:sz="0" w:space="0" w:color="auto"/>
      </w:divBdr>
    </w:div>
    <w:div w:id="1541235936">
      <w:bodyDiv w:val="1"/>
      <w:marLeft w:val="0"/>
      <w:marRight w:val="0"/>
      <w:marTop w:val="0"/>
      <w:marBottom w:val="0"/>
      <w:divBdr>
        <w:top w:val="none" w:sz="0" w:space="0" w:color="auto"/>
        <w:left w:val="none" w:sz="0" w:space="0" w:color="auto"/>
        <w:bottom w:val="none" w:sz="0" w:space="0" w:color="auto"/>
        <w:right w:val="none" w:sz="0" w:space="0" w:color="auto"/>
      </w:divBdr>
    </w:div>
    <w:div w:id="1543206808">
      <w:bodyDiv w:val="1"/>
      <w:marLeft w:val="0"/>
      <w:marRight w:val="0"/>
      <w:marTop w:val="0"/>
      <w:marBottom w:val="0"/>
      <w:divBdr>
        <w:top w:val="none" w:sz="0" w:space="0" w:color="auto"/>
        <w:left w:val="none" w:sz="0" w:space="0" w:color="auto"/>
        <w:bottom w:val="none" w:sz="0" w:space="0" w:color="auto"/>
        <w:right w:val="none" w:sz="0" w:space="0" w:color="auto"/>
      </w:divBdr>
    </w:div>
    <w:div w:id="1543253462">
      <w:bodyDiv w:val="1"/>
      <w:marLeft w:val="0"/>
      <w:marRight w:val="0"/>
      <w:marTop w:val="0"/>
      <w:marBottom w:val="0"/>
      <w:divBdr>
        <w:top w:val="none" w:sz="0" w:space="0" w:color="auto"/>
        <w:left w:val="none" w:sz="0" w:space="0" w:color="auto"/>
        <w:bottom w:val="none" w:sz="0" w:space="0" w:color="auto"/>
        <w:right w:val="none" w:sz="0" w:space="0" w:color="auto"/>
      </w:divBdr>
    </w:div>
    <w:div w:id="1554652564">
      <w:bodyDiv w:val="1"/>
      <w:marLeft w:val="0"/>
      <w:marRight w:val="0"/>
      <w:marTop w:val="0"/>
      <w:marBottom w:val="0"/>
      <w:divBdr>
        <w:top w:val="none" w:sz="0" w:space="0" w:color="auto"/>
        <w:left w:val="none" w:sz="0" w:space="0" w:color="auto"/>
        <w:bottom w:val="none" w:sz="0" w:space="0" w:color="auto"/>
        <w:right w:val="none" w:sz="0" w:space="0" w:color="auto"/>
      </w:divBdr>
    </w:div>
    <w:div w:id="1566257213">
      <w:bodyDiv w:val="1"/>
      <w:marLeft w:val="0"/>
      <w:marRight w:val="0"/>
      <w:marTop w:val="0"/>
      <w:marBottom w:val="0"/>
      <w:divBdr>
        <w:top w:val="none" w:sz="0" w:space="0" w:color="auto"/>
        <w:left w:val="none" w:sz="0" w:space="0" w:color="auto"/>
        <w:bottom w:val="none" w:sz="0" w:space="0" w:color="auto"/>
        <w:right w:val="none" w:sz="0" w:space="0" w:color="auto"/>
      </w:divBdr>
    </w:div>
    <w:div w:id="1583833790">
      <w:bodyDiv w:val="1"/>
      <w:marLeft w:val="0"/>
      <w:marRight w:val="0"/>
      <w:marTop w:val="0"/>
      <w:marBottom w:val="0"/>
      <w:divBdr>
        <w:top w:val="none" w:sz="0" w:space="0" w:color="auto"/>
        <w:left w:val="none" w:sz="0" w:space="0" w:color="auto"/>
        <w:bottom w:val="none" w:sz="0" w:space="0" w:color="auto"/>
        <w:right w:val="none" w:sz="0" w:space="0" w:color="auto"/>
      </w:divBdr>
    </w:div>
    <w:div w:id="1586839247">
      <w:bodyDiv w:val="1"/>
      <w:marLeft w:val="0"/>
      <w:marRight w:val="0"/>
      <w:marTop w:val="0"/>
      <w:marBottom w:val="0"/>
      <w:divBdr>
        <w:top w:val="none" w:sz="0" w:space="0" w:color="auto"/>
        <w:left w:val="none" w:sz="0" w:space="0" w:color="auto"/>
        <w:bottom w:val="none" w:sz="0" w:space="0" w:color="auto"/>
        <w:right w:val="none" w:sz="0" w:space="0" w:color="auto"/>
      </w:divBdr>
    </w:div>
    <w:div w:id="1588925106">
      <w:bodyDiv w:val="1"/>
      <w:marLeft w:val="0"/>
      <w:marRight w:val="0"/>
      <w:marTop w:val="0"/>
      <w:marBottom w:val="0"/>
      <w:divBdr>
        <w:top w:val="none" w:sz="0" w:space="0" w:color="auto"/>
        <w:left w:val="none" w:sz="0" w:space="0" w:color="auto"/>
        <w:bottom w:val="none" w:sz="0" w:space="0" w:color="auto"/>
        <w:right w:val="none" w:sz="0" w:space="0" w:color="auto"/>
      </w:divBdr>
    </w:div>
    <w:div w:id="1593854676">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597903706">
      <w:bodyDiv w:val="1"/>
      <w:marLeft w:val="0"/>
      <w:marRight w:val="0"/>
      <w:marTop w:val="0"/>
      <w:marBottom w:val="0"/>
      <w:divBdr>
        <w:top w:val="none" w:sz="0" w:space="0" w:color="auto"/>
        <w:left w:val="none" w:sz="0" w:space="0" w:color="auto"/>
        <w:bottom w:val="none" w:sz="0" w:space="0" w:color="auto"/>
        <w:right w:val="none" w:sz="0" w:space="0" w:color="auto"/>
      </w:divBdr>
    </w:div>
    <w:div w:id="1615553579">
      <w:bodyDiv w:val="1"/>
      <w:marLeft w:val="0"/>
      <w:marRight w:val="0"/>
      <w:marTop w:val="0"/>
      <w:marBottom w:val="0"/>
      <w:divBdr>
        <w:top w:val="none" w:sz="0" w:space="0" w:color="auto"/>
        <w:left w:val="none" w:sz="0" w:space="0" w:color="auto"/>
        <w:bottom w:val="none" w:sz="0" w:space="0" w:color="auto"/>
        <w:right w:val="none" w:sz="0" w:space="0" w:color="auto"/>
      </w:divBdr>
    </w:div>
    <w:div w:id="1616674746">
      <w:bodyDiv w:val="1"/>
      <w:marLeft w:val="0"/>
      <w:marRight w:val="0"/>
      <w:marTop w:val="0"/>
      <w:marBottom w:val="0"/>
      <w:divBdr>
        <w:top w:val="none" w:sz="0" w:space="0" w:color="auto"/>
        <w:left w:val="none" w:sz="0" w:space="0" w:color="auto"/>
        <w:bottom w:val="none" w:sz="0" w:space="0" w:color="auto"/>
        <w:right w:val="none" w:sz="0" w:space="0" w:color="auto"/>
      </w:divBdr>
    </w:div>
    <w:div w:id="1636712187">
      <w:bodyDiv w:val="1"/>
      <w:marLeft w:val="0"/>
      <w:marRight w:val="0"/>
      <w:marTop w:val="0"/>
      <w:marBottom w:val="0"/>
      <w:divBdr>
        <w:top w:val="none" w:sz="0" w:space="0" w:color="auto"/>
        <w:left w:val="none" w:sz="0" w:space="0" w:color="auto"/>
        <w:bottom w:val="none" w:sz="0" w:space="0" w:color="auto"/>
        <w:right w:val="none" w:sz="0" w:space="0" w:color="auto"/>
      </w:divBdr>
      <w:divsChild>
        <w:div w:id="280457320">
          <w:marLeft w:val="0"/>
          <w:marRight w:val="0"/>
          <w:marTop w:val="0"/>
          <w:marBottom w:val="0"/>
          <w:divBdr>
            <w:top w:val="none" w:sz="0" w:space="0" w:color="auto"/>
            <w:left w:val="none" w:sz="0" w:space="0" w:color="auto"/>
            <w:bottom w:val="none" w:sz="0" w:space="0" w:color="auto"/>
            <w:right w:val="none" w:sz="0" w:space="0" w:color="auto"/>
          </w:divBdr>
          <w:divsChild>
            <w:div w:id="1684741399">
              <w:marLeft w:val="0"/>
              <w:marRight w:val="0"/>
              <w:marTop w:val="0"/>
              <w:marBottom w:val="0"/>
              <w:divBdr>
                <w:top w:val="none" w:sz="0" w:space="0" w:color="auto"/>
                <w:left w:val="none" w:sz="0" w:space="0" w:color="auto"/>
                <w:bottom w:val="none" w:sz="0" w:space="0" w:color="auto"/>
                <w:right w:val="none" w:sz="0" w:space="0" w:color="auto"/>
              </w:divBdr>
              <w:divsChild>
                <w:div w:id="1056589741">
                  <w:marLeft w:val="0"/>
                  <w:marRight w:val="0"/>
                  <w:marTop w:val="0"/>
                  <w:marBottom w:val="0"/>
                  <w:divBdr>
                    <w:top w:val="none" w:sz="0" w:space="0" w:color="auto"/>
                    <w:left w:val="none" w:sz="0" w:space="0" w:color="auto"/>
                    <w:bottom w:val="none" w:sz="0" w:space="0" w:color="auto"/>
                    <w:right w:val="none" w:sz="0" w:space="0" w:color="auto"/>
                  </w:divBdr>
                  <w:divsChild>
                    <w:div w:id="78003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830490">
      <w:bodyDiv w:val="1"/>
      <w:marLeft w:val="0"/>
      <w:marRight w:val="0"/>
      <w:marTop w:val="0"/>
      <w:marBottom w:val="0"/>
      <w:divBdr>
        <w:top w:val="none" w:sz="0" w:space="0" w:color="auto"/>
        <w:left w:val="none" w:sz="0" w:space="0" w:color="auto"/>
        <w:bottom w:val="none" w:sz="0" w:space="0" w:color="auto"/>
        <w:right w:val="none" w:sz="0" w:space="0" w:color="auto"/>
      </w:divBdr>
    </w:div>
    <w:div w:id="1645312504">
      <w:bodyDiv w:val="1"/>
      <w:marLeft w:val="0"/>
      <w:marRight w:val="0"/>
      <w:marTop w:val="0"/>
      <w:marBottom w:val="0"/>
      <w:divBdr>
        <w:top w:val="none" w:sz="0" w:space="0" w:color="auto"/>
        <w:left w:val="none" w:sz="0" w:space="0" w:color="auto"/>
        <w:bottom w:val="none" w:sz="0" w:space="0" w:color="auto"/>
        <w:right w:val="none" w:sz="0" w:space="0" w:color="auto"/>
      </w:divBdr>
    </w:div>
    <w:div w:id="1646084343">
      <w:bodyDiv w:val="1"/>
      <w:marLeft w:val="0"/>
      <w:marRight w:val="0"/>
      <w:marTop w:val="0"/>
      <w:marBottom w:val="0"/>
      <w:divBdr>
        <w:top w:val="none" w:sz="0" w:space="0" w:color="auto"/>
        <w:left w:val="none" w:sz="0" w:space="0" w:color="auto"/>
        <w:bottom w:val="none" w:sz="0" w:space="0" w:color="auto"/>
        <w:right w:val="none" w:sz="0" w:space="0" w:color="auto"/>
      </w:divBdr>
    </w:div>
    <w:div w:id="1655833147">
      <w:bodyDiv w:val="1"/>
      <w:marLeft w:val="0"/>
      <w:marRight w:val="0"/>
      <w:marTop w:val="0"/>
      <w:marBottom w:val="0"/>
      <w:divBdr>
        <w:top w:val="none" w:sz="0" w:space="0" w:color="auto"/>
        <w:left w:val="none" w:sz="0" w:space="0" w:color="auto"/>
        <w:bottom w:val="none" w:sz="0" w:space="0" w:color="auto"/>
        <w:right w:val="none" w:sz="0" w:space="0" w:color="auto"/>
      </w:divBdr>
    </w:div>
    <w:div w:id="1686011834">
      <w:bodyDiv w:val="1"/>
      <w:marLeft w:val="0"/>
      <w:marRight w:val="0"/>
      <w:marTop w:val="0"/>
      <w:marBottom w:val="0"/>
      <w:divBdr>
        <w:top w:val="none" w:sz="0" w:space="0" w:color="auto"/>
        <w:left w:val="none" w:sz="0" w:space="0" w:color="auto"/>
        <w:bottom w:val="none" w:sz="0" w:space="0" w:color="auto"/>
        <w:right w:val="none" w:sz="0" w:space="0" w:color="auto"/>
      </w:divBdr>
      <w:divsChild>
        <w:div w:id="1290434901">
          <w:marLeft w:val="0"/>
          <w:marRight w:val="0"/>
          <w:marTop w:val="0"/>
          <w:marBottom w:val="0"/>
          <w:divBdr>
            <w:top w:val="none" w:sz="0" w:space="0" w:color="auto"/>
            <w:left w:val="none" w:sz="0" w:space="0" w:color="auto"/>
            <w:bottom w:val="none" w:sz="0" w:space="0" w:color="auto"/>
            <w:right w:val="none" w:sz="0" w:space="0" w:color="auto"/>
          </w:divBdr>
          <w:divsChild>
            <w:div w:id="1715277820">
              <w:marLeft w:val="0"/>
              <w:marRight w:val="0"/>
              <w:marTop w:val="0"/>
              <w:marBottom w:val="0"/>
              <w:divBdr>
                <w:top w:val="none" w:sz="0" w:space="0" w:color="auto"/>
                <w:left w:val="none" w:sz="0" w:space="0" w:color="auto"/>
                <w:bottom w:val="none" w:sz="0" w:space="0" w:color="auto"/>
                <w:right w:val="none" w:sz="0" w:space="0" w:color="auto"/>
              </w:divBdr>
              <w:divsChild>
                <w:div w:id="196166570">
                  <w:marLeft w:val="0"/>
                  <w:marRight w:val="0"/>
                  <w:marTop w:val="0"/>
                  <w:marBottom w:val="0"/>
                  <w:divBdr>
                    <w:top w:val="none" w:sz="0" w:space="0" w:color="auto"/>
                    <w:left w:val="none" w:sz="0" w:space="0" w:color="auto"/>
                    <w:bottom w:val="none" w:sz="0" w:space="0" w:color="auto"/>
                    <w:right w:val="none" w:sz="0" w:space="0" w:color="auto"/>
                  </w:divBdr>
                  <w:divsChild>
                    <w:div w:id="74202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402475">
      <w:bodyDiv w:val="1"/>
      <w:marLeft w:val="0"/>
      <w:marRight w:val="0"/>
      <w:marTop w:val="0"/>
      <w:marBottom w:val="0"/>
      <w:divBdr>
        <w:top w:val="none" w:sz="0" w:space="0" w:color="auto"/>
        <w:left w:val="none" w:sz="0" w:space="0" w:color="auto"/>
        <w:bottom w:val="none" w:sz="0" w:space="0" w:color="auto"/>
        <w:right w:val="none" w:sz="0" w:space="0" w:color="auto"/>
      </w:divBdr>
      <w:divsChild>
        <w:div w:id="1009597490">
          <w:marLeft w:val="0"/>
          <w:marRight w:val="0"/>
          <w:marTop w:val="0"/>
          <w:marBottom w:val="0"/>
          <w:divBdr>
            <w:top w:val="none" w:sz="0" w:space="0" w:color="auto"/>
            <w:left w:val="none" w:sz="0" w:space="0" w:color="auto"/>
            <w:bottom w:val="none" w:sz="0" w:space="0" w:color="auto"/>
            <w:right w:val="none" w:sz="0" w:space="0" w:color="auto"/>
          </w:divBdr>
          <w:divsChild>
            <w:div w:id="681401245">
              <w:marLeft w:val="0"/>
              <w:marRight w:val="0"/>
              <w:marTop w:val="0"/>
              <w:marBottom w:val="0"/>
              <w:divBdr>
                <w:top w:val="none" w:sz="0" w:space="0" w:color="auto"/>
                <w:left w:val="none" w:sz="0" w:space="0" w:color="auto"/>
                <w:bottom w:val="none" w:sz="0" w:space="0" w:color="auto"/>
                <w:right w:val="none" w:sz="0" w:space="0" w:color="auto"/>
              </w:divBdr>
              <w:divsChild>
                <w:div w:id="726219534">
                  <w:marLeft w:val="0"/>
                  <w:marRight w:val="0"/>
                  <w:marTop w:val="0"/>
                  <w:marBottom w:val="0"/>
                  <w:divBdr>
                    <w:top w:val="none" w:sz="0" w:space="0" w:color="auto"/>
                    <w:left w:val="none" w:sz="0" w:space="0" w:color="auto"/>
                    <w:bottom w:val="none" w:sz="0" w:space="0" w:color="auto"/>
                    <w:right w:val="none" w:sz="0" w:space="0" w:color="auto"/>
                  </w:divBdr>
                  <w:divsChild>
                    <w:div w:id="169654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880336">
      <w:bodyDiv w:val="1"/>
      <w:marLeft w:val="0"/>
      <w:marRight w:val="0"/>
      <w:marTop w:val="0"/>
      <w:marBottom w:val="0"/>
      <w:divBdr>
        <w:top w:val="none" w:sz="0" w:space="0" w:color="auto"/>
        <w:left w:val="none" w:sz="0" w:space="0" w:color="auto"/>
        <w:bottom w:val="none" w:sz="0" w:space="0" w:color="auto"/>
        <w:right w:val="none" w:sz="0" w:space="0" w:color="auto"/>
      </w:divBdr>
    </w:div>
    <w:div w:id="1700543381">
      <w:bodyDiv w:val="1"/>
      <w:marLeft w:val="0"/>
      <w:marRight w:val="0"/>
      <w:marTop w:val="0"/>
      <w:marBottom w:val="0"/>
      <w:divBdr>
        <w:top w:val="none" w:sz="0" w:space="0" w:color="auto"/>
        <w:left w:val="none" w:sz="0" w:space="0" w:color="auto"/>
        <w:bottom w:val="none" w:sz="0" w:space="0" w:color="auto"/>
        <w:right w:val="none" w:sz="0" w:space="0" w:color="auto"/>
      </w:divBdr>
    </w:div>
    <w:div w:id="1702052034">
      <w:bodyDiv w:val="1"/>
      <w:marLeft w:val="0"/>
      <w:marRight w:val="0"/>
      <w:marTop w:val="0"/>
      <w:marBottom w:val="0"/>
      <w:divBdr>
        <w:top w:val="none" w:sz="0" w:space="0" w:color="auto"/>
        <w:left w:val="none" w:sz="0" w:space="0" w:color="auto"/>
        <w:bottom w:val="none" w:sz="0" w:space="0" w:color="auto"/>
        <w:right w:val="none" w:sz="0" w:space="0" w:color="auto"/>
      </w:divBdr>
    </w:div>
    <w:div w:id="1707369563">
      <w:bodyDiv w:val="1"/>
      <w:marLeft w:val="0"/>
      <w:marRight w:val="0"/>
      <w:marTop w:val="0"/>
      <w:marBottom w:val="0"/>
      <w:divBdr>
        <w:top w:val="none" w:sz="0" w:space="0" w:color="auto"/>
        <w:left w:val="none" w:sz="0" w:space="0" w:color="auto"/>
        <w:bottom w:val="none" w:sz="0" w:space="0" w:color="auto"/>
        <w:right w:val="none" w:sz="0" w:space="0" w:color="auto"/>
      </w:divBdr>
      <w:divsChild>
        <w:div w:id="168761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228451">
      <w:bodyDiv w:val="1"/>
      <w:marLeft w:val="0"/>
      <w:marRight w:val="0"/>
      <w:marTop w:val="0"/>
      <w:marBottom w:val="0"/>
      <w:divBdr>
        <w:top w:val="none" w:sz="0" w:space="0" w:color="auto"/>
        <w:left w:val="none" w:sz="0" w:space="0" w:color="auto"/>
        <w:bottom w:val="none" w:sz="0" w:space="0" w:color="auto"/>
        <w:right w:val="none" w:sz="0" w:space="0" w:color="auto"/>
      </w:divBdr>
      <w:divsChild>
        <w:div w:id="1590121932">
          <w:marLeft w:val="0"/>
          <w:marRight w:val="0"/>
          <w:marTop w:val="15"/>
          <w:marBottom w:val="0"/>
          <w:divBdr>
            <w:top w:val="single" w:sz="48" w:space="0" w:color="auto"/>
            <w:left w:val="single" w:sz="48" w:space="0" w:color="auto"/>
            <w:bottom w:val="single" w:sz="48" w:space="0" w:color="auto"/>
            <w:right w:val="single" w:sz="48" w:space="0" w:color="auto"/>
          </w:divBdr>
          <w:divsChild>
            <w:div w:id="6046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2873">
      <w:bodyDiv w:val="1"/>
      <w:marLeft w:val="0"/>
      <w:marRight w:val="0"/>
      <w:marTop w:val="0"/>
      <w:marBottom w:val="0"/>
      <w:divBdr>
        <w:top w:val="none" w:sz="0" w:space="0" w:color="auto"/>
        <w:left w:val="none" w:sz="0" w:space="0" w:color="auto"/>
        <w:bottom w:val="none" w:sz="0" w:space="0" w:color="auto"/>
        <w:right w:val="none" w:sz="0" w:space="0" w:color="auto"/>
      </w:divBdr>
    </w:div>
    <w:div w:id="1736472732">
      <w:bodyDiv w:val="1"/>
      <w:marLeft w:val="0"/>
      <w:marRight w:val="0"/>
      <w:marTop w:val="0"/>
      <w:marBottom w:val="0"/>
      <w:divBdr>
        <w:top w:val="none" w:sz="0" w:space="0" w:color="auto"/>
        <w:left w:val="none" w:sz="0" w:space="0" w:color="auto"/>
        <w:bottom w:val="none" w:sz="0" w:space="0" w:color="auto"/>
        <w:right w:val="none" w:sz="0" w:space="0" w:color="auto"/>
      </w:divBdr>
    </w:div>
    <w:div w:id="1745374591">
      <w:bodyDiv w:val="1"/>
      <w:marLeft w:val="0"/>
      <w:marRight w:val="0"/>
      <w:marTop w:val="0"/>
      <w:marBottom w:val="0"/>
      <w:divBdr>
        <w:top w:val="none" w:sz="0" w:space="0" w:color="auto"/>
        <w:left w:val="none" w:sz="0" w:space="0" w:color="auto"/>
        <w:bottom w:val="none" w:sz="0" w:space="0" w:color="auto"/>
        <w:right w:val="none" w:sz="0" w:space="0" w:color="auto"/>
      </w:divBdr>
    </w:div>
    <w:div w:id="1751657176">
      <w:bodyDiv w:val="1"/>
      <w:marLeft w:val="0"/>
      <w:marRight w:val="0"/>
      <w:marTop w:val="0"/>
      <w:marBottom w:val="0"/>
      <w:divBdr>
        <w:top w:val="none" w:sz="0" w:space="0" w:color="auto"/>
        <w:left w:val="none" w:sz="0" w:space="0" w:color="auto"/>
        <w:bottom w:val="none" w:sz="0" w:space="0" w:color="auto"/>
        <w:right w:val="none" w:sz="0" w:space="0" w:color="auto"/>
      </w:divBdr>
    </w:div>
    <w:div w:id="1754088282">
      <w:bodyDiv w:val="1"/>
      <w:marLeft w:val="0"/>
      <w:marRight w:val="0"/>
      <w:marTop w:val="0"/>
      <w:marBottom w:val="0"/>
      <w:divBdr>
        <w:top w:val="none" w:sz="0" w:space="0" w:color="auto"/>
        <w:left w:val="none" w:sz="0" w:space="0" w:color="auto"/>
        <w:bottom w:val="none" w:sz="0" w:space="0" w:color="auto"/>
        <w:right w:val="none" w:sz="0" w:space="0" w:color="auto"/>
      </w:divBdr>
    </w:div>
    <w:div w:id="1760641985">
      <w:bodyDiv w:val="1"/>
      <w:marLeft w:val="0"/>
      <w:marRight w:val="0"/>
      <w:marTop w:val="0"/>
      <w:marBottom w:val="0"/>
      <w:divBdr>
        <w:top w:val="none" w:sz="0" w:space="0" w:color="auto"/>
        <w:left w:val="none" w:sz="0" w:space="0" w:color="auto"/>
        <w:bottom w:val="none" w:sz="0" w:space="0" w:color="auto"/>
        <w:right w:val="none" w:sz="0" w:space="0" w:color="auto"/>
      </w:divBdr>
      <w:divsChild>
        <w:div w:id="1857227095">
          <w:marLeft w:val="0"/>
          <w:marRight w:val="0"/>
          <w:marTop w:val="0"/>
          <w:marBottom w:val="0"/>
          <w:divBdr>
            <w:top w:val="none" w:sz="0" w:space="0" w:color="auto"/>
            <w:left w:val="none" w:sz="0" w:space="0" w:color="auto"/>
            <w:bottom w:val="none" w:sz="0" w:space="0" w:color="auto"/>
            <w:right w:val="none" w:sz="0" w:space="0" w:color="auto"/>
          </w:divBdr>
          <w:divsChild>
            <w:div w:id="651519813">
              <w:marLeft w:val="0"/>
              <w:marRight w:val="0"/>
              <w:marTop w:val="0"/>
              <w:marBottom w:val="0"/>
              <w:divBdr>
                <w:top w:val="none" w:sz="0" w:space="0" w:color="auto"/>
                <w:left w:val="none" w:sz="0" w:space="0" w:color="auto"/>
                <w:bottom w:val="none" w:sz="0" w:space="0" w:color="auto"/>
                <w:right w:val="none" w:sz="0" w:space="0" w:color="auto"/>
              </w:divBdr>
              <w:divsChild>
                <w:div w:id="1314989883">
                  <w:marLeft w:val="0"/>
                  <w:marRight w:val="0"/>
                  <w:marTop w:val="0"/>
                  <w:marBottom w:val="0"/>
                  <w:divBdr>
                    <w:top w:val="none" w:sz="0" w:space="0" w:color="auto"/>
                    <w:left w:val="none" w:sz="0" w:space="0" w:color="auto"/>
                    <w:bottom w:val="none" w:sz="0" w:space="0" w:color="auto"/>
                    <w:right w:val="none" w:sz="0" w:space="0" w:color="auto"/>
                  </w:divBdr>
                  <w:divsChild>
                    <w:div w:id="1262304022">
                      <w:marLeft w:val="0"/>
                      <w:marRight w:val="0"/>
                      <w:marTop w:val="0"/>
                      <w:marBottom w:val="0"/>
                      <w:divBdr>
                        <w:top w:val="none" w:sz="0" w:space="0" w:color="auto"/>
                        <w:left w:val="none" w:sz="0" w:space="0" w:color="auto"/>
                        <w:bottom w:val="none" w:sz="0" w:space="0" w:color="auto"/>
                        <w:right w:val="none" w:sz="0" w:space="0" w:color="auto"/>
                      </w:divBdr>
                      <w:divsChild>
                        <w:div w:id="2055155167">
                          <w:marLeft w:val="0"/>
                          <w:marRight w:val="0"/>
                          <w:marTop w:val="0"/>
                          <w:marBottom w:val="0"/>
                          <w:divBdr>
                            <w:top w:val="none" w:sz="0" w:space="0" w:color="auto"/>
                            <w:left w:val="none" w:sz="0" w:space="0" w:color="auto"/>
                            <w:bottom w:val="none" w:sz="0" w:space="0" w:color="auto"/>
                            <w:right w:val="none" w:sz="0" w:space="0" w:color="auto"/>
                          </w:divBdr>
                          <w:divsChild>
                            <w:div w:id="568878927">
                              <w:marLeft w:val="0"/>
                              <w:marRight w:val="0"/>
                              <w:marTop w:val="0"/>
                              <w:marBottom w:val="0"/>
                              <w:divBdr>
                                <w:top w:val="none" w:sz="0" w:space="0" w:color="auto"/>
                                <w:left w:val="none" w:sz="0" w:space="0" w:color="auto"/>
                                <w:bottom w:val="none" w:sz="0" w:space="0" w:color="auto"/>
                                <w:right w:val="none" w:sz="0" w:space="0" w:color="auto"/>
                              </w:divBdr>
                              <w:divsChild>
                                <w:div w:id="9205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297911">
      <w:bodyDiv w:val="1"/>
      <w:marLeft w:val="0"/>
      <w:marRight w:val="0"/>
      <w:marTop w:val="0"/>
      <w:marBottom w:val="0"/>
      <w:divBdr>
        <w:top w:val="none" w:sz="0" w:space="0" w:color="auto"/>
        <w:left w:val="none" w:sz="0" w:space="0" w:color="auto"/>
        <w:bottom w:val="none" w:sz="0" w:space="0" w:color="auto"/>
        <w:right w:val="none" w:sz="0" w:space="0" w:color="auto"/>
      </w:divBdr>
    </w:div>
    <w:div w:id="1774980203">
      <w:bodyDiv w:val="1"/>
      <w:marLeft w:val="0"/>
      <w:marRight w:val="0"/>
      <w:marTop w:val="0"/>
      <w:marBottom w:val="0"/>
      <w:divBdr>
        <w:top w:val="none" w:sz="0" w:space="0" w:color="auto"/>
        <w:left w:val="none" w:sz="0" w:space="0" w:color="auto"/>
        <w:bottom w:val="none" w:sz="0" w:space="0" w:color="auto"/>
        <w:right w:val="none" w:sz="0" w:space="0" w:color="auto"/>
      </w:divBdr>
    </w:div>
    <w:div w:id="1803883131">
      <w:bodyDiv w:val="1"/>
      <w:marLeft w:val="0"/>
      <w:marRight w:val="0"/>
      <w:marTop w:val="0"/>
      <w:marBottom w:val="0"/>
      <w:divBdr>
        <w:top w:val="none" w:sz="0" w:space="0" w:color="auto"/>
        <w:left w:val="none" w:sz="0" w:space="0" w:color="auto"/>
        <w:bottom w:val="none" w:sz="0" w:space="0" w:color="auto"/>
        <w:right w:val="none" w:sz="0" w:space="0" w:color="auto"/>
      </w:divBdr>
    </w:div>
    <w:div w:id="1826167557">
      <w:bodyDiv w:val="1"/>
      <w:marLeft w:val="0"/>
      <w:marRight w:val="0"/>
      <w:marTop w:val="0"/>
      <w:marBottom w:val="0"/>
      <w:divBdr>
        <w:top w:val="none" w:sz="0" w:space="0" w:color="auto"/>
        <w:left w:val="none" w:sz="0" w:space="0" w:color="auto"/>
        <w:bottom w:val="none" w:sz="0" w:space="0" w:color="auto"/>
        <w:right w:val="none" w:sz="0" w:space="0" w:color="auto"/>
      </w:divBdr>
    </w:div>
    <w:div w:id="1840197098">
      <w:bodyDiv w:val="1"/>
      <w:marLeft w:val="0"/>
      <w:marRight w:val="0"/>
      <w:marTop w:val="0"/>
      <w:marBottom w:val="0"/>
      <w:divBdr>
        <w:top w:val="none" w:sz="0" w:space="0" w:color="auto"/>
        <w:left w:val="none" w:sz="0" w:space="0" w:color="auto"/>
        <w:bottom w:val="none" w:sz="0" w:space="0" w:color="auto"/>
        <w:right w:val="none" w:sz="0" w:space="0" w:color="auto"/>
      </w:divBdr>
      <w:divsChild>
        <w:div w:id="1308971896">
          <w:marLeft w:val="0"/>
          <w:marRight w:val="0"/>
          <w:marTop w:val="15"/>
          <w:marBottom w:val="0"/>
          <w:divBdr>
            <w:top w:val="single" w:sz="48" w:space="0" w:color="auto"/>
            <w:left w:val="single" w:sz="48" w:space="0" w:color="auto"/>
            <w:bottom w:val="single" w:sz="48" w:space="0" w:color="auto"/>
            <w:right w:val="single" w:sz="48" w:space="0" w:color="auto"/>
          </w:divBdr>
          <w:divsChild>
            <w:div w:id="75093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0601">
      <w:bodyDiv w:val="1"/>
      <w:marLeft w:val="0"/>
      <w:marRight w:val="0"/>
      <w:marTop w:val="0"/>
      <w:marBottom w:val="0"/>
      <w:divBdr>
        <w:top w:val="none" w:sz="0" w:space="0" w:color="auto"/>
        <w:left w:val="none" w:sz="0" w:space="0" w:color="auto"/>
        <w:bottom w:val="none" w:sz="0" w:space="0" w:color="auto"/>
        <w:right w:val="none" w:sz="0" w:space="0" w:color="auto"/>
      </w:divBdr>
    </w:div>
    <w:div w:id="1856193312">
      <w:bodyDiv w:val="1"/>
      <w:marLeft w:val="0"/>
      <w:marRight w:val="0"/>
      <w:marTop w:val="0"/>
      <w:marBottom w:val="0"/>
      <w:divBdr>
        <w:top w:val="none" w:sz="0" w:space="0" w:color="auto"/>
        <w:left w:val="none" w:sz="0" w:space="0" w:color="auto"/>
        <w:bottom w:val="none" w:sz="0" w:space="0" w:color="auto"/>
        <w:right w:val="none" w:sz="0" w:space="0" w:color="auto"/>
      </w:divBdr>
    </w:div>
    <w:div w:id="1865051858">
      <w:bodyDiv w:val="1"/>
      <w:marLeft w:val="0"/>
      <w:marRight w:val="0"/>
      <w:marTop w:val="0"/>
      <w:marBottom w:val="0"/>
      <w:divBdr>
        <w:top w:val="none" w:sz="0" w:space="0" w:color="auto"/>
        <w:left w:val="none" w:sz="0" w:space="0" w:color="auto"/>
        <w:bottom w:val="none" w:sz="0" w:space="0" w:color="auto"/>
        <w:right w:val="none" w:sz="0" w:space="0" w:color="auto"/>
      </w:divBdr>
    </w:div>
    <w:div w:id="1873302982">
      <w:bodyDiv w:val="1"/>
      <w:marLeft w:val="0"/>
      <w:marRight w:val="0"/>
      <w:marTop w:val="0"/>
      <w:marBottom w:val="0"/>
      <w:divBdr>
        <w:top w:val="none" w:sz="0" w:space="0" w:color="auto"/>
        <w:left w:val="none" w:sz="0" w:space="0" w:color="auto"/>
        <w:bottom w:val="none" w:sz="0" w:space="0" w:color="auto"/>
        <w:right w:val="none" w:sz="0" w:space="0" w:color="auto"/>
      </w:divBdr>
    </w:div>
    <w:div w:id="1895963458">
      <w:bodyDiv w:val="1"/>
      <w:marLeft w:val="0"/>
      <w:marRight w:val="0"/>
      <w:marTop w:val="0"/>
      <w:marBottom w:val="0"/>
      <w:divBdr>
        <w:top w:val="none" w:sz="0" w:space="0" w:color="auto"/>
        <w:left w:val="none" w:sz="0" w:space="0" w:color="auto"/>
        <w:bottom w:val="none" w:sz="0" w:space="0" w:color="auto"/>
        <w:right w:val="none" w:sz="0" w:space="0" w:color="auto"/>
      </w:divBdr>
    </w:div>
    <w:div w:id="1898589888">
      <w:bodyDiv w:val="1"/>
      <w:marLeft w:val="0"/>
      <w:marRight w:val="0"/>
      <w:marTop w:val="0"/>
      <w:marBottom w:val="0"/>
      <w:divBdr>
        <w:top w:val="none" w:sz="0" w:space="0" w:color="auto"/>
        <w:left w:val="none" w:sz="0" w:space="0" w:color="auto"/>
        <w:bottom w:val="none" w:sz="0" w:space="0" w:color="auto"/>
        <w:right w:val="none" w:sz="0" w:space="0" w:color="auto"/>
      </w:divBdr>
    </w:div>
    <w:div w:id="1908685233">
      <w:bodyDiv w:val="1"/>
      <w:marLeft w:val="0"/>
      <w:marRight w:val="0"/>
      <w:marTop w:val="0"/>
      <w:marBottom w:val="0"/>
      <w:divBdr>
        <w:top w:val="none" w:sz="0" w:space="0" w:color="auto"/>
        <w:left w:val="none" w:sz="0" w:space="0" w:color="auto"/>
        <w:bottom w:val="none" w:sz="0" w:space="0" w:color="auto"/>
        <w:right w:val="none" w:sz="0" w:space="0" w:color="auto"/>
      </w:divBdr>
    </w:div>
    <w:div w:id="1911846945">
      <w:bodyDiv w:val="1"/>
      <w:marLeft w:val="0"/>
      <w:marRight w:val="0"/>
      <w:marTop w:val="0"/>
      <w:marBottom w:val="0"/>
      <w:divBdr>
        <w:top w:val="none" w:sz="0" w:space="0" w:color="auto"/>
        <w:left w:val="none" w:sz="0" w:space="0" w:color="auto"/>
        <w:bottom w:val="none" w:sz="0" w:space="0" w:color="auto"/>
        <w:right w:val="none" w:sz="0" w:space="0" w:color="auto"/>
      </w:divBdr>
    </w:div>
    <w:div w:id="1912306640">
      <w:bodyDiv w:val="1"/>
      <w:marLeft w:val="0"/>
      <w:marRight w:val="0"/>
      <w:marTop w:val="0"/>
      <w:marBottom w:val="0"/>
      <w:divBdr>
        <w:top w:val="none" w:sz="0" w:space="0" w:color="auto"/>
        <w:left w:val="none" w:sz="0" w:space="0" w:color="auto"/>
        <w:bottom w:val="none" w:sz="0" w:space="0" w:color="auto"/>
        <w:right w:val="none" w:sz="0" w:space="0" w:color="auto"/>
      </w:divBdr>
    </w:div>
    <w:div w:id="1912501834">
      <w:bodyDiv w:val="1"/>
      <w:marLeft w:val="0"/>
      <w:marRight w:val="0"/>
      <w:marTop w:val="0"/>
      <w:marBottom w:val="0"/>
      <w:divBdr>
        <w:top w:val="none" w:sz="0" w:space="0" w:color="auto"/>
        <w:left w:val="none" w:sz="0" w:space="0" w:color="auto"/>
        <w:bottom w:val="none" w:sz="0" w:space="0" w:color="auto"/>
        <w:right w:val="none" w:sz="0" w:space="0" w:color="auto"/>
      </w:divBdr>
    </w:div>
    <w:div w:id="1928876896">
      <w:bodyDiv w:val="1"/>
      <w:marLeft w:val="0"/>
      <w:marRight w:val="0"/>
      <w:marTop w:val="0"/>
      <w:marBottom w:val="0"/>
      <w:divBdr>
        <w:top w:val="none" w:sz="0" w:space="0" w:color="auto"/>
        <w:left w:val="none" w:sz="0" w:space="0" w:color="auto"/>
        <w:bottom w:val="none" w:sz="0" w:space="0" w:color="auto"/>
        <w:right w:val="none" w:sz="0" w:space="0" w:color="auto"/>
      </w:divBdr>
    </w:div>
    <w:div w:id="1929189704">
      <w:bodyDiv w:val="1"/>
      <w:marLeft w:val="0"/>
      <w:marRight w:val="0"/>
      <w:marTop w:val="0"/>
      <w:marBottom w:val="0"/>
      <w:divBdr>
        <w:top w:val="none" w:sz="0" w:space="0" w:color="auto"/>
        <w:left w:val="none" w:sz="0" w:space="0" w:color="auto"/>
        <w:bottom w:val="none" w:sz="0" w:space="0" w:color="auto"/>
        <w:right w:val="none" w:sz="0" w:space="0" w:color="auto"/>
      </w:divBdr>
    </w:div>
    <w:div w:id="1929461611">
      <w:bodyDiv w:val="1"/>
      <w:marLeft w:val="0"/>
      <w:marRight w:val="0"/>
      <w:marTop w:val="0"/>
      <w:marBottom w:val="0"/>
      <w:divBdr>
        <w:top w:val="none" w:sz="0" w:space="0" w:color="auto"/>
        <w:left w:val="none" w:sz="0" w:space="0" w:color="auto"/>
        <w:bottom w:val="none" w:sz="0" w:space="0" w:color="auto"/>
        <w:right w:val="none" w:sz="0" w:space="0" w:color="auto"/>
      </w:divBdr>
    </w:div>
    <w:div w:id="1945721471">
      <w:bodyDiv w:val="1"/>
      <w:marLeft w:val="0"/>
      <w:marRight w:val="0"/>
      <w:marTop w:val="0"/>
      <w:marBottom w:val="0"/>
      <w:divBdr>
        <w:top w:val="none" w:sz="0" w:space="0" w:color="auto"/>
        <w:left w:val="none" w:sz="0" w:space="0" w:color="auto"/>
        <w:bottom w:val="none" w:sz="0" w:space="0" w:color="auto"/>
        <w:right w:val="none" w:sz="0" w:space="0" w:color="auto"/>
      </w:divBdr>
    </w:div>
    <w:div w:id="1946233806">
      <w:bodyDiv w:val="1"/>
      <w:marLeft w:val="0"/>
      <w:marRight w:val="0"/>
      <w:marTop w:val="0"/>
      <w:marBottom w:val="0"/>
      <w:divBdr>
        <w:top w:val="none" w:sz="0" w:space="0" w:color="auto"/>
        <w:left w:val="none" w:sz="0" w:space="0" w:color="auto"/>
        <w:bottom w:val="none" w:sz="0" w:space="0" w:color="auto"/>
        <w:right w:val="none" w:sz="0" w:space="0" w:color="auto"/>
      </w:divBdr>
    </w:div>
    <w:div w:id="1952083265">
      <w:bodyDiv w:val="1"/>
      <w:marLeft w:val="0"/>
      <w:marRight w:val="0"/>
      <w:marTop w:val="0"/>
      <w:marBottom w:val="0"/>
      <w:divBdr>
        <w:top w:val="none" w:sz="0" w:space="0" w:color="auto"/>
        <w:left w:val="none" w:sz="0" w:space="0" w:color="auto"/>
        <w:bottom w:val="none" w:sz="0" w:space="0" w:color="auto"/>
        <w:right w:val="none" w:sz="0" w:space="0" w:color="auto"/>
      </w:divBdr>
      <w:divsChild>
        <w:div w:id="43374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3515755">
      <w:bodyDiv w:val="1"/>
      <w:marLeft w:val="0"/>
      <w:marRight w:val="0"/>
      <w:marTop w:val="0"/>
      <w:marBottom w:val="0"/>
      <w:divBdr>
        <w:top w:val="none" w:sz="0" w:space="0" w:color="auto"/>
        <w:left w:val="none" w:sz="0" w:space="0" w:color="auto"/>
        <w:bottom w:val="none" w:sz="0" w:space="0" w:color="auto"/>
        <w:right w:val="none" w:sz="0" w:space="0" w:color="auto"/>
      </w:divBdr>
    </w:div>
    <w:div w:id="1958753900">
      <w:bodyDiv w:val="1"/>
      <w:marLeft w:val="0"/>
      <w:marRight w:val="0"/>
      <w:marTop w:val="0"/>
      <w:marBottom w:val="0"/>
      <w:divBdr>
        <w:top w:val="none" w:sz="0" w:space="0" w:color="auto"/>
        <w:left w:val="none" w:sz="0" w:space="0" w:color="auto"/>
        <w:bottom w:val="none" w:sz="0" w:space="0" w:color="auto"/>
        <w:right w:val="none" w:sz="0" w:space="0" w:color="auto"/>
      </w:divBdr>
      <w:divsChild>
        <w:div w:id="821000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035828">
      <w:bodyDiv w:val="1"/>
      <w:marLeft w:val="0"/>
      <w:marRight w:val="0"/>
      <w:marTop w:val="0"/>
      <w:marBottom w:val="0"/>
      <w:divBdr>
        <w:top w:val="none" w:sz="0" w:space="0" w:color="auto"/>
        <w:left w:val="none" w:sz="0" w:space="0" w:color="auto"/>
        <w:bottom w:val="none" w:sz="0" w:space="0" w:color="auto"/>
        <w:right w:val="none" w:sz="0" w:space="0" w:color="auto"/>
      </w:divBdr>
    </w:div>
    <w:div w:id="1988394875">
      <w:bodyDiv w:val="1"/>
      <w:marLeft w:val="0"/>
      <w:marRight w:val="0"/>
      <w:marTop w:val="0"/>
      <w:marBottom w:val="0"/>
      <w:divBdr>
        <w:top w:val="none" w:sz="0" w:space="0" w:color="auto"/>
        <w:left w:val="none" w:sz="0" w:space="0" w:color="auto"/>
        <w:bottom w:val="none" w:sz="0" w:space="0" w:color="auto"/>
        <w:right w:val="none" w:sz="0" w:space="0" w:color="auto"/>
      </w:divBdr>
    </w:div>
    <w:div w:id="1990133308">
      <w:bodyDiv w:val="1"/>
      <w:marLeft w:val="0"/>
      <w:marRight w:val="0"/>
      <w:marTop w:val="0"/>
      <w:marBottom w:val="0"/>
      <w:divBdr>
        <w:top w:val="none" w:sz="0" w:space="0" w:color="auto"/>
        <w:left w:val="none" w:sz="0" w:space="0" w:color="auto"/>
        <w:bottom w:val="none" w:sz="0" w:space="0" w:color="auto"/>
        <w:right w:val="none" w:sz="0" w:space="0" w:color="auto"/>
      </w:divBdr>
    </w:div>
    <w:div w:id="1997149031">
      <w:bodyDiv w:val="1"/>
      <w:marLeft w:val="0"/>
      <w:marRight w:val="0"/>
      <w:marTop w:val="0"/>
      <w:marBottom w:val="0"/>
      <w:divBdr>
        <w:top w:val="none" w:sz="0" w:space="0" w:color="auto"/>
        <w:left w:val="none" w:sz="0" w:space="0" w:color="auto"/>
        <w:bottom w:val="none" w:sz="0" w:space="0" w:color="auto"/>
        <w:right w:val="none" w:sz="0" w:space="0" w:color="auto"/>
      </w:divBdr>
    </w:div>
    <w:div w:id="2002930791">
      <w:bodyDiv w:val="1"/>
      <w:marLeft w:val="0"/>
      <w:marRight w:val="0"/>
      <w:marTop w:val="0"/>
      <w:marBottom w:val="0"/>
      <w:divBdr>
        <w:top w:val="none" w:sz="0" w:space="0" w:color="auto"/>
        <w:left w:val="none" w:sz="0" w:space="0" w:color="auto"/>
        <w:bottom w:val="none" w:sz="0" w:space="0" w:color="auto"/>
        <w:right w:val="none" w:sz="0" w:space="0" w:color="auto"/>
      </w:divBdr>
    </w:div>
    <w:div w:id="2005160611">
      <w:bodyDiv w:val="1"/>
      <w:marLeft w:val="0"/>
      <w:marRight w:val="0"/>
      <w:marTop w:val="0"/>
      <w:marBottom w:val="0"/>
      <w:divBdr>
        <w:top w:val="none" w:sz="0" w:space="0" w:color="auto"/>
        <w:left w:val="none" w:sz="0" w:space="0" w:color="auto"/>
        <w:bottom w:val="none" w:sz="0" w:space="0" w:color="auto"/>
        <w:right w:val="none" w:sz="0" w:space="0" w:color="auto"/>
      </w:divBdr>
    </w:div>
    <w:div w:id="2013408188">
      <w:bodyDiv w:val="1"/>
      <w:marLeft w:val="0"/>
      <w:marRight w:val="0"/>
      <w:marTop w:val="0"/>
      <w:marBottom w:val="0"/>
      <w:divBdr>
        <w:top w:val="none" w:sz="0" w:space="0" w:color="auto"/>
        <w:left w:val="none" w:sz="0" w:space="0" w:color="auto"/>
        <w:bottom w:val="none" w:sz="0" w:space="0" w:color="auto"/>
        <w:right w:val="none" w:sz="0" w:space="0" w:color="auto"/>
      </w:divBdr>
    </w:div>
    <w:div w:id="2029485046">
      <w:bodyDiv w:val="1"/>
      <w:marLeft w:val="0"/>
      <w:marRight w:val="0"/>
      <w:marTop w:val="0"/>
      <w:marBottom w:val="0"/>
      <w:divBdr>
        <w:top w:val="none" w:sz="0" w:space="0" w:color="auto"/>
        <w:left w:val="none" w:sz="0" w:space="0" w:color="auto"/>
        <w:bottom w:val="none" w:sz="0" w:space="0" w:color="auto"/>
        <w:right w:val="none" w:sz="0" w:space="0" w:color="auto"/>
      </w:divBdr>
    </w:div>
    <w:div w:id="2042826802">
      <w:bodyDiv w:val="1"/>
      <w:marLeft w:val="0"/>
      <w:marRight w:val="0"/>
      <w:marTop w:val="0"/>
      <w:marBottom w:val="0"/>
      <w:divBdr>
        <w:top w:val="none" w:sz="0" w:space="0" w:color="auto"/>
        <w:left w:val="none" w:sz="0" w:space="0" w:color="auto"/>
        <w:bottom w:val="none" w:sz="0" w:space="0" w:color="auto"/>
        <w:right w:val="none" w:sz="0" w:space="0" w:color="auto"/>
      </w:divBdr>
    </w:div>
    <w:div w:id="2057855640">
      <w:bodyDiv w:val="1"/>
      <w:marLeft w:val="0"/>
      <w:marRight w:val="0"/>
      <w:marTop w:val="0"/>
      <w:marBottom w:val="0"/>
      <w:divBdr>
        <w:top w:val="none" w:sz="0" w:space="0" w:color="auto"/>
        <w:left w:val="none" w:sz="0" w:space="0" w:color="auto"/>
        <w:bottom w:val="none" w:sz="0" w:space="0" w:color="auto"/>
        <w:right w:val="none" w:sz="0" w:space="0" w:color="auto"/>
      </w:divBdr>
      <w:divsChild>
        <w:div w:id="2001349274">
          <w:marLeft w:val="0"/>
          <w:marRight w:val="0"/>
          <w:marTop w:val="0"/>
          <w:marBottom w:val="0"/>
          <w:divBdr>
            <w:top w:val="none" w:sz="0" w:space="0" w:color="auto"/>
            <w:left w:val="none" w:sz="0" w:space="0" w:color="auto"/>
            <w:bottom w:val="none" w:sz="0" w:space="0" w:color="auto"/>
            <w:right w:val="none" w:sz="0" w:space="0" w:color="auto"/>
          </w:divBdr>
          <w:divsChild>
            <w:div w:id="762799227">
              <w:marLeft w:val="0"/>
              <w:marRight w:val="0"/>
              <w:marTop w:val="0"/>
              <w:marBottom w:val="0"/>
              <w:divBdr>
                <w:top w:val="none" w:sz="0" w:space="0" w:color="auto"/>
                <w:left w:val="none" w:sz="0" w:space="0" w:color="auto"/>
                <w:bottom w:val="none" w:sz="0" w:space="0" w:color="auto"/>
                <w:right w:val="none" w:sz="0" w:space="0" w:color="auto"/>
              </w:divBdr>
              <w:divsChild>
                <w:div w:id="1655404186">
                  <w:marLeft w:val="0"/>
                  <w:marRight w:val="0"/>
                  <w:marTop w:val="0"/>
                  <w:marBottom w:val="0"/>
                  <w:divBdr>
                    <w:top w:val="none" w:sz="0" w:space="0" w:color="auto"/>
                    <w:left w:val="none" w:sz="0" w:space="0" w:color="auto"/>
                    <w:bottom w:val="none" w:sz="0" w:space="0" w:color="auto"/>
                    <w:right w:val="none" w:sz="0" w:space="0" w:color="auto"/>
                  </w:divBdr>
                  <w:divsChild>
                    <w:div w:id="110750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821787">
      <w:bodyDiv w:val="1"/>
      <w:marLeft w:val="0"/>
      <w:marRight w:val="0"/>
      <w:marTop w:val="0"/>
      <w:marBottom w:val="0"/>
      <w:divBdr>
        <w:top w:val="none" w:sz="0" w:space="0" w:color="auto"/>
        <w:left w:val="none" w:sz="0" w:space="0" w:color="auto"/>
        <w:bottom w:val="none" w:sz="0" w:space="0" w:color="auto"/>
        <w:right w:val="none" w:sz="0" w:space="0" w:color="auto"/>
      </w:divBdr>
    </w:div>
    <w:div w:id="2059088216">
      <w:bodyDiv w:val="1"/>
      <w:marLeft w:val="0"/>
      <w:marRight w:val="0"/>
      <w:marTop w:val="0"/>
      <w:marBottom w:val="0"/>
      <w:divBdr>
        <w:top w:val="none" w:sz="0" w:space="0" w:color="auto"/>
        <w:left w:val="none" w:sz="0" w:space="0" w:color="auto"/>
        <w:bottom w:val="none" w:sz="0" w:space="0" w:color="auto"/>
        <w:right w:val="none" w:sz="0" w:space="0" w:color="auto"/>
      </w:divBdr>
      <w:divsChild>
        <w:div w:id="333463072">
          <w:marLeft w:val="0"/>
          <w:marRight w:val="0"/>
          <w:marTop w:val="0"/>
          <w:marBottom w:val="0"/>
          <w:divBdr>
            <w:top w:val="none" w:sz="0" w:space="0" w:color="auto"/>
            <w:left w:val="none" w:sz="0" w:space="0" w:color="auto"/>
            <w:bottom w:val="none" w:sz="0" w:space="0" w:color="auto"/>
            <w:right w:val="none" w:sz="0" w:space="0" w:color="auto"/>
          </w:divBdr>
          <w:divsChild>
            <w:div w:id="1427269009">
              <w:marLeft w:val="0"/>
              <w:marRight w:val="0"/>
              <w:marTop w:val="0"/>
              <w:marBottom w:val="0"/>
              <w:divBdr>
                <w:top w:val="none" w:sz="0" w:space="0" w:color="auto"/>
                <w:left w:val="none" w:sz="0" w:space="0" w:color="auto"/>
                <w:bottom w:val="none" w:sz="0" w:space="0" w:color="auto"/>
                <w:right w:val="none" w:sz="0" w:space="0" w:color="auto"/>
              </w:divBdr>
              <w:divsChild>
                <w:div w:id="1415006485">
                  <w:marLeft w:val="0"/>
                  <w:marRight w:val="0"/>
                  <w:marTop w:val="0"/>
                  <w:marBottom w:val="0"/>
                  <w:divBdr>
                    <w:top w:val="none" w:sz="0" w:space="0" w:color="auto"/>
                    <w:left w:val="none" w:sz="0" w:space="0" w:color="auto"/>
                    <w:bottom w:val="none" w:sz="0" w:space="0" w:color="auto"/>
                    <w:right w:val="none" w:sz="0" w:space="0" w:color="auto"/>
                  </w:divBdr>
                  <w:divsChild>
                    <w:div w:id="552077835">
                      <w:marLeft w:val="0"/>
                      <w:marRight w:val="0"/>
                      <w:marTop w:val="0"/>
                      <w:marBottom w:val="0"/>
                      <w:divBdr>
                        <w:top w:val="none" w:sz="0" w:space="0" w:color="auto"/>
                        <w:left w:val="none" w:sz="0" w:space="0" w:color="auto"/>
                        <w:bottom w:val="none" w:sz="0" w:space="0" w:color="auto"/>
                        <w:right w:val="none" w:sz="0" w:space="0" w:color="auto"/>
                      </w:divBdr>
                      <w:divsChild>
                        <w:div w:id="1322541934">
                          <w:marLeft w:val="0"/>
                          <w:marRight w:val="0"/>
                          <w:marTop w:val="0"/>
                          <w:marBottom w:val="0"/>
                          <w:divBdr>
                            <w:top w:val="none" w:sz="0" w:space="0" w:color="auto"/>
                            <w:left w:val="none" w:sz="0" w:space="0" w:color="auto"/>
                            <w:bottom w:val="none" w:sz="0" w:space="0" w:color="auto"/>
                            <w:right w:val="none" w:sz="0" w:space="0" w:color="auto"/>
                          </w:divBdr>
                          <w:divsChild>
                            <w:div w:id="488905085">
                              <w:marLeft w:val="0"/>
                              <w:marRight w:val="0"/>
                              <w:marTop w:val="0"/>
                              <w:marBottom w:val="0"/>
                              <w:divBdr>
                                <w:top w:val="none" w:sz="0" w:space="0" w:color="auto"/>
                                <w:left w:val="none" w:sz="0" w:space="0" w:color="auto"/>
                                <w:bottom w:val="none" w:sz="0" w:space="0" w:color="auto"/>
                                <w:right w:val="none" w:sz="0" w:space="0" w:color="auto"/>
                              </w:divBdr>
                              <w:divsChild>
                                <w:div w:id="134023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087992">
      <w:bodyDiv w:val="1"/>
      <w:marLeft w:val="0"/>
      <w:marRight w:val="0"/>
      <w:marTop w:val="0"/>
      <w:marBottom w:val="0"/>
      <w:divBdr>
        <w:top w:val="none" w:sz="0" w:space="0" w:color="auto"/>
        <w:left w:val="none" w:sz="0" w:space="0" w:color="auto"/>
        <w:bottom w:val="none" w:sz="0" w:space="0" w:color="auto"/>
        <w:right w:val="none" w:sz="0" w:space="0" w:color="auto"/>
      </w:divBdr>
    </w:div>
    <w:div w:id="2066029214">
      <w:bodyDiv w:val="1"/>
      <w:marLeft w:val="0"/>
      <w:marRight w:val="0"/>
      <w:marTop w:val="0"/>
      <w:marBottom w:val="0"/>
      <w:divBdr>
        <w:top w:val="none" w:sz="0" w:space="0" w:color="auto"/>
        <w:left w:val="none" w:sz="0" w:space="0" w:color="auto"/>
        <w:bottom w:val="none" w:sz="0" w:space="0" w:color="auto"/>
        <w:right w:val="none" w:sz="0" w:space="0" w:color="auto"/>
      </w:divBdr>
    </w:div>
    <w:div w:id="2066828511">
      <w:bodyDiv w:val="1"/>
      <w:marLeft w:val="0"/>
      <w:marRight w:val="0"/>
      <w:marTop w:val="0"/>
      <w:marBottom w:val="0"/>
      <w:divBdr>
        <w:top w:val="none" w:sz="0" w:space="0" w:color="auto"/>
        <w:left w:val="none" w:sz="0" w:space="0" w:color="auto"/>
        <w:bottom w:val="none" w:sz="0" w:space="0" w:color="auto"/>
        <w:right w:val="none" w:sz="0" w:space="0" w:color="auto"/>
      </w:divBdr>
    </w:div>
    <w:div w:id="2068841455">
      <w:bodyDiv w:val="1"/>
      <w:marLeft w:val="0"/>
      <w:marRight w:val="0"/>
      <w:marTop w:val="0"/>
      <w:marBottom w:val="0"/>
      <w:divBdr>
        <w:top w:val="none" w:sz="0" w:space="0" w:color="auto"/>
        <w:left w:val="none" w:sz="0" w:space="0" w:color="auto"/>
        <w:bottom w:val="none" w:sz="0" w:space="0" w:color="auto"/>
        <w:right w:val="none" w:sz="0" w:space="0" w:color="auto"/>
      </w:divBdr>
    </w:div>
    <w:div w:id="2075808844">
      <w:bodyDiv w:val="1"/>
      <w:marLeft w:val="0"/>
      <w:marRight w:val="0"/>
      <w:marTop w:val="0"/>
      <w:marBottom w:val="0"/>
      <w:divBdr>
        <w:top w:val="none" w:sz="0" w:space="0" w:color="auto"/>
        <w:left w:val="none" w:sz="0" w:space="0" w:color="auto"/>
        <w:bottom w:val="none" w:sz="0" w:space="0" w:color="auto"/>
        <w:right w:val="none" w:sz="0" w:space="0" w:color="auto"/>
      </w:divBdr>
    </w:div>
    <w:div w:id="2078552578">
      <w:bodyDiv w:val="1"/>
      <w:marLeft w:val="0"/>
      <w:marRight w:val="0"/>
      <w:marTop w:val="0"/>
      <w:marBottom w:val="0"/>
      <w:divBdr>
        <w:top w:val="none" w:sz="0" w:space="0" w:color="auto"/>
        <w:left w:val="none" w:sz="0" w:space="0" w:color="auto"/>
        <w:bottom w:val="none" w:sz="0" w:space="0" w:color="auto"/>
        <w:right w:val="none" w:sz="0" w:space="0" w:color="auto"/>
      </w:divBdr>
    </w:div>
    <w:div w:id="2080009842">
      <w:bodyDiv w:val="1"/>
      <w:marLeft w:val="0"/>
      <w:marRight w:val="0"/>
      <w:marTop w:val="0"/>
      <w:marBottom w:val="0"/>
      <w:divBdr>
        <w:top w:val="none" w:sz="0" w:space="0" w:color="auto"/>
        <w:left w:val="none" w:sz="0" w:space="0" w:color="auto"/>
        <w:bottom w:val="none" w:sz="0" w:space="0" w:color="auto"/>
        <w:right w:val="none" w:sz="0" w:space="0" w:color="auto"/>
      </w:divBdr>
    </w:div>
    <w:div w:id="2091807848">
      <w:bodyDiv w:val="1"/>
      <w:marLeft w:val="0"/>
      <w:marRight w:val="0"/>
      <w:marTop w:val="0"/>
      <w:marBottom w:val="0"/>
      <w:divBdr>
        <w:top w:val="none" w:sz="0" w:space="0" w:color="auto"/>
        <w:left w:val="none" w:sz="0" w:space="0" w:color="auto"/>
        <w:bottom w:val="none" w:sz="0" w:space="0" w:color="auto"/>
        <w:right w:val="none" w:sz="0" w:space="0" w:color="auto"/>
      </w:divBdr>
    </w:div>
    <w:div w:id="2094038896">
      <w:bodyDiv w:val="1"/>
      <w:marLeft w:val="0"/>
      <w:marRight w:val="0"/>
      <w:marTop w:val="0"/>
      <w:marBottom w:val="0"/>
      <w:divBdr>
        <w:top w:val="none" w:sz="0" w:space="0" w:color="auto"/>
        <w:left w:val="none" w:sz="0" w:space="0" w:color="auto"/>
        <w:bottom w:val="none" w:sz="0" w:space="0" w:color="auto"/>
        <w:right w:val="none" w:sz="0" w:space="0" w:color="auto"/>
      </w:divBdr>
    </w:div>
    <w:div w:id="2100521462">
      <w:bodyDiv w:val="1"/>
      <w:marLeft w:val="0"/>
      <w:marRight w:val="0"/>
      <w:marTop w:val="0"/>
      <w:marBottom w:val="0"/>
      <w:divBdr>
        <w:top w:val="none" w:sz="0" w:space="0" w:color="auto"/>
        <w:left w:val="none" w:sz="0" w:space="0" w:color="auto"/>
        <w:bottom w:val="none" w:sz="0" w:space="0" w:color="auto"/>
        <w:right w:val="none" w:sz="0" w:space="0" w:color="auto"/>
      </w:divBdr>
    </w:div>
    <w:div w:id="211852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argaam.com/ar/company/companyoverview/marketid/3/companyid/4451" TargetMode="External"/><Relationship Id="rId25" Type="http://schemas.openxmlformats.org/officeDocument/2006/relationships/header" Target="header10.xml"/><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s://www.argaam.com/ar/company/companyoverview/marketid/3/companyid/4726" TargetMode="External"/><Relationship Id="rId20" Type="http://schemas.openxmlformats.org/officeDocument/2006/relationships/header" Target="header5.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image" Target="media/image3.tmp"/><Relationship Id="rId19" Type="http://schemas.openxmlformats.org/officeDocument/2006/relationships/header" Target="header4.xm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eader" Target="header2.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31E2F-FB50-48D9-9CE4-717350C81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132</Pages>
  <Words>31877</Words>
  <Characters>181702</Characters>
  <Application>Microsoft Office Word</Application>
  <DocSecurity>0</DocSecurity>
  <Lines>1514</Lines>
  <Paragraphs>426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DELL1</dc:creator>
  <cp:lastModifiedBy>DELL</cp:lastModifiedBy>
  <cp:revision>2</cp:revision>
  <cp:lastPrinted>2026-09-27T02:01:00Z</cp:lastPrinted>
  <dcterms:created xsi:type="dcterms:W3CDTF">2026-10-06T17:47:00Z</dcterms:created>
  <dcterms:modified xsi:type="dcterms:W3CDTF">2026-10-06T17:47:00Z</dcterms:modified>
</cp:coreProperties>
</file>