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45FE0827" w14:textId="348755AE" w:rsidR="001955FA" w:rsidRPr="000041AF" w:rsidRDefault="001955FA" w:rsidP="000041AF">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C10EF8">
        <w:rPr>
          <w:rFonts w:ascii="Sakkal Majalla" w:eastAsia="Calibri" w:hAnsi="Sakkal Majalla" w:cs="Sakkal Majalla" w:hint="cs"/>
          <w:b/>
          <w:bCs/>
          <w:sz w:val="28"/>
          <w:szCs w:val="28"/>
          <w:rtl/>
          <w:lang w:bidi="ar-EG"/>
        </w:rPr>
        <w:t xml:space="preserve"> ماجستير إدارة مشاريع </w:t>
      </w: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05E9375C" w14:textId="32401F35" w:rsidR="00743FC8" w:rsidRDefault="005420A6" w:rsidP="001955FA">
      <w:pPr>
        <w:bidi/>
        <w:spacing w:line="240" w:lineRule="auto"/>
        <w:jc w:val="center"/>
        <w:rPr>
          <w:rFonts w:ascii="Sakkal Majalla" w:eastAsia="Times New Roman" w:hAnsi="Sakkal Majalla" w:cs="Sakkal Majalla"/>
          <w:b/>
          <w:bCs/>
          <w:color w:val="0F1115"/>
          <w:sz w:val="28"/>
          <w:szCs w:val="28"/>
          <w:rtl/>
        </w:rPr>
      </w:pPr>
      <w:r w:rsidRPr="005420A6">
        <w:rPr>
          <w:rFonts w:ascii="Sakkal Majalla" w:eastAsia="Calibri" w:hAnsi="Sakkal Majalla" w:cs="Sakkal Majalla"/>
          <w:b/>
          <w:bCs/>
          <w:sz w:val="32"/>
          <w:szCs w:val="32"/>
          <w:rtl/>
          <w:lang w:bidi="ar-EG"/>
        </w:rPr>
        <w:t>أثر الشمول المالي في الحد من الفقر وعدم المساواة: دراسة تطبيقية على الاقتصاد المصري</w:t>
      </w:r>
    </w:p>
    <w:p w14:paraId="3AFC3A9A" w14:textId="77777777" w:rsidR="00743FC8" w:rsidRDefault="00743FC8" w:rsidP="00743FC8">
      <w:pPr>
        <w:bidi/>
        <w:spacing w:line="240" w:lineRule="auto"/>
        <w:jc w:val="center"/>
        <w:rPr>
          <w:rFonts w:ascii="Sakkal Majalla" w:eastAsia="Times New Roman" w:hAnsi="Sakkal Majalla" w:cs="Sakkal Majalla"/>
          <w:b/>
          <w:bCs/>
          <w:color w:val="0F1115"/>
          <w:sz w:val="28"/>
          <w:szCs w:val="28"/>
          <w:rtl/>
        </w:rPr>
      </w:pPr>
    </w:p>
    <w:p w14:paraId="183383BA" w14:textId="5EFD6AEF" w:rsidR="001955FA" w:rsidRPr="001955FA" w:rsidRDefault="001955FA" w:rsidP="00743FC8">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181946E3" w14:textId="77777777" w:rsidR="00EF2C2C" w:rsidRPr="00EF2C2C" w:rsidRDefault="00EF2C2C" w:rsidP="00EF2C2C">
      <w:pPr>
        <w:bidi/>
        <w:spacing w:line="240" w:lineRule="auto"/>
        <w:jc w:val="center"/>
        <w:rPr>
          <w:rFonts w:ascii="Sakkal Majalla" w:eastAsia="Calibri" w:hAnsi="Sakkal Majalla" w:cs="Sakkal Majalla"/>
          <w:b/>
          <w:bCs/>
          <w:sz w:val="28"/>
          <w:szCs w:val="28"/>
          <w:rtl/>
          <w:lang w:bidi="ar-EG"/>
        </w:rPr>
      </w:pPr>
      <w:r w:rsidRPr="00EF2C2C">
        <w:rPr>
          <w:rFonts w:ascii="Sakkal Majalla" w:eastAsia="Calibri" w:hAnsi="Sakkal Majalla" w:cs="Sakkal Majalla"/>
          <w:b/>
          <w:bCs/>
          <w:sz w:val="28"/>
          <w:szCs w:val="28"/>
          <w:rtl/>
          <w:lang w:bidi="ar-EG"/>
        </w:rPr>
        <w:t>نوف حمد البحيري</w:t>
      </w:r>
    </w:p>
    <w:p w14:paraId="0B512D59" w14:textId="1CC12D36" w:rsidR="001955FA" w:rsidRDefault="00EF2C2C" w:rsidP="001955FA">
      <w:pPr>
        <w:bidi/>
        <w:spacing w:line="240" w:lineRule="auto"/>
        <w:jc w:val="center"/>
        <w:rPr>
          <w:rFonts w:ascii="Sakkal Majalla" w:eastAsia="Calibri" w:hAnsi="Sakkal Majalla" w:cs="Sakkal Majalla"/>
          <w:b/>
          <w:bCs/>
          <w:sz w:val="28"/>
          <w:szCs w:val="28"/>
          <w:rtl/>
          <w:lang w:bidi="ar-EG"/>
        </w:rPr>
      </w:pPr>
      <w:r w:rsidRPr="00EF2C2C">
        <w:rPr>
          <w:rFonts w:ascii="Sakkal Majalla" w:eastAsia="Calibri" w:hAnsi="Sakkal Majalla" w:cs="Sakkal Majalla"/>
          <w:b/>
          <w:bCs/>
          <w:sz w:val="28"/>
          <w:szCs w:val="28"/>
          <w:rtl/>
          <w:lang w:bidi="ar-EG"/>
        </w:rPr>
        <w:t>253001341</w:t>
      </w:r>
    </w:p>
    <w:p w14:paraId="59A7373D" w14:textId="77777777" w:rsidR="00EF2C2C" w:rsidRPr="001955FA" w:rsidRDefault="00EF2C2C" w:rsidP="00EF2C2C">
      <w:pPr>
        <w:bidi/>
        <w:spacing w:line="240" w:lineRule="auto"/>
        <w:jc w:val="center"/>
        <w:rPr>
          <w:rFonts w:ascii="Sakkal Majalla" w:eastAsia="Calibri" w:hAnsi="Sakkal Majalla" w:cs="Sakkal Majalla"/>
          <w:b/>
          <w:bCs/>
          <w:sz w:val="28"/>
          <w:szCs w:val="28"/>
          <w:rtl/>
          <w:lang w:bidi="ar-EG"/>
        </w:rPr>
      </w:pPr>
    </w:p>
    <w:p w14:paraId="44455A57" w14:textId="4C26DE20"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28BFF3E3" w14:textId="77777777" w:rsidR="005D4C51" w:rsidRDefault="005D4C51">
      <w:pPr>
        <w:pStyle w:val="s64"/>
        <w:bidi/>
        <w:spacing w:before="0" w:beforeAutospacing="0" w:after="120" w:afterAutospacing="0"/>
        <w:rPr>
          <w:rFonts w:ascii="Sakkal Majalla" w:hAnsi="Sakkal Majalla" w:cs="Sakkal Majalla"/>
          <w:color w:val="000000"/>
          <w:sz w:val="21"/>
          <w:szCs w:val="21"/>
          <w:u w:val="single"/>
        </w:rPr>
      </w:pPr>
      <w:r>
        <w:rPr>
          <w:rFonts w:ascii="Sakkal Majalla" w:hAnsi="Sakkal Majalla" w:cs="Sakkal Majalla"/>
          <w:color w:val="000000"/>
          <w:sz w:val="21"/>
          <w:szCs w:val="21"/>
          <w:u w:val="single"/>
          <w:rtl/>
        </w:rPr>
        <w:t> </w:t>
      </w:r>
    </w:p>
    <w:p w14:paraId="6ECEB9EF" w14:textId="7097AE20" w:rsidR="005D4C51" w:rsidRPr="00C10EF8" w:rsidRDefault="005D4C51" w:rsidP="005D4C51">
      <w:pPr>
        <w:pStyle w:val="s7"/>
        <w:spacing w:before="0" w:beforeAutospacing="0" w:after="120" w:afterAutospacing="0"/>
        <w:jc w:val="center"/>
        <w:rPr>
          <w:rFonts w:ascii="Sakkal Majalla" w:hAnsi="Sakkal Majalla" w:cs="Sakkal Majalla"/>
          <w:b/>
          <w:bCs/>
          <w:color w:val="000000"/>
          <w:sz w:val="21"/>
          <w:szCs w:val="21"/>
          <w:rtl/>
        </w:rPr>
      </w:pPr>
      <w:r w:rsidRPr="005D4C51">
        <w:rPr>
          <w:rStyle w:val="bumpedfont15"/>
          <w:rFonts w:ascii="Sakkal Majalla" w:hAnsi="Sakkal Majalla" w:cs="Sakkal Majalla"/>
          <w:color w:val="000000"/>
          <w:sz w:val="32"/>
          <w:szCs w:val="32"/>
          <w:rtl/>
        </w:rPr>
        <w:t>أ.د. فايز علي جراد</w:t>
      </w:r>
    </w:p>
    <w:p w14:paraId="33A79F7C" w14:textId="77777777" w:rsidR="001955FA" w:rsidRDefault="001955FA" w:rsidP="001955FA">
      <w:pPr>
        <w:bidi/>
        <w:spacing w:line="240" w:lineRule="auto"/>
        <w:jc w:val="lowKashida"/>
        <w:rPr>
          <w:rFonts w:ascii="Sakkal Majalla" w:eastAsia="Calibri" w:hAnsi="Sakkal Majalla" w:cs="Sakkal Majalla"/>
          <w:b/>
          <w:bCs/>
          <w:sz w:val="28"/>
          <w:szCs w:val="28"/>
          <w:rtl/>
          <w:lang w:bidi="ar-EG"/>
        </w:rPr>
      </w:pPr>
    </w:p>
    <w:p w14:paraId="07C420FF" w14:textId="77777777" w:rsidR="00743FC8" w:rsidRDefault="00743FC8" w:rsidP="00743FC8">
      <w:pPr>
        <w:bidi/>
        <w:spacing w:line="240" w:lineRule="auto"/>
        <w:jc w:val="lowKashida"/>
        <w:rPr>
          <w:rFonts w:ascii="Sakkal Majalla" w:eastAsia="Calibri" w:hAnsi="Sakkal Majalla" w:cs="Sakkal Majalla"/>
          <w:b/>
          <w:bCs/>
          <w:sz w:val="28"/>
          <w:szCs w:val="28"/>
          <w:rtl/>
          <w:lang w:bidi="ar-EG"/>
        </w:rPr>
      </w:pPr>
    </w:p>
    <w:p w14:paraId="1A6678ED" w14:textId="77777777" w:rsidR="005D4C51" w:rsidRDefault="005D4C51" w:rsidP="005D4C51">
      <w:pPr>
        <w:bidi/>
        <w:spacing w:line="240" w:lineRule="auto"/>
        <w:jc w:val="lowKashida"/>
        <w:rPr>
          <w:rFonts w:ascii="Sakkal Majalla" w:eastAsia="Calibri" w:hAnsi="Sakkal Majalla" w:cs="Sakkal Majalla"/>
          <w:b/>
          <w:bCs/>
          <w:sz w:val="28"/>
          <w:szCs w:val="28"/>
          <w:rtl/>
          <w:lang w:bidi="ar-EG"/>
        </w:rPr>
      </w:pPr>
    </w:p>
    <w:p w14:paraId="520893C3" w14:textId="77777777" w:rsidR="00743FC8" w:rsidRPr="001955FA" w:rsidRDefault="00743FC8" w:rsidP="00743FC8">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270024D1" w14:textId="6839EAFF" w:rsidR="001955FA" w:rsidRPr="005D4C51" w:rsidRDefault="001955FA" w:rsidP="005D4C51">
      <w:pPr>
        <w:bidi/>
        <w:spacing w:line="240" w:lineRule="auto"/>
        <w:jc w:val="center"/>
        <w:rPr>
          <w:rFonts w:ascii="Sakkal Majalla" w:eastAsia="Calibri" w:hAnsi="Sakkal Majalla" w:cs="Sakkal Majalla"/>
          <w:b/>
          <w:bCs/>
          <w:sz w:val="28"/>
          <w:szCs w:val="28"/>
          <w:lang w:val="en-GB" w:bidi="ar-EG"/>
        </w:rPr>
      </w:pPr>
      <w:r w:rsidRPr="001955FA">
        <w:rPr>
          <w:rFonts w:ascii="Sakkal Majalla" w:eastAsia="Calibri" w:hAnsi="Sakkal Majalla" w:cs="Sakkal Majalla"/>
          <w:b/>
          <w:bCs/>
          <w:sz w:val="28"/>
          <w:szCs w:val="28"/>
          <w:lang w:bidi="ar-EG"/>
        </w:rPr>
        <w:t>202</w:t>
      </w:r>
      <w:r w:rsidR="00743FC8">
        <w:rPr>
          <w:rFonts w:ascii="Sakkal Majalla" w:eastAsia="Calibri" w:hAnsi="Sakkal Majalla" w:cs="Sakkal Majalla"/>
          <w:b/>
          <w:bCs/>
          <w:sz w:val="28"/>
          <w:szCs w:val="28"/>
          <w:lang w:val="en-GB" w:bidi="ar-EG"/>
        </w:rPr>
        <w:t>6</w:t>
      </w:r>
    </w:p>
    <w:p w14:paraId="5EB1D357" w14:textId="402096D0" w:rsidR="001955FA" w:rsidRDefault="001955FA" w:rsidP="00CE5244">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فهرس المحتويات</w:t>
      </w:r>
    </w:p>
    <w:tbl>
      <w:tblPr>
        <w:tblStyle w:val="a6"/>
        <w:bidiVisual/>
        <w:tblW w:w="0" w:type="auto"/>
        <w:tblLook w:val="04A0" w:firstRow="1" w:lastRow="0" w:firstColumn="1" w:lastColumn="0" w:noHBand="0" w:noVBand="1"/>
      </w:tblPr>
      <w:tblGrid>
        <w:gridCol w:w="4874"/>
        <w:gridCol w:w="4875"/>
      </w:tblGrid>
      <w:tr w:rsidR="003A2A88" w14:paraId="6AE9919C" w14:textId="77777777" w:rsidTr="003A2A88">
        <w:tc>
          <w:tcPr>
            <w:tcW w:w="4874" w:type="dxa"/>
          </w:tcPr>
          <w:p w14:paraId="56E2A6FD" w14:textId="349C6E37" w:rsidR="003A2A88" w:rsidRDefault="003A2A88"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lastRenderedPageBreak/>
              <w:t xml:space="preserve">العنوان </w:t>
            </w:r>
          </w:p>
        </w:tc>
        <w:tc>
          <w:tcPr>
            <w:tcW w:w="4875" w:type="dxa"/>
          </w:tcPr>
          <w:p w14:paraId="502D0A1B" w14:textId="3AD04D9B" w:rsidR="003A2A88" w:rsidRDefault="003A2A88"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رقم الصفحه </w:t>
            </w:r>
          </w:p>
        </w:tc>
      </w:tr>
      <w:tr w:rsidR="003A2A88" w14:paraId="2B311CAF" w14:textId="77777777" w:rsidTr="003A2A88">
        <w:tc>
          <w:tcPr>
            <w:tcW w:w="4874" w:type="dxa"/>
          </w:tcPr>
          <w:p w14:paraId="1D840BC7" w14:textId="38A6E14E" w:rsidR="003A2A88"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مقدمة </w:t>
            </w:r>
          </w:p>
        </w:tc>
        <w:tc>
          <w:tcPr>
            <w:tcW w:w="4875" w:type="dxa"/>
          </w:tcPr>
          <w:p w14:paraId="6DC49FBE" w14:textId="751E4B98" w:rsidR="003A2A88" w:rsidRPr="009C6ABE" w:rsidRDefault="009C6ABE"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3</w:t>
            </w:r>
          </w:p>
        </w:tc>
      </w:tr>
      <w:tr w:rsidR="003A2A88" w14:paraId="147ED35F" w14:textId="77777777" w:rsidTr="003A2A88">
        <w:tc>
          <w:tcPr>
            <w:tcW w:w="4874" w:type="dxa"/>
          </w:tcPr>
          <w:p w14:paraId="16262531" w14:textId="73F23BEC" w:rsidR="003A2A88"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مشكلة الدراسة </w:t>
            </w:r>
          </w:p>
        </w:tc>
        <w:tc>
          <w:tcPr>
            <w:tcW w:w="4875" w:type="dxa"/>
          </w:tcPr>
          <w:p w14:paraId="506D8471" w14:textId="2EF1D481" w:rsidR="003A2A88" w:rsidRPr="009C6ABE" w:rsidRDefault="009C6ABE"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4</w:t>
            </w:r>
          </w:p>
        </w:tc>
      </w:tr>
      <w:tr w:rsidR="003A2A88" w14:paraId="7D9308E1" w14:textId="77777777" w:rsidTr="003A2A88">
        <w:tc>
          <w:tcPr>
            <w:tcW w:w="4874" w:type="dxa"/>
          </w:tcPr>
          <w:p w14:paraId="607FA1B3" w14:textId="2A520EDA" w:rsidR="003A2A88"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أهمية الدراسه </w:t>
            </w:r>
          </w:p>
        </w:tc>
        <w:tc>
          <w:tcPr>
            <w:tcW w:w="4875" w:type="dxa"/>
          </w:tcPr>
          <w:p w14:paraId="1B6B4717" w14:textId="6848C347" w:rsidR="003A2A88" w:rsidRPr="009C6ABE" w:rsidRDefault="008065C8"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5</w:t>
            </w:r>
          </w:p>
        </w:tc>
      </w:tr>
      <w:tr w:rsidR="003A2A88" w14:paraId="3474C8B8" w14:textId="77777777" w:rsidTr="003A2A88">
        <w:tc>
          <w:tcPr>
            <w:tcW w:w="4874" w:type="dxa"/>
          </w:tcPr>
          <w:p w14:paraId="0CC8A38A" w14:textId="035EAC36" w:rsidR="003A2A88"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الأهداف الدراسه </w:t>
            </w:r>
          </w:p>
        </w:tc>
        <w:tc>
          <w:tcPr>
            <w:tcW w:w="4875" w:type="dxa"/>
          </w:tcPr>
          <w:p w14:paraId="0836AC18" w14:textId="62015002" w:rsidR="003A2A88" w:rsidRPr="009C6ABE" w:rsidRDefault="009C6ABE"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5</w:t>
            </w:r>
          </w:p>
        </w:tc>
      </w:tr>
      <w:tr w:rsidR="009C6ABE" w14:paraId="1A9C5FF7" w14:textId="77777777" w:rsidTr="003A2A88">
        <w:tc>
          <w:tcPr>
            <w:tcW w:w="4874" w:type="dxa"/>
          </w:tcPr>
          <w:p w14:paraId="00FFA734" w14:textId="4453913C" w:rsidR="009C6ABE"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تساولات الدراسه </w:t>
            </w:r>
          </w:p>
        </w:tc>
        <w:tc>
          <w:tcPr>
            <w:tcW w:w="4875" w:type="dxa"/>
          </w:tcPr>
          <w:p w14:paraId="6ABE1E46" w14:textId="3A94E04D" w:rsidR="009C6ABE" w:rsidRDefault="00B83F52"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7</w:t>
            </w:r>
          </w:p>
        </w:tc>
      </w:tr>
      <w:tr w:rsidR="009C6ABE" w14:paraId="29C107E3" w14:textId="77777777" w:rsidTr="003A2A88">
        <w:tc>
          <w:tcPr>
            <w:tcW w:w="4874" w:type="dxa"/>
          </w:tcPr>
          <w:p w14:paraId="096D86B7" w14:textId="22705920" w:rsidR="009C6ABE" w:rsidRDefault="009C6ABE"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فروض الدراسه </w:t>
            </w:r>
          </w:p>
        </w:tc>
        <w:tc>
          <w:tcPr>
            <w:tcW w:w="4875" w:type="dxa"/>
          </w:tcPr>
          <w:p w14:paraId="49D5CA5C" w14:textId="5EDCFE1E" w:rsidR="009C6ABE" w:rsidRDefault="008065C8"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7</w:t>
            </w:r>
          </w:p>
        </w:tc>
      </w:tr>
      <w:tr w:rsidR="00E66AB6" w14:paraId="6ADF7F77" w14:textId="77777777" w:rsidTr="003A2A88">
        <w:tc>
          <w:tcPr>
            <w:tcW w:w="4874" w:type="dxa"/>
          </w:tcPr>
          <w:p w14:paraId="25F91F36" w14:textId="23C3B33D" w:rsidR="00E66AB6" w:rsidRDefault="00E66AB6" w:rsidP="00CE5244">
            <w:pPr>
              <w:bidi/>
              <w:spacing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دراسات سابقة </w:t>
            </w:r>
          </w:p>
        </w:tc>
        <w:tc>
          <w:tcPr>
            <w:tcW w:w="4875" w:type="dxa"/>
          </w:tcPr>
          <w:p w14:paraId="612F33B5" w14:textId="5B273594" w:rsidR="00E66AB6" w:rsidRDefault="00E66AB6" w:rsidP="009C6ABE">
            <w:pPr>
              <w:spacing w:line="360" w:lineRule="auto"/>
              <w:rPr>
                <w:rFonts w:ascii="Sakkal Majalla" w:eastAsia="Calibri" w:hAnsi="Sakkal Majalla" w:cs="Sakkal Majalla"/>
                <w:b/>
                <w:bCs/>
                <w:sz w:val="32"/>
                <w:szCs w:val="32"/>
                <w:lang w:val="en-GB"/>
              </w:rPr>
            </w:pPr>
            <w:r>
              <w:rPr>
                <w:rFonts w:ascii="Sakkal Majalla" w:eastAsia="Calibri" w:hAnsi="Sakkal Majalla" w:cs="Sakkal Majalla"/>
                <w:b/>
                <w:bCs/>
                <w:sz w:val="32"/>
                <w:szCs w:val="32"/>
                <w:lang w:val="en-GB"/>
              </w:rPr>
              <w:t>8</w:t>
            </w:r>
            <w:r w:rsidR="00D01AAF">
              <w:rPr>
                <w:rFonts w:ascii="Sakkal Majalla" w:eastAsia="Calibri" w:hAnsi="Sakkal Majalla" w:cs="Sakkal Majalla"/>
                <w:b/>
                <w:bCs/>
                <w:sz w:val="32"/>
                <w:szCs w:val="32"/>
                <w:lang w:val="en-GB"/>
              </w:rPr>
              <w:t>-15</w:t>
            </w:r>
          </w:p>
        </w:tc>
      </w:tr>
    </w:tbl>
    <w:p w14:paraId="20059412" w14:textId="77777777" w:rsidR="00CE5244" w:rsidRPr="001955FA" w:rsidRDefault="00CE5244" w:rsidP="00CE5244">
      <w:pPr>
        <w:bidi/>
        <w:spacing w:line="360" w:lineRule="auto"/>
        <w:rPr>
          <w:rFonts w:ascii="Sakkal Majalla" w:eastAsia="Calibri" w:hAnsi="Sakkal Majalla" w:cs="Sakkal Majalla"/>
          <w:b/>
          <w:bCs/>
          <w:sz w:val="32"/>
          <w:szCs w:val="32"/>
          <w:rtl/>
        </w:rPr>
      </w:pPr>
    </w:p>
    <w:p w14:paraId="17A52E41" w14:textId="77777777" w:rsidR="001955FA" w:rsidRDefault="001955FA" w:rsidP="001955FA">
      <w:pPr>
        <w:bidi/>
        <w:spacing w:line="240" w:lineRule="auto"/>
        <w:rPr>
          <w:rFonts w:ascii="Sakkal Majalla" w:eastAsia="Calibri" w:hAnsi="Sakkal Majalla" w:cs="Sakkal Majalla"/>
          <w:kern w:val="0"/>
          <w:sz w:val="28"/>
          <w:szCs w:val="28"/>
          <w:rtl/>
        </w:rPr>
      </w:pPr>
    </w:p>
    <w:p w14:paraId="29C9E4B8" w14:textId="77777777" w:rsidR="00A54DE6" w:rsidRDefault="00A54DE6" w:rsidP="00A54DE6">
      <w:pPr>
        <w:bidi/>
        <w:spacing w:line="240" w:lineRule="auto"/>
        <w:rPr>
          <w:rFonts w:ascii="Sakkal Majalla" w:eastAsia="Calibri" w:hAnsi="Sakkal Majalla" w:cs="Sakkal Majalla"/>
          <w:kern w:val="0"/>
          <w:sz w:val="28"/>
          <w:szCs w:val="28"/>
          <w:rtl/>
        </w:rPr>
      </w:pPr>
    </w:p>
    <w:p w14:paraId="6E6EF102" w14:textId="77777777" w:rsidR="00A54DE6" w:rsidRDefault="00A54DE6" w:rsidP="00A54DE6">
      <w:pPr>
        <w:bidi/>
        <w:spacing w:line="240" w:lineRule="auto"/>
        <w:rPr>
          <w:rFonts w:ascii="Sakkal Majalla" w:eastAsia="Calibri" w:hAnsi="Sakkal Majalla" w:cs="Sakkal Majalla"/>
          <w:kern w:val="0"/>
          <w:sz w:val="28"/>
          <w:szCs w:val="28"/>
          <w:rtl/>
        </w:rPr>
      </w:pPr>
    </w:p>
    <w:p w14:paraId="50A0BBE2" w14:textId="77777777" w:rsidR="00A54DE6" w:rsidRDefault="00A54DE6" w:rsidP="00A54DE6">
      <w:pPr>
        <w:bidi/>
        <w:spacing w:line="240" w:lineRule="auto"/>
        <w:rPr>
          <w:rFonts w:ascii="Sakkal Majalla" w:eastAsia="Calibri" w:hAnsi="Sakkal Majalla" w:cs="Sakkal Majalla"/>
          <w:kern w:val="0"/>
          <w:sz w:val="28"/>
          <w:szCs w:val="28"/>
          <w:rtl/>
        </w:rPr>
      </w:pPr>
    </w:p>
    <w:p w14:paraId="1648E8A5" w14:textId="77777777" w:rsidR="009C6ABE" w:rsidRDefault="009C6ABE" w:rsidP="009C6ABE">
      <w:pPr>
        <w:bidi/>
        <w:spacing w:line="240" w:lineRule="auto"/>
        <w:rPr>
          <w:rFonts w:ascii="Sakkal Majalla" w:eastAsia="Calibri" w:hAnsi="Sakkal Majalla" w:cs="Sakkal Majalla"/>
          <w:kern w:val="0"/>
          <w:sz w:val="28"/>
          <w:szCs w:val="28"/>
        </w:rPr>
      </w:pPr>
    </w:p>
    <w:p w14:paraId="7E552F63" w14:textId="77777777" w:rsidR="009C6ABE" w:rsidRDefault="009C6ABE" w:rsidP="009C6ABE">
      <w:pPr>
        <w:bidi/>
        <w:spacing w:line="240" w:lineRule="auto"/>
        <w:rPr>
          <w:rFonts w:ascii="Sakkal Majalla" w:eastAsia="Calibri" w:hAnsi="Sakkal Majalla" w:cs="Sakkal Majalla"/>
          <w:b/>
          <w:bCs/>
          <w:sz w:val="32"/>
          <w:szCs w:val="32"/>
        </w:rPr>
      </w:pPr>
    </w:p>
    <w:p w14:paraId="631E79B3" w14:textId="22810496" w:rsidR="001955FA" w:rsidRPr="008065C8" w:rsidRDefault="001955FA" w:rsidP="008065C8">
      <w:pPr>
        <w:bidi/>
        <w:spacing w:line="240" w:lineRule="auto"/>
        <w:jc w:val="mediumKashida"/>
        <w:rPr>
          <w:rFonts w:ascii="Sakkal Majalla" w:eastAsia="Calibri" w:hAnsi="Sakkal Majalla" w:cs="Sakkal Majalla"/>
          <w:sz w:val="34"/>
          <w:szCs w:val="34"/>
          <w:lang w:bidi="ar-EG"/>
        </w:rPr>
      </w:pPr>
      <w:r w:rsidRPr="008065C8">
        <w:rPr>
          <w:rFonts w:ascii="Sakkal Majalla" w:eastAsia="Calibri" w:hAnsi="Sakkal Majalla" w:cs="Sakkal Majalla"/>
          <w:sz w:val="34"/>
          <w:szCs w:val="34"/>
          <w:rtl/>
        </w:rPr>
        <w:lastRenderedPageBreak/>
        <w:t>مقدمة</w:t>
      </w:r>
    </w:p>
    <w:p w14:paraId="1C595CB3" w14:textId="77777777" w:rsidR="007370AC" w:rsidRPr="008065C8" w:rsidRDefault="007370AC" w:rsidP="008065C8">
      <w:pPr>
        <w:bidi/>
        <w:spacing w:line="240" w:lineRule="auto"/>
        <w:jc w:val="mediumKashida"/>
        <w:rPr>
          <w:rFonts w:ascii="Sakkal Majalla" w:eastAsia="Times New Roman" w:hAnsi="Sakkal Majalla" w:cs="Sakkal Majalla"/>
          <w:color w:val="0F1115"/>
          <w:sz w:val="34"/>
          <w:szCs w:val="34"/>
          <w:rtl/>
        </w:rPr>
      </w:pPr>
    </w:p>
    <w:p w14:paraId="0C78D4C0" w14:textId="77777777" w:rsidR="00B355BD" w:rsidRPr="00B355BD" w:rsidRDefault="00B355BD" w:rsidP="00B355BD">
      <w:pPr>
        <w:bidi/>
        <w:spacing w:line="240" w:lineRule="auto"/>
        <w:jc w:val="mediumKashida"/>
        <w:rPr>
          <w:rFonts w:ascii="Sakkal Majalla" w:eastAsia="Times New Roman" w:hAnsi="Sakkal Majalla" w:cs="Sakkal Majalla"/>
          <w:color w:val="0F1115"/>
          <w:sz w:val="34"/>
          <w:szCs w:val="34"/>
          <w:rtl/>
        </w:rPr>
      </w:pPr>
      <w:r w:rsidRPr="00B355BD">
        <w:rPr>
          <w:rFonts w:ascii="Sakkal Majalla" w:eastAsia="Times New Roman" w:hAnsi="Sakkal Majalla" w:cs="Sakkal Majalla"/>
          <w:color w:val="0F1115"/>
          <w:sz w:val="34"/>
          <w:szCs w:val="34"/>
          <w:rtl/>
        </w:rPr>
        <w:t>يُعد الشمول المالي من أبرز الأدوات الاستراتيجية في منظومة الاقتصاد التنموي المعاصر، لا سيما في الاقتصادات النامية التي تعاني من ارتفاع معدلات الفقر وتفاوت توزيع الدخل. وقد اكتسب هذا المفهوم زخماً عالمياً متصاعداً في أعقاب الأزمة المالية العالمية عام 2008 ، حين بات واضحاً أن استبعاد شرائح واسعة من المجتمع من الخدمات المالية الرسمية يُعمّق هشاشة الاقتصادات ويُعيق جهود التنمية المستدامة.</w:t>
      </w:r>
    </w:p>
    <w:p w14:paraId="12868D7D" w14:textId="77777777" w:rsidR="00B355BD" w:rsidRPr="00B355BD" w:rsidRDefault="00B355BD" w:rsidP="00B355BD">
      <w:pPr>
        <w:bidi/>
        <w:spacing w:line="240" w:lineRule="auto"/>
        <w:jc w:val="mediumKashida"/>
        <w:rPr>
          <w:rFonts w:ascii="Sakkal Majalla" w:eastAsia="Times New Roman" w:hAnsi="Sakkal Majalla" w:cs="Sakkal Majalla"/>
          <w:color w:val="0F1115"/>
          <w:sz w:val="34"/>
          <w:szCs w:val="34"/>
          <w:rtl/>
        </w:rPr>
      </w:pPr>
    </w:p>
    <w:p w14:paraId="4EEEAFAE" w14:textId="77777777" w:rsidR="00B355BD" w:rsidRPr="00B355BD" w:rsidRDefault="00B355BD" w:rsidP="00B355BD">
      <w:pPr>
        <w:bidi/>
        <w:spacing w:line="240" w:lineRule="auto"/>
        <w:jc w:val="mediumKashida"/>
        <w:rPr>
          <w:rFonts w:ascii="Sakkal Majalla" w:eastAsia="Times New Roman" w:hAnsi="Sakkal Majalla" w:cs="Sakkal Majalla"/>
          <w:color w:val="0F1115"/>
          <w:sz w:val="34"/>
          <w:szCs w:val="34"/>
          <w:rtl/>
        </w:rPr>
      </w:pPr>
      <w:r w:rsidRPr="00B355BD">
        <w:rPr>
          <w:rFonts w:ascii="Sakkal Majalla" w:eastAsia="Times New Roman" w:hAnsi="Sakkal Majalla" w:cs="Sakkal Majalla"/>
          <w:color w:val="0F1115"/>
          <w:sz w:val="34"/>
          <w:szCs w:val="34"/>
          <w:rtl/>
        </w:rPr>
        <w:t>وتتجلى العلاقة الوثيقة بين الشمول المالي والحد من الفقر في كون الوصول إلى الخدمات المالية الرسمية - من ادخار وائتمان وتأمين ومدفوعات رقمية - يُمكن الأسر محدودة الدخل من تراكم الأصول، ومواجهة الصدمات الاقتصادية، والاستثمار في رأسها البشري. وتشير تقارير البنك الدولي إلى أن نحو 1.4 مليار بالغ حول العالم لا يزالون خارج دائرة الخدمات المالية الرسمية، ومعظمهم في الدول النامية، مما يُرسّخ ما يُعرف بـ مصيدة الفقر.</w:t>
      </w:r>
    </w:p>
    <w:p w14:paraId="35D673B0" w14:textId="77777777" w:rsidR="00B355BD" w:rsidRPr="00B355BD" w:rsidRDefault="00B355BD" w:rsidP="00B355BD">
      <w:pPr>
        <w:bidi/>
        <w:spacing w:line="240" w:lineRule="auto"/>
        <w:jc w:val="mediumKashida"/>
        <w:rPr>
          <w:rFonts w:ascii="Sakkal Majalla" w:eastAsia="Times New Roman" w:hAnsi="Sakkal Majalla" w:cs="Sakkal Majalla"/>
          <w:color w:val="0F1115"/>
          <w:sz w:val="34"/>
          <w:szCs w:val="34"/>
          <w:rtl/>
        </w:rPr>
      </w:pPr>
    </w:p>
    <w:p w14:paraId="7DEF3265" w14:textId="77777777" w:rsidR="00B355BD" w:rsidRDefault="00B355BD" w:rsidP="008065C8">
      <w:pPr>
        <w:bidi/>
        <w:spacing w:line="240" w:lineRule="auto"/>
        <w:jc w:val="mediumKashida"/>
        <w:rPr>
          <w:rFonts w:ascii="Sakkal Majalla" w:eastAsia="Calibri" w:hAnsi="Sakkal Majalla" w:cs="Sakkal Majalla"/>
          <w:sz w:val="34"/>
          <w:szCs w:val="34"/>
          <w:rtl/>
        </w:rPr>
      </w:pPr>
      <w:r w:rsidRPr="00B355BD">
        <w:rPr>
          <w:rFonts w:ascii="Sakkal Majalla" w:eastAsia="Times New Roman" w:hAnsi="Sakkal Majalla" w:cs="Sakkal Majalla"/>
          <w:color w:val="0F1115"/>
          <w:sz w:val="34"/>
          <w:szCs w:val="34"/>
          <w:rtl/>
        </w:rPr>
        <w:t>وتواجه الدول النامية جملة من التحديات الهيكلية في تحقيق الشمول المالي، أبرزها : ضعف البنية التحتية المالية في المناطق الريفية، وانخفاض مستوى الوعي والثقافة المالية، ووجود فجوة جندرية واضحة في الوصول إلى الخدمات المالية إضافة إلى القيود التشريعية والتنظيمية التي تحد من انتشار التكنولوجيا المالية. وفي هذا السياق، تبرز أهمية دراسة الحالة المصرية بوصفها نموذجاً تنموياً بالغ الأهمية؛ إذ شهد الاقتصاد المصري خلال العقد الماضي (2011-2020) إصلاحات هيكلية جوهرية، وانطلاقة واسعة في مسار التحول الرقمي المالي، مما يجعله بيئة خصبة لقياس الأثر الفعلي للشمول المالي على مؤشرات الفقر وعدم المساواة.</w:t>
      </w:r>
    </w:p>
    <w:p w14:paraId="66E6ED7A" w14:textId="77777777" w:rsidR="00B355BD" w:rsidRDefault="00B355BD" w:rsidP="00B355BD">
      <w:pPr>
        <w:bidi/>
        <w:spacing w:line="240" w:lineRule="auto"/>
        <w:jc w:val="mediumKashida"/>
        <w:rPr>
          <w:rFonts w:ascii="Sakkal Majalla" w:eastAsia="Calibri" w:hAnsi="Sakkal Majalla" w:cs="Sakkal Majalla"/>
          <w:sz w:val="34"/>
          <w:szCs w:val="34"/>
          <w:rtl/>
        </w:rPr>
      </w:pPr>
    </w:p>
    <w:p w14:paraId="37D3ED4F" w14:textId="5C6D446D" w:rsidR="001955FA" w:rsidRPr="008065C8" w:rsidRDefault="001955FA" w:rsidP="00B355BD">
      <w:pPr>
        <w:bidi/>
        <w:spacing w:line="240" w:lineRule="auto"/>
        <w:jc w:val="mediumKashida"/>
        <w:rPr>
          <w:rFonts w:ascii="Sakkal Majalla" w:eastAsia="Calibri" w:hAnsi="Sakkal Majalla" w:cs="Sakkal Majalla"/>
          <w:sz w:val="34"/>
          <w:szCs w:val="34"/>
          <w:rtl/>
        </w:rPr>
      </w:pPr>
      <w:r w:rsidRPr="008065C8">
        <w:rPr>
          <w:rFonts w:ascii="Sakkal Majalla" w:eastAsia="Calibri" w:hAnsi="Sakkal Majalla" w:cs="Sakkal Majalla"/>
          <w:sz w:val="34"/>
          <w:szCs w:val="34"/>
          <w:rtl/>
        </w:rPr>
        <w:t>مشكلة الدراسة</w:t>
      </w:r>
    </w:p>
    <w:p w14:paraId="648EEC2F" w14:textId="76696C7D" w:rsidR="00E00C30" w:rsidRPr="008065C8" w:rsidRDefault="00E00C30" w:rsidP="008065C8">
      <w:pPr>
        <w:shd w:val="clear" w:color="auto" w:fill="FFFFFF"/>
        <w:bidi/>
        <w:spacing w:before="240" w:after="240" w:line="240" w:lineRule="auto"/>
        <w:jc w:val="mediumKashida"/>
        <w:rPr>
          <w:rFonts w:ascii="Sakkal Majalla" w:eastAsia="Times New Roman" w:hAnsi="Sakkal Majalla" w:cs="Sakkal Majalla"/>
          <w:color w:val="0F1115"/>
          <w:sz w:val="34"/>
          <w:szCs w:val="34"/>
          <w:rtl/>
        </w:rPr>
      </w:pPr>
      <w:r w:rsidRPr="008065C8">
        <w:rPr>
          <w:rFonts w:ascii="Sakkal Majalla" w:eastAsia="Times New Roman" w:hAnsi="Sakkal Majalla" w:cs="Sakkal Majalla"/>
          <w:color w:val="0F1115"/>
          <w:sz w:val="34"/>
          <w:szCs w:val="34"/>
          <w:rtl/>
        </w:rPr>
        <w:t>انطلاقاً من عدم نجاح الطرق والمقاربات التقليدية في مكافحة الفقر وتحسين ظروف حياة الأفراد بشكل يسهم في تقليل أعداد الفقراء وتحسين جودة الحياة بشكل ملحوظ، يتم البحث عن الحلول البديلة التي يمكن أن تسهم من خلال التأثير على متغيرات وسيطة أخرى في تحقيق ذلك. ويتم الاستناد في طرح مشكلة هذا البحث واختيار موضوعه إلى محدودية دور السياسات الاجتماعية، من منظور المؤسسات المالية الدولية، وإلى وجود تجارب دولية ناجحة في مجال الاعتماد على الحلول الرقمية من أجل تحسين جودة الحياة ومكافحة الفقر كما ونوعا، ويمكن صياغة مشكلة البحث في التساؤل التالي :</w:t>
      </w:r>
    </w:p>
    <w:p w14:paraId="7889069B" w14:textId="77777777" w:rsidR="00C92736" w:rsidRPr="00770E31" w:rsidRDefault="00C92736" w:rsidP="00571D32">
      <w:pPr>
        <w:bidi/>
        <w:spacing w:after="60" w:line="240" w:lineRule="auto"/>
        <w:rPr>
          <w:rFonts w:ascii="Simplified Arabic" w:eastAsiaTheme="minorEastAsia" w:hAnsi="Simplified Arabic" w:cs="Simplified Arabic" w:hint="cs"/>
          <w:color w:val="000000" w:themeColor="text1"/>
          <w:kern w:val="0"/>
          <w:sz w:val="32"/>
          <w:szCs w:val="32"/>
          <w14:ligatures w14:val="none"/>
        </w:rPr>
      </w:pPr>
      <w:r w:rsidRPr="00770E31">
        <w:rPr>
          <w:rFonts w:ascii="Simplified Arabic" w:eastAsiaTheme="minorEastAsia" w:hAnsi="Simplified Arabic" w:cs="Simplified Arabic" w:hint="cs"/>
          <w:b/>
          <w:bCs/>
          <w:color w:val="000000" w:themeColor="text1"/>
          <w:kern w:val="0"/>
          <w:sz w:val="32"/>
          <w:szCs w:val="32"/>
          <w:rtl/>
          <w14:ligatures w14:val="none"/>
        </w:rPr>
        <w:t>"ما أثر الشمول المالي في الحد من الفقر وعدم المساواة في جمهورية مصر العربية خلال الفترة (2011-2020)؟"</w:t>
      </w:r>
    </w:p>
    <w:p w14:paraId="3BCF5CBF" w14:textId="77777777" w:rsidR="00C92736" w:rsidRPr="00770E31" w:rsidRDefault="00C92736" w:rsidP="00571D32">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p>
    <w:p w14:paraId="1D25EF91" w14:textId="77777777" w:rsidR="00C92736" w:rsidRPr="00770E31" w:rsidRDefault="00C92736" w:rsidP="00571D32">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r w:rsidRPr="00770E31">
        <w:rPr>
          <w:rFonts w:ascii="Simplified Arabic" w:eastAsiaTheme="minorEastAsia" w:hAnsi="Simplified Arabic" w:cs="Simplified Arabic" w:hint="cs"/>
          <w:color w:val="000000" w:themeColor="text1"/>
          <w:kern w:val="0"/>
          <w:sz w:val="32"/>
          <w:szCs w:val="32"/>
          <w:rtl/>
          <w14:ligatures w14:val="none"/>
        </w:rPr>
        <w:t>وتتفرع من هذه الإشكالية التساؤلات الفرعية التالية:</w:t>
      </w:r>
    </w:p>
    <w:p w14:paraId="536461E5" w14:textId="77777777" w:rsidR="00C92736" w:rsidRPr="00770E31" w:rsidRDefault="00C92736" w:rsidP="00571D32">
      <w:pPr>
        <w:numPr>
          <w:ilvl w:val="0"/>
          <w:numId w:val="26"/>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770E31">
        <w:rPr>
          <w:rFonts w:ascii="Simplified Arabic" w:eastAsia="Times New Roman" w:hAnsi="Simplified Arabic" w:cs="Simplified Arabic" w:hint="cs"/>
          <w:color w:val="000000" w:themeColor="text1"/>
          <w:kern w:val="0"/>
          <w:sz w:val="32"/>
          <w:szCs w:val="32"/>
          <w:rtl/>
          <w14:ligatures w14:val="none"/>
        </w:rPr>
        <w:t>لماذا تظل معدلات الفقر مرتفعة في دول حققت نمواً ملحوظاً في عدد الحسابات البنكية؟</w:t>
      </w:r>
    </w:p>
    <w:p w14:paraId="4D0C6E53" w14:textId="77777777" w:rsidR="00C92736" w:rsidRPr="00770E31" w:rsidRDefault="00C92736" w:rsidP="00571D32">
      <w:pPr>
        <w:numPr>
          <w:ilvl w:val="0"/>
          <w:numId w:val="26"/>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770E31">
        <w:rPr>
          <w:rFonts w:ascii="Simplified Arabic" w:eastAsia="Times New Roman" w:hAnsi="Simplified Arabic" w:cs="Simplified Arabic" w:hint="cs"/>
          <w:color w:val="000000" w:themeColor="text1"/>
          <w:kern w:val="0"/>
          <w:sz w:val="32"/>
          <w:szCs w:val="32"/>
          <w:rtl/>
          <w14:ligatures w14:val="none"/>
        </w:rPr>
        <w:t>ما الدور الذي تلعبه التكنولوجيا المالية (</w:t>
      </w:r>
      <w:r w:rsidRPr="00770E31">
        <w:rPr>
          <w:rFonts w:ascii="Simplified Arabic" w:eastAsia="Times New Roman" w:hAnsi="Simplified Arabic" w:cs="Simplified Arabic" w:hint="cs"/>
          <w:color w:val="000000" w:themeColor="text1"/>
          <w:kern w:val="0"/>
          <w:sz w:val="32"/>
          <w:szCs w:val="32"/>
          <w14:ligatures w14:val="none"/>
        </w:rPr>
        <w:t>FinTech</w:t>
      </w:r>
      <w:r w:rsidRPr="00770E31">
        <w:rPr>
          <w:rFonts w:ascii="Simplified Arabic" w:eastAsia="Times New Roman" w:hAnsi="Simplified Arabic" w:cs="Simplified Arabic" w:hint="cs"/>
          <w:color w:val="000000" w:themeColor="text1"/>
          <w:kern w:val="0"/>
          <w:sz w:val="32"/>
          <w:szCs w:val="32"/>
          <w:rtl/>
          <w14:ligatures w14:val="none"/>
        </w:rPr>
        <w:t>) في سد فجوة عدم المساواة في توزيع الدخل؟</w:t>
      </w:r>
    </w:p>
    <w:p w14:paraId="70F141B6" w14:textId="77777777" w:rsidR="00C92736" w:rsidRPr="00770E31" w:rsidRDefault="00C92736" w:rsidP="00571D32">
      <w:pPr>
        <w:numPr>
          <w:ilvl w:val="0"/>
          <w:numId w:val="26"/>
        </w:numPr>
        <w:bidi/>
        <w:spacing w:after="60" w:line="240" w:lineRule="auto"/>
        <w:rPr>
          <w:rFonts w:ascii="Simplified Arabic" w:eastAsia="Times New Roman" w:hAnsi="Simplified Arabic" w:cs="Simplified Arabic" w:hint="cs"/>
          <w:color w:val="000000" w:themeColor="text1"/>
          <w:kern w:val="0"/>
          <w:sz w:val="32"/>
          <w:szCs w:val="32"/>
          <w:rtl/>
          <w14:ligatures w14:val="none"/>
        </w:rPr>
      </w:pPr>
      <w:r w:rsidRPr="00770E31">
        <w:rPr>
          <w:rFonts w:ascii="Simplified Arabic" w:eastAsia="Times New Roman" w:hAnsi="Simplified Arabic" w:cs="Simplified Arabic" w:hint="cs"/>
          <w:color w:val="000000" w:themeColor="text1"/>
          <w:kern w:val="0"/>
          <w:sz w:val="32"/>
          <w:szCs w:val="32"/>
          <w:rtl/>
          <w14:ligatures w14:val="none"/>
        </w:rPr>
        <w:t>هل توجد معوقات هيكلية تمنع الفئات المهمشة من الاستفادة من الخدمات المالية المتاحة؟</w:t>
      </w:r>
    </w:p>
    <w:p w14:paraId="7272E1F8" w14:textId="77777777" w:rsidR="00C92736" w:rsidRDefault="00C92736" w:rsidP="00571D32">
      <w:pPr>
        <w:bidi/>
        <w:spacing w:after="150" w:line="240" w:lineRule="auto"/>
        <w:rPr>
          <w:rFonts w:ascii="Simplified Arabic" w:eastAsiaTheme="minorEastAsia" w:hAnsi="Simplified Arabic" w:cs="Simplified Arabic"/>
          <w:color w:val="000000" w:themeColor="text1"/>
          <w:kern w:val="0"/>
          <w:sz w:val="32"/>
          <w:szCs w:val="32"/>
          <w:rtl/>
          <w14:ligatures w14:val="none"/>
        </w:rPr>
      </w:pPr>
    </w:p>
    <w:p w14:paraId="1DC377DE" w14:textId="77777777" w:rsidR="00770E31" w:rsidRDefault="00770E31" w:rsidP="00770E31">
      <w:pPr>
        <w:bidi/>
        <w:spacing w:after="150" w:line="240" w:lineRule="auto"/>
        <w:rPr>
          <w:rFonts w:ascii="Simplified Arabic" w:eastAsiaTheme="minorEastAsia" w:hAnsi="Simplified Arabic" w:cs="Simplified Arabic"/>
          <w:color w:val="000000" w:themeColor="text1"/>
          <w:kern w:val="0"/>
          <w:sz w:val="32"/>
          <w:szCs w:val="32"/>
          <w:rtl/>
          <w14:ligatures w14:val="none"/>
        </w:rPr>
      </w:pPr>
    </w:p>
    <w:p w14:paraId="44D9996F" w14:textId="77777777" w:rsidR="00770E31" w:rsidRPr="00770E31" w:rsidRDefault="00770E31" w:rsidP="00770E31">
      <w:pPr>
        <w:bidi/>
        <w:spacing w:after="150" w:line="240" w:lineRule="auto"/>
        <w:rPr>
          <w:rFonts w:ascii="Simplified Arabic" w:eastAsiaTheme="minorEastAsia" w:hAnsi="Simplified Arabic" w:cs="Simplified Arabic" w:hint="cs"/>
          <w:color w:val="000000" w:themeColor="text1"/>
          <w:kern w:val="0"/>
          <w:sz w:val="32"/>
          <w:szCs w:val="32"/>
          <w:rtl/>
          <w14:ligatures w14:val="none"/>
        </w:rPr>
      </w:pPr>
    </w:p>
    <w:p w14:paraId="3C53D4DD" w14:textId="77777777" w:rsidR="00C92736" w:rsidRPr="00770E31" w:rsidRDefault="00C92736" w:rsidP="00571D32">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r w:rsidRPr="00770E31">
        <w:rPr>
          <w:rFonts w:ascii="Simplified Arabic" w:eastAsiaTheme="minorEastAsia" w:hAnsi="Simplified Arabic" w:cs="Simplified Arabic" w:hint="cs"/>
          <w:b/>
          <w:bCs/>
          <w:color w:val="000000" w:themeColor="text1"/>
          <w:kern w:val="0"/>
          <w:sz w:val="32"/>
          <w:szCs w:val="32"/>
          <w:rtl/>
          <w14:ligatures w14:val="none"/>
        </w:rPr>
        <w:t>الفجوة البحثية:</w:t>
      </w:r>
    </w:p>
    <w:p w14:paraId="771A002B" w14:textId="77777777" w:rsidR="00C92736" w:rsidRPr="00770E31" w:rsidRDefault="00C92736" w:rsidP="00571D32">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r w:rsidRPr="00770E31">
        <w:rPr>
          <w:rFonts w:ascii="Simplified Arabic" w:eastAsiaTheme="minorEastAsia" w:hAnsi="Simplified Arabic" w:cs="Simplified Arabic" w:hint="cs"/>
          <w:color w:val="000000" w:themeColor="text1"/>
          <w:kern w:val="0"/>
          <w:sz w:val="32"/>
          <w:szCs w:val="32"/>
          <w:rtl/>
          <w14:ligatures w14:val="none"/>
        </w:rPr>
        <w:t>تتمثل الفجوة البحثية التي يسعى هذا البحث إلى سدّها في ندرة الدراسات التطبيقية التي وظّفت النموذج القياسي متعدد الأبعاد لقياس أثر الشمول المالي على الفقر في الاقتصاد المصري تحديداً، مع تغطية فترة التحولات الإصلاحية الكبرى (2011-2020).</w:t>
      </w:r>
    </w:p>
    <w:p w14:paraId="3B856250" w14:textId="77777777" w:rsidR="00C92736" w:rsidRPr="00770E31" w:rsidRDefault="00C92736" w:rsidP="00571D32">
      <w:pPr>
        <w:bidi/>
        <w:spacing w:after="180" w:line="240" w:lineRule="auto"/>
        <w:rPr>
          <w:rFonts w:ascii="Simplified Arabic" w:eastAsiaTheme="minorEastAsia" w:hAnsi="Simplified Arabic" w:cs="Simplified Arabic" w:hint="cs"/>
          <w:color w:val="000000" w:themeColor="text1"/>
          <w:kern w:val="0"/>
          <w:sz w:val="32"/>
          <w:szCs w:val="32"/>
          <w:rtl/>
          <w14:ligatures w14:val="none"/>
        </w:rPr>
      </w:pPr>
    </w:p>
    <w:p w14:paraId="14B6D0D4" w14:textId="77777777" w:rsidR="00E3691B" w:rsidRDefault="00E3691B" w:rsidP="008065C8">
      <w:pPr>
        <w:bidi/>
        <w:spacing w:line="240" w:lineRule="auto"/>
        <w:jc w:val="mediumKashida"/>
        <w:rPr>
          <w:rFonts w:ascii="Sakkal Majalla" w:eastAsia="Times New Roman" w:hAnsi="Sakkal Majalla" w:cs="Sakkal Majalla"/>
          <w:color w:val="0F1115"/>
          <w:sz w:val="34"/>
          <w:szCs w:val="34"/>
        </w:rPr>
      </w:pPr>
    </w:p>
    <w:p w14:paraId="3563340C" w14:textId="77777777" w:rsidR="008065C8" w:rsidRDefault="008065C8" w:rsidP="008065C8">
      <w:pPr>
        <w:bidi/>
        <w:spacing w:line="240" w:lineRule="auto"/>
        <w:jc w:val="mediumKashida"/>
        <w:rPr>
          <w:rFonts w:ascii="Sakkal Majalla" w:eastAsia="Times New Roman" w:hAnsi="Sakkal Majalla" w:cs="Sakkal Majalla"/>
          <w:color w:val="0F1115"/>
          <w:sz w:val="34"/>
          <w:szCs w:val="34"/>
          <w:rtl/>
        </w:rPr>
      </w:pPr>
    </w:p>
    <w:p w14:paraId="216B0E7F"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67D097AA"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57ED83DA"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5C435A0B"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69E04AE8"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7F5C3F94"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4AA90B10" w14:textId="77777777" w:rsidR="00E12464" w:rsidRDefault="00E12464" w:rsidP="00E12464">
      <w:pPr>
        <w:bidi/>
        <w:spacing w:line="240" w:lineRule="auto"/>
        <w:jc w:val="mediumKashida"/>
        <w:rPr>
          <w:rFonts w:ascii="Sakkal Majalla" w:eastAsia="Times New Roman" w:hAnsi="Sakkal Majalla" w:cs="Sakkal Majalla"/>
          <w:color w:val="0F1115"/>
          <w:sz w:val="34"/>
          <w:szCs w:val="34"/>
          <w:rtl/>
        </w:rPr>
      </w:pPr>
    </w:p>
    <w:p w14:paraId="56E79B8D" w14:textId="77777777" w:rsidR="00E12464" w:rsidRDefault="00E12464" w:rsidP="00E12464">
      <w:pPr>
        <w:bidi/>
        <w:spacing w:line="240" w:lineRule="auto"/>
        <w:jc w:val="mediumKashida"/>
        <w:rPr>
          <w:rFonts w:ascii="Sakkal Majalla" w:eastAsia="Times New Roman" w:hAnsi="Sakkal Majalla" w:cs="Sakkal Majalla"/>
          <w:color w:val="0F1115"/>
          <w:sz w:val="34"/>
          <w:szCs w:val="34"/>
        </w:rPr>
      </w:pPr>
    </w:p>
    <w:p w14:paraId="0C984324" w14:textId="77777777" w:rsidR="008065C8" w:rsidRPr="008065C8" w:rsidRDefault="008065C8" w:rsidP="008065C8">
      <w:pPr>
        <w:bidi/>
        <w:spacing w:line="240" w:lineRule="auto"/>
        <w:jc w:val="mediumKashida"/>
        <w:rPr>
          <w:rFonts w:ascii="Sakkal Majalla" w:eastAsia="Times New Roman" w:hAnsi="Sakkal Majalla" w:cs="Sakkal Majalla"/>
          <w:color w:val="0F1115"/>
          <w:sz w:val="34"/>
          <w:szCs w:val="34"/>
          <w:rtl/>
        </w:rPr>
      </w:pPr>
    </w:p>
    <w:p w14:paraId="794A20E3" w14:textId="240284E1" w:rsidR="001955FA" w:rsidRPr="00E12464" w:rsidRDefault="001955FA" w:rsidP="001A18C1">
      <w:pPr>
        <w:bidi/>
        <w:spacing w:line="240" w:lineRule="auto"/>
        <w:rPr>
          <w:rFonts w:ascii="Simplified Arabic" w:eastAsia="Calibri" w:hAnsi="Simplified Arabic" w:cs="Simplified Arabic" w:hint="cs"/>
          <w:color w:val="000000" w:themeColor="text1"/>
          <w:sz w:val="32"/>
          <w:szCs w:val="32"/>
          <w:rtl/>
        </w:rPr>
      </w:pPr>
      <w:r w:rsidRPr="00E12464">
        <w:rPr>
          <w:rFonts w:ascii="Simplified Arabic" w:eastAsia="Calibri" w:hAnsi="Simplified Arabic" w:cs="Simplified Arabic" w:hint="cs"/>
          <w:color w:val="000000" w:themeColor="text1"/>
          <w:sz w:val="32"/>
          <w:szCs w:val="32"/>
          <w:rtl/>
        </w:rPr>
        <w:lastRenderedPageBreak/>
        <w:t>أهمية الدراسة</w:t>
      </w:r>
    </w:p>
    <w:p w14:paraId="13D76CD6" w14:textId="77777777" w:rsidR="001A18C1" w:rsidRPr="00E12464" w:rsidRDefault="001A18C1" w:rsidP="001A18C1">
      <w:pPr>
        <w:bidi/>
        <w:spacing w:after="150" w:line="240" w:lineRule="auto"/>
        <w:rPr>
          <w:rFonts w:ascii="Simplified Arabic" w:eastAsiaTheme="minorEastAsia" w:hAnsi="Simplified Arabic" w:cs="Simplified Arabic" w:hint="cs"/>
          <w:color w:val="000000" w:themeColor="text1"/>
          <w:kern w:val="0"/>
          <w:sz w:val="32"/>
          <w:szCs w:val="32"/>
          <w14:ligatures w14:val="none"/>
        </w:rPr>
      </w:pPr>
      <w:r w:rsidRPr="00E12464">
        <w:rPr>
          <w:rFonts w:ascii="Simplified Arabic" w:eastAsiaTheme="minorEastAsia" w:hAnsi="Simplified Arabic" w:cs="Simplified Arabic" w:hint="cs"/>
          <w:b/>
          <w:bCs/>
          <w:color w:val="000000" w:themeColor="text1"/>
          <w:kern w:val="0"/>
          <w:sz w:val="32"/>
          <w:szCs w:val="32"/>
          <w:rtl/>
          <w14:ligatures w14:val="none"/>
        </w:rPr>
        <w:t>ثانياً: أهمية الدراسة</w:t>
      </w:r>
    </w:p>
    <w:p w14:paraId="4A76FC7F" w14:textId="77777777" w:rsidR="001A18C1" w:rsidRPr="00E12464" w:rsidRDefault="001A18C1" w:rsidP="001A18C1">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r w:rsidRPr="00E12464">
        <w:rPr>
          <w:rFonts w:ascii="Simplified Arabic" w:eastAsiaTheme="minorEastAsia" w:hAnsi="Simplified Arabic" w:cs="Simplified Arabic" w:hint="cs"/>
          <w:b/>
          <w:bCs/>
          <w:color w:val="000000" w:themeColor="text1"/>
          <w:kern w:val="0"/>
          <w:sz w:val="32"/>
          <w:szCs w:val="32"/>
          <w:rtl/>
          <w14:ligatures w14:val="none"/>
        </w:rPr>
        <w:t>أ) الأهمية العلمية:</w:t>
      </w:r>
    </w:p>
    <w:p w14:paraId="51C17B2A" w14:textId="77777777" w:rsidR="001A18C1" w:rsidRPr="00E12464" w:rsidRDefault="001A18C1" w:rsidP="001A18C1">
      <w:pPr>
        <w:numPr>
          <w:ilvl w:val="0"/>
          <w:numId w:val="27"/>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إثراء المكتبة العربية بدراسة تطبيقية تربط بين الشمول المالي متعدد الأبعاد والحد من الفقر في الاقتصاد المصري.</w:t>
      </w:r>
    </w:p>
    <w:p w14:paraId="069ECABC" w14:textId="77777777" w:rsidR="001A18C1" w:rsidRPr="00E12464" w:rsidRDefault="001A18C1" w:rsidP="001A18C1">
      <w:pPr>
        <w:numPr>
          <w:ilvl w:val="0"/>
          <w:numId w:val="27"/>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سد الفجوة البحثية في الأدبيات المتعلقة بأثر التمويل الأصغر الرقمي على الطبقات الفقيرة في السياق المصري تحديداً.</w:t>
      </w:r>
    </w:p>
    <w:p w14:paraId="14D444EC" w14:textId="77777777" w:rsidR="001A18C1" w:rsidRPr="00E12464" w:rsidRDefault="001A18C1" w:rsidP="001A18C1">
      <w:pPr>
        <w:numPr>
          <w:ilvl w:val="0"/>
          <w:numId w:val="27"/>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تقديم إطار نظري يربط بين نظرية الوساطة المالية، ونظرية النفاذ المالي، ونظرية الابتكار المالي، ونظرية التنمية البشرية.</w:t>
      </w:r>
    </w:p>
    <w:p w14:paraId="2E64D52C" w14:textId="77777777" w:rsidR="001A18C1" w:rsidRPr="00E12464" w:rsidRDefault="001A18C1" w:rsidP="001A18C1">
      <w:pPr>
        <w:numPr>
          <w:ilvl w:val="0"/>
          <w:numId w:val="27"/>
        </w:numPr>
        <w:bidi/>
        <w:spacing w:after="60"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 xml:space="preserve">توظيف المنهج الكمي القياسي بدقة إحصائية باستخدام نموذج الانحدار المتعدد عبر برنامج </w:t>
      </w:r>
      <w:r w:rsidRPr="00E12464">
        <w:rPr>
          <w:rFonts w:ascii="Simplified Arabic" w:eastAsia="Times New Roman" w:hAnsi="Simplified Arabic" w:cs="Simplified Arabic" w:hint="cs"/>
          <w:color w:val="000000" w:themeColor="text1"/>
          <w:kern w:val="0"/>
          <w:sz w:val="32"/>
          <w:szCs w:val="32"/>
          <w14:ligatures w14:val="none"/>
        </w:rPr>
        <w:t>SPSS 23</w:t>
      </w:r>
      <w:r w:rsidRPr="00E12464">
        <w:rPr>
          <w:rFonts w:ascii="Simplified Arabic" w:eastAsia="Times New Roman" w:hAnsi="Simplified Arabic" w:cs="Simplified Arabic" w:hint="cs"/>
          <w:color w:val="000000" w:themeColor="text1"/>
          <w:kern w:val="0"/>
          <w:sz w:val="32"/>
          <w:szCs w:val="32"/>
          <w:rtl/>
          <w14:ligatures w14:val="none"/>
        </w:rPr>
        <w:t>.</w:t>
      </w:r>
    </w:p>
    <w:p w14:paraId="6D52BEBD" w14:textId="77777777" w:rsidR="001A18C1" w:rsidRPr="00E12464" w:rsidRDefault="001A18C1" w:rsidP="001A18C1">
      <w:pPr>
        <w:bidi/>
        <w:spacing w:after="150" w:line="240" w:lineRule="auto"/>
        <w:rPr>
          <w:rFonts w:ascii="Simplified Arabic" w:eastAsiaTheme="minorEastAsia" w:hAnsi="Simplified Arabic" w:cs="Simplified Arabic" w:hint="cs"/>
          <w:color w:val="000000" w:themeColor="text1"/>
          <w:kern w:val="0"/>
          <w:sz w:val="32"/>
          <w:szCs w:val="32"/>
          <w:rtl/>
          <w14:ligatures w14:val="none"/>
        </w:rPr>
      </w:pPr>
    </w:p>
    <w:p w14:paraId="1A6C5CFC" w14:textId="77777777" w:rsidR="001A18C1" w:rsidRPr="00E12464" w:rsidRDefault="001A18C1" w:rsidP="001A18C1">
      <w:pPr>
        <w:bidi/>
        <w:spacing w:after="60" w:line="240" w:lineRule="auto"/>
        <w:rPr>
          <w:rFonts w:ascii="Simplified Arabic" w:eastAsiaTheme="minorEastAsia" w:hAnsi="Simplified Arabic" w:cs="Simplified Arabic" w:hint="cs"/>
          <w:color w:val="000000" w:themeColor="text1"/>
          <w:kern w:val="0"/>
          <w:sz w:val="32"/>
          <w:szCs w:val="32"/>
          <w:rtl/>
          <w14:ligatures w14:val="none"/>
        </w:rPr>
      </w:pPr>
      <w:r w:rsidRPr="00E12464">
        <w:rPr>
          <w:rFonts w:ascii="Simplified Arabic" w:eastAsiaTheme="minorEastAsia" w:hAnsi="Simplified Arabic" w:cs="Simplified Arabic" w:hint="cs"/>
          <w:b/>
          <w:bCs/>
          <w:color w:val="000000" w:themeColor="text1"/>
          <w:kern w:val="0"/>
          <w:sz w:val="32"/>
          <w:szCs w:val="32"/>
          <w:rtl/>
          <w14:ligatures w14:val="none"/>
        </w:rPr>
        <w:t>ب) الأهمية التطبيقية:</w:t>
      </w:r>
    </w:p>
    <w:p w14:paraId="4A3800D8" w14:textId="77777777" w:rsidR="001A18C1" w:rsidRPr="00E12464" w:rsidRDefault="001A18C1" w:rsidP="001A18C1">
      <w:pPr>
        <w:numPr>
          <w:ilvl w:val="0"/>
          <w:numId w:val="28"/>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تقديم توصيات عملية للمصارف المركزية لتطوير استراتيجيات شمول مالي أكثر فاعلية وشمولاً.</w:t>
      </w:r>
    </w:p>
    <w:p w14:paraId="61853B61" w14:textId="77777777" w:rsidR="001A18C1" w:rsidRPr="00E12464" w:rsidRDefault="001A18C1" w:rsidP="001A18C1">
      <w:pPr>
        <w:numPr>
          <w:ilvl w:val="0"/>
          <w:numId w:val="28"/>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مساعدة صانعي السياسات في تصميم برامج دعم نقدي تمر عبر القنوات الرسمية لضمان وصولها لمستحقيها.</w:t>
      </w:r>
    </w:p>
    <w:p w14:paraId="4F43DB11" w14:textId="77777777" w:rsidR="001A18C1" w:rsidRPr="00E12464" w:rsidRDefault="001A18C1" w:rsidP="001A18C1">
      <w:pPr>
        <w:numPr>
          <w:ilvl w:val="0"/>
          <w:numId w:val="28"/>
        </w:numPr>
        <w:bidi/>
        <w:spacing w:after="45" w:line="240" w:lineRule="auto"/>
        <w:rPr>
          <w:rFonts w:ascii="Simplified Arabic" w:eastAsia="Times New Roman" w:hAnsi="Simplified Arabic" w:cs="Simplified Arabic" w:hint="cs"/>
          <w:color w:val="000000" w:themeColor="text1"/>
          <w:kern w:val="0"/>
          <w:sz w:val="32"/>
          <w:szCs w:val="32"/>
          <w:rtl/>
          <w14:ligatures w14:val="none"/>
        </w:rPr>
      </w:pPr>
      <w:r w:rsidRPr="00E12464">
        <w:rPr>
          <w:rFonts w:ascii="Simplified Arabic" w:eastAsia="Times New Roman" w:hAnsi="Simplified Arabic" w:cs="Simplified Arabic" w:hint="cs"/>
          <w:color w:val="000000" w:themeColor="text1"/>
          <w:kern w:val="0"/>
          <w:sz w:val="32"/>
          <w:szCs w:val="32"/>
          <w:rtl/>
          <w14:ligatures w14:val="none"/>
        </w:rPr>
        <w:t>تطوير مؤشرات قياس تأخذ في الاعتبار الفجوة الجندرية في الوصول إلى الخدمات المالية.</w:t>
      </w:r>
    </w:p>
    <w:p w14:paraId="5BF2D342" w14:textId="1EC122B0" w:rsidR="001A18C1" w:rsidRPr="00DA2168" w:rsidRDefault="001A18C1" w:rsidP="00DA2168">
      <w:pPr>
        <w:numPr>
          <w:ilvl w:val="0"/>
          <w:numId w:val="28"/>
        </w:numPr>
        <w:bidi/>
        <w:spacing w:after="60" w:line="240" w:lineRule="auto"/>
        <w:rPr>
          <w:rFonts w:ascii="Simplified Arabic" w:eastAsia="Times New Roman" w:hAnsi="Simplified Arabic" w:cs="Simplified Arabic"/>
          <w:color w:val="000000" w:themeColor="text1"/>
          <w:kern w:val="0"/>
          <w:sz w:val="32"/>
          <w:szCs w:val="32"/>
          <w14:ligatures w14:val="none"/>
        </w:rPr>
      </w:pPr>
      <w:r w:rsidRPr="00E12464">
        <w:rPr>
          <w:rFonts w:ascii="Simplified Arabic" w:eastAsia="Times New Roman" w:hAnsi="Simplified Arabic" w:cs="Simplified Arabic" w:hint="cs"/>
          <w:color w:val="000000" w:themeColor="text1"/>
          <w:kern w:val="0"/>
          <w:sz w:val="32"/>
          <w:szCs w:val="32"/>
          <w:rtl/>
          <w14:ligatures w14:val="none"/>
        </w:rPr>
        <w:lastRenderedPageBreak/>
        <w:t>تزويد المؤسسات المالية الدولية والجهات التنموية بأدلة كمية تدعم قراراتها التمويلية.</w:t>
      </w:r>
    </w:p>
    <w:p w14:paraId="0A1A532D" w14:textId="02AB1B7C" w:rsidR="001955FA" w:rsidRPr="00DA2168" w:rsidRDefault="001955FA" w:rsidP="00DA2168">
      <w:pPr>
        <w:bidi/>
        <w:spacing w:line="240" w:lineRule="auto"/>
        <w:rPr>
          <w:rFonts w:ascii="Simplified Arabic" w:eastAsia="Calibri" w:hAnsi="Simplified Arabic" w:cs="Simplified Arabic" w:hint="cs"/>
          <w:color w:val="000000" w:themeColor="text1"/>
          <w:sz w:val="30"/>
          <w:szCs w:val="30"/>
          <w:rtl/>
        </w:rPr>
      </w:pPr>
      <w:r w:rsidRPr="00DA2168">
        <w:rPr>
          <w:rFonts w:ascii="Simplified Arabic" w:eastAsia="Calibri" w:hAnsi="Simplified Arabic" w:cs="Simplified Arabic" w:hint="cs"/>
          <w:color w:val="000000" w:themeColor="text1"/>
          <w:sz w:val="30"/>
          <w:szCs w:val="30"/>
          <w:rtl/>
        </w:rPr>
        <w:t>أهداف الدراسة</w:t>
      </w:r>
    </w:p>
    <w:p w14:paraId="114BC475" w14:textId="77777777" w:rsidR="00DA2168" w:rsidRPr="00DA2168" w:rsidRDefault="00DA2168" w:rsidP="00DA2168">
      <w:pPr>
        <w:bidi/>
        <w:spacing w:after="60" w:line="240" w:lineRule="auto"/>
        <w:rPr>
          <w:rFonts w:ascii="Simplified Arabic" w:eastAsiaTheme="minorEastAsia" w:hAnsi="Simplified Arabic" w:cs="Simplified Arabic" w:hint="cs"/>
          <w:color w:val="000000" w:themeColor="text1"/>
          <w:kern w:val="0"/>
          <w:sz w:val="30"/>
          <w:szCs w:val="30"/>
          <w14:ligatures w14:val="none"/>
        </w:rPr>
      </w:pPr>
      <w:r w:rsidRPr="00DA2168">
        <w:rPr>
          <w:rFonts w:ascii="Simplified Arabic" w:eastAsiaTheme="minorEastAsia" w:hAnsi="Simplified Arabic" w:cs="Simplified Arabic" w:hint="cs"/>
          <w:color w:val="000000" w:themeColor="text1"/>
          <w:kern w:val="0"/>
          <w:sz w:val="30"/>
          <w:szCs w:val="30"/>
          <w:rtl/>
          <w14:ligatures w14:val="none"/>
        </w:rPr>
        <w:t>الهدف العام:</w:t>
      </w:r>
    </w:p>
    <w:p w14:paraId="22BC81E4" w14:textId="77777777" w:rsidR="00DA2168" w:rsidRPr="00DA2168" w:rsidRDefault="00DA2168" w:rsidP="00DA2168">
      <w:pPr>
        <w:bidi/>
        <w:spacing w:after="60" w:line="240" w:lineRule="auto"/>
        <w:rPr>
          <w:rFonts w:ascii="Simplified Arabic" w:eastAsiaTheme="minorEastAsia" w:hAnsi="Simplified Arabic" w:cs="Simplified Arabic" w:hint="cs"/>
          <w:color w:val="000000" w:themeColor="text1"/>
          <w:kern w:val="0"/>
          <w:sz w:val="30"/>
          <w:szCs w:val="30"/>
          <w:rtl/>
          <w14:ligatures w14:val="none"/>
        </w:rPr>
      </w:pPr>
      <w:r w:rsidRPr="00DA2168">
        <w:rPr>
          <w:rFonts w:ascii="Simplified Arabic" w:eastAsiaTheme="minorEastAsia" w:hAnsi="Simplified Arabic" w:cs="Simplified Arabic" w:hint="cs"/>
          <w:color w:val="000000" w:themeColor="text1"/>
          <w:kern w:val="0"/>
          <w:sz w:val="30"/>
          <w:szCs w:val="30"/>
          <w:rtl/>
          <w14:ligatures w14:val="none"/>
        </w:rPr>
        <w:t>قياس وتحليل أثر آليات الشمول المالي في الحد من الفقر وتقليص فجوة عدم المساواة في جمهورية مصر العربية خلال الفترة (2011-2020).</w:t>
      </w:r>
    </w:p>
    <w:p w14:paraId="34CFC2F3" w14:textId="77777777" w:rsidR="00DA2168" w:rsidRPr="00DA2168" w:rsidRDefault="00DA2168" w:rsidP="00DA2168">
      <w:pPr>
        <w:bidi/>
        <w:spacing w:after="150" w:line="240" w:lineRule="auto"/>
        <w:rPr>
          <w:rFonts w:ascii="Simplified Arabic" w:eastAsiaTheme="minorEastAsia" w:hAnsi="Simplified Arabic" w:cs="Simplified Arabic" w:hint="cs"/>
          <w:color w:val="000000" w:themeColor="text1"/>
          <w:kern w:val="0"/>
          <w:sz w:val="30"/>
          <w:szCs w:val="30"/>
          <w:rtl/>
          <w14:ligatures w14:val="none"/>
        </w:rPr>
      </w:pPr>
    </w:p>
    <w:p w14:paraId="2176A3D2" w14:textId="77777777" w:rsidR="00DA2168" w:rsidRPr="00DA2168" w:rsidRDefault="00DA2168" w:rsidP="00DA2168">
      <w:pPr>
        <w:bidi/>
        <w:spacing w:after="60" w:line="240" w:lineRule="auto"/>
        <w:rPr>
          <w:rFonts w:ascii="Simplified Arabic" w:eastAsiaTheme="minorEastAsia" w:hAnsi="Simplified Arabic" w:cs="Simplified Arabic" w:hint="cs"/>
          <w:color w:val="000000" w:themeColor="text1"/>
          <w:kern w:val="0"/>
          <w:sz w:val="30"/>
          <w:szCs w:val="30"/>
          <w:rtl/>
          <w14:ligatures w14:val="none"/>
        </w:rPr>
      </w:pPr>
      <w:r w:rsidRPr="00DA2168">
        <w:rPr>
          <w:rFonts w:ascii="Simplified Arabic" w:eastAsiaTheme="minorEastAsia" w:hAnsi="Simplified Arabic" w:cs="Simplified Arabic" w:hint="cs"/>
          <w:color w:val="000000" w:themeColor="text1"/>
          <w:kern w:val="0"/>
          <w:sz w:val="30"/>
          <w:szCs w:val="30"/>
          <w:rtl/>
          <w14:ligatures w14:val="none"/>
        </w:rPr>
        <w:t>الأهداف الخاصة:</w:t>
      </w:r>
    </w:p>
    <w:p w14:paraId="5F7763F6" w14:textId="77777777" w:rsidR="00DA2168" w:rsidRPr="00DA2168" w:rsidRDefault="00DA2168" w:rsidP="00DA2168">
      <w:pPr>
        <w:numPr>
          <w:ilvl w:val="0"/>
          <w:numId w:val="29"/>
        </w:numPr>
        <w:bidi/>
        <w:spacing w:after="45" w:line="240" w:lineRule="auto"/>
        <w:rPr>
          <w:rFonts w:ascii="Simplified Arabic" w:eastAsia="Times New Roman" w:hAnsi="Simplified Arabic" w:cs="Simplified Arabic" w:hint="cs"/>
          <w:color w:val="000000" w:themeColor="text1"/>
          <w:kern w:val="0"/>
          <w:sz w:val="30"/>
          <w:szCs w:val="30"/>
          <w:rtl/>
          <w14:ligatures w14:val="none"/>
        </w:rPr>
      </w:pPr>
      <w:r w:rsidRPr="00DA2168">
        <w:rPr>
          <w:rFonts w:ascii="Simplified Arabic" w:eastAsia="Times New Roman" w:hAnsi="Simplified Arabic" w:cs="Simplified Arabic" w:hint="cs"/>
          <w:color w:val="000000" w:themeColor="text1"/>
          <w:kern w:val="0"/>
          <w:sz w:val="30"/>
          <w:szCs w:val="30"/>
          <w:rtl/>
          <w14:ligatures w14:val="none"/>
        </w:rPr>
        <w:t>قياس العلاقة الارتباطية بين انتشار الخدمات المصرفية ومعدلات الاستهلاك لدى الأسر الفقيرة في مصر.</w:t>
      </w:r>
    </w:p>
    <w:p w14:paraId="0242C8CF" w14:textId="77777777" w:rsidR="00DA2168" w:rsidRPr="00DA2168" w:rsidRDefault="00DA2168" w:rsidP="00DA2168">
      <w:pPr>
        <w:numPr>
          <w:ilvl w:val="0"/>
          <w:numId w:val="29"/>
        </w:numPr>
        <w:bidi/>
        <w:spacing w:after="45" w:line="240" w:lineRule="auto"/>
        <w:rPr>
          <w:rFonts w:ascii="Simplified Arabic" w:eastAsia="Times New Roman" w:hAnsi="Simplified Arabic" w:cs="Simplified Arabic" w:hint="cs"/>
          <w:color w:val="000000" w:themeColor="text1"/>
          <w:kern w:val="0"/>
          <w:sz w:val="30"/>
          <w:szCs w:val="30"/>
          <w:rtl/>
          <w14:ligatures w14:val="none"/>
        </w:rPr>
      </w:pPr>
      <w:r w:rsidRPr="00DA2168">
        <w:rPr>
          <w:rFonts w:ascii="Simplified Arabic" w:eastAsia="Times New Roman" w:hAnsi="Simplified Arabic" w:cs="Simplified Arabic" w:hint="cs"/>
          <w:color w:val="000000" w:themeColor="text1"/>
          <w:kern w:val="0"/>
          <w:sz w:val="30"/>
          <w:szCs w:val="30"/>
          <w:rtl/>
          <w14:ligatures w14:val="none"/>
        </w:rPr>
        <w:t>قياس أثر التكنولوجيا المالية (الدفع عبر الهاتف المحمول) في خفض تكاليف المعاملات للفئات محدودة الدخل.</w:t>
      </w:r>
    </w:p>
    <w:p w14:paraId="571E6B04" w14:textId="77777777" w:rsidR="00DA2168" w:rsidRPr="00DA2168" w:rsidRDefault="00DA2168" w:rsidP="00DA2168">
      <w:pPr>
        <w:numPr>
          <w:ilvl w:val="0"/>
          <w:numId w:val="29"/>
        </w:numPr>
        <w:bidi/>
        <w:spacing w:after="45" w:line="240" w:lineRule="auto"/>
        <w:rPr>
          <w:rFonts w:ascii="Simplified Arabic" w:eastAsia="Times New Roman" w:hAnsi="Simplified Arabic" w:cs="Simplified Arabic" w:hint="cs"/>
          <w:color w:val="000000" w:themeColor="text1"/>
          <w:kern w:val="0"/>
          <w:sz w:val="30"/>
          <w:szCs w:val="30"/>
          <w:rtl/>
          <w14:ligatures w14:val="none"/>
        </w:rPr>
      </w:pPr>
      <w:r w:rsidRPr="00DA2168">
        <w:rPr>
          <w:rFonts w:ascii="Simplified Arabic" w:eastAsia="Times New Roman" w:hAnsi="Simplified Arabic" w:cs="Simplified Arabic" w:hint="cs"/>
          <w:color w:val="000000" w:themeColor="text1"/>
          <w:kern w:val="0"/>
          <w:sz w:val="30"/>
          <w:szCs w:val="30"/>
          <w:rtl/>
          <w14:ligatures w14:val="none"/>
        </w:rPr>
        <w:t>قياس دور الثقافة المالية بوصفها متغيراً وسيطاً في تعظيم الاستفادة من المنتجات المالية الرسمية.</w:t>
      </w:r>
    </w:p>
    <w:p w14:paraId="44FC4CAD" w14:textId="77777777" w:rsidR="00DA2168" w:rsidRPr="00DA2168" w:rsidRDefault="00DA2168" w:rsidP="00DA2168">
      <w:pPr>
        <w:numPr>
          <w:ilvl w:val="0"/>
          <w:numId w:val="29"/>
        </w:numPr>
        <w:bidi/>
        <w:spacing w:after="60" w:line="240" w:lineRule="auto"/>
        <w:rPr>
          <w:rFonts w:ascii="Simplified Arabic" w:eastAsia="Times New Roman" w:hAnsi="Simplified Arabic" w:cs="Simplified Arabic" w:hint="cs"/>
          <w:color w:val="000000" w:themeColor="text1"/>
          <w:kern w:val="0"/>
          <w:sz w:val="30"/>
          <w:szCs w:val="30"/>
          <w:rtl/>
          <w14:ligatures w14:val="none"/>
        </w:rPr>
      </w:pPr>
      <w:r w:rsidRPr="00DA2168">
        <w:rPr>
          <w:rFonts w:ascii="Simplified Arabic" w:eastAsia="Times New Roman" w:hAnsi="Simplified Arabic" w:cs="Simplified Arabic" w:hint="cs"/>
          <w:color w:val="000000" w:themeColor="text1"/>
          <w:kern w:val="0"/>
          <w:sz w:val="30"/>
          <w:szCs w:val="30"/>
          <w:rtl/>
          <w14:ligatures w14:val="none"/>
        </w:rPr>
        <w:t>تحديد العوائق التشريعية والهيكلية التي تحدّ من وصول الخدمات المالية إلى المناطق الريفية والمهمشة.</w:t>
      </w:r>
    </w:p>
    <w:p w14:paraId="1E16599F" w14:textId="77777777" w:rsidR="00DA2168" w:rsidRPr="00DA2168" w:rsidRDefault="00DA2168" w:rsidP="00DA2168">
      <w:pPr>
        <w:bidi/>
        <w:spacing w:after="180" w:line="240" w:lineRule="auto"/>
        <w:rPr>
          <w:rFonts w:ascii="Simplified Arabic" w:eastAsiaTheme="minorEastAsia" w:hAnsi="Simplified Arabic" w:cs="Simplified Arabic" w:hint="cs"/>
          <w:color w:val="000000" w:themeColor="text1"/>
          <w:kern w:val="0"/>
          <w:sz w:val="30"/>
          <w:szCs w:val="30"/>
          <w:rtl/>
          <w14:ligatures w14:val="none"/>
        </w:rPr>
      </w:pPr>
    </w:p>
    <w:p w14:paraId="6A359967" w14:textId="77777777" w:rsidR="001955FA" w:rsidRDefault="001955FA" w:rsidP="008065C8">
      <w:pPr>
        <w:bidi/>
        <w:spacing w:line="240" w:lineRule="auto"/>
        <w:jc w:val="mediumKashida"/>
        <w:rPr>
          <w:rFonts w:ascii="Sakkal Majalla" w:eastAsia="Calibri" w:hAnsi="Sakkal Majalla" w:cs="Sakkal Majalla"/>
          <w:sz w:val="34"/>
          <w:szCs w:val="34"/>
          <w:rtl/>
        </w:rPr>
      </w:pPr>
    </w:p>
    <w:p w14:paraId="4A7126F6" w14:textId="77777777" w:rsidR="00044BBD" w:rsidRDefault="00044BBD" w:rsidP="00044BBD">
      <w:pPr>
        <w:bidi/>
        <w:spacing w:line="240" w:lineRule="auto"/>
        <w:jc w:val="mediumKashida"/>
        <w:rPr>
          <w:rFonts w:ascii="Sakkal Majalla" w:eastAsia="Calibri" w:hAnsi="Sakkal Majalla" w:cs="Sakkal Majalla"/>
          <w:sz w:val="34"/>
          <w:szCs w:val="34"/>
          <w:rtl/>
        </w:rPr>
      </w:pPr>
    </w:p>
    <w:p w14:paraId="361012F3" w14:textId="77777777" w:rsidR="00044BBD" w:rsidRDefault="00044BBD" w:rsidP="00044BBD">
      <w:pPr>
        <w:bidi/>
        <w:spacing w:line="240" w:lineRule="auto"/>
        <w:jc w:val="mediumKashida"/>
        <w:rPr>
          <w:rFonts w:ascii="Sakkal Majalla" w:eastAsia="Calibri" w:hAnsi="Sakkal Majalla" w:cs="Sakkal Majalla"/>
          <w:sz w:val="34"/>
          <w:szCs w:val="34"/>
          <w:rtl/>
        </w:rPr>
      </w:pPr>
    </w:p>
    <w:p w14:paraId="07A70137" w14:textId="77777777" w:rsidR="00044BBD" w:rsidRDefault="00044BBD" w:rsidP="00044BBD">
      <w:pPr>
        <w:bidi/>
        <w:spacing w:line="240" w:lineRule="auto"/>
        <w:jc w:val="mediumKashida"/>
        <w:rPr>
          <w:rFonts w:ascii="Sakkal Majalla" w:eastAsia="Calibri" w:hAnsi="Sakkal Majalla" w:cs="Sakkal Majalla"/>
          <w:sz w:val="34"/>
          <w:szCs w:val="34"/>
          <w:rtl/>
        </w:rPr>
      </w:pPr>
    </w:p>
    <w:p w14:paraId="1B09286B" w14:textId="77777777" w:rsidR="00044BBD" w:rsidRPr="008065C8" w:rsidRDefault="00044BBD" w:rsidP="00044BBD">
      <w:pPr>
        <w:bidi/>
        <w:spacing w:line="240" w:lineRule="auto"/>
        <w:jc w:val="mediumKashida"/>
        <w:rPr>
          <w:rFonts w:ascii="Sakkal Majalla" w:eastAsia="Calibri" w:hAnsi="Sakkal Majalla" w:cs="Sakkal Majalla"/>
          <w:sz w:val="34"/>
          <w:szCs w:val="34"/>
          <w:rtl/>
        </w:rPr>
      </w:pPr>
    </w:p>
    <w:p w14:paraId="254AEF6B" w14:textId="77777777" w:rsidR="001955FA" w:rsidRPr="008065C8" w:rsidRDefault="001955FA" w:rsidP="008065C8">
      <w:pPr>
        <w:bidi/>
        <w:spacing w:line="240" w:lineRule="auto"/>
        <w:jc w:val="mediumKashida"/>
        <w:rPr>
          <w:rFonts w:ascii="Sakkal Majalla" w:eastAsia="Calibri" w:hAnsi="Sakkal Majalla" w:cs="Sakkal Majalla"/>
          <w:sz w:val="34"/>
          <w:szCs w:val="34"/>
          <w:rtl/>
        </w:rPr>
      </w:pPr>
      <w:r w:rsidRPr="008065C8">
        <w:rPr>
          <w:rFonts w:ascii="Sakkal Majalla" w:eastAsia="Calibri" w:hAnsi="Sakkal Majalla" w:cs="Sakkal Majalla"/>
          <w:sz w:val="34"/>
          <w:szCs w:val="34"/>
          <w:rtl/>
        </w:rPr>
        <w:t>تساؤلات الدراسة</w:t>
      </w:r>
    </w:p>
    <w:p w14:paraId="1CA9D8EB" w14:textId="77777777" w:rsidR="00241B7B" w:rsidRPr="008065C8" w:rsidRDefault="00241B7B" w:rsidP="008065C8">
      <w:pPr>
        <w:bidi/>
        <w:spacing w:after="0" w:line="240" w:lineRule="auto"/>
        <w:ind w:right="470" w:hanging="320"/>
        <w:jc w:val="mediumKashida"/>
        <w:rPr>
          <w:rFonts w:ascii="Sakkal Majalla" w:eastAsiaTheme="minorEastAsia" w:hAnsi="Sakkal Majalla" w:cs="Sakkal Majalla"/>
          <w:color w:val="1B1C1D"/>
          <w:kern w:val="0"/>
          <w:sz w:val="34"/>
          <w:szCs w:val="34"/>
          <w14:ligatures w14:val="none"/>
        </w:rPr>
      </w:pPr>
      <w:r w:rsidRPr="008065C8">
        <w:rPr>
          <w:rFonts w:ascii="Sakkal Majalla" w:eastAsiaTheme="minorEastAsia" w:hAnsi="Sakkal Majalla" w:cs="Sakkal Majalla"/>
          <w:color w:val="1B1C1D"/>
          <w:kern w:val="0"/>
          <w:sz w:val="34"/>
          <w:szCs w:val="34"/>
          <w:rtl/>
          <w14:ligatures w14:val="none"/>
        </w:rPr>
        <w:t>ما هو أثر التوسع في نقاط الوصول المالي (الفروع، الصرافات، الوكلاء) على دخل الفرد؟</w:t>
      </w:r>
    </w:p>
    <w:p w14:paraId="3AF37BCC" w14:textId="77777777" w:rsidR="00241B7B" w:rsidRPr="008065C8" w:rsidRDefault="00241B7B" w:rsidP="008065C8">
      <w:pPr>
        <w:bidi/>
        <w:spacing w:before="135" w:after="0" w:line="240" w:lineRule="auto"/>
        <w:ind w:right="503" w:hanging="353"/>
        <w:jc w:val="mediumKashida"/>
        <w:rPr>
          <w:rFonts w:ascii="Sakkal Majalla" w:eastAsiaTheme="minorEastAsia" w:hAnsi="Sakkal Majalla" w:cs="Sakkal Majalla"/>
          <w:color w:val="1B1C1D"/>
          <w:kern w:val="0"/>
          <w:sz w:val="34"/>
          <w:szCs w:val="34"/>
          <w:rtl/>
          <w14:ligatures w14:val="none"/>
        </w:rPr>
      </w:pPr>
      <w:r w:rsidRPr="008065C8">
        <w:rPr>
          <w:rFonts w:ascii="Sakkal Majalla" w:eastAsiaTheme="minorEastAsia" w:hAnsi="Sakkal Majalla" w:cs="Sakkal Majalla"/>
          <w:color w:val="1B1C1D"/>
          <w:kern w:val="0"/>
          <w:sz w:val="34"/>
          <w:szCs w:val="34"/>
          <w:rtl/>
          <w14:ligatures w14:val="none"/>
        </w:rPr>
        <w:t>2. كيف تسهم الرقمنة المالية في تقليل معامل "جيني" لعدم المساواة في الدول النامية؟</w:t>
      </w:r>
    </w:p>
    <w:p w14:paraId="29E12571" w14:textId="77777777" w:rsidR="00241B7B" w:rsidRPr="008065C8" w:rsidRDefault="00241B7B" w:rsidP="008065C8">
      <w:pPr>
        <w:bidi/>
        <w:spacing w:before="135" w:after="0" w:line="240" w:lineRule="auto"/>
        <w:ind w:right="503" w:hanging="353"/>
        <w:jc w:val="mediumKashida"/>
        <w:rPr>
          <w:rFonts w:ascii="Sakkal Majalla" w:eastAsiaTheme="minorEastAsia" w:hAnsi="Sakkal Majalla" w:cs="Sakkal Majalla"/>
          <w:color w:val="1B1C1D"/>
          <w:kern w:val="0"/>
          <w:sz w:val="34"/>
          <w:szCs w:val="34"/>
          <w:rtl/>
          <w14:ligatures w14:val="none"/>
        </w:rPr>
      </w:pPr>
      <w:r w:rsidRPr="008065C8">
        <w:rPr>
          <w:rFonts w:ascii="Sakkal Majalla" w:eastAsiaTheme="minorEastAsia" w:hAnsi="Sakkal Majalla" w:cs="Sakkal Majalla"/>
          <w:color w:val="1B1C1D"/>
          <w:kern w:val="0"/>
          <w:sz w:val="34"/>
          <w:szCs w:val="34"/>
          <w:rtl/>
          <w14:ligatures w14:val="none"/>
        </w:rPr>
        <w:t>3. هل يؤدي توفر الائتمان للمشروعات الصغيرة والمتوسطة إلى خلق فرص عمل تحد من الفقر الهيكلي؟</w:t>
      </w:r>
    </w:p>
    <w:p w14:paraId="3D661BD8" w14:textId="77777777" w:rsidR="00241B7B" w:rsidRPr="008065C8" w:rsidRDefault="00241B7B" w:rsidP="008065C8">
      <w:pPr>
        <w:bidi/>
        <w:spacing w:before="135" w:after="0" w:line="240" w:lineRule="auto"/>
        <w:ind w:right="509" w:hanging="359"/>
        <w:jc w:val="mediumKashida"/>
        <w:rPr>
          <w:rFonts w:ascii="Sakkal Majalla" w:eastAsiaTheme="minorEastAsia" w:hAnsi="Sakkal Majalla" w:cs="Sakkal Majalla"/>
          <w:color w:val="1B1C1D"/>
          <w:kern w:val="0"/>
          <w:sz w:val="34"/>
          <w:szCs w:val="34"/>
          <w:rtl/>
          <w14:ligatures w14:val="none"/>
        </w:rPr>
      </w:pPr>
      <w:r w:rsidRPr="008065C8">
        <w:rPr>
          <w:rFonts w:ascii="Sakkal Majalla" w:eastAsiaTheme="minorEastAsia" w:hAnsi="Sakkal Majalla" w:cs="Sakkal Majalla"/>
          <w:color w:val="1B1C1D"/>
          <w:kern w:val="0"/>
          <w:sz w:val="34"/>
          <w:szCs w:val="34"/>
          <w:rtl/>
          <w14:ligatures w14:val="none"/>
        </w:rPr>
        <w:t>4. ما هي المعوقات الثقافية والتقنية التي تحول دون تحقيق شمول مالي كامل؟</w:t>
      </w:r>
    </w:p>
    <w:p w14:paraId="1B7F76F5" w14:textId="77777777" w:rsidR="00241B7B" w:rsidRPr="008065C8" w:rsidRDefault="00241B7B" w:rsidP="008065C8">
      <w:pPr>
        <w:bidi/>
        <w:spacing w:line="240" w:lineRule="auto"/>
        <w:jc w:val="mediumKashida"/>
        <w:rPr>
          <w:rFonts w:ascii="Sakkal Majalla" w:eastAsia="Times New Roman" w:hAnsi="Sakkal Majalla" w:cs="Sakkal Majalla"/>
          <w:color w:val="0F1115"/>
          <w:sz w:val="34"/>
          <w:szCs w:val="34"/>
          <w:rtl/>
        </w:rPr>
      </w:pPr>
    </w:p>
    <w:p w14:paraId="4CB00831" w14:textId="77777777" w:rsidR="00E6075E" w:rsidRPr="008065C8" w:rsidRDefault="00E6075E" w:rsidP="008065C8">
      <w:pPr>
        <w:bidi/>
        <w:spacing w:line="240" w:lineRule="auto"/>
        <w:jc w:val="mediumKashida"/>
        <w:rPr>
          <w:rFonts w:ascii="Sakkal Majalla" w:eastAsia="Times New Roman" w:hAnsi="Sakkal Majalla" w:cs="Sakkal Majalla"/>
          <w:color w:val="0F1115"/>
          <w:sz w:val="34"/>
          <w:szCs w:val="34"/>
          <w:rtl/>
        </w:rPr>
      </w:pPr>
    </w:p>
    <w:p w14:paraId="767A5E49" w14:textId="53B11CF0" w:rsidR="001955FA" w:rsidRPr="008065C8" w:rsidRDefault="001955FA" w:rsidP="008065C8">
      <w:pPr>
        <w:bidi/>
        <w:spacing w:line="240" w:lineRule="auto"/>
        <w:jc w:val="mediumKashida"/>
        <w:rPr>
          <w:rFonts w:ascii="Sakkal Majalla" w:eastAsia="Calibri" w:hAnsi="Sakkal Majalla" w:cs="Sakkal Majalla"/>
          <w:sz w:val="34"/>
          <w:szCs w:val="34"/>
          <w:rtl/>
        </w:rPr>
      </w:pPr>
      <w:r w:rsidRPr="008065C8">
        <w:rPr>
          <w:rFonts w:ascii="Sakkal Majalla" w:eastAsia="Calibri" w:hAnsi="Sakkal Majalla" w:cs="Sakkal Majalla"/>
          <w:sz w:val="34"/>
          <w:szCs w:val="34"/>
          <w:rtl/>
        </w:rPr>
        <w:t>فروض الدراسة</w:t>
      </w:r>
    </w:p>
    <w:p w14:paraId="3EFF5004" w14:textId="77777777" w:rsidR="00E6075E" w:rsidRPr="008065C8" w:rsidRDefault="00E6075E" w:rsidP="008065C8">
      <w:pPr>
        <w:bidi/>
        <w:spacing w:after="0" w:line="240" w:lineRule="auto"/>
        <w:ind w:right="401" w:hanging="251"/>
        <w:jc w:val="mediumKashida"/>
        <w:rPr>
          <w:rFonts w:ascii="Sakkal Majalla" w:eastAsiaTheme="minorEastAsia" w:hAnsi="Sakkal Majalla" w:cs="Sakkal Majalla"/>
          <w:color w:val="1B1C1D"/>
          <w:kern w:val="0"/>
          <w:sz w:val="34"/>
          <w:szCs w:val="34"/>
          <w14:ligatures w14:val="none"/>
        </w:rPr>
      </w:pPr>
      <w:r w:rsidRPr="008065C8">
        <w:rPr>
          <w:rFonts w:ascii="Sakkal Majalla" w:eastAsiaTheme="minorEastAsia" w:hAnsi="Sakkal Majalla" w:cs="Sakkal Majalla"/>
          <w:color w:val="1B1C1D"/>
          <w:kern w:val="0"/>
          <w:sz w:val="34"/>
          <w:szCs w:val="34"/>
          <w:rtl/>
          <w14:ligatures w14:val="none"/>
        </w:rPr>
        <w:t>• الفرضية الرئيسية: "يوجد تأثير ذو دلالة إحصائية عند مستوى معنوية (</w:t>
      </w:r>
      <w:r w:rsidRPr="008065C8">
        <w:rPr>
          <w:rFonts w:ascii="Sakkal Majalla" w:eastAsiaTheme="minorEastAsia" w:hAnsi="Sakkal Majalla" w:cs="Sakkal Majalla"/>
          <w:color w:val="000000"/>
          <w:kern w:val="0"/>
          <w:sz w:val="34"/>
          <w:szCs w:val="34"/>
          <w:rtl/>
          <w14:ligatures w14:val="none"/>
        </w:rPr>
        <w:t>\</w:t>
      </w:r>
      <w:r w:rsidRPr="008065C8">
        <w:rPr>
          <w:rFonts w:ascii="Sakkal Majalla" w:eastAsiaTheme="minorEastAsia" w:hAnsi="Sakkal Majalla" w:cs="Sakkal Majalla"/>
          <w:color w:val="000000"/>
          <w:kern w:val="0"/>
          <w:sz w:val="34"/>
          <w:szCs w:val="34"/>
          <w14:ligatures w14:val="none"/>
        </w:rPr>
        <w:t>bm{\alpha \leq 0.05}</w:t>
      </w:r>
      <w:r w:rsidRPr="008065C8">
        <w:rPr>
          <w:rFonts w:ascii="Sakkal Majalla" w:eastAsiaTheme="minorEastAsia" w:hAnsi="Sakkal Majalla" w:cs="Sakkal Majalla"/>
          <w:color w:val="1B1C1D"/>
          <w:kern w:val="0"/>
          <w:sz w:val="34"/>
          <w:szCs w:val="34"/>
          <w:rtl/>
          <w14:ligatures w14:val="none"/>
        </w:rPr>
        <w:t>) للشمول المالي على خفض مؤشرات الفقر في الدول النامية".</w:t>
      </w:r>
    </w:p>
    <w:p w14:paraId="63AD8A42" w14:textId="77777777" w:rsidR="00E6075E" w:rsidRPr="008065C8" w:rsidRDefault="00E6075E" w:rsidP="008065C8">
      <w:pPr>
        <w:bidi/>
        <w:spacing w:before="255" w:after="0" w:line="240" w:lineRule="auto"/>
        <w:jc w:val="mediumKashida"/>
        <w:rPr>
          <w:rFonts w:ascii="Sakkal Majalla" w:eastAsiaTheme="minorEastAsia" w:hAnsi="Sakkal Majalla" w:cs="Sakkal Majalla"/>
          <w:color w:val="1B1C1D"/>
          <w:kern w:val="0"/>
          <w:sz w:val="34"/>
          <w:szCs w:val="34"/>
          <w:rtl/>
          <w14:ligatures w14:val="none"/>
        </w:rPr>
      </w:pPr>
      <w:r w:rsidRPr="008065C8">
        <w:rPr>
          <w:rFonts w:ascii="Sakkal Majalla" w:eastAsiaTheme="minorEastAsia" w:hAnsi="Sakkal Majalla" w:cs="Sakkal Majalla"/>
          <w:color w:val="1B1C1D"/>
          <w:kern w:val="0"/>
          <w:sz w:val="34"/>
          <w:szCs w:val="34"/>
          <w:rtl/>
          <w14:ligatures w14:val="none"/>
        </w:rPr>
        <w:t>الفرضيات الفرعية:</w:t>
      </w:r>
    </w:p>
    <w:p w14:paraId="139DF9E5" w14:textId="77777777" w:rsidR="00E6075E" w:rsidRPr="008065C8" w:rsidRDefault="00E6075E" w:rsidP="008065C8">
      <w:pPr>
        <w:bidi/>
        <w:spacing w:after="0" w:line="240" w:lineRule="auto"/>
        <w:ind w:left="401" w:hanging="251"/>
        <w:jc w:val="mediumKashida"/>
        <w:rPr>
          <w:rFonts w:ascii="Sakkal Majalla" w:eastAsiaTheme="minorEastAsia" w:hAnsi="Sakkal Majalla" w:cs="Sakkal Majalla"/>
          <w:color w:val="1B1C1D"/>
          <w:kern w:val="0"/>
          <w:sz w:val="34"/>
          <w:szCs w:val="34"/>
          <w:rtl/>
          <w14:ligatures w14:val="none"/>
        </w:rPr>
      </w:pPr>
      <w:r w:rsidRPr="008065C8">
        <w:rPr>
          <w:rFonts w:ascii="Sakkal Majalla" w:eastAsiaTheme="minorEastAsia" w:hAnsi="Sakkal Majalla" w:cs="Sakkal Majalla"/>
          <w:color w:val="1B1C1D"/>
          <w:kern w:val="0"/>
          <w:sz w:val="34"/>
          <w:szCs w:val="34"/>
          <w14:ligatures w14:val="none"/>
        </w:rPr>
        <w:t xml:space="preserve">• H1: </w:t>
      </w:r>
      <w:r w:rsidRPr="008065C8">
        <w:rPr>
          <w:rFonts w:ascii="Sakkal Majalla" w:eastAsiaTheme="minorEastAsia" w:hAnsi="Sakkal Majalla" w:cs="Sakkal Majalla"/>
          <w:color w:val="1B1C1D"/>
          <w:kern w:val="0"/>
          <w:sz w:val="34"/>
          <w:szCs w:val="34"/>
          <w:rtl/>
          <w14:ligatures w14:val="none"/>
        </w:rPr>
        <w:t>توجد علاقة إيجابية ذات دلالة إحصائية بين استخدام الدفع الإلكتروني وزيادة القدرة الشرائية للأسر في المناطق الريفية.</w:t>
      </w:r>
    </w:p>
    <w:p w14:paraId="2E887998" w14:textId="77777777" w:rsidR="00E6075E" w:rsidRPr="008065C8" w:rsidRDefault="00E6075E" w:rsidP="008065C8">
      <w:pPr>
        <w:bidi/>
        <w:spacing w:before="135" w:after="0" w:line="240" w:lineRule="auto"/>
        <w:ind w:left="401" w:hanging="251"/>
        <w:jc w:val="mediumKashida"/>
        <w:rPr>
          <w:rFonts w:ascii="Sakkal Majalla" w:eastAsiaTheme="minorEastAsia" w:hAnsi="Sakkal Majalla" w:cs="Sakkal Majalla"/>
          <w:color w:val="1B1C1D"/>
          <w:kern w:val="0"/>
          <w:sz w:val="34"/>
          <w:szCs w:val="34"/>
          <w14:ligatures w14:val="none"/>
        </w:rPr>
      </w:pPr>
      <w:r w:rsidRPr="008065C8">
        <w:rPr>
          <w:rFonts w:ascii="Sakkal Majalla" w:eastAsiaTheme="minorEastAsia" w:hAnsi="Sakkal Majalla" w:cs="Sakkal Majalla"/>
          <w:color w:val="1B1C1D"/>
          <w:kern w:val="0"/>
          <w:sz w:val="34"/>
          <w:szCs w:val="34"/>
          <w14:ligatures w14:val="none"/>
        </w:rPr>
        <w:t xml:space="preserve">• H2: </w:t>
      </w:r>
      <w:r w:rsidRPr="008065C8">
        <w:rPr>
          <w:rFonts w:ascii="Sakkal Majalla" w:eastAsiaTheme="minorEastAsia" w:hAnsi="Sakkal Majalla" w:cs="Sakkal Majalla"/>
          <w:color w:val="1B1C1D"/>
          <w:kern w:val="0"/>
          <w:sz w:val="34"/>
          <w:szCs w:val="34"/>
          <w:rtl/>
          <w14:ligatures w14:val="none"/>
        </w:rPr>
        <w:t>يؤدي الائتمان الموجه للمرأة الريفية إلى انخفاض معنوي في مستويات عدم المساواة الجندرية في الدخل.</w:t>
      </w:r>
    </w:p>
    <w:p w14:paraId="44AD86EC" w14:textId="77777777" w:rsidR="00E6075E" w:rsidRPr="008065C8" w:rsidRDefault="00E6075E" w:rsidP="008065C8">
      <w:pPr>
        <w:bidi/>
        <w:spacing w:before="135" w:after="0" w:line="240" w:lineRule="auto"/>
        <w:ind w:left="401" w:hanging="251"/>
        <w:jc w:val="mediumKashida"/>
        <w:rPr>
          <w:rFonts w:ascii="Sakkal Majalla" w:eastAsiaTheme="minorEastAsia" w:hAnsi="Sakkal Majalla" w:cs="Sakkal Majalla"/>
          <w:color w:val="1B1C1D"/>
          <w:kern w:val="0"/>
          <w:sz w:val="34"/>
          <w:szCs w:val="34"/>
          <w14:ligatures w14:val="none"/>
        </w:rPr>
      </w:pPr>
      <w:r w:rsidRPr="008065C8">
        <w:rPr>
          <w:rFonts w:ascii="Sakkal Majalla" w:eastAsiaTheme="minorEastAsia" w:hAnsi="Sakkal Majalla" w:cs="Sakkal Majalla"/>
          <w:color w:val="1B1C1D"/>
          <w:kern w:val="0"/>
          <w:sz w:val="34"/>
          <w:szCs w:val="34"/>
          <w14:ligatures w14:val="none"/>
        </w:rPr>
        <w:t>• H3 (</w:t>
      </w:r>
      <w:r w:rsidRPr="008065C8">
        <w:rPr>
          <w:rFonts w:ascii="Sakkal Majalla" w:eastAsiaTheme="minorEastAsia" w:hAnsi="Sakkal Majalla" w:cs="Sakkal Majalla"/>
          <w:color w:val="1B1C1D"/>
          <w:kern w:val="0"/>
          <w:sz w:val="34"/>
          <w:szCs w:val="34"/>
          <w:rtl/>
          <w14:ligatures w14:val="none"/>
        </w:rPr>
        <w:t xml:space="preserve">الفرضية الصفرية </w:t>
      </w:r>
      <w:r w:rsidRPr="008065C8">
        <w:rPr>
          <w:rFonts w:ascii="Sakkal Majalla" w:eastAsiaTheme="minorEastAsia" w:hAnsi="Sakkal Majalla" w:cs="Sakkal Majalla"/>
          <w:color w:val="000000"/>
          <w:kern w:val="0"/>
          <w:sz w:val="34"/>
          <w:szCs w:val="34"/>
          <w14:ligatures w14:val="none"/>
        </w:rPr>
        <w:t>\bm{H_0}</w:t>
      </w:r>
      <w:r w:rsidRPr="008065C8">
        <w:rPr>
          <w:rFonts w:ascii="Sakkal Majalla" w:eastAsiaTheme="minorEastAsia" w:hAnsi="Sakkal Majalla" w:cs="Sakkal Majalla"/>
          <w:color w:val="1B1C1D"/>
          <w:kern w:val="0"/>
          <w:sz w:val="34"/>
          <w:szCs w:val="34"/>
          <w:rtl/>
          <w14:ligatures w14:val="none"/>
        </w:rPr>
        <w:t>): لا يوجد أثر ذو دلالة إحصائية لعدد الحسابات المصرفية على توزيع الدخل </w:t>
      </w:r>
    </w:p>
    <w:p w14:paraId="210FE7B4" w14:textId="77777777" w:rsidR="00E6075E" w:rsidRPr="001955FA" w:rsidRDefault="00E6075E" w:rsidP="00E6075E">
      <w:pPr>
        <w:bidi/>
        <w:spacing w:line="240" w:lineRule="auto"/>
        <w:jc w:val="lowKashida"/>
        <w:rPr>
          <w:rFonts w:ascii="Sakkal Majalla" w:eastAsia="Calibri" w:hAnsi="Sakkal Majalla" w:cs="Sakkal Majalla"/>
          <w:b/>
          <w:bCs/>
          <w:sz w:val="28"/>
          <w:szCs w:val="28"/>
          <w:rtl/>
        </w:rPr>
      </w:pPr>
    </w:p>
    <w:p w14:paraId="0D652C81" w14:textId="56857F90" w:rsidR="001955FA" w:rsidRPr="00E86B14" w:rsidRDefault="001955FA" w:rsidP="00E86B14">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الدراسات السابقة</w:t>
      </w:r>
    </w:p>
    <w:p w14:paraId="3A81AFAE" w14:textId="65DCE06C" w:rsidR="00823A90" w:rsidRPr="00E86B14" w:rsidRDefault="00823A90" w:rsidP="00823A90">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1- دراسة (فتوح، ۲۰۱۹)</w:t>
      </w:r>
    </w:p>
    <w:p w14:paraId="7CBCD788" w14:textId="1233BCC1" w:rsidR="00823A90" w:rsidRPr="00E86B14" w:rsidRDefault="00823A90" w:rsidP="00823A90">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بعنوان الشمول المالي سلوك الطريق الصحيح نحو الحد من البطالة وإستراتيجية التنمية</w:t>
      </w:r>
    </w:p>
    <w:p w14:paraId="2E0385EC" w14:textId="1555A8A7" w:rsidR="00823A90" w:rsidRPr="00E86B14" w:rsidRDefault="00823A90" w:rsidP="00823A90">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 مجلة اتحاد المصارف العربية - اتحاد المصارف العربية - لبنان</w:t>
      </w:r>
    </w:p>
    <w:p w14:paraId="68EA6886" w14:textId="583571A5" w:rsidR="00E6075E" w:rsidRPr="00E86B14" w:rsidRDefault="00823A90" w:rsidP="00E6075E">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هدفت الدراسة إلى التعرف على الشمول المالي وسلوك الطريق الصحيح نحو الحد من البطالة واستراتيجية التنمية وتطرقت الدراسة إلى الحديث عن التطور الهائل والسريع في تكنولوجيا المعلومات والاتصالات والذي ساهم في ظهور العديد من الخدمات المالية ونماذج الأعمال المبتكرة، كالخدمات المصرفية عبر الهاتف المحمول والخدمات المصرفية من دون فروع بنكية، وكذلك في تحسين فرص وصولها للأفراد وتعزيز</w:t>
      </w:r>
    </w:p>
    <w:p w14:paraId="790FCF89" w14:textId="34F3124E" w:rsidR="00042276" w:rsidRDefault="00042276" w:rsidP="0004227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الشمول المالي. كما بينت أن التكنولوجيا المالية أحدثت ثورة في مجال الخدمات المالية التقليدية، وإعادة تشكيل المشهد المالي، حيث أصبحت الابتكارات التكنولوجية راهناً تلبي بشكل متزايد متطلبات العملاء من حيث السهولة والسرعة والشمولية والقدرة على تحمل التكاليف. وختاماً توصلت الدراسة إلى أن المنطقة العربية تحديداً، لا تزال في طور الامتحان حيال توسيع دائرة الشمول المحدودي الدخل والمهمشين، والمرأة، في مقابل مجاراة التكنولوجيا المالية المتسارعة.</w:t>
      </w:r>
    </w:p>
    <w:p w14:paraId="0B8E7F8C"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7E4D1C38"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1C774B47"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4EFCB344" w14:textId="77777777" w:rsidR="00E65859" w:rsidRPr="00E86B14"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17EC338F" w14:textId="4344796D" w:rsidR="00042276" w:rsidRPr="00E86B14" w:rsidRDefault="00042276" w:rsidP="0004227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۲ - دراسة عماني وأخرون، ۲۰۲۰)</w:t>
      </w:r>
    </w:p>
    <w:p w14:paraId="3F75B776" w14:textId="6C120DA7" w:rsidR="00042276" w:rsidRPr="00E86B14" w:rsidRDefault="00042276" w:rsidP="0004227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بعنوان إستراتيجية الشمول المالي رؤية جديدة لمكافحة الفقر - مجلة أداء</w:t>
      </w:r>
    </w:p>
    <w:p w14:paraId="65555B2A" w14:textId="4F761A88" w:rsidR="00E6075E" w:rsidRPr="00E65859" w:rsidRDefault="00042276"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هدفت الدراسة إلى مناقشة قدرة استراتيجية الشمول المالي، من خلال التكنولوجيا المالية والحلول الرقمية، على مكافحة الفقر وتحسين المستويات المعيشية، وذلك خدمة لأهداف التنمية المستدامة. ومن خلال عرض تجارب ناجحة في هذا المجال، من منظور المؤسسات المالية الدولية، يمكن مناقشة إمكانيات الاقتصاد الجزائري في الاستفادة من تلك التجارب، وذلك بناءً على بعض مؤشرات الشمول المالي ومدى الاعتماد على الحلول الرقمية لبعض الفئات المستهدفة للفترة ۲۰۱۱ - ۲۰۱۷ . وتتطرق الدراسة إلى مصيدة الفقر التي تعرقل النمو الاقتصادي عندما تؤدي إلى الاستمرار في الفقر، وإلى إمكانية أن يسهم الوصول إلى الخدمات المالية الرقمية، لفئات من المستبعدين ماليا من خدمات النظام المالي الرسمي، في تجاوز مصيدة الفقر، من خلال تحسين الدخول وتخفيض التكاليف وزيادة القدرة على الادخار بغرض الاستثمار والحفاظ على الأصول المملوكة. وتوصلت الدراسة إلي ضرورة تبني استراتيجية وطنية واضحة المعالم للشمول المالي بهدف دعم مسار التنمية المستدامة في الجزائر، وبالتركيز على مكافحة الفقر. وذلك من خلال الوفاء بمتطلبات تلك الاستراتيجية المتمثلة في إيجاد البيئة الداعمة أو البنية التحتية المالية الرقمية وتطوير جانب العرض وضمان الحماية للعملاء</w:t>
      </w:r>
    </w:p>
    <w:p w14:paraId="6218E4B2" w14:textId="77777777"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والتقارب مع الطلب، الذي يحتاج تفعيله إلى بناء الثقة بين النظام المالي والفئات المستهدفة من خلال التثقيف المالي.</w:t>
      </w:r>
    </w:p>
    <w:p w14:paraId="700A6F68" w14:textId="77777777" w:rsidR="00103AF1"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633294E3"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1B0C8DED"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57A20AA0"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56188409" w14:textId="77777777" w:rsidR="00E65859" w:rsidRPr="00E86B14"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2CC340BB" w14:textId="05F16D37"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دراسة (سالم، ۲۰۲۱):</w:t>
      </w:r>
    </w:p>
    <w:p w14:paraId="13633ADC" w14:textId="0135BF1D"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بعنوان متطلبات تعزيز الشمول المالي : دراسة حالة بعض الدول العربية</w:t>
      </w:r>
    </w:p>
    <w:p w14:paraId="01A1F14F" w14:textId="20A1FB63"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مجلة دراسات اقتصادية - مركز البصيرة للبحوث والاستشارات والخدمات التعلمية - الجزائر</w:t>
      </w:r>
    </w:p>
    <w:p w14:paraId="531D3016" w14:textId="058E4349" w:rsidR="00103AF1" w:rsidRDefault="00103AF1"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هدفت الدراسة إلى التعرف على أهمية الشمول المالي في معالجة الواقع الاقتصادي الجزائري، لما له من تأثير على الوضع المعيشي والحد من الفوارق الاجتماعية التي تهدف إلى تحقيق العدالة الاجتماعية. تم التطرق في الجانب النظري من الورقة البحثية إلى تعريف الشمول المالي وتبيان خصائصه وإبراز مبادئه وأدواته، كما سلطت الضوء على أهم متطلبات نجاحه. عرض الجانب التطبيقي أهم الخطوات التي قامت بها بعض الدول العربية لتحقيق انتشاره وتوسعه؛ للاستفادة من تجاربها توصلت الدراسة إلى أن الشمول المالي يحتاج إلى العديد من العوامل التي تدفعه للنجاح، وأنه ينبغي أن يبني على استراتيجية واضحة ودقيقة وشاملة، وليس مجرد شعارات وأفكار مدفوعة سياسيا، أو مجرد واقع لابد من قبوله.</w:t>
      </w:r>
    </w:p>
    <w:p w14:paraId="56A074BF"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28DAD34D"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1E81D40F"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22A160E4"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6667F3D5"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13EEC2C2"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5818309F" w14:textId="77777777" w:rsidR="00E65859" w:rsidRPr="00E86B14"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p>
    <w:p w14:paraId="6B6D8F78" w14:textId="21CAA3EB"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 دراسة (معتوق، ۲۰۲۱):</w:t>
      </w:r>
    </w:p>
    <w:p w14:paraId="791932F1" w14:textId="75FF45BC"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بعنوان الشمول المالي - المجلة العلمية للبحوث والدراسات التجارية جامعة</w:t>
      </w:r>
    </w:p>
    <w:p w14:paraId="430FE823" w14:textId="5D23358E" w:rsidR="00103AF1" w:rsidRPr="00E86B14" w:rsidRDefault="00103AF1" w:rsidP="00103AF1">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حلوان - كلية التجارة وإدارة الاعمال - مصر.</w:t>
      </w:r>
    </w:p>
    <w:p w14:paraId="449C1363" w14:textId="544971DD" w:rsidR="00E6075E" w:rsidRPr="00E86B14" w:rsidRDefault="00103AF1" w:rsidP="00E6075E">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32"/>
          <w:szCs w:val="32"/>
          <w:rtl/>
        </w:rPr>
      </w:pPr>
      <w:r w:rsidRPr="00E86B14">
        <w:rPr>
          <w:rFonts w:ascii="Sakkal Majalla" w:eastAsia="Times New Roman" w:hAnsi="Sakkal Majalla" w:cs="Sakkal Majalla"/>
          <w:b/>
          <w:bCs/>
          <w:color w:val="0F1115"/>
          <w:sz w:val="32"/>
          <w:szCs w:val="32"/>
          <w:rtl/>
        </w:rPr>
        <w:t>هدفت الدراسة إلى تناول أهمية الشمول المالي وذلك من خلال التحليل النظري حيث استخدم في هذه الدراسة الأسلوب النظري التحليلي من خلال التعرف على مفهوم الشمول المالي والفرق بينه وبين الاستبعاد المالي كما تناولت الدراسة محددات الشمول المالي وركائزه وآثاره ومؤشرات قياسه كما خلصت الدراسة إلى أنه لقياس الشمول المالي هناك ثلاثة مؤشرات هي الاختراق الجغرافي والسكاني والمصرفي. وقد انتهت هذه الدراسة إلى ضرورة توفير الخدمات المالية للوحدات الاقتصادية من الأسر الفقيرة أو التي تسكن في الأماكن النائية والمشروعات</w:t>
      </w:r>
    </w:p>
    <w:p w14:paraId="3E6D3BCF" w14:textId="77777777" w:rsidR="00E65859" w:rsidRDefault="006E2B8A" w:rsidP="006E2B8A">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الصغيرة والمتوسطة حيث أن إدراج هذه الوحدات الاقتصادية له أثر هام وإيجابي على الأداء الاقتصادي للدولة مما دفع إلى قبول فرضية الدراسة والتي تنص على أن للشمول المالي أثر هام وإيجابي على الأداء الاقتصادي فهو كما استنتج يساهم في دمج الاقتصاد غير الرسمي في الاقتصاد الرسمي</w:t>
      </w:r>
    </w:p>
    <w:p w14:paraId="2A1A2AED"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5F17CC1E"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73FC3AE1"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7720C073"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69F06C23"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23CCB3DB" w14:textId="556A452B" w:rsidR="006E2B8A" w:rsidRPr="00E86B14" w:rsidRDefault="006E2B8A" w:rsidP="00E65859">
      <w:pPr>
        <w:shd w:val="clear" w:color="auto" w:fill="FFFFFF"/>
        <w:bidi/>
        <w:spacing w:before="100" w:beforeAutospacing="1" w:after="0" w:line="240" w:lineRule="auto"/>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.ب الدراسات الأجنبية</w:t>
      </w:r>
    </w:p>
    <w:p w14:paraId="06011DC3" w14:textId="2DDCC62F" w:rsidR="006E2B8A" w:rsidRPr="00E86B14" w:rsidRDefault="006E2B8A" w:rsidP="006E2B8A">
      <w:pPr>
        <w:shd w:val="clear" w:color="auto" w:fill="FFFFFF"/>
        <w:spacing w:before="100" w:beforeAutospacing="1" w:after="0" w:line="240" w:lineRule="auto"/>
        <w:ind w:left="720"/>
        <w:jc w:val="right"/>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w:t>
      </w:r>
      <w:r w:rsidRPr="00E86B14">
        <w:rPr>
          <w:rFonts w:ascii="Sakkal Majalla" w:eastAsia="Times New Roman" w:hAnsi="Sakkal Majalla" w:cs="Sakkal Majalla"/>
          <w:color w:val="0F1115"/>
          <w:sz w:val="32"/>
          <w:szCs w:val="32"/>
        </w:rPr>
        <w:t>Nanda&amp; Kaur,2016 1</w:t>
      </w:r>
      <w:r w:rsidRPr="00E86B14">
        <w:rPr>
          <w:rFonts w:ascii="Sakkal Majalla" w:eastAsia="Times New Roman" w:hAnsi="Sakkal Majalla" w:cs="Sakkal Majalla"/>
          <w:color w:val="0F1115"/>
          <w:sz w:val="32"/>
          <w:szCs w:val="32"/>
          <w:rtl/>
        </w:rPr>
        <w:t>- دراسة</w:t>
      </w:r>
    </w:p>
    <w:p w14:paraId="60BB1E0B" w14:textId="1F8E36E6" w:rsidR="006E2B8A" w:rsidRPr="00E86B14" w:rsidRDefault="006E2B8A" w:rsidP="006E2B8A">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بعنوان</w:t>
      </w:r>
    </w:p>
    <w:p w14:paraId="656B6773" w14:textId="77777777" w:rsidR="006E2B8A" w:rsidRPr="00E86B14" w:rsidRDefault="006E2B8A" w:rsidP="006E2B8A">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Pr>
        <w:t>Financial Inclusion and Human Development: A Cross-country Evidence, Management and Labour Studies, School of Business Management &amp; Human Resources, SAGE Publications</w:t>
      </w:r>
      <w:r w:rsidRPr="00E86B14">
        <w:rPr>
          <w:rFonts w:ascii="Sakkal Majalla" w:eastAsia="Times New Roman" w:hAnsi="Sakkal Majalla" w:cs="Sakkal Majalla"/>
          <w:color w:val="0F1115"/>
          <w:sz w:val="32"/>
          <w:szCs w:val="32"/>
          <w:rtl/>
        </w:rPr>
        <w:t xml:space="preserve">. </w:t>
      </w:r>
      <w:r w:rsidRPr="00E86B14">
        <w:rPr>
          <w:rFonts w:ascii="Sakkal Majalla" w:eastAsia="Times New Roman" w:hAnsi="Sakkal Majalla" w:cs="Sakkal Majalla" w:hint="cs"/>
          <w:color w:val="0F1115"/>
          <w:sz w:val="32"/>
          <w:szCs w:val="32"/>
          <w:rtl/>
        </w:rPr>
        <w:t xml:space="preserve">    </w:t>
      </w:r>
    </w:p>
    <w:p w14:paraId="0AA6FA04" w14:textId="23C48D94" w:rsidR="00E6075E" w:rsidRDefault="006E2B8A" w:rsidP="006E2B8A">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هدفت الدراسة إلى حساب مؤشر شامل عبر البلدان للشمول المالي، واستخدامه لقياس التقدم المحرز في الشمول المالي في ٦٨ دولة من ۲۰۰٤ حتى ۲۰۰۸ ، إلى ۲۰۱۲ مع ترقية متوسط قيمة مؤشر الشمول المالي من ۰.۲۹۲ إدراج منخفض المستوى في عام ۲۰۰٤ إلى ۰.۳۳۲ مستوى تضمين (متوسط) في عام ۲۰۱۲ ، وتوصلت الدراسة إلى وجود تحسنًا عامًا في مدى الشمول المالي لهذه الفترة. ويُشار إلى انخفاض معامل التباين (</w:t>
      </w:r>
      <w:r w:rsidRPr="00E86B14">
        <w:rPr>
          <w:rFonts w:ascii="Sakkal Majalla" w:eastAsia="Times New Roman" w:hAnsi="Sakkal Majalla" w:cs="Sakkal Majalla"/>
          <w:color w:val="0F1115"/>
          <w:sz w:val="32"/>
          <w:szCs w:val="32"/>
        </w:rPr>
        <w:t>CV</w:t>
      </w:r>
      <w:r w:rsidRPr="00E86B14">
        <w:rPr>
          <w:rFonts w:ascii="Sakkal Majalla" w:eastAsia="Times New Roman" w:hAnsi="Sakkal Majalla" w:cs="Sakkal Majalla"/>
          <w:color w:val="0F1115"/>
          <w:sz w:val="32"/>
          <w:szCs w:val="32"/>
          <w:rtl/>
        </w:rPr>
        <w:t>) في مؤشر الشمول المالي من ٠.٨٥٣ في عام ٢٠٠٤ إلى ۰.۷۰۳ في عام ۲۰۱۲ ، كما تشير النتائج أيضًا إلى تقارب في قيم مؤشر الشمول المالي سعياً إلى قياس العلاقة بين الشمول المالي والتنمية البشرية، ووجدت الدراسة علاقة قوية وهامة بين الاثنين.</w:t>
      </w:r>
    </w:p>
    <w:p w14:paraId="4409E79B"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65017749"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2C372CFC"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441C1959"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354A0585" w14:textId="77777777" w:rsidR="00E65859"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0B8BA46E" w14:textId="77777777" w:rsidR="00E65859" w:rsidRPr="00E86B14" w:rsidRDefault="00E65859" w:rsidP="00E6585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p>
    <w:p w14:paraId="3C9316EF" w14:textId="072FD0A1" w:rsidR="00E65859" w:rsidRPr="00E86B14" w:rsidRDefault="00603209" w:rsidP="00E65859">
      <w:pPr>
        <w:shd w:val="clear" w:color="auto" w:fill="FFFFFF"/>
        <w:spacing w:before="100" w:beforeAutospacing="1" w:after="0" w:line="240" w:lineRule="auto"/>
        <w:ind w:left="720"/>
        <w:jc w:val="right"/>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w:t>
      </w:r>
      <w:r w:rsidRPr="00E86B14">
        <w:rPr>
          <w:rFonts w:ascii="Sakkal Majalla" w:eastAsia="Times New Roman" w:hAnsi="Sakkal Majalla" w:cs="Sakkal Majalla"/>
          <w:color w:val="0F1115"/>
          <w:sz w:val="32"/>
          <w:szCs w:val="32"/>
        </w:rPr>
        <w:t>Gunarsih et al,2018</w:t>
      </w:r>
      <w:r w:rsidRPr="00E86B14">
        <w:rPr>
          <w:rFonts w:ascii="Sakkal Majalla" w:eastAsia="Times New Roman" w:hAnsi="Sakkal Majalla" w:cs="Sakkal Majalla"/>
          <w:color w:val="0F1115"/>
          <w:sz w:val="32"/>
          <w:szCs w:val="32"/>
          <w:rtl/>
        </w:rPr>
        <w:t xml:space="preserve"> دراسة</w:t>
      </w:r>
    </w:p>
    <w:p w14:paraId="2CA12D92" w14:textId="2092F117" w:rsidR="00603209" w:rsidRPr="00E86B14" w:rsidRDefault="00603209" w:rsidP="0060320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بعنوان</w:t>
      </w:r>
    </w:p>
    <w:p w14:paraId="39335BAA" w14:textId="4037C843" w:rsidR="00603209" w:rsidRPr="00E86B14" w:rsidRDefault="00603209" w:rsidP="0060320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Pr>
        <w:t>FINANCIAL INCLUSION AND POVERTY ALLEVIATION: EVIDENCE</w:t>
      </w:r>
    </w:p>
    <w:p w14:paraId="5D0F255A" w14:textId="370A8210" w:rsidR="00603209" w:rsidRPr="00E86B14" w:rsidRDefault="00603209" w:rsidP="00603209">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Pr>
        <w:t>FROM INDONESIA, International Journal of Economics</w:t>
      </w:r>
      <w:r w:rsidRPr="00E86B14">
        <w:rPr>
          <w:rFonts w:ascii="Sakkal Majalla" w:eastAsia="Times New Roman" w:hAnsi="Sakkal Majalla" w:cs="Sakkal Majalla"/>
          <w:color w:val="0F1115"/>
          <w:sz w:val="32"/>
          <w:szCs w:val="32"/>
          <w:rtl/>
        </w:rPr>
        <w:t>,</w:t>
      </w:r>
    </w:p>
    <w:p w14:paraId="0C53A301" w14:textId="2918DF4A" w:rsidR="006E2B8A" w:rsidRPr="00E86B14" w:rsidRDefault="00603209" w:rsidP="006E2B8A">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Pr>
        <w:t>Business and Management Research. 2, No. 03</w:t>
      </w:r>
      <w:r w:rsidRPr="00E86B14">
        <w:rPr>
          <w:rFonts w:ascii="Sakkal Majalla" w:eastAsia="Times New Roman" w:hAnsi="Sakkal Majalla" w:cs="Sakkal Majalla"/>
          <w:color w:val="0F1115"/>
          <w:sz w:val="32"/>
          <w:szCs w:val="32"/>
          <w:rtl/>
        </w:rPr>
        <w:t>.</w:t>
      </w:r>
    </w:p>
    <w:p w14:paraId="3B069250" w14:textId="32E12560" w:rsidR="006731B4" w:rsidRPr="00E86B14" w:rsidRDefault="006731B4" w:rsidP="00A54D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هدفت الدراسة إلى وصف الوسيط المالي في إندونيسيا، وخاصة كيفية دور الوسيط المالي في الحد من الفقر، وتوصلت الدراسة إلى أن متوسط نمو الفقر أخذ في التناقص، حيث بلغت نسبة نمو الفقر نصف السنوي من مارس ۲۰۱۲ حتى سبتمبر ۲۰۱۷ - %۰.۸۱) ، حيث في الحضر ) - ۰.۳۰%) وفي الريف (- ۱.۱۱٪). وتشير هذه الدراسة إلى أن هناك عددًا متناقصصًا من معدلات نمو الفقر في إندونيسيا بما يتماشى مع الدور المتزايد للمؤسسات المالية، هذه الحجة مدعومة بالارتباطات بين</w:t>
      </w:r>
    </w:p>
    <w:p w14:paraId="406ACC6E" w14:textId="0263B43D" w:rsidR="006731B4" w:rsidRPr="00E86B14" w:rsidRDefault="006731B4" w:rsidP="00A54D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مؤشرات الشمول المالي والحد من الفقر.</w:t>
      </w:r>
    </w:p>
    <w:p w14:paraId="6F943AE4" w14:textId="46062BE7" w:rsidR="006731B4" w:rsidRPr="00E86B14" w:rsidRDefault="006731B4" w:rsidP="00A54D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تناولت الدراسات السابقة أهمية الشمول المالي في جهود التنمية الاقتصادية والحد من الفقر، واتفقت معظم الدراسات في تناولها على استخدام مؤشر متعدد الأبعاد في النموذج القياسي، ولكنه علي شريحة عريضة من البلدان.</w:t>
      </w:r>
    </w:p>
    <w:p w14:paraId="5780DCAF" w14:textId="229AF0D2" w:rsidR="006731B4" w:rsidRPr="00A54DE6" w:rsidRDefault="006731B4" w:rsidP="00A54DE6">
      <w:pPr>
        <w:shd w:val="clear" w:color="auto" w:fill="FFFFFF"/>
        <w:bidi/>
        <w:spacing w:before="100" w:beforeAutospacing="1" w:after="0" w:line="240" w:lineRule="auto"/>
        <w:ind w:left="720"/>
        <w:jc w:val="lowKashida"/>
        <w:rPr>
          <w:rFonts w:ascii="Sakkal Majalla" w:eastAsia="Times New Roman" w:hAnsi="Sakkal Majalla" w:cs="Sakkal Majalla"/>
          <w:color w:val="0F1115"/>
          <w:sz w:val="32"/>
          <w:szCs w:val="32"/>
          <w:rtl/>
        </w:rPr>
      </w:pPr>
      <w:r w:rsidRPr="00E86B14">
        <w:rPr>
          <w:rFonts w:ascii="Sakkal Majalla" w:eastAsia="Times New Roman" w:hAnsi="Sakkal Majalla" w:cs="Sakkal Majalla"/>
          <w:color w:val="0F1115"/>
          <w:sz w:val="32"/>
          <w:szCs w:val="32"/>
          <w:rtl/>
        </w:rPr>
        <w:t xml:space="preserve">تجدر الإشارة إلى أن البحث الحالى مختلف من حيث متغيراته والمدة الزمنية والبيئة المدروسة المتمثلة في مصر فقط بالإضافة إلي أن البحث الحالي هو دراسة تطبيقية على الاقتصاد المصري للتعرف على دور </w:t>
      </w:r>
      <w:r w:rsidRPr="00E86B14">
        <w:rPr>
          <w:rFonts w:ascii="Sakkal Majalla" w:eastAsia="Times New Roman" w:hAnsi="Sakkal Majalla" w:cs="Sakkal Majalla"/>
          <w:color w:val="0F1115"/>
          <w:sz w:val="32"/>
          <w:szCs w:val="32"/>
          <w:rtl/>
        </w:rPr>
        <w:lastRenderedPageBreak/>
        <w:t xml:space="preserve">الشمول المالي في الحد من الفقر، بإستخدام طريقة المربعات الصغري عن طريق اختبار الانحدار المتعدد لأن الشمول المالي متعدد الأبعاد عبر برنامج </w:t>
      </w:r>
      <w:r w:rsidRPr="00E86B14">
        <w:rPr>
          <w:rFonts w:ascii="Sakkal Majalla" w:eastAsia="Times New Roman" w:hAnsi="Sakkal Majalla" w:cs="Sakkal Majalla"/>
          <w:color w:val="0F1115"/>
          <w:sz w:val="32"/>
          <w:szCs w:val="32"/>
        </w:rPr>
        <w:t>SPSS23</w:t>
      </w:r>
      <w:r w:rsidRPr="00E86B14">
        <w:rPr>
          <w:rFonts w:ascii="Sakkal Majalla" w:eastAsia="Times New Roman" w:hAnsi="Sakkal Majalla" w:cs="Sakkal Majalla"/>
          <w:color w:val="0F1115"/>
          <w:sz w:val="32"/>
          <w:szCs w:val="32"/>
          <w:rtl/>
        </w:rPr>
        <w:t xml:space="preserve"> عن بيانات الفترة ( ۲۰۱۱ - ۲۰۲۰)</w:t>
      </w:r>
    </w:p>
    <w:p w14:paraId="42F531EF" w14:textId="77777777" w:rsidR="006731B4" w:rsidRPr="001955FA" w:rsidRDefault="006731B4" w:rsidP="006731B4">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6427B605"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14:ligatures w14:val="none"/>
        </w:rPr>
      </w:pPr>
      <w:r w:rsidRPr="00B52A36">
        <w:rPr>
          <w:rFonts w:ascii="Simplified Arabic" w:eastAsiaTheme="minorEastAsia" w:hAnsi="Simplified Arabic" w:cs="Simplified Arabic" w:hint="cs"/>
          <w:color w:val="2E75B6"/>
          <w:kern w:val="0"/>
          <w:sz w:val="28"/>
          <w:szCs w:val="28"/>
          <w:rtl/>
          <w14:ligatures w14:val="none"/>
        </w:rPr>
        <w:t>التحليل المقارن للدراسات السابقة وتحديد الفجوة البحثية:</w:t>
      </w:r>
    </w:p>
    <w:p w14:paraId="627EB734"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تتقاطع الدراسات السابقة في الإقرار بأن الشمول المالي أداة حاسمة لكسر مصيدة الفقر وتحقيق التنمية البشرية المستدامة، غير أنها تتباين في مناهجها ونطاقاتها الجغرافية. وتتمثل الفجوة البحثية التي يسعى هذا البحث إلى سدّها في أربعة محاور:</w:t>
      </w:r>
    </w:p>
    <w:p w14:paraId="32473A7B" w14:textId="77777777" w:rsidR="00B52A36" w:rsidRPr="00B52A36" w:rsidRDefault="00B52A36" w:rsidP="00B52A36">
      <w:pPr>
        <w:numPr>
          <w:ilvl w:val="0"/>
          <w:numId w:val="30"/>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الفجوة المكانية: ندرة الدراسات التي تطبق النموذج القياسي متعدد الأبعاد على الاقتصاد المصري بشكل خاص.</w:t>
      </w:r>
    </w:p>
    <w:p w14:paraId="719B4C6F" w14:textId="77777777" w:rsidR="00B52A36" w:rsidRPr="00B52A36" w:rsidRDefault="00B52A36" w:rsidP="00B52A36">
      <w:pPr>
        <w:numPr>
          <w:ilvl w:val="0"/>
          <w:numId w:val="30"/>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الفجوة المنهجية: غلبة الجانب الوصفي النظري في الدراسات العربية، في حين يوظّف هذا البحث المنهج الكمي التطبيقي.</w:t>
      </w:r>
    </w:p>
    <w:p w14:paraId="6DD030AA" w14:textId="77777777" w:rsidR="00B52A36" w:rsidRPr="00B52A36" w:rsidRDefault="00B52A36" w:rsidP="00B52A36">
      <w:pPr>
        <w:numPr>
          <w:ilvl w:val="0"/>
          <w:numId w:val="30"/>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الفجوة الزمنية: تغطية الفترة (2011-2020) التي شهدت تحولات إصلاحية جذرية في الاقتصاد المصري.</w:t>
      </w:r>
    </w:p>
    <w:p w14:paraId="66E7CAA3" w14:textId="77777777" w:rsidR="00B52A36" w:rsidRPr="00B52A36" w:rsidRDefault="00B52A36" w:rsidP="00B52A36">
      <w:pPr>
        <w:numPr>
          <w:ilvl w:val="0"/>
          <w:numId w:val="30"/>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فجوة المتغيرات: الجمع بين تعدد أبعاد الشمول المالي والفقر كمتغير تابع في نموذج واحد.</w:t>
      </w:r>
    </w:p>
    <w:p w14:paraId="6555CA2C" w14:textId="77777777" w:rsidR="00B52A36" w:rsidRPr="00B52A36" w:rsidRDefault="00B52A36" w:rsidP="00B52A36">
      <w:pPr>
        <w:bidi/>
        <w:spacing w:after="180" w:line="240" w:lineRule="auto"/>
        <w:rPr>
          <w:rFonts w:ascii="Simplified Arabic" w:eastAsiaTheme="minorEastAsia" w:hAnsi="Simplified Arabic" w:cs="Simplified Arabic" w:hint="cs"/>
          <w:color w:val="1F4E79"/>
          <w:kern w:val="0"/>
          <w:sz w:val="28"/>
          <w:szCs w:val="28"/>
          <w:rtl/>
          <w14:ligatures w14:val="none"/>
        </w:rPr>
      </w:pPr>
      <w:r w:rsidRPr="00B52A36">
        <w:rPr>
          <w:rFonts w:ascii="Simplified Arabic" w:eastAsiaTheme="minorEastAsia" w:hAnsi="Simplified Arabic" w:cs="Simplified Arabic" w:hint="cs"/>
          <w:color w:val="1F4E79"/>
          <w:kern w:val="0"/>
          <w:sz w:val="28"/>
          <w:szCs w:val="28"/>
          <w:rtl/>
          <w14:ligatures w14:val="none"/>
        </w:rPr>
        <w:t>ثامناً: المنطلقات النظرية للدراسة</w:t>
      </w:r>
    </w:p>
    <w:p w14:paraId="2739D699"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تستند هذه الدراسة إلى حزمة من النظريات الاقتصادية والمالية التي تُفسّر العلاقة بين الولوج للخدمات المالية والرفاه الاجتماعي:</w:t>
      </w:r>
    </w:p>
    <w:p w14:paraId="70EA7289"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6D38F27E"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1. نظرية الوساطة المالية (</w:t>
      </w:r>
      <w:r w:rsidRPr="00B52A36">
        <w:rPr>
          <w:rFonts w:ascii="Simplified Arabic" w:eastAsiaTheme="minorEastAsia" w:hAnsi="Simplified Arabic" w:cs="Simplified Arabic" w:hint="cs"/>
          <w:color w:val="2E75B6"/>
          <w:kern w:val="0"/>
          <w:sz w:val="28"/>
          <w:szCs w:val="28"/>
          <w14:ligatures w14:val="none"/>
        </w:rPr>
        <w:t>Financial Intermediation Theory</w:t>
      </w:r>
      <w:r w:rsidRPr="00B52A36">
        <w:rPr>
          <w:rFonts w:ascii="Simplified Arabic" w:eastAsiaTheme="minorEastAsia" w:hAnsi="Simplified Arabic" w:cs="Simplified Arabic" w:hint="cs"/>
          <w:color w:val="2E75B6"/>
          <w:kern w:val="0"/>
          <w:sz w:val="28"/>
          <w:szCs w:val="28"/>
          <w:rtl/>
          <w14:ligatures w14:val="none"/>
        </w:rPr>
        <w:t>):</w:t>
      </w:r>
    </w:p>
    <w:p w14:paraId="3CBBCE39"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lastRenderedPageBreak/>
        <w:t>تفترض هذه النظرية أن المؤسسات المالية تعمل على تقليل فجوة المعلومات وخفض تكاليف المعاملات بين المقرضين والمقترضين. وتطبيقاً على الدراسة الحالية، فإن كفاءة الوساطة عبر الشمول المالي تُتيح للفقراء الحصول على تمويل بمخاطر وتكاليف أقل، مما يُعزز قدرتهم على الاستثمار وتحسين مستوياتهم المعيشية.</w:t>
      </w:r>
    </w:p>
    <w:p w14:paraId="0BE343B1"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28A88EC1"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2. نظرية النفاذ المالي (</w:t>
      </w:r>
      <w:r w:rsidRPr="00B52A36">
        <w:rPr>
          <w:rFonts w:ascii="Simplified Arabic" w:eastAsiaTheme="minorEastAsia" w:hAnsi="Simplified Arabic" w:cs="Simplified Arabic" w:hint="cs"/>
          <w:color w:val="2E75B6"/>
          <w:kern w:val="0"/>
          <w:sz w:val="28"/>
          <w:szCs w:val="28"/>
          <w14:ligatures w14:val="none"/>
        </w:rPr>
        <w:t>Financial Access Theory</w:t>
      </w:r>
      <w:r w:rsidRPr="00B52A36">
        <w:rPr>
          <w:rFonts w:ascii="Simplified Arabic" w:eastAsiaTheme="minorEastAsia" w:hAnsi="Simplified Arabic" w:cs="Simplified Arabic" w:hint="cs"/>
          <w:color w:val="2E75B6"/>
          <w:kern w:val="0"/>
          <w:sz w:val="28"/>
          <w:szCs w:val="28"/>
          <w:rtl/>
          <w14:ligatures w14:val="none"/>
        </w:rPr>
        <w:t>):</w:t>
      </w:r>
    </w:p>
    <w:p w14:paraId="65795774"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تركّز هذه النظرية على إزالة العوائق السعرية وغير السعرية التي تحول دون استخدام الأفراد للخدمات المصرفية، وتربط بين التمويل الشامل وقدرة الأفراد على الاستثمار في التعليم والصحة وتحسين جودة الحياة.</w:t>
      </w:r>
    </w:p>
    <w:p w14:paraId="7B1CF912"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218C1204"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3. نظرية الابتكار المالي (</w:t>
      </w:r>
      <w:r w:rsidRPr="00B52A36">
        <w:rPr>
          <w:rFonts w:ascii="Simplified Arabic" w:eastAsiaTheme="minorEastAsia" w:hAnsi="Simplified Arabic" w:cs="Simplified Arabic" w:hint="cs"/>
          <w:color w:val="2E75B6"/>
          <w:kern w:val="0"/>
          <w:sz w:val="28"/>
          <w:szCs w:val="28"/>
          <w14:ligatures w14:val="none"/>
        </w:rPr>
        <w:t>Financial Innovation Theory</w:t>
      </w:r>
      <w:r w:rsidRPr="00B52A36">
        <w:rPr>
          <w:rFonts w:ascii="Simplified Arabic" w:eastAsiaTheme="minorEastAsia" w:hAnsi="Simplified Arabic" w:cs="Simplified Arabic" w:hint="cs"/>
          <w:color w:val="2E75B6"/>
          <w:kern w:val="0"/>
          <w:sz w:val="28"/>
          <w:szCs w:val="28"/>
          <w:rtl/>
          <w14:ligatures w14:val="none"/>
        </w:rPr>
        <w:t>):</w:t>
      </w:r>
    </w:p>
    <w:p w14:paraId="159BDB47"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تُفسّر هذه النظرية كيف تُسهم التكنولوجيا المالية (كالدفع عبر الهاتف المحمول والمحافظ الرقمية) في خلق منتجات مالية مبتكرة تُناسب محدودي الدخل الذين لا تخدمهم المصارف التقليدية، وتُقلّص الفجوة بين العرض المالي والطلب الفعلي للفئات المهمشة.</w:t>
      </w:r>
    </w:p>
    <w:p w14:paraId="1737F2A2"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58640166"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4. نظرية التنمية البشرية (</w:t>
      </w:r>
      <w:r w:rsidRPr="00B52A36">
        <w:rPr>
          <w:rFonts w:ascii="Simplified Arabic" w:eastAsiaTheme="minorEastAsia" w:hAnsi="Simplified Arabic" w:cs="Simplified Arabic" w:hint="cs"/>
          <w:color w:val="2E75B6"/>
          <w:kern w:val="0"/>
          <w:sz w:val="28"/>
          <w:szCs w:val="28"/>
          <w14:ligatures w14:val="none"/>
        </w:rPr>
        <w:t>Human Development Theory</w:t>
      </w:r>
      <w:r w:rsidRPr="00B52A36">
        <w:rPr>
          <w:rFonts w:ascii="Simplified Arabic" w:eastAsiaTheme="minorEastAsia" w:hAnsi="Simplified Arabic" w:cs="Simplified Arabic" w:hint="cs"/>
          <w:color w:val="2E75B6"/>
          <w:kern w:val="0"/>
          <w:sz w:val="28"/>
          <w:szCs w:val="28"/>
          <w:rtl/>
          <w14:ligatures w14:val="none"/>
        </w:rPr>
        <w:t>):</w:t>
      </w:r>
    </w:p>
    <w:p w14:paraId="0F968A03"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تربط هذه النظرية - التي يُوصى بإضافتها تعزيزاً للإطار النظري - بين الوصول إلى الخدمات المالية الرسمية وتحسين مستويات التعليم والصحة والرفاه الاجتماعي. وتُرسّخ أن الشمول المالي لا يقتصر على خفض معدلات الفقر المادي، بل يمتد ليُعزز القدرات البشرية ويُمكّن الأفراد من الانخراط الفاعل في مسيرة التنمية المستدامة.</w:t>
      </w:r>
    </w:p>
    <w:p w14:paraId="1D395468"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3B67DFEA"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توظيف النظريات في بناء النموذج القياسي:</w:t>
      </w:r>
    </w:p>
    <w:p w14:paraId="1B05EE73"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 xml:space="preserve">يُوظَّف هذا الإطار النظري الرباعي لبناء النموذج القياسي للدراسة؛ إذ يُنظر للشمول المالي بوصفه متغيراً مستقلاً يُقلّص فجوة التمويل (وفق نظرية الوساطة)، ويُزيل العوائق (وفق نظرية النفاذ)، ويستثمر الابتكار التكنولوجي </w:t>
      </w:r>
      <w:r w:rsidRPr="00B52A36">
        <w:rPr>
          <w:rFonts w:ascii="Simplified Arabic" w:eastAsiaTheme="minorEastAsia" w:hAnsi="Simplified Arabic" w:cs="Simplified Arabic" w:hint="cs"/>
          <w:color w:val="000000"/>
          <w:kern w:val="0"/>
          <w:sz w:val="28"/>
          <w:szCs w:val="28"/>
          <w:rtl/>
          <w14:ligatures w14:val="none"/>
        </w:rPr>
        <w:lastRenderedPageBreak/>
        <w:t>(وفق نظرية الابتكار)، مما ينعكس إيجاباً على الدخل ومستوى المعيشة وتنمية القدرات البشرية (وفق نظرية التنمية البشرية).</w:t>
      </w:r>
    </w:p>
    <w:p w14:paraId="4D996E78" w14:textId="77777777" w:rsidR="00B52A36" w:rsidRPr="00B52A36" w:rsidRDefault="00B52A36" w:rsidP="00B52A36">
      <w:pPr>
        <w:bidi/>
        <w:spacing w:after="180" w:line="240" w:lineRule="auto"/>
        <w:rPr>
          <w:rFonts w:ascii="Simplified Arabic" w:eastAsiaTheme="minorEastAsia" w:hAnsi="Simplified Arabic" w:cs="Simplified Arabic" w:hint="cs"/>
          <w:color w:val="000000"/>
          <w:kern w:val="0"/>
          <w:sz w:val="28"/>
          <w:szCs w:val="28"/>
          <w:rtl/>
          <w14:ligatures w14:val="none"/>
        </w:rPr>
      </w:pPr>
    </w:p>
    <w:p w14:paraId="122FD062" w14:textId="77777777" w:rsidR="00B52A36" w:rsidRPr="00B52A36" w:rsidRDefault="00B52A36" w:rsidP="00B52A36">
      <w:pPr>
        <w:bidi/>
        <w:spacing w:after="150" w:line="240" w:lineRule="auto"/>
        <w:rPr>
          <w:rFonts w:ascii="Simplified Arabic" w:eastAsiaTheme="minorEastAsia" w:hAnsi="Simplified Arabic" w:cs="Simplified Arabic" w:hint="cs"/>
          <w:color w:val="1F4E79"/>
          <w:kern w:val="0"/>
          <w:sz w:val="28"/>
          <w:szCs w:val="28"/>
          <w:rtl/>
          <w14:ligatures w14:val="none"/>
        </w:rPr>
      </w:pPr>
      <w:r w:rsidRPr="00B52A36">
        <w:rPr>
          <w:rFonts w:ascii="Simplified Arabic" w:eastAsiaTheme="minorEastAsia" w:hAnsi="Simplified Arabic" w:cs="Simplified Arabic" w:hint="cs"/>
          <w:color w:val="1F4E79"/>
          <w:kern w:val="0"/>
          <w:sz w:val="28"/>
          <w:szCs w:val="28"/>
          <w:rtl/>
          <w14:ligatures w14:val="none"/>
        </w:rPr>
        <w:t>تاسعاً: منهجية البحث</w:t>
      </w:r>
    </w:p>
    <w:p w14:paraId="4F59EA76"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نوع البحث ومنهجه:</w:t>
      </w:r>
    </w:p>
    <w:p w14:paraId="478486CF"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يُصنَّف هذا البحث ضمن البحوث التطبيقية (</w:t>
      </w:r>
      <w:r w:rsidRPr="00B52A36">
        <w:rPr>
          <w:rFonts w:ascii="Simplified Arabic" w:eastAsiaTheme="minorEastAsia" w:hAnsi="Simplified Arabic" w:cs="Simplified Arabic" w:hint="cs"/>
          <w:color w:val="000000"/>
          <w:kern w:val="0"/>
          <w:sz w:val="28"/>
          <w:szCs w:val="28"/>
          <w14:ligatures w14:val="none"/>
        </w:rPr>
        <w:t>Applied Research</w:t>
      </w:r>
      <w:r w:rsidRPr="00B52A36">
        <w:rPr>
          <w:rFonts w:ascii="Simplified Arabic" w:eastAsiaTheme="minorEastAsia" w:hAnsi="Simplified Arabic" w:cs="Simplified Arabic" w:hint="cs"/>
          <w:color w:val="000000"/>
          <w:kern w:val="0"/>
          <w:sz w:val="28"/>
          <w:szCs w:val="28"/>
          <w:rtl/>
          <w14:ligatures w14:val="none"/>
        </w:rPr>
        <w:t>) ذات الطابع التفسيري (</w:t>
      </w:r>
      <w:r w:rsidRPr="00B52A36">
        <w:rPr>
          <w:rFonts w:ascii="Simplified Arabic" w:eastAsiaTheme="minorEastAsia" w:hAnsi="Simplified Arabic" w:cs="Simplified Arabic" w:hint="cs"/>
          <w:color w:val="000000"/>
          <w:kern w:val="0"/>
          <w:sz w:val="28"/>
          <w:szCs w:val="28"/>
          <w14:ligatures w14:val="none"/>
        </w:rPr>
        <w:t>Explanatory</w:t>
      </w:r>
      <w:r w:rsidRPr="00B52A36">
        <w:rPr>
          <w:rFonts w:ascii="Simplified Arabic" w:eastAsiaTheme="minorEastAsia" w:hAnsi="Simplified Arabic" w:cs="Simplified Arabic" w:hint="cs"/>
          <w:color w:val="000000"/>
          <w:kern w:val="0"/>
          <w:sz w:val="28"/>
          <w:szCs w:val="28"/>
          <w:rtl/>
          <w14:ligatures w14:val="none"/>
        </w:rPr>
        <w:t>)؛ إذ يهدف إلى اختبار الأثر السببي للشمول المالي على مؤشرات الفقر في الواقع المصري وتفسير طبيعة هذه العلاقة.</w:t>
      </w:r>
    </w:p>
    <w:p w14:paraId="42349A27"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770A93AB"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المنهج المستخدم:</w:t>
      </w:r>
    </w:p>
    <w:p w14:paraId="6BD00E97"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يعتمد البحث المنهج الكمي (</w:t>
      </w:r>
      <w:r w:rsidRPr="00B52A36">
        <w:rPr>
          <w:rFonts w:ascii="Simplified Arabic" w:eastAsiaTheme="minorEastAsia" w:hAnsi="Simplified Arabic" w:cs="Simplified Arabic" w:hint="cs"/>
          <w:color w:val="000000"/>
          <w:kern w:val="0"/>
          <w:sz w:val="28"/>
          <w:szCs w:val="28"/>
          <w14:ligatures w14:val="none"/>
        </w:rPr>
        <w:t>Quantitative Approach</w:t>
      </w:r>
      <w:r w:rsidRPr="00B52A36">
        <w:rPr>
          <w:rFonts w:ascii="Simplified Arabic" w:eastAsiaTheme="minorEastAsia" w:hAnsi="Simplified Arabic" w:cs="Simplified Arabic" w:hint="cs"/>
          <w:color w:val="000000"/>
          <w:kern w:val="0"/>
          <w:sz w:val="28"/>
          <w:szCs w:val="28"/>
          <w:rtl/>
          <w14:ligatures w14:val="none"/>
        </w:rPr>
        <w:t>) القائم على الأسلوب الاستنباطي، من خلال جمع بيانات سلاسل زمنية سنوية وتحليلها إحصائياً.</w:t>
      </w:r>
    </w:p>
    <w:p w14:paraId="27CCA048"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702DB382"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مبررات اختيار المنهج الكمي:</w:t>
      </w:r>
    </w:p>
    <w:p w14:paraId="244C7BC3" w14:textId="77777777" w:rsidR="00B52A36" w:rsidRPr="00B52A36" w:rsidRDefault="00B52A36" w:rsidP="00B52A36">
      <w:pPr>
        <w:numPr>
          <w:ilvl w:val="0"/>
          <w:numId w:val="31"/>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طبيعة البيانات: البيانات متاحة بشكل سنوي من مصادر رسمية موثوقة (البنك المركزي المصري، الجهاز المركزي للتعبئة العامة والإحصاء، قاعدة بيانات البنك الدولي).</w:t>
      </w:r>
    </w:p>
    <w:p w14:paraId="2534B325" w14:textId="77777777" w:rsidR="00B52A36" w:rsidRPr="00B52A36" w:rsidRDefault="00B52A36" w:rsidP="00B52A36">
      <w:pPr>
        <w:numPr>
          <w:ilvl w:val="0"/>
          <w:numId w:val="31"/>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طبيعة الأهداف: قياس العلاقات السببية بين متغيرات الشمول المالي ومؤشرات الفقر يستلزم أدوات إحصائية دقيقة.</w:t>
      </w:r>
    </w:p>
    <w:p w14:paraId="71C95AF8" w14:textId="77777777" w:rsidR="00B52A36" w:rsidRPr="00B52A36" w:rsidRDefault="00B52A36" w:rsidP="00B52A36">
      <w:pPr>
        <w:numPr>
          <w:ilvl w:val="0"/>
          <w:numId w:val="31"/>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الثغرة المنهجية: معالجة قصور الدراسات السابقة التي اعتمدت على المناهج الوصفية النظرية فقط.</w:t>
      </w:r>
    </w:p>
    <w:p w14:paraId="54B3D5B4"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121A2CBD"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lastRenderedPageBreak/>
        <w:t>مجتمع الدراسة وعينتها:</w:t>
      </w:r>
    </w:p>
    <w:p w14:paraId="11331A0B"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يشمل مجتمع الدراسة جميع الوحدات الاقتصادية المتعاملة مع النظام المالي الرسمي في جمهورية مصر العربية، وتتمثل وحدة التحليل في المؤشرات الاقتصادية الكلية المعبّرة عن الأفراد والأسر تحت خط الفقر. أما عينة الدراسة فهي البيانات السنوية للفترة (2011-2020)، وعددها (10) مشاهدات سنوية.</w:t>
      </w:r>
    </w:p>
    <w:p w14:paraId="707AC121"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3050047A"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مصادر البيانات وطرق جمعها:</w:t>
      </w:r>
    </w:p>
    <w:p w14:paraId="08C88EF8" w14:textId="77777777" w:rsidR="00B52A36" w:rsidRPr="00B52A36" w:rsidRDefault="00B52A36" w:rsidP="00B52A36">
      <w:pPr>
        <w:numPr>
          <w:ilvl w:val="0"/>
          <w:numId w:val="32"/>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 xml:space="preserve">تقارير البنك المركزي المصري: مؤشرات الشمول المالي (عدد الحسابات، ماكينات </w:t>
      </w:r>
      <w:r w:rsidRPr="00B52A36">
        <w:rPr>
          <w:rFonts w:ascii="Simplified Arabic" w:eastAsia="Times New Roman" w:hAnsi="Simplified Arabic" w:cs="Simplified Arabic" w:hint="cs"/>
          <w:color w:val="000000"/>
          <w:kern w:val="0"/>
          <w:sz w:val="28"/>
          <w:szCs w:val="28"/>
          <w14:ligatures w14:val="none"/>
        </w:rPr>
        <w:t>ATM</w:t>
      </w:r>
      <w:r w:rsidRPr="00B52A36">
        <w:rPr>
          <w:rFonts w:ascii="Simplified Arabic" w:eastAsia="Times New Roman" w:hAnsi="Simplified Arabic" w:cs="Simplified Arabic" w:hint="cs"/>
          <w:color w:val="000000"/>
          <w:kern w:val="0"/>
          <w:sz w:val="28"/>
          <w:szCs w:val="28"/>
          <w:rtl/>
          <w14:ligatures w14:val="none"/>
        </w:rPr>
        <w:t>، حجم التمويل متناهي الصغر).</w:t>
      </w:r>
    </w:p>
    <w:p w14:paraId="112180FC" w14:textId="77777777" w:rsidR="00B52A36" w:rsidRPr="00B52A36" w:rsidRDefault="00B52A36" w:rsidP="00B52A36">
      <w:pPr>
        <w:numPr>
          <w:ilvl w:val="0"/>
          <w:numId w:val="32"/>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الجهاز المركزي للتعبئة العامة والإحصاء: معدلات الفقر القومي ونصيب الفرد من الدخل.</w:t>
      </w:r>
    </w:p>
    <w:p w14:paraId="4D5E0290" w14:textId="77777777" w:rsidR="00B52A36" w:rsidRPr="00B52A36" w:rsidRDefault="00B52A36" w:rsidP="00B52A36">
      <w:pPr>
        <w:numPr>
          <w:ilvl w:val="0"/>
          <w:numId w:val="32"/>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قاعدة بيانات البنك الدولي (</w:t>
      </w:r>
      <w:r w:rsidRPr="00B52A36">
        <w:rPr>
          <w:rFonts w:ascii="Simplified Arabic" w:eastAsia="Times New Roman" w:hAnsi="Simplified Arabic" w:cs="Simplified Arabic" w:hint="cs"/>
          <w:color w:val="000000"/>
          <w:kern w:val="0"/>
          <w:sz w:val="28"/>
          <w:szCs w:val="28"/>
          <w14:ligatures w14:val="none"/>
        </w:rPr>
        <w:t>World Development Indicators</w:t>
      </w:r>
      <w:r w:rsidRPr="00B52A36">
        <w:rPr>
          <w:rFonts w:ascii="Simplified Arabic" w:eastAsia="Times New Roman" w:hAnsi="Simplified Arabic" w:cs="Simplified Arabic" w:hint="cs"/>
          <w:color w:val="000000"/>
          <w:kern w:val="0"/>
          <w:sz w:val="28"/>
          <w:szCs w:val="28"/>
          <w:rtl/>
          <w14:ligatures w14:val="none"/>
        </w:rPr>
        <w:t>): مؤشرات معامل جيني والفقر المدقع.</w:t>
      </w:r>
    </w:p>
    <w:p w14:paraId="2A951EF0"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35D0A1BF"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أساليب التحليل الإحصائي:</w:t>
      </w:r>
    </w:p>
    <w:p w14:paraId="1FD9FDF2" w14:textId="77777777" w:rsidR="00B52A36" w:rsidRPr="00B52A36" w:rsidRDefault="00B52A36" w:rsidP="00B52A36">
      <w:pPr>
        <w:numPr>
          <w:ilvl w:val="0"/>
          <w:numId w:val="33"/>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نموذج الانحدار المتعدد (</w:t>
      </w:r>
      <w:r w:rsidRPr="00B52A36">
        <w:rPr>
          <w:rFonts w:ascii="Simplified Arabic" w:eastAsia="Times New Roman" w:hAnsi="Simplified Arabic" w:cs="Simplified Arabic" w:hint="cs"/>
          <w:color w:val="000000"/>
          <w:kern w:val="0"/>
          <w:sz w:val="28"/>
          <w:szCs w:val="28"/>
          <w14:ligatures w14:val="none"/>
        </w:rPr>
        <w:t>Multiple Regression Model</w:t>
      </w:r>
      <w:r w:rsidRPr="00B52A36">
        <w:rPr>
          <w:rFonts w:ascii="Simplified Arabic" w:eastAsia="Times New Roman" w:hAnsi="Simplified Arabic" w:cs="Simplified Arabic" w:hint="cs"/>
          <w:color w:val="000000"/>
          <w:kern w:val="0"/>
          <w:sz w:val="28"/>
          <w:szCs w:val="28"/>
          <w:rtl/>
          <w14:ligatures w14:val="none"/>
        </w:rPr>
        <w:t>) لقياس الأثر الكلي للشمول المالي على الفقر.</w:t>
      </w:r>
    </w:p>
    <w:p w14:paraId="08EFF36D" w14:textId="77777777" w:rsidR="00B52A36" w:rsidRPr="00B52A36" w:rsidRDefault="00B52A36" w:rsidP="00B52A36">
      <w:pPr>
        <w:numPr>
          <w:ilvl w:val="0"/>
          <w:numId w:val="33"/>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اختبار التوزيع الطبيعي للبيانات (</w:t>
      </w:r>
      <w:r w:rsidRPr="00B52A36">
        <w:rPr>
          <w:rFonts w:ascii="Simplified Arabic" w:eastAsia="Times New Roman" w:hAnsi="Simplified Arabic" w:cs="Simplified Arabic" w:hint="cs"/>
          <w:color w:val="000000"/>
          <w:kern w:val="0"/>
          <w:sz w:val="28"/>
          <w:szCs w:val="28"/>
          <w14:ligatures w14:val="none"/>
        </w:rPr>
        <w:t>Normality Test</w:t>
      </w:r>
      <w:r w:rsidRPr="00B52A36">
        <w:rPr>
          <w:rFonts w:ascii="Simplified Arabic" w:eastAsia="Times New Roman" w:hAnsi="Simplified Arabic" w:cs="Simplified Arabic" w:hint="cs"/>
          <w:color w:val="000000"/>
          <w:kern w:val="0"/>
          <w:sz w:val="28"/>
          <w:szCs w:val="28"/>
          <w:rtl/>
          <w14:ligatures w14:val="none"/>
        </w:rPr>
        <w:t>).</w:t>
      </w:r>
    </w:p>
    <w:p w14:paraId="785A4D26" w14:textId="77777777" w:rsidR="00B52A36" w:rsidRPr="00B52A36" w:rsidRDefault="00B52A36" w:rsidP="00B52A36">
      <w:pPr>
        <w:numPr>
          <w:ilvl w:val="0"/>
          <w:numId w:val="33"/>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اختبار السكون (</w:t>
      </w:r>
      <w:r w:rsidRPr="00B52A36">
        <w:rPr>
          <w:rFonts w:ascii="Simplified Arabic" w:eastAsia="Times New Roman" w:hAnsi="Simplified Arabic" w:cs="Simplified Arabic" w:hint="cs"/>
          <w:color w:val="000000"/>
          <w:kern w:val="0"/>
          <w:sz w:val="28"/>
          <w:szCs w:val="28"/>
          <w14:ligatures w14:val="none"/>
        </w:rPr>
        <w:t>Stationarity Test</w:t>
      </w:r>
      <w:r w:rsidRPr="00B52A36">
        <w:rPr>
          <w:rFonts w:ascii="Simplified Arabic" w:eastAsia="Times New Roman" w:hAnsi="Simplified Arabic" w:cs="Simplified Arabic" w:hint="cs"/>
          <w:color w:val="000000"/>
          <w:kern w:val="0"/>
          <w:sz w:val="28"/>
          <w:szCs w:val="28"/>
          <w:rtl/>
          <w14:ligatures w14:val="none"/>
        </w:rPr>
        <w:t>) للسلاسل الزمنية.</w:t>
      </w:r>
    </w:p>
    <w:p w14:paraId="3B4E9F9E" w14:textId="77777777" w:rsidR="00B52A36" w:rsidRPr="00B52A36" w:rsidRDefault="00B52A36" w:rsidP="00B52A36">
      <w:pPr>
        <w:numPr>
          <w:ilvl w:val="0"/>
          <w:numId w:val="33"/>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معامل التحديد (</w:t>
      </w:r>
      <w:r w:rsidRPr="00B52A36">
        <w:rPr>
          <w:rFonts w:ascii="Simplified Arabic" w:eastAsia="Times New Roman" w:hAnsi="Simplified Arabic" w:cs="Simplified Arabic" w:hint="cs"/>
          <w:color w:val="000000"/>
          <w:kern w:val="0"/>
          <w:sz w:val="28"/>
          <w:szCs w:val="28"/>
          <w14:ligatures w14:val="none"/>
        </w:rPr>
        <w:t>R²</w:t>
      </w:r>
      <w:r w:rsidRPr="00B52A36">
        <w:rPr>
          <w:rFonts w:ascii="Simplified Arabic" w:eastAsia="Times New Roman" w:hAnsi="Simplified Arabic" w:cs="Simplified Arabic" w:hint="cs"/>
          <w:color w:val="000000"/>
          <w:kern w:val="0"/>
          <w:sz w:val="28"/>
          <w:szCs w:val="28"/>
          <w:rtl/>
          <w14:ligatures w14:val="none"/>
        </w:rPr>
        <w:t>) لقياس القوة التفسيرية للنموذج.</w:t>
      </w:r>
    </w:p>
    <w:p w14:paraId="524E5121" w14:textId="77777777" w:rsidR="00B52A36" w:rsidRPr="00B52A36" w:rsidRDefault="00B52A36" w:rsidP="00B52A36">
      <w:pPr>
        <w:numPr>
          <w:ilvl w:val="0"/>
          <w:numId w:val="33"/>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اختبار التعددية الخطية (</w:t>
      </w:r>
      <w:r w:rsidRPr="00B52A36">
        <w:rPr>
          <w:rFonts w:ascii="Simplified Arabic" w:eastAsia="Times New Roman" w:hAnsi="Simplified Arabic" w:cs="Simplified Arabic" w:hint="cs"/>
          <w:color w:val="000000"/>
          <w:kern w:val="0"/>
          <w:sz w:val="28"/>
          <w:szCs w:val="28"/>
          <w14:ligatures w14:val="none"/>
        </w:rPr>
        <w:t>Multicollinearity</w:t>
      </w:r>
      <w:r w:rsidRPr="00B52A36">
        <w:rPr>
          <w:rFonts w:ascii="Simplified Arabic" w:eastAsia="Times New Roman" w:hAnsi="Simplified Arabic" w:cs="Simplified Arabic" w:hint="cs"/>
          <w:color w:val="000000"/>
          <w:kern w:val="0"/>
          <w:sz w:val="28"/>
          <w:szCs w:val="28"/>
          <w:rtl/>
          <w14:ligatures w14:val="none"/>
        </w:rPr>
        <w:t>) بين المتغيرات المستقلة.</w:t>
      </w:r>
    </w:p>
    <w:p w14:paraId="218B4BF0" w14:textId="77777777" w:rsidR="00B52A36" w:rsidRPr="00B52A36" w:rsidRDefault="00B52A36" w:rsidP="00B52A36">
      <w:pPr>
        <w:bidi/>
        <w:spacing w:after="180" w:line="240" w:lineRule="auto"/>
        <w:rPr>
          <w:rFonts w:ascii="Simplified Arabic" w:eastAsiaTheme="minorEastAsia" w:hAnsi="Simplified Arabic" w:cs="Simplified Arabic" w:hint="cs"/>
          <w:color w:val="000000"/>
          <w:kern w:val="0"/>
          <w:sz w:val="28"/>
          <w:szCs w:val="28"/>
          <w:rtl/>
          <w14:ligatures w14:val="none"/>
        </w:rPr>
      </w:pPr>
    </w:p>
    <w:p w14:paraId="77ECEDB5" w14:textId="77777777" w:rsidR="00B52A36" w:rsidRPr="00B52A36" w:rsidRDefault="00B52A36" w:rsidP="00B52A36">
      <w:pPr>
        <w:bidi/>
        <w:spacing w:after="90" w:line="240" w:lineRule="auto"/>
        <w:rPr>
          <w:rFonts w:ascii="Simplified Arabic" w:eastAsiaTheme="minorEastAsia" w:hAnsi="Simplified Arabic" w:cs="Simplified Arabic" w:hint="cs"/>
          <w:color w:val="1F4E79"/>
          <w:kern w:val="0"/>
          <w:sz w:val="28"/>
          <w:szCs w:val="28"/>
          <w:rtl/>
          <w14:ligatures w14:val="none"/>
        </w:rPr>
      </w:pPr>
      <w:r w:rsidRPr="00B52A36">
        <w:rPr>
          <w:rFonts w:ascii="Simplified Arabic" w:eastAsiaTheme="minorEastAsia" w:hAnsi="Simplified Arabic" w:cs="Simplified Arabic" w:hint="cs"/>
          <w:color w:val="1F4E79"/>
          <w:kern w:val="0"/>
          <w:sz w:val="28"/>
          <w:szCs w:val="28"/>
          <w:rtl/>
          <w14:ligatures w14:val="none"/>
        </w:rPr>
        <w:t>عاشراً: أدوات الدراسة</w:t>
      </w:r>
    </w:p>
    <w:p w14:paraId="57682972"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lastRenderedPageBreak/>
        <w:t>بما أن الدراسة تطبيقية على بيانات اقتصاد كلي (</w:t>
      </w:r>
      <w:r w:rsidRPr="00B52A36">
        <w:rPr>
          <w:rFonts w:ascii="Simplified Arabic" w:eastAsiaTheme="minorEastAsia" w:hAnsi="Simplified Arabic" w:cs="Simplified Arabic" w:hint="cs"/>
          <w:color w:val="000000"/>
          <w:kern w:val="0"/>
          <w:sz w:val="28"/>
          <w:szCs w:val="28"/>
          <w14:ligatures w14:val="none"/>
        </w:rPr>
        <w:t>Macroeconomics</w:t>
      </w:r>
      <w:r w:rsidRPr="00B52A36">
        <w:rPr>
          <w:rFonts w:ascii="Simplified Arabic" w:eastAsiaTheme="minorEastAsia" w:hAnsi="Simplified Arabic" w:cs="Simplified Arabic" w:hint="cs"/>
          <w:color w:val="000000"/>
          <w:kern w:val="0"/>
          <w:sz w:val="28"/>
          <w:szCs w:val="28"/>
          <w:rtl/>
          <w14:ligatures w14:val="none"/>
        </w:rPr>
        <w:t>)، فإن الأداة الرئيسية هي نماذج التحليل القياسي، وتتضمن:</w:t>
      </w:r>
    </w:p>
    <w:p w14:paraId="520ADB72"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059186E0"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1. استمارة تجميع البيانات (</w:t>
      </w:r>
      <w:r w:rsidRPr="00B52A36">
        <w:rPr>
          <w:rFonts w:ascii="Simplified Arabic" w:eastAsiaTheme="minorEastAsia" w:hAnsi="Simplified Arabic" w:cs="Simplified Arabic" w:hint="cs"/>
          <w:color w:val="2E75B6"/>
          <w:kern w:val="0"/>
          <w:sz w:val="28"/>
          <w:szCs w:val="28"/>
          <w14:ligatures w14:val="none"/>
        </w:rPr>
        <w:t>Data Collection Sheet</w:t>
      </w:r>
      <w:r w:rsidRPr="00B52A36">
        <w:rPr>
          <w:rFonts w:ascii="Simplified Arabic" w:eastAsiaTheme="minorEastAsia" w:hAnsi="Simplified Arabic" w:cs="Simplified Arabic" w:hint="cs"/>
          <w:color w:val="2E75B6"/>
          <w:kern w:val="0"/>
          <w:sz w:val="28"/>
          <w:szCs w:val="28"/>
          <w:rtl/>
          <w14:ligatures w14:val="none"/>
        </w:rPr>
        <w:t>):</w:t>
      </w:r>
    </w:p>
    <w:p w14:paraId="3AEFE66A"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صُمِّمت لجمع البيانات السنوية للفترة (2011-2020) من المصادر الرسمية، وتشمل:</w:t>
      </w:r>
    </w:p>
    <w:p w14:paraId="20673C56" w14:textId="77777777" w:rsidR="00B52A36" w:rsidRPr="00B52A36" w:rsidRDefault="00B52A36" w:rsidP="00B52A36">
      <w:pPr>
        <w:numPr>
          <w:ilvl w:val="0"/>
          <w:numId w:val="34"/>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 xml:space="preserve">المتغيرات المستقلة (أبعاد الشمول المالي): عدد الحسابات البنكية لكل 1000 بالغ، عدد ماكينات </w:t>
      </w:r>
      <w:r w:rsidRPr="00B52A36">
        <w:rPr>
          <w:rFonts w:ascii="Simplified Arabic" w:eastAsia="Times New Roman" w:hAnsi="Simplified Arabic" w:cs="Simplified Arabic" w:hint="cs"/>
          <w:color w:val="000000"/>
          <w:kern w:val="0"/>
          <w:sz w:val="28"/>
          <w:szCs w:val="28"/>
          <w14:ligatures w14:val="none"/>
        </w:rPr>
        <w:t>ATM</w:t>
      </w:r>
      <w:r w:rsidRPr="00B52A36">
        <w:rPr>
          <w:rFonts w:ascii="Simplified Arabic" w:eastAsia="Times New Roman" w:hAnsi="Simplified Arabic" w:cs="Simplified Arabic" w:hint="cs"/>
          <w:color w:val="000000"/>
          <w:kern w:val="0"/>
          <w:sz w:val="28"/>
          <w:szCs w:val="28"/>
          <w:rtl/>
          <w14:ligatures w14:val="none"/>
        </w:rPr>
        <w:t xml:space="preserve"> لكل 100,000 بالغ، حجم محفظة التمويل متناهي الصغر (بمليارات الجنيهات)، نسبة المعاملات الرقمية إلى إجمالي المعاملات.</w:t>
      </w:r>
    </w:p>
    <w:p w14:paraId="33828230" w14:textId="77777777" w:rsidR="00B52A36" w:rsidRPr="00B52A36" w:rsidRDefault="00B52A36" w:rsidP="00B52A36">
      <w:pPr>
        <w:numPr>
          <w:ilvl w:val="0"/>
          <w:numId w:val="34"/>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المتغير التابع (مؤشرات الفقر): معدل الفقر القومي (%)، ومعامل جيني لعدم المساواة.</w:t>
      </w:r>
    </w:p>
    <w:p w14:paraId="30C94833"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34E3A16C"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2. الاستبانة (في حال تطوير الدراسة لتشمل الجانب الميداني):</w:t>
      </w:r>
    </w:p>
    <w:p w14:paraId="1BB47E5C"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يمكن تطوير الدراسة مستقبلاً لتشمل استبانة ميدانية تستهدف عينة من الأسر المستفيدة من خدمات الشمول المالي، وتتضمن المحاور الرئيسية الآتية:</w:t>
      </w:r>
    </w:p>
    <w:p w14:paraId="766045E4" w14:textId="77777777" w:rsidR="00B52A36" w:rsidRPr="00B52A36" w:rsidRDefault="00B52A36" w:rsidP="00B52A36">
      <w:pPr>
        <w:numPr>
          <w:ilvl w:val="0"/>
          <w:numId w:val="35"/>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المحور الأول: البيانات الديموغرافية (الجنس، العمر، المستوى التعليمي، الموقع الجغرافي).</w:t>
      </w:r>
    </w:p>
    <w:p w14:paraId="66663E0D" w14:textId="77777777" w:rsidR="00B52A36" w:rsidRPr="00B52A36" w:rsidRDefault="00B52A36" w:rsidP="00B52A36">
      <w:pPr>
        <w:numPr>
          <w:ilvl w:val="0"/>
          <w:numId w:val="35"/>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المحور الثاني: مدى الوصول إلى الخدمات المالية الرسمية (امتلاك حساب بنكي، استخدام الدفع الرقمي).</w:t>
      </w:r>
    </w:p>
    <w:p w14:paraId="7B676D15" w14:textId="77777777" w:rsidR="00B52A36" w:rsidRPr="00B52A36" w:rsidRDefault="00B52A36" w:rsidP="00B52A36">
      <w:pPr>
        <w:numPr>
          <w:ilvl w:val="0"/>
          <w:numId w:val="35"/>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المحور الثالث: أثر الشمول المالي على الدخل والإنفاق الاستهلاكي والادخار.</w:t>
      </w:r>
    </w:p>
    <w:p w14:paraId="49D0C234" w14:textId="77777777" w:rsidR="00B52A36" w:rsidRPr="00B52A36" w:rsidRDefault="00B52A36" w:rsidP="00B52A36">
      <w:pPr>
        <w:numPr>
          <w:ilvl w:val="0"/>
          <w:numId w:val="35"/>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المحور الرابع: التحديات والعوائق التي تحول دون الاستفادة من الخدمات المالية.</w:t>
      </w:r>
    </w:p>
    <w:p w14:paraId="68B71D3B"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53E94031"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3. اختبارات الجودة الإحصائية:</w:t>
      </w:r>
    </w:p>
    <w:p w14:paraId="365076E3" w14:textId="77777777" w:rsidR="00B52A36" w:rsidRPr="00B52A36" w:rsidRDefault="00B52A36" w:rsidP="00B52A36">
      <w:pPr>
        <w:numPr>
          <w:ilvl w:val="0"/>
          <w:numId w:val="36"/>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اختبار كرونباخ ألفا (</w:t>
      </w:r>
      <w:r w:rsidRPr="00B52A36">
        <w:rPr>
          <w:rFonts w:ascii="Simplified Arabic" w:eastAsia="Times New Roman" w:hAnsi="Simplified Arabic" w:cs="Simplified Arabic" w:hint="cs"/>
          <w:color w:val="000000"/>
          <w:kern w:val="0"/>
          <w:sz w:val="28"/>
          <w:szCs w:val="28"/>
          <w14:ligatures w14:val="none"/>
        </w:rPr>
        <w:t>Cronbach's Alpha</w:t>
      </w:r>
      <w:r w:rsidRPr="00B52A36">
        <w:rPr>
          <w:rFonts w:ascii="Simplified Arabic" w:eastAsia="Times New Roman" w:hAnsi="Simplified Arabic" w:cs="Simplified Arabic" w:hint="cs"/>
          <w:color w:val="000000"/>
          <w:kern w:val="0"/>
          <w:sz w:val="28"/>
          <w:szCs w:val="28"/>
          <w:rtl/>
          <w14:ligatures w14:val="none"/>
        </w:rPr>
        <w:t>) لقياس ثبات الاستبانة (إذا تطلب الأمر).</w:t>
      </w:r>
    </w:p>
    <w:p w14:paraId="47EDA932" w14:textId="77777777" w:rsidR="00B52A36" w:rsidRPr="00B52A36" w:rsidRDefault="00B52A36" w:rsidP="00B52A36">
      <w:pPr>
        <w:numPr>
          <w:ilvl w:val="0"/>
          <w:numId w:val="36"/>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lastRenderedPageBreak/>
        <w:t>الصدق الظاهري (</w:t>
      </w:r>
      <w:r w:rsidRPr="00B52A36">
        <w:rPr>
          <w:rFonts w:ascii="Simplified Arabic" w:eastAsia="Times New Roman" w:hAnsi="Simplified Arabic" w:cs="Simplified Arabic" w:hint="cs"/>
          <w:color w:val="000000"/>
          <w:kern w:val="0"/>
          <w:sz w:val="28"/>
          <w:szCs w:val="28"/>
          <w14:ligatures w14:val="none"/>
        </w:rPr>
        <w:t>Face Validity</w:t>
      </w:r>
      <w:r w:rsidRPr="00B52A36">
        <w:rPr>
          <w:rFonts w:ascii="Simplified Arabic" w:eastAsia="Times New Roman" w:hAnsi="Simplified Arabic" w:cs="Simplified Arabic" w:hint="cs"/>
          <w:color w:val="000000"/>
          <w:kern w:val="0"/>
          <w:sz w:val="28"/>
          <w:szCs w:val="28"/>
          <w:rtl/>
          <w14:ligatures w14:val="none"/>
        </w:rPr>
        <w:t>) عبر التحكيم من قِبل المختصين.</w:t>
      </w:r>
    </w:p>
    <w:p w14:paraId="0380CEFD" w14:textId="77777777" w:rsidR="00B52A36" w:rsidRPr="00B52A36" w:rsidRDefault="00B52A36" w:rsidP="00B52A36">
      <w:pPr>
        <w:numPr>
          <w:ilvl w:val="0"/>
          <w:numId w:val="36"/>
        </w:numPr>
        <w:bidi/>
        <w:spacing w:after="60"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اختبار التوزيع الطبيعي واختبار السكون للبيانات الزمنية.</w:t>
      </w:r>
    </w:p>
    <w:p w14:paraId="7F9181FE" w14:textId="77777777" w:rsidR="00B52A36" w:rsidRPr="00B52A36" w:rsidRDefault="00B52A36" w:rsidP="00B52A36">
      <w:pPr>
        <w:bidi/>
        <w:spacing w:after="180" w:line="240" w:lineRule="auto"/>
        <w:rPr>
          <w:rFonts w:ascii="Simplified Arabic" w:eastAsiaTheme="minorEastAsia" w:hAnsi="Simplified Arabic" w:cs="Simplified Arabic" w:hint="cs"/>
          <w:color w:val="000000"/>
          <w:kern w:val="0"/>
          <w:sz w:val="28"/>
          <w:szCs w:val="28"/>
          <w:rtl/>
          <w14:ligatures w14:val="none"/>
        </w:rPr>
      </w:pPr>
    </w:p>
    <w:p w14:paraId="0C34F56C" w14:textId="77777777" w:rsidR="00B52A36" w:rsidRPr="00B52A36" w:rsidRDefault="00B52A36" w:rsidP="00B52A36">
      <w:pPr>
        <w:bidi/>
        <w:spacing w:after="150" w:line="240" w:lineRule="auto"/>
        <w:rPr>
          <w:rFonts w:ascii="Simplified Arabic" w:eastAsiaTheme="minorEastAsia" w:hAnsi="Simplified Arabic" w:cs="Simplified Arabic" w:hint="cs"/>
          <w:color w:val="1F4E79"/>
          <w:kern w:val="0"/>
          <w:sz w:val="28"/>
          <w:szCs w:val="28"/>
          <w:rtl/>
          <w14:ligatures w14:val="none"/>
        </w:rPr>
      </w:pPr>
      <w:r w:rsidRPr="00B52A36">
        <w:rPr>
          <w:rFonts w:ascii="Simplified Arabic" w:eastAsiaTheme="minorEastAsia" w:hAnsi="Simplified Arabic" w:cs="Simplified Arabic" w:hint="cs"/>
          <w:color w:val="1F4E79"/>
          <w:kern w:val="0"/>
          <w:sz w:val="28"/>
          <w:szCs w:val="28"/>
          <w:rtl/>
          <w14:ligatures w14:val="none"/>
        </w:rPr>
        <w:t>حادي عشر: حدود الدراسة</w:t>
      </w:r>
    </w:p>
    <w:p w14:paraId="66B7E55B"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أ) المجال الموضوعي:</w:t>
      </w:r>
    </w:p>
    <w:p w14:paraId="37E6CBF2"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تقتصر الدراسة على قياس أثر الشمول المالي (بمتغيراته الأربعة) على مؤشرات الفقر وعدم المساواة في الاقتصاد المصري، دون التطرق إلى متغيرات اقتصادية كلية أخرى خارج نطاق النموذج القياسي.</w:t>
      </w:r>
    </w:p>
    <w:p w14:paraId="2C2ACE5E"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013BC29F"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ب) المجال المكاني:</w:t>
      </w:r>
    </w:p>
    <w:p w14:paraId="6CA5F266" w14:textId="77777777" w:rsidR="00B52A36" w:rsidRPr="00B52A36" w:rsidRDefault="00B52A36" w:rsidP="00B52A36">
      <w:pPr>
        <w:bidi/>
        <w:spacing w:after="60" w:line="240" w:lineRule="auto"/>
        <w:rPr>
          <w:rFonts w:ascii="Simplified Arabic" w:eastAsiaTheme="minorEastAsia" w:hAnsi="Simplified Arabic" w:cs="Simplified Arabic" w:hint="cs"/>
          <w:color w:val="000000"/>
          <w:kern w:val="0"/>
          <w:sz w:val="28"/>
          <w:szCs w:val="28"/>
          <w:rtl/>
          <w14:ligatures w14:val="none"/>
        </w:rPr>
      </w:pPr>
      <w:r w:rsidRPr="00B52A36">
        <w:rPr>
          <w:rFonts w:ascii="Simplified Arabic" w:eastAsiaTheme="minorEastAsia" w:hAnsi="Simplified Arabic" w:cs="Simplified Arabic" w:hint="cs"/>
          <w:color w:val="000000"/>
          <w:kern w:val="0"/>
          <w:sz w:val="28"/>
          <w:szCs w:val="28"/>
          <w:rtl/>
          <w14:ligatures w14:val="none"/>
        </w:rPr>
        <w:t>جمهورية مصر العربية، بوصفها بيئة تطبيقية خصبة شهدت إصلاحات هيكلية واسعة وتحولاً رقمياً ملموساً خلال العقد المدروس.</w:t>
      </w:r>
    </w:p>
    <w:p w14:paraId="35512C71" w14:textId="77777777" w:rsidR="00B52A36" w:rsidRPr="00B52A36" w:rsidRDefault="00B52A36" w:rsidP="00B52A36">
      <w:pPr>
        <w:bidi/>
        <w:spacing w:after="150" w:line="240" w:lineRule="auto"/>
        <w:rPr>
          <w:rFonts w:ascii="Simplified Arabic" w:eastAsiaTheme="minorEastAsia" w:hAnsi="Simplified Arabic" w:cs="Simplified Arabic" w:hint="cs"/>
          <w:color w:val="000000"/>
          <w:kern w:val="0"/>
          <w:sz w:val="28"/>
          <w:szCs w:val="28"/>
          <w:rtl/>
          <w14:ligatures w14:val="none"/>
        </w:rPr>
      </w:pPr>
    </w:p>
    <w:p w14:paraId="0622B3F6" w14:textId="77777777" w:rsidR="00B52A36" w:rsidRPr="00B52A36" w:rsidRDefault="00B52A36" w:rsidP="00B52A36">
      <w:pPr>
        <w:bidi/>
        <w:spacing w:after="60" w:line="240" w:lineRule="auto"/>
        <w:rPr>
          <w:rFonts w:ascii="Simplified Arabic" w:eastAsiaTheme="minorEastAsia" w:hAnsi="Simplified Arabic" w:cs="Simplified Arabic" w:hint="cs"/>
          <w:color w:val="2E75B6"/>
          <w:kern w:val="0"/>
          <w:sz w:val="28"/>
          <w:szCs w:val="28"/>
          <w:rtl/>
          <w14:ligatures w14:val="none"/>
        </w:rPr>
      </w:pPr>
      <w:r w:rsidRPr="00B52A36">
        <w:rPr>
          <w:rFonts w:ascii="Simplified Arabic" w:eastAsiaTheme="minorEastAsia" w:hAnsi="Simplified Arabic" w:cs="Simplified Arabic" w:hint="cs"/>
          <w:color w:val="2E75B6"/>
          <w:kern w:val="0"/>
          <w:sz w:val="28"/>
          <w:szCs w:val="28"/>
          <w:rtl/>
          <w14:ligatures w14:val="none"/>
        </w:rPr>
        <w:t>ج) المجال الزمني:</w:t>
      </w:r>
    </w:p>
    <w:p w14:paraId="7C5E8DB9" w14:textId="77777777" w:rsidR="00B52A36" w:rsidRPr="00B52A36" w:rsidRDefault="00B52A36" w:rsidP="00B52A36">
      <w:pPr>
        <w:numPr>
          <w:ilvl w:val="0"/>
          <w:numId w:val="37"/>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فترة السلسلة الزمنية المدروسة: من عام 2011 إلى عام 2020، لضمان رصد التغيرات قبل وبعد إطلاق استراتيجية الشمول المالي الرسمية.</w:t>
      </w:r>
    </w:p>
    <w:p w14:paraId="526FFC99" w14:textId="77777777" w:rsidR="00B52A36" w:rsidRPr="00B52A36" w:rsidRDefault="00B52A36" w:rsidP="00B52A36">
      <w:pPr>
        <w:numPr>
          <w:ilvl w:val="0"/>
          <w:numId w:val="37"/>
        </w:numPr>
        <w:bidi/>
        <w:spacing w:after="45" w:line="240" w:lineRule="auto"/>
        <w:rPr>
          <w:rFonts w:ascii="Simplified Arabic" w:eastAsia="Times New Roman" w:hAnsi="Simplified Arabic" w:cs="Simplified Arabic" w:hint="cs"/>
          <w:color w:val="000000"/>
          <w:kern w:val="0"/>
          <w:sz w:val="28"/>
          <w:szCs w:val="28"/>
          <w:rtl/>
          <w14:ligatures w14:val="none"/>
        </w:rPr>
      </w:pPr>
      <w:r w:rsidRPr="00B52A36">
        <w:rPr>
          <w:rFonts w:ascii="Simplified Arabic" w:eastAsia="Times New Roman" w:hAnsi="Simplified Arabic" w:cs="Simplified Arabic" w:hint="cs"/>
          <w:color w:val="000000"/>
          <w:kern w:val="0"/>
          <w:sz w:val="28"/>
          <w:szCs w:val="28"/>
          <w:rtl/>
          <w14:ligatures w14:val="none"/>
        </w:rPr>
        <w:t>فترة إجراء البحث وجمع البيانات: خلال عامي 2024-2025.</w:t>
      </w:r>
    </w:p>
    <w:p w14:paraId="105111C7" w14:textId="77777777" w:rsidR="00284F10" w:rsidRPr="00B52A36" w:rsidRDefault="00284F10" w:rsidP="00B52A36">
      <w:pPr>
        <w:bidi/>
        <w:spacing w:line="240" w:lineRule="auto"/>
        <w:rPr>
          <w:rFonts w:ascii="Simplified Arabic" w:eastAsia="Calibri" w:hAnsi="Simplified Arabic" w:cs="Simplified Arabic" w:hint="cs"/>
          <w:sz w:val="28"/>
          <w:szCs w:val="28"/>
        </w:rPr>
      </w:pPr>
    </w:p>
    <w:p w14:paraId="163FBBED" w14:textId="3D2975B9" w:rsidR="001955FA" w:rsidRPr="00B52A36" w:rsidRDefault="001955FA" w:rsidP="00B52A36">
      <w:pPr>
        <w:bidi/>
        <w:spacing w:line="240" w:lineRule="auto"/>
        <w:rPr>
          <w:rFonts w:ascii="Simplified Arabic" w:eastAsia="Calibri" w:hAnsi="Simplified Arabic" w:cs="Simplified Arabic" w:hint="cs"/>
          <w:sz w:val="28"/>
          <w:szCs w:val="28"/>
          <w:rtl/>
        </w:rPr>
      </w:pPr>
      <w:r w:rsidRPr="00B52A36">
        <w:rPr>
          <w:rFonts w:ascii="Simplified Arabic" w:eastAsia="Calibri" w:hAnsi="Simplified Arabic" w:cs="Simplified Arabic" w:hint="cs"/>
          <w:sz w:val="28"/>
          <w:szCs w:val="28"/>
          <w:rtl/>
        </w:rPr>
        <w:t>المراجع</w:t>
      </w:r>
    </w:p>
    <w:p w14:paraId="19FF83AA" w14:textId="3D5A9B30" w:rsidR="008370F5" w:rsidRPr="00B52A36" w:rsidRDefault="00D01AAF" w:rsidP="00B52A36">
      <w:pPr>
        <w:shd w:val="clear" w:color="auto" w:fill="FFFFFF"/>
        <w:bidi/>
        <w:spacing w:before="240" w:after="240" w:line="240" w:lineRule="auto"/>
        <w:rPr>
          <w:rFonts w:ascii="Simplified Arabic" w:eastAsia="Times New Roman" w:hAnsi="Simplified Arabic" w:cs="Simplified Arabic" w:hint="cs"/>
          <w:color w:val="0F1115"/>
          <w:sz w:val="28"/>
          <w:szCs w:val="28"/>
          <w:rtl/>
        </w:rPr>
      </w:pPr>
      <w:r w:rsidRPr="00B52A36">
        <w:rPr>
          <w:rFonts w:ascii="Simplified Arabic" w:eastAsia="Times New Roman" w:hAnsi="Simplified Arabic" w:cs="Simplified Arabic" w:hint="cs"/>
          <w:color w:val="0F1115"/>
          <w:sz w:val="28"/>
          <w:szCs w:val="28"/>
          <w:rtl/>
        </w:rPr>
        <w:t xml:space="preserve">مراجع عربيه </w:t>
      </w:r>
    </w:p>
    <w:p w14:paraId="323BED98" w14:textId="77777777" w:rsidR="008370F5" w:rsidRPr="00B52A36" w:rsidRDefault="008370F5" w:rsidP="00B52A36">
      <w:pPr>
        <w:pStyle w:val="a5"/>
        <w:numPr>
          <w:ilvl w:val="0"/>
          <w:numId w:val="20"/>
        </w:numPr>
        <w:bidi/>
        <w:spacing w:after="0" w:line="240" w:lineRule="auto"/>
        <w:ind w:right="470"/>
        <w:rPr>
          <w:rFonts w:ascii="Simplified Arabic" w:eastAsiaTheme="minorEastAsia" w:hAnsi="Simplified Arabic" w:cs="Simplified Arabic" w:hint="cs"/>
          <w:color w:val="1B1C1D"/>
          <w:kern w:val="0"/>
          <w:sz w:val="28"/>
          <w:szCs w:val="28"/>
          <w14:ligatures w14:val="none"/>
        </w:rPr>
      </w:pPr>
      <w:r w:rsidRPr="00B52A36">
        <w:rPr>
          <w:rFonts w:ascii="Simplified Arabic" w:eastAsiaTheme="minorEastAsia" w:hAnsi="Simplified Arabic" w:cs="Simplified Arabic" w:hint="cs"/>
          <w:color w:val="1B1C1D"/>
          <w:kern w:val="0"/>
          <w:sz w:val="28"/>
          <w:szCs w:val="28"/>
          <w:rtl/>
          <w14:ligatures w14:val="none"/>
        </w:rPr>
        <w:lastRenderedPageBreak/>
        <w:t>فتوح، وسام (2019). الشمول المالي سلوك الطريق الصحيح نحو الحد من البطالة وإستراتيجية التنمية. مجلة اتحاد المصارف العربية، اتحاد المصارف العربية، لبنان.</w:t>
      </w:r>
    </w:p>
    <w:p w14:paraId="4016B3C4" w14:textId="77777777" w:rsidR="008370F5" w:rsidRPr="00B52A36" w:rsidRDefault="008370F5" w:rsidP="00B52A36">
      <w:pPr>
        <w:pStyle w:val="a5"/>
        <w:numPr>
          <w:ilvl w:val="0"/>
          <w:numId w:val="20"/>
        </w:numPr>
        <w:bidi/>
        <w:spacing w:before="135" w:after="0" w:line="240" w:lineRule="auto"/>
        <w:ind w:right="503"/>
        <w:rPr>
          <w:rFonts w:ascii="Simplified Arabic" w:eastAsiaTheme="minorEastAsia" w:hAnsi="Simplified Arabic" w:cs="Simplified Arabic" w:hint="cs"/>
          <w:color w:val="1B1C1D"/>
          <w:kern w:val="0"/>
          <w:sz w:val="28"/>
          <w:szCs w:val="28"/>
          <w:rtl/>
          <w14:ligatures w14:val="none"/>
        </w:rPr>
      </w:pPr>
      <w:r w:rsidRPr="00B52A36">
        <w:rPr>
          <w:rFonts w:ascii="Simplified Arabic" w:eastAsiaTheme="minorEastAsia" w:hAnsi="Simplified Arabic" w:cs="Simplified Arabic" w:hint="cs"/>
          <w:color w:val="1B1C1D"/>
          <w:kern w:val="0"/>
          <w:sz w:val="28"/>
          <w:szCs w:val="28"/>
          <w:rtl/>
          <w14:ligatures w14:val="none"/>
        </w:rPr>
        <w:t>2. عماني، أمينة، وآخرون (2020). إستراتيجية الشمول المالي رؤية جديدة لمكافحة الفقر. مجلة أداء، الجزائر.</w:t>
      </w:r>
    </w:p>
    <w:p w14:paraId="41FB2DFC" w14:textId="77777777" w:rsidR="008370F5" w:rsidRPr="00B52A36" w:rsidRDefault="008370F5" w:rsidP="00B52A36">
      <w:pPr>
        <w:pStyle w:val="a5"/>
        <w:numPr>
          <w:ilvl w:val="0"/>
          <w:numId w:val="20"/>
        </w:numPr>
        <w:bidi/>
        <w:spacing w:before="135" w:after="0" w:line="240" w:lineRule="auto"/>
        <w:ind w:right="503"/>
        <w:rPr>
          <w:rFonts w:ascii="Simplified Arabic" w:eastAsiaTheme="minorEastAsia" w:hAnsi="Simplified Arabic" w:cs="Simplified Arabic" w:hint="cs"/>
          <w:color w:val="1B1C1D"/>
          <w:kern w:val="0"/>
          <w:sz w:val="28"/>
          <w:szCs w:val="28"/>
          <w:rtl/>
          <w14:ligatures w14:val="none"/>
        </w:rPr>
      </w:pPr>
      <w:r w:rsidRPr="00B52A36">
        <w:rPr>
          <w:rFonts w:ascii="Simplified Arabic" w:eastAsiaTheme="minorEastAsia" w:hAnsi="Simplified Arabic" w:cs="Simplified Arabic" w:hint="cs"/>
          <w:color w:val="1B1C1D"/>
          <w:kern w:val="0"/>
          <w:sz w:val="28"/>
          <w:szCs w:val="28"/>
          <w:rtl/>
          <w14:ligatures w14:val="none"/>
        </w:rPr>
        <w:t>3. سالم، عزة (2021). متطلبات تعزيز الشمول المالي: دراسة حالة بعض الدول العربية. مجلة دراسات اقتصادية، مركز البصيرة للبحوث والاستشارات والخدمات التعليمية، الجزائر.</w:t>
      </w:r>
    </w:p>
    <w:p w14:paraId="4E5DE0C4" w14:textId="31DCEFEA" w:rsidR="00D01AAF" w:rsidRPr="00C03667" w:rsidRDefault="008370F5" w:rsidP="00C03667">
      <w:pPr>
        <w:pStyle w:val="a5"/>
        <w:numPr>
          <w:ilvl w:val="0"/>
          <w:numId w:val="20"/>
        </w:numPr>
        <w:bidi/>
        <w:spacing w:before="135" w:after="0" w:line="240" w:lineRule="auto"/>
        <w:ind w:right="509"/>
        <w:rPr>
          <w:rFonts w:ascii="Simplified Arabic" w:eastAsiaTheme="minorEastAsia" w:hAnsi="Simplified Arabic" w:cs="Simplified Arabic"/>
          <w:color w:val="1B1C1D"/>
          <w:kern w:val="0"/>
          <w:sz w:val="28"/>
          <w:szCs w:val="28"/>
          <w:rtl/>
          <w14:ligatures w14:val="none"/>
        </w:rPr>
      </w:pPr>
      <w:r w:rsidRPr="00B52A36">
        <w:rPr>
          <w:rFonts w:ascii="Simplified Arabic" w:eastAsiaTheme="minorEastAsia" w:hAnsi="Simplified Arabic" w:cs="Simplified Arabic" w:hint="cs"/>
          <w:color w:val="1B1C1D"/>
          <w:kern w:val="0"/>
          <w:sz w:val="28"/>
          <w:szCs w:val="28"/>
          <w:rtl/>
          <w14:ligatures w14:val="none"/>
        </w:rPr>
        <w:t>4. معتوق، رشا (2021). الشمول المالي. المجلة العلمية للبحوث والدراسات التجارية، كلية التجارة وإدارة الأعمال، جامعة حلوان، مصر.</w:t>
      </w:r>
    </w:p>
    <w:p w14:paraId="33FE6C06" w14:textId="77777777" w:rsidR="00D01AAF" w:rsidRDefault="00D01AAF"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32E378D5" w14:textId="77777777" w:rsidR="00D01AAF" w:rsidRDefault="00D01AAF"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0B6C0328" w14:textId="77777777" w:rsidR="00D01AAF" w:rsidRDefault="00D01AAF"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2CBBC735" w14:textId="77777777" w:rsidR="00D01AAF" w:rsidRDefault="00D01AAF"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3FA204D8" w14:textId="77777777" w:rsidR="00D01AAF" w:rsidRDefault="00D01AAF"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5AA2AEC3" w14:textId="77777777" w:rsidR="008370F5" w:rsidRDefault="008370F5" w:rsidP="008370F5">
      <w:pPr>
        <w:shd w:val="clear" w:color="auto" w:fill="FFFFFF"/>
        <w:spacing w:before="100" w:beforeAutospacing="1" w:after="0" w:line="240" w:lineRule="auto"/>
        <w:ind w:left="360"/>
        <w:jc w:val="lowKashida"/>
        <w:rPr>
          <w:rFonts w:ascii="Sakkal Majalla" w:eastAsia="Times New Roman" w:hAnsi="Sakkal Majalla" w:cs="Sakkal Majalla"/>
          <w:color w:val="0F1115"/>
          <w:sz w:val="28"/>
          <w:szCs w:val="28"/>
          <w:rtl/>
        </w:rPr>
      </w:pPr>
    </w:p>
    <w:p w14:paraId="45357DCF" w14:textId="77777777" w:rsidR="00E86B14" w:rsidRPr="00E86B14" w:rsidRDefault="00E86B14" w:rsidP="00E86B14">
      <w:pPr>
        <w:bidi/>
        <w:spacing w:before="420" w:after="0" w:line="240" w:lineRule="auto"/>
        <w:rPr>
          <w:rFonts w:ascii=".AppleSystemUIFont" w:eastAsiaTheme="minorEastAsia" w:hAnsi=".AppleSystemUIFont" w:cs="Times New Roman" w:hint="eastAsia"/>
          <w:color w:val="1B1C1D"/>
          <w:kern w:val="0"/>
          <w:sz w:val="23"/>
          <w:szCs w:val="23"/>
          <w14:ligatures w14:val="none"/>
        </w:rPr>
      </w:pPr>
      <w:r w:rsidRPr="00E86B14">
        <w:rPr>
          <w:rFonts w:ascii=".SFUI-Heavy" w:eastAsiaTheme="minorEastAsia" w:hAnsi=".SFUI-Heavy" w:cs="Times New Roman"/>
          <w:b/>
          <w:bCs/>
          <w:color w:val="1B1C1D"/>
          <w:kern w:val="0"/>
          <w:sz w:val="23"/>
          <w:szCs w:val="23"/>
          <w:rtl/>
          <w14:ligatures w14:val="none"/>
        </w:rPr>
        <w:t>المراجع الأجنبية</w:t>
      </w:r>
    </w:p>
    <w:p w14:paraId="302849EA" w14:textId="77777777" w:rsidR="00E86B14" w:rsidRPr="00E86B14" w:rsidRDefault="00E86B14" w:rsidP="00E86B14">
      <w:pPr>
        <w:spacing w:after="0" w:line="240" w:lineRule="auto"/>
        <w:ind w:left="470" w:hanging="320"/>
        <w:rPr>
          <w:rFonts w:ascii=".AppleSystemUIFont" w:eastAsiaTheme="minorEastAsia" w:hAnsi=".AppleSystemUIFont" w:cs="Times New Roman" w:hint="eastAsia"/>
          <w:color w:val="1B1C1D"/>
          <w:kern w:val="0"/>
          <w:sz w:val="23"/>
          <w:szCs w:val="23"/>
          <w:rtl/>
          <w14:ligatures w14:val="none"/>
        </w:rPr>
      </w:pPr>
      <w:r w:rsidRPr="00E86B14">
        <w:rPr>
          <w:rFonts w:ascii=".SFUI-Heavy" w:eastAsiaTheme="minorEastAsia" w:hAnsi=".SFUI-Heavy" w:cs="Times New Roman"/>
          <w:b/>
          <w:bCs/>
          <w:color w:val="1B1C1D"/>
          <w:kern w:val="0"/>
          <w:sz w:val="23"/>
          <w:szCs w:val="23"/>
          <w14:ligatures w14:val="none"/>
        </w:rPr>
        <w:t>1. Nanda, K., &amp; Kaur, M. (2016). Financial Inclusion and Human Development: A Cross-country Evidence. Management and Labour Studies, School of Business Management &amp; Human Resources, SAGE Publications.</w:t>
      </w:r>
    </w:p>
    <w:p w14:paraId="1076C8E7" w14:textId="46EED325" w:rsidR="002821F1" w:rsidRPr="00C10EF8" w:rsidRDefault="00E86B14" w:rsidP="00C10EF8">
      <w:pPr>
        <w:spacing w:before="135" w:after="0" w:line="240" w:lineRule="auto"/>
        <w:ind w:left="503" w:hanging="353"/>
        <w:rPr>
          <w:rFonts w:ascii=".AppleSystemUIFont" w:eastAsiaTheme="minorEastAsia" w:hAnsi=".AppleSystemUIFont" w:cs="Times New Roman" w:hint="eastAsia"/>
          <w:color w:val="1B1C1D"/>
          <w:kern w:val="0"/>
          <w:sz w:val="23"/>
          <w:szCs w:val="23"/>
          <w14:ligatures w14:val="none"/>
        </w:rPr>
      </w:pPr>
      <w:r w:rsidRPr="00E86B14">
        <w:rPr>
          <w:rFonts w:ascii=".SFUI-Heavy" w:eastAsiaTheme="minorEastAsia" w:hAnsi=".SFUI-Heavy" w:cs="Times New Roman"/>
          <w:b/>
          <w:bCs/>
          <w:color w:val="1B1C1D"/>
          <w:kern w:val="0"/>
          <w:sz w:val="23"/>
          <w:szCs w:val="23"/>
          <w14:ligatures w14:val="none"/>
        </w:rPr>
        <w:t>2. Gunarsih, T., et al. (2018). Financial Inclusion and Poverty Alleviation: Evidence from Indonesia. International Journal of Economics, Business and Management Research, 2(03).</w:t>
      </w:r>
    </w:p>
    <w:sectPr w:rsidR="002821F1" w:rsidRPr="00C10EF8">
      <w:headerReference w:type="even" r:id="rId10"/>
      <w:headerReference w:type="default" r:id="rId11"/>
      <w:footerReference w:type="even" r:id="rId12"/>
      <w:footerReference w:type="default" r:id="rId13"/>
      <w:headerReference w:type="first" r:id="rId14"/>
      <w:footerReference w:type="first" r:id="rId15"/>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3D5E4" w14:textId="77777777" w:rsidR="00893642" w:rsidRDefault="00893642">
      <w:pPr>
        <w:spacing w:line="240" w:lineRule="auto"/>
      </w:pPr>
      <w:r>
        <w:separator/>
      </w:r>
    </w:p>
  </w:endnote>
  <w:endnote w:type="continuationSeparator" w:id="0">
    <w:p w14:paraId="41DED736" w14:textId="77777777" w:rsidR="00893642" w:rsidRDefault="00893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lexandria">
    <w:panose1 w:val="020B0604020202020204"/>
    <w:charset w:val="00"/>
    <w:family w:val="auto"/>
    <w:pitch w:val="variable"/>
    <w:sig w:usb0="A00020FF" w:usb1="C000207B" w:usb2="00000008" w:usb3="00000000" w:csb0="000001D3" w:csb1="00000000"/>
  </w:font>
  <w:font w:name=".AppleSystemUIFont">
    <w:altName w:val="Cambria"/>
    <w:panose1 w:val="020B0604020202020204"/>
    <w:charset w:val="00"/>
    <w:family w:val="roman"/>
    <w:pitch w:val="default"/>
  </w:font>
  <w:font w:name="DengXian">
    <w:panose1 w:val="02010600030101010101"/>
    <w:charset w:val="86"/>
    <w:family w:val="auto"/>
    <w:pitch w:val="variable"/>
    <w:sig w:usb0="A00002BF" w:usb1="38CF7CFA" w:usb2="00000016" w:usb3="00000000" w:csb0="0004000F" w:csb1="00000000"/>
  </w:font>
  <w:font w:name=".SFUI-Heav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BoldMT">
    <w:altName w:val="Arial"/>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lexandria Medium">
    <w:altName w:val="Arial"/>
    <w:panose1 w:val="020B0604020202020204"/>
    <w:charset w:val="00"/>
    <w:family w:val="auto"/>
    <w:pitch w:val="variable"/>
    <w:sig w:usb0="A00020FF" w:usb1="C000207B" w:usb2="00000008" w:usb3="00000000" w:csb0="000001D3"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1318878086"/>
      <w:docPartObj>
        <w:docPartGallery w:val="Page Numbers (Bottom of Page)"/>
        <w:docPartUnique/>
      </w:docPartObj>
    </w:sdtPr>
    <w:sdtEndPr>
      <w:rPr>
        <w:rStyle w:val="a7"/>
      </w:rPr>
    </w:sdtEndPr>
    <w:sdtContent>
      <w:p w14:paraId="3A26DB36" w14:textId="481E97CB" w:rsidR="003A2A88" w:rsidRDefault="003A2A88" w:rsidP="00546D01">
        <w:pPr>
          <w:pStyle w:val="a3"/>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end"/>
        </w:r>
      </w:p>
    </w:sdtContent>
  </w:sdt>
  <w:p w14:paraId="034F4B86" w14:textId="77777777" w:rsidR="003A2A88" w:rsidRDefault="003A2A8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7"/>
      </w:rPr>
      <w:id w:val="1149639988"/>
      <w:docPartObj>
        <w:docPartGallery w:val="Page Numbers (Bottom of Page)"/>
        <w:docPartUnique/>
      </w:docPartObj>
    </w:sdtPr>
    <w:sdtEndPr>
      <w:rPr>
        <w:rStyle w:val="a7"/>
      </w:rPr>
    </w:sdtEndPr>
    <w:sdtContent>
      <w:p w14:paraId="43E6039C" w14:textId="03815138" w:rsidR="003A2A88" w:rsidRDefault="003A2A88" w:rsidP="00546D01">
        <w:pPr>
          <w:pStyle w:val="a3"/>
          <w:framePr w:wrap="none" w:vAnchor="text" w:hAnchor="margin" w:xAlign="center" w:y="1"/>
          <w:jc w:val="center"/>
          <w:rPr>
            <w:rStyle w:val="a7"/>
          </w:rPr>
        </w:pPr>
        <w:r>
          <w:rPr>
            <w:rStyle w:val="a7"/>
          </w:rPr>
          <w:fldChar w:fldCharType="begin"/>
        </w:r>
        <w:r>
          <w:rPr>
            <w:rStyle w:val="a7"/>
          </w:rPr>
          <w:instrText xml:space="preserve"> PAGE </w:instrText>
        </w:r>
        <w:r>
          <w:rPr>
            <w:rStyle w:val="a7"/>
          </w:rPr>
          <w:fldChar w:fldCharType="separate"/>
        </w:r>
        <w:r>
          <w:rPr>
            <w:rStyle w:val="a7"/>
            <w:noProof/>
          </w:rPr>
          <w:t>3</w:t>
        </w:r>
        <w:r>
          <w:rPr>
            <w:rStyle w:val="a7"/>
          </w:rPr>
          <w:fldChar w:fldCharType="end"/>
        </w:r>
      </w:p>
    </w:sdtContent>
  </w:sdt>
  <w:p w14:paraId="7EA27248" w14:textId="1FDE97C9" w:rsidR="004C4D69" w:rsidRPr="001955FA" w:rsidRDefault="004C4D69">
    <w:pPr>
      <w:spacing w:line="276" w:lineRule="auto"/>
      <w:ind w:right="-421"/>
      <w:rPr>
        <w:rFonts w:ascii="Alexandria Medium" w:hAnsi="Alexandria Medium" w:cs="Alexandria Medium"/>
        <w:b/>
        <w:bCs/>
        <w:color w:val="76717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5D65" w14:textId="77777777" w:rsidR="003A2A88" w:rsidRDefault="003A2A8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914CF" w14:textId="77777777" w:rsidR="00893642" w:rsidRDefault="00893642">
      <w:pPr>
        <w:spacing w:after="0"/>
      </w:pPr>
      <w:r>
        <w:separator/>
      </w:r>
    </w:p>
  </w:footnote>
  <w:footnote w:type="continuationSeparator" w:id="0">
    <w:p w14:paraId="703B2130" w14:textId="77777777" w:rsidR="00893642" w:rsidRDefault="00893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1A67B" w14:textId="77777777" w:rsidR="003A2A88" w:rsidRDefault="003A2A88">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0326" w14:textId="77777777" w:rsidR="003A2A88" w:rsidRDefault="003A2A8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C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77B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402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169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5B68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B512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2835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FA48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29C35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024B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386C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73E15C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7"/>
  </w:num>
  <w:num w:numId="2" w16cid:durableId="660280696">
    <w:abstractNumId w:val="35"/>
  </w:num>
  <w:num w:numId="3" w16cid:durableId="1203711420">
    <w:abstractNumId w:val="28"/>
  </w:num>
  <w:num w:numId="4" w16cid:durableId="2030525695">
    <w:abstractNumId w:val="13"/>
  </w:num>
  <w:num w:numId="5" w16cid:durableId="675350041">
    <w:abstractNumId w:val="2"/>
  </w:num>
  <w:num w:numId="6" w16cid:durableId="497693745">
    <w:abstractNumId w:val="33"/>
  </w:num>
  <w:num w:numId="7" w16cid:durableId="873619398">
    <w:abstractNumId w:val="6"/>
  </w:num>
  <w:num w:numId="8" w16cid:durableId="111291197">
    <w:abstractNumId w:val="1"/>
  </w:num>
  <w:num w:numId="9" w16cid:durableId="956444306">
    <w:abstractNumId w:val="30"/>
  </w:num>
  <w:num w:numId="10" w16cid:durableId="317072466">
    <w:abstractNumId w:val="9"/>
  </w:num>
  <w:num w:numId="11" w16cid:durableId="24063569">
    <w:abstractNumId w:val="3"/>
  </w:num>
  <w:num w:numId="12" w16cid:durableId="1296638569">
    <w:abstractNumId w:val="5"/>
  </w:num>
  <w:num w:numId="13" w16cid:durableId="1062142019">
    <w:abstractNumId w:val="27"/>
  </w:num>
  <w:num w:numId="14" w16cid:durableId="513153798">
    <w:abstractNumId w:val="23"/>
  </w:num>
  <w:num w:numId="15" w16cid:durableId="1376200577">
    <w:abstractNumId w:val="16"/>
  </w:num>
  <w:num w:numId="16" w16cid:durableId="1820220048">
    <w:abstractNumId w:val="34"/>
  </w:num>
  <w:num w:numId="17" w16cid:durableId="563875357">
    <w:abstractNumId w:val="24"/>
  </w:num>
  <w:num w:numId="18" w16cid:durableId="112099316">
    <w:abstractNumId w:val="8"/>
  </w:num>
  <w:num w:numId="19" w16cid:durableId="479881856">
    <w:abstractNumId w:val="22"/>
  </w:num>
  <w:num w:numId="20" w16cid:durableId="1934240249">
    <w:abstractNumId w:val="15"/>
  </w:num>
  <w:num w:numId="21" w16cid:durableId="1045641081">
    <w:abstractNumId w:val="10"/>
  </w:num>
  <w:num w:numId="22" w16cid:durableId="306470038">
    <w:abstractNumId w:val="29"/>
  </w:num>
  <w:num w:numId="23" w16cid:durableId="18315089">
    <w:abstractNumId w:val="12"/>
  </w:num>
  <w:num w:numId="24" w16cid:durableId="494808305">
    <w:abstractNumId w:val="36"/>
  </w:num>
  <w:num w:numId="25" w16cid:durableId="1618484064">
    <w:abstractNumId w:val="31"/>
  </w:num>
  <w:num w:numId="26" w16cid:durableId="1520198051">
    <w:abstractNumId w:val="18"/>
  </w:num>
  <w:num w:numId="27" w16cid:durableId="176314512">
    <w:abstractNumId w:val="25"/>
  </w:num>
  <w:num w:numId="28" w16cid:durableId="1380277537">
    <w:abstractNumId w:val="19"/>
  </w:num>
  <w:num w:numId="29" w16cid:durableId="1050420055">
    <w:abstractNumId w:val="14"/>
  </w:num>
  <w:num w:numId="30" w16cid:durableId="106240104">
    <w:abstractNumId w:val="7"/>
  </w:num>
  <w:num w:numId="31" w16cid:durableId="515273681">
    <w:abstractNumId w:val="0"/>
  </w:num>
  <w:num w:numId="32" w16cid:durableId="255750129">
    <w:abstractNumId w:val="32"/>
  </w:num>
  <w:num w:numId="33" w16cid:durableId="163401922">
    <w:abstractNumId w:val="11"/>
  </w:num>
  <w:num w:numId="34" w16cid:durableId="1726834144">
    <w:abstractNumId w:val="21"/>
  </w:num>
  <w:num w:numId="35" w16cid:durableId="2132048953">
    <w:abstractNumId w:val="4"/>
  </w:num>
  <w:num w:numId="36" w16cid:durableId="1880429958">
    <w:abstractNumId w:val="20"/>
  </w:num>
  <w:num w:numId="37" w16cid:durableId="139449892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41AF"/>
    <w:rsid w:val="000268FC"/>
    <w:rsid w:val="00037251"/>
    <w:rsid w:val="00042276"/>
    <w:rsid w:val="00044BBD"/>
    <w:rsid w:val="00045ED5"/>
    <w:rsid w:val="00054149"/>
    <w:rsid w:val="000A0440"/>
    <w:rsid w:val="000A09B4"/>
    <w:rsid w:val="000A724C"/>
    <w:rsid w:val="000D501F"/>
    <w:rsid w:val="00103AF1"/>
    <w:rsid w:val="00190B6A"/>
    <w:rsid w:val="001955FA"/>
    <w:rsid w:val="001A18C1"/>
    <w:rsid w:val="001A5AFB"/>
    <w:rsid w:val="001F6F22"/>
    <w:rsid w:val="00241B7B"/>
    <w:rsid w:val="002613BB"/>
    <w:rsid w:val="002821F1"/>
    <w:rsid w:val="0028456B"/>
    <w:rsid w:val="00284F10"/>
    <w:rsid w:val="0028538F"/>
    <w:rsid w:val="00302C00"/>
    <w:rsid w:val="0034109A"/>
    <w:rsid w:val="00383945"/>
    <w:rsid w:val="003855AC"/>
    <w:rsid w:val="00393FD2"/>
    <w:rsid w:val="003A2A88"/>
    <w:rsid w:val="003F48D7"/>
    <w:rsid w:val="003F574B"/>
    <w:rsid w:val="00482381"/>
    <w:rsid w:val="004B339F"/>
    <w:rsid w:val="004B753D"/>
    <w:rsid w:val="004C4D69"/>
    <w:rsid w:val="00503BF2"/>
    <w:rsid w:val="005420A6"/>
    <w:rsid w:val="00571D32"/>
    <w:rsid w:val="005D4C51"/>
    <w:rsid w:val="005D7B78"/>
    <w:rsid w:val="00603209"/>
    <w:rsid w:val="006729E2"/>
    <w:rsid w:val="006731B4"/>
    <w:rsid w:val="006E2B8A"/>
    <w:rsid w:val="007370AC"/>
    <w:rsid w:val="00743FC8"/>
    <w:rsid w:val="00770E31"/>
    <w:rsid w:val="0077719D"/>
    <w:rsid w:val="007B57D2"/>
    <w:rsid w:val="007D6E3C"/>
    <w:rsid w:val="008065C8"/>
    <w:rsid w:val="00815A6D"/>
    <w:rsid w:val="00823A90"/>
    <w:rsid w:val="00832A2B"/>
    <w:rsid w:val="008370F5"/>
    <w:rsid w:val="00841DA9"/>
    <w:rsid w:val="0088175C"/>
    <w:rsid w:val="00893642"/>
    <w:rsid w:val="008A4B41"/>
    <w:rsid w:val="008A5DB1"/>
    <w:rsid w:val="008E3E29"/>
    <w:rsid w:val="008F1759"/>
    <w:rsid w:val="00931EAE"/>
    <w:rsid w:val="009C6ABE"/>
    <w:rsid w:val="00A549D0"/>
    <w:rsid w:val="00A54DE6"/>
    <w:rsid w:val="00AA12CF"/>
    <w:rsid w:val="00AD14FC"/>
    <w:rsid w:val="00AD3BF2"/>
    <w:rsid w:val="00AE40D8"/>
    <w:rsid w:val="00AE6E4B"/>
    <w:rsid w:val="00B2020D"/>
    <w:rsid w:val="00B24F35"/>
    <w:rsid w:val="00B27D3C"/>
    <w:rsid w:val="00B355BD"/>
    <w:rsid w:val="00B52A36"/>
    <w:rsid w:val="00B703D9"/>
    <w:rsid w:val="00B83F52"/>
    <w:rsid w:val="00BF3465"/>
    <w:rsid w:val="00C03667"/>
    <w:rsid w:val="00C10EF8"/>
    <w:rsid w:val="00C11541"/>
    <w:rsid w:val="00C60895"/>
    <w:rsid w:val="00C63ADA"/>
    <w:rsid w:val="00C66629"/>
    <w:rsid w:val="00C919CB"/>
    <w:rsid w:val="00C92736"/>
    <w:rsid w:val="00CE5244"/>
    <w:rsid w:val="00D01AAF"/>
    <w:rsid w:val="00D860DF"/>
    <w:rsid w:val="00DA2168"/>
    <w:rsid w:val="00DD7B4C"/>
    <w:rsid w:val="00DF1BF6"/>
    <w:rsid w:val="00DF2960"/>
    <w:rsid w:val="00DF626E"/>
    <w:rsid w:val="00E00C30"/>
    <w:rsid w:val="00E0682A"/>
    <w:rsid w:val="00E12464"/>
    <w:rsid w:val="00E3691B"/>
    <w:rsid w:val="00E6075E"/>
    <w:rsid w:val="00E65859"/>
    <w:rsid w:val="00E66AB6"/>
    <w:rsid w:val="00E86B14"/>
    <w:rsid w:val="00EA743A"/>
    <w:rsid w:val="00EB363C"/>
    <w:rsid w:val="00EB6E1F"/>
    <w:rsid w:val="00EF2C2C"/>
    <w:rsid w:val="00F10E73"/>
    <w:rsid w:val="00F4302D"/>
    <w:rsid w:val="00F55D6D"/>
    <w:rsid w:val="00FA4930"/>
    <w:rsid w:val="00FD1F1E"/>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customStyle="1" w:styleId="p1">
    <w:name w:val="p1"/>
    <w:basedOn w:val="a"/>
    <w:rsid w:val="00D860DF"/>
    <w:pPr>
      <w:spacing w:before="75"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2">
    <w:name w:val="p2"/>
    <w:basedOn w:val="a"/>
    <w:rsid w:val="00D860DF"/>
    <w:pPr>
      <w:spacing w:before="255"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3">
    <w:name w:val="p3"/>
    <w:basedOn w:val="a"/>
    <w:rsid w:val="00D860DF"/>
    <w:pPr>
      <w:spacing w:after="0" w:line="240" w:lineRule="auto"/>
      <w:ind w:left="401" w:hanging="251"/>
    </w:pPr>
    <w:rPr>
      <w:rFonts w:ascii=".AppleSystemUIFont" w:eastAsiaTheme="minorEastAsia" w:hAnsi=".AppleSystemUIFont" w:cs="Times New Roman"/>
      <w:color w:val="1B1C1D"/>
      <w:kern w:val="0"/>
      <w:sz w:val="23"/>
      <w:szCs w:val="23"/>
      <w14:ligatures w14:val="none"/>
    </w:rPr>
  </w:style>
  <w:style w:type="paragraph" w:customStyle="1" w:styleId="p4">
    <w:name w:val="p4"/>
    <w:basedOn w:val="a"/>
    <w:rsid w:val="00D860DF"/>
    <w:pPr>
      <w:spacing w:before="135" w:after="0" w:line="240" w:lineRule="auto"/>
      <w:ind w:left="401" w:hanging="251"/>
    </w:pPr>
    <w:rPr>
      <w:rFonts w:ascii=".AppleSystemUIFont" w:eastAsiaTheme="minorEastAsia" w:hAnsi=".AppleSystemUIFont" w:cs="Times New Roman"/>
      <w:color w:val="1B1C1D"/>
      <w:kern w:val="0"/>
      <w:sz w:val="23"/>
      <w:szCs w:val="23"/>
      <w14:ligatures w14:val="none"/>
    </w:rPr>
  </w:style>
  <w:style w:type="paragraph" w:customStyle="1" w:styleId="p5">
    <w:name w:val="p5"/>
    <w:basedOn w:val="a"/>
    <w:rsid w:val="00D860DF"/>
    <w:pPr>
      <w:spacing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6">
    <w:name w:val="p6"/>
    <w:basedOn w:val="a"/>
    <w:rsid w:val="00D860DF"/>
    <w:pPr>
      <w:spacing w:before="420" w:after="0" w:line="240" w:lineRule="auto"/>
    </w:pPr>
    <w:rPr>
      <w:rFonts w:ascii=".AppleSystemUIFont" w:eastAsiaTheme="minorEastAsia" w:hAnsi=".AppleSystemUIFont" w:cs="Times New Roman"/>
      <w:color w:val="1B1C1D"/>
      <w:kern w:val="0"/>
      <w:sz w:val="29"/>
      <w:szCs w:val="29"/>
      <w14:ligatures w14:val="none"/>
    </w:rPr>
  </w:style>
  <w:style w:type="paragraph" w:customStyle="1" w:styleId="p7">
    <w:name w:val="p7"/>
    <w:basedOn w:val="a"/>
    <w:rsid w:val="00D860DF"/>
    <w:pPr>
      <w:spacing w:before="240" w:after="0" w:line="240" w:lineRule="auto"/>
    </w:pPr>
    <w:rPr>
      <w:rFonts w:ascii=".AppleSystemUIFont" w:eastAsiaTheme="minorEastAsia" w:hAnsi=".AppleSystemUIFont" w:cs="Times New Roman"/>
      <w:color w:val="1B1C1D"/>
      <w:kern w:val="0"/>
      <w:sz w:val="23"/>
      <w:szCs w:val="23"/>
      <w14:ligatures w14:val="none"/>
    </w:rPr>
  </w:style>
  <w:style w:type="paragraph" w:customStyle="1" w:styleId="p8">
    <w:name w:val="p8"/>
    <w:basedOn w:val="a"/>
    <w:rsid w:val="00D860DF"/>
    <w:pPr>
      <w:spacing w:before="420" w:after="0" w:line="240" w:lineRule="auto"/>
    </w:pPr>
    <w:rPr>
      <w:rFonts w:ascii=".AppleSystemUIFont" w:eastAsiaTheme="minorEastAsia" w:hAnsi=".AppleSystemUIFont" w:cs="Times New Roman"/>
      <w:color w:val="1B1C1D"/>
      <w:kern w:val="0"/>
      <w:sz w:val="23"/>
      <w:szCs w:val="23"/>
      <w14:ligatures w14:val="none"/>
    </w:rPr>
  </w:style>
  <w:style w:type="character" w:customStyle="1" w:styleId="s1">
    <w:name w:val="s1"/>
    <w:basedOn w:val="a0"/>
    <w:rsid w:val="00D860DF"/>
    <w:rPr>
      <w:rFonts w:ascii=".SFUI-Heavy" w:hAnsi=".SFUI-Heavy" w:hint="default"/>
      <w:b/>
      <w:bCs/>
      <w:i w:val="0"/>
      <w:iCs w:val="0"/>
      <w:sz w:val="23"/>
      <w:szCs w:val="23"/>
    </w:rPr>
  </w:style>
  <w:style w:type="character" w:customStyle="1" w:styleId="s2">
    <w:name w:val="s2"/>
    <w:basedOn w:val="a0"/>
    <w:rsid w:val="00D860DF"/>
    <w:rPr>
      <w:rFonts w:ascii=".SFUI-Heavy" w:hAnsi=".SFUI-Heavy" w:hint="default"/>
      <w:b/>
      <w:bCs/>
      <w:i w:val="0"/>
      <w:iCs w:val="0"/>
      <w:sz w:val="29"/>
      <w:szCs w:val="29"/>
    </w:rPr>
  </w:style>
  <w:style w:type="character" w:customStyle="1" w:styleId="apple-converted-space">
    <w:name w:val="apple-converted-space"/>
    <w:basedOn w:val="a0"/>
    <w:rsid w:val="00E6075E"/>
  </w:style>
  <w:style w:type="paragraph" w:customStyle="1" w:styleId="p9">
    <w:name w:val="p9"/>
    <w:basedOn w:val="a"/>
    <w:rsid w:val="00C60895"/>
    <w:pPr>
      <w:spacing w:before="135" w:after="0" w:line="240" w:lineRule="auto"/>
      <w:ind w:left="821" w:hanging="251"/>
    </w:pPr>
    <w:rPr>
      <w:rFonts w:ascii=".AppleSystemUIFont" w:eastAsiaTheme="minorEastAsia" w:hAnsi=".AppleSystemUIFont" w:cs="Times New Roman"/>
      <w:color w:val="1B1C1D"/>
      <w:kern w:val="0"/>
      <w:sz w:val="23"/>
      <w:szCs w:val="23"/>
      <w14:ligatures w14:val="none"/>
    </w:rPr>
  </w:style>
  <w:style w:type="paragraph" w:customStyle="1" w:styleId="p10">
    <w:name w:val="p10"/>
    <w:basedOn w:val="a"/>
    <w:rsid w:val="00C60895"/>
    <w:pPr>
      <w:spacing w:before="135" w:after="0" w:line="240" w:lineRule="auto"/>
      <w:ind w:left="503" w:hanging="353"/>
    </w:pPr>
    <w:rPr>
      <w:rFonts w:ascii=".AppleSystemUIFont" w:eastAsiaTheme="minorEastAsia" w:hAnsi=".AppleSystemUIFont" w:cs="Times New Roman"/>
      <w:color w:val="1B1C1D"/>
      <w:kern w:val="0"/>
      <w:sz w:val="23"/>
      <w:szCs w:val="23"/>
      <w14:ligatures w14:val="none"/>
    </w:rPr>
  </w:style>
  <w:style w:type="paragraph" w:customStyle="1" w:styleId="p11">
    <w:name w:val="p11"/>
    <w:basedOn w:val="a"/>
    <w:rsid w:val="00C60895"/>
    <w:pPr>
      <w:spacing w:before="255" w:after="0" w:line="240" w:lineRule="auto"/>
    </w:pPr>
    <w:rPr>
      <w:rFonts w:ascii=".AppleSystemUIFont" w:eastAsiaTheme="minorEastAsia" w:hAnsi=".AppleSystemUIFont" w:cs="Times New Roman"/>
      <w:color w:val="1B1C1D"/>
      <w:kern w:val="0"/>
      <w:sz w:val="23"/>
      <w:szCs w:val="23"/>
      <w14:ligatures w14:val="none"/>
    </w:rPr>
  </w:style>
  <w:style w:type="character" w:customStyle="1" w:styleId="s3">
    <w:name w:val="s3"/>
    <w:basedOn w:val="a0"/>
    <w:rsid w:val="00C60895"/>
    <w:rPr>
      <w:rFonts w:ascii="Helvetica" w:hAnsi="Helvetica" w:hint="default"/>
      <w:b w:val="0"/>
      <w:bCs w:val="0"/>
      <w:i w:val="0"/>
      <w:iCs w:val="0"/>
      <w:color w:val="000000"/>
      <w:sz w:val="18"/>
      <w:szCs w:val="18"/>
    </w:rPr>
  </w:style>
  <w:style w:type="paragraph" w:styleId="a5">
    <w:name w:val="List Paragraph"/>
    <w:basedOn w:val="a"/>
    <w:uiPriority w:val="99"/>
    <w:rsid w:val="008370F5"/>
    <w:pPr>
      <w:ind w:left="720"/>
      <w:contextualSpacing/>
    </w:pPr>
  </w:style>
  <w:style w:type="paragraph" w:customStyle="1" w:styleId="s64">
    <w:name w:val="s64"/>
    <w:basedOn w:val="a"/>
    <w:rsid w:val="005D4C51"/>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s7">
    <w:name w:val="s7"/>
    <w:basedOn w:val="a"/>
    <w:rsid w:val="005D4C51"/>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a0"/>
    <w:rsid w:val="005D4C51"/>
  </w:style>
  <w:style w:type="paragraph" w:customStyle="1" w:styleId="s60">
    <w:name w:val="s60"/>
    <w:basedOn w:val="a"/>
    <w:rsid w:val="005D4C51"/>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6">
    <w:name w:val="Table Grid"/>
    <w:basedOn w:val="a1"/>
    <w:uiPriority w:val="39"/>
    <w:rsid w:val="003A2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age number"/>
    <w:basedOn w:val="a0"/>
    <w:uiPriority w:val="99"/>
    <w:semiHidden/>
    <w:unhideWhenUsed/>
    <w:rsid w:val="003A2A88"/>
  </w:style>
  <w:style w:type="character" w:customStyle="1" w:styleId="s4">
    <w:name w:val="s4"/>
    <w:basedOn w:val="a0"/>
    <w:rsid w:val="00C92736"/>
    <w:rPr>
      <w:rFonts w:ascii="Arial-BoldMT" w:hAnsi="Arial-BoldMT" w:hint="default"/>
      <w:b/>
      <w:bCs/>
      <w:i w:val="0"/>
      <w:iCs w:val="0"/>
      <w:sz w:val="21"/>
      <w:szCs w:val="21"/>
    </w:rPr>
  </w:style>
  <w:style w:type="paragraph" w:customStyle="1" w:styleId="li3">
    <w:name w:val="li3"/>
    <w:basedOn w:val="a"/>
    <w:rsid w:val="00C92736"/>
    <w:pPr>
      <w:spacing w:after="60" w:line="240" w:lineRule="auto"/>
    </w:pPr>
    <w:rPr>
      <w:rFonts w:ascii="Arial" w:eastAsiaTheme="minorEastAsia" w:hAnsi="Arial" w:cs="Arial"/>
      <w:color w:val="000000"/>
      <w:kern w:val="0"/>
      <w:sz w:val="17"/>
      <w:szCs w:val="17"/>
      <w14:ligatures w14:val="none"/>
    </w:rPr>
  </w:style>
  <w:style w:type="paragraph" w:customStyle="1" w:styleId="li4">
    <w:name w:val="li4"/>
    <w:basedOn w:val="a"/>
    <w:rsid w:val="00C92736"/>
    <w:pPr>
      <w:spacing w:after="45" w:line="240" w:lineRule="auto"/>
    </w:pPr>
    <w:rPr>
      <w:rFonts w:ascii="Arial" w:eastAsiaTheme="minorEastAsia" w:hAnsi="Arial" w:cs="Arial"/>
      <w:color w:val="000000"/>
      <w:kern w:val="0"/>
      <w:sz w:val="17"/>
      <w:szCs w:val="17"/>
      <w14:ligatures w14:val="none"/>
    </w:rPr>
  </w:style>
  <w:style w:type="paragraph" w:customStyle="1" w:styleId="li2">
    <w:name w:val="li2"/>
    <w:basedOn w:val="a"/>
    <w:rsid w:val="00DA2168"/>
    <w:pPr>
      <w:spacing w:after="60" w:line="240" w:lineRule="auto"/>
    </w:pPr>
    <w:rPr>
      <w:rFonts w:ascii="Arial" w:eastAsiaTheme="minorEastAsia" w:hAnsi="Arial" w:cs="Arial"/>
      <w:color w:val="000000"/>
      <w:kern w:val="0"/>
      <w:sz w:val="17"/>
      <w:szCs w:val="1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2808</Words>
  <Characters>15579</Characters>
  <Application>Microsoft Office Word</Application>
  <DocSecurity>0</DocSecurity>
  <Lines>129</Lines>
  <Paragraphs>36</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حنان عبدالرحمن بن مزعل العنزي</cp:lastModifiedBy>
  <cp:revision>2</cp:revision>
  <cp:lastPrinted>2024-09-19T10:32:00Z</cp:lastPrinted>
  <dcterms:created xsi:type="dcterms:W3CDTF">2026-05-12T15:25:00Z</dcterms:created>
  <dcterms:modified xsi:type="dcterms:W3CDTF">2026-05-12T15:25:00Z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