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B7A4C" w14:textId="05AE3A21" w:rsidR="00F76E6C" w:rsidRPr="00BB194B" w:rsidRDefault="00F76E6C" w:rsidP="00F76E6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194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7F927B7">
            <wp:simplePos x="0" y="0"/>
            <wp:positionH relativeFrom="margin">
              <wp:posOffset>113030</wp:posOffset>
            </wp:positionH>
            <wp:positionV relativeFrom="margin">
              <wp:posOffset>-144145</wp:posOffset>
            </wp:positionV>
            <wp:extent cx="1830986" cy="16992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986" cy="1699260"/>
                    </a:xfrm>
                    <a:prstGeom prst="rect">
                      <a:avLst/>
                    </a:prstGeom>
                  </pic:spPr>
                </pic:pic>
              </a:graphicData>
            </a:graphic>
            <wp14:sizeRelH relativeFrom="margin">
              <wp14:pctWidth>0</wp14:pctWidth>
            </wp14:sizeRelH>
            <wp14:sizeRelV relativeFrom="margin">
              <wp14:pctHeight>0</wp14:pctHeight>
            </wp14:sizeRelV>
          </wp:anchor>
        </w:drawing>
      </w:r>
      <w:r w:rsidRPr="00BB194B">
        <w:rPr>
          <w:rFonts w:ascii="Sakkal Majalla" w:hAnsi="Sakkal Majalla" w:cs="Sakkal Majalla"/>
          <w:b/>
          <w:bCs/>
          <w:color w:val="000000" w:themeColor="text1"/>
          <w:sz w:val="32"/>
          <w:szCs w:val="32"/>
          <w:rtl/>
          <w:lang w:bidi="ar-EG"/>
        </w:rPr>
        <w:t>جامعة ميدأوشن</w:t>
      </w:r>
    </w:p>
    <w:p w14:paraId="1E957002" w14:textId="4108B255" w:rsidR="00F546CE" w:rsidRPr="00BB194B" w:rsidRDefault="009125CE" w:rsidP="00F76E6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194B">
        <w:rPr>
          <w:rFonts w:ascii="Sakkal Majalla" w:hAnsi="Sakkal Majalla" w:cs="Sakkal Majalla"/>
          <w:b/>
          <w:bCs/>
          <w:color w:val="000000" w:themeColor="text1"/>
          <w:sz w:val="32"/>
          <w:szCs w:val="32"/>
          <w:rtl/>
          <w:lang w:bidi="ar-EG"/>
        </w:rPr>
        <w:t xml:space="preserve">كلية </w:t>
      </w:r>
      <w:r w:rsidR="008C42C1" w:rsidRPr="00BB194B">
        <w:rPr>
          <w:rFonts w:ascii="Sakkal Majalla" w:hAnsi="Sakkal Majalla" w:cs="Sakkal Majalla"/>
          <w:b/>
          <w:bCs/>
          <w:color w:val="000000" w:themeColor="text1"/>
          <w:sz w:val="32"/>
          <w:szCs w:val="32"/>
          <w:rtl/>
          <w:lang w:bidi="ar-EG"/>
        </w:rPr>
        <w:t>الإدارة</w:t>
      </w:r>
      <w:r w:rsidRPr="00BB194B">
        <w:rPr>
          <w:rFonts w:ascii="Sakkal Majalla" w:hAnsi="Sakkal Majalla" w:cs="Sakkal Majalla"/>
          <w:b/>
          <w:bCs/>
          <w:color w:val="000000" w:themeColor="text1"/>
          <w:sz w:val="32"/>
          <w:szCs w:val="32"/>
          <w:rtl/>
          <w:lang w:bidi="ar-EG"/>
        </w:rPr>
        <w:t xml:space="preserve"> </w:t>
      </w:r>
    </w:p>
    <w:p w14:paraId="5F6542BF" w14:textId="707FABFC" w:rsidR="009125CE" w:rsidRPr="00BB194B" w:rsidRDefault="00125FC8" w:rsidP="00F76E6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194B">
        <w:rPr>
          <w:rFonts w:ascii="Sakkal Majalla" w:hAnsi="Sakkal Majalla" w:cs="Sakkal Majalla"/>
          <w:b/>
          <w:bCs/>
          <w:color w:val="000000" w:themeColor="text1"/>
          <w:sz w:val="32"/>
          <w:szCs w:val="32"/>
          <w:rtl/>
          <w:lang w:bidi="ar-EG"/>
        </w:rPr>
        <w:t xml:space="preserve">ماجستير </w:t>
      </w:r>
      <w:r w:rsidR="0050030C" w:rsidRPr="00BB194B">
        <w:rPr>
          <w:rFonts w:ascii="Sakkal Majalla" w:hAnsi="Sakkal Majalla" w:cs="Sakkal Majalla"/>
          <w:b/>
          <w:bCs/>
          <w:color w:val="000000" w:themeColor="text1"/>
          <w:sz w:val="32"/>
          <w:szCs w:val="32"/>
          <w:rtl/>
          <w:lang w:bidi="ar-EG"/>
        </w:rPr>
        <w:t>ادارة مشاريع</w:t>
      </w:r>
    </w:p>
    <w:p w14:paraId="026EF12D" w14:textId="387A8A83" w:rsidR="00822E2C" w:rsidRPr="00BB194B" w:rsidRDefault="0050030C" w:rsidP="00F76E6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BB194B">
        <w:rPr>
          <w:rFonts w:ascii="Sakkal Majalla" w:hAnsi="Sakkal Majalla" w:cs="Sakkal Majalla"/>
          <w:b/>
          <w:bCs/>
          <w:color w:val="000000" w:themeColor="text1"/>
          <w:sz w:val="40"/>
          <w:szCs w:val="40"/>
          <w:rtl/>
          <w:lang w:bidi="ar-EG"/>
        </w:rPr>
        <w:t>العلاقة بين نضج إدارة المشاريع (</w:t>
      </w:r>
      <w:r w:rsidRPr="00BB194B">
        <w:rPr>
          <w:rFonts w:ascii="Sakkal Majalla" w:hAnsi="Sakkal Majalla" w:cs="Sakkal Majalla"/>
          <w:b/>
          <w:bCs/>
          <w:color w:val="000000" w:themeColor="text1"/>
          <w:sz w:val="40"/>
          <w:szCs w:val="40"/>
          <w:lang w:bidi="ar-EG"/>
        </w:rPr>
        <w:t>Project Management Maturity</w:t>
      </w:r>
      <w:r w:rsidRPr="00BB194B">
        <w:rPr>
          <w:rFonts w:ascii="Sakkal Majalla" w:hAnsi="Sakkal Majalla" w:cs="Sakkal Majalla"/>
          <w:b/>
          <w:bCs/>
          <w:color w:val="000000" w:themeColor="text1"/>
          <w:sz w:val="40"/>
          <w:szCs w:val="40"/>
          <w:rtl/>
          <w:lang w:bidi="ar-EG"/>
        </w:rPr>
        <w:t>) ومستوى جاهزية مشاريع التشغيل والصيانة للتحول الرقمي في وزارة المالية.</w:t>
      </w:r>
    </w:p>
    <w:p w14:paraId="751A7E65" w14:textId="043F10AA" w:rsidR="009125CE" w:rsidRPr="00BB194B" w:rsidRDefault="009125CE" w:rsidP="00F76E6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194B">
        <w:rPr>
          <w:rFonts w:ascii="Sakkal Majalla" w:hAnsi="Sakkal Majalla" w:cs="Sakkal Majalla"/>
          <w:b/>
          <w:bCs/>
          <w:color w:val="000000" w:themeColor="text1"/>
          <w:sz w:val="36"/>
          <w:szCs w:val="36"/>
          <w:rtl/>
          <w:lang w:bidi="ar-EG"/>
        </w:rPr>
        <w:t>إعداد الطالب/</w:t>
      </w:r>
    </w:p>
    <w:p w14:paraId="47B5231A" w14:textId="2E62D25C" w:rsidR="0050030C" w:rsidRPr="00BB194B" w:rsidRDefault="0050030C" w:rsidP="00F76E6C">
      <w:pPr>
        <w:spacing w:before="100" w:beforeAutospacing="1" w:after="100" w:afterAutospacing="1" w:line="360" w:lineRule="auto"/>
        <w:jc w:val="center"/>
        <w:rPr>
          <w:rFonts w:ascii="Sakkal Majalla" w:hAnsi="Sakkal Majalla" w:cs="Sakkal Majalla"/>
          <w:color w:val="000000" w:themeColor="text1"/>
          <w:sz w:val="36"/>
          <w:szCs w:val="36"/>
          <w:rtl/>
        </w:rPr>
      </w:pPr>
      <w:r w:rsidRPr="00BB194B">
        <w:rPr>
          <w:rFonts w:ascii="Sakkal Majalla" w:hAnsi="Sakkal Majalla" w:cs="Sakkal Majalla"/>
          <w:color w:val="000000" w:themeColor="text1"/>
          <w:sz w:val="36"/>
          <w:szCs w:val="36"/>
          <w:rtl/>
        </w:rPr>
        <w:t>حسين احمد حسين الزهراني</w:t>
      </w:r>
    </w:p>
    <w:p w14:paraId="6E119818" w14:textId="61199B2C" w:rsidR="00125FC8" w:rsidRPr="00BB194B" w:rsidRDefault="0050030C" w:rsidP="00F76E6C">
      <w:pPr>
        <w:spacing w:before="100" w:beforeAutospacing="1" w:after="100" w:afterAutospacing="1" w:line="360" w:lineRule="auto"/>
        <w:jc w:val="center"/>
        <w:rPr>
          <w:rFonts w:ascii="Sakkal Majalla" w:hAnsi="Sakkal Majalla" w:cs="Sakkal Majalla"/>
          <w:color w:val="000000" w:themeColor="text1"/>
          <w:sz w:val="36"/>
          <w:szCs w:val="36"/>
          <w:rtl/>
        </w:rPr>
      </w:pPr>
      <w:r w:rsidRPr="00BB194B">
        <w:rPr>
          <w:rFonts w:ascii="Sakkal Majalla" w:hAnsi="Sakkal Majalla" w:cs="Sakkal Majalla"/>
          <w:color w:val="000000" w:themeColor="text1"/>
          <w:sz w:val="36"/>
          <w:szCs w:val="36"/>
          <w:rtl/>
        </w:rPr>
        <w:t>252001485</w:t>
      </w:r>
    </w:p>
    <w:p w14:paraId="5F4EE2DE" w14:textId="59D1E2F9" w:rsidR="009125CE" w:rsidRPr="00BB194B" w:rsidRDefault="009125CE" w:rsidP="00F76E6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194B">
        <w:rPr>
          <w:rFonts w:ascii="Sakkal Majalla" w:hAnsi="Sakkal Majalla" w:cs="Sakkal Majalla"/>
          <w:b/>
          <w:bCs/>
          <w:color w:val="000000" w:themeColor="text1"/>
          <w:sz w:val="36"/>
          <w:szCs w:val="36"/>
          <w:rtl/>
          <w:lang w:bidi="ar-EG"/>
        </w:rPr>
        <w:t>إشراف/</w:t>
      </w:r>
    </w:p>
    <w:p w14:paraId="39900BA8" w14:textId="6E2A4EA9" w:rsidR="00D32470" w:rsidRPr="00BB194B" w:rsidRDefault="00BA5817" w:rsidP="00F76E6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B194B">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6818AA75" w:rsidR="000A06E6" w:rsidRPr="00BB194B" w:rsidRDefault="000A06E6" w:rsidP="00F76E6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B194B">
        <w:rPr>
          <w:rFonts w:ascii="Sakkal Majalla" w:eastAsia="Calibri" w:hAnsi="Sakkal Majalla" w:cs="Sakkal Majalla"/>
          <w:color w:val="000000" w:themeColor="text1"/>
          <w:kern w:val="0"/>
          <w:sz w:val="36"/>
          <w:szCs w:val="36"/>
          <w:rtl/>
          <w:lang w:bidi="ar-EG"/>
          <w14:ligatures w14:val="none"/>
        </w:rPr>
        <w:t>د.فايز جراد</w:t>
      </w:r>
    </w:p>
    <w:p w14:paraId="05DD91B1" w14:textId="7C755392" w:rsidR="00377D51" w:rsidRPr="00BB194B" w:rsidRDefault="009125CE" w:rsidP="00F76E6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194B">
        <w:rPr>
          <w:rFonts w:ascii="Sakkal Majalla" w:hAnsi="Sakkal Majalla" w:cs="Sakkal Majalla"/>
          <w:b/>
          <w:bCs/>
          <w:color w:val="000000" w:themeColor="text1"/>
          <w:sz w:val="36"/>
          <w:szCs w:val="36"/>
          <w:rtl/>
          <w:lang w:bidi="ar-EG"/>
        </w:rPr>
        <w:t>العام الدراسي:</w:t>
      </w:r>
    </w:p>
    <w:p w14:paraId="53E5612C" w14:textId="77777777" w:rsidR="00F76E6C" w:rsidRPr="00BB194B" w:rsidRDefault="00F76E6C" w:rsidP="00F76E6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F76E6C" w:rsidRPr="00BB194B" w:rsidSect="00F76E6C">
          <w:type w:val="continuous"/>
          <w:pgSz w:w="11906" w:h="16838" w:code="9"/>
          <w:pgMar w:top="1440" w:right="1985" w:bottom="1440" w:left="1418" w:header="720" w:footer="720" w:gutter="567"/>
          <w:pgNumType w:fmt="arabicAbjad" w:start="1"/>
          <w:cols w:space="708"/>
          <w:bidi/>
          <w:rtlGutter/>
          <w:docGrid w:linePitch="360"/>
        </w:sectPr>
      </w:pPr>
      <w:r w:rsidRPr="00BB194B">
        <w:rPr>
          <w:rFonts w:ascii="Sakkal Majalla" w:hAnsi="Sakkal Majalla" w:cs="Sakkal Majalla" w:hint="cs"/>
          <w:color w:val="000000" w:themeColor="text1"/>
          <w:sz w:val="36"/>
          <w:szCs w:val="36"/>
          <w:rtl/>
          <w:lang w:bidi="ar-EG"/>
        </w:rPr>
        <w:t xml:space="preserve">1447 </w:t>
      </w:r>
      <w:r w:rsidRPr="00BB194B">
        <w:rPr>
          <w:rFonts w:ascii="Sakkal Majalla" w:hAnsi="Sakkal Majalla" w:cs="Sakkal Majalla"/>
          <w:color w:val="000000" w:themeColor="text1"/>
          <w:sz w:val="36"/>
          <w:szCs w:val="36"/>
          <w:rtl/>
          <w:lang w:bidi="ar-EG"/>
        </w:rPr>
        <w:t>–</w:t>
      </w:r>
      <w:r w:rsidRPr="00BB194B">
        <w:rPr>
          <w:rFonts w:ascii="Sakkal Majalla" w:hAnsi="Sakkal Majalla" w:cs="Sakkal Majalla" w:hint="cs"/>
          <w:color w:val="000000" w:themeColor="text1"/>
          <w:sz w:val="36"/>
          <w:szCs w:val="36"/>
          <w:rtl/>
          <w:lang w:bidi="ar-EG"/>
        </w:rPr>
        <w:t xml:space="preserve"> 2026</w:t>
      </w:r>
    </w:p>
    <w:p w14:paraId="67B1D5B1" w14:textId="23A65C7B" w:rsidR="00F76E6C" w:rsidRPr="00BB194B" w:rsidRDefault="007E2164" w:rsidP="007E216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401166"/>
      <w:r w:rsidRPr="00BB194B">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84A6994" w14:textId="04CFCB03" w:rsidR="00956AAB" w:rsidRPr="00BB194B" w:rsidRDefault="007E2164" w:rsidP="007E2164">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223401167"/>
      <w:r w:rsidRPr="00BB194B">
        <w:rPr>
          <w:rFonts w:ascii="Sakkal Majalla" w:hAnsi="Sakkal Majalla" w:cs="Sakkal Majalla" w:hint="cs"/>
          <w:b/>
          <w:bCs/>
          <w:color w:val="000000" w:themeColor="text1"/>
          <w:sz w:val="36"/>
          <w:szCs w:val="36"/>
          <w:rtl/>
          <w:lang w:bidi="ar-EG"/>
        </w:rPr>
        <w:t>1.1 المقدمة</w:t>
      </w:r>
      <w:bookmarkStart w:id="2" w:name="_Toc169790487"/>
      <w:bookmarkEnd w:id="1"/>
    </w:p>
    <w:p w14:paraId="695CDDEB" w14:textId="329DEEF1"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2"/>
      <w:r w:rsidRPr="00BB194B">
        <w:rPr>
          <w:rFonts w:ascii="Sakkal Majalla" w:hAnsi="Sakkal Majalla" w:cs="Sakkal Majalla"/>
          <w:color w:val="000000" w:themeColor="text1"/>
          <w:sz w:val="28"/>
          <w:szCs w:val="28"/>
          <w:rtl/>
        </w:rPr>
        <w:t>يشهد العالم المعاصر تحولًا متسارعًا في مختلف القطاعات نتيجة الثورة الرقمية والتطور التكنولوجي المتنامي، حيث أصبحت التقنيات الرقمية عنصرًا جوهريًا في تعزيز الكفاءة والإنتاجية وتحسين جودة الخدمات، فقد غيّر التحول الرقمي نماذج الأعمال وأساليب الإدارة، وأعاد تشكيل العلاقات داخل المؤسسات وبينها وبين المستفيدين من خدماتها، وتزايدت أهمية هذا التحول مع الاعتماد المتزايد على البيانات، والأتمتة، والمنصات الرقمية، والذكاء الاصطناعي، مما جعل القدرة على التكيف الرقمي شرطًا أساسيًا لاستمرارية المنظمات وقدرتها على المنافسة والتطوير في ظل بيئة ديناميكية وسريعة التغير</w:t>
      </w:r>
      <w:r w:rsidRPr="00BB194B">
        <w:rPr>
          <w:rFonts w:ascii="Sakkal Majalla" w:hAnsi="Sakkal Majalla" w:cs="Sakkal Majalla"/>
          <w:color w:val="000000" w:themeColor="text1"/>
          <w:sz w:val="28"/>
          <w:szCs w:val="28"/>
        </w:rPr>
        <w:t>. (Chen et al., 2025)</w:t>
      </w:r>
    </w:p>
    <w:p w14:paraId="2ABA5D95"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سياق هذا التحول، أصبحت المؤسسات تسعى إلى دمج التقنيات الرقمية ضمن عملياتها التشغيلية والإدارية بهدف رفع كفاءة الأداء وتحسين مخرجات الخدمات التي تقدمها. وقد أبرزت الأدبيات أن التحول الرقمي لا يقتصر على تبني التقنية فحسب، بل يتطلب تغييرات هيكلية وثقافية وتنظيمية عميقة داخل المؤسسة. ويتطلب هذا التحول وجود قدرات تنظيمية بشرية وقيادية قادرة على إدارة التغيير والتعامل مع التعقيدات المصاحبة لإعادة تصميم العمليات والبنى الإجرائية</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Penha</w:t>
      </w:r>
      <w:proofErr w:type="spellEnd"/>
      <w:r w:rsidRPr="00BB194B">
        <w:rPr>
          <w:rFonts w:ascii="Sakkal Majalla" w:hAnsi="Sakkal Majalla" w:cs="Sakkal Majalla"/>
          <w:color w:val="000000" w:themeColor="text1"/>
          <w:sz w:val="28"/>
          <w:szCs w:val="28"/>
        </w:rPr>
        <w:t xml:space="preserve"> et al., 2023)</w:t>
      </w:r>
    </w:p>
    <w:p w14:paraId="4AA4F578" w14:textId="336EB4A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وتُعد إدارة المشاريع أحد المكونات الرئيسة التي تسهم في نجاح عمليات التطوير والتحول داخل المنظمات، حيث تشكّل إطارًا منهجيًا للتخطيط والتنفيذ والمتابعة والتقييم ، وأصبح نضج إدارة المشاريع مؤشرًا مهمًا يعكس مدى قدرة المؤسسة على إدارة مشاريعها بفاعلية وكفاءة، فكلما ارتفع مستوى نضج إدارة المشاريع، أصبحت المؤسسة أكثر قدرة على التخطيط المحكم، وتنسيق الموارد، وتطوير التوثيق الإجرائي، وتنظيم الفرق، وتعزيز التكامل بين الوحدات التنظيمية</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w:t>
      </w:r>
    </w:p>
    <w:p w14:paraId="3569DC5A" w14:textId="7D378052"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ومن جانب آخر، فإن التحول الرقمي يرتبط بشكل مباشر بمدى جاهزية المؤسسة من الناحية التقنية والبشرية والإجرائية، حيث تتطلب المبادرات الرقمية توافر بنى تحتية قوية ونظم معلومات متكاملة </w:t>
      </w:r>
      <w:r w:rsidRPr="00BB194B">
        <w:rPr>
          <w:rFonts w:ascii="Sakkal Majalla" w:hAnsi="Sakkal Majalla" w:cs="Sakkal Majalla"/>
          <w:color w:val="000000" w:themeColor="text1"/>
          <w:sz w:val="28"/>
          <w:szCs w:val="28"/>
          <w:rtl/>
        </w:rPr>
        <w:lastRenderedPageBreak/>
        <w:t>وموارد بشرية مؤهلة وعمليات تشغيل مرنة، وتُظهر الأدبيات أن جاهزية المؤسسة للتحول الرقمي تتشكل عبر مستويات متعددة تشمل جودة البيانات، وتوافر الموارد التقنية، واستعداد العاملين لتبني التغيير، ووضوح الإجراءات التنظيمية</w:t>
      </w:r>
      <w:r w:rsidRPr="00BB194B">
        <w:rPr>
          <w:rFonts w:ascii="Sakkal Majalla" w:hAnsi="Sakkal Majalla" w:cs="Sakkal Majalla"/>
          <w:color w:val="000000" w:themeColor="text1"/>
          <w:sz w:val="28"/>
          <w:szCs w:val="28"/>
        </w:rPr>
        <w:t xml:space="preserve">. (Crespo </w:t>
      </w:r>
      <w:proofErr w:type="spellStart"/>
      <w:r w:rsidRPr="00BB194B">
        <w:rPr>
          <w:rFonts w:ascii="Sakkal Majalla" w:hAnsi="Sakkal Majalla" w:cs="Sakkal Majalla"/>
          <w:color w:val="000000" w:themeColor="text1"/>
          <w:sz w:val="28"/>
          <w:szCs w:val="28"/>
        </w:rPr>
        <w:t>Márquez</w:t>
      </w:r>
      <w:proofErr w:type="spellEnd"/>
      <w:r w:rsidRPr="00BB194B">
        <w:rPr>
          <w:rFonts w:ascii="Sakkal Majalla" w:hAnsi="Sakkal Majalla" w:cs="Sakkal Majalla"/>
          <w:color w:val="000000" w:themeColor="text1"/>
          <w:sz w:val="28"/>
          <w:szCs w:val="28"/>
        </w:rPr>
        <w:t xml:space="preserve"> &amp; Matsuda, 2024)</w:t>
      </w:r>
    </w:p>
    <w:p w14:paraId="393747C8" w14:textId="7FDADBE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في الوقت نفسه، يشير عدد من الباحثين إلى أن نجاح التحول الرقمي يعتمد على التكامل بين إدارة التغيير وإدارة المشاريع، حيث إن التحول الرقمي يمثل عملية تغيير عميقة تتطلب فهمًا للسلوك التنظيمي ودعمًا للكوادر في تجاوز مقاومة التغيير وتبني التقنيات الحديثة بفاعلية، وهذا يتطلب وجود تنسيق ومواءمة بين فرق إدارة المشاريع وفرق إدارة التغيير بما يضمن انسيابية التطبيق والتوافق بين متطلبات التقنية وتوجهات المؤسسة</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Haron</w:t>
      </w:r>
      <w:proofErr w:type="spellEnd"/>
      <w:r w:rsidRPr="00BB194B">
        <w:rPr>
          <w:rFonts w:ascii="Sakkal Majalla" w:hAnsi="Sakkal Majalla" w:cs="Sakkal Majalla"/>
          <w:color w:val="000000" w:themeColor="text1"/>
          <w:sz w:val="28"/>
          <w:szCs w:val="28"/>
        </w:rPr>
        <w:t>, 2021)</w:t>
      </w:r>
    </w:p>
    <w:p w14:paraId="18C98A64" w14:textId="3AE7F96B"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أما في السياق العربي والخليجي، فقد شهدت الجهات الحكومية توسعًا ملحوظًا في تبني مشاريع التحول الرقمي، خاصة في ظل توجهات رؤية المملكة 2030 نحو الحكومة الرقمية ورفع كفاءة الإنفاق وتعزيز جودة الخدمات العامة، وتعد وزارة المالية إحدى الجهات الحكومية المحورية التي تقود مبادرات تطويرية واسعة تشمل مشاريع تشغيل وصيانة تعتمد على أنظمة معلومات رقمية، مما يجعل جاهزية هذه المشاريع للتحول الرقمي مسألة حيوية لضمان نجاحها واستمراريتها</w:t>
      </w:r>
      <w:r w:rsidRPr="00BB194B">
        <w:rPr>
          <w:rFonts w:ascii="Sakkal Majalla" w:hAnsi="Sakkal Majalla" w:cs="Sakkal Majalla"/>
          <w:color w:val="000000" w:themeColor="text1"/>
          <w:sz w:val="28"/>
          <w:szCs w:val="28"/>
        </w:rPr>
        <w:t>. (Souza et al., 2023)</w:t>
      </w:r>
    </w:p>
    <w:p w14:paraId="06CEE3CA" w14:textId="096304B2"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كما تبرز أهمية التركيز على مشاريع التشغيل والصيانة تحديدًا، لأنها تمثل القلب التشغيلي لاستمرارية الأعمال داخل المؤسسات الحكومية، وتختلف طبيعتها عن المشاريع التطويرية أو الإنشائية من حيث استمراريتها وارتباطها المباشر بالعمليات اليومية. لذلك فإن دراسة العلاقة بين نضج إدارة المشاريع وجاهزية هذه المشاريع للتحول الرقمي في وزارة المالية تمثل خطوة أساسية لفهم الوضع الراهن وتحديد عوامل الارتقاء به.</w:t>
      </w:r>
    </w:p>
    <w:bookmarkEnd w:id="3"/>
    <w:p w14:paraId="29112822" w14:textId="465D398B" w:rsidR="007E2164" w:rsidRPr="00BB194B" w:rsidRDefault="007E2164" w:rsidP="007E2164">
      <w:pPr>
        <w:spacing w:before="100" w:beforeAutospacing="1" w:after="100" w:afterAutospacing="1"/>
        <w:outlineLvl w:val="1"/>
        <w:rPr>
          <w:rFonts w:ascii="Sakkal Majalla" w:hAnsi="Sakkal Majalla" w:cs="Sakkal Majalla"/>
          <w:b/>
          <w:bCs/>
          <w:color w:val="000000" w:themeColor="text1"/>
          <w:sz w:val="36"/>
          <w:szCs w:val="36"/>
          <w:rtl/>
        </w:rPr>
      </w:pPr>
      <w:r w:rsidRPr="00BB194B">
        <w:rPr>
          <w:rFonts w:ascii="Sakkal Majalla" w:hAnsi="Sakkal Majalla" w:cs="Sakkal Majalla"/>
          <w:b/>
          <w:bCs/>
          <w:color w:val="000000" w:themeColor="text1"/>
          <w:sz w:val="36"/>
          <w:szCs w:val="36"/>
          <w:rtl/>
        </w:rPr>
        <w:br w:type="page"/>
      </w:r>
      <w:bookmarkStart w:id="5" w:name="_Toc223401168"/>
      <w:r w:rsidRPr="00BB194B">
        <w:rPr>
          <w:rFonts w:ascii="Sakkal Majalla" w:hAnsi="Sakkal Majalla" w:cs="Sakkal Majalla" w:hint="cs"/>
          <w:b/>
          <w:bCs/>
          <w:color w:val="000000" w:themeColor="text1"/>
          <w:sz w:val="36"/>
          <w:szCs w:val="36"/>
          <w:rtl/>
        </w:rPr>
        <w:lastRenderedPageBreak/>
        <w:t xml:space="preserve">2.1 </w:t>
      </w:r>
      <w:r w:rsidRPr="00BB194B">
        <w:rPr>
          <w:rFonts w:ascii="Sakkal Majalla" w:hAnsi="Sakkal Majalla" w:cs="Sakkal Majalla"/>
          <w:b/>
          <w:bCs/>
          <w:color w:val="000000" w:themeColor="text1"/>
          <w:sz w:val="36"/>
          <w:szCs w:val="36"/>
          <w:rtl/>
        </w:rPr>
        <w:t>مشكلة الدراسة</w:t>
      </w:r>
      <w:bookmarkEnd w:id="5"/>
    </w:p>
    <w:p w14:paraId="1EDFE5D6" w14:textId="46F02820"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يشهد القطاع الحكومي في المملكة العربية السعودية توجهًا استراتيجيًا نحو التحول الرقمي بهدف رفع كفاءة العمليات وتحسين جودة الخدمات، وذلك ضمن مستهدفات رؤية المملكة 2030، ويُعد نجاح هذا التحول مرهونًا بمدى جاهزية المشاريع القائمة، ولا سيما مشاريع التشغيل والصيانة ذات الدور الحيوي في دعم استمرارية العمل المؤسسي ، وتشير التقارير والتجارب العملية إلى أن العديد من مشاريع التشغيل والصيانة تواجه تحديات في الارتقاء بقدراتها التنظيمية والإدارية لتتلاءم مع متطلبات التحول الرقمي</w:t>
      </w:r>
      <w:r w:rsidRPr="00BB194B">
        <w:rPr>
          <w:rFonts w:ascii="Sakkal Majalla" w:hAnsi="Sakkal Majalla" w:cs="Sakkal Majalla"/>
          <w:color w:val="000000" w:themeColor="text1"/>
          <w:sz w:val="28"/>
          <w:szCs w:val="28"/>
        </w:rPr>
        <w:t>.</w:t>
      </w:r>
    </w:p>
    <w:p w14:paraId="0E8105F5" w14:textId="02B9260B"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وقد أوضحت الدراسات السابقة أن نضج إدارة المشاريع يمثل عنصرًا جوهريًا في قدرة المؤسسات على التكيف مع التطورات التقنية وتحقيق الأداء المؤسسي الفعّال، فدراسة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أظهرت وجود علاقة إيجابية بين نضج إدارة المشاريع والتميّز المؤس،إلا أن هذه النتائج تركزت على مؤسسات صناعية وليس في قطاع حكومي يقدم خدمات تشغيلية وصيانية</w:t>
      </w:r>
      <w:r w:rsidRPr="00BB194B">
        <w:rPr>
          <w:rFonts w:ascii="Sakkal Majalla" w:hAnsi="Sakkal Majalla" w:cs="Sakkal Majalla"/>
          <w:color w:val="000000" w:themeColor="text1"/>
          <w:sz w:val="28"/>
          <w:szCs w:val="28"/>
        </w:rPr>
        <w:t>.</w:t>
      </w:r>
    </w:p>
    <w:p w14:paraId="06CE38DC" w14:textId="57386A0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من جهة أخرى، أظهرت دراسات تناولت التحول الرقمي وإدارة المشاريع مثل دراسة </w:t>
      </w:r>
      <w:proofErr w:type="spellStart"/>
      <w:r w:rsidRPr="00BB194B">
        <w:rPr>
          <w:rFonts w:ascii="Sakkal Majalla" w:hAnsi="Sakkal Majalla" w:cs="Sakkal Majalla"/>
          <w:color w:val="000000" w:themeColor="text1"/>
          <w:sz w:val="28"/>
          <w:szCs w:val="28"/>
        </w:rPr>
        <w:t>Penha</w:t>
      </w:r>
      <w:proofErr w:type="spellEnd"/>
      <w:r w:rsidRPr="00BB194B">
        <w:rPr>
          <w:rFonts w:ascii="Sakkal Majalla" w:hAnsi="Sakkal Majalla" w:cs="Sakkal Majalla"/>
          <w:color w:val="000000" w:themeColor="text1"/>
          <w:sz w:val="28"/>
          <w:szCs w:val="28"/>
        </w:rPr>
        <w:t xml:space="preserve"> et al. (2023) </w:t>
      </w:r>
      <w:r w:rsidRPr="00BB194B">
        <w:rPr>
          <w:rFonts w:ascii="Sakkal Majalla" w:hAnsi="Sakkal Majalla" w:cs="Sakkal Majalla"/>
          <w:color w:val="000000" w:themeColor="text1"/>
          <w:sz w:val="28"/>
          <w:szCs w:val="28"/>
          <w:rtl/>
        </w:rPr>
        <w:t xml:space="preserve">و </w:t>
      </w:r>
      <w:r w:rsidRPr="00BB194B">
        <w:rPr>
          <w:rFonts w:ascii="Sakkal Majalla" w:hAnsi="Sakkal Majalla" w:cs="Sakkal Majalla"/>
          <w:color w:val="000000" w:themeColor="text1"/>
          <w:sz w:val="28"/>
          <w:szCs w:val="28"/>
        </w:rPr>
        <w:t xml:space="preserve">Chen et al. (2025) </w:t>
      </w:r>
      <w:r w:rsidRPr="00BB194B">
        <w:rPr>
          <w:rFonts w:ascii="Sakkal Majalla" w:hAnsi="Sakkal Majalla" w:cs="Sakkal Majalla"/>
          <w:color w:val="000000" w:themeColor="text1"/>
          <w:sz w:val="28"/>
          <w:szCs w:val="28"/>
          <w:rtl/>
        </w:rPr>
        <w:t>أن التحول الرقمي يتطلب ممارسات إدارية متقدمة، وكفاءات بشرية قادرة على إدارة التغيير، وتوظيف الأدوات الرقمية ضمن إطار متكامل لإدارة المشاريع، إلا أن هذه الدراسات لم تتناول جاهزية مشاريع التشغيل والصيانة للتحول الرقمي بصفة خاصة، رغم خصوصية هذا النوع من المشاريع الذي يعتمد على استدامة العمليات التشغيلية اليومية وليس على تنفيذ مشاريع تطويرية فقط</w:t>
      </w:r>
      <w:r w:rsidRPr="00BB194B">
        <w:rPr>
          <w:rFonts w:ascii="Sakkal Majalla" w:hAnsi="Sakkal Majalla" w:cs="Sakkal Majalla"/>
          <w:color w:val="000000" w:themeColor="text1"/>
          <w:sz w:val="28"/>
          <w:szCs w:val="28"/>
        </w:rPr>
        <w:t>.</w:t>
      </w:r>
    </w:p>
    <w:p w14:paraId="306813E2" w14:textId="7D8D29B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كما بينت دراسات في مجال التشغيل والصيانة مثل </w:t>
      </w:r>
      <w:r w:rsidRPr="00BB194B">
        <w:rPr>
          <w:rFonts w:ascii="Sakkal Majalla" w:hAnsi="Sakkal Majalla" w:cs="Sakkal Majalla"/>
          <w:color w:val="000000" w:themeColor="text1"/>
          <w:sz w:val="28"/>
          <w:szCs w:val="28"/>
        </w:rPr>
        <w:t xml:space="preserve">Crespo </w:t>
      </w:r>
      <w:proofErr w:type="spellStart"/>
      <w:r w:rsidRPr="00BB194B">
        <w:rPr>
          <w:rFonts w:ascii="Sakkal Majalla" w:hAnsi="Sakkal Majalla" w:cs="Sakkal Majalla"/>
          <w:color w:val="000000" w:themeColor="text1"/>
          <w:sz w:val="28"/>
          <w:szCs w:val="28"/>
        </w:rPr>
        <w:t>Márquez</w:t>
      </w:r>
      <w:proofErr w:type="spellEnd"/>
      <w:r w:rsidRPr="00BB194B">
        <w:rPr>
          <w:rFonts w:ascii="Sakkal Majalla" w:hAnsi="Sakkal Majalla" w:cs="Sakkal Majalla"/>
          <w:color w:val="000000" w:themeColor="text1"/>
          <w:sz w:val="28"/>
          <w:szCs w:val="28"/>
        </w:rPr>
        <w:t xml:space="preserve"> &amp; Matsuda (2024) </w:t>
      </w:r>
      <w:r w:rsidRPr="00BB194B">
        <w:rPr>
          <w:rFonts w:ascii="Sakkal Majalla" w:hAnsi="Sakkal Majalla" w:cs="Sakkal Majalla"/>
          <w:color w:val="000000" w:themeColor="text1"/>
          <w:sz w:val="28"/>
          <w:szCs w:val="28"/>
          <w:rtl/>
        </w:rPr>
        <w:t>أن نجاح التحول الرقمي يعتمد على توفر بنية بيانات موثوقة، ومهارات بشرية قادرة على استيعاب التقنيات، وعمليات تشغيل واضحة ومرنة، غير أن هذه الدراسات ركزت على إدارة الأصول الصناعية دون الربط بين ذلك ومستوى نضج إدارة المشاريع داخل المؤسسات الحكومية</w:t>
      </w:r>
      <w:r w:rsidRPr="00BB194B">
        <w:rPr>
          <w:rFonts w:ascii="Sakkal Majalla" w:hAnsi="Sakkal Majalla" w:cs="Sakkal Majalla"/>
          <w:color w:val="000000" w:themeColor="text1"/>
          <w:sz w:val="28"/>
          <w:szCs w:val="28"/>
        </w:rPr>
        <w:t>.</w:t>
      </w:r>
    </w:p>
    <w:p w14:paraId="23CF9547" w14:textId="2B8659A0"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وبناءً على ما سبق، تتحدد مشكلة الدراسة في أنه لا يوجد وضوح حول مدى تأثير نضج إدارة المشاريع بأبعاده المختلفة على مستوى جاهزية مشاريع التشغيل والصيانة للتحول الرقمي في وزارة المالية</w:t>
      </w:r>
      <w:r w:rsidRPr="00BB194B">
        <w:rPr>
          <w:rFonts w:ascii="Sakkal Majalla" w:hAnsi="Sakkal Majalla" w:cs="Sakkal Majalla"/>
          <w:color w:val="000000" w:themeColor="text1"/>
          <w:sz w:val="28"/>
          <w:szCs w:val="28"/>
        </w:rPr>
        <w:t xml:space="preserve">. </w:t>
      </w:r>
    </w:p>
    <w:p w14:paraId="157B9D06" w14:textId="47D61B7E" w:rsidR="007E2164" w:rsidRPr="00BB194B" w:rsidRDefault="007E2164" w:rsidP="007E2164">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401169"/>
      <w:bookmarkEnd w:id="4"/>
      <w:r w:rsidRPr="00BB194B">
        <w:rPr>
          <w:rFonts w:ascii="Sakkal Majalla" w:hAnsi="Sakkal Majalla" w:cs="Sakkal Majalla"/>
          <w:b/>
          <w:bCs/>
          <w:color w:val="000000" w:themeColor="text1"/>
          <w:sz w:val="36"/>
          <w:szCs w:val="36"/>
          <w:rtl/>
        </w:rPr>
        <w:lastRenderedPageBreak/>
        <w:t>3.1 أهمية الدراسة:</w:t>
      </w:r>
      <w:bookmarkEnd w:id="7"/>
    </w:p>
    <w:p w14:paraId="1EE72FAC" w14:textId="40083867" w:rsidR="00AF46DF" w:rsidRPr="00BB194B" w:rsidRDefault="00AF46DF" w:rsidP="007E2164">
      <w:pPr>
        <w:pStyle w:val="NormalWeb"/>
        <w:bidi/>
        <w:spacing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BB194B">
        <w:rPr>
          <w:rFonts w:ascii="Sakkal Majalla" w:hAnsi="Sakkal Majalla" w:cs="Sakkal Majalla"/>
          <w:b/>
          <w:bCs/>
          <w:color w:val="000000" w:themeColor="text1"/>
          <w:sz w:val="28"/>
          <w:szCs w:val="28"/>
          <w:rtl/>
        </w:rPr>
        <w:t>فيما يل</w:t>
      </w:r>
      <w:r w:rsidR="00DD6BEA" w:rsidRPr="00BB194B">
        <w:rPr>
          <w:rFonts w:ascii="Sakkal Majalla" w:hAnsi="Sakkal Majalla" w:cs="Sakkal Majalla"/>
          <w:b/>
          <w:bCs/>
          <w:color w:val="000000" w:themeColor="text1"/>
          <w:sz w:val="28"/>
          <w:szCs w:val="28"/>
          <w:rtl/>
        </w:rPr>
        <w:t>ي</w:t>
      </w:r>
      <w:r w:rsidR="000125CD" w:rsidRPr="00BB194B">
        <w:rPr>
          <w:rFonts w:ascii="Sakkal Majalla" w:hAnsi="Sakkal Majalla" w:cs="Sakkal Majalla"/>
          <w:b/>
          <w:bCs/>
          <w:color w:val="000000" w:themeColor="text1"/>
          <w:sz w:val="28"/>
          <w:szCs w:val="28"/>
          <w:rtl/>
        </w:rPr>
        <w:t>:</w:t>
      </w:r>
    </w:p>
    <w:p w14:paraId="22B45B1B" w14:textId="77777777" w:rsidR="002133A6" w:rsidRPr="00BB194B" w:rsidRDefault="002133A6" w:rsidP="00F76E6C">
      <w:pPr>
        <w:spacing w:before="100" w:beforeAutospacing="1" w:after="100" w:afterAutospacing="1" w:line="360" w:lineRule="auto"/>
        <w:jc w:val="both"/>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tl/>
        </w:rPr>
        <w:t>أولًا: الأهمية العلمية</w:t>
      </w:r>
      <w:r w:rsidRPr="00BB194B">
        <w:rPr>
          <w:rFonts w:ascii="Sakkal Majalla" w:hAnsi="Sakkal Majalla" w:cs="Sakkal Majalla"/>
          <w:b/>
          <w:bCs/>
          <w:color w:val="000000" w:themeColor="text1"/>
          <w:sz w:val="32"/>
          <w:szCs w:val="32"/>
        </w:rPr>
        <w:t>:</w:t>
      </w:r>
    </w:p>
    <w:p w14:paraId="7FF2C2CF" w14:textId="269101B9" w:rsidR="000021B5" w:rsidRPr="00BB194B" w:rsidRDefault="003832FC" w:rsidP="00D93D6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تتمثل الأهمية العلمية لهذه الدراسة في أنها تسهم في إثراء الأدبيات المتعلقة بنضج إدارة المشاريع وتحقيق التحول الرقمي في القطاع الحكومي، وذلك من خلال ربط هذين المتغيرين في سياق مشاريع التشغيل والصيانة التي لم تحظَ بالاهتمام الكافي مقارنة بالمشاريع التطويرية. كما تقدم الدراسة إطارًا علميًا ومنهجيًا لتحليل أثر أبعاد نضج إدارة المشاريع على الجاهزية للتحول الرقمي، مما يساعد الباحثين على تطوير نماذج بحثية مستقبلية يمكن تطبيقها في قطاعات حكومية وغير حكومية. إضافة إلى ذلك، توفر الدراسة مؤشرات قياس يمكن الاستفادة منها في بناء أدوات تقييم أكثر دقة في الدراسات الأكاديمية المقبلة.</w:t>
      </w:r>
    </w:p>
    <w:p w14:paraId="438FFA96" w14:textId="07B9DA27" w:rsidR="002133A6" w:rsidRPr="00BB194B" w:rsidRDefault="003610C7" w:rsidP="00F76E6C">
      <w:pPr>
        <w:spacing w:before="100" w:beforeAutospacing="1" w:after="100" w:afterAutospacing="1" w:line="360" w:lineRule="auto"/>
        <w:jc w:val="both"/>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tl/>
        </w:rPr>
        <w:t>.</w:t>
      </w:r>
      <w:r w:rsidR="002133A6" w:rsidRPr="00BB194B">
        <w:rPr>
          <w:rFonts w:ascii="Sakkal Majalla" w:hAnsi="Sakkal Majalla" w:cs="Sakkal Majalla"/>
          <w:b/>
          <w:bCs/>
          <w:color w:val="000000" w:themeColor="text1"/>
          <w:sz w:val="32"/>
          <w:szCs w:val="32"/>
          <w:rtl/>
        </w:rPr>
        <w:t>ثانيًا: الأهمية العملية</w:t>
      </w:r>
      <w:r w:rsidR="002133A6" w:rsidRPr="00BB194B">
        <w:rPr>
          <w:rFonts w:ascii="Sakkal Majalla" w:hAnsi="Sakkal Majalla" w:cs="Sakkal Majalla"/>
          <w:b/>
          <w:bCs/>
          <w:color w:val="000000" w:themeColor="text1"/>
          <w:sz w:val="32"/>
          <w:szCs w:val="32"/>
        </w:rPr>
        <w:t>:</w:t>
      </w:r>
    </w:p>
    <w:p w14:paraId="6E39346E" w14:textId="7F1DC7B5" w:rsidR="003610C7" w:rsidRPr="00BB194B" w:rsidRDefault="003832FC" w:rsidP="00D93D67">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تنبع الأهمية العملية للدراسة من كونها تساعد وزارة المالية والجهات المشابهة على تحديد مستوى جاهزية مشاريع التشغيل والصيانة للتحول الرقمي، وتوضيح العوامل التنظيمية والبشرية والتقنية التي يجب تطويرها لرفع مستوى النضج في إدارة هذه المشاريع. كما تساهم الدراسة في دعم اتخاذ القرار من خلال تقديم توصيات مباشرة قابلة للتطبيق لتعزيز قدرات فرق المشاريع، وتحسين استخدام الأدوات والمنهجيات، مما يؤدي إلى رفع كفاءة التنفيذ وتقليل التأخير وتخفيض التكاليف التشغيلية. ويسهم ذلك بشكل مباشر في تحقيق أهداف برنامج التحول الوطني ورؤية المملكة 2030 المتعلقة برفع كفاءة الإنفاق والتحول الرقمي للخدمات الحكومية.</w:t>
      </w:r>
    </w:p>
    <w:p w14:paraId="35E7FBF8" w14:textId="1B2BF629" w:rsidR="007E2164" w:rsidRPr="00BB194B" w:rsidRDefault="007E2164" w:rsidP="007E2164">
      <w:pPr>
        <w:spacing w:before="100" w:beforeAutospacing="1" w:after="100" w:afterAutospacing="1"/>
        <w:outlineLvl w:val="1"/>
        <w:rPr>
          <w:rFonts w:ascii="Sakkal Majalla" w:hAnsi="Sakkal Majalla" w:cs="Sakkal Majalla"/>
          <w:b/>
          <w:bCs/>
          <w:color w:val="000000" w:themeColor="text1"/>
          <w:sz w:val="36"/>
          <w:szCs w:val="36"/>
          <w:rtl/>
        </w:rPr>
      </w:pPr>
      <w:bookmarkStart w:id="8" w:name="_Toc169790491"/>
      <w:bookmarkEnd w:id="6"/>
      <w:r w:rsidRPr="00BB194B">
        <w:rPr>
          <w:rFonts w:ascii="Sakkal Majalla" w:hAnsi="Sakkal Majalla" w:cs="Sakkal Majalla"/>
          <w:b/>
          <w:bCs/>
          <w:color w:val="000000" w:themeColor="text1"/>
          <w:sz w:val="36"/>
          <w:szCs w:val="36"/>
          <w:rtl/>
        </w:rPr>
        <w:br w:type="page"/>
      </w:r>
      <w:bookmarkStart w:id="9" w:name="_Toc223401170"/>
      <w:r w:rsidRPr="00BB194B">
        <w:rPr>
          <w:rFonts w:ascii="Sakkal Majalla" w:hAnsi="Sakkal Majalla" w:cs="Sakkal Majalla" w:hint="cs"/>
          <w:b/>
          <w:bCs/>
          <w:color w:val="000000" w:themeColor="text1"/>
          <w:sz w:val="36"/>
          <w:szCs w:val="36"/>
          <w:rtl/>
        </w:rPr>
        <w:lastRenderedPageBreak/>
        <w:t xml:space="preserve">4.1 </w:t>
      </w:r>
      <w:r w:rsidRPr="00BB194B">
        <w:rPr>
          <w:rFonts w:ascii="Sakkal Majalla" w:hAnsi="Sakkal Majalla" w:cs="Sakkal Majalla"/>
          <w:b/>
          <w:bCs/>
          <w:color w:val="000000" w:themeColor="text1"/>
          <w:sz w:val="36"/>
          <w:szCs w:val="36"/>
          <w:rtl/>
        </w:rPr>
        <w:t>أهداف الدراسة:</w:t>
      </w:r>
      <w:bookmarkEnd w:id="9"/>
    </w:p>
    <w:p w14:paraId="4CC4A1BF" w14:textId="77777777" w:rsidR="00485A30" w:rsidRPr="00BB194B" w:rsidRDefault="00485A30" w:rsidP="007E2164">
      <w:pPr>
        <w:pStyle w:val="NormalWeb"/>
        <w:bidi/>
        <w:spacing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تهدف هذه الدراسة إلى </w:t>
      </w:r>
      <w:r w:rsidRPr="00BB194B">
        <w:rPr>
          <w:rStyle w:val="Strong"/>
          <w:rFonts w:ascii="Sakkal Majalla" w:hAnsi="Sakkal Majalla" w:cs="Sakkal Majalla"/>
          <w:b w:val="0"/>
          <w:bCs w:val="0"/>
          <w:color w:val="000000" w:themeColor="text1"/>
          <w:sz w:val="28"/>
          <w:szCs w:val="28"/>
          <w:rtl/>
        </w:rPr>
        <w:t>دراسة أثر نضج إدارة المشاريع</w:t>
      </w:r>
      <w:r w:rsidRPr="00BB194B">
        <w:rPr>
          <w:rStyle w:val="Strong"/>
          <w:rFonts w:ascii="Sakkal Majalla" w:hAnsi="Sakkal Majalla" w:cs="Sakkal Majalla"/>
          <w:b w:val="0"/>
          <w:bCs w:val="0"/>
          <w:color w:val="000000" w:themeColor="text1"/>
          <w:sz w:val="28"/>
          <w:szCs w:val="28"/>
        </w:rPr>
        <w:t xml:space="preserve"> (Project Management Maturity) </w:t>
      </w:r>
      <w:r w:rsidRPr="00BB194B">
        <w:rPr>
          <w:rStyle w:val="Strong"/>
          <w:rFonts w:ascii="Sakkal Majalla" w:hAnsi="Sakkal Majalla" w:cs="Sakkal Majalla"/>
          <w:b w:val="0"/>
          <w:bCs w:val="0"/>
          <w:color w:val="000000" w:themeColor="text1"/>
          <w:sz w:val="28"/>
          <w:szCs w:val="28"/>
          <w:rtl/>
        </w:rPr>
        <w:t>بأبعاده (المنهجيات والإجراءات، الهيكل التنظيمي والدعم القيادي، المهارات والكفاءات، وأدوات وتقنيات إدارة المشاريع)</w:t>
      </w:r>
      <w:r w:rsidRPr="00BB194B">
        <w:rPr>
          <w:rFonts w:ascii="Sakkal Majalla" w:hAnsi="Sakkal Majalla" w:cs="Sakkal Majalla"/>
          <w:color w:val="000000" w:themeColor="text1"/>
          <w:sz w:val="28"/>
          <w:szCs w:val="28"/>
          <w:rtl/>
        </w:rPr>
        <w:t xml:space="preserve"> على </w:t>
      </w:r>
      <w:r w:rsidRPr="00BB194B">
        <w:rPr>
          <w:rStyle w:val="Strong"/>
          <w:rFonts w:ascii="Sakkal Majalla" w:hAnsi="Sakkal Majalla" w:cs="Sakkal Majalla"/>
          <w:b w:val="0"/>
          <w:bCs w:val="0"/>
          <w:color w:val="000000" w:themeColor="text1"/>
          <w:sz w:val="28"/>
          <w:szCs w:val="28"/>
          <w:rtl/>
        </w:rPr>
        <w:t>مستوى جاهزية مشاريع التشغيل والصيانة للتحول الرقمي في وزارة المالية</w:t>
      </w:r>
      <w:r w:rsidRPr="00BB194B">
        <w:rPr>
          <w:rFonts w:ascii="Sakkal Majalla" w:hAnsi="Sakkal Majalla" w:cs="Sakkal Majalla"/>
          <w:color w:val="000000" w:themeColor="text1"/>
          <w:sz w:val="28"/>
          <w:szCs w:val="28"/>
        </w:rPr>
        <w:t>.</w:t>
      </w:r>
    </w:p>
    <w:p w14:paraId="2E7DFADF" w14:textId="0EBC2F48" w:rsidR="00485A30" w:rsidRPr="00BB194B" w:rsidRDefault="00485A30" w:rsidP="007E2164">
      <w:pPr>
        <w:pStyle w:val="NormalWeb"/>
        <w:bidi/>
        <w:spacing w:line="360" w:lineRule="auto"/>
        <w:ind w:firstLine="706"/>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ويتفرع عن هذا الهدف الرئيسي عدد من الأهداف الفرعية، من أبرزها</w:t>
      </w:r>
      <w:r w:rsidRPr="00BB194B">
        <w:rPr>
          <w:rFonts w:ascii="Sakkal Majalla" w:hAnsi="Sakkal Majalla" w:cs="Sakkal Majalla"/>
          <w:b/>
          <w:bCs/>
          <w:color w:val="000000" w:themeColor="text1"/>
          <w:sz w:val="28"/>
          <w:szCs w:val="28"/>
        </w:rPr>
        <w:t>:</w:t>
      </w:r>
    </w:p>
    <w:p w14:paraId="320E18BA" w14:textId="77777777" w:rsidR="00485A30" w:rsidRPr="00BB194B" w:rsidRDefault="00485A30" w:rsidP="00D93D67">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تحديد مستوى نضج إدارة المشاريع الحالي</w:t>
      </w:r>
      <w:r w:rsidRPr="00BB194B">
        <w:rPr>
          <w:rFonts w:ascii="Sakkal Majalla" w:hAnsi="Sakkal Majalla" w:cs="Sakkal Majalla"/>
          <w:color w:val="000000" w:themeColor="text1"/>
          <w:sz w:val="28"/>
          <w:szCs w:val="28"/>
          <w:rtl/>
        </w:rPr>
        <w:t xml:space="preserve"> في مشاريع التشغيل والصيانة بوزارة المالية</w:t>
      </w:r>
      <w:r w:rsidRPr="00BB194B">
        <w:rPr>
          <w:rFonts w:ascii="Sakkal Majalla" w:hAnsi="Sakkal Majalla" w:cs="Sakkal Majalla"/>
          <w:color w:val="000000" w:themeColor="text1"/>
          <w:sz w:val="28"/>
          <w:szCs w:val="28"/>
        </w:rPr>
        <w:t>.</w:t>
      </w:r>
    </w:p>
    <w:p w14:paraId="61D757A2" w14:textId="77777777" w:rsidR="00485A30" w:rsidRPr="00BB194B" w:rsidRDefault="00485A30" w:rsidP="00D93D67">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قياس مستوى جاهزية مشاريع التشغيل والصيانة للتحول الرقمي</w:t>
      </w:r>
      <w:r w:rsidRPr="00BB194B">
        <w:rPr>
          <w:rFonts w:ascii="Sakkal Majalla" w:hAnsi="Sakkal Majalla" w:cs="Sakkal Majalla"/>
          <w:color w:val="000000" w:themeColor="text1"/>
          <w:sz w:val="28"/>
          <w:szCs w:val="28"/>
          <w:rtl/>
        </w:rPr>
        <w:t xml:space="preserve"> من حيث البنية التقنية والإجراءات والموارد البشرية</w:t>
      </w:r>
      <w:r w:rsidRPr="00BB194B">
        <w:rPr>
          <w:rFonts w:ascii="Sakkal Majalla" w:hAnsi="Sakkal Majalla" w:cs="Sakkal Majalla"/>
          <w:color w:val="000000" w:themeColor="text1"/>
          <w:sz w:val="28"/>
          <w:szCs w:val="28"/>
        </w:rPr>
        <w:t>.</w:t>
      </w:r>
    </w:p>
    <w:p w14:paraId="1D49C74F" w14:textId="77777777" w:rsidR="00485A30" w:rsidRPr="00BB194B" w:rsidRDefault="00485A30" w:rsidP="00D93D67">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تحليل تأثير كل بُعد من أبعاد نضج إدارة المشاريع بشكل منفصل</w:t>
      </w:r>
      <w:r w:rsidRPr="00BB194B">
        <w:rPr>
          <w:rFonts w:ascii="Sakkal Majalla" w:hAnsi="Sakkal Majalla" w:cs="Sakkal Majalla"/>
          <w:color w:val="000000" w:themeColor="text1"/>
          <w:sz w:val="28"/>
          <w:szCs w:val="28"/>
          <w:rtl/>
        </w:rPr>
        <w:t xml:space="preserve"> على جاهزية التحول الرقمي</w:t>
      </w:r>
      <w:r w:rsidRPr="00BB194B">
        <w:rPr>
          <w:rFonts w:ascii="Sakkal Majalla" w:hAnsi="Sakkal Majalla" w:cs="Sakkal Majalla"/>
          <w:color w:val="000000" w:themeColor="text1"/>
          <w:sz w:val="28"/>
          <w:szCs w:val="28"/>
        </w:rPr>
        <w:t>.</w:t>
      </w:r>
    </w:p>
    <w:p w14:paraId="326FD2EE" w14:textId="77777777" w:rsidR="00485A30" w:rsidRPr="00BB194B" w:rsidRDefault="00485A30" w:rsidP="00D93D67">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تحديد الفجوات والعوائق التي تحد من جاهزية مشاريع التشغيل والصيانة للتحول الرقمي</w:t>
      </w:r>
      <w:r w:rsidRPr="00BB194B">
        <w:rPr>
          <w:rFonts w:ascii="Sakkal Majalla" w:hAnsi="Sakkal Majalla" w:cs="Sakkal Majalla"/>
          <w:color w:val="000000" w:themeColor="text1"/>
          <w:sz w:val="28"/>
          <w:szCs w:val="28"/>
          <w:rtl/>
        </w:rPr>
        <w:t xml:space="preserve"> في الوزارة</w:t>
      </w:r>
      <w:r w:rsidRPr="00BB194B">
        <w:rPr>
          <w:rFonts w:ascii="Sakkal Majalla" w:hAnsi="Sakkal Majalla" w:cs="Sakkal Majalla"/>
          <w:color w:val="000000" w:themeColor="text1"/>
          <w:sz w:val="28"/>
          <w:szCs w:val="28"/>
        </w:rPr>
        <w:t>.</w:t>
      </w:r>
    </w:p>
    <w:p w14:paraId="06FBB4E7" w14:textId="77777777" w:rsidR="00485A30" w:rsidRPr="00BB194B" w:rsidRDefault="00485A30" w:rsidP="00D93D67">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اقتراح توصيات عملية لتعزيز نضج إدارة المشاريع بما يدعم رفع مستوى الجاهزية للتحول الرقمي</w:t>
      </w:r>
      <w:r w:rsidRPr="00BB194B">
        <w:rPr>
          <w:rFonts w:ascii="Sakkal Majalla" w:hAnsi="Sakkal Majalla" w:cs="Sakkal Majalla"/>
          <w:color w:val="000000" w:themeColor="text1"/>
          <w:sz w:val="28"/>
          <w:szCs w:val="28"/>
          <w:rtl/>
        </w:rPr>
        <w:t xml:space="preserve"> في وزارة المالية</w:t>
      </w:r>
      <w:r w:rsidRPr="00BB194B">
        <w:rPr>
          <w:rFonts w:ascii="Sakkal Majalla" w:hAnsi="Sakkal Majalla" w:cs="Sakkal Majalla"/>
          <w:color w:val="000000" w:themeColor="text1"/>
          <w:sz w:val="28"/>
          <w:szCs w:val="28"/>
        </w:rPr>
        <w:t>.</w:t>
      </w:r>
    </w:p>
    <w:p w14:paraId="620B96D7" w14:textId="027DF187" w:rsidR="007E2164" w:rsidRPr="00BB194B" w:rsidRDefault="007E2164" w:rsidP="007E216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401171"/>
      <w:bookmarkEnd w:id="8"/>
      <w:r w:rsidRPr="00BB194B">
        <w:rPr>
          <w:rFonts w:ascii="Sakkal Majalla" w:hAnsi="Sakkal Majalla" w:cs="Sakkal Majalla"/>
          <w:b/>
          <w:bCs/>
          <w:color w:val="000000" w:themeColor="text1"/>
          <w:sz w:val="36"/>
          <w:szCs w:val="36"/>
          <w:rtl/>
        </w:rPr>
        <w:t>5.1 تساؤلات الدراسة</w:t>
      </w:r>
      <w:bookmarkEnd w:id="10"/>
    </w:p>
    <w:p w14:paraId="546C5668" w14:textId="67E2C345" w:rsidR="00A65AA5" w:rsidRPr="00BB194B" w:rsidRDefault="00A327F6"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b/>
          <w:bCs/>
          <w:color w:val="000000" w:themeColor="text1"/>
          <w:sz w:val="28"/>
          <w:szCs w:val="28"/>
          <w:rtl/>
        </w:rPr>
        <w:t>ال</w:t>
      </w:r>
      <w:r w:rsidR="002133A6" w:rsidRPr="00BB194B">
        <w:rPr>
          <w:rFonts w:ascii="Sakkal Majalla" w:hAnsi="Sakkal Majalla" w:cs="Sakkal Majalla"/>
          <w:b/>
          <w:bCs/>
          <w:color w:val="000000" w:themeColor="text1"/>
          <w:sz w:val="28"/>
          <w:szCs w:val="28"/>
          <w:rtl/>
        </w:rPr>
        <w:t>سؤال الدراسة الرئيسي</w:t>
      </w:r>
      <w:r w:rsidR="002133A6" w:rsidRPr="00BB194B">
        <w:rPr>
          <w:rFonts w:ascii="Sakkal Majalla" w:hAnsi="Sakkal Majalla" w:cs="Sakkal Majalla"/>
          <w:color w:val="000000" w:themeColor="text1"/>
          <w:sz w:val="28"/>
          <w:szCs w:val="28"/>
        </w:rPr>
        <w:t>:</w:t>
      </w:r>
      <w:r w:rsidRPr="00BB194B">
        <w:rPr>
          <w:rFonts w:ascii="Sakkal Majalla" w:hAnsi="Sakkal Majalla" w:cs="Sakkal Majalla"/>
          <w:color w:val="000000" w:themeColor="text1"/>
          <w:sz w:val="28"/>
          <w:szCs w:val="28"/>
          <w:rtl/>
        </w:rPr>
        <w:t xml:space="preserve"> </w:t>
      </w:r>
      <w:r w:rsidR="00485A30" w:rsidRPr="00BB194B">
        <w:rPr>
          <w:rFonts w:ascii="Sakkal Majalla" w:hAnsi="Sakkal Majalla" w:cs="Sakkal Majalla"/>
          <w:color w:val="000000" w:themeColor="text1"/>
          <w:sz w:val="28"/>
          <w:szCs w:val="28"/>
          <w:rtl/>
        </w:rPr>
        <w:t>ما أثر نضج إدارة المشاريع بأبعاده (المنهجيات والإجراءات، الهيكل التنظيمي والدعم القيادي، المهارات والكفاءات، وأدوات وتقنيات إدارة المشاريع) على مستوى جاهزية مشاريع التشغيل والصيانة للتحول الرقمي في وزارة المالية؟</w:t>
      </w:r>
    </w:p>
    <w:p w14:paraId="07DE0CD5" w14:textId="6A6C364F" w:rsidR="00ED5FAB" w:rsidRPr="00BB194B" w:rsidRDefault="00ED5FAB" w:rsidP="00F76E6C">
      <w:pPr>
        <w:spacing w:before="100" w:beforeAutospacing="1" w:after="100" w:afterAutospacing="1" w:line="360" w:lineRule="auto"/>
        <w:jc w:val="both"/>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tl/>
        </w:rPr>
        <w:t>الأسئلة الفرعية:</w:t>
      </w:r>
    </w:p>
    <w:p w14:paraId="5589E916" w14:textId="1FB7FC3D" w:rsidR="003832FC" w:rsidRPr="00BB194B" w:rsidRDefault="003832FC" w:rsidP="00D93D67">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ما أثر </w:t>
      </w:r>
      <w:r w:rsidRPr="00BB194B">
        <w:rPr>
          <w:rStyle w:val="Strong"/>
          <w:rFonts w:ascii="Sakkal Majalla" w:hAnsi="Sakkal Majalla" w:cs="Sakkal Majalla"/>
          <w:b w:val="0"/>
          <w:bCs w:val="0"/>
          <w:color w:val="000000" w:themeColor="text1"/>
          <w:sz w:val="28"/>
          <w:szCs w:val="28"/>
          <w:rtl/>
        </w:rPr>
        <w:t>المنهجيات والإجراءات</w:t>
      </w:r>
      <w:r w:rsidRPr="00BB194B">
        <w:rPr>
          <w:rFonts w:ascii="Sakkal Majalla" w:hAnsi="Sakkal Majalla" w:cs="Sakkal Majalla"/>
          <w:color w:val="000000" w:themeColor="text1"/>
          <w:sz w:val="28"/>
          <w:szCs w:val="28"/>
          <w:rtl/>
        </w:rPr>
        <w:t xml:space="preserve"> في إدارة المشاريع على جاهزية مشاريع التشغيل والصيانة للتحول الرقمي؟</w:t>
      </w:r>
    </w:p>
    <w:p w14:paraId="26BFE1FC" w14:textId="70546DF9" w:rsidR="003832FC" w:rsidRPr="00BB194B" w:rsidRDefault="003832FC" w:rsidP="00D93D67">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ما أثر </w:t>
      </w:r>
      <w:r w:rsidRPr="00BB194B">
        <w:rPr>
          <w:rStyle w:val="Strong"/>
          <w:rFonts w:ascii="Sakkal Majalla" w:hAnsi="Sakkal Majalla" w:cs="Sakkal Majalla"/>
          <w:b w:val="0"/>
          <w:bCs w:val="0"/>
          <w:color w:val="000000" w:themeColor="text1"/>
          <w:sz w:val="28"/>
          <w:szCs w:val="28"/>
          <w:rtl/>
        </w:rPr>
        <w:t>الهيكل التنظيمي والدعم القيادي</w:t>
      </w:r>
      <w:r w:rsidRPr="00BB194B">
        <w:rPr>
          <w:rFonts w:ascii="Sakkal Majalla" w:hAnsi="Sakkal Majalla" w:cs="Sakkal Majalla"/>
          <w:color w:val="000000" w:themeColor="text1"/>
          <w:sz w:val="28"/>
          <w:szCs w:val="28"/>
          <w:rtl/>
        </w:rPr>
        <w:t xml:space="preserve"> على جاهزية مشاريع التشغيل والصيانة للتحول الرقمي؟</w:t>
      </w:r>
    </w:p>
    <w:p w14:paraId="2A4D5717" w14:textId="720BE409" w:rsidR="003832FC" w:rsidRPr="00BB194B" w:rsidRDefault="003832FC" w:rsidP="00D93D67">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 xml:space="preserve">ما أثر </w:t>
      </w:r>
      <w:r w:rsidRPr="00BB194B">
        <w:rPr>
          <w:rStyle w:val="Strong"/>
          <w:rFonts w:ascii="Sakkal Majalla" w:hAnsi="Sakkal Majalla" w:cs="Sakkal Majalla"/>
          <w:b w:val="0"/>
          <w:bCs w:val="0"/>
          <w:color w:val="000000" w:themeColor="text1"/>
          <w:sz w:val="28"/>
          <w:szCs w:val="28"/>
          <w:rtl/>
        </w:rPr>
        <w:t>المهارات والكفاءات البشرية</w:t>
      </w:r>
      <w:r w:rsidRPr="00BB194B">
        <w:rPr>
          <w:rFonts w:ascii="Sakkal Majalla" w:hAnsi="Sakkal Majalla" w:cs="Sakkal Majalla"/>
          <w:color w:val="000000" w:themeColor="text1"/>
          <w:sz w:val="28"/>
          <w:szCs w:val="28"/>
          <w:rtl/>
        </w:rPr>
        <w:t xml:space="preserve"> في فرق المشاريع على جاهزية مشاريع التشغيل والصيانة للتحول الرقمي؟</w:t>
      </w:r>
    </w:p>
    <w:p w14:paraId="7412DF53" w14:textId="4D3833C4" w:rsidR="003832FC" w:rsidRPr="00BB194B" w:rsidRDefault="003832FC" w:rsidP="00D93D67">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ما أثر </w:t>
      </w:r>
      <w:r w:rsidRPr="00BB194B">
        <w:rPr>
          <w:rStyle w:val="Strong"/>
          <w:rFonts w:ascii="Sakkal Majalla" w:hAnsi="Sakkal Majalla" w:cs="Sakkal Majalla"/>
          <w:b w:val="0"/>
          <w:bCs w:val="0"/>
          <w:color w:val="000000" w:themeColor="text1"/>
          <w:sz w:val="28"/>
          <w:szCs w:val="28"/>
          <w:rtl/>
        </w:rPr>
        <w:t>أدوات وتقنيات إدارة المشاريع</w:t>
      </w:r>
      <w:r w:rsidRPr="00BB194B">
        <w:rPr>
          <w:rFonts w:ascii="Sakkal Majalla" w:hAnsi="Sakkal Majalla" w:cs="Sakkal Majalla"/>
          <w:color w:val="000000" w:themeColor="text1"/>
          <w:sz w:val="28"/>
          <w:szCs w:val="28"/>
          <w:rtl/>
        </w:rPr>
        <w:t xml:space="preserve"> على جاهزية مشاريع التشغيل والصيانة للتحول الرقمي؟</w:t>
      </w:r>
    </w:p>
    <w:p w14:paraId="130E686B" w14:textId="0026C1D8" w:rsidR="003832FC" w:rsidRPr="00BB194B" w:rsidRDefault="003832FC" w:rsidP="00D93D67">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ما التحديات والفجوات التي تحد من رفع مستوى الجاهزية للتحول الرقمي في مشاريع التشغيل والصيانة بوزارة المالية؟</w:t>
      </w:r>
    </w:p>
    <w:p w14:paraId="430769E8" w14:textId="2AB8D4E0" w:rsidR="007E2164" w:rsidRPr="00BB194B" w:rsidRDefault="007E2164" w:rsidP="007E216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bookmarkStart w:id="12" w:name="_Toc223401172"/>
      <w:r w:rsidRPr="00BB194B">
        <w:rPr>
          <w:rFonts w:ascii="Sakkal Majalla" w:hAnsi="Sakkal Majalla" w:cs="Sakkal Majalla"/>
          <w:b/>
          <w:bCs/>
          <w:color w:val="000000" w:themeColor="text1"/>
          <w:sz w:val="36"/>
          <w:szCs w:val="36"/>
          <w:rtl/>
        </w:rPr>
        <w:t>6.1    فروض الدراسة:</w:t>
      </w:r>
      <w:bookmarkEnd w:id="12"/>
    </w:p>
    <w:p w14:paraId="33C05A56" w14:textId="77777777" w:rsidR="007E2164" w:rsidRPr="00BB194B" w:rsidRDefault="00681671" w:rsidP="007E2164">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لتحقيق أهداف الدراسة والإجابة على تساؤلاتها يمكن  صياغة</w:t>
      </w:r>
      <w:r w:rsidRPr="00BB194B">
        <w:rPr>
          <w:rFonts w:ascii="Sakkal Majalla" w:hAnsi="Sakkal Majalla" w:cs="Sakkal Majalla"/>
          <w:b/>
          <w:bCs/>
          <w:color w:val="000000" w:themeColor="text1"/>
          <w:sz w:val="28"/>
          <w:szCs w:val="28"/>
          <w:rtl/>
          <w:lang w:bidi="ar-JO"/>
        </w:rPr>
        <w:t xml:space="preserve"> </w:t>
      </w:r>
      <w:r w:rsidRPr="00BB194B">
        <w:rPr>
          <w:rFonts w:ascii="Sakkal Majalla" w:hAnsi="Sakkal Majalla" w:cs="Sakkal Majalla"/>
          <w:b/>
          <w:bCs/>
          <w:color w:val="000000" w:themeColor="text1"/>
          <w:sz w:val="28"/>
          <w:szCs w:val="28"/>
          <w:rtl/>
        </w:rPr>
        <w:t>الفرضيات التالية</w:t>
      </w:r>
      <w:bookmarkStart w:id="13" w:name="_Toc169790500"/>
      <w:bookmarkStart w:id="14" w:name="_Toc213738495"/>
      <w:bookmarkEnd w:id="11"/>
    </w:p>
    <w:bookmarkEnd w:id="14"/>
    <w:p w14:paraId="2215191D" w14:textId="77777777" w:rsidR="007E2164" w:rsidRPr="00BB194B" w:rsidRDefault="007E2164" w:rsidP="007E2164">
      <w:pPr>
        <w:pStyle w:val="NormalWeb"/>
        <w:bidi/>
        <w:spacing w:line="360" w:lineRule="auto"/>
        <w:ind w:firstLine="706"/>
        <w:jc w:val="both"/>
        <w:rPr>
          <w:rStyle w:val="Strong"/>
          <w:rFonts w:ascii="Sakkal Majalla" w:hAnsi="Sakkal Majalla" w:cs="Sakkal Majalla"/>
          <w:b w:val="0"/>
          <w:bCs w:val="0"/>
          <w:color w:val="000000" w:themeColor="text1"/>
          <w:sz w:val="28"/>
          <w:szCs w:val="28"/>
          <w:rtl/>
        </w:rPr>
      </w:pPr>
      <w:r w:rsidRPr="00BB194B">
        <w:rPr>
          <w:rStyle w:val="Strong"/>
          <w:rFonts w:ascii="Sakkal Majalla" w:hAnsi="Sakkal Majalla" w:cs="Sakkal Majalla"/>
          <w:b w:val="0"/>
          <w:bCs w:val="0"/>
          <w:color w:val="000000" w:themeColor="text1"/>
          <w:sz w:val="28"/>
          <w:szCs w:val="28"/>
          <w:rtl/>
        </w:rPr>
        <w:t>يوجد أثر ذو دلالة إحصائية لنضج إدارة المشاريع بأبعاده على مستوى جاهزية مشاريع التشغيل والصيانة للتحول الرقمي في وزارة المالية</w:t>
      </w:r>
      <w:r w:rsidRPr="00BB194B">
        <w:rPr>
          <w:rStyle w:val="Strong"/>
          <w:rFonts w:ascii="Sakkal Majalla" w:hAnsi="Sakkal Majalla" w:cs="Sakkal Majalla"/>
          <w:b w:val="0"/>
          <w:bCs w:val="0"/>
          <w:color w:val="000000" w:themeColor="text1"/>
          <w:sz w:val="28"/>
          <w:szCs w:val="28"/>
        </w:rPr>
        <w:t>.</w:t>
      </w:r>
    </w:p>
    <w:p w14:paraId="0CF68C93" w14:textId="1E71310C" w:rsidR="007E2164" w:rsidRPr="00BB194B" w:rsidRDefault="007E2164" w:rsidP="007E2164">
      <w:pPr>
        <w:pStyle w:val="NormalWeb"/>
        <w:bidi/>
        <w:spacing w:line="360" w:lineRule="auto"/>
        <w:jc w:val="both"/>
        <w:rPr>
          <w:rStyle w:val="Strong"/>
          <w:rFonts w:ascii="Sakkal Majalla" w:hAnsi="Sakkal Majalla" w:cs="Sakkal Majalla"/>
          <w:color w:val="000000" w:themeColor="text1"/>
          <w:sz w:val="32"/>
          <w:szCs w:val="32"/>
          <w:rtl/>
        </w:rPr>
      </w:pPr>
      <w:r w:rsidRPr="00BB194B">
        <w:rPr>
          <w:rStyle w:val="Strong"/>
          <w:rFonts w:ascii="Sakkal Majalla" w:hAnsi="Sakkal Majalla" w:cs="Sakkal Majalla"/>
          <w:color w:val="000000" w:themeColor="text1"/>
          <w:sz w:val="32"/>
          <w:szCs w:val="32"/>
          <w:rtl/>
        </w:rPr>
        <w:t>الفروض الفرعية</w:t>
      </w:r>
    </w:p>
    <w:p w14:paraId="2DACBD5E" w14:textId="2069F475" w:rsidR="00A65AA5" w:rsidRPr="00BB194B" w:rsidRDefault="00A65AA5" w:rsidP="00D93D67">
      <w:pPr>
        <w:pStyle w:val="NormalWeb"/>
        <w:numPr>
          <w:ilvl w:val="0"/>
          <w:numId w:val="9"/>
        </w:numPr>
        <w:bidi/>
        <w:spacing w:line="360" w:lineRule="auto"/>
        <w:ind w:left="423"/>
        <w:jc w:val="both"/>
        <w:rPr>
          <w:rStyle w:val="Strong"/>
          <w:rFonts w:ascii="Sakkal Majalla" w:hAnsi="Sakkal Majalla" w:cs="Sakkal Majalla"/>
          <w:b w:val="0"/>
          <w:bCs w:val="0"/>
          <w:color w:val="000000" w:themeColor="text1"/>
          <w:sz w:val="28"/>
          <w:szCs w:val="28"/>
          <w:rtl/>
        </w:rPr>
      </w:pPr>
      <w:r w:rsidRPr="00BB194B">
        <w:rPr>
          <w:rStyle w:val="Strong"/>
          <w:rFonts w:ascii="Sakkal Majalla" w:hAnsi="Sakkal Majalla" w:cs="Sakkal Majalla"/>
          <w:b w:val="0"/>
          <w:bCs w:val="0"/>
          <w:color w:val="000000" w:themeColor="text1"/>
          <w:sz w:val="28"/>
          <w:szCs w:val="28"/>
        </w:rPr>
        <w:t xml:space="preserve">H1-1: </w:t>
      </w:r>
      <w:r w:rsidR="003832FC" w:rsidRPr="00BB194B">
        <w:rPr>
          <w:rStyle w:val="Strong"/>
          <w:rFonts w:ascii="Sakkal Majalla" w:hAnsi="Sakkal Majalla" w:cs="Sakkal Majalla"/>
          <w:b w:val="0"/>
          <w:bCs w:val="0"/>
          <w:color w:val="000000" w:themeColor="text1"/>
          <w:sz w:val="28"/>
          <w:szCs w:val="28"/>
          <w:rtl/>
        </w:rPr>
        <w:t>يوجد أثر ذو دلالة إحصائية لبعد المنهجيات والإجراءات في إدارة المشاريع على جاهزية مشاريع التشغيل والصيانة للتحول الرقمي في وزارة المالية</w:t>
      </w:r>
      <w:r w:rsidRPr="00BB194B">
        <w:rPr>
          <w:rStyle w:val="Strong"/>
          <w:rFonts w:ascii="Sakkal Majalla" w:hAnsi="Sakkal Majalla" w:cs="Sakkal Majalla"/>
          <w:b w:val="0"/>
          <w:bCs w:val="0"/>
          <w:color w:val="000000" w:themeColor="text1"/>
          <w:sz w:val="28"/>
          <w:szCs w:val="28"/>
        </w:rPr>
        <w:t>.</w:t>
      </w:r>
    </w:p>
    <w:p w14:paraId="55CDCB10" w14:textId="0E393A48" w:rsidR="00A65AA5" w:rsidRPr="00BB194B" w:rsidRDefault="00A65AA5" w:rsidP="00D93D67">
      <w:pPr>
        <w:pStyle w:val="NormalWeb"/>
        <w:numPr>
          <w:ilvl w:val="0"/>
          <w:numId w:val="9"/>
        </w:numPr>
        <w:bidi/>
        <w:spacing w:line="360" w:lineRule="auto"/>
        <w:ind w:left="423"/>
        <w:jc w:val="both"/>
        <w:rPr>
          <w:rStyle w:val="Strong"/>
          <w:rFonts w:ascii="Sakkal Majalla" w:hAnsi="Sakkal Majalla" w:cs="Sakkal Majalla"/>
          <w:b w:val="0"/>
          <w:bCs w:val="0"/>
          <w:color w:val="000000" w:themeColor="text1"/>
          <w:sz w:val="28"/>
          <w:szCs w:val="28"/>
          <w:rtl/>
        </w:rPr>
      </w:pPr>
      <w:r w:rsidRPr="00BB194B">
        <w:rPr>
          <w:rStyle w:val="Strong"/>
          <w:rFonts w:ascii="Sakkal Majalla" w:hAnsi="Sakkal Majalla" w:cs="Sakkal Majalla"/>
          <w:b w:val="0"/>
          <w:bCs w:val="0"/>
          <w:color w:val="000000" w:themeColor="text1"/>
          <w:sz w:val="28"/>
          <w:szCs w:val="28"/>
        </w:rPr>
        <w:t xml:space="preserve">H1-2: </w:t>
      </w:r>
      <w:r w:rsidR="003832FC" w:rsidRPr="00BB194B">
        <w:rPr>
          <w:rStyle w:val="Strong"/>
          <w:rFonts w:ascii="Sakkal Majalla" w:hAnsi="Sakkal Majalla" w:cs="Sakkal Majalla"/>
          <w:b w:val="0"/>
          <w:bCs w:val="0"/>
          <w:color w:val="000000" w:themeColor="text1"/>
          <w:sz w:val="28"/>
          <w:szCs w:val="28"/>
          <w:rtl/>
        </w:rPr>
        <w:t>يوجد أثر ذو دلالة إحصائية لبعد الهيكل التنظيمي والدعم القيادي على جاهزية مشاريع التشغيل والصيانة للتحول الرقمي في وزارة المالية</w:t>
      </w:r>
      <w:proofErr w:type="gramStart"/>
      <w:r w:rsidR="003832FC" w:rsidRPr="00BB194B">
        <w:rPr>
          <w:rStyle w:val="Strong"/>
          <w:rFonts w:ascii="Sakkal Majalla" w:hAnsi="Sakkal Majalla" w:cs="Sakkal Majalla"/>
          <w:b w:val="0"/>
          <w:bCs w:val="0"/>
          <w:color w:val="000000" w:themeColor="text1"/>
          <w:sz w:val="28"/>
          <w:szCs w:val="28"/>
          <w:rtl/>
        </w:rPr>
        <w:t>.</w:t>
      </w:r>
      <w:r w:rsidRPr="00BB194B">
        <w:rPr>
          <w:rStyle w:val="Strong"/>
          <w:rFonts w:ascii="Sakkal Majalla" w:hAnsi="Sakkal Majalla" w:cs="Sakkal Majalla"/>
          <w:b w:val="0"/>
          <w:bCs w:val="0"/>
          <w:color w:val="000000" w:themeColor="text1"/>
          <w:sz w:val="28"/>
          <w:szCs w:val="28"/>
        </w:rPr>
        <w:t>.</w:t>
      </w:r>
      <w:proofErr w:type="gramEnd"/>
    </w:p>
    <w:p w14:paraId="75E7798D" w14:textId="16A89DAA" w:rsidR="00A65AA5" w:rsidRPr="00BB194B" w:rsidRDefault="00A65AA5" w:rsidP="00D93D67">
      <w:pPr>
        <w:pStyle w:val="NormalWeb"/>
        <w:numPr>
          <w:ilvl w:val="0"/>
          <w:numId w:val="9"/>
        </w:numPr>
        <w:bidi/>
        <w:spacing w:line="360" w:lineRule="auto"/>
        <w:ind w:left="423"/>
        <w:jc w:val="both"/>
        <w:rPr>
          <w:rStyle w:val="Strong"/>
          <w:rFonts w:ascii="Sakkal Majalla" w:hAnsi="Sakkal Majalla" w:cs="Sakkal Majalla"/>
          <w:b w:val="0"/>
          <w:bCs w:val="0"/>
          <w:color w:val="000000" w:themeColor="text1"/>
          <w:sz w:val="28"/>
          <w:szCs w:val="28"/>
          <w:rtl/>
        </w:rPr>
      </w:pPr>
      <w:r w:rsidRPr="00BB194B">
        <w:rPr>
          <w:rStyle w:val="Strong"/>
          <w:rFonts w:ascii="Sakkal Majalla" w:hAnsi="Sakkal Majalla" w:cs="Sakkal Majalla"/>
          <w:b w:val="0"/>
          <w:bCs w:val="0"/>
          <w:color w:val="000000" w:themeColor="text1"/>
          <w:sz w:val="28"/>
          <w:szCs w:val="28"/>
        </w:rPr>
        <w:t xml:space="preserve">H1-3: </w:t>
      </w:r>
      <w:r w:rsidR="003832FC" w:rsidRPr="00BB194B">
        <w:rPr>
          <w:rStyle w:val="Strong"/>
          <w:rFonts w:ascii="Sakkal Majalla" w:hAnsi="Sakkal Majalla" w:cs="Sakkal Majalla"/>
          <w:b w:val="0"/>
          <w:bCs w:val="0"/>
          <w:color w:val="000000" w:themeColor="text1"/>
          <w:sz w:val="28"/>
          <w:szCs w:val="28"/>
          <w:rtl/>
        </w:rPr>
        <w:t>يوجد أثر ذو دلالة إحصائية لبعد المهارات والكفاءات البشرية على جاهزية مشاريع التشغيل والصيانة للتحول الرقمي في وزارة المالية</w:t>
      </w:r>
      <w:r w:rsidRPr="00BB194B">
        <w:rPr>
          <w:rStyle w:val="Strong"/>
          <w:rFonts w:ascii="Sakkal Majalla" w:hAnsi="Sakkal Majalla" w:cs="Sakkal Majalla"/>
          <w:b w:val="0"/>
          <w:bCs w:val="0"/>
          <w:color w:val="000000" w:themeColor="text1"/>
          <w:sz w:val="28"/>
          <w:szCs w:val="28"/>
        </w:rPr>
        <w:t>.</w:t>
      </w:r>
    </w:p>
    <w:p w14:paraId="45904484" w14:textId="59A98EF4" w:rsidR="00A65AA5" w:rsidRPr="00BB194B" w:rsidRDefault="00A65AA5" w:rsidP="00D93D67">
      <w:pPr>
        <w:pStyle w:val="NormalWeb"/>
        <w:numPr>
          <w:ilvl w:val="0"/>
          <w:numId w:val="9"/>
        </w:numPr>
        <w:bidi/>
        <w:spacing w:line="360" w:lineRule="auto"/>
        <w:ind w:left="423"/>
        <w:jc w:val="both"/>
        <w:rPr>
          <w:rStyle w:val="Strong"/>
          <w:rFonts w:ascii="Sakkal Majalla" w:hAnsi="Sakkal Majalla" w:cs="Sakkal Majalla"/>
          <w:b w:val="0"/>
          <w:bCs w:val="0"/>
          <w:color w:val="000000" w:themeColor="text1"/>
          <w:sz w:val="28"/>
          <w:szCs w:val="28"/>
          <w:rtl/>
        </w:rPr>
      </w:pPr>
      <w:r w:rsidRPr="00BB194B">
        <w:rPr>
          <w:rStyle w:val="Strong"/>
          <w:rFonts w:ascii="Sakkal Majalla" w:hAnsi="Sakkal Majalla" w:cs="Sakkal Majalla"/>
          <w:b w:val="0"/>
          <w:bCs w:val="0"/>
          <w:color w:val="000000" w:themeColor="text1"/>
          <w:sz w:val="28"/>
          <w:szCs w:val="28"/>
        </w:rPr>
        <w:t xml:space="preserve">H1-4: </w:t>
      </w:r>
      <w:r w:rsidR="003832FC" w:rsidRPr="00BB194B">
        <w:rPr>
          <w:rStyle w:val="Strong"/>
          <w:rFonts w:ascii="Sakkal Majalla" w:hAnsi="Sakkal Majalla" w:cs="Sakkal Majalla"/>
          <w:b w:val="0"/>
          <w:bCs w:val="0"/>
          <w:color w:val="000000" w:themeColor="text1"/>
          <w:sz w:val="28"/>
          <w:szCs w:val="28"/>
          <w:rtl/>
        </w:rPr>
        <w:t>يوجد أثر ذو دلالة إحصائية لبعد أدوات وتقنيات إدارة المشاريع على جاهزية مشاريع التشغيل والصيانة للتحول الرقمي في وزارة المالية</w:t>
      </w:r>
      <w:r w:rsidRPr="00BB194B">
        <w:rPr>
          <w:rStyle w:val="Strong"/>
          <w:rFonts w:ascii="Sakkal Majalla" w:hAnsi="Sakkal Majalla" w:cs="Sakkal Majalla"/>
          <w:b w:val="0"/>
          <w:bCs w:val="0"/>
          <w:color w:val="000000" w:themeColor="text1"/>
          <w:sz w:val="28"/>
          <w:szCs w:val="28"/>
        </w:rPr>
        <w:t>.</w:t>
      </w:r>
    </w:p>
    <w:p w14:paraId="25B95624" w14:textId="163BB36C" w:rsidR="007E2164" w:rsidRPr="00BB194B" w:rsidRDefault="007E2164" w:rsidP="007E2164">
      <w:pPr>
        <w:spacing w:before="100" w:beforeAutospacing="1" w:after="100" w:afterAutospacing="1"/>
        <w:outlineLvl w:val="1"/>
        <w:rPr>
          <w:rFonts w:ascii="Sakkal Majalla" w:hAnsi="Sakkal Majalla" w:cs="Sakkal Majalla"/>
          <w:b/>
          <w:bCs/>
          <w:color w:val="000000" w:themeColor="text1"/>
          <w:sz w:val="36"/>
          <w:szCs w:val="36"/>
          <w:rtl/>
        </w:rPr>
      </w:pPr>
      <w:bookmarkStart w:id="15" w:name="_Toc170243312"/>
      <w:bookmarkEnd w:id="13"/>
      <w:r w:rsidRPr="00BB194B">
        <w:rPr>
          <w:rFonts w:ascii="Sakkal Majalla" w:hAnsi="Sakkal Majalla" w:cs="Sakkal Majalla"/>
          <w:b/>
          <w:bCs/>
          <w:color w:val="000000" w:themeColor="text1"/>
          <w:sz w:val="36"/>
          <w:szCs w:val="36"/>
          <w:rtl/>
        </w:rPr>
        <w:br w:type="page"/>
      </w:r>
      <w:bookmarkStart w:id="16" w:name="_Toc223401173"/>
      <w:r w:rsidRPr="00BB194B">
        <w:rPr>
          <w:rFonts w:ascii="Sakkal Majalla" w:hAnsi="Sakkal Majalla" w:cs="Sakkal Majalla" w:hint="cs"/>
          <w:b/>
          <w:bCs/>
          <w:color w:val="000000" w:themeColor="text1"/>
          <w:sz w:val="36"/>
          <w:szCs w:val="36"/>
          <w:rtl/>
        </w:rPr>
        <w:lastRenderedPageBreak/>
        <w:t xml:space="preserve">7.1 </w:t>
      </w:r>
      <w:r w:rsidRPr="00BB194B">
        <w:rPr>
          <w:rFonts w:ascii="Sakkal Majalla" w:hAnsi="Sakkal Majalla" w:cs="Sakkal Majalla"/>
          <w:b/>
          <w:bCs/>
          <w:color w:val="000000" w:themeColor="text1"/>
          <w:sz w:val="36"/>
          <w:szCs w:val="36"/>
          <w:rtl/>
        </w:rPr>
        <w:t>الدراسات السابقة:</w:t>
      </w:r>
      <w:bookmarkEnd w:id="16"/>
    </w:p>
    <w:p w14:paraId="24293845" w14:textId="77777777" w:rsidR="00485A30" w:rsidRPr="00BB194B" w:rsidRDefault="00E3001E"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دراسة</w:t>
      </w:r>
      <w:r w:rsidR="00485A30" w:rsidRPr="00BB194B">
        <w:rPr>
          <w:rFonts w:ascii="Sakkal Majalla" w:hAnsi="Sakkal Majalla" w:cs="Sakkal Majalla"/>
          <w:b/>
          <w:bCs/>
          <w:color w:val="000000" w:themeColor="text1"/>
          <w:sz w:val="28"/>
          <w:szCs w:val="28"/>
        </w:rPr>
        <w:t xml:space="preserve"> (Chen et al., 2025)</w:t>
      </w:r>
    </w:p>
    <w:p w14:paraId="760FA368" w14:textId="4E7CC89E" w:rsidR="002328EB" w:rsidRPr="00BB194B" w:rsidRDefault="0050030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هدفت الدراسة إلى التعرف على العلاقة بين التحول الرقمي وإدارة المشاريع بأبعاده المختلفة، وتأثيره على آليات تنفيذ وإدارة المشاريع في البيئات المعتمدة على المشاريع. واستخدمت الدراسة المنهج المنهجي التحليلي (المراجعة المنهجية) من خلال تحليل محتوى (66) دراسة علمية تناولت موضوع التحول الرقمي في إدارة المشاريع. وتوصلت نتائج الدراسة إلى وجود تداخل قوي بين التحول الرقمي وممارسات إدارة المشاريع، يتمثل في دور القيادة والحوكمة، وتكامل الأدوات الرقمية، والاختلافات المرتبطة بطبيعة القطاعات والمشروعات. وأوصت الدراسة بضرورة تعزيز دمج الأدوات والتقنيات الرقمية داخل منهجيات إدارة المشاريع، وتفعيل دور القيادة الإستراتيجية والحوكمة الرقمية، ودعم توجهات البحث القطاعي لتطوير فهم أعمق لمسارات التحول الرقمي في سياقات مختلفة.</w:t>
      </w:r>
    </w:p>
    <w:p w14:paraId="17D116C0" w14:textId="087A60F5" w:rsidR="00D76CFA" w:rsidRPr="00BB194B" w:rsidRDefault="00E3001E"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دراسة</w:t>
      </w:r>
      <w:r w:rsidR="00A81B3B" w:rsidRPr="00BB194B">
        <w:rPr>
          <w:rFonts w:ascii="Sakkal Majalla" w:eastAsia="Times New Roman" w:hAnsi="Sakkal Majalla" w:cs="Sakkal Majalla"/>
          <w:b/>
          <w:bCs/>
          <w:color w:val="000000" w:themeColor="text1"/>
          <w:kern w:val="0"/>
          <w:sz w:val="28"/>
          <w:szCs w:val="28"/>
          <w14:ligatures w14:val="none"/>
        </w:rPr>
        <w:t xml:space="preserve"> </w:t>
      </w:r>
      <w:r w:rsidR="00485A30" w:rsidRPr="00BB194B">
        <w:rPr>
          <w:rFonts w:ascii="Sakkal Majalla" w:hAnsi="Sakkal Majalla" w:cs="Sakkal Majalla"/>
          <w:b/>
          <w:bCs/>
          <w:color w:val="000000" w:themeColor="text1"/>
          <w:sz w:val="28"/>
          <w:szCs w:val="28"/>
        </w:rPr>
        <w:t xml:space="preserve">(Crespo </w:t>
      </w:r>
      <w:proofErr w:type="spellStart"/>
      <w:r w:rsidR="00485A30" w:rsidRPr="00BB194B">
        <w:rPr>
          <w:rFonts w:ascii="Sakkal Majalla" w:hAnsi="Sakkal Majalla" w:cs="Sakkal Majalla"/>
          <w:b/>
          <w:bCs/>
          <w:color w:val="000000" w:themeColor="text1"/>
          <w:sz w:val="28"/>
          <w:szCs w:val="28"/>
        </w:rPr>
        <w:t>Márquez</w:t>
      </w:r>
      <w:proofErr w:type="spellEnd"/>
      <w:r w:rsidR="00485A30" w:rsidRPr="00BB194B">
        <w:rPr>
          <w:rFonts w:ascii="Sakkal Majalla" w:hAnsi="Sakkal Majalla" w:cs="Sakkal Majalla"/>
          <w:b/>
          <w:bCs/>
          <w:color w:val="000000" w:themeColor="text1"/>
          <w:sz w:val="28"/>
          <w:szCs w:val="28"/>
        </w:rPr>
        <w:t xml:space="preserve"> &amp; Matsuda, 2024)</w:t>
      </w:r>
    </w:p>
    <w:p w14:paraId="4BAEA9AF" w14:textId="3C06DF6C" w:rsidR="00936AB7" w:rsidRPr="00BB194B" w:rsidRDefault="00485A30"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هدفت الدراسة إلى التعرّف على التحول الرقمي بأبعاده المختلفة على تحسين عمليات الصيانة وإدارة الأصول في المنظمات، وذلك في إطار مشروع </w:t>
      </w:r>
      <w:r w:rsidRPr="00BB194B">
        <w:rPr>
          <w:rFonts w:ascii="Sakkal Majalla" w:hAnsi="Sakkal Majalla" w:cs="Sakkal Majalla"/>
          <w:color w:val="000000" w:themeColor="text1"/>
          <w:sz w:val="28"/>
          <w:szCs w:val="28"/>
        </w:rPr>
        <w:t>GFMAM</w:t>
      </w:r>
      <w:r w:rsidRPr="00BB194B">
        <w:rPr>
          <w:rFonts w:ascii="Sakkal Majalla" w:hAnsi="Sakkal Majalla" w:cs="Sakkal Majalla"/>
          <w:color w:val="000000" w:themeColor="text1"/>
          <w:sz w:val="28"/>
          <w:szCs w:val="28"/>
          <w:rtl/>
        </w:rPr>
        <w:t xml:space="preserve"> الهادف إلى فهم التحديات والفرص التي يفرضها التحول الرقمي في هذا المجال. واستخدمت الدراسة المنهج الوصفي التحليلي، من خلال مسح ميداني شمل متخصصين وممارسين في قطاعات متنوعة لمعرفة مستوى الجاهزية الرقمية والمعوقات القائمة. وتوصلت نتائج الدراسة إلى أن البيانات والتحليلات والامتثال والمعرفة البشرية والإدارة الشاملة لدورة حياة الأصل تلعب دورًا محوريًا في نجاح التحول الرقمي في الصيانة وإدارة الأصول، وأن تبني الابتكار ومواءمة الاستراتيجيات التنظيمية يعدّان شرطًا أساسياً للاستفادة من فرص التحول الرقمي. وأوصت الدراسة بضرورة تعزيز جاهزية الموارد البشرية، وتطوير نظم البيانات والتحليلات، وتبني إرشادات حوكمة واضحة لكل دور وظيفي داخل المنظمة لدعم نجاح التحول الرقمي.</w:t>
      </w:r>
    </w:p>
    <w:p w14:paraId="7E10C586" w14:textId="3611AC58" w:rsidR="007E2164" w:rsidRPr="00BB194B" w:rsidRDefault="007E2164" w:rsidP="00D93D67">
      <w:pPr>
        <w:pStyle w:val="ListParagraph"/>
        <w:numPr>
          <w:ilvl w:val="0"/>
          <w:numId w:val="10"/>
        </w:numPr>
        <w:ind w:left="423"/>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br w:type="page"/>
      </w:r>
      <w:r w:rsidRPr="00BB194B">
        <w:rPr>
          <w:rFonts w:ascii="Sakkal Majalla" w:hAnsi="Sakkal Majalla" w:cs="Sakkal Majalla"/>
          <w:b/>
          <w:bCs/>
          <w:color w:val="000000" w:themeColor="text1"/>
          <w:sz w:val="28"/>
          <w:szCs w:val="28"/>
          <w:rtl/>
        </w:rPr>
        <w:lastRenderedPageBreak/>
        <w:t xml:space="preserve">دراسة </w:t>
      </w:r>
      <w:r w:rsidRPr="00BB194B">
        <w:rPr>
          <w:rFonts w:ascii="Sakkal Majalla" w:hAnsi="Sakkal Majalla" w:cs="Sakkal Majalla"/>
          <w:b/>
          <w:bCs/>
          <w:color w:val="000000" w:themeColor="text1"/>
          <w:sz w:val="28"/>
          <w:szCs w:val="28"/>
        </w:rPr>
        <w:t>(</w:t>
      </w:r>
      <w:proofErr w:type="spellStart"/>
      <w:r w:rsidRPr="00BB194B">
        <w:rPr>
          <w:rFonts w:ascii="Sakkal Majalla" w:hAnsi="Sakkal Majalla" w:cs="Sakkal Majalla"/>
          <w:b/>
          <w:bCs/>
          <w:color w:val="000000" w:themeColor="text1"/>
          <w:sz w:val="28"/>
          <w:szCs w:val="28"/>
        </w:rPr>
        <w:t>Khasawneh</w:t>
      </w:r>
      <w:proofErr w:type="spellEnd"/>
      <w:r w:rsidRPr="00BB194B">
        <w:rPr>
          <w:rFonts w:ascii="Sakkal Majalla" w:hAnsi="Sakkal Majalla" w:cs="Sakkal Majalla"/>
          <w:b/>
          <w:bCs/>
          <w:color w:val="000000" w:themeColor="text1"/>
          <w:sz w:val="28"/>
          <w:szCs w:val="28"/>
        </w:rPr>
        <w:t xml:space="preserve"> &amp; </w:t>
      </w:r>
      <w:proofErr w:type="spellStart"/>
      <w:r w:rsidRPr="00BB194B">
        <w:rPr>
          <w:rFonts w:ascii="Sakkal Majalla" w:hAnsi="Sakkal Majalla" w:cs="Sakkal Majalla"/>
          <w:b/>
          <w:bCs/>
          <w:color w:val="000000" w:themeColor="text1"/>
          <w:sz w:val="28"/>
          <w:szCs w:val="28"/>
        </w:rPr>
        <w:t>Dweiri</w:t>
      </w:r>
      <w:proofErr w:type="spellEnd"/>
      <w:r w:rsidRPr="00BB194B">
        <w:rPr>
          <w:rFonts w:ascii="Sakkal Majalla" w:hAnsi="Sakkal Majalla" w:cs="Sakkal Majalla"/>
          <w:b/>
          <w:bCs/>
          <w:color w:val="000000" w:themeColor="text1"/>
          <w:sz w:val="28"/>
          <w:szCs w:val="28"/>
        </w:rPr>
        <w:t>, 2024)</w:t>
      </w:r>
    </w:p>
    <w:p w14:paraId="64768F40" w14:textId="77777777"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أثر البنية التحتية الرقمية بأبعادها (الجاهزية الرقمية، الملاءمة الرقمية، الأدوات الرقمية) على نجاح إدارة المشاريع في المنظمات. واستخدمت الدراسة المنهج الوصفي التحليلي من خلال مراجعة الأدبيات وبناء إطار تقييم تطبيقي، كما اعتمدت على تحليل متعدد المعايير (</w:t>
      </w:r>
      <w:r w:rsidRPr="00BB194B">
        <w:rPr>
          <w:rFonts w:ascii="Sakkal Majalla" w:hAnsi="Sakkal Majalla" w:cs="Sakkal Majalla"/>
          <w:color w:val="000000" w:themeColor="text1"/>
          <w:sz w:val="28"/>
          <w:szCs w:val="28"/>
        </w:rPr>
        <w:t>MCA</w:t>
      </w:r>
      <w:r w:rsidRPr="00BB194B">
        <w:rPr>
          <w:rFonts w:ascii="Sakkal Majalla" w:hAnsi="Sakkal Majalla" w:cs="Sakkal Majalla"/>
          <w:color w:val="000000" w:themeColor="text1"/>
          <w:sz w:val="28"/>
          <w:szCs w:val="28"/>
          <w:rtl/>
        </w:rPr>
        <w:t xml:space="preserve">) باستخدام المدخل الهجين </w:t>
      </w:r>
      <w:r w:rsidRPr="00BB194B">
        <w:rPr>
          <w:rFonts w:ascii="Sakkal Majalla" w:hAnsi="Sakkal Majalla" w:cs="Sakkal Majalla"/>
          <w:color w:val="000000" w:themeColor="text1"/>
          <w:sz w:val="28"/>
          <w:szCs w:val="28"/>
        </w:rPr>
        <w:t>FAHP-FTOPSIS</w:t>
      </w:r>
      <w:r w:rsidRPr="00BB194B">
        <w:rPr>
          <w:rFonts w:ascii="Sakkal Majalla" w:hAnsi="Sakkal Majalla" w:cs="Sakkal Majalla"/>
          <w:color w:val="000000" w:themeColor="text1"/>
          <w:sz w:val="28"/>
          <w:szCs w:val="28"/>
          <w:rtl/>
        </w:rPr>
        <w:t xml:space="preserve"> لترتيب عناصر البنية التحتية الرقمية وفق أهميتها في تحقيق نجاح إدارة المشاريع، دون الاعتماد على عينة بشرية مباشرة. وتوصلت النتائج إلى أن الأدوات الرقمية جاءت في المرتبة الأولى بأعلى تأثير (0.8525) تليها الملاءمة الرقمية (0.6481) ثم الجاهزية الرقمية (0.1602)، مما يشير إلى أن امتلاك أدوات وتقنيات رقمية فعّالة يفوق مجرد الاستعداد أو الوعي الرقمي في تحقيق نجاح المشاريع. وأوصت الدراسة بضرورة تعزيز الاستثمار في الأدوات الرقمية الداعمة لإدارة المشاريع، وتنمية القدرات الرقمية للعاملين، وتبني استراتيجيات تضمن مواءمة البنية الرقمية مع متطلبات تنفيذ المشاريع.</w:t>
      </w:r>
    </w:p>
    <w:p w14:paraId="2DEEA11D" w14:textId="77777777" w:rsidR="007E2164" w:rsidRPr="00BB194B" w:rsidRDefault="007E2164"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دراسة</w:t>
      </w:r>
      <w:r w:rsidRPr="00BB194B">
        <w:rPr>
          <w:rFonts w:ascii="Sakkal Majalla" w:hAnsi="Sakkal Majalla" w:cs="Sakkal Majalla"/>
          <w:b/>
          <w:bCs/>
          <w:color w:val="000000" w:themeColor="text1"/>
          <w:sz w:val="28"/>
          <w:szCs w:val="28"/>
        </w:rPr>
        <w:t xml:space="preserve"> </w:t>
      </w:r>
      <w:r w:rsidRPr="00BB194B">
        <w:rPr>
          <w:rFonts w:ascii="Sakkal Majalla" w:eastAsia="Times New Roman" w:hAnsi="Sakkal Majalla" w:cs="Sakkal Majalla"/>
          <w:b/>
          <w:bCs/>
          <w:color w:val="000000" w:themeColor="text1"/>
          <w:kern w:val="0"/>
          <w:sz w:val="28"/>
          <w:szCs w:val="28"/>
          <w14:ligatures w14:val="none"/>
        </w:rPr>
        <w:t>(</w:t>
      </w:r>
      <w:proofErr w:type="spellStart"/>
      <w:r w:rsidRPr="00BB194B">
        <w:rPr>
          <w:rFonts w:ascii="Sakkal Majalla" w:eastAsia="Times New Roman" w:hAnsi="Sakkal Majalla" w:cs="Sakkal Majalla"/>
          <w:b/>
          <w:bCs/>
          <w:color w:val="000000" w:themeColor="text1"/>
          <w:kern w:val="0"/>
          <w:sz w:val="28"/>
          <w:szCs w:val="28"/>
          <w14:ligatures w14:val="none"/>
        </w:rPr>
        <w:t>Tashkinov</w:t>
      </w:r>
      <w:proofErr w:type="spellEnd"/>
      <w:r w:rsidRPr="00BB194B">
        <w:rPr>
          <w:rFonts w:ascii="Sakkal Majalla" w:eastAsia="Times New Roman" w:hAnsi="Sakkal Majalla" w:cs="Sakkal Majalla"/>
          <w:b/>
          <w:bCs/>
          <w:color w:val="000000" w:themeColor="text1"/>
          <w:kern w:val="0"/>
          <w:sz w:val="28"/>
          <w:szCs w:val="28"/>
          <w14:ligatures w14:val="none"/>
        </w:rPr>
        <w:t>, 2024)</w:t>
      </w:r>
    </w:p>
    <w:p w14:paraId="36A7A57C" w14:textId="77777777" w:rsidR="007E2164" w:rsidRPr="00BB194B" w:rsidRDefault="007E2164" w:rsidP="007E2164">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استراتيجية التحول الرقمي بأبعادها المختلفة في دعم وتحسين أداء المؤسسات الصناعية من خلال تطوير خارطة طريق تساعد على تحسين الإنتاج واللوجستيات وخدمة العملاء باستخدام التقنيات الرقمية. واستخدمت الدراسة المنهج الوصفي التحليلي بالاعتماد على تحليل الأدبيات والنماذج التطبيقية للتحول الرقمي دون عينة ميدانية مباشرة. وتوصلت النتائج إلى أن تطبيق التقنيات الرقمية مع تبني المنهجيات المرنة وممارسات التصنيع الرشيق يسهم في زيادة سرعة الاستجابة لاحتياجات السوق، وتحسين جودة المنتجات والخدمات، وتقليل الهدر وتعزيز الابتكار المستمر داخل المؤسسة. وأوصت الدراسة بضرورة تبني ثقافة رقمية داعمة للتغيير، وتطوير قدرات العاملين، وتكامل التقنيات الحديثة مثل الذكاء الاصطناعي والحوسبة السحابية وإنترنت الأشياء الصناعي، لضمان تحقيق قيمة مضافة حقيقية للعملاء.</w:t>
      </w:r>
    </w:p>
    <w:p w14:paraId="198CC83D" w14:textId="2DB13AD1" w:rsidR="007E2164" w:rsidRPr="00BB194B" w:rsidRDefault="007E2164" w:rsidP="00D93D67">
      <w:pPr>
        <w:pStyle w:val="ListParagraph"/>
        <w:numPr>
          <w:ilvl w:val="0"/>
          <w:numId w:val="10"/>
        </w:numPr>
        <w:ind w:left="423"/>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br w:type="page"/>
      </w:r>
      <w:r w:rsidRPr="00BB194B">
        <w:rPr>
          <w:rFonts w:ascii="Sakkal Majalla" w:hAnsi="Sakkal Majalla" w:cs="Sakkal Majalla"/>
          <w:b/>
          <w:bCs/>
          <w:color w:val="000000" w:themeColor="text1"/>
          <w:sz w:val="28"/>
          <w:szCs w:val="28"/>
          <w:rtl/>
        </w:rPr>
        <w:lastRenderedPageBreak/>
        <w:t xml:space="preserve">دراسة </w:t>
      </w:r>
      <w:r w:rsidRPr="00BB194B">
        <w:rPr>
          <w:rFonts w:ascii="Sakkal Majalla" w:hAnsi="Sakkal Majalla" w:cs="Sakkal Majalla"/>
          <w:b/>
          <w:bCs/>
          <w:color w:val="000000" w:themeColor="text1"/>
          <w:sz w:val="28"/>
          <w:szCs w:val="28"/>
        </w:rPr>
        <w:t>(</w:t>
      </w:r>
      <w:proofErr w:type="spellStart"/>
      <w:r w:rsidRPr="00BB194B">
        <w:rPr>
          <w:rFonts w:ascii="Sakkal Majalla" w:hAnsi="Sakkal Majalla" w:cs="Sakkal Majalla"/>
          <w:b/>
          <w:bCs/>
          <w:color w:val="000000" w:themeColor="text1"/>
          <w:sz w:val="28"/>
          <w:szCs w:val="28"/>
        </w:rPr>
        <w:t>Egie</w:t>
      </w:r>
      <w:proofErr w:type="spellEnd"/>
      <w:r w:rsidRPr="00BB194B">
        <w:rPr>
          <w:rFonts w:ascii="Sakkal Majalla" w:hAnsi="Sakkal Majalla" w:cs="Sakkal Majalla"/>
          <w:b/>
          <w:bCs/>
          <w:color w:val="000000" w:themeColor="text1"/>
          <w:sz w:val="28"/>
          <w:szCs w:val="28"/>
        </w:rPr>
        <w:t>, 2024)</w:t>
      </w:r>
    </w:p>
    <w:p w14:paraId="48EA98A9" w14:textId="77777777"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مستوى نضج إدارة المشاريع بأبعاده المختلفة في قسم إدارة علاقات العملاء (</w:t>
      </w:r>
      <w:r w:rsidRPr="00BB194B">
        <w:rPr>
          <w:rFonts w:ascii="Sakkal Majalla" w:hAnsi="Sakkal Majalla" w:cs="Sakkal Majalla"/>
          <w:color w:val="000000" w:themeColor="text1"/>
          <w:sz w:val="28"/>
          <w:szCs w:val="28"/>
        </w:rPr>
        <w:t>CRM</w:t>
      </w:r>
      <w:r w:rsidRPr="00BB194B">
        <w:rPr>
          <w:rFonts w:ascii="Sakkal Majalla" w:hAnsi="Sakkal Majalla" w:cs="Sakkal Majalla"/>
          <w:color w:val="000000" w:themeColor="text1"/>
          <w:sz w:val="28"/>
          <w:szCs w:val="28"/>
          <w:rtl/>
        </w:rPr>
        <w:t xml:space="preserve">) بشركة </w:t>
      </w:r>
      <w:r w:rsidRPr="00BB194B">
        <w:rPr>
          <w:rFonts w:ascii="Sakkal Majalla" w:hAnsi="Sakkal Majalla" w:cs="Sakkal Majalla"/>
          <w:color w:val="000000" w:themeColor="text1"/>
          <w:sz w:val="28"/>
          <w:szCs w:val="28"/>
        </w:rPr>
        <w:t>PT XYZ</w:t>
      </w:r>
      <w:r w:rsidRPr="00BB194B">
        <w:rPr>
          <w:rFonts w:ascii="Sakkal Majalla" w:hAnsi="Sakkal Majalla" w:cs="Sakkal Majalla"/>
          <w:color w:val="000000" w:themeColor="text1"/>
          <w:sz w:val="28"/>
          <w:szCs w:val="28"/>
          <w:rtl/>
        </w:rPr>
        <w:t xml:space="preserve">، وتأثير ذلك على نجاح المشاريع والحد من التأخير في تنفيذها. واستخدمت الدراسة المنهج الوصفي التحليلي ودراسة الحالة، وتم تقييم مستوى النضج باستخدام نموذج </w:t>
      </w:r>
      <w:proofErr w:type="spellStart"/>
      <w:r w:rsidRPr="00BB194B">
        <w:rPr>
          <w:rFonts w:ascii="Sakkal Majalla" w:hAnsi="Sakkal Majalla" w:cs="Sakkal Majalla"/>
          <w:color w:val="000000" w:themeColor="text1"/>
          <w:sz w:val="28"/>
          <w:szCs w:val="28"/>
        </w:rPr>
        <w:t>Kerzner</w:t>
      </w:r>
      <w:proofErr w:type="spellEnd"/>
      <w:r w:rsidRPr="00BB194B">
        <w:rPr>
          <w:rFonts w:ascii="Sakkal Majalla" w:hAnsi="Sakkal Majalla" w:cs="Sakkal Majalla"/>
          <w:color w:val="000000" w:themeColor="text1"/>
          <w:sz w:val="28"/>
          <w:szCs w:val="28"/>
          <w:rtl/>
        </w:rPr>
        <w:t xml:space="preserve"> لنضج إدارة المشاريع (</w:t>
      </w:r>
      <w:r w:rsidRPr="00BB194B">
        <w:rPr>
          <w:rFonts w:ascii="Sakkal Majalla" w:hAnsi="Sakkal Majalla" w:cs="Sakkal Majalla"/>
          <w:color w:val="000000" w:themeColor="text1"/>
          <w:sz w:val="28"/>
          <w:szCs w:val="28"/>
        </w:rPr>
        <w:t>KPM3</w:t>
      </w:r>
      <w:r w:rsidRPr="00BB194B">
        <w:rPr>
          <w:rFonts w:ascii="Sakkal Majalla" w:hAnsi="Sakkal Majalla" w:cs="Sakkal Majalla"/>
          <w:color w:val="000000" w:themeColor="text1"/>
          <w:sz w:val="28"/>
          <w:szCs w:val="28"/>
          <w:rtl/>
        </w:rPr>
        <w:t xml:space="preserve">)، دون استخدام عينة ميدانية واسعة بل بالاعتماد على بيانات مشاريع الشركة للفترة 2022-2023. وتوصلت نتائج الدراسة إلى أن قسم </w:t>
      </w:r>
      <w:r w:rsidRPr="00BB194B">
        <w:rPr>
          <w:rFonts w:ascii="Sakkal Majalla" w:hAnsi="Sakkal Majalla" w:cs="Sakkal Majalla"/>
          <w:color w:val="000000" w:themeColor="text1"/>
          <w:sz w:val="28"/>
          <w:szCs w:val="28"/>
        </w:rPr>
        <w:t>CRM</w:t>
      </w:r>
      <w:r w:rsidRPr="00BB194B">
        <w:rPr>
          <w:rFonts w:ascii="Sakkal Majalla" w:hAnsi="Sakkal Majalla" w:cs="Sakkal Majalla"/>
          <w:color w:val="000000" w:themeColor="text1"/>
          <w:sz w:val="28"/>
          <w:szCs w:val="28"/>
          <w:rtl/>
        </w:rPr>
        <w:t xml:space="preserve"> لم يتجاوز المستوى الأول من النضج، وهو ما يفسر تأخر إنجاز المشاريع لمدة تتراوح بين 1 إلى 6 أشهر عن الخطة الزمنية. وأوصت الدراسة بضرورة اتباع توصيات نموذج </w:t>
      </w:r>
      <w:r w:rsidRPr="00BB194B">
        <w:rPr>
          <w:rFonts w:ascii="Sakkal Majalla" w:hAnsi="Sakkal Majalla" w:cs="Sakkal Majalla"/>
          <w:color w:val="000000" w:themeColor="text1"/>
          <w:sz w:val="28"/>
          <w:szCs w:val="28"/>
        </w:rPr>
        <w:t>KPM3</w:t>
      </w:r>
      <w:r w:rsidRPr="00BB194B">
        <w:rPr>
          <w:rFonts w:ascii="Sakkal Majalla" w:hAnsi="Sakkal Majalla" w:cs="Sakkal Majalla"/>
          <w:color w:val="000000" w:themeColor="text1"/>
          <w:sz w:val="28"/>
          <w:szCs w:val="28"/>
          <w:rtl/>
        </w:rPr>
        <w:t xml:space="preserve"> للارتقاء إلى المستويات الأعلى من النضج، بالإضافة إلى تنفيذ توصيات خاصة بمجالات المعرفة وفق دليل </w:t>
      </w:r>
      <w:r w:rsidRPr="00BB194B">
        <w:rPr>
          <w:rFonts w:ascii="Sakkal Majalla" w:hAnsi="Sakkal Majalla" w:cs="Sakkal Majalla"/>
          <w:color w:val="000000" w:themeColor="text1"/>
          <w:sz w:val="28"/>
          <w:szCs w:val="28"/>
        </w:rPr>
        <w:t>PMBOK</w:t>
      </w:r>
      <w:r w:rsidRPr="00BB194B">
        <w:rPr>
          <w:rFonts w:ascii="Sakkal Majalla" w:hAnsi="Sakkal Majalla" w:cs="Sakkal Majalla"/>
          <w:color w:val="000000" w:themeColor="text1"/>
          <w:sz w:val="28"/>
          <w:szCs w:val="28"/>
          <w:rtl/>
        </w:rPr>
        <w:t xml:space="preserve"> الإصدار السابع بهدف رفع كفاءة إدارة المشاريع وزيادة احتمالات نجاحها.</w:t>
      </w:r>
    </w:p>
    <w:p w14:paraId="6AEF76B1" w14:textId="77777777" w:rsidR="007E2164" w:rsidRPr="00BB194B" w:rsidRDefault="007E2164"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194B">
        <w:rPr>
          <w:rFonts w:ascii="Sakkal Majalla" w:hAnsi="Sakkal Majalla" w:cs="Sakkal Majalla"/>
          <w:b/>
          <w:bCs/>
          <w:color w:val="000000" w:themeColor="text1"/>
          <w:sz w:val="28"/>
          <w:szCs w:val="28"/>
          <w:rtl/>
        </w:rPr>
        <w:t>دراسة</w:t>
      </w:r>
      <w:r w:rsidRPr="00BB194B">
        <w:rPr>
          <w:rFonts w:ascii="Sakkal Majalla" w:hAnsi="Sakkal Majalla" w:cs="Sakkal Majalla"/>
          <w:b/>
          <w:bCs/>
          <w:color w:val="000000" w:themeColor="text1"/>
          <w:sz w:val="28"/>
          <w:szCs w:val="28"/>
        </w:rPr>
        <w:t xml:space="preserve"> (Souza et al., 2023)</w:t>
      </w:r>
    </w:p>
    <w:p w14:paraId="7D6B5445" w14:textId="1B62B596"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هدفت الدراسة إلى التعرف على العوامل الإحصائية المتنبئة بمستوى نضج إدارة المشاريع بأبعاده المختلفة وتأثيره على نجاح المشاريع في المنظمات، وكذلك العوامل التنظيمية المرتبطة به. واستخدمت الدراسة المنهج الكمي من خلال استبانة موجهة إلى مجتمع إدارة المشاريع في البرازيل بهدف تطوير نماذج جديدة لنضج إدارة المشاريع مدعومة إحصائيًا وبدرجة أعلى من الدقة. وتوصلت نتائج الدراسة إلى وجود ارتباط قوي بين نظام قياس الأداء ونسبة نجاح المشاريع وعلاقتهما بمستوى نضج إدارة المشاريع، إضافةً إلى تأثير كل من الثقافة التنظيمية، ونوع النشاط، ودور مكتب إدارة المشاريع (</w:t>
      </w:r>
      <w:r w:rsidRPr="00BB194B">
        <w:rPr>
          <w:rFonts w:ascii="Sakkal Majalla" w:hAnsi="Sakkal Majalla" w:cs="Sakkal Majalla"/>
          <w:color w:val="000000" w:themeColor="text1"/>
          <w:sz w:val="28"/>
          <w:szCs w:val="28"/>
        </w:rPr>
        <w:t>PMO</w:t>
      </w:r>
      <w:r w:rsidRPr="00BB194B">
        <w:rPr>
          <w:rFonts w:ascii="Sakkal Majalla" w:hAnsi="Sakkal Majalla" w:cs="Sakkal Majalla"/>
          <w:color w:val="000000" w:themeColor="text1"/>
          <w:sz w:val="28"/>
          <w:szCs w:val="28"/>
          <w:rtl/>
        </w:rPr>
        <w:t>) في تعزيز هذا النضج. وأوصت الدراسة بضرورة استثمار المنظمات في العوامل الأكثر تأثيرًا على نضج إدارة المشاريع، وتطوير نماذج تقييم تعتمد على البيانات الإحصائية الموثوقة لتحسين دقة قياس النضج وزيادة نسبة نجاح المشاريع.</w:t>
      </w:r>
    </w:p>
    <w:p w14:paraId="5884589E" w14:textId="6C350BB8" w:rsidR="007E2164" w:rsidRPr="00BB194B" w:rsidRDefault="007E2164" w:rsidP="00D93D67">
      <w:pPr>
        <w:pStyle w:val="ListParagraph"/>
        <w:numPr>
          <w:ilvl w:val="0"/>
          <w:numId w:val="10"/>
        </w:numPr>
        <w:ind w:left="423"/>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br w:type="page"/>
      </w:r>
      <w:r w:rsidRPr="00BB194B">
        <w:rPr>
          <w:rFonts w:ascii="Sakkal Majalla" w:hAnsi="Sakkal Majalla" w:cs="Sakkal Majalla"/>
          <w:b/>
          <w:bCs/>
          <w:color w:val="000000" w:themeColor="text1"/>
          <w:sz w:val="28"/>
          <w:szCs w:val="28"/>
          <w:rtl/>
        </w:rPr>
        <w:lastRenderedPageBreak/>
        <w:t xml:space="preserve">دراسة </w:t>
      </w:r>
      <w:r w:rsidRPr="00BB194B">
        <w:rPr>
          <w:rFonts w:ascii="Sakkal Majalla" w:hAnsi="Sakkal Majalla" w:cs="Sakkal Majalla"/>
          <w:b/>
          <w:bCs/>
          <w:color w:val="000000" w:themeColor="text1"/>
          <w:sz w:val="28"/>
          <w:szCs w:val="28"/>
        </w:rPr>
        <w:t>(</w:t>
      </w:r>
      <w:proofErr w:type="spellStart"/>
      <w:r w:rsidRPr="00BB194B">
        <w:rPr>
          <w:rFonts w:ascii="Sakkal Majalla" w:hAnsi="Sakkal Majalla" w:cs="Sakkal Majalla"/>
          <w:b/>
          <w:bCs/>
          <w:color w:val="000000" w:themeColor="text1"/>
          <w:sz w:val="28"/>
          <w:szCs w:val="28"/>
        </w:rPr>
        <w:t>Penha</w:t>
      </w:r>
      <w:proofErr w:type="spellEnd"/>
      <w:r w:rsidRPr="00BB194B">
        <w:rPr>
          <w:rFonts w:ascii="Sakkal Majalla" w:hAnsi="Sakkal Majalla" w:cs="Sakkal Majalla"/>
          <w:b/>
          <w:bCs/>
          <w:color w:val="000000" w:themeColor="text1"/>
          <w:sz w:val="28"/>
          <w:szCs w:val="28"/>
        </w:rPr>
        <w:t xml:space="preserve"> et al., 2023)</w:t>
      </w:r>
    </w:p>
    <w:p w14:paraId="684885AE" w14:textId="77777777"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العلاقة بين إدارة المشاريع (</w:t>
      </w:r>
      <w:r w:rsidRPr="00BB194B">
        <w:rPr>
          <w:rFonts w:ascii="Sakkal Majalla" w:hAnsi="Sakkal Majalla" w:cs="Sakkal Majalla"/>
          <w:color w:val="000000" w:themeColor="text1"/>
          <w:sz w:val="28"/>
          <w:szCs w:val="28"/>
        </w:rPr>
        <w:t>PM</w:t>
      </w:r>
      <w:r w:rsidRPr="00BB194B">
        <w:rPr>
          <w:rFonts w:ascii="Sakkal Majalla" w:hAnsi="Sakkal Majalla" w:cs="Sakkal Majalla"/>
          <w:color w:val="000000" w:themeColor="text1"/>
          <w:sz w:val="28"/>
          <w:szCs w:val="28"/>
          <w:rtl/>
        </w:rPr>
        <w:t>) والتحول الرقمي (</w:t>
      </w:r>
      <w:r w:rsidRPr="00BB194B">
        <w:rPr>
          <w:rFonts w:ascii="Sakkal Majalla" w:hAnsi="Sakkal Majalla" w:cs="Sakkal Majalla"/>
          <w:color w:val="000000" w:themeColor="text1"/>
          <w:sz w:val="28"/>
          <w:szCs w:val="28"/>
        </w:rPr>
        <w:t>DT</w:t>
      </w:r>
      <w:r w:rsidRPr="00BB194B">
        <w:rPr>
          <w:rFonts w:ascii="Sakkal Majalla" w:hAnsi="Sakkal Majalla" w:cs="Sakkal Majalla"/>
          <w:color w:val="000000" w:themeColor="text1"/>
          <w:sz w:val="28"/>
          <w:szCs w:val="28"/>
          <w:rtl/>
        </w:rPr>
        <w:t xml:space="preserve">) بأبعادهما المختلفة ودور إدارة المشاريع في تمكين وتنفيذ مبادرات التحول الرقمي داخل المنظمات. واستخدمت الدراسة المنهج الاستكشافي ذو المقاربة النوعية من خلال مراجعة منهجية لـ(104) دراسة منشورة خلال الفترة من 2015 إلى 2020 بهدف فهم نقاط التقاطع والتكامل بين المجالين. وتوصلت النتائج إلى أن إدارة المشاريع تُستخدم بشكل إستراتيجي لدعم التحول الرقمي عبر أربعة عوامل رئيسية هي: الكفاءات، الإستراتيجية، التقنيات الرقمية، وإدارة المحافظ والبرامج والمشاريع، مما يبرز القدرة التطورية والتكيفية لإدارة المشاريع في مواجهة التغييرات التنظيمية والثقافية والتكنولوجية السريعة. وأوصت الدراسة بضرورة تنمية المهارات التقنية والسلوكية للعاملين، وتعزيز التكامل بين منهجيات إدارة المشاريع ومتطلبات التحول الرقمي لضمان نجاح مبادراته داخل المنظمات.. </w:t>
      </w:r>
    </w:p>
    <w:p w14:paraId="413D4DB6" w14:textId="77777777" w:rsidR="007E2164" w:rsidRPr="00BB194B" w:rsidRDefault="007E2164"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دراسة</w:t>
      </w:r>
      <w:r w:rsidRPr="00BB194B">
        <w:rPr>
          <w:rFonts w:ascii="Sakkal Majalla" w:hAnsi="Sakkal Majalla" w:cs="Sakkal Majalla"/>
          <w:b/>
          <w:bCs/>
          <w:color w:val="000000" w:themeColor="text1"/>
          <w:sz w:val="28"/>
          <w:szCs w:val="28"/>
        </w:rPr>
        <w:t xml:space="preserve"> </w:t>
      </w:r>
      <w:r w:rsidRPr="00BB194B">
        <w:rPr>
          <w:rFonts w:ascii="Sakkal Majalla" w:hAnsi="Sakkal Majalla" w:cs="Sakkal Majalla"/>
          <w:b/>
          <w:bCs/>
          <w:color w:val="000000" w:themeColor="text1"/>
          <w:sz w:val="28"/>
          <w:szCs w:val="28"/>
          <w:rtl/>
        </w:rPr>
        <w:t xml:space="preserve"> </w:t>
      </w:r>
      <w:r w:rsidRPr="00BB194B">
        <w:rPr>
          <w:rFonts w:ascii="Sakkal Majalla" w:hAnsi="Sakkal Majalla" w:cs="Sakkal Majalla"/>
          <w:b/>
          <w:bCs/>
          <w:color w:val="000000" w:themeColor="text1"/>
          <w:sz w:val="28"/>
          <w:szCs w:val="28"/>
        </w:rPr>
        <w:t>(</w:t>
      </w:r>
      <w:proofErr w:type="spellStart"/>
      <w:r w:rsidRPr="00BB194B">
        <w:rPr>
          <w:rFonts w:ascii="Sakkal Majalla" w:hAnsi="Sakkal Majalla" w:cs="Sakkal Majalla"/>
          <w:b/>
          <w:bCs/>
          <w:color w:val="000000" w:themeColor="text1"/>
          <w:sz w:val="28"/>
          <w:szCs w:val="28"/>
        </w:rPr>
        <w:t>Gonçalves</w:t>
      </w:r>
      <w:proofErr w:type="spellEnd"/>
      <w:r w:rsidRPr="00BB194B">
        <w:rPr>
          <w:rFonts w:ascii="Sakkal Majalla" w:hAnsi="Sakkal Majalla" w:cs="Sakkal Majalla"/>
          <w:b/>
          <w:bCs/>
          <w:color w:val="000000" w:themeColor="text1"/>
          <w:sz w:val="28"/>
          <w:szCs w:val="28"/>
        </w:rPr>
        <w:t xml:space="preserve"> et al., 2023)</w:t>
      </w:r>
    </w:p>
    <w:p w14:paraId="28DC7E86" w14:textId="59E9513A"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هدفت الدراسة إلى التعرف على العلاقة بين إدارة المشاريع والتحول الرقمي بأبعادهما المتمثلة في (الكفاءات، الإستراتيجية، التقنيات الرقمية، إدارة المحافظ والبرامج والمشروعات) على تمكين وتنفيذ مبادرات التحول الرقمي داخل المنظمات. واستخدمت الدراسة المنهج الاستكشافي ذو المقاربة النوعية من خلال مراجعة منهجية للأدبيات، وتكوّنت عينة الدراسة من (104) دراسة منشورة خلال الفترة من 2015 إلى 2020. وتوصلت نتائج الدراسة إلى أن إدارة المشاريع تُستخدم بصورة إستراتيجية لدعم التحول الرقمي من خلال تطوير الكفاءات البشرية، ومواءمة الإستراتيجيات، وتوظيف التقنيات الرقمية، وإدارة المحافظ والمشروعات بطريقة مرنة وتكيفية. وأوصت الدراسة بضرورة تعزيز المهارات التقنية والسلوكية للعاملين، وتكامل منهجيات إدارة المشاريع مع متطلبات التحول الرقمي لضمان نجاحه واستمراريته داخل المنظمات.</w:t>
      </w:r>
    </w:p>
    <w:p w14:paraId="336287E8" w14:textId="6F40B558" w:rsidR="007E2164" w:rsidRPr="00BB194B" w:rsidRDefault="007E2164" w:rsidP="00D93D67">
      <w:pPr>
        <w:pStyle w:val="ListParagraph"/>
        <w:numPr>
          <w:ilvl w:val="0"/>
          <w:numId w:val="10"/>
        </w:numPr>
        <w:ind w:left="423"/>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br w:type="page"/>
      </w:r>
      <w:r w:rsidRPr="00BB194B">
        <w:rPr>
          <w:rFonts w:ascii="Sakkal Majalla" w:hAnsi="Sakkal Majalla" w:cs="Sakkal Majalla"/>
          <w:b/>
          <w:bCs/>
          <w:color w:val="000000" w:themeColor="text1"/>
          <w:sz w:val="28"/>
          <w:szCs w:val="28"/>
          <w:rtl/>
        </w:rPr>
        <w:lastRenderedPageBreak/>
        <w:t>دراسة</w:t>
      </w:r>
      <w:r w:rsidRPr="00BB194B">
        <w:rPr>
          <w:rFonts w:ascii="Sakkal Majalla" w:hAnsi="Sakkal Majalla" w:cs="Sakkal Majalla"/>
          <w:b/>
          <w:bCs/>
          <w:color w:val="000000" w:themeColor="text1"/>
          <w:sz w:val="28"/>
          <w:szCs w:val="28"/>
        </w:rPr>
        <w:t xml:space="preserve"> (</w:t>
      </w:r>
      <w:proofErr w:type="spellStart"/>
      <w:r w:rsidRPr="00BB194B">
        <w:rPr>
          <w:rFonts w:ascii="Sakkal Majalla" w:hAnsi="Sakkal Majalla" w:cs="Sakkal Majalla"/>
          <w:b/>
          <w:bCs/>
          <w:color w:val="000000" w:themeColor="text1"/>
          <w:sz w:val="28"/>
          <w:szCs w:val="28"/>
        </w:rPr>
        <w:t>Omarov</w:t>
      </w:r>
      <w:proofErr w:type="spellEnd"/>
      <w:r w:rsidRPr="00BB194B">
        <w:rPr>
          <w:rFonts w:ascii="Sakkal Majalla" w:hAnsi="Sakkal Majalla" w:cs="Sakkal Majalla"/>
          <w:b/>
          <w:bCs/>
          <w:color w:val="000000" w:themeColor="text1"/>
          <w:sz w:val="28"/>
          <w:szCs w:val="28"/>
        </w:rPr>
        <w:t xml:space="preserve"> &amp; </w:t>
      </w:r>
      <w:proofErr w:type="spellStart"/>
      <w:r w:rsidRPr="00BB194B">
        <w:rPr>
          <w:rFonts w:ascii="Sakkal Majalla" w:hAnsi="Sakkal Majalla" w:cs="Sakkal Majalla"/>
          <w:b/>
          <w:bCs/>
          <w:color w:val="000000" w:themeColor="text1"/>
          <w:sz w:val="28"/>
          <w:szCs w:val="28"/>
        </w:rPr>
        <w:t>Taikulakova</w:t>
      </w:r>
      <w:proofErr w:type="spellEnd"/>
      <w:r w:rsidRPr="00BB194B">
        <w:rPr>
          <w:rFonts w:ascii="Sakkal Majalla" w:hAnsi="Sakkal Majalla" w:cs="Sakkal Majalla"/>
          <w:b/>
          <w:bCs/>
          <w:color w:val="000000" w:themeColor="text1"/>
          <w:sz w:val="28"/>
          <w:szCs w:val="28"/>
        </w:rPr>
        <w:t>, 2023)</w:t>
      </w:r>
    </w:p>
    <w:p w14:paraId="5F033B5A" w14:textId="599CD5AB"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أثر تطبيقات التحول الرقمي بأبعادها المختلفة على تحسين إدارة المشاريع في قطاع النفط والغاز، خاصة في مراحل التخطيط والتنفيذ لأعمال الإيقاف والصيانة (</w:t>
      </w:r>
      <w:r w:rsidRPr="00BB194B">
        <w:rPr>
          <w:rFonts w:ascii="Sakkal Majalla" w:hAnsi="Sakkal Majalla" w:cs="Sakkal Majalla"/>
          <w:color w:val="000000" w:themeColor="text1"/>
          <w:sz w:val="28"/>
          <w:szCs w:val="28"/>
        </w:rPr>
        <w:t>Turnaround</w:t>
      </w:r>
      <w:r w:rsidRPr="00BB194B">
        <w:rPr>
          <w:rFonts w:ascii="Sakkal Majalla" w:hAnsi="Sakkal Majalla" w:cs="Sakkal Majalla"/>
          <w:color w:val="000000" w:themeColor="text1"/>
          <w:sz w:val="28"/>
          <w:szCs w:val="28"/>
          <w:rtl/>
        </w:rPr>
        <w:t>). واستخدمت الدراسة المنهج الوصفي التحليلي من خلال تحليل واقع الممارسات الحالية واستعراض مجموعة من التطبيقات الرقمية المقترحة دون الاعتماد على عينة ميدانية مباشرة. وتوصلت نتائج الدراسة إلى أن حزمة التطبيقات الرقمية المقترحة (</w:t>
      </w:r>
      <w:r w:rsidRPr="00BB194B">
        <w:rPr>
          <w:rFonts w:ascii="Sakkal Majalla" w:hAnsi="Sakkal Majalla" w:cs="Sakkal Majalla"/>
          <w:color w:val="000000" w:themeColor="text1"/>
          <w:sz w:val="28"/>
          <w:szCs w:val="28"/>
        </w:rPr>
        <w:t xml:space="preserve">Salesforce, TA Notes, TA Pro, PWC &amp; A, </w:t>
      </w:r>
      <w:proofErr w:type="spellStart"/>
      <w:r w:rsidRPr="00BB194B">
        <w:rPr>
          <w:rFonts w:ascii="Sakkal Majalla" w:hAnsi="Sakkal Majalla" w:cs="Sakkal Majalla"/>
          <w:color w:val="000000" w:themeColor="text1"/>
          <w:sz w:val="28"/>
          <w:szCs w:val="28"/>
        </w:rPr>
        <w:t>Mistras</w:t>
      </w:r>
      <w:proofErr w:type="spellEnd"/>
      <w:r w:rsidRPr="00BB194B">
        <w:rPr>
          <w:rFonts w:ascii="Sakkal Majalla" w:hAnsi="Sakkal Majalla" w:cs="Sakkal Majalla"/>
          <w:color w:val="000000" w:themeColor="text1"/>
          <w:sz w:val="28"/>
          <w:szCs w:val="28"/>
          <w:rtl/>
        </w:rPr>
        <w:t>) تسهم بشكل فعّال في رفع كفاءة التخطيط، تحسين إدارة البيانات، تقليل التكاليف، والحد من الأخطاء التشغيلية، إلا أن نجاح تطبيقها يتأثر بمعوقات أبرزها ضعف البنية الرقمية، نقص الكفاءات المدربة، وضعف فهم ثقافة الأهداف الوظيفية الدنيا (</w:t>
      </w:r>
      <w:r w:rsidRPr="00BB194B">
        <w:rPr>
          <w:rFonts w:ascii="Sakkal Majalla" w:hAnsi="Sakkal Majalla" w:cs="Sakkal Majalla"/>
          <w:color w:val="000000" w:themeColor="text1"/>
          <w:sz w:val="28"/>
          <w:szCs w:val="28"/>
        </w:rPr>
        <w:t>MFO</w:t>
      </w:r>
      <w:r w:rsidRPr="00BB194B">
        <w:rPr>
          <w:rFonts w:ascii="Sakkal Majalla" w:hAnsi="Sakkal Majalla" w:cs="Sakkal Majalla"/>
          <w:color w:val="000000" w:themeColor="text1"/>
          <w:sz w:val="28"/>
          <w:szCs w:val="28"/>
          <w:rtl/>
        </w:rPr>
        <w:t xml:space="preserve">). وأوصت الدراسة بضرورة تعزيز البنية الرقمية، وتكثيف التدريب وبناء القدرات الرقمية للعاملين، ونشر ثقافة </w:t>
      </w:r>
      <w:r w:rsidRPr="00BB194B">
        <w:rPr>
          <w:rFonts w:ascii="Sakkal Majalla" w:hAnsi="Sakkal Majalla" w:cs="Sakkal Majalla"/>
          <w:color w:val="000000" w:themeColor="text1"/>
          <w:sz w:val="28"/>
          <w:szCs w:val="28"/>
        </w:rPr>
        <w:t>MFO</w:t>
      </w:r>
      <w:r w:rsidRPr="00BB194B">
        <w:rPr>
          <w:rFonts w:ascii="Sakkal Majalla" w:hAnsi="Sakkal Majalla" w:cs="Sakkal Majalla"/>
          <w:color w:val="000000" w:themeColor="text1"/>
          <w:sz w:val="28"/>
          <w:szCs w:val="28"/>
          <w:rtl/>
        </w:rPr>
        <w:t xml:space="preserve"> لدعم نجاح التحول الرقمي في إدارة المشاريع بقطاع النفط والغاز. </w:t>
      </w:r>
    </w:p>
    <w:p w14:paraId="6206F6F8" w14:textId="77777777" w:rsidR="007E2164" w:rsidRPr="00BB194B" w:rsidRDefault="007E2164"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 xml:space="preserve">دراسة  </w:t>
      </w:r>
      <w:r w:rsidRPr="00BB194B">
        <w:rPr>
          <w:rFonts w:ascii="Sakkal Majalla" w:hAnsi="Sakkal Majalla" w:cs="Sakkal Majalla"/>
          <w:b/>
          <w:bCs/>
          <w:color w:val="000000" w:themeColor="text1"/>
          <w:sz w:val="28"/>
          <w:szCs w:val="28"/>
        </w:rPr>
        <w:t>(</w:t>
      </w:r>
      <w:proofErr w:type="spellStart"/>
      <w:r w:rsidRPr="00BB194B">
        <w:rPr>
          <w:rFonts w:ascii="Sakkal Majalla" w:hAnsi="Sakkal Majalla" w:cs="Sakkal Majalla"/>
          <w:b/>
          <w:bCs/>
          <w:color w:val="000000" w:themeColor="text1"/>
          <w:sz w:val="28"/>
          <w:szCs w:val="28"/>
        </w:rPr>
        <w:t>Fajsi</w:t>
      </w:r>
      <w:proofErr w:type="spellEnd"/>
      <w:r w:rsidRPr="00BB194B">
        <w:rPr>
          <w:rFonts w:ascii="Sakkal Majalla" w:hAnsi="Sakkal Majalla" w:cs="Sakkal Majalla"/>
          <w:b/>
          <w:bCs/>
          <w:color w:val="000000" w:themeColor="text1"/>
          <w:sz w:val="28"/>
          <w:szCs w:val="28"/>
        </w:rPr>
        <w:t xml:space="preserve"> et al., 2022)</w:t>
      </w:r>
    </w:p>
    <w:p w14:paraId="403D6AED" w14:textId="77777777"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أثر نضج إدارة المشاريع بأبعاده المختلفة على التميّز المؤسسي في ظل متطلبات الثورة الصناعية الرابعة (</w:t>
      </w:r>
      <w:r w:rsidRPr="00BB194B">
        <w:rPr>
          <w:rFonts w:ascii="Sakkal Majalla" w:hAnsi="Sakkal Majalla" w:cs="Sakkal Majalla"/>
          <w:color w:val="000000" w:themeColor="text1"/>
          <w:sz w:val="28"/>
          <w:szCs w:val="28"/>
        </w:rPr>
        <w:t>Industry 4.0</w:t>
      </w:r>
      <w:r w:rsidRPr="00BB194B">
        <w:rPr>
          <w:rFonts w:ascii="Sakkal Majalla" w:hAnsi="Sakkal Majalla" w:cs="Sakkal Majalla"/>
          <w:color w:val="000000" w:themeColor="text1"/>
          <w:sz w:val="28"/>
          <w:szCs w:val="28"/>
          <w:rtl/>
        </w:rPr>
        <w:t xml:space="preserve">)، وذلك في المنظمات الحاصلة على جوائز أو اعترافات التميّز المؤسسي من المؤسسة الأوروبية لإدارة الجودة </w:t>
      </w:r>
      <w:r w:rsidRPr="00BB194B">
        <w:rPr>
          <w:rFonts w:ascii="Sakkal Majalla" w:hAnsi="Sakkal Majalla" w:cs="Sakkal Majalla"/>
          <w:color w:val="000000" w:themeColor="text1"/>
          <w:sz w:val="28"/>
          <w:szCs w:val="28"/>
        </w:rPr>
        <w:t>EFQM</w:t>
      </w:r>
      <w:r w:rsidRPr="00BB194B">
        <w:rPr>
          <w:rFonts w:ascii="Sakkal Majalla" w:hAnsi="Sakkal Majalla" w:cs="Sakkal Majalla"/>
          <w:color w:val="000000" w:themeColor="text1"/>
          <w:sz w:val="28"/>
          <w:szCs w:val="28"/>
          <w:rtl/>
        </w:rPr>
        <w:t>.</w:t>
      </w:r>
    </w:p>
    <w:p w14:paraId="0F3BCFFB" w14:textId="77777777"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واستخدمت الدراسة المنهج الوصفي التحليلي، وتكونت عينة الدراسة من (124) منظمة مختلفة من حيث نوع الصناعة وحجمها، وتوصلت نتائج الدراسة إلى وجود علاقة ارتباط وتأثير ذات دلالة إحصائية بين مستوى نضج إدارة المشاريع وتحقيق التميّز المؤسسي، كما بينت أن تعزيز نضج إدارة المشاريع يعد عاملاً داعماً لقدرة المؤسسات على مواكبة متطلبات الثورة الصناعية الرابعة وتحقيق الاستدامة والمرونة التنظيمية.</w:t>
      </w:r>
    </w:p>
    <w:p w14:paraId="04A68769" w14:textId="77777777" w:rsidR="007E2164" w:rsidRPr="00BB194B" w:rsidRDefault="007E2164"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وأوصت الدراسة بضرورة رفع مستويات نضج إدارة المشاريع داخل المؤسسات، وتبني ممارسات احترافية في إدارة المشاريع بما يسهم في تحسين الأداء المؤسسي وزيادة القدرة على التكيف مع التطورات التكنولوجية الحديثة..</w:t>
      </w:r>
      <w:r w:rsidRPr="00BB194B">
        <w:rPr>
          <w:rFonts w:ascii="Sakkal Majalla" w:hAnsi="Sakkal Majalla" w:cs="Sakkal Majalla"/>
          <w:color w:val="000000" w:themeColor="text1"/>
          <w:sz w:val="28"/>
          <w:szCs w:val="28"/>
        </w:rPr>
        <w:t>.</w:t>
      </w:r>
    </w:p>
    <w:p w14:paraId="32C2EF9E" w14:textId="77777777" w:rsidR="00485A30" w:rsidRPr="00BB194B" w:rsidRDefault="00E3001E" w:rsidP="00D93D67">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B194B">
        <w:rPr>
          <w:rFonts w:ascii="Sakkal Majalla" w:hAnsi="Sakkal Majalla" w:cs="Sakkal Majalla"/>
          <w:b/>
          <w:bCs/>
          <w:color w:val="000000" w:themeColor="text1"/>
          <w:sz w:val="28"/>
          <w:szCs w:val="28"/>
          <w:rtl/>
        </w:rPr>
        <w:t>دراسة</w:t>
      </w:r>
      <w:r w:rsidR="00AC2C5E" w:rsidRPr="00BB194B">
        <w:rPr>
          <w:rFonts w:ascii="Sakkal Majalla" w:hAnsi="Sakkal Majalla" w:cs="Sakkal Majalla"/>
          <w:b/>
          <w:bCs/>
          <w:color w:val="000000" w:themeColor="text1"/>
          <w:sz w:val="28"/>
          <w:szCs w:val="28"/>
        </w:rPr>
        <w:t xml:space="preserve"> </w:t>
      </w:r>
      <w:r w:rsidR="00485A30" w:rsidRPr="00BB194B">
        <w:rPr>
          <w:rFonts w:ascii="Sakkal Majalla" w:eastAsia="Times New Roman" w:hAnsi="Sakkal Majalla" w:cs="Sakkal Majalla"/>
          <w:b/>
          <w:bCs/>
          <w:color w:val="000000" w:themeColor="text1"/>
          <w:kern w:val="0"/>
          <w:sz w:val="28"/>
          <w:szCs w:val="28"/>
          <w14:ligatures w14:val="none"/>
        </w:rPr>
        <w:t>(</w:t>
      </w:r>
      <w:proofErr w:type="spellStart"/>
      <w:r w:rsidR="00485A30" w:rsidRPr="00BB194B">
        <w:rPr>
          <w:rFonts w:ascii="Sakkal Majalla" w:eastAsia="Times New Roman" w:hAnsi="Sakkal Majalla" w:cs="Sakkal Majalla"/>
          <w:b/>
          <w:bCs/>
          <w:color w:val="000000" w:themeColor="text1"/>
          <w:kern w:val="0"/>
          <w:sz w:val="28"/>
          <w:szCs w:val="28"/>
          <w14:ligatures w14:val="none"/>
        </w:rPr>
        <w:t>Haron</w:t>
      </w:r>
      <w:proofErr w:type="spellEnd"/>
      <w:r w:rsidR="00485A30" w:rsidRPr="00BB194B">
        <w:rPr>
          <w:rFonts w:ascii="Sakkal Majalla" w:eastAsia="Times New Roman" w:hAnsi="Sakkal Majalla" w:cs="Sakkal Majalla"/>
          <w:b/>
          <w:bCs/>
          <w:color w:val="000000" w:themeColor="text1"/>
          <w:kern w:val="0"/>
          <w:sz w:val="28"/>
          <w:szCs w:val="28"/>
          <w14:ligatures w14:val="none"/>
        </w:rPr>
        <w:t>, 2021)</w:t>
      </w:r>
    </w:p>
    <w:p w14:paraId="14901E42" w14:textId="2474E005" w:rsidR="009946D9" w:rsidRPr="00BB194B" w:rsidRDefault="00485A30" w:rsidP="007E216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هدفت الدراسة إلى التعرف على كيفية دمج فريق إدارة التغيير مع فريق إدارة المشاريع بأبعادهما المختلفة من أجل تبسيط وتنفيذ التحول الرقمي داخل المنظمة بشكل سلس. واستخدمت الدراسة المنهج النوعي من خلال مقابلات شبه مُهيكلة مع قادة وإداريين في منظمات تمر بعمليات التحول الرقمي لفهم تصوراتهم ودورهم في إدارة التغيير وفهمهم لمفهوم الرقمنة وضروراتها. وتوصلت النتائج إلى أن أحد أهم أسباب تعثر التحول الرقمي يعود إلى الجوانب البشرية في إدارة التغيير أكثر من الجوانب التقنية، وأن التكامل بين فريق إدارة المشاريع وفريق إدارة التغيير يسهم في تعزيز نجاح التحول الرقمي وتقليل مقاومة التغيير. وأوصت الدراسة بضرورة تطوير إطار تكاملي واضح يحدد الأدوار والمسؤوليات بين الفريقين، وتفعيل التواصل والتدريب الداعم للابتكار، وتعزيز الثقافة التنظيمية الداعمة للتحول الرقمي.</w:t>
      </w:r>
    </w:p>
    <w:p w14:paraId="30830574" w14:textId="3BDE2241" w:rsidR="007E2164" w:rsidRPr="00BB194B" w:rsidRDefault="007E2164" w:rsidP="007E216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501"/>
      <w:bookmarkStart w:id="18" w:name="_Toc223401174"/>
      <w:bookmarkEnd w:id="15"/>
      <w:r w:rsidRPr="00BB194B">
        <w:rPr>
          <w:rFonts w:ascii="Sakkal Majalla" w:hAnsi="Sakkal Majalla" w:cs="Sakkal Majalla"/>
          <w:b/>
          <w:bCs/>
          <w:color w:val="000000" w:themeColor="text1"/>
          <w:sz w:val="36"/>
          <w:szCs w:val="36"/>
          <w:rtl/>
        </w:rPr>
        <w:t>8.1 الفجوة البحثية:</w:t>
      </w:r>
      <w:bookmarkEnd w:id="18"/>
    </w:p>
    <w:p w14:paraId="2146CABA" w14:textId="58C55374"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تتفق الدراسات السابقة (مثل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w:t>
      </w:r>
      <w:r w:rsidRPr="00BB194B">
        <w:rPr>
          <w:rFonts w:ascii="Sakkal Majalla" w:hAnsi="Sakkal Majalla" w:cs="Sakkal Majalla"/>
          <w:color w:val="000000" w:themeColor="text1"/>
          <w:sz w:val="28"/>
          <w:szCs w:val="28"/>
          <w:rtl/>
        </w:rPr>
        <w:t xml:space="preserve"> و </w:t>
      </w:r>
      <w:r w:rsidRPr="00BB194B">
        <w:rPr>
          <w:rFonts w:ascii="Sakkal Majalla" w:hAnsi="Sakkal Majalla" w:cs="Sakkal Majalla"/>
          <w:color w:val="000000" w:themeColor="text1"/>
          <w:sz w:val="28"/>
          <w:szCs w:val="28"/>
        </w:rPr>
        <w:t>Souza et al., 2023</w:t>
      </w:r>
      <w:r w:rsidRPr="00BB194B">
        <w:rPr>
          <w:rFonts w:ascii="Sakkal Majalla" w:hAnsi="Sakkal Majalla" w:cs="Sakkal Majalla"/>
          <w:color w:val="000000" w:themeColor="text1"/>
          <w:sz w:val="28"/>
          <w:szCs w:val="28"/>
          <w:rtl/>
        </w:rPr>
        <w:t>) على أن نضج إدارة المشاريع يعد عاملًا أساسيًا في تحسين الأداء المؤسسي ورفع فرص نجاح المشاريع، إلا أن معظم هذه الدراسات ركزت على المنظمات الصناعية أو التجارية أو الشركات الخاصة، بينما لم يتم توجيه الاهتمام الكافي لمشاريع التشغيل والصيانة في القطاع الحكومي، وخصوصًا في الوزارات ذات الهياكل التشغيلية الحساسة مثل وزارة المالية</w:t>
      </w:r>
      <w:r w:rsidRPr="00BB194B">
        <w:rPr>
          <w:rFonts w:ascii="Sakkal Majalla" w:hAnsi="Sakkal Majalla" w:cs="Sakkal Majalla"/>
          <w:color w:val="000000" w:themeColor="text1"/>
          <w:sz w:val="28"/>
          <w:szCs w:val="28"/>
        </w:rPr>
        <w:t>.</w:t>
      </w:r>
    </w:p>
    <w:p w14:paraId="1B991966" w14:textId="754236C1"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تشير دراسات أخرى (مثل </w:t>
      </w:r>
      <w:r w:rsidRPr="00BB194B">
        <w:rPr>
          <w:rFonts w:ascii="Sakkal Majalla" w:hAnsi="Sakkal Majalla" w:cs="Sakkal Majalla"/>
          <w:color w:val="000000" w:themeColor="text1"/>
          <w:sz w:val="28"/>
          <w:szCs w:val="28"/>
        </w:rPr>
        <w:t>Chen et al., 2025</w:t>
      </w:r>
      <w:r w:rsidRPr="00BB194B">
        <w:rPr>
          <w:rFonts w:ascii="Sakkal Majalla" w:hAnsi="Sakkal Majalla" w:cs="Sakkal Majalla"/>
          <w:color w:val="000000" w:themeColor="text1"/>
          <w:sz w:val="28"/>
          <w:szCs w:val="28"/>
          <w:rtl/>
        </w:rPr>
        <w:t xml:space="preserve"> و </w:t>
      </w:r>
      <w:proofErr w:type="spellStart"/>
      <w:r w:rsidRPr="00BB194B">
        <w:rPr>
          <w:rFonts w:ascii="Sakkal Majalla" w:hAnsi="Sakkal Majalla" w:cs="Sakkal Majalla"/>
          <w:color w:val="000000" w:themeColor="text1"/>
          <w:sz w:val="28"/>
          <w:szCs w:val="28"/>
        </w:rPr>
        <w:t>Penha</w:t>
      </w:r>
      <w:proofErr w:type="spellEnd"/>
      <w:r w:rsidRPr="00BB194B">
        <w:rPr>
          <w:rFonts w:ascii="Sakkal Majalla" w:hAnsi="Sakkal Majalla" w:cs="Sakkal Majalla"/>
          <w:color w:val="000000" w:themeColor="text1"/>
          <w:sz w:val="28"/>
          <w:szCs w:val="28"/>
        </w:rPr>
        <w:t xml:space="preserve"> et al., 2023</w:t>
      </w:r>
      <w:r w:rsidRPr="00BB194B">
        <w:rPr>
          <w:rFonts w:ascii="Sakkal Majalla" w:hAnsi="Sakkal Majalla" w:cs="Sakkal Majalla"/>
          <w:color w:val="000000" w:themeColor="text1"/>
          <w:sz w:val="28"/>
          <w:szCs w:val="28"/>
          <w:rtl/>
        </w:rPr>
        <w:t xml:space="preserve">) إلى وجود ارتباط بين إدارة المشاريع والتحول الرقمي، إلا أنها تناولت هذا الارتباط في سياق المنهجيات العامة للتحول الرقمي أو </w:t>
      </w:r>
      <w:r w:rsidRPr="00BB194B">
        <w:rPr>
          <w:rFonts w:ascii="Sakkal Majalla" w:hAnsi="Sakkal Majalla" w:cs="Sakkal Majalla"/>
          <w:color w:val="000000" w:themeColor="text1"/>
          <w:sz w:val="28"/>
          <w:szCs w:val="28"/>
          <w:rtl/>
        </w:rPr>
        <w:lastRenderedPageBreak/>
        <w:t>ممارسات إدارة المشاريع بصورة واسعة، دون تحديد جاهزية المشاريع ذات الطابع التشغيلي والصيانـي للتحول الرقمي أو دراسة أثر النضج الإداري عليها بشكل مباشر</w:t>
      </w:r>
      <w:r w:rsidRPr="00BB194B">
        <w:rPr>
          <w:rFonts w:ascii="Sakkal Majalla" w:hAnsi="Sakkal Majalla" w:cs="Sakkal Majalla"/>
          <w:color w:val="000000" w:themeColor="text1"/>
          <w:sz w:val="28"/>
          <w:szCs w:val="28"/>
        </w:rPr>
        <w:t>.</w:t>
      </w:r>
    </w:p>
    <w:p w14:paraId="798D8FD6" w14:textId="53BB681F"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ركزت دراسات مثل (</w:t>
      </w:r>
      <w:r w:rsidRPr="00BB194B">
        <w:rPr>
          <w:rFonts w:ascii="Sakkal Majalla" w:hAnsi="Sakkal Majalla" w:cs="Sakkal Majalla"/>
          <w:color w:val="000000" w:themeColor="text1"/>
          <w:sz w:val="28"/>
          <w:szCs w:val="28"/>
        </w:rPr>
        <w:t xml:space="preserve">Crespo </w:t>
      </w:r>
      <w:proofErr w:type="spellStart"/>
      <w:r w:rsidRPr="00BB194B">
        <w:rPr>
          <w:rFonts w:ascii="Sakkal Majalla" w:hAnsi="Sakkal Majalla" w:cs="Sakkal Majalla"/>
          <w:color w:val="000000" w:themeColor="text1"/>
          <w:sz w:val="28"/>
          <w:szCs w:val="28"/>
        </w:rPr>
        <w:t>Márquez</w:t>
      </w:r>
      <w:proofErr w:type="spellEnd"/>
      <w:r w:rsidRPr="00BB194B">
        <w:rPr>
          <w:rFonts w:ascii="Sakkal Majalla" w:hAnsi="Sakkal Majalla" w:cs="Sakkal Majalla"/>
          <w:color w:val="000000" w:themeColor="text1"/>
          <w:sz w:val="28"/>
          <w:szCs w:val="28"/>
        </w:rPr>
        <w:t xml:space="preserve"> &amp; Matsuda, 2024</w:t>
      </w:r>
      <w:r w:rsidRPr="00BB194B">
        <w:rPr>
          <w:rFonts w:ascii="Sakkal Majalla" w:hAnsi="Sakkal Majalla" w:cs="Sakkal Majalla"/>
          <w:color w:val="000000" w:themeColor="text1"/>
          <w:sz w:val="28"/>
          <w:szCs w:val="28"/>
          <w:rtl/>
        </w:rPr>
        <w:t xml:space="preserve"> و </w:t>
      </w:r>
      <w:proofErr w:type="spellStart"/>
      <w:r w:rsidRPr="00BB194B">
        <w:rPr>
          <w:rFonts w:ascii="Sakkal Majalla" w:hAnsi="Sakkal Majalla" w:cs="Sakkal Majalla"/>
          <w:color w:val="000000" w:themeColor="text1"/>
          <w:sz w:val="28"/>
          <w:szCs w:val="28"/>
        </w:rPr>
        <w:t>Omarov</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Taikulakova</w:t>
      </w:r>
      <w:proofErr w:type="spellEnd"/>
      <w:r w:rsidRPr="00BB194B">
        <w:rPr>
          <w:rFonts w:ascii="Sakkal Majalla" w:hAnsi="Sakkal Majalla" w:cs="Sakkal Majalla"/>
          <w:color w:val="000000" w:themeColor="text1"/>
          <w:sz w:val="28"/>
          <w:szCs w:val="28"/>
        </w:rPr>
        <w:t>, 2023</w:t>
      </w:r>
      <w:r w:rsidRPr="00BB194B">
        <w:rPr>
          <w:rFonts w:ascii="Sakkal Majalla" w:hAnsi="Sakkal Majalla" w:cs="Sakkal Majalla"/>
          <w:color w:val="000000" w:themeColor="text1"/>
          <w:sz w:val="28"/>
          <w:szCs w:val="28"/>
          <w:rtl/>
        </w:rPr>
        <w:t>) على التحول الرقمي في مجالات الصيانة وإدارة الأصول، لكنها اهتمت بتطبيق التقنيات والحلول الرقمية أكثر من تقييم النضج الإداري والتنظيمي الذي يسبق التحول الرقمي، مما يجعل جانب الجاهزية التنظيمية والإدارية غير مغطى بشكل كافٍ</w:t>
      </w:r>
      <w:r w:rsidRPr="00BB194B">
        <w:rPr>
          <w:rFonts w:ascii="Sakkal Majalla" w:hAnsi="Sakkal Majalla" w:cs="Sakkal Majalla"/>
          <w:color w:val="000000" w:themeColor="text1"/>
          <w:sz w:val="28"/>
          <w:szCs w:val="28"/>
        </w:rPr>
        <w:t>.</w:t>
      </w:r>
    </w:p>
    <w:p w14:paraId="4E58AF0A" w14:textId="215B60C5"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وتناولت بعض الدراسات</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Haron</w:t>
      </w:r>
      <w:proofErr w:type="spellEnd"/>
      <w:r w:rsidRPr="00BB194B">
        <w:rPr>
          <w:rFonts w:ascii="Sakkal Majalla" w:hAnsi="Sakkal Majalla" w:cs="Sakkal Majalla"/>
          <w:color w:val="000000" w:themeColor="text1"/>
          <w:sz w:val="28"/>
          <w:szCs w:val="28"/>
        </w:rPr>
        <w:t xml:space="preserve">, 2021) </w:t>
      </w:r>
      <w:r w:rsidRPr="00BB194B">
        <w:rPr>
          <w:rFonts w:ascii="Sakkal Majalla" w:hAnsi="Sakkal Majalla" w:cs="Sakkal Majalla"/>
          <w:color w:val="000000" w:themeColor="text1"/>
          <w:sz w:val="28"/>
          <w:szCs w:val="28"/>
          <w:rtl/>
        </w:rPr>
        <w:t>البعد البشري والثقافي كعامل مؤثر في نجاح التحول الرقمي، لكنها لم تربطه بمستوى نضج إدارة المشاريع، بينما ركّزت دراسات مثل</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Egie</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على تقييم النضج دون ربطه بالجاهزية الرقمية أو التحول الرقمي، مما يشير إلى تجزؤ المعالجة البحثية للعلاقة بين المتغيرين في الأدبيات</w:t>
      </w:r>
      <w:r w:rsidRPr="00BB194B">
        <w:rPr>
          <w:rFonts w:ascii="Sakkal Majalla" w:hAnsi="Sakkal Majalla" w:cs="Sakkal Majalla"/>
          <w:color w:val="000000" w:themeColor="text1"/>
          <w:sz w:val="28"/>
          <w:szCs w:val="28"/>
        </w:rPr>
        <w:t>.</w:t>
      </w:r>
    </w:p>
    <w:p w14:paraId="1CF85FCC" w14:textId="04FE6DA6"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وبناءً على ما سبق، تبرز الفجوة البحثية في غياب دراسات تجمع بين نضج إدارة المشاريع وجاهزية مشاريع التشغيل والصيانة للتحول الرقمي داخل القطاع الحكومي السعودي، وخاصة في وزارة المالية التي تُعدّ جهة مركزية ذات تأثير مباشر على منظومة الخدمات الحكومية. ومن هنا تأتي أهمية الدراسة الحالية في سد هذه الفجوة من خلال تحليل أثر نضج إدارة المشاريع بأبعاده المختلفة على مستوى الجاهزية للتحول الرقمي في مشاريع التشغيل والصيانة بوزارة المالية</w:t>
      </w:r>
      <w:r w:rsidRPr="00BB194B">
        <w:rPr>
          <w:rFonts w:ascii="Sakkal Majalla" w:hAnsi="Sakkal Majalla" w:cs="Sakkal Majalla"/>
          <w:color w:val="000000" w:themeColor="text1"/>
          <w:sz w:val="28"/>
          <w:szCs w:val="28"/>
        </w:rPr>
        <w:t>.</w:t>
      </w:r>
    </w:p>
    <w:p w14:paraId="2EAD7FB4" w14:textId="080B5285" w:rsidR="007E2164" w:rsidRPr="00BB194B" w:rsidRDefault="007E2164" w:rsidP="007E216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2"/>
      <w:bookmarkStart w:id="20" w:name="_Toc223401175"/>
      <w:bookmarkEnd w:id="17"/>
      <w:r w:rsidRPr="00BB194B">
        <w:rPr>
          <w:rFonts w:ascii="Sakkal Majalla" w:hAnsi="Sakkal Majalla" w:cs="Sakkal Majalla"/>
          <w:b/>
          <w:bCs/>
          <w:color w:val="000000" w:themeColor="text1"/>
          <w:sz w:val="36"/>
          <w:szCs w:val="36"/>
          <w:rtl/>
        </w:rPr>
        <w:t>9.1 المنطلقات النظرية للدراسة:</w:t>
      </w:r>
      <w:bookmarkEnd w:id="20"/>
    </w:p>
    <w:p w14:paraId="604D027D" w14:textId="77777777" w:rsidR="001F27CF" w:rsidRPr="00BB194B" w:rsidRDefault="00CC1EF2" w:rsidP="00F76E6C">
      <w:pPr>
        <w:spacing w:before="100" w:beforeAutospacing="1" w:after="100" w:afterAutospacing="1" w:line="360" w:lineRule="auto"/>
        <w:jc w:val="both"/>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Pr>
        <w:t xml:space="preserve"> </w:t>
      </w:r>
      <w:r w:rsidR="001F27CF" w:rsidRPr="00BB194B">
        <w:rPr>
          <w:rFonts w:ascii="Sakkal Majalla" w:hAnsi="Sakkal Majalla" w:cs="Sakkal Majalla"/>
          <w:b/>
          <w:bCs/>
          <w:color w:val="000000" w:themeColor="text1"/>
          <w:sz w:val="32"/>
          <w:szCs w:val="32"/>
          <w:rtl/>
        </w:rPr>
        <w:t>أولاً: نضج إدارة المشاريع</w:t>
      </w:r>
      <w:r w:rsidR="001F27CF" w:rsidRPr="00BB194B">
        <w:rPr>
          <w:rFonts w:ascii="Sakkal Majalla" w:hAnsi="Sakkal Majalla" w:cs="Sakkal Majalla"/>
          <w:b/>
          <w:bCs/>
          <w:color w:val="000000" w:themeColor="text1"/>
          <w:sz w:val="32"/>
          <w:szCs w:val="32"/>
        </w:rPr>
        <w:t xml:space="preserve"> (Project Management Maturity)</w:t>
      </w:r>
    </w:p>
    <w:p w14:paraId="05654C55" w14:textId="36759948"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يُعد مفهوم نضج إدارة المشاريع من المفاهيم الأساسية في علم إدارة المشاريع المعاصر، إذ يشير إلى الدرجة التي تصل إليها المؤسسة في تطبيق ممارسات إدارة المشاريع بشكل منظم، متكرر، ومتكامل</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وكلما ارتفع مستوى النضج، أصبحت المؤسسة قادرة على إدارة مشاريعها بكفاءة أعلى، من حيث التخطيط </w:t>
      </w:r>
      <w:r w:rsidRPr="00BB194B">
        <w:rPr>
          <w:rFonts w:ascii="Sakkal Majalla" w:hAnsi="Sakkal Majalla" w:cs="Sakkal Majalla"/>
          <w:color w:val="000000" w:themeColor="text1"/>
          <w:sz w:val="28"/>
          <w:szCs w:val="28"/>
          <w:rtl/>
        </w:rPr>
        <w:lastRenderedPageBreak/>
        <w:t>والتنفيذ والمتابعة وضبط الجودة وإدارة المخاطر، ويعتمد نضج إدارة المشاريع على تبني معايير وهيكليات إدارية تضمن توحيد إجراءات العمل وتنظيم المسؤوليات وتعزيز آليات التقييم والتحسين المستمر</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w:t>
      </w:r>
    </w:p>
    <w:p w14:paraId="1A2E00F8"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وقد أشارت الأدبيات إلى أن المؤسسات تمر بمستويات متدرجة من النضج، تتراوح عادة بين غياب التنظيم الإداري للمشاريع وصولًا إلى التكامل المؤسسي الشامل. ويُنظر إلى النضج على أنه عملية تطور تدريجية تحتاج إلى خبرة، وتراكم معرفي، ودعم إداري، وتطوير مهني للعاملين. ويُعد نموذج نضج إدارة المشاريع الذي قدمه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Kerzner</w:t>
      </w:r>
      <w:proofErr w:type="spellEnd"/>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أحد أبرز النماذج المعتمدة لقياس هذا النضج، حيث يركز على تقييم مدى تطبيق ممارسات إدارة المشاريع بشكل منهجي ومؤسس</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Egie</w:t>
      </w:r>
      <w:proofErr w:type="spellEnd"/>
      <w:r w:rsidRPr="00BB194B">
        <w:rPr>
          <w:rFonts w:ascii="Sakkal Majalla" w:hAnsi="Sakkal Majalla" w:cs="Sakkal Majalla"/>
          <w:color w:val="000000" w:themeColor="text1"/>
          <w:sz w:val="28"/>
          <w:szCs w:val="28"/>
        </w:rPr>
        <w:t>, 2024)</w:t>
      </w:r>
    </w:p>
    <w:p w14:paraId="71E7E463"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ويرتبط نضج إدارة المشاريع بثلاثة عناصر محورية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توحيد المنهجيات والإجراءات، الهيكل التنظيمي والدعم القيادي، المهارات والكفاءات البشرية، وأدوات وتقنيات إدارة المشاريع</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ففيما يتعلق بالمنهجيات والإجراءات، تُظهر المؤسسات ذات النضج المرتفع قدرة على تطوير خطط عمل واضحة، وتوثيق العمليات، وإدارة الجدولة الزمنية والموارد بشكل متناسق. أما بالنسبة للهيكل التنظيمي والدعم القيادي، فيرتبط النضج بوجود توجيه استراتيجي وقيادة داعمة تعزز الحوكمة وتدعم فرق العمل</w:t>
      </w:r>
      <w:r w:rsidRPr="00BB194B">
        <w:rPr>
          <w:rFonts w:ascii="Sakkal Majalla" w:hAnsi="Sakkal Majalla" w:cs="Sakkal Majalla"/>
          <w:color w:val="000000" w:themeColor="text1"/>
          <w:sz w:val="28"/>
          <w:szCs w:val="28"/>
        </w:rPr>
        <w:t>. (Souza et al., 2023)</w:t>
      </w:r>
    </w:p>
    <w:p w14:paraId="68318FF1"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ويمثل العنصر البشري ركيزة أساسية لنضج إدارة المشاريع، لأن نجاح إدارة المشاريع يعتمد على توفر مهارات قيادية، وقدرات على التواصل وإدارة التغيير، ومعرفة تقنية بالمجالات التي تنفذ فيها المشاريع. كما تلعب الأدوات والتقنيات دورًا تمكينيًا في تسهيل عمليات التخطيط، وإدارة المخاطر، وتوثيق البيانات، وتحليل الأداء، وخاصة في ظل التحول نحو الأنظمة الرقمية</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Penha</w:t>
      </w:r>
      <w:proofErr w:type="spellEnd"/>
      <w:r w:rsidRPr="00BB194B">
        <w:rPr>
          <w:rFonts w:ascii="Sakkal Majalla" w:hAnsi="Sakkal Majalla" w:cs="Sakkal Majalla"/>
          <w:color w:val="000000" w:themeColor="text1"/>
          <w:sz w:val="28"/>
          <w:szCs w:val="28"/>
        </w:rPr>
        <w:t xml:space="preserve"> et al., 2023)</w:t>
      </w:r>
    </w:p>
    <w:p w14:paraId="506BF2A2" w14:textId="77777777" w:rsidR="001F27CF" w:rsidRPr="00BB194B" w:rsidRDefault="001F27CF" w:rsidP="00F76E6C">
      <w:pPr>
        <w:spacing w:before="100" w:beforeAutospacing="1" w:after="100" w:afterAutospacing="1" w:line="360" w:lineRule="auto"/>
        <w:jc w:val="both"/>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tl/>
        </w:rPr>
        <w:t>ثانياً: التحول الرقمي</w:t>
      </w:r>
      <w:r w:rsidRPr="00BB194B">
        <w:rPr>
          <w:rFonts w:ascii="Sakkal Majalla" w:hAnsi="Sakkal Majalla" w:cs="Sakkal Majalla"/>
          <w:b/>
          <w:bCs/>
          <w:color w:val="000000" w:themeColor="text1"/>
          <w:sz w:val="32"/>
          <w:szCs w:val="32"/>
        </w:rPr>
        <w:t xml:space="preserve"> (Digital Transformation)</w:t>
      </w:r>
    </w:p>
    <w:p w14:paraId="584801C6" w14:textId="3970376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يُعرَّف التحول الرقمي على أنه عملية إعادة تصميم متكاملة تستخدم التقنيات الرقمية لإحداث تغييرات جوهرية في العمليات والإجراءات والخدمات ونماذج العمل داخل المنظمات، ولا يقتصر التحول </w:t>
      </w:r>
      <w:r w:rsidRPr="00BB194B">
        <w:rPr>
          <w:rFonts w:ascii="Sakkal Majalla" w:hAnsi="Sakkal Majalla" w:cs="Sakkal Majalla"/>
          <w:color w:val="000000" w:themeColor="text1"/>
          <w:sz w:val="28"/>
          <w:szCs w:val="28"/>
          <w:rtl/>
        </w:rPr>
        <w:lastRenderedPageBreak/>
        <w:t>الرقمي على أتمتة المهام أو استخدام أنظمة معلومات جديدة، بل يشمل إعادة تنظيم الأدوار، وتغيير الثقافة التنظيمية، وتطوير القدرات البشرية، وتعزيز التكامل بين الوحدات التنظيمية</w:t>
      </w:r>
      <w:r w:rsidRPr="00BB194B">
        <w:rPr>
          <w:rFonts w:ascii="Sakkal Majalla" w:hAnsi="Sakkal Majalla" w:cs="Sakkal Majalla"/>
          <w:color w:val="000000" w:themeColor="text1"/>
          <w:sz w:val="28"/>
          <w:szCs w:val="28"/>
        </w:rPr>
        <w:t>. (Chen et al., 2025)</w:t>
      </w:r>
    </w:p>
    <w:p w14:paraId="5D78E95C"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وقد أكدت الأدبيات أن التحول الرقمي يتطلب مواءمة ثلاثية تشمل</w:t>
      </w:r>
      <w:r w:rsidRPr="00BB194B">
        <w:rPr>
          <w:rFonts w:ascii="Sakkal Majalla" w:hAnsi="Sakkal Majalla" w:cs="Sakkal Majalla"/>
          <w:b/>
          <w:bCs/>
          <w:color w:val="000000" w:themeColor="text1"/>
          <w:sz w:val="28"/>
          <w:szCs w:val="28"/>
        </w:rPr>
        <w:t>:</w:t>
      </w:r>
    </w:p>
    <w:p w14:paraId="029D65DD" w14:textId="77777777" w:rsidR="001F27CF" w:rsidRPr="00BB194B" w:rsidRDefault="001F27CF" w:rsidP="00D93D6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البنية التقنية (الجاهزية التقنية)</w:t>
      </w:r>
    </w:p>
    <w:p w14:paraId="6B5970ED" w14:textId="77777777" w:rsidR="001F27CF" w:rsidRPr="00BB194B" w:rsidRDefault="001F27CF" w:rsidP="00D93D6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الموارد البشرية (الجاهزية البشرية)</w:t>
      </w:r>
    </w:p>
    <w:p w14:paraId="614E234B" w14:textId="77777777" w:rsidR="001F27CF" w:rsidRPr="00BB194B" w:rsidRDefault="001F27CF" w:rsidP="00D93D6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العمليات والأساليب الإدارية (الجاهزية الإجرائية)</w:t>
      </w:r>
    </w:p>
    <w:p w14:paraId="0DACD415" w14:textId="5FBBAC15"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فالتحول الرقمي الناجح يعتمد على توفر بنية تحتية قادرة على تخزين البيانات ومعالجتها، واعتماد أنظمة معلومات متكاملة تتيح مشاركة البيانات بفعالية، كما يتطلب نشر ثقافة العمل الرقمي بين العاملين، وبناء قدرات رقمية تمكنهم من التعامل مع التكنولوجيا بمرونة</w:t>
      </w:r>
      <w:r w:rsidRPr="00BB194B">
        <w:rPr>
          <w:rFonts w:ascii="Sakkal Majalla" w:hAnsi="Sakkal Majalla" w:cs="Sakkal Majalla"/>
          <w:color w:val="000000" w:themeColor="text1"/>
          <w:sz w:val="28"/>
          <w:szCs w:val="28"/>
        </w:rPr>
        <w:t xml:space="preserve">. (Crespo </w:t>
      </w:r>
      <w:proofErr w:type="spellStart"/>
      <w:r w:rsidRPr="00BB194B">
        <w:rPr>
          <w:rFonts w:ascii="Sakkal Majalla" w:hAnsi="Sakkal Majalla" w:cs="Sakkal Majalla"/>
          <w:color w:val="000000" w:themeColor="text1"/>
          <w:sz w:val="28"/>
          <w:szCs w:val="28"/>
        </w:rPr>
        <w:t>Márquez</w:t>
      </w:r>
      <w:proofErr w:type="spellEnd"/>
      <w:r w:rsidRPr="00BB194B">
        <w:rPr>
          <w:rFonts w:ascii="Sakkal Majalla" w:hAnsi="Sakkal Majalla" w:cs="Sakkal Majalla"/>
          <w:color w:val="000000" w:themeColor="text1"/>
          <w:sz w:val="28"/>
          <w:szCs w:val="28"/>
        </w:rPr>
        <w:t xml:space="preserve"> &amp; Matsuda, 2024)</w:t>
      </w:r>
    </w:p>
    <w:p w14:paraId="3A50E952" w14:textId="7FF18554"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ومن منظور إداري، يمثل التحول الرقمي تغييرًا مؤسسيًا يتطلب إدارة واضحة للتغيير وخطط تواصل وتدريب تعزز قبول العاملين للتغييرات</w:t>
      </w:r>
      <w:r w:rsidR="00BC6C90" w:rsidRPr="00BB194B">
        <w:rPr>
          <w:rFonts w:ascii="Sakkal Majalla" w:hAnsi="Sakkal Majalla" w:cs="Sakkal Majalla"/>
          <w:color w:val="000000" w:themeColor="text1"/>
          <w:sz w:val="28"/>
          <w:szCs w:val="28"/>
          <w:rtl/>
        </w:rPr>
        <w:t>،</w:t>
      </w:r>
      <w:r w:rsidRPr="00BB194B">
        <w:rPr>
          <w:rFonts w:ascii="Sakkal Majalla" w:hAnsi="Sakkal Majalla" w:cs="Sakkal Majalla"/>
          <w:color w:val="000000" w:themeColor="text1"/>
          <w:sz w:val="28"/>
          <w:szCs w:val="28"/>
          <w:rtl/>
        </w:rPr>
        <w:t xml:space="preserve"> وقد بينت بعض الدراسات أن التحدي الأكبر في التحول الرقمي لا يكمن في التكنولوجيا وإنما في الإنسان، حيث أظهرت دراسات على مستوى مؤسسات</w:t>
      </w:r>
      <w:r w:rsidRPr="00BB194B">
        <w:rPr>
          <w:rFonts w:ascii="Sakkal Majalla" w:hAnsi="Sakkal Majalla" w:cs="Sakkal Majalla"/>
          <w:color w:val="000000" w:themeColor="text1"/>
          <w:sz w:val="28"/>
          <w:szCs w:val="28"/>
        </w:rPr>
        <w:t xml:space="preserve"> undergoing digital transformation </w:t>
      </w:r>
      <w:r w:rsidRPr="00BB194B">
        <w:rPr>
          <w:rFonts w:ascii="Sakkal Majalla" w:hAnsi="Sakkal Majalla" w:cs="Sakkal Majalla"/>
          <w:color w:val="000000" w:themeColor="text1"/>
          <w:sz w:val="28"/>
          <w:szCs w:val="28"/>
          <w:rtl/>
        </w:rPr>
        <w:t>أن مقاومة التغيير وضعف المهارات الرقمية يمثلان أكثر المعوقات انتشاراً</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Haron</w:t>
      </w:r>
      <w:proofErr w:type="spellEnd"/>
      <w:r w:rsidRPr="00BB194B">
        <w:rPr>
          <w:rFonts w:ascii="Sakkal Majalla" w:hAnsi="Sakkal Majalla" w:cs="Sakkal Majalla"/>
          <w:color w:val="000000" w:themeColor="text1"/>
          <w:sz w:val="28"/>
          <w:szCs w:val="28"/>
        </w:rPr>
        <w:t>, 2021)</w:t>
      </w:r>
    </w:p>
    <w:p w14:paraId="4D13B166" w14:textId="77777777" w:rsidR="001F27CF" w:rsidRPr="00BB194B" w:rsidRDefault="001F27CF" w:rsidP="00F76E6C">
      <w:pPr>
        <w:spacing w:before="100" w:beforeAutospacing="1" w:after="100" w:afterAutospacing="1" w:line="360" w:lineRule="auto"/>
        <w:jc w:val="both"/>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tl/>
        </w:rPr>
        <w:t>ثالثاً: العلاقة بين نضج إدارة المشاريع والتحول الرقمي</w:t>
      </w:r>
    </w:p>
    <w:p w14:paraId="07898241" w14:textId="4F586474"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تشير الأدبيات إلى وجود علاقة تكاملية بين نضج إدارة المشاريع والتحول الرقمي. فكلما ارتفع مستوى نضج إدارة المشاريع في المؤسسة، زادت قدرتها على تنفيذ مشاريع التحول الرقمي بكفاءة وفعالية</w:t>
      </w:r>
      <w:r w:rsidR="00BC6C90" w:rsidRPr="00BB194B">
        <w:rPr>
          <w:rFonts w:ascii="Sakkal Majalla" w:hAnsi="Sakkal Majalla" w:cs="Sakkal Majalla"/>
          <w:color w:val="000000" w:themeColor="text1"/>
          <w:sz w:val="28"/>
          <w:szCs w:val="28"/>
          <w:rtl/>
        </w:rPr>
        <w:t xml:space="preserve">، </w:t>
      </w:r>
      <w:r w:rsidRPr="00BB194B">
        <w:rPr>
          <w:rFonts w:ascii="Sakkal Majalla" w:hAnsi="Sakkal Majalla" w:cs="Sakkal Majalla"/>
          <w:color w:val="000000" w:themeColor="text1"/>
          <w:sz w:val="28"/>
          <w:szCs w:val="28"/>
          <w:rtl/>
        </w:rPr>
        <w:lastRenderedPageBreak/>
        <w:t>حيث يساهم النضج في تنظيم عمليات التخطيط والتوثيق والتحكم في نطاق العمل وإدارة فرق المشروع، وهي عناصر ضرورية للتحول الرقمي</w:t>
      </w:r>
      <w:r w:rsidRPr="00BB194B">
        <w:rPr>
          <w:rFonts w:ascii="Sakkal Majalla" w:hAnsi="Sakkal Majalla" w:cs="Sakkal Majalla"/>
          <w:color w:val="000000" w:themeColor="text1"/>
          <w:sz w:val="28"/>
          <w:szCs w:val="28"/>
        </w:rPr>
        <w:t>. (</w:t>
      </w:r>
      <w:proofErr w:type="spellStart"/>
      <w:r w:rsidRPr="00BB194B">
        <w:rPr>
          <w:rFonts w:ascii="Sakkal Majalla" w:hAnsi="Sakkal Majalla" w:cs="Sakkal Majalla"/>
          <w:color w:val="000000" w:themeColor="text1"/>
          <w:sz w:val="28"/>
          <w:szCs w:val="28"/>
        </w:rPr>
        <w:t>Penha</w:t>
      </w:r>
      <w:proofErr w:type="spellEnd"/>
      <w:r w:rsidRPr="00BB194B">
        <w:rPr>
          <w:rFonts w:ascii="Sakkal Majalla" w:hAnsi="Sakkal Majalla" w:cs="Sakkal Majalla"/>
          <w:color w:val="000000" w:themeColor="text1"/>
          <w:sz w:val="28"/>
          <w:szCs w:val="28"/>
        </w:rPr>
        <w:t xml:space="preserve"> et al., 2023)</w:t>
      </w:r>
    </w:p>
    <w:p w14:paraId="4156B62E"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كما أن التحول الرقمي ذاته يتطلب مهارات إدارة مشاريع متقدمة، نظرًا لكونه عملية معقدة تتطلب التنسيق بين التكنولوجيا والإجراءات والثقافة التنظيمية. وبالتالي فإن نضج إدارة المشاريع يمثل عاملًا حاسمًا في جاهزية المؤسسة للتحول الرقمي، لأنه يمكّن من إدارة المخاطر، وضمان الالتزام الزمني، وتحقيق التكامل بين الوحدات التنظيمية</w:t>
      </w:r>
      <w:r w:rsidRPr="00BB194B">
        <w:rPr>
          <w:rFonts w:ascii="Sakkal Majalla" w:hAnsi="Sakkal Majalla" w:cs="Sakkal Majalla"/>
          <w:color w:val="000000" w:themeColor="text1"/>
          <w:sz w:val="28"/>
          <w:szCs w:val="28"/>
        </w:rPr>
        <w:t>. (Chen et al., 2025)</w:t>
      </w:r>
    </w:p>
    <w:p w14:paraId="3697CFE3" w14:textId="77777777" w:rsidR="001F27CF" w:rsidRPr="00BB194B" w:rsidRDefault="001F27CF"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وتبرز أهمية هذا الارتباط بوضوح في مشاريع التشغيل والصيانة، نظرًا لطبيعتها المستمرة وارتباطها المباشر باستمرارية الأعمال. فهذه المشاريع تعتمد على سجلات البيانات ومتابعة الأعطال والخطط الوقائية وتحليل الأداء، مما يجعل التحول الرقمي فيها ضرورة لتعزيز الكفاءة وتقليل الهدر. وتظهر الدراسات في قطاع الصيانة وإدارة الأصول أن جاهزية البيانات والموارد البشرية تمثل عوامل جوهرية لنجاح التحول الرقمي، وأن غياب إدارة مشاريع ناضجة قد يؤدي إلى تعطل تنفيذ المبادرات الرقمية أو ضعف نتائجها</w:t>
      </w:r>
      <w:r w:rsidRPr="00BB194B">
        <w:rPr>
          <w:rFonts w:ascii="Sakkal Majalla" w:hAnsi="Sakkal Majalla" w:cs="Sakkal Majalla"/>
          <w:color w:val="000000" w:themeColor="text1"/>
          <w:sz w:val="28"/>
          <w:szCs w:val="28"/>
        </w:rPr>
        <w:t xml:space="preserve">. (Crespo </w:t>
      </w:r>
      <w:proofErr w:type="spellStart"/>
      <w:r w:rsidRPr="00BB194B">
        <w:rPr>
          <w:rFonts w:ascii="Sakkal Majalla" w:hAnsi="Sakkal Majalla" w:cs="Sakkal Majalla"/>
          <w:color w:val="000000" w:themeColor="text1"/>
          <w:sz w:val="28"/>
          <w:szCs w:val="28"/>
        </w:rPr>
        <w:t>Márquez</w:t>
      </w:r>
      <w:proofErr w:type="spellEnd"/>
      <w:r w:rsidRPr="00BB194B">
        <w:rPr>
          <w:rFonts w:ascii="Sakkal Majalla" w:hAnsi="Sakkal Majalla" w:cs="Sakkal Majalla"/>
          <w:color w:val="000000" w:themeColor="text1"/>
          <w:sz w:val="28"/>
          <w:szCs w:val="28"/>
        </w:rPr>
        <w:t xml:space="preserve"> &amp; Matsuda, 2024)</w:t>
      </w:r>
    </w:p>
    <w:p w14:paraId="1BB5BBFC" w14:textId="02C42295" w:rsidR="007E2164" w:rsidRPr="00BB194B" w:rsidRDefault="007E2164" w:rsidP="007E216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3461959"/>
      <w:bookmarkStart w:id="22" w:name="_Toc223401176"/>
      <w:bookmarkEnd w:id="19"/>
      <w:r w:rsidRPr="00BB194B">
        <w:rPr>
          <w:rFonts w:ascii="Sakkal Majalla" w:hAnsi="Sakkal Majalla" w:cs="Sakkal Majalla"/>
          <w:b/>
          <w:bCs/>
          <w:color w:val="000000" w:themeColor="text1"/>
          <w:sz w:val="36"/>
          <w:szCs w:val="36"/>
          <w:rtl/>
        </w:rPr>
        <w:t>10.1 المنهجية وطرق البحث:</w:t>
      </w:r>
      <w:bookmarkEnd w:id="22"/>
    </w:p>
    <w:p w14:paraId="764B3EBD" w14:textId="33989324" w:rsidR="00CC1EF2"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سوف تعتمد هذه الدراسة على المنهج الوصفي التحليلي باعتباره الأنسب لدراسة الظواهر المرتبطة بالسلوك التنظيمي ومستويات التطوير الإداري، وسيتم استخدامه في وصف مستوى نضج إدارة المشاريع في مشاريع التشغيل والصيانة بوزارة المالية، وتحليل مدى جاهزيتها للتحول الرقمي، بالإضافة إلى تفسير العلاقة بين متغيرات الدراسة ، وسوف يتم جمع البيانات ميدانيًا باستخدام استبانة يتم تصميمها بالاستناد إلى الأدبيات العلمية والدراسات السابقة ذات الصلة، ثم عرضها على مجموعة من المحكّمين المتخصصين للتأكد من صدقها ومناسبتها لأهداف الدراسة.</w:t>
      </w:r>
      <w:r w:rsidR="00465C40" w:rsidRPr="00BB194B">
        <w:rPr>
          <w:rFonts w:ascii="Sakkal Majalla" w:hAnsi="Sakkal Majalla" w:cs="Sakkal Majalla"/>
          <w:color w:val="000000" w:themeColor="text1"/>
          <w:sz w:val="28"/>
          <w:szCs w:val="28"/>
          <w:rtl/>
        </w:rPr>
        <w:t xml:space="preserve">. </w:t>
      </w:r>
    </w:p>
    <w:p w14:paraId="5C5FE90D" w14:textId="2F8FDFE0" w:rsidR="007E2164" w:rsidRPr="00BB194B" w:rsidRDefault="007E2164" w:rsidP="00D93D67">
      <w:pPr>
        <w:pStyle w:val="ListParagraph"/>
        <w:numPr>
          <w:ilvl w:val="0"/>
          <w:numId w:val="11"/>
        </w:numPr>
        <w:ind w:left="423"/>
        <w:rPr>
          <w:rFonts w:ascii="Sakkal Majalla" w:hAnsi="Sakkal Majalla" w:cs="Sakkal Majalla"/>
          <w:b/>
          <w:bCs/>
          <w:color w:val="000000" w:themeColor="text1"/>
          <w:sz w:val="32"/>
          <w:szCs w:val="32"/>
          <w:rtl/>
        </w:rPr>
      </w:pPr>
      <w:bookmarkStart w:id="23" w:name="_Toc213738506"/>
      <w:r w:rsidRPr="00BB194B">
        <w:rPr>
          <w:rFonts w:ascii="Sakkal Majalla" w:hAnsi="Sakkal Majalla" w:cs="Sakkal Majalla"/>
          <w:b/>
          <w:bCs/>
          <w:color w:val="000000" w:themeColor="text1"/>
          <w:sz w:val="32"/>
          <w:szCs w:val="32"/>
          <w:rtl/>
        </w:rPr>
        <w:br w:type="page"/>
      </w:r>
      <w:r w:rsidRPr="00BB194B">
        <w:rPr>
          <w:rFonts w:ascii="Sakkal Majalla" w:hAnsi="Sakkal Majalla" w:cs="Sakkal Majalla"/>
          <w:b/>
          <w:bCs/>
          <w:color w:val="000000" w:themeColor="text1"/>
          <w:sz w:val="32"/>
          <w:szCs w:val="32"/>
          <w:rtl/>
        </w:rPr>
        <w:lastRenderedPageBreak/>
        <w:t>مجتمع وعينة الدراسة</w:t>
      </w:r>
    </w:p>
    <w:p w14:paraId="3BB9013B" w14:textId="5192C7DF"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يتمثل مجتمع الدراسة في جميع العاملين في مشاريع التشغيل ،والصيانة بوزارة المالية ممن لهم دور مباشر في إدارة المشاريع أو الإشراف الفني أو دعم التحول الرقمي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ويبلغ العدد الإجمالي لأفراد المجتمع وفق البيانات الإدارية المتاحة لعام 2024 تقريبًا </w:t>
      </w:r>
      <w:r w:rsidRPr="00BB194B">
        <w:rPr>
          <w:rFonts w:ascii="Sakkal Majalla" w:hAnsi="Sakkal Majalla" w:cs="Sakkal Majalla"/>
          <w:color w:val="000000" w:themeColor="text1"/>
          <w:sz w:val="28"/>
          <w:szCs w:val="28"/>
        </w:rPr>
        <w:t xml:space="preserve">(240) </w:t>
      </w:r>
      <w:r w:rsidRPr="00BB194B">
        <w:rPr>
          <w:rFonts w:ascii="Sakkal Majalla" w:hAnsi="Sakkal Majalla" w:cs="Sakkal Majalla"/>
          <w:color w:val="000000" w:themeColor="text1"/>
          <w:sz w:val="28"/>
          <w:szCs w:val="28"/>
          <w:rtl/>
        </w:rPr>
        <w:t>موظفًا موزعين على الإدارات المعنية بإدارة المشاريع والتشغيل والصيانة والتحول الرقمي</w:t>
      </w:r>
      <w:r w:rsidRPr="00BB194B">
        <w:rPr>
          <w:rFonts w:ascii="Sakkal Majalla" w:hAnsi="Sakkal Majalla" w:cs="Sakkal Majalla"/>
          <w:color w:val="000000" w:themeColor="text1"/>
          <w:sz w:val="28"/>
          <w:szCs w:val="28"/>
        </w:rPr>
        <w:t>.</w:t>
      </w:r>
    </w:p>
    <w:p w14:paraId="437114F1" w14:textId="77777777" w:rsidR="003832FC" w:rsidRPr="00BB194B" w:rsidRDefault="003832FC" w:rsidP="007E21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وبالاعتماد على جدول مورغان وكريج</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Krejcie</w:t>
      </w:r>
      <w:proofErr w:type="spellEnd"/>
      <w:r w:rsidRPr="00BB194B">
        <w:rPr>
          <w:rFonts w:ascii="Sakkal Majalla" w:hAnsi="Sakkal Majalla" w:cs="Sakkal Majalla"/>
          <w:color w:val="000000" w:themeColor="text1"/>
          <w:sz w:val="28"/>
          <w:szCs w:val="28"/>
        </w:rPr>
        <w:t xml:space="preserve"> &amp; Morgan, 1970) </w:t>
      </w:r>
      <w:r w:rsidRPr="00BB194B">
        <w:rPr>
          <w:rFonts w:ascii="Sakkal Majalla" w:hAnsi="Sakkal Majalla" w:cs="Sakkal Majalla"/>
          <w:color w:val="000000" w:themeColor="text1"/>
          <w:sz w:val="28"/>
          <w:szCs w:val="28"/>
          <w:rtl/>
        </w:rPr>
        <w:t xml:space="preserve">لتحديد حجم العينة المناسب للمجتمعات غير الكبيرة، فإن حجم العينة الملائم لمجتمع حجمه (240) يساوي </w:t>
      </w:r>
      <w:r w:rsidRPr="00BB194B">
        <w:rPr>
          <w:rFonts w:ascii="Sakkal Majalla" w:hAnsi="Sakkal Majalla" w:cs="Sakkal Majalla"/>
          <w:color w:val="000000" w:themeColor="text1"/>
          <w:sz w:val="28"/>
          <w:szCs w:val="28"/>
        </w:rPr>
        <w:t xml:space="preserve">(148) </w:t>
      </w:r>
      <w:r w:rsidRPr="00BB194B">
        <w:rPr>
          <w:rFonts w:ascii="Sakkal Majalla" w:hAnsi="Sakkal Majalla" w:cs="Sakkal Majalla"/>
          <w:color w:val="000000" w:themeColor="text1"/>
          <w:sz w:val="28"/>
          <w:szCs w:val="28"/>
          <w:rtl/>
        </w:rPr>
        <w:t>مشاركًا تقريبًا. وبناءً على ذلك، سوف يتم اختيار عينة قصدية</w:t>
      </w:r>
      <w:r w:rsidRPr="00BB194B">
        <w:rPr>
          <w:rFonts w:ascii="Sakkal Majalla" w:hAnsi="Sakkal Majalla" w:cs="Sakkal Majalla"/>
          <w:color w:val="000000" w:themeColor="text1"/>
          <w:sz w:val="28"/>
          <w:szCs w:val="28"/>
        </w:rPr>
        <w:t xml:space="preserve"> (Purposive Sample) </w:t>
      </w:r>
      <w:r w:rsidRPr="00BB194B">
        <w:rPr>
          <w:rFonts w:ascii="Sakkal Majalla" w:hAnsi="Sakkal Majalla" w:cs="Sakkal Majalla"/>
          <w:color w:val="000000" w:themeColor="text1"/>
          <w:sz w:val="28"/>
          <w:szCs w:val="28"/>
          <w:rtl/>
        </w:rPr>
        <w:t>من الموظفين الذين تتوفر لديهم المعرفة والخبرة اللازمة بعمليات إدارة المشاريع والتشغيل والصيانة والتحول الرقمي، وذلك لضمان دقة البيانات وملاءمتها لأهداف الدراسة</w:t>
      </w:r>
      <w:r w:rsidRPr="00BB194B">
        <w:rPr>
          <w:rFonts w:ascii="Sakkal Majalla" w:hAnsi="Sakkal Majalla" w:cs="Sakkal Majalla"/>
          <w:color w:val="000000" w:themeColor="text1"/>
          <w:sz w:val="28"/>
          <w:szCs w:val="28"/>
        </w:rPr>
        <w:t>.</w:t>
      </w:r>
    </w:p>
    <w:bookmarkEnd w:id="23"/>
    <w:p w14:paraId="439C8B82" w14:textId="5491965D" w:rsidR="007E2164" w:rsidRPr="00BB194B" w:rsidRDefault="007E2164" w:rsidP="00D93D67">
      <w:pPr>
        <w:pStyle w:val="NormalWeb"/>
        <w:numPr>
          <w:ilvl w:val="0"/>
          <w:numId w:val="11"/>
        </w:numPr>
        <w:bidi/>
        <w:spacing w:line="360" w:lineRule="auto"/>
        <w:ind w:left="423"/>
        <w:jc w:val="both"/>
        <w:rPr>
          <w:rFonts w:ascii="Sakkal Majalla" w:hAnsi="Sakkal Majalla" w:cs="Sakkal Majalla"/>
          <w:b/>
          <w:bCs/>
          <w:color w:val="000000" w:themeColor="text1"/>
          <w:sz w:val="32"/>
          <w:szCs w:val="32"/>
          <w:rtl/>
        </w:rPr>
      </w:pPr>
      <w:r w:rsidRPr="00BB194B">
        <w:rPr>
          <w:rFonts w:ascii="Sakkal Majalla" w:hAnsi="Sakkal Majalla" w:cs="Sakkal Majalla"/>
          <w:b/>
          <w:bCs/>
          <w:color w:val="000000" w:themeColor="text1"/>
          <w:sz w:val="32"/>
          <w:szCs w:val="32"/>
          <w:rtl/>
        </w:rPr>
        <w:t>أداة الدراسة</w:t>
      </w:r>
    </w:p>
    <w:p w14:paraId="628B7DDC" w14:textId="77777777" w:rsidR="003832FC" w:rsidRPr="00BB194B" w:rsidRDefault="003832FC" w:rsidP="007E2164">
      <w:pPr>
        <w:pStyle w:val="NormalWeb"/>
        <w:bidi/>
        <w:spacing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سوف تعتمد هذه الدراسة على أداة الاستبانة كوسيلة رئيسية لجمع البيانات من أفراد عينة الدراسة. وسيتم تطوير الاستبانة بالاستناد إلى الأدبيات النظرية والدراسات السابقة ذات الصلة بموضوع نضج إدارة المشاريع ومستوى جاهزية مشاريع التشغيل والصيانة للتحول الرقمي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وستتضمن الاستبانة مجموعة من البنود التي تقيس أبعاد المتغير المستقل (نضج إدارة المشاريع) والمتغير التابع (جاهزية التحول الرقمي)، وذلك باستخدام مقياس ليكرت الخماسي الذي يتدرج من (1 = لا أوافق بشدة) إلى (5 = أوافق بشدة)</w:t>
      </w:r>
      <w:r w:rsidRPr="00BB194B">
        <w:rPr>
          <w:rFonts w:ascii="Sakkal Majalla" w:hAnsi="Sakkal Majalla" w:cs="Sakkal Majalla"/>
          <w:color w:val="000000" w:themeColor="text1"/>
          <w:sz w:val="28"/>
          <w:szCs w:val="28"/>
        </w:rPr>
        <w:t>.</w:t>
      </w:r>
    </w:p>
    <w:p w14:paraId="1C68415B" w14:textId="77777777" w:rsidR="003832FC" w:rsidRPr="00BB194B" w:rsidRDefault="003832FC" w:rsidP="007E2164">
      <w:pPr>
        <w:pStyle w:val="NormalWeb"/>
        <w:bidi/>
        <w:spacing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وسوف يتم عرض مسودة الاستبانة على مجموعة من المحكمين الأكاديميين والمتخصصين في مجالات إدارة المشاريع، والإدارة العامة، والتحول الرقمي للتحقق من صدق المحتوى ومناسبته لأهداف الدراسة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كما سيتم إجراء اختبار للثبات باستخدام معامل الاتساق الداخلي </w:t>
      </w:r>
      <w:r w:rsidRPr="00BB194B">
        <w:rPr>
          <w:rFonts w:ascii="Sakkal Majalla" w:hAnsi="Sakkal Majalla" w:cs="Sakkal Majalla"/>
          <w:color w:val="000000" w:themeColor="text1"/>
          <w:sz w:val="28"/>
          <w:szCs w:val="28"/>
        </w:rPr>
        <w:t>(</w:t>
      </w:r>
      <w:r w:rsidRPr="00BB194B">
        <w:rPr>
          <w:rFonts w:ascii="Sakkal Majalla" w:hAnsi="Sakkal Majalla" w:cs="Sakkal Majalla"/>
          <w:color w:val="000000" w:themeColor="text1"/>
          <w:sz w:val="28"/>
          <w:szCs w:val="28"/>
          <w:rtl/>
        </w:rPr>
        <w:t>كرونباخ ألفا</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Cronbach’s</w:t>
      </w:r>
      <w:proofErr w:type="spellEnd"/>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Pr>
        <w:lastRenderedPageBreak/>
        <w:t xml:space="preserve">Alpha) </w:t>
      </w:r>
      <w:r w:rsidRPr="00BB194B">
        <w:rPr>
          <w:rFonts w:ascii="Sakkal Majalla" w:hAnsi="Sakkal Majalla" w:cs="Sakkal Majalla"/>
          <w:color w:val="000000" w:themeColor="text1"/>
          <w:sz w:val="28"/>
          <w:szCs w:val="28"/>
          <w:rtl/>
        </w:rPr>
        <w:t>للتأكد من موثوقية الأداة وقابليتها للاستخدام الميداني قبل توزيعها بصورتها النهائية على عينة الدراسة</w:t>
      </w:r>
      <w:r w:rsidRPr="00BB194B">
        <w:rPr>
          <w:rFonts w:ascii="Sakkal Majalla" w:hAnsi="Sakkal Majalla" w:cs="Sakkal Majalla"/>
          <w:color w:val="000000" w:themeColor="text1"/>
          <w:sz w:val="28"/>
          <w:szCs w:val="28"/>
        </w:rPr>
        <w:t>.</w:t>
      </w:r>
    </w:p>
    <w:p w14:paraId="7729EE59" w14:textId="37CA7807" w:rsidR="003832FC" w:rsidRPr="00BB194B" w:rsidRDefault="003832FC" w:rsidP="00F76E6C">
      <w:pPr>
        <w:pStyle w:val="NormalWeb"/>
        <w:bidi/>
        <w:spacing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أولاً: المتغير المستقل</w:t>
      </w:r>
    </w:p>
    <w:p w14:paraId="1EA9BEE6" w14:textId="517D1485" w:rsidR="003832FC" w:rsidRPr="00BB194B" w:rsidRDefault="003832FC" w:rsidP="007E2164">
      <w:pPr>
        <w:pStyle w:val="NormalWeb"/>
        <w:bidi/>
        <w:spacing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نضج إدارة المشاريع</w:t>
      </w:r>
      <w:r w:rsidRPr="00BB194B">
        <w:rPr>
          <w:rFonts w:ascii="Sakkal Majalla" w:hAnsi="Sakkal Majalla" w:cs="Sakkal Majalla"/>
          <w:color w:val="000000" w:themeColor="text1"/>
          <w:sz w:val="28"/>
          <w:szCs w:val="28"/>
        </w:rPr>
        <w:t xml:space="preserve"> (Project Management Maturity)</w:t>
      </w:r>
      <w:r w:rsidR="007E2164" w:rsidRPr="00BB194B">
        <w:rPr>
          <w:rFonts w:ascii="Sakkal Majalla" w:hAnsi="Sakkal Majalla" w:cs="Sakkal Majalla" w:hint="cs"/>
          <w:color w:val="000000" w:themeColor="text1"/>
          <w:sz w:val="28"/>
          <w:szCs w:val="28"/>
          <w:rtl/>
        </w:rPr>
        <w:t xml:space="preserve"> </w:t>
      </w:r>
      <w:r w:rsidRPr="00BB194B">
        <w:rPr>
          <w:rFonts w:ascii="Sakkal Majalla" w:hAnsi="Sakkal Majalla" w:cs="Sakkal Majalla"/>
          <w:color w:val="000000" w:themeColor="text1"/>
          <w:sz w:val="28"/>
          <w:szCs w:val="28"/>
          <w:rtl/>
        </w:rPr>
        <w:t>وسوف نقيسه وفق أربعة أبعاد مقترحة من الأدبيات</w:t>
      </w:r>
      <w:r w:rsidRPr="00BB194B">
        <w:rPr>
          <w:rFonts w:ascii="Sakkal Majalla" w:hAnsi="Sakkal Majalla" w:cs="Sakkal Majalla"/>
          <w:color w:val="000000" w:themeColor="text1"/>
          <w:sz w:val="28"/>
          <w:szCs w:val="28"/>
        </w:rPr>
        <w:t>:</w:t>
      </w:r>
    </w:p>
    <w:p w14:paraId="710D4D0D" w14:textId="77777777" w:rsidR="003832FC" w:rsidRPr="00BB194B" w:rsidRDefault="003832FC" w:rsidP="00D93D67">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المنهجيات والإجراءات </w:t>
      </w:r>
      <w:r w:rsidRPr="00BB194B">
        <w:rPr>
          <w:rFonts w:ascii="Sakkal Majalla" w:hAnsi="Sakkal Majalla" w:cs="Sakkal Majalla"/>
          <w:color w:val="000000" w:themeColor="text1"/>
          <w:sz w:val="28"/>
          <w:szCs w:val="28"/>
        </w:rPr>
        <w:t>(Methodologies &amp; Processes)</w:t>
      </w:r>
    </w:p>
    <w:p w14:paraId="2651E136" w14:textId="77777777" w:rsidR="003832FC" w:rsidRPr="00BB194B" w:rsidRDefault="003832FC" w:rsidP="00D93D67">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الهيكل التنظيمي والدعم القيادي </w:t>
      </w:r>
      <w:r w:rsidRPr="00BB194B">
        <w:rPr>
          <w:rFonts w:ascii="Sakkal Majalla" w:hAnsi="Sakkal Majalla" w:cs="Sakkal Majalla"/>
          <w:color w:val="000000" w:themeColor="text1"/>
          <w:sz w:val="28"/>
          <w:szCs w:val="28"/>
        </w:rPr>
        <w:t>(Organizational Structure &amp; Leadership Support)</w:t>
      </w:r>
    </w:p>
    <w:p w14:paraId="2E39A744" w14:textId="77777777" w:rsidR="003832FC" w:rsidRPr="00BB194B" w:rsidRDefault="003832FC" w:rsidP="00D93D67">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المهارات والكفاءات البشرية </w:t>
      </w:r>
      <w:r w:rsidRPr="00BB194B">
        <w:rPr>
          <w:rFonts w:ascii="Sakkal Majalla" w:hAnsi="Sakkal Majalla" w:cs="Sakkal Majalla"/>
          <w:color w:val="000000" w:themeColor="text1"/>
          <w:sz w:val="28"/>
          <w:szCs w:val="28"/>
        </w:rPr>
        <w:t>(Skills &amp; Competencies)</w:t>
      </w:r>
    </w:p>
    <w:p w14:paraId="74D29C97" w14:textId="77777777" w:rsidR="003832FC" w:rsidRPr="00BB194B" w:rsidRDefault="003832FC" w:rsidP="00D93D67">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أدوات وتقنيات إدارة المشاريع </w:t>
      </w:r>
      <w:r w:rsidRPr="00BB194B">
        <w:rPr>
          <w:rFonts w:ascii="Sakkal Majalla" w:hAnsi="Sakkal Majalla" w:cs="Sakkal Majalla"/>
          <w:color w:val="000000" w:themeColor="text1"/>
          <w:sz w:val="28"/>
          <w:szCs w:val="28"/>
        </w:rPr>
        <w:t>(Tools &amp; Techniques)</w:t>
      </w:r>
    </w:p>
    <w:p w14:paraId="176EEBAB" w14:textId="51712222" w:rsidR="003832FC" w:rsidRPr="00BB194B" w:rsidRDefault="003832FC" w:rsidP="007E2164">
      <w:pPr>
        <w:pStyle w:val="NormalWeb"/>
        <w:bidi/>
        <w:spacing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ثانياً: المتغير التابع</w:t>
      </w:r>
      <w:r w:rsidR="007E2164" w:rsidRPr="00BB194B">
        <w:rPr>
          <w:rFonts w:ascii="Sakkal Majalla" w:hAnsi="Sakkal Majalla" w:cs="Sakkal Majalla" w:hint="cs"/>
          <w:b/>
          <w:bCs/>
          <w:color w:val="000000" w:themeColor="text1"/>
          <w:sz w:val="28"/>
          <w:szCs w:val="28"/>
          <w:rtl/>
        </w:rPr>
        <w:t xml:space="preserve"> </w:t>
      </w:r>
      <w:r w:rsidRPr="00BB194B">
        <w:rPr>
          <w:rFonts w:ascii="Sakkal Majalla" w:hAnsi="Sakkal Majalla" w:cs="Sakkal Majalla"/>
          <w:color w:val="000000" w:themeColor="text1"/>
          <w:sz w:val="28"/>
          <w:szCs w:val="28"/>
          <w:rtl/>
        </w:rPr>
        <w:t>جاهزية مشاريع التشغيل والصيانة للتحول الرقمي</w:t>
      </w:r>
    </w:p>
    <w:p w14:paraId="53B8B323" w14:textId="0DE75F1E" w:rsidR="00882D53" w:rsidRPr="00BB194B" w:rsidRDefault="007E2164" w:rsidP="007E2164">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4" w:name="_Toc223401177"/>
      <w:r w:rsidRPr="00BB194B">
        <w:rPr>
          <w:rFonts w:ascii="Sakkal Majalla" w:hAnsi="Sakkal Majalla" w:cs="Sakkal Majalla" w:hint="cs"/>
          <w:b/>
          <w:bCs/>
          <w:color w:val="000000" w:themeColor="text1"/>
          <w:sz w:val="36"/>
          <w:szCs w:val="36"/>
          <w:rtl/>
          <w:lang w:bidi="ar-EG"/>
        </w:rPr>
        <w:t xml:space="preserve">11.1 </w:t>
      </w:r>
      <w:r w:rsidR="00882D53" w:rsidRPr="00BB194B">
        <w:rPr>
          <w:rFonts w:ascii="Sakkal Majalla" w:hAnsi="Sakkal Majalla" w:cs="Sakkal Majalla"/>
          <w:b/>
          <w:bCs/>
          <w:color w:val="000000" w:themeColor="text1"/>
          <w:sz w:val="36"/>
          <w:szCs w:val="36"/>
          <w:rtl/>
          <w:lang w:bidi="ar-EG"/>
        </w:rPr>
        <w:t>الأساليب الإحصائية المستخدمة</w:t>
      </w:r>
      <w:bookmarkEnd w:id="21"/>
      <w:bookmarkEnd w:id="24"/>
    </w:p>
    <w:p w14:paraId="31A83215" w14:textId="77777777" w:rsidR="00465C40" w:rsidRPr="00BB194B" w:rsidRDefault="00465C40" w:rsidP="007E2164">
      <w:pPr>
        <w:pStyle w:val="NormalWeb"/>
        <w:bidi/>
        <w:spacing w:line="360" w:lineRule="auto"/>
        <w:ind w:firstLine="706"/>
        <w:jc w:val="both"/>
        <w:rPr>
          <w:rFonts w:ascii="Sakkal Majalla" w:hAnsi="Sakkal Majalla" w:cs="Sakkal Majalla"/>
          <w:color w:val="000000" w:themeColor="text1"/>
          <w:sz w:val="28"/>
          <w:szCs w:val="28"/>
        </w:rPr>
      </w:pPr>
      <w:bookmarkStart w:id="25" w:name="_Toc169790505"/>
      <w:r w:rsidRPr="00BB194B">
        <w:rPr>
          <w:rFonts w:ascii="Sakkal Majalla" w:hAnsi="Sakkal Majalla" w:cs="Sakkal Majalla"/>
          <w:color w:val="000000" w:themeColor="text1"/>
          <w:sz w:val="28"/>
          <w:szCs w:val="28"/>
          <w:rtl/>
        </w:rPr>
        <w:t xml:space="preserve">سوف يتم تحليل البيانات التي سيتم جمعها باستخدام البرنامج الإحصائي </w:t>
      </w:r>
      <w:r w:rsidRPr="00BB194B">
        <w:rPr>
          <w:rStyle w:val="Strong"/>
          <w:rFonts w:ascii="Sakkal Majalla" w:hAnsi="Sakkal Majalla" w:cs="Sakkal Majalla"/>
          <w:b w:val="0"/>
          <w:bCs w:val="0"/>
          <w:color w:val="000000" w:themeColor="text1"/>
          <w:sz w:val="28"/>
          <w:szCs w:val="28"/>
        </w:rPr>
        <w:t>SPSS</w:t>
      </w:r>
      <w:r w:rsidRPr="00BB194B">
        <w:rPr>
          <w:rFonts w:ascii="Sakkal Majalla" w:hAnsi="Sakkal Majalla" w:cs="Sakkal Majalla"/>
          <w:color w:val="000000" w:themeColor="text1"/>
          <w:sz w:val="28"/>
          <w:szCs w:val="28"/>
          <w:rtl/>
        </w:rPr>
        <w:t>، وذلك من خلال تطبيق مجموعة من الأساليب الإحصائية التي تتناسب مع طبيعة أهداف وفرضيات الدراسة، وتشمل ما يأتي</w:t>
      </w:r>
      <w:r w:rsidRPr="00BB194B">
        <w:rPr>
          <w:rFonts w:ascii="Sakkal Majalla" w:hAnsi="Sakkal Majalla" w:cs="Sakkal Majalla"/>
          <w:color w:val="000000" w:themeColor="text1"/>
          <w:sz w:val="28"/>
          <w:szCs w:val="28"/>
        </w:rPr>
        <w:t>:</w:t>
      </w:r>
    </w:p>
    <w:p w14:paraId="1C9628F2" w14:textId="77777777" w:rsidR="00465C40" w:rsidRPr="00BB194B" w:rsidRDefault="00465C40" w:rsidP="00D93D67">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32"/>
          <w:szCs w:val="32"/>
        </w:rPr>
      </w:pPr>
      <w:r w:rsidRPr="00BB194B">
        <w:rPr>
          <w:rStyle w:val="Strong"/>
          <w:rFonts w:ascii="Sakkal Majalla" w:hAnsi="Sakkal Majalla" w:cs="Sakkal Majalla"/>
          <w:color w:val="000000" w:themeColor="text1"/>
          <w:sz w:val="32"/>
          <w:szCs w:val="32"/>
          <w:rtl/>
        </w:rPr>
        <w:t>الإحصاءات الوصفية</w:t>
      </w:r>
    </w:p>
    <w:p w14:paraId="47AD932C" w14:textId="77777777" w:rsidR="00465C40" w:rsidRPr="00BB194B" w:rsidRDefault="00465C40" w:rsidP="00D93D67">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المتوسطات الحسابية</w:t>
      </w:r>
    </w:p>
    <w:p w14:paraId="68F3CEDB" w14:textId="77777777" w:rsidR="00465C40" w:rsidRPr="00BB194B" w:rsidRDefault="00465C40" w:rsidP="00D93D67">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الانحرافات المعيارية</w:t>
      </w:r>
    </w:p>
    <w:p w14:paraId="6C539986" w14:textId="7FC0C8E6" w:rsidR="00465C40" w:rsidRPr="00BB194B" w:rsidRDefault="00465C40" w:rsidP="00D93D67">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التكرارات والنسب المئوية</w:t>
      </w:r>
      <w:r w:rsidR="007E2164" w:rsidRPr="00BB194B">
        <w:rPr>
          <w:rFonts w:ascii="Sakkal Majalla" w:hAnsi="Sakkal Majalla" w:cs="Sakkal Majalla" w:hint="cs"/>
          <w:color w:val="000000" w:themeColor="text1"/>
          <w:sz w:val="28"/>
          <w:szCs w:val="28"/>
          <w:rtl/>
        </w:rPr>
        <w:t xml:space="preserve"> </w:t>
      </w:r>
      <w:r w:rsidRPr="00BB194B">
        <w:rPr>
          <w:rFonts w:ascii="Sakkal Majalla" w:hAnsi="Sakkal Majalla" w:cs="Sakkal Majalla"/>
          <w:color w:val="000000" w:themeColor="text1"/>
          <w:sz w:val="28"/>
          <w:szCs w:val="28"/>
          <w:rtl/>
        </w:rPr>
        <w:t xml:space="preserve">وذلك بغرض </w:t>
      </w:r>
      <w:r w:rsidRPr="00BB194B">
        <w:rPr>
          <w:rStyle w:val="Strong"/>
          <w:rFonts w:ascii="Sakkal Majalla" w:hAnsi="Sakkal Majalla" w:cs="Sakkal Majalla"/>
          <w:b w:val="0"/>
          <w:bCs w:val="0"/>
          <w:color w:val="000000" w:themeColor="text1"/>
          <w:sz w:val="28"/>
          <w:szCs w:val="28"/>
          <w:rtl/>
        </w:rPr>
        <w:t>وصف خصائص عينة الدراسة وتحديد مستوى كل من الثقافة التنظيمية للسلامة والامتثال لإدارة المخاطر</w:t>
      </w:r>
      <w:r w:rsidRPr="00BB194B">
        <w:rPr>
          <w:rFonts w:ascii="Sakkal Majalla" w:hAnsi="Sakkal Majalla" w:cs="Sakkal Majalla"/>
          <w:color w:val="000000" w:themeColor="text1"/>
          <w:sz w:val="28"/>
          <w:szCs w:val="28"/>
        </w:rPr>
        <w:t>.</w:t>
      </w:r>
    </w:p>
    <w:p w14:paraId="5E358E15" w14:textId="55A11FA8" w:rsidR="00465C40" w:rsidRPr="00BB194B" w:rsidRDefault="00465C40" w:rsidP="00D93D67">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lastRenderedPageBreak/>
        <w:t>اختبار الثبات (معامل كرونباخ ألفا)</w:t>
      </w:r>
      <w:r w:rsidR="007E2164" w:rsidRPr="00BB194B">
        <w:rPr>
          <w:rFonts w:ascii="Sakkal Majalla" w:hAnsi="Sakkal Majalla" w:cs="Sakkal Majalla" w:hint="cs"/>
          <w:color w:val="000000" w:themeColor="text1"/>
          <w:sz w:val="28"/>
          <w:szCs w:val="28"/>
          <w:rtl/>
        </w:rPr>
        <w:t xml:space="preserve"> </w:t>
      </w:r>
      <w:r w:rsidRPr="00BB194B">
        <w:rPr>
          <w:rFonts w:ascii="Sakkal Majalla" w:hAnsi="Sakkal Majalla" w:cs="Sakkal Majalla"/>
          <w:color w:val="000000" w:themeColor="text1"/>
          <w:sz w:val="28"/>
          <w:szCs w:val="28"/>
          <w:rtl/>
        </w:rPr>
        <w:t xml:space="preserve">وذلك لقياس </w:t>
      </w:r>
      <w:r w:rsidRPr="00BB194B">
        <w:rPr>
          <w:rStyle w:val="Strong"/>
          <w:rFonts w:ascii="Sakkal Majalla" w:hAnsi="Sakkal Majalla" w:cs="Sakkal Majalla"/>
          <w:b w:val="0"/>
          <w:bCs w:val="0"/>
          <w:color w:val="000000" w:themeColor="text1"/>
          <w:sz w:val="28"/>
          <w:szCs w:val="28"/>
          <w:rtl/>
        </w:rPr>
        <w:t>درجة الاتساق الداخلي</w:t>
      </w:r>
      <w:r w:rsidRPr="00BB194B">
        <w:rPr>
          <w:rFonts w:ascii="Sakkal Majalla" w:hAnsi="Sakkal Majalla" w:cs="Sakkal Majalla"/>
          <w:color w:val="000000" w:themeColor="text1"/>
          <w:sz w:val="28"/>
          <w:szCs w:val="28"/>
          <w:rtl/>
        </w:rPr>
        <w:t xml:space="preserve"> لفقرات الاستبانة والتأكد من موثوقيتها قبل تحليل النتائج النهائية</w:t>
      </w:r>
      <w:r w:rsidRPr="00BB194B">
        <w:rPr>
          <w:rFonts w:ascii="Sakkal Majalla" w:hAnsi="Sakkal Majalla" w:cs="Sakkal Majalla"/>
          <w:color w:val="000000" w:themeColor="text1"/>
          <w:sz w:val="28"/>
          <w:szCs w:val="28"/>
        </w:rPr>
        <w:t>.</w:t>
      </w:r>
    </w:p>
    <w:p w14:paraId="4798A4C1" w14:textId="70829C6F" w:rsidR="00465C40" w:rsidRPr="00BB194B" w:rsidRDefault="00465C40" w:rsidP="00D93D67">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معامل الارتباط بيرسون</w:t>
      </w:r>
      <w:r w:rsidRPr="00BB194B">
        <w:rPr>
          <w:rStyle w:val="Strong"/>
          <w:rFonts w:ascii="Sakkal Majalla" w:hAnsi="Sakkal Majalla" w:cs="Sakkal Majalla"/>
          <w:b w:val="0"/>
          <w:bCs w:val="0"/>
          <w:color w:val="000000" w:themeColor="text1"/>
          <w:sz w:val="28"/>
          <w:szCs w:val="28"/>
        </w:rPr>
        <w:t xml:space="preserve"> (Pearson Correlation)</w:t>
      </w:r>
      <w:r w:rsidR="007E2164" w:rsidRPr="00BB194B">
        <w:rPr>
          <w:rFonts w:ascii="Sakkal Majalla" w:hAnsi="Sakkal Majalla" w:cs="Sakkal Majalla" w:hint="cs"/>
          <w:color w:val="000000" w:themeColor="text1"/>
          <w:sz w:val="28"/>
          <w:szCs w:val="28"/>
          <w:rtl/>
        </w:rPr>
        <w:t xml:space="preserve"> </w:t>
      </w:r>
      <w:r w:rsidRPr="00BB194B">
        <w:rPr>
          <w:rFonts w:ascii="Sakkal Majalla" w:hAnsi="Sakkal Majalla" w:cs="Sakkal Majalla"/>
          <w:color w:val="000000" w:themeColor="text1"/>
          <w:sz w:val="28"/>
          <w:szCs w:val="28"/>
          <w:rtl/>
        </w:rPr>
        <w:t xml:space="preserve">لقياس </w:t>
      </w:r>
      <w:r w:rsidRPr="00BB194B">
        <w:rPr>
          <w:rStyle w:val="Strong"/>
          <w:rFonts w:ascii="Sakkal Majalla" w:hAnsi="Sakkal Majalla" w:cs="Sakkal Majalla"/>
          <w:b w:val="0"/>
          <w:bCs w:val="0"/>
          <w:color w:val="000000" w:themeColor="text1"/>
          <w:sz w:val="28"/>
          <w:szCs w:val="28"/>
          <w:rtl/>
        </w:rPr>
        <w:t>قوة واتجاه العلاقة</w:t>
      </w:r>
      <w:r w:rsidRPr="00BB194B">
        <w:rPr>
          <w:rFonts w:ascii="Sakkal Majalla" w:hAnsi="Sakkal Majalla" w:cs="Sakkal Majalla"/>
          <w:color w:val="000000" w:themeColor="text1"/>
          <w:sz w:val="28"/>
          <w:szCs w:val="28"/>
          <w:rtl/>
        </w:rPr>
        <w:t xml:space="preserve"> بين متغيرات الدراسة </w:t>
      </w:r>
    </w:p>
    <w:p w14:paraId="45F553E2" w14:textId="570EE899" w:rsidR="00465C40" w:rsidRPr="00BB194B" w:rsidRDefault="00465C40" w:rsidP="00D93D67">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B194B">
        <w:rPr>
          <w:rStyle w:val="Strong"/>
          <w:rFonts w:ascii="Sakkal Majalla" w:hAnsi="Sakkal Majalla" w:cs="Sakkal Majalla"/>
          <w:b w:val="0"/>
          <w:bCs w:val="0"/>
          <w:color w:val="000000" w:themeColor="text1"/>
          <w:sz w:val="28"/>
          <w:szCs w:val="28"/>
          <w:rtl/>
        </w:rPr>
        <w:t>تحليل الانحدار الخطي البسيط والمتعدد</w:t>
      </w:r>
      <w:r w:rsidRPr="00BB194B">
        <w:rPr>
          <w:rStyle w:val="Strong"/>
          <w:rFonts w:ascii="Sakkal Majalla" w:hAnsi="Sakkal Majalla" w:cs="Sakkal Majalla"/>
          <w:b w:val="0"/>
          <w:bCs w:val="0"/>
          <w:color w:val="000000" w:themeColor="text1"/>
          <w:sz w:val="28"/>
          <w:szCs w:val="28"/>
        </w:rPr>
        <w:t xml:space="preserve"> (Simple &amp; Multiple Regression Analysis)</w:t>
      </w:r>
      <w:r w:rsidRPr="00BB194B">
        <w:rPr>
          <w:rFonts w:ascii="Sakkal Majalla" w:hAnsi="Sakkal Majalla" w:cs="Sakkal Majalla"/>
          <w:color w:val="000000" w:themeColor="text1"/>
          <w:sz w:val="28"/>
          <w:szCs w:val="28"/>
        </w:rPr>
        <w:br/>
      </w:r>
      <w:r w:rsidRPr="00BB194B">
        <w:rPr>
          <w:rFonts w:ascii="Sakkal Majalla" w:hAnsi="Sakkal Majalla" w:cs="Sakkal Majalla"/>
          <w:color w:val="000000" w:themeColor="text1"/>
          <w:sz w:val="28"/>
          <w:szCs w:val="28"/>
          <w:rtl/>
        </w:rPr>
        <w:t xml:space="preserve">وذلك </w:t>
      </w:r>
      <w:r w:rsidRPr="00BB194B">
        <w:rPr>
          <w:rStyle w:val="Strong"/>
          <w:rFonts w:ascii="Sakkal Majalla" w:hAnsi="Sakkal Majalla" w:cs="Sakkal Majalla"/>
          <w:b w:val="0"/>
          <w:bCs w:val="0"/>
          <w:color w:val="000000" w:themeColor="text1"/>
          <w:sz w:val="28"/>
          <w:szCs w:val="28"/>
          <w:rtl/>
        </w:rPr>
        <w:t>لاختبار الفرضيات</w:t>
      </w:r>
      <w:r w:rsidRPr="00BB194B">
        <w:rPr>
          <w:rFonts w:ascii="Sakkal Majalla" w:hAnsi="Sakkal Majalla" w:cs="Sakkal Majalla"/>
          <w:color w:val="000000" w:themeColor="text1"/>
          <w:sz w:val="28"/>
          <w:szCs w:val="28"/>
          <w:rtl/>
        </w:rPr>
        <w:t xml:space="preserve"> المتعلقة </w:t>
      </w:r>
      <w:r w:rsidR="003832FC" w:rsidRPr="00BB194B">
        <w:rPr>
          <w:rFonts w:ascii="Sakkal Majalla" w:hAnsi="Sakkal Majalla" w:cs="Sakkal Majalla"/>
          <w:color w:val="000000" w:themeColor="text1"/>
          <w:sz w:val="28"/>
          <w:szCs w:val="28"/>
          <w:rtl/>
        </w:rPr>
        <w:t>لقياس أثر نضج إدارة المشاريع بأبعاده المختلفة على مستوى جاهزية مشاريع التشغيل والصيانة للتحول الرقمي في وزارة المالية</w:t>
      </w:r>
      <w:r w:rsidRPr="00BB194B">
        <w:rPr>
          <w:rFonts w:ascii="Sakkal Majalla" w:hAnsi="Sakkal Majalla" w:cs="Sakkal Majalla"/>
          <w:color w:val="000000" w:themeColor="text1"/>
          <w:sz w:val="28"/>
          <w:szCs w:val="28"/>
        </w:rPr>
        <w:t>.</w:t>
      </w:r>
    </w:p>
    <w:p w14:paraId="466A5D0B" w14:textId="4C01C3CC" w:rsidR="00D22171" w:rsidRPr="00BB194B" w:rsidRDefault="007E2164" w:rsidP="007E216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23401178"/>
      <w:r w:rsidRPr="00BB194B">
        <w:rPr>
          <w:rFonts w:ascii="Sakkal Majalla" w:hAnsi="Sakkal Majalla" w:cs="Sakkal Majalla" w:hint="cs"/>
          <w:b/>
          <w:bCs/>
          <w:color w:val="000000" w:themeColor="text1"/>
          <w:sz w:val="36"/>
          <w:szCs w:val="36"/>
          <w:rtl/>
        </w:rPr>
        <w:t xml:space="preserve">12.1 </w:t>
      </w:r>
      <w:r w:rsidR="00A74F76" w:rsidRPr="00BB194B">
        <w:rPr>
          <w:rFonts w:ascii="Sakkal Majalla" w:hAnsi="Sakkal Majalla" w:cs="Sakkal Majalla"/>
          <w:b/>
          <w:bCs/>
          <w:color w:val="000000" w:themeColor="text1"/>
          <w:sz w:val="36"/>
          <w:szCs w:val="36"/>
          <w:rtl/>
        </w:rPr>
        <w:t>حدود</w:t>
      </w:r>
      <w:r w:rsidR="00D22171" w:rsidRPr="00BB194B">
        <w:rPr>
          <w:rFonts w:ascii="Sakkal Majalla" w:hAnsi="Sakkal Majalla" w:cs="Sakkal Majalla"/>
          <w:b/>
          <w:bCs/>
          <w:color w:val="000000" w:themeColor="text1"/>
          <w:sz w:val="36"/>
          <w:szCs w:val="36"/>
          <w:rtl/>
        </w:rPr>
        <w:t xml:space="preserve"> الدراسة</w:t>
      </w:r>
      <w:r w:rsidR="00A74F76" w:rsidRPr="00BB194B">
        <w:rPr>
          <w:rFonts w:ascii="Sakkal Majalla" w:hAnsi="Sakkal Majalla" w:cs="Sakkal Majalla"/>
          <w:b/>
          <w:bCs/>
          <w:color w:val="000000" w:themeColor="text1"/>
          <w:sz w:val="36"/>
          <w:szCs w:val="36"/>
          <w:rtl/>
        </w:rPr>
        <w:t>:</w:t>
      </w:r>
      <w:bookmarkEnd w:id="25"/>
      <w:bookmarkEnd w:id="26"/>
    </w:p>
    <w:p w14:paraId="25A330B3" w14:textId="4CD9C2C2" w:rsidR="00CA49E9" w:rsidRPr="00BB194B" w:rsidRDefault="00053122" w:rsidP="007E216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b/>
          <w:bCs/>
          <w:color w:val="000000" w:themeColor="text1"/>
          <w:sz w:val="28"/>
          <w:szCs w:val="28"/>
          <w:rtl/>
        </w:rPr>
        <w:t>حدود موضوعية</w:t>
      </w:r>
      <w:r w:rsidRPr="00BB194B">
        <w:rPr>
          <w:rFonts w:ascii="Sakkal Majalla" w:hAnsi="Sakkal Majalla" w:cs="Sakkal Majalla"/>
          <w:color w:val="000000" w:themeColor="text1"/>
          <w:sz w:val="28"/>
          <w:szCs w:val="28"/>
          <w:rtl/>
        </w:rPr>
        <w:t xml:space="preserve">: </w:t>
      </w:r>
      <w:r w:rsidR="00582F34" w:rsidRPr="00BB194B">
        <w:rPr>
          <w:rFonts w:ascii="Sakkal Majalla" w:hAnsi="Sakkal Majalla" w:cs="Sakkal Majalla"/>
          <w:color w:val="000000" w:themeColor="text1"/>
          <w:sz w:val="28"/>
          <w:szCs w:val="28"/>
          <w:rtl/>
        </w:rPr>
        <w:t>تتناول هذه الدراسة أثر نضج إدارة المشاريع بأبعاده المحددة في الأدبيات (المنهجيات والإجراءات، الهيكل التنظيمي والدعم القيادي، المهارات والكفاءات، وأدوات وتقنيات إدارة المشاريع) على مستوى جاهزية مشاريع التشغيل والصيانة للتحول الرقمي في وزارة المالية</w:t>
      </w:r>
      <w:r w:rsidR="00812416" w:rsidRPr="00BB194B">
        <w:rPr>
          <w:rFonts w:ascii="Sakkal Majalla" w:hAnsi="Sakkal Majalla" w:cs="Sakkal Majalla"/>
          <w:color w:val="000000" w:themeColor="text1"/>
          <w:sz w:val="28"/>
          <w:szCs w:val="28"/>
        </w:rPr>
        <w:t>.</w:t>
      </w:r>
    </w:p>
    <w:p w14:paraId="7D403AAD" w14:textId="72BAC8C6" w:rsidR="00A60AAE" w:rsidRPr="00BB194B" w:rsidRDefault="00053122" w:rsidP="007E216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b/>
          <w:bCs/>
          <w:color w:val="000000" w:themeColor="text1"/>
          <w:sz w:val="28"/>
          <w:szCs w:val="28"/>
          <w:rtl/>
        </w:rPr>
        <w:t>حدود مكانية</w:t>
      </w:r>
      <w:r w:rsidRPr="00BB194B">
        <w:rPr>
          <w:rFonts w:ascii="Sakkal Majalla" w:hAnsi="Sakkal Majalla" w:cs="Sakkal Majalla"/>
          <w:color w:val="000000" w:themeColor="text1"/>
          <w:sz w:val="28"/>
          <w:szCs w:val="28"/>
          <w:rtl/>
        </w:rPr>
        <w:t xml:space="preserve">: </w:t>
      </w:r>
      <w:r w:rsidR="00582F34" w:rsidRPr="00BB194B">
        <w:rPr>
          <w:rFonts w:ascii="Sakkal Majalla" w:hAnsi="Sakkal Majalla" w:cs="Sakkal Majalla"/>
          <w:color w:val="000000" w:themeColor="text1"/>
          <w:sz w:val="28"/>
          <w:szCs w:val="28"/>
          <w:rtl/>
        </w:rPr>
        <w:t>تجري هذه الدراسة داخل وزارة المالية في المملكة العربية السعودية</w:t>
      </w:r>
      <w:r w:rsidR="00812416" w:rsidRPr="00BB194B">
        <w:rPr>
          <w:rFonts w:ascii="Sakkal Majalla" w:hAnsi="Sakkal Majalla" w:cs="Sakkal Majalla"/>
          <w:color w:val="000000" w:themeColor="text1"/>
          <w:sz w:val="28"/>
          <w:szCs w:val="28"/>
        </w:rPr>
        <w:t>.</w:t>
      </w:r>
    </w:p>
    <w:p w14:paraId="1ABED148" w14:textId="5B9C1C41" w:rsidR="00BC6C90" w:rsidRPr="00BB194B" w:rsidRDefault="00053122" w:rsidP="007E216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194B">
        <w:rPr>
          <w:rFonts w:ascii="Sakkal Majalla" w:hAnsi="Sakkal Majalla" w:cs="Sakkal Majalla"/>
          <w:b/>
          <w:bCs/>
          <w:color w:val="000000" w:themeColor="text1"/>
          <w:sz w:val="28"/>
          <w:szCs w:val="28"/>
          <w:rtl/>
        </w:rPr>
        <w:t>حدود زمانية</w:t>
      </w:r>
      <w:r w:rsidRPr="00BB194B">
        <w:rPr>
          <w:rFonts w:ascii="Sakkal Majalla" w:hAnsi="Sakkal Majalla" w:cs="Sakkal Majalla"/>
          <w:color w:val="000000" w:themeColor="text1"/>
          <w:sz w:val="28"/>
          <w:szCs w:val="28"/>
          <w:rtl/>
        </w:rPr>
        <w:t xml:space="preserve">: </w:t>
      </w:r>
      <w:r w:rsidR="000318AB" w:rsidRPr="00BB194B">
        <w:rPr>
          <w:rFonts w:ascii="Sakkal Majalla" w:hAnsi="Sakkal Majalla" w:cs="Sakkal Majalla"/>
          <w:color w:val="000000" w:themeColor="text1"/>
          <w:sz w:val="28"/>
          <w:szCs w:val="28"/>
          <w:rtl/>
        </w:rPr>
        <w:t>سيتم إجراء الدراسة خلال العام الأكاديمي 2025</w:t>
      </w:r>
      <w:r w:rsidR="00B346DF" w:rsidRPr="00BB194B">
        <w:rPr>
          <w:rFonts w:ascii="Sakkal Majalla" w:hAnsi="Sakkal Majalla" w:cs="Sakkal Majalla"/>
          <w:color w:val="000000" w:themeColor="text1"/>
          <w:sz w:val="28"/>
          <w:szCs w:val="28"/>
          <w:rtl/>
        </w:rPr>
        <w:t>.</w:t>
      </w:r>
    </w:p>
    <w:p w14:paraId="1777857D" w14:textId="0D1F93A8" w:rsidR="00817DAA" w:rsidRPr="00BB194B" w:rsidRDefault="00234448" w:rsidP="00234448">
      <w:pPr>
        <w:spacing w:before="100" w:beforeAutospacing="1" w:after="100" w:afterAutospacing="1"/>
        <w:jc w:val="center"/>
        <w:outlineLvl w:val="0"/>
        <w:rPr>
          <w:rFonts w:ascii="Sakkal Majalla" w:hAnsi="Sakkal Majalla" w:cs="Sakkal Majalla"/>
          <w:b/>
          <w:bCs/>
          <w:color w:val="000000" w:themeColor="text1"/>
          <w:sz w:val="40"/>
          <w:szCs w:val="40"/>
        </w:rPr>
      </w:pPr>
      <w:r w:rsidRPr="00BB194B">
        <w:rPr>
          <w:rFonts w:ascii="Sakkal Majalla" w:hAnsi="Sakkal Majalla" w:cs="Sakkal Majalla"/>
          <w:b/>
          <w:bCs/>
          <w:color w:val="000000" w:themeColor="text1"/>
          <w:sz w:val="40"/>
          <w:szCs w:val="40"/>
          <w:rtl/>
        </w:rPr>
        <w:br w:type="page"/>
      </w:r>
      <w:bookmarkStart w:id="27" w:name="_Toc223401179"/>
      <w:r w:rsidR="00817DAA" w:rsidRPr="00BB194B">
        <w:rPr>
          <w:rFonts w:ascii="Sakkal Majalla" w:hAnsi="Sakkal Majalla" w:cs="Sakkal Majalla"/>
          <w:b/>
          <w:bCs/>
          <w:color w:val="000000" w:themeColor="text1"/>
          <w:sz w:val="40"/>
          <w:szCs w:val="40"/>
          <w:rtl/>
        </w:rPr>
        <w:lastRenderedPageBreak/>
        <w:t>الفصل الثاني: الإطار النظري للدراسة</w:t>
      </w:r>
      <w:bookmarkEnd w:id="27"/>
    </w:p>
    <w:p w14:paraId="5F48CD4C" w14:textId="77777777" w:rsidR="00817DAA" w:rsidRPr="00BB194B" w:rsidRDefault="00817DAA" w:rsidP="0023444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401180"/>
      <w:r w:rsidRPr="00BB194B">
        <w:rPr>
          <w:rFonts w:ascii="Sakkal Majalla" w:hAnsi="Sakkal Majalla" w:cs="Sakkal Majalla"/>
          <w:b/>
          <w:bCs/>
          <w:color w:val="000000" w:themeColor="text1"/>
          <w:sz w:val="36"/>
          <w:szCs w:val="36"/>
          <w:rtl/>
        </w:rPr>
        <w:t>المبحث الأوّل: نضج إدارة المشاريع</w:t>
      </w:r>
      <w:bookmarkEnd w:id="28"/>
    </w:p>
    <w:p w14:paraId="06F8C1FE" w14:textId="25DB739B"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01181"/>
      <w:r w:rsidRPr="00BB194B">
        <w:rPr>
          <w:rFonts w:ascii="Sakkal Majalla" w:hAnsi="Sakkal Majalla" w:cs="Sakkal Majalla"/>
          <w:b/>
          <w:bCs/>
          <w:color w:val="000000" w:themeColor="text1"/>
          <w:sz w:val="32"/>
          <w:szCs w:val="32"/>
        </w:rPr>
        <w:t>1.1.2</w:t>
      </w:r>
      <w:r w:rsidR="00817DAA" w:rsidRPr="00BB194B">
        <w:rPr>
          <w:rFonts w:ascii="Sakkal Majalla" w:hAnsi="Sakkal Majalla" w:cs="Sakkal Majalla"/>
          <w:b/>
          <w:bCs/>
          <w:color w:val="000000" w:themeColor="text1"/>
          <w:sz w:val="32"/>
          <w:szCs w:val="32"/>
          <w:rtl/>
        </w:rPr>
        <w:t xml:space="preserve"> تمهيد</w:t>
      </w:r>
      <w:bookmarkEnd w:id="29"/>
    </w:p>
    <w:p w14:paraId="1036D78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شهدت بيئة الأعمال المعاصرة تحوّلات متسارعة فرضت على المنظمات — الحكومية والخاصة على حدٍّ سواء — إعادة تقييم الأساليب التي تدير بها مشاريعها، ولم يعد مجرّد إنجاز المشروع في حدود الوقت والتكلفة والنطاق كافيًا لضمان التنافسية أو تحقيق القيمة المؤسسية المستدامة. وقد أفرزت هذه الضغوط اهتمامًا أكاديميًّا ومهنيًّا متصاعدًا بمفهوم "نضج إدارة المشاريع</w:t>
      </w:r>
      <w:r w:rsidRPr="00BB194B">
        <w:rPr>
          <w:rFonts w:ascii="Sakkal Majalla" w:hAnsi="Sakkal Majalla" w:cs="Sakkal Majalla"/>
          <w:color w:val="000000" w:themeColor="text1"/>
          <w:sz w:val="28"/>
          <w:szCs w:val="28"/>
        </w:rPr>
        <w:t xml:space="preserve">" (Project Management Maturity) </w:t>
      </w:r>
      <w:r w:rsidRPr="00BB194B">
        <w:rPr>
          <w:rFonts w:ascii="Sakkal Majalla" w:hAnsi="Sakkal Majalla" w:cs="Sakkal Majalla"/>
          <w:color w:val="000000" w:themeColor="text1"/>
          <w:sz w:val="28"/>
          <w:szCs w:val="28"/>
          <w:rtl/>
        </w:rPr>
        <w:t>بوصفه إطارًا تقييميًّا وتطويريًّا يُمكّن المنظمة من الانتقال التدريجي من ممارسات عشوائية إلى ممارسات معيارية قابلة للقياس والتحسين المستمر. وقد نشأ هذا المفهوم تاريخيًّا من نموذج نضج القدرات</w:t>
      </w:r>
      <w:r w:rsidRPr="00BB194B">
        <w:rPr>
          <w:rFonts w:ascii="Sakkal Majalla" w:hAnsi="Sakkal Majalla" w:cs="Sakkal Majalla"/>
          <w:color w:val="000000" w:themeColor="text1"/>
          <w:sz w:val="28"/>
          <w:szCs w:val="28"/>
        </w:rPr>
        <w:t xml:space="preserve"> (CMM) </w:t>
      </w:r>
      <w:r w:rsidRPr="00BB194B">
        <w:rPr>
          <w:rFonts w:ascii="Sakkal Majalla" w:hAnsi="Sakkal Majalla" w:cs="Sakkal Majalla"/>
          <w:color w:val="000000" w:themeColor="text1"/>
          <w:sz w:val="28"/>
          <w:szCs w:val="28"/>
          <w:rtl/>
        </w:rPr>
        <w:t>الذي طوّره معهد هندسة البرمجيات في ثمانينيات القرن العشرين، ثم امتدّ لاحقًا إلى حقل إدارة المشاريع عبر نماذج متعدّدة أبرزها</w:t>
      </w:r>
      <w:r w:rsidRPr="00BB194B">
        <w:rPr>
          <w:rFonts w:ascii="Sakkal Majalla" w:hAnsi="Sakkal Majalla" w:cs="Sakkal Majalla"/>
          <w:color w:val="000000" w:themeColor="text1"/>
          <w:sz w:val="28"/>
          <w:szCs w:val="28"/>
        </w:rPr>
        <w:t xml:space="preserve"> OPM3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 xml:space="preserve">P3M3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KPMMM</w:t>
      </w:r>
      <w:r w:rsidRPr="00BB194B">
        <w:rPr>
          <w:rFonts w:ascii="Sakkal Majalla" w:hAnsi="Sakkal Majalla" w:cs="Sakkal Majalla"/>
          <w:color w:val="000000" w:themeColor="text1"/>
          <w:sz w:val="28"/>
          <w:szCs w:val="28"/>
          <w:rtl/>
        </w:rPr>
        <w:t>، قبل أن يتّسع نطاقه ليشمل أبعاد الرقمنة والصناعة الرابعة في النماذج الأحدث</w:t>
      </w:r>
      <w:r w:rsidRPr="00BB194B">
        <w:rPr>
          <w:rFonts w:ascii="Sakkal Majalla" w:hAnsi="Sakkal Majalla" w:cs="Sakkal Majalla"/>
          <w:color w:val="000000" w:themeColor="text1"/>
          <w:sz w:val="28"/>
          <w:szCs w:val="28"/>
        </w:rPr>
        <w:t>.</w:t>
      </w:r>
    </w:p>
    <w:p w14:paraId="22F76755"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وتتجلّى أهمية هذا المبحث في سياق مشاريع التشغيل والصيانة بوزارة المالية، إذ تتّسم هذه المشاريع بطبيعة تكرارية مستمرة تتطلّب مستوى عالٍ من التوحيد المنهجي والانضباط الإجرائي والدعم القيادي المؤسسي، فضلًا عن كوادر مؤهّلة وأدوات تقنية متكاملة. ومن هنا يسعى هذا المبحث إلى استعراض مفهوم نضج إدارة المشاريع وتعريفاته، ثم بيان أهميته وأهدافه، وصولًا إلى تحديد أبعاده الأربعة المعتمدة في هذه الدراسة، واستراتيجيات تطويره، ونماذج قياسه، والعوامل المؤثّرة فيه</w:t>
      </w:r>
      <w:r w:rsidRPr="00BB194B">
        <w:rPr>
          <w:rFonts w:ascii="Sakkal Majalla" w:hAnsi="Sakkal Majalla" w:cs="Sakkal Majalla"/>
          <w:color w:val="000000" w:themeColor="text1"/>
          <w:sz w:val="28"/>
          <w:szCs w:val="28"/>
        </w:rPr>
        <w:t>.</w:t>
      </w:r>
    </w:p>
    <w:p w14:paraId="2F6B1669" w14:textId="512D41DD"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01182"/>
      <w:r w:rsidRPr="00BB194B">
        <w:rPr>
          <w:rFonts w:ascii="Sakkal Majalla" w:hAnsi="Sakkal Majalla" w:cs="Sakkal Majalla"/>
          <w:b/>
          <w:bCs/>
          <w:color w:val="000000" w:themeColor="text1"/>
          <w:sz w:val="32"/>
          <w:szCs w:val="32"/>
        </w:rPr>
        <w:t>2.1.2</w:t>
      </w:r>
      <w:r w:rsidRPr="00BB194B">
        <w:rPr>
          <w:rFonts w:ascii="Sakkal Majalla" w:hAnsi="Sakkal Majalla" w:cs="Sakkal Majalla" w:hint="cs"/>
          <w:b/>
          <w:bCs/>
          <w:color w:val="000000" w:themeColor="text1"/>
          <w:sz w:val="32"/>
          <w:szCs w:val="32"/>
          <w:rtl/>
          <w:lang w:bidi="ar-EG"/>
        </w:rPr>
        <w:t xml:space="preserve"> </w:t>
      </w:r>
      <w:r w:rsidR="00817DAA" w:rsidRPr="00BB194B">
        <w:rPr>
          <w:rFonts w:ascii="Sakkal Majalla" w:hAnsi="Sakkal Majalla" w:cs="Sakkal Majalla"/>
          <w:b/>
          <w:bCs/>
          <w:color w:val="000000" w:themeColor="text1"/>
          <w:sz w:val="32"/>
          <w:szCs w:val="32"/>
          <w:rtl/>
        </w:rPr>
        <w:t>مفهوم نضج إدارة المشاريع</w:t>
      </w:r>
      <w:bookmarkEnd w:id="30"/>
    </w:p>
    <w:p w14:paraId="3A47911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تعدّدت التعريفات التي قدّمها الباحثون لمفهوم نضج إدارة المشاريع، وإن التقت جميعها حول فكرة محورية مفادها أنّ النضج يعكس مدى تطوّر القدرات المؤسسية في تخطيط المشاريع وتنفيذها </w:t>
      </w:r>
      <w:r w:rsidRPr="00BB194B">
        <w:rPr>
          <w:rFonts w:ascii="Sakkal Majalla" w:hAnsi="Sakkal Majalla" w:cs="Sakkal Majalla"/>
          <w:color w:val="000000" w:themeColor="text1"/>
          <w:sz w:val="28"/>
          <w:szCs w:val="28"/>
          <w:rtl/>
        </w:rPr>
        <w:lastRenderedPageBreak/>
        <w:t>ومراقبتها وفق منهجيات واضحة قابلة للتكرار والتحسين. وفي هذا الإطار يُعرّف</w:t>
      </w:r>
      <w:r w:rsidRPr="00BB194B">
        <w:rPr>
          <w:rFonts w:ascii="Sakkal Majalla" w:hAnsi="Sakkal Majalla" w:cs="Sakkal Majalla"/>
          <w:color w:val="000000" w:themeColor="text1"/>
          <w:sz w:val="28"/>
          <w:szCs w:val="28"/>
        </w:rPr>
        <w:t xml:space="preserve"> Al-</w:t>
      </w:r>
      <w:proofErr w:type="spellStart"/>
      <w:r w:rsidRPr="00BB194B">
        <w:rPr>
          <w:rFonts w:ascii="Sakkal Majalla" w:hAnsi="Sakkal Majalla" w:cs="Sakkal Majalla"/>
          <w:color w:val="000000" w:themeColor="text1"/>
          <w:sz w:val="28"/>
          <w:szCs w:val="28"/>
        </w:rPr>
        <w:t>Marri</w:t>
      </w:r>
      <w:proofErr w:type="spellEnd"/>
      <w:r w:rsidRPr="00BB194B">
        <w:rPr>
          <w:rFonts w:ascii="Sakkal Majalla" w:hAnsi="Sakkal Majalla" w:cs="Sakkal Majalla"/>
          <w:color w:val="000000" w:themeColor="text1"/>
          <w:sz w:val="28"/>
          <w:szCs w:val="28"/>
        </w:rPr>
        <w:t xml:space="preserve"> et al. (2025) </w:t>
      </w:r>
      <w:r w:rsidRPr="00BB194B">
        <w:rPr>
          <w:rFonts w:ascii="Sakkal Majalla" w:hAnsi="Sakkal Majalla" w:cs="Sakkal Majalla"/>
          <w:color w:val="000000" w:themeColor="text1"/>
          <w:sz w:val="28"/>
          <w:szCs w:val="28"/>
          <w:rtl/>
        </w:rPr>
        <w:t>نضج إدارة المشاريع بأنّه التطوّر التراكمي لعمليات وممارسات إدارة المشاريع داخل المنظمة، بحيث تنتقل هذه الممارسات من حالة عشوائية مبعثرة إلى منظومة معيارية مُحكَمة تدعمها هياكل حوكمة واضحة وتوجّهات استراتيجية متّسقة. ويُضيف هذا التعريف بُعدًا تنظيميًّا يتجاوز البُعد الإجرائي، إذ يربط النضج بقدرة المنظمة على مواءمة مشاريعها مع أهدافها الاستراتيجية الكبرى</w:t>
      </w:r>
      <w:r w:rsidRPr="00BB194B">
        <w:rPr>
          <w:rFonts w:ascii="Sakkal Majalla" w:hAnsi="Sakkal Majalla" w:cs="Sakkal Majalla"/>
          <w:color w:val="000000" w:themeColor="text1"/>
          <w:sz w:val="28"/>
          <w:szCs w:val="28"/>
        </w:rPr>
        <w:t>.</w:t>
      </w:r>
    </w:p>
    <w:p w14:paraId="6694E143"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ويتّسع مفهوم النضج لدى</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ليشمل البُعد الثقافي والتميّز المؤسسي، حيث يُنظر إلى نضج إدارة المشاريع بوصفه حالة مؤسسية شاملة تتكامل فيها الممارسات المنهجية مع ثقافة تنظيمية داعمة للتحسين المستمر، وترتبط ارتباطًا وثيقًا بمعايير التميّز المؤسسي الدولية. ويُبرز هذا التوجّه أنّ النضج ليس مجرّد التزام بالعمليات بل هو انعكاس لمنظومة قِيَمية ترى في المشروع أداة لتحقيق الجودة الشاملة</w:t>
      </w:r>
      <w:r w:rsidRPr="00BB194B">
        <w:rPr>
          <w:rFonts w:ascii="Sakkal Majalla" w:hAnsi="Sakkal Majalla" w:cs="Sakkal Majalla"/>
          <w:color w:val="000000" w:themeColor="text1"/>
          <w:sz w:val="28"/>
          <w:szCs w:val="28"/>
        </w:rPr>
        <w:t>.</w:t>
      </w:r>
    </w:p>
    <w:p w14:paraId="7892A7F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ومن زاوية تنافسية، يُشير</w:t>
      </w:r>
      <w:r w:rsidRPr="00BB194B">
        <w:rPr>
          <w:rFonts w:ascii="Sakkal Majalla" w:hAnsi="Sakkal Majalla" w:cs="Sakkal Majalla"/>
          <w:color w:val="000000" w:themeColor="text1"/>
          <w:sz w:val="28"/>
          <w:szCs w:val="28"/>
        </w:rPr>
        <w:t xml:space="preserve"> Huang et al. (2023) </w:t>
      </w:r>
      <w:r w:rsidRPr="00BB194B">
        <w:rPr>
          <w:rFonts w:ascii="Sakkal Majalla" w:hAnsi="Sakkal Majalla" w:cs="Sakkal Majalla"/>
          <w:color w:val="000000" w:themeColor="text1"/>
          <w:sz w:val="28"/>
          <w:szCs w:val="28"/>
          <w:rtl/>
        </w:rPr>
        <w:t>إلى أنّ نضج إدارة المشاريع يُمثّل مستوى التطوّر المؤسسي الذي يُمكِّن المنظمة من استثمار قدراتها في إدارة المشاريع لتحقيق مزايا تنافسية ملموسة، لا سيّما في سياق المنافسة على العقود والمناقصات. ويُسلّط هذا التعريف الضوء على القيمة الاقتصادية المباشرة للنضج، إذ لا يُحسّن فقط الأداء الداخلي بل يُعزّز الموقف التنافسي الخارجي للمنظمة</w:t>
      </w:r>
      <w:r w:rsidRPr="00BB194B">
        <w:rPr>
          <w:rFonts w:ascii="Sakkal Majalla" w:hAnsi="Sakkal Majalla" w:cs="Sakkal Majalla"/>
          <w:color w:val="000000" w:themeColor="text1"/>
          <w:sz w:val="28"/>
          <w:szCs w:val="28"/>
        </w:rPr>
        <w:t>.</w:t>
      </w:r>
    </w:p>
    <w:p w14:paraId="2D43C79E"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ومن منظور عملي إجرائي، يتناول</w:t>
      </w:r>
      <w:r w:rsidRPr="00BB194B">
        <w:rPr>
          <w:rFonts w:ascii="Sakkal Majalla" w:hAnsi="Sakkal Majalla" w:cs="Sakkal Majalla"/>
          <w:color w:val="000000" w:themeColor="text1"/>
          <w:sz w:val="28"/>
          <w:szCs w:val="28"/>
        </w:rPr>
        <w:t xml:space="preserve"> Machado et al. (2023) </w:t>
      </w:r>
      <w:r w:rsidRPr="00BB194B">
        <w:rPr>
          <w:rFonts w:ascii="Sakkal Majalla" w:hAnsi="Sakkal Majalla" w:cs="Sakkal Majalla"/>
          <w:color w:val="000000" w:themeColor="text1"/>
          <w:sz w:val="28"/>
          <w:szCs w:val="28"/>
          <w:rtl/>
        </w:rPr>
        <w:t>النضج بوصفه قدرة المنظمة على تبنّي نموذج تقييمي ملائم لطبيعة مشاريعها وسياقها التشغيلي، بحيث يعكس النموذج خصائص القطاع وحجم المؤسسة ونوعية مشاريعها، وليس مجرّد تطبيق حرفي لنماذج جاهزة. ويُبرز هذا التعريف ضرورة التكييف السياقي لنماذج النضج، وهو أمر بالغ الأهمية في مشاريع التشغيل والصيانة ذات الخصائص المتمايزة عن مشاريع التشييد التقليدية</w:t>
      </w:r>
      <w:r w:rsidRPr="00BB194B">
        <w:rPr>
          <w:rFonts w:ascii="Sakkal Majalla" w:hAnsi="Sakkal Majalla" w:cs="Sakkal Majalla"/>
          <w:color w:val="000000" w:themeColor="text1"/>
          <w:sz w:val="28"/>
          <w:szCs w:val="28"/>
        </w:rPr>
        <w:t>.</w:t>
      </w:r>
    </w:p>
    <w:p w14:paraId="1C4DB41E"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أمّا على صعيد الرقمنة، فيُوسّع</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 xml:space="preserve">حدود المفهوم بإضافة بُعد النضج التقني، مشيرةً إلى أنّ نضج إدارة المشاريع يتضمّن — إلى جانب المنهجيات والعمليات — مستوى تطوّر الأدوات التقنية والرقمية التي تعتمدها المنظمة في إدارة مشاريعها، مع التأكيد على أنّ النضج التقني وحده لا يكفي </w:t>
      </w:r>
      <w:r w:rsidRPr="00BB194B">
        <w:rPr>
          <w:rFonts w:ascii="Sakkal Majalla" w:hAnsi="Sakkal Majalla" w:cs="Sakkal Majalla"/>
          <w:color w:val="000000" w:themeColor="text1"/>
          <w:sz w:val="28"/>
          <w:szCs w:val="28"/>
          <w:rtl/>
        </w:rPr>
        <w:lastRenderedPageBreak/>
        <w:t>ما لم يقترن بدعم إداري ملائم وبرامج تدريبية مستمرة. ويُقدّم هذا التعريف إضافة نوعية للأدبيات إذ يُفكّك الافتراض الشائع بأنّ امتلاك أدوات تقنية متقدّمة يعني تلقائيًّا ارتفاع مستوى النضج</w:t>
      </w:r>
      <w:r w:rsidRPr="00BB194B">
        <w:rPr>
          <w:rFonts w:ascii="Sakkal Majalla" w:hAnsi="Sakkal Majalla" w:cs="Sakkal Majalla"/>
          <w:color w:val="000000" w:themeColor="text1"/>
          <w:sz w:val="28"/>
          <w:szCs w:val="28"/>
        </w:rPr>
        <w:t>.</w:t>
      </w:r>
    </w:p>
    <w:p w14:paraId="6C03B3D2"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وعلى المستوى العربي، يتناول جاسم</w:t>
      </w:r>
      <w:r w:rsidRPr="00BB194B">
        <w:rPr>
          <w:rFonts w:ascii="Sakkal Majalla" w:hAnsi="Sakkal Majalla" w:cs="Sakkal Majalla"/>
          <w:color w:val="000000" w:themeColor="text1"/>
          <w:sz w:val="28"/>
          <w:szCs w:val="28"/>
        </w:rPr>
        <w:t xml:space="preserve"> (2023) </w:t>
      </w:r>
      <w:r w:rsidRPr="00BB194B">
        <w:rPr>
          <w:rFonts w:ascii="Sakkal Majalla" w:hAnsi="Sakkal Majalla" w:cs="Sakkal Majalla"/>
          <w:color w:val="000000" w:themeColor="text1"/>
          <w:sz w:val="28"/>
          <w:szCs w:val="28"/>
          <w:rtl/>
        </w:rPr>
        <w:t>مفهوم النضج الرقمي في سياق إدارة المعرفة الذكية، إذ يُعرّف النضج بوصفه مستوى الجاهزية المؤسسية لتوظيف الأدوات الرقمية في إنتاج المعرفة وتخزينها ومشاركتها واسترجاعها، وهو تعريف يربط النضج بالرأسمال المعرفي الرقمي للمنظمة. ويُقدّم كراز (2023) تعريفًا يتّصل بقطاع الخدمات الحكومية، حيث يُنظر إلى نضج إدارة المشاريع بأنّه مدى قدرة المؤسسات البلدية على تطبيق ممارسات منهجية في إدارة مشاريعها الهندسية بما يتوافق مع متطلّبات التحوّل الرقمي. كما يُشير بشميل (2024) إلى أنّ النضج في إدارة المشاريع يعكس كفاءة المنظمة في توظيف منهجيات وأدوات إدارة المشاريع بما يُعزّز الأداء التشغيلي ويرفع مستوى الإنتاجية في بيئة المشروع</w:t>
      </w:r>
      <w:r w:rsidRPr="00BB194B">
        <w:rPr>
          <w:rFonts w:ascii="Sakkal Majalla" w:hAnsi="Sakkal Majalla" w:cs="Sakkal Majalla"/>
          <w:color w:val="000000" w:themeColor="text1"/>
          <w:sz w:val="28"/>
          <w:szCs w:val="28"/>
        </w:rPr>
        <w:t>.</w:t>
      </w:r>
    </w:p>
    <w:p w14:paraId="65165FB8"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رأي الباحث</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بناءً على ما تقدّم من تعريفات، يرى الباحث أنّ نضج إدارة المشاريع يُمثّل حالة مؤسسية ديناميكية متعدّدة الأبعاد، تعكس مدى تطوّر المنظمة في تبنّي منهجيات إدارة مشاريع موحّدة وقابلة للقياس، مدعومة بهيكل تنظيمي داعم وقيادة فاعلة، وكوادر بشرية ذات كفاءات متخصّصة، وأدوات تقنية متكاملة، وذلك بما يُمكّنها من تنفيذ مشاريعها بكفاءة واتّساق ويُهيّئها للتكيّف مع متطلّبات التحوّل الرقمي. وفي سياق مشاريع التشغيل والصيانة بوزارة المالية، يُعبّر النضج عن انتقال هذه المشاريع من إدارة ارتجالية ردّ فعلية إلى إدارة استباقية ممنهجة تستند إلى أفضل الممارسات وتُوظّف التقنية الرقمية بوصفها ركيزة أساسية للتطوير المستمر</w:t>
      </w:r>
      <w:r w:rsidRPr="00BB194B">
        <w:rPr>
          <w:rFonts w:ascii="Sakkal Majalla" w:hAnsi="Sakkal Majalla" w:cs="Sakkal Majalla"/>
          <w:color w:val="000000" w:themeColor="text1"/>
          <w:sz w:val="28"/>
          <w:szCs w:val="28"/>
        </w:rPr>
        <w:t>.</w:t>
      </w:r>
    </w:p>
    <w:p w14:paraId="41042B09" w14:textId="35C4DAD0"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401183"/>
      <w:r w:rsidRPr="00BB194B">
        <w:rPr>
          <w:rFonts w:ascii="Sakkal Majalla" w:hAnsi="Sakkal Majalla" w:cs="Sakkal Majalla" w:hint="cs"/>
          <w:b/>
          <w:bCs/>
          <w:color w:val="000000" w:themeColor="text1"/>
          <w:sz w:val="32"/>
          <w:szCs w:val="32"/>
          <w:rtl/>
        </w:rPr>
        <w:t xml:space="preserve">3.1.2 </w:t>
      </w:r>
      <w:r w:rsidR="00817DAA" w:rsidRPr="00BB194B">
        <w:rPr>
          <w:rFonts w:ascii="Sakkal Majalla" w:hAnsi="Sakkal Majalla" w:cs="Sakkal Majalla"/>
          <w:b/>
          <w:bCs/>
          <w:color w:val="000000" w:themeColor="text1"/>
          <w:sz w:val="32"/>
          <w:szCs w:val="32"/>
          <w:rtl/>
        </w:rPr>
        <w:t>أهمية نضج إدارة المشاريع</w:t>
      </w:r>
      <w:bookmarkEnd w:id="31"/>
    </w:p>
    <w:p w14:paraId="57F3BCFA"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يحتلّ نضج إدارة المشاريع مكانة محورية في الأدبيات الإدارية المعاصرة، ليس بوصفه مفهومًا نظريًّا مجرّدًا فحسب، بل بوصفه أداةً عمليةً تُمكّن المنظمات من قياس أدائها الحالي وتحديد مسارات التطوير المستقبلية. وتتعاظم هذه الأهمية في المنظمات الحكومية التي تُدير مشاريع تشغيل وصيانة مستمرة، إذ تفرض طبيعة هذه المشاريع التكرارية ضرورة وجود منظومة ناضجة تُحقّق الاتّساق وتُقلّل الهدر وتُعزّز </w:t>
      </w:r>
      <w:r w:rsidRPr="00BB194B">
        <w:rPr>
          <w:rFonts w:ascii="Sakkal Majalla" w:hAnsi="Sakkal Majalla" w:cs="Sakkal Majalla"/>
          <w:color w:val="000000" w:themeColor="text1"/>
          <w:sz w:val="28"/>
          <w:szCs w:val="28"/>
          <w:rtl/>
        </w:rPr>
        <w:lastRenderedPageBreak/>
        <w:t>جودة المخرجات</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وقد سلّط عدد من الباحثين الضوء على جوانب متعدّدة لهذه الأهمية من زوايا نظرية وتطبيقية مختلفة</w:t>
      </w:r>
      <w:r w:rsidRPr="00BB194B">
        <w:rPr>
          <w:rFonts w:ascii="Sakkal Majalla" w:hAnsi="Sakkal Majalla" w:cs="Sakkal Majalla"/>
          <w:color w:val="000000" w:themeColor="text1"/>
          <w:sz w:val="28"/>
          <w:szCs w:val="28"/>
        </w:rPr>
        <w:t>.</w:t>
      </w:r>
    </w:p>
    <w:p w14:paraId="3E1D719E"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يُشير</w:t>
      </w:r>
      <w:r w:rsidRPr="00BB194B">
        <w:rPr>
          <w:rFonts w:ascii="Sakkal Majalla" w:hAnsi="Sakkal Majalla" w:cs="Sakkal Majalla"/>
          <w:color w:val="000000" w:themeColor="text1"/>
          <w:sz w:val="28"/>
          <w:szCs w:val="28"/>
        </w:rPr>
        <w:t xml:space="preserve"> Al-</w:t>
      </w:r>
      <w:proofErr w:type="spellStart"/>
      <w:r w:rsidRPr="00BB194B">
        <w:rPr>
          <w:rFonts w:ascii="Sakkal Majalla" w:hAnsi="Sakkal Majalla" w:cs="Sakkal Majalla"/>
          <w:color w:val="000000" w:themeColor="text1"/>
          <w:sz w:val="28"/>
          <w:szCs w:val="28"/>
        </w:rPr>
        <w:t>Marri</w:t>
      </w:r>
      <w:proofErr w:type="spellEnd"/>
      <w:r w:rsidRPr="00BB194B">
        <w:rPr>
          <w:rFonts w:ascii="Sakkal Majalla" w:hAnsi="Sakkal Majalla" w:cs="Sakkal Majalla"/>
          <w:color w:val="000000" w:themeColor="text1"/>
          <w:sz w:val="28"/>
          <w:szCs w:val="28"/>
        </w:rPr>
        <w:t xml:space="preserve"> et al. (2025) </w:t>
      </w:r>
      <w:r w:rsidRPr="00BB194B">
        <w:rPr>
          <w:rFonts w:ascii="Sakkal Majalla" w:hAnsi="Sakkal Majalla" w:cs="Sakkal Majalla"/>
          <w:color w:val="000000" w:themeColor="text1"/>
          <w:sz w:val="28"/>
          <w:szCs w:val="28"/>
          <w:rtl/>
        </w:rPr>
        <w:t xml:space="preserve">إلى أنّ أهمية نضج إدارة المشاريع تتجلّى في عدّة محاور: </w:t>
      </w:r>
    </w:p>
    <w:p w14:paraId="5E90AFD2" w14:textId="77777777" w:rsidR="00234448" w:rsidRPr="00BB194B" w:rsidRDefault="00817DAA" w:rsidP="00D93D67">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تمكين المنظمات من مواءمة محافظها المشروعية مع توجّهاتها الاستراتيجية، بحيث لا يكون المشروع غاية في ذاته </w:t>
      </w:r>
      <w:r w:rsidR="00234448" w:rsidRPr="00BB194B">
        <w:rPr>
          <w:rFonts w:ascii="Sakkal Majalla" w:hAnsi="Sakkal Majalla" w:cs="Sakkal Majalla"/>
          <w:color w:val="000000" w:themeColor="text1"/>
          <w:sz w:val="28"/>
          <w:szCs w:val="28"/>
          <w:rtl/>
        </w:rPr>
        <w:t xml:space="preserve">بل وسيلة لتحقيق أهداف أوسع؛ </w:t>
      </w:r>
    </w:p>
    <w:p w14:paraId="1E0AFF9C" w14:textId="77777777" w:rsidR="00234448" w:rsidRPr="00BB194B" w:rsidRDefault="00817DAA" w:rsidP="00D93D67">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توفير إطار معياري لقياس الأداء المؤسسي والمقارنة المرجعية بين </w:t>
      </w:r>
      <w:r w:rsidR="00234448" w:rsidRPr="00BB194B">
        <w:rPr>
          <w:rFonts w:ascii="Sakkal Majalla" w:hAnsi="Sakkal Majalla" w:cs="Sakkal Majalla"/>
          <w:color w:val="000000" w:themeColor="text1"/>
          <w:sz w:val="28"/>
          <w:szCs w:val="28"/>
          <w:rtl/>
        </w:rPr>
        <w:t>الوحدات التنظيمية المختلفة؛ (</w:t>
      </w:r>
    </w:p>
    <w:p w14:paraId="0ED41539" w14:textId="77777777" w:rsidR="00234448" w:rsidRPr="00BB194B" w:rsidRDefault="00817DAA" w:rsidP="00D93D67">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دعم الاستدامة المؤسسية من خلال بناء قدرات تنظيمية تراكمية لا تعتمد على الأف</w:t>
      </w:r>
      <w:r w:rsidR="00234448" w:rsidRPr="00BB194B">
        <w:rPr>
          <w:rFonts w:ascii="Sakkal Majalla" w:hAnsi="Sakkal Majalla" w:cs="Sakkal Majalla"/>
          <w:color w:val="000000" w:themeColor="text1"/>
          <w:sz w:val="28"/>
          <w:szCs w:val="28"/>
          <w:rtl/>
        </w:rPr>
        <w:t xml:space="preserve">راد بل على النظم والعمليات؛ </w:t>
      </w:r>
    </w:p>
    <w:p w14:paraId="3CA5B250" w14:textId="793ED524" w:rsidR="00817DAA" w:rsidRPr="00BB194B" w:rsidRDefault="00817DAA" w:rsidP="00D93D67">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تعزيز قدرة المنظمة على التكيّف مع التحوّلات البيئية المتسارعة، بما في ذلك التحوّل الرقمي والمتطلّبات التنظيمية المتجدّدة</w:t>
      </w:r>
      <w:r w:rsidRPr="00BB194B">
        <w:rPr>
          <w:rFonts w:ascii="Sakkal Majalla" w:hAnsi="Sakkal Majalla" w:cs="Sakkal Majalla"/>
          <w:color w:val="000000" w:themeColor="text1"/>
          <w:sz w:val="28"/>
          <w:szCs w:val="28"/>
        </w:rPr>
        <w:t>.</w:t>
      </w:r>
    </w:p>
    <w:p w14:paraId="3BB68BB1"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ويرى</w:t>
      </w:r>
      <w:r w:rsidRPr="00BB194B">
        <w:rPr>
          <w:rFonts w:ascii="Sakkal Majalla" w:hAnsi="Sakkal Majalla" w:cs="Sakkal Majalla"/>
          <w:color w:val="000000" w:themeColor="text1"/>
          <w:sz w:val="28"/>
          <w:szCs w:val="28"/>
        </w:rPr>
        <w:t xml:space="preserve"> Huang et al. (2023) </w:t>
      </w:r>
      <w:r w:rsidRPr="00BB194B">
        <w:rPr>
          <w:rFonts w:ascii="Sakkal Majalla" w:hAnsi="Sakkal Majalla" w:cs="Sakkal Majalla"/>
          <w:color w:val="000000" w:themeColor="text1"/>
          <w:sz w:val="28"/>
          <w:szCs w:val="28"/>
          <w:rtl/>
        </w:rPr>
        <w:t>أنّ أهمية النضج تمتد إلى البُعد التنافسي الخارجي، إذ تبرز في: (1) تحسين فرص المنظمة في الفوز بالعقود والمناقصات من خلال إظهار قدرات مؤسسية موثوقة؛ (2) بناء سمعة مؤسسية قائمة على الموثوقية والالتزام، ممّا يُعزّز ثقة العملاء وأصحاب المصلحة؛ (3) تقليل المخاطر المشروعية عبر منهجيات مُحكَمة لتحديد المخاطر وتقييمها والاستجابة لها؛ (4) رفع كفاءة تخصيص الموارد البشرية والمالية والتقنية بين المشاريع المتزامنة</w:t>
      </w:r>
      <w:r w:rsidRPr="00BB194B">
        <w:rPr>
          <w:rFonts w:ascii="Sakkal Majalla" w:hAnsi="Sakkal Majalla" w:cs="Sakkal Majalla"/>
          <w:color w:val="000000" w:themeColor="text1"/>
          <w:sz w:val="28"/>
          <w:szCs w:val="28"/>
        </w:rPr>
        <w:t>.</w:t>
      </w:r>
    </w:p>
    <w:p w14:paraId="7A83BEBA"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ويرى</w:t>
      </w:r>
      <w:r w:rsidRPr="00BB194B">
        <w:rPr>
          <w:rFonts w:ascii="Sakkal Majalla" w:hAnsi="Sakkal Majalla" w:cs="Sakkal Majalla"/>
          <w:color w:val="000000" w:themeColor="text1"/>
          <w:sz w:val="28"/>
          <w:szCs w:val="28"/>
        </w:rPr>
        <w:t xml:space="preserve"> Machado et al. (2023) </w:t>
      </w:r>
      <w:r w:rsidRPr="00BB194B">
        <w:rPr>
          <w:rFonts w:ascii="Sakkal Majalla" w:hAnsi="Sakkal Majalla" w:cs="Sakkal Majalla"/>
          <w:color w:val="000000" w:themeColor="text1"/>
          <w:sz w:val="28"/>
          <w:szCs w:val="28"/>
          <w:rtl/>
        </w:rPr>
        <w:t xml:space="preserve">أنّ أهمية النضج تبرز بصورة خاصة في القطاعات التي تتّسم مؤسساتها بصغر الحجم وتنوّع المشاريع، حيث يُوفّر إطار النضج: </w:t>
      </w:r>
    </w:p>
    <w:p w14:paraId="47D17DCB" w14:textId="77777777" w:rsidR="00234448" w:rsidRPr="00BB194B" w:rsidRDefault="00817DAA" w:rsidP="00D93D67">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آلية لتوحيد الممارسات رغم محدودية الموارد، ممّا يُقلّل الاع</w:t>
      </w:r>
      <w:r w:rsidR="00234448" w:rsidRPr="00BB194B">
        <w:rPr>
          <w:rFonts w:ascii="Sakkal Majalla" w:hAnsi="Sakkal Majalla" w:cs="Sakkal Majalla"/>
          <w:color w:val="000000" w:themeColor="text1"/>
          <w:sz w:val="28"/>
          <w:szCs w:val="28"/>
          <w:rtl/>
        </w:rPr>
        <w:t xml:space="preserve">تماد على الاجتهادات الفردية؛ </w:t>
      </w:r>
    </w:p>
    <w:p w14:paraId="5C256BBB" w14:textId="77777777" w:rsidR="00234448" w:rsidRPr="00BB194B" w:rsidRDefault="00817DAA" w:rsidP="00D93D67">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أداة للتعلّم المؤسسي من خلال توثيق الدروس المستفادة وتدويرها في المشاريع اللاحقة</w:t>
      </w:r>
    </w:p>
    <w:p w14:paraId="6519DCF7" w14:textId="22A2C345" w:rsidR="00817DAA" w:rsidRPr="00BB194B" w:rsidRDefault="00817DAA" w:rsidP="00D93D67">
      <w:pPr>
        <w:pStyle w:val="ListParagraph"/>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مرجعية لتحديد فجوات الأداء وترتيب أولويات التطوير بحسب الإمكانات المتاحة</w:t>
      </w:r>
      <w:r w:rsidRPr="00BB194B">
        <w:rPr>
          <w:rFonts w:ascii="Sakkal Majalla" w:hAnsi="Sakkal Majalla" w:cs="Sakkal Majalla"/>
          <w:color w:val="000000" w:themeColor="text1"/>
          <w:sz w:val="28"/>
          <w:szCs w:val="28"/>
        </w:rPr>
        <w:t>.</w:t>
      </w:r>
    </w:p>
    <w:p w14:paraId="2C3EDD8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وعلى الصعيد العربي، يُشير عامر (2022) إلى أنّ أهمية النضج في إدارة المشاريع تتعاظم في قطاعات التكرير والصناعات البتروكيميائية العربية، لأنّ هذه القطاعات تتعامل مع أصول ضخمة تتطلّب صيانة مستمرة ودقيقة، وأيّ قصور في نضج الإدارة ينعكس مباشرةً على كفاءة التشغيل وسلامة الأصول وجودة المخرجات. ويُضيف الهاشمي (2024) أنّ أهمية النضج في القطاع الحكومي العراقي والعربي عمومًا تتّصل بتحقيق أهداف التنمية المستدامة، إذ يُوفّر إطار النضج أساسًا لترشيد الإنفاق العام ورفع كفاءة الخدمات المقدّمة للمواطنين. كما يُبيّن صوان (2023) أنّ النضج المؤسسي في إدارة المشاريع الرقمية يُسهم في بناء الثقة الرقمية بين المؤسسة الحكومية والمتعاملين معها، وهو ما يُعدّ ركيزة أساسية لنجاح التحوّل الرقمي الحكومي</w:t>
      </w:r>
      <w:r w:rsidRPr="00BB194B">
        <w:rPr>
          <w:rFonts w:ascii="Sakkal Majalla" w:hAnsi="Sakkal Majalla" w:cs="Sakkal Majalla"/>
          <w:color w:val="000000" w:themeColor="text1"/>
          <w:sz w:val="28"/>
          <w:szCs w:val="28"/>
        </w:rPr>
        <w:t>.</w:t>
      </w:r>
    </w:p>
    <w:p w14:paraId="02C4555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ومن جانب التطوير المهني والتقني، يُشير </w:t>
      </w:r>
      <w:proofErr w:type="spellStart"/>
      <w:r w:rsidRPr="00BB194B">
        <w:rPr>
          <w:rFonts w:ascii="Sakkal Majalla" w:hAnsi="Sakkal Majalla" w:cs="Sakkal Majalla"/>
          <w:color w:val="000000" w:themeColor="text1"/>
          <w:sz w:val="28"/>
          <w:szCs w:val="28"/>
        </w:rPr>
        <w:t>Yudianingtyas</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Purwanto</w:t>
      </w:r>
      <w:proofErr w:type="spellEnd"/>
      <w:r w:rsidRPr="00BB194B">
        <w:rPr>
          <w:rFonts w:ascii="Sakkal Majalla" w:hAnsi="Sakkal Majalla" w:cs="Sakkal Majalla"/>
          <w:color w:val="000000" w:themeColor="text1"/>
          <w:sz w:val="28"/>
          <w:szCs w:val="28"/>
        </w:rPr>
        <w:t xml:space="preserve"> (2025) </w:t>
      </w:r>
      <w:r w:rsidRPr="00BB194B">
        <w:rPr>
          <w:rFonts w:ascii="Sakkal Majalla" w:hAnsi="Sakkal Majalla" w:cs="Sakkal Majalla"/>
          <w:color w:val="000000" w:themeColor="text1"/>
          <w:sz w:val="28"/>
          <w:szCs w:val="28"/>
          <w:rtl/>
        </w:rPr>
        <w:t>إلى أنّ تقييم نضج إدارة المشاريع يُنتج خارطة واضحة للفجوات المهارية والتقنية التي تحتاج المنظمة إلى معالجتها لضمان استدامة مبادرات التحوّل الرقمي، فيتحوّل النضج من أداة تشخيصية إلى مُحرّك تطويري يُوجّه الاستثمار في التدريب والبنية التقنية</w:t>
      </w:r>
      <w:r w:rsidRPr="00BB194B">
        <w:rPr>
          <w:rFonts w:ascii="Sakkal Majalla" w:hAnsi="Sakkal Majalla" w:cs="Sakkal Majalla"/>
          <w:color w:val="000000" w:themeColor="text1"/>
          <w:sz w:val="28"/>
          <w:szCs w:val="28"/>
        </w:rPr>
        <w:t>.</w:t>
      </w:r>
    </w:p>
    <w:p w14:paraId="29829164" w14:textId="601F231C"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401184"/>
      <w:r w:rsidRPr="00BB194B">
        <w:rPr>
          <w:rFonts w:ascii="Sakkal Majalla" w:hAnsi="Sakkal Majalla" w:cs="Sakkal Majalla" w:hint="cs"/>
          <w:b/>
          <w:bCs/>
          <w:color w:val="000000" w:themeColor="text1"/>
          <w:sz w:val="32"/>
          <w:szCs w:val="32"/>
          <w:rtl/>
        </w:rPr>
        <w:t xml:space="preserve">4.1.2 </w:t>
      </w:r>
      <w:r w:rsidR="00817DAA" w:rsidRPr="00BB194B">
        <w:rPr>
          <w:rFonts w:ascii="Sakkal Majalla" w:hAnsi="Sakkal Majalla" w:cs="Sakkal Majalla"/>
          <w:b/>
          <w:bCs/>
          <w:color w:val="000000" w:themeColor="text1"/>
          <w:sz w:val="32"/>
          <w:szCs w:val="32"/>
          <w:rtl/>
        </w:rPr>
        <w:t>أهداف نضج إدارة المشاريع</w:t>
      </w:r>
      <w:bookmarkEnd w:id="32"/>
    </w:p>
    <w:p w14:paraId="11107C0D"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تسعى المنظمات من خلال تبنّي نماذج نضج إدارة المشاريع إلى تحقيق جملة من الأهداف التي تتراوح بين المستوى التشغيلي والمستوى الاستراتيجي. وقد تعدّدت رؤى الباحثين حول هذه الأهداف تبعًا لزاوية المعالجة والسياق التطبيقي، ويمكن تصنيفها في ثلاثة مستويات رئيسة</w:t>
      </w:r>
      <w:r w:rsidRPr="00BB194B">
        <w:rPr>
          <w:rFonts w:ascii="Sakkal Majalla" w:hAnsi="Sakkal Majalla" w:cs="Sakkal Majalla"/>
          <w:color w:val="000000" w:themeColor="text1"/>
          <w:sz w:val="28"/>
          <w:szCs w:val="28"/>
        </w:rPr>
        <w:t>:</w:t>
      </w:r>
    </w:p>
    <w:p w14:paraId="5BB83011"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المستوى التشغيلي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يُشير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 xml:space="preserve">إلى أنّ نضج إدارة المشاريع يهدف على الصعيد التشغيلي إلى: </w:t>
      </w:r>
    </w:p>
    <w:p w14:paraId="181F84A7" w14:textId="77777777" w:rsidR="00234448" w:rsidRPr="00BB194B" w:rsidRDefault="00817DAA" w:rsidP="00D93D67">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توحيد المنهجيات والعمليات عبر المشاريع المختلفة بما يضمن اتّساق </w:t>
      </w:r>
      <w:r w:rsidR="00234448" w:rsidRPr="00BB194B">
        <w:rPr>
          <w:rFonts w:ascii="Sakkal Majalla" w:hAnsi="Sakkal Majalla" w:cs="Sakkal Majalla"/>
          <w:color w:val="000000" w:themeColor="text1"/>
          <w:sz w:val="28"/>
          <w:szCs w:val="28"/>
          <w:rtl/>
        </w:rPr>
        <w:t xml:space="preserve">المخرجات وقابليتها للتكرار؛ </w:t>
      </w:r>
    </w:p>
    <w:p w14:paraId="2437E3AF" w14:textId="77777777" w:rsidR="00234448" w:rsidRPr="00BB194B" w:rsidRDefault="00817DAA" w:rsidP="00D93D67">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بناء قاعدة معرفية مؤسسية تُوثّق الدروس المستفادة وأفضل الممارسات وتُتيح الوصول </w:t>
      </w:r>
      <w:r w:rsidR="00234448" w:rsidRPr="00BB194B">
        <w:rPr>
          <w:rFonts w:ascii="Sakkal Majalla" w:hAnsi="Sakkal Majalla" w:cs="Sakkal Majalla"/>
          <w:color w:val="000000" w:themeColor="text1"/>
          <w:sz w:val="28"/>
          <w:szCs w:val="28"/>
          <w:rtl/>
        </w:rPr>
        <w:t xml:space="preserve">إليها لفرق العمل المشروعية؛ </w:t>
      </w:r>
    </w:p>
    <w:p w14:paraId="4073C694" w14:textId="0F268180" w:rsidR="00817DAA" w:rsidRPr="00BB194B" w:rsidRDefault="00817DAA" w:rsidP="00D93D67">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تحسين دقّة التقديرات الزمنية والتكلفية من خلال الاستناد إلى بيانات تاريخية ومعايير أداء مُحدّدة</w:t>
      </w:r>
      <w:r w:rsidRPr="00BB194B">
        <w:rPr>
          <w:rFonts w:ascii="Sakkal Majalla" w:hAnsi="Sakkal Majalla" w:cs="Sakkal Majalla"/>
          <w:color w:val="000000" w:themeColor="text1"/>
          <w:sz w:val="28"/>
          <w:szCs w:val="28"/>
        </w:rPr>
        <w:t>.</w:t>
      </w:r>
    </w:p>
    <w:p w14:paraId="1FE7E3FD"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المستوى التنظيمي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يرى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أ</w:t>
      </w:r>
      <w:r w:rsidR="00234448" w:rsidRPr="00BB194B">
        <w:rPr>
          <w:rFonts w:ascii="Sakkal Majalla" w:hAnsi="Sakkal Majalla" w:cs="Sakkal Majalla"/>
          <w:color w:val="000000" w:themeColor="text1"/>
          <w:sz w:val="28"/>
          <w:szCs w:val="28"/>
          <w:rtl/>
        </w:rPr>
        <w:t xml:space="preserve">نّ النضج يهدف تنظيميًّا إلى: </w:t>
      </w:r>
    </w:p>
    <w:p w14:paraId="24ADF40E" w14:textId="77777777" w:rsidR="00234448" w:rsidRPr="00BB194B" w:rsidRDefault="00817DAA" w:rsidP="00D93D67">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تقديم خارطة تفصيلية لمستويات النضج المتباينة بين الأقسام والإدارات داخل المنظمة الواحدة، ممّا يُتيح استهداف ال</w:t>
      </w:r>
      <w:r w:rsidR="00234448" w:rsidRPr="00BB194B">
        <w:rPr>
          <w:rFonts w:ascii="Sakkal Majalla" w:hAnsi="Sakkal Majalla" w:cs="Sakkal Majalla"/>
          <w:color w:val="000000" w:themeColor="text1"/>
          <w:sz w:val="28"/>
          <w:szCs w:val="28"/>
          <w:rtl/>
        </w:rPr>
        <w:t xml:space="preserve">تطوير حيث تكون الحاجة أشدّ؛ </w:t>
      </w:r>
    </w:p>
    <w:p w14:paraId="3845083B" w14:textId="77777777" w:rsidR="00234448" w:rsidRPr="00BB194B" w:rsidRDefault="00817DAA" w:rsidP="00D93D67">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ربط النضج التقني بالنضج الإداري لضمان أنّ الاستثمار في الأدوات الرقمية يُقابله تطوير ف</w:t>
      </w:r>
      <w:r w:rsidR="00234448" w:rsidRPr="00BB194B">
        <w:rPr>
          <w:rFonts w:ascii="Sakkal Majalla" w:hAnsi="Sakkal Majalla" w:cs="Sakkal Majalla"/>
          <w:color w:val="000000" w:themeColor="text1"/>
          <w:sz w:val="28"/>
          <w:szCs w:val="28"/>
          <w:rtl/>
        </w:rPr>
        <w:t xml:space="preserve">ي القدرات البشرية والعمليات؛ </w:t>
      </w:r>
    </w:p>
    <w:p w14:paraId="3495FD06" w14:textId="4B599946" w:rsidR="00817DAA" w:rsidRPr="00BB194B" w:rsidRDefault="00817DAA" w:rsidP="00D93D67">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تعزيز التواصل المؤسسي بين مستويات الإدارة المختلفة من خلال لغة مشتركة ومعايير موحّدة لتقييم الأداء المشروعي</w:t>
      </w:r>
      <w:r w:rsidRPr="00BB194B">
        <w:rPr>
          <w:rFonts w:ascii="Sakkal Majalla" w:hAnsi="Sakkal Majalla" w:cs="Sakkal Majalla"/>
          <w:color w:val="000000" w:themeColor="text1"/>
          <w:sz w:val="28"/>
          <w:szCs w:val="28"/>
        </w:rPr>
        <w:t>.</w:t>
      </w:r>
    </w:p>
    <w:p w14:paraId="4759E41A"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المستوى الاستراتيجي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يُشير </w:t>
      </w:r>
      <w:r w:rsidRPr="00BB194B">
        <w:rPr>
          <w:rFonts w:ascii="Sakkal Majalla" w:hAnsi="Sakkal Majalla" w:cs="Sakkal Majalla"/>
          <w:color w:val="000000" w:themeColor="text1"/>
          <w:sz w:val="28"/>
          <w:szCs w:val="28"/>
        </w:rPr>
        <w:t>Al-</w:t>
      </w:r>
      <w:proofErr w:type="spellStart"/>
      <w:r w:rsidRPr="00BB194B">
        <w:rPr>
          <w:rFonts w:ascii="Sakkal Majalla" w:hAnsi="Sakkal Majalla" w:cs="Sakkal Majalla"/>
          <w:color w:val="000000" w:themeColor="text1"/>
          <w:sz w:val="28"/>
          <w:szCs w:val="28"/>
        </w:rPr>
        <w:t>Marri</w:t>
      </w:r>
      <w:proofErr w:type="spellEnd"/>
      <w:r w:rsidRPr="00BB194B">
        <w:rPr>
          <w:rFonts w:ascii="Sakkal Majalla" w:hAnsi="Sakkal Majalla" w:cs="Sakkal Majalla"/>
          <w:color w:val="000000" w:themeColor="text1"/>
          <w:sz w:val="28"/>
          <w:szCs w:val="28"/>
        </w:rPr>
        <w:t xml:space="preserve"> et al. (2025) </w:t>
      </w:r>
      <w:r w:rsidRPr="00BB194B">
        <w:rPr>
          <w:rFonts w:ascii="Sakkal Majalla" w:hAnsi="Sakkal Majalla" w:cs="Sakkal Majalla"/>
          <w:color w:val="000000" w:themeColor="text1"/>
          <w:sz w:val="28"/>
          <w:szCs w:val="28"/>
          <w:rtl/>
        </w:rPr>
        <w:t xml:space="preserve">إلى أنّ النضج يسعى استراتيجيًّا إلى: </w:t>
      </w:r>
    </w:p>
    <w:p w14:paraId="551F8F0D" w14:textId="77777777" w:rsidR="00234448" w:rsidRPr="00BB194B" w:rsidRDefault="00817DAA" w:rsidP="00D93D67">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مواءمة محفظة المشاريع مع الأهداف الاستراتيجية للمنظمة، بحيث تُرتَّب أولويات المشاريع وفقًا لمساهمت</w:t>
      </w:r>
      <w:r w:rsidR="00234448" w:rsidRPr="00BB194B">
        <w:rPr>
          <w:rFonts w:ascii="Sakkal Majalla" w:hAnsi="Sakkal Majalla" w:cs="Sakkal Majalla"/>
          <w:color w:val="000000" w:themeColor="text1"/>
          <w:sz w:val="28"/>
          <w:szCs w:val="28"/>
          <w:rtl/>
        </w:rPr>
        <w:t xml:space="preserve">ها في تحقيق الرؤية المؤسسية؛ </w:t>
      </w:r>
    </w:p>
    <w:p w14:paraId="0A062A20" w14:textId="77777777" w:rsidR="00234448" w:rsidRPr="00BB194B" w:rsidRDefault="00817DAA" w:rsidP="00D93D67">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توفير مؤشرات أداء رئيسة كمّية تُمكّن الإدارة العليا من اتّخاذ قرارات مستنيرة حول ت</w:t>
      </w:r>
      <w:r w:rsidR="00234448" w:rsidRPr="00BB194B">
        <w:rPr>
          <w:rFonts w:ascii="Sakkal Majalla" w:hAnsi="Sakkal Majalla" w:cs="Sakkal Majalla"/>
          <w:color w:val="000000" w:themeColor="text1"/>
          <w:sz w:val="28"/>
          <w:szCs w:val="28"/>
          <w:rtl/>
        </w:rPr>
        <w:t xml:space="preserve">خصيص الموارد وإعادة توزيعها؛ </w:t>
      </w:r>
    </w:p>
    <w:p w14:paraId="7918A02D" w14:textId="298AD003" w:rsidR="00817DAA" w:rsidRPr="00BB194B" w:rsidRDefault="00817DAA" w:rsidP="00D93D67">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بناء قدرة مؤسسية تنبّؤية تستند إلى تحليل البيانات التاريخية لاستشراف المخاطر والفرص المستقبلية. ويُضيف</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هدفًا استراتيجيًّا إضافيًّا يتمثّل في إنشاء خارطة طريق تدريجية للتحوّل الرقمي ترتبط عضويًّا بمستويات النضج، بحيث تنتقل المنظمة من مرحلة الرقمنة الأساسية إلى مرحلة التكامل الرقمي الشامل وفق خطوات محسوبة وقابلة للقياس</w:t>
      </w:r>
      <w:r w:rsidRPr="00BB194B">
        <w:rPr>
          <w:rFonts w:ascii="Sakkal Majalla" w:hAnsi="Sakkal Majalla" w:cs="Sakkal Majalla"/>
          <w:color w:val="000000" w:themeColor="text1"/>
          <w:sz w:val="28"/>
          <w:szCs w:val="28"/>
        </w:rPr>
        <w:t>.</w:t>
      </w:r>
    </w:p>
    <w:p w14:paraId="07CA88E1"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ومن المنظور العربي، يُحدّد بشميل</w:t>
      </w:r>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 xml:space="preserve">أهداف النضج في سياق القطاع الخاص بأنّها: </w:t>
      </w:r>
    </w:p>
    <w:p w14:paraId="25055C5B" w14:textId="77777777" w:rsidR="00234448" w:rsidRPr="00BB194B" w:rsidRDefault="00817DAA" w:rsidP="00D93D67">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رفع مستوى الكفاءة التشغيلية للمشاريع وت</w:t>
      </w:r>
      <w:r w:rsidR="00234448" w:rsidRPr="00BB194B">
        <w:rPr>
          <w:rFonts w:ascii="Sakkal Majalla" w:hAnsi="Sakkal Majalla" w:cs="Sakkal Majalla"/>
          <w:color w:val="000000" w:themeColor="text1"/>
          <w:sz w:val="28"/>
          <w:szCs w:val="28"/>
          <w:rtl/>
        </w:rPr>
        <w:t xml:space="preserve">قليل نسب الإهدار في الموارد؛ </w:t>
      </w:r>
    </w:p>
    <w:p w14:paraId="40C5C5C0" w14:textId="59B4E2FA" w:rsidR="00817DAA" w:rsidRPr="00BB194B" w:rsidRDefault="00817DAA" w:rsidP="00D93D67">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 xml:space="preserve"> تعزيز ثقة أصحاب المصلحة في قدرة المنظمة على إنجاز مشاريعها وفق المعايير المتّفق عليها. كما يُشير كراز (2023) إلى أنّ من أهداف النضج في المؤسسات الحكومية تطوير القدرة على دمج ممارسات إدارة المشاريع مع متطلّبات التحوّل الرقمي في المشاريع الهندسية والبنية التحتية</w:t>
      </w:r>
      <w:r w:rsidRPr="00BB194B">
        <w:rPr>
          <w:rFonts w:ascii="Sakkal Majalla" w:hAnsi="Sakkal Majalla" w:cs="Sakkal Majalla"/>
          <w:color w:val="000000" w:themeColor="text1"/>
          <w:sz w:val="28"/>
          <w:szCs w:val="28"/>
        </w:rPr>
        <w:t>.</w:t>
      </w:r>
    </w:p>
    <w:p w14:paraId="7DA678C5" w14:textId="4A9E630B"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01185"/>
      <w:r w:rsidRPr="00BB194B">
        <w:rPr>
          <w:rFonts w:ascii="Sakkal Majalla" w:hAnsi="Sakkal Majalla" w:cs="Sakkal Majalla" w:hint="cs"/>
          <w:b/>
          <w:bCs/>
          <w:color w:val="000000" w:themeColor="text1"/>
          <w:sz w:val="32"/>
          <w:szCs w:val="32"/>
          <w:rtl/>
        </w:rPr>
        <w:t xml:space="preserve">5.1.2 </w:t>
      </w:r>
      <w:r w:rsidR="00817DAA" w:rsidRPr="00BB194B">
        <w:rPr>
          <w:rFonts w:ascii="Sakkal Majalla" w:hAnsi="Sakkal Majalla" w:cs="Sakkal Majalla"/>
          <w:b/>
          <w:bCs/>
          <w:color w:val="000000" w:themeColor="text1"/>
          <w:sz w:val="32"/>
          <w:szCs w:val="32"/>
          <w:rtl/>
        </w:rPr>
        <w:t>أبعاد نضج إدارة المشاريع</w:t>
      </w:r>
      <w:bookmarkEnd w:id="33"/>
    </w:p>
    <w:p w14:paraId="76740963"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تمّ تحديد أبعاد نضج إدارة المشاريع في هذه الدراسة بناءً على المراجعة التحليلية للأدبيات ذات الصلة، ولا سيّما دراسات</w:t>
      </w:r>
      <w:r w:rsidRPr="00BB194B">
        <w:rPr>
          <w:rFonts w:ascii="Sakkal Majalla" w:hAnsi="Sakkal Majalla" w:cs="Sakkal Majalla"/>
          <w:color w:val="000000" w:themeColor="text1"/>
          <w:sz w:val="28"/>
          <w:szCs w:val="28"/>
        </w:rPr>
        <w:t xml:space="preserve"> Al-</w:t>
      </w:r>
      <w:proofErr w:type="spellStart"/>
      <w:r w:rsidRPr="00BB194B">
        <w:rPr>
          <w:rFonts w:ascii="Sakkal Majalla" w:hAnsi="Sakkal Majalla" w:cs="Sakkal Majalla"/>
          <w:color w:val="000000" w:themeColor="text1"/>
          <w:sz w:val="28"/>
          <w:szCs w:val="28"/>
        </w:rPr>
        <w:t>Marri</w:t>
      </w:r>
      <w:proofErr w:type="spellEnd"/>
      <w:r w:rsidRPr="00BB194B">
        <w:rPr>
          <w:rFonts w:ascii="Sakkal Majalla" w:hAnsi="Sakkal Majalla" w:cs="Sakkal Majalla"/>
          <w:color w:val="000000" w:themeColor="text1"/>
          <w:sz w:val="28"/>
          <w:szCs w:val="28"/>
        </w:rPr>
        <w:t xml:space="preserve"> et al. (2025) </w:t>
      </w:r>
      <w:r w:rsidRPr="00BB194B">
        <w:rPr>
          <w:rFonts w:ascii="Sakkal Majalla" w:hAnsi="Sakkal Majalla" w:cs="Sakkal Majalla"/>
          <w:color w:val="000000" w:themeColor="text1"/>
          <w:sz w:val="28"/>
          <w:szCs w:val="28"/>
          <w:rtl/>
        </w:rPr>
        <w:t>و</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و</w:t>
      </w:r>
      <w:proofErr w:type="spellStart"/>
      <w:r w:rsidRPr="00BB194B">
        <w:rPr>
          <w:rFonts w:ascii="Sakkal Majalla" w:hAnsi="Sakkal Majalla" w:cs="Sakkal Majalla"/>
          <w:color w:val="000000" w:themeColor="text1"/>
          <w:sz w:val="28"/>
          <w:szCs w:val="28"/>
        </w:rPr>
        <w:t>Yudianingtyas</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Purwanto</w:t>
      </w:r>
      <w:proofErr w:type="spellEnd"/>
      <w:r w:rsidRPr="00BB194B">
        <w:rPr>
          <w:rFonts w:ascii="Sakkal Majalla" w:hAnsi="Sakkal Majalla" w:cs="Sakkal Majalla"/>
          <w:color w:val="000000" w:themeColor="text1"/>
          <w:sz w:val="28"/>
          <w:szCs w:val="28"/>
        </w:rPr>
        <w:t xml:space="preserve"> (2025) </w:t>
      </w:r>
      <w:r w:rsidRPr="00BB194B">
        <w:rPr>
          <w:rFonts w:ascii="Sakkal Majalla" w:hAnsi="Sakkal Majalla" w:cs="Sakkal Majalla"/>
          <w:color w:val="000000" w:themeColor="text1"/>
          <w:sz w:val="28"/>
          <w:szCs w:val="28"/>
          <w:rtl/>
        </w:rPr>
        <w:t>و</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Machado et al. (2023)</w:t>
      </w:r>
      <w:r w:rsidRPr="00BB194B">
        <w:rPr>
          <w:rFonts w:ascii="Sakkal Majalla" w:hAnsi="Sakkal Majalla" w:cs="Sakkal Majalla"/>
          <w:color w:val="000000" w:themeColor="text1"/>
          <w:sz w:val="28"/>
          <w:szCs w:val="28"/>
          <w:rtl/>
        </w:rPr>
        <w:t>، وذلك بالتكامل مع ما ورد في الأدبيات العربية مثل بشميل (2024) وكراز (2023). وقد استُخلصت أربعة أبعاد رئيسة تعكس البنية المتعدّدة الأوجه لنضج إدارة المشاريع وتتناسب مع طبيعة مشاريع التشغيل والصيانة في القطاع الحكومي، وهي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المنهجيات والإجراءات، والهيكل التنظيمي والدعم القيادي، والمهارات والكفاءات، وأدوات وتقنيات إدارة المشاريع</w:t>
      </w:r>
      <w:r w:rsidRPr="00BB194B">
        <w:rPr>
          <w:rFonts w:ascii="Sakkal Majalla" w:hAnsi="Sakkal Majalla" w:cs="Sakkal Majalla"/>
          <w:color w:val="000000" w:themeColor="text1"/>
          <w:sz w:val="28"/>
          <w:szCs w:val="28"/>
        </w:rPr>
        <w:t>.</w:t>
      </w:r>
    </w:p>
    <w:p w14:paraId="5C99037D" w14:textId="77777777" w:rsidR="00817DAA" w:rsidRPr="00BB194B" w:rsidRDefault="00817DAA" w:rsidP="00F76E6C">
      <w:pPr>
        <w:spacing w:before="100" w:beforeAutospacing="1" w:after="100" w:afterAutospacing="1"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البُعد الأوّل: المنهجيات والإجراءات</w:t>
      </w:r>
    </w:p>
    <w:p w14:paraId="7527BB3B"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يُشكّل بُعد المنهجيات والإجراءات العمود الفقري لنضج إدارة المشاريع، إذ يعكس مدى امتلاك المنظمة لمنظومة إجرائية موحّدة ومُوثّقة تُنظّم دورة حياة المشروع من مرحلة البدء إلى مرحلة الإغلاق. ويتجاوز هذا البُعد مجرّد وجود إجراءات مكتوبة إلى ضرورة أن تكون هذه الإجراءات مُطبّقة فعليًّا ومُراقَبة ومُحدّثة دوريًّا بناءً على الدروس المستفادة. ويُعدّ هذا البُعد الأساس الذي تُبنى عليه المستويات الأولى في معظم نماذج النضج، إذ يُمثّل الانتقال من المستوى العشوائي </w:t>
      </w:r>
      <w:r w:rsidRPr="00BB194B">
        <w:rPr>
          <w:rFonts w:ascii="Sakkal Majalla" w:hAnsi="Sakkal Majalla" w:cs="Sakkal Majalla"/>
          <w:color w:val="000000" w:themeColor="text1"/>
          <w:sz w:val="28"/>
          <w:szCs w:val="28"/>
        </w:rPr>
        <w:t xml:space="preserve">(Initial) </w:t>
      </w:r>
      <w:r w:rsidRPr="00BB194B">
        <w:rPr>
          <w:rFonts w:ascii="Sakkal Majalla" w:hAnsi="Sakkal Majalla" w:cs="Sakkal Majalla"/>
          <w:color w:val="000000" w:themeColor="text1"/>
          <w:sz w:val="28"/>
          <w:szCs w:val="28"/>
          <w:rtl/>
        </w:rPr>
        <w:t>إلى المستوى المُعرَّف</w:t>
      </w:r>
      <w:r w:rsidRPr="00BB194B">
        <w:rPr>
          <w:rFonts w:ascii="Sakkal Majalla" w:hAnsi="Sakkal Majalla" w:cs="Sakkal Majalla"/>
          <w:color w:val="000000" w:themeColor="text1"/>
          <w:sz w:val="28"/>
          <w:szCs w:val="28"/>
        </w:rPr>
        <w:t xml:space="preserve"> (Defined) </w:t>
      </w:r>
      <w:r w:rsidRPr="00BB194B">
        <w:rPr>
          <w:rFonts w:ascii="Sakkal Majalla" w:hAnsi="Sakkal Majalla" w:cs="Sakkal Majalla"/>
          <w:color w:val="000000" w:themeColor="text1"/>
          <w:sz w:val="28"/>
          <w:szCs w:val="28"/>
          <w:rtl/>
        </w:rPr>
        <w:t>ثم المُدار</w:t>
      </w:r>
      <w:r w:rsidRPr="00BB194B">
        <w:rPr>
          <w:rFonts w:ascii="Sakkal Majalla" w:hAnsi="Sakkal Majalla" w:cs="Sakkal Majalla"/>
          <w:color w:val="000000" w:themeColor="text1"/>
          <w:sz w:val="28"/>
          <w:szCs w:val="28"/>
        </w:rPr>
        <w:t xml:space="preserve"> (Managed) </w:t>
      </w:r>
      <w:r w:rsidRPr="00BB194B">
        <w:rPr>
          <w:rFonts w:ascii="Sakkal Majalla" w:hAnsi="Sakkal Majalla" w:cs="Sakkal Majalla"/>
          <w:color w:val="000000" w:themeColor="text1"/>
          <w:sz w:val="28"/>
          <w:szCs w:val="28"/>
          <w:rtl/>
        </w:rPr>
        <w:t>ثم المُحسَّن</w:t>
      </w:r>
      <w:r w:rsidRPr="00BB194B">
        <w:rPr>
          <w:rFonts w:ascii="Sakkal Majalla" w:hAnsi="Sakkal Majalla" w:cs="Sakkal Majalla"/>
          <w:color w:val="000000" w:themeColor="text1"/>
          <w:sz w:val="28"/>
          <w:szCs w:val="28"/>
        </w:rPr>
        <w:t xml:space="preserve"> (Optimizing).</w:t>
      </w:r>
    </w:p>
    <w:p w14:paraId="1046CB0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ويتضمّن هذا البُعد عدّة مكوّنات فرعية، أبرزها: وجود منهجية معتمدة لإدارة المشاريع تُحدّد المراحل والمُخرجات ونقاط المراجعة؛ وتوفّر إجراءات واضحة لإدارة النطاق والجدول الزمني والتكلفة والجودة والمخاطر والمشتريات والتواصل؛ وآليات لتوثيق الدروس المستفادة وتدويرها؛ وعمليات مراجعة بوابية</w:t>
      </w:r>
      <w:r w:rsidRPr="00BB194B">
        <w:rPr>
          <w:rFonts w:ascii="Sakkal Majalla" w:hAnsi="Sakkal Majalla" w:cs="Sakkal Majalla"/>
          <w:color w:val="000000" w:themeColor="text1"/>
          <w:sz w:val="28"/>
          <w:szCs w:val="28"/>
        </w:rPr>
        <w:t xml:space="preserve"> (Gate Review) </w:t>
      </w:r>
      <w:r w:rsidRPr="00BB194B">
        <w:rPr>
          <w:rFonts w:ascii="Sakkal Majalla" w:hAnsi="Sakkal Majalla" w:cs="Sakkal Majalla"/>
          <w:color w:val="000000" w:themeColor="text1"/>
          <w:sz w:val="28"/>
          <w:szCs w:val="28"/>
          <w:rtl/>
        </w:rPr>
        <w:t>تضمن اتّخاذ قرارات مستنيرة عند الانتقال بين مراحل المشروع. ويُشير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lastRenderedPageBreak/>
        <w:t>Yudianingtyas</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Purwanto</w:t>
      </w:r>
      <w:proofErr w:type="spellEnd"/>
      <w:r w:rsidRPr="00BB194B">
        <w:rPr>
          <w:rFonts w:ascii="Sakkal Majalla" w:hAnsi="Sakkal Majalla" w:cs="Sakkal Majalla"/>
          <w:color w:val="000000" w:themeColor="text1"/>
          <w:sz w:val="28"/>
          <w:szCs w:val="28"/>
        </w:rPr>
        <w:t xml:space="preserve"> (2025) </w:t>
      </w:r>
      <w:r w:rsidRPr="00BB194B">
        <w:rPr>
          <w:rFonts w:ascii="Sakkal Majalla" w:hAnsi="Sakkal Majalla" w:cs="Sakkal Majalla"/>
          <w:color w:val="000000" w:themeColor="text1"/>
          <w:sz w:val="28"/>
          <w:szCs w:val="28"/>
          <w:rtl/>
        </w:rPr>
        <w:t>إلى أنّ غياب التوثيق المنهجي وضعف توحيد الإجراءات يُمثّلان من أبرز مُعيقات نضج المشاريع، لا سيّما في مشاريع التحوّل الرقمي حيث يؤدّي غياب النطاق المُوثّق إلى انحرافات متكرّرة تُقوّض فاعلية المشروع</w:t>
      </w:r>
      <w:r w:rsidRPr="00BB194B">
        <w:rPr>
          <w:rFonts w:ascii="Sakkal Majalla" w:hAnsi="Sakkal Majalla" w:cs="Sakkal Majalla"/>
          <w:color w:val="000000" w:themeColor="text1"/>
          <w:sz w:val="28"/>
          <w:szCs w:val="28"/>
        </w:rPr>
        <w:t>.</w:t>
      </w:r>
    </w:p>
    <w:p w14:paraId="06E8C56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سياق مشاريع التشغيل والصيانة تحديدًا، تتّسم المنهجيات بخصوصية نابعة من طبيعة هذه المشاريع التكرارية، إذ تتطلّب إجراءات موحّدة للصيانة الوقائية والتصحيحية والطارئة، وجداول زمنية دورية، ومعايير قبول واضحة للأعمال المنجزة. ويُعزّز وجود منهجية ناضجة في هذا السياق قدرة المنظمة على التنبّؤ بالأعطال وجدولة الصيانة الاستباقية وتقليل فترات التوقّف غير المخطّط لها، وهو ما يتّسق مع توجّهات التحوّل الرقمي نحو الصيانة التنبّؤية المدعومة بتحليلات البيانات</w:t>
      </w:r>
      <w:r w:rsidRPr="00BB194B">
        <w:rPr>
          <w:rFonts w:ascii="Sakkal Majalla" w:hAnsi="Sakkal Majalla" w:cs="Sakkal Majalla"/>
          <w:color w:val="000000" w:themeColor="text1"/>
          <w:sz w:val="28"/>
          <w:szCs w:val="28"/>
        </w:rPr>
        <w:t>.</w:t>
      </w:r>
    </w:p>
    <w:p w14:paraId="2AEA0125" w14:textId="77777777" w:rsidR="00817DAA" w:rsidRPr="00BB194B" w:rsidRDefault="00817DAA" w:rsidP="00F76E6C">
      <w:pPr>
        <w:spacing w:before="100" w:beforeAutospacing="1" w:after="100" w:afterAutospacing="1"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البُعد الثاني: الهيكل التنظيمي والدعم القيادي</w:t>
      </w:r>
    </w:p>
    <w:p w14:paraId="6E3AC48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يُعدّ الهيكل التنظيمي والدعم القيادي من أكثر أبعاد النضج تأثيرًا في قدرة المنظمة على تطبيق ممارسات إدارة المشاريع وتطويرها. ويتناول هذا البُعد مدى وضوح الأدوار والمسؤوليات المشروعية، ونمط الهيكل التنظيمي (وظيفي، مصفوفي، مشروعي) ومدى ملاءمته لإدارة المشاريع، ووجود مكتب لإدارة المشاريع</w:t>
      </w:r>
      <w:r w:rsidRPr="00BB194B">
        <w:rPr>
          <w:rFonts w:ascii="Sakkal Majalla" w:hAnsi="Sakkal Majalla" w:cs="Sakkal Majalla"/>
          <w:color w:val="000000" w:themeColor="text1"/>
          <w:sz w:val="28"/>
          <w:szCs w:val="28"/>
        </w:rPr>
        <w:t xml:space="preserve"> (PMO) </w:t>
      </w:r>
      <w:r w:rsidRPr="00BB194B">
        <w:rPr>
          <w:rFonts w:ascii="Sakkal Majalla" w:hAnsi="Sakkal Majalla" w:cs="Sakkal Majalla"/>
          <w:color w:val="000000" w:themeColor="text1"/>
          <w:sz w:val="28"/>
          <w:szCs w:val="28"/>
          <w:rtl/>
        </w:rPr>
        <w:t>ومستوى صلاحياته، فضلًا عن التزام الإدارة العليا بدعم مبادرات إدارة المشاريع ماليًّا وإداريًّا واستراتيجيًّا</w:t>
      </w:r>
      <w:r w:rsidRPr="00BB194B">
        <w:rPr>
          <w:rFonts w:ascii="Sakkal Majalla" w:hAnsi="Sakkal Majalla" w:cs="Sakkal Majalla"/>
          <w:color w:val="000000" w:themeColor="text1"/>
          <w:sz w:val="28"/>
          <w:szCs w:val="28"/>
        </w:rPr>
        <w:t>.</w:t>
      </w:r>
    </w:p>
    <w:p w14:paraId="5F9251F2"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وتُؤكّد</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أنّ دعم الإدارة العليا يُمثّل شرطًا جوهريًّا لارتقاء مستوى النضج المؤسسي، إذ إنّ النضج التقني المتقدّم في بعض الأقسام لا يُترجَم إلى نضج مشروعي حقيقي ما لم يقترن بدعم قيادي يُوفّر الموارد ويُزيل العوائق البيروقراطية ويُرسي ثقافة مؤسسية داعمة لإدارة المشاريع. ويتّفق مع هذا التوجّه</w:t>
      </w:r>
      <w:r w:rsidRPr="00BB194B">
        <w:rPr>
          <w:rFonts w:ascii="Sakkal Majalla" w:hAnsi="Sakkal Majalla" w:cs="Sakkal Majalla"/>
          <w:color w:val="000000" w:themeColor="text1"/>
          <w:sz w:val="28"/>
          <w:szCs w:val="28"/>
        </w:rPr>
        <w:t xml:space="preserve"> Al-</w:t>
      </w:r>
      <w:proofErr w:type="spellStart"/>
      <w:r w:rsidRPr="00BB194B">
        <w:rPr>
          <w:rFonts w:ascii="Sakkal Majalla" w:hAnsi="Sakkal Majalla" w:cs="Sakkal Majalla"/>
          <w:color w:val="000000" w:themeColor="text1"/>
          <w:sz w:val="28"/>
          <w:szCs w:val="28"/>
        </w:rPr>
        <w:t>Marri</w:t>
      </w:r>
      <w:proofErr w:type="spellEnd"/>
      <w:r w:rsidRPr="00BB194B">
        <w:rPr>
          <w:rFonts w:ascii="Sakkal Majalla" w:hAnsi="Sakkal Majalla" w:cs="Sakkal Majalla"/>
          <w:color w:val="000000" w:themeColor="text1"/>
          <w:sz w:val="28"/>
          <w:szCs w:val="28"/>
        </w:rPr>
        <w:t xml:space="preserve"> et al. (2025) </w:t>
      </w:r>
      <w:r w:rsidRPr="00BB194B">
        <w:rPr>
          <w:rFonts w:ascii="Sakkal Majalla" w:hAnsi="Sakkal Majalla" w:cs="Sakkal Majalla"/>
          <w:color w:val="000000" w:themeColor="text1"/>
          <w:sz w:val="28"/>
          <w:szCs w:val="28"/>
          <w:rtl/>
        </w:rPr>
        <w:t>الذي يُبرز دور القيادة في تهيئة البيئة المؤسسية التي تُحفّز التعلّم المستمر وتُشجّع على تبنّي أفضل الممارسات</w:t>
      </w:r>
      <w:r w:rsidRPr="00BB194B">
        <w:rPr>
          <w:rFonts w:ascii="Sakkal Majalla" w:hAnsi="Sakkal Majalla" w:cs="Sakkal Majalla"/>
          <w:color w:val="000000" w:themeColor="text1"/>
          <w:sz w:val="28"/>
          <w:szCs w:val="28"/>
        </w:rPr>
        <w:t>.</w:t>
      </w:r>
    </w:p>
    <w:p w14:paraId="0B5EA821"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ويحتلّ مكتب إدارة المشاريع</w:t>
      </w:r>
      <w:r w:rsidRPr="00BB194B">
        <w:rPr>
          <w:rFonts w:ascii="Sakkal Majalla" w:hAnsi="Sakkal Majalla" w:cs="Sakkal Majalla"/>
          <w:color w:val="000000" w:themeColor="text1"/>
          <w:sz w:val="28"/>
          <w:szCs w:val="28"/>
        </w:rPr>
        <w:t xml:space="preserve"> (PMO) </w:t>
      </w:r>
      <w:r w:rsidRPr="00BB194B">
        <w:rPr>
          <w:rFonts w:ascii="Sakkal Majalla" w:hAnsi="Sakkal Majalla" w:cs="Sakkal Majalla"/>
          <w:color w:val="000000" w:themeColor="text1"/>
          <w:sz w:val="28"/>
          <w:szCs w:val="28"/>
          <w:rtl/>
        </w:rPr>
        <w:t xml:space="preserve">موقعًا محوريًّا في هذا البُعد، إذ يُمثّل الكيان التنظيمي المسؤول عن توحيد المنهجيات والمعايير، وتقديم الدعم الفني لفرق المشاريع، والإشراف على أداء المحفظة </w:t>
      </w:r>
      <w:r w:rsidRPr="00BB194B">
        <w:rPr>
          <w:rFonts w:ascii="Sakkal Majalla" w:hAnsi="Sakkal Majalla" w:cs="Sakkal Majalla"/>
          <w:color w:val="000000" w:themeColor="text1"/>
          <w:sz w:val="28"/>
          <w:szCs w:val="28"/>
          <w:rtl/>
        </w:rPr>
        <w:lastRenderedPageBreak/>
        <w:t>المشروعية. ويُشير الهاشمي (2024) إلى أنّ ضعف الهياكل التنظيمية وغياب الدعم القيادي الكافي يُمثّلان من أبرز التحدّيات التي تواجه مشاريع التحوّل الرقمي في القطاع الحكومي العربي، إذ تؤدّي المركزية المفرطة والتعقيدات البيروقراطية إلى بطء اتّخاذ القرار وضعف المرونة المؤسسية</w:t>
      </w:r>
      <w:r w:rsidRPr="00BB194B">
        <w:rPr>
          <w:rFonts w:ascii="Sakkal Majalla" w:hAnsi="Sakkal Majalla" w:cs="Sakkal Majalla"/>
          <w:color w:val="000000" w:themeColor="text1"/>
          <w:sz w:val="28"/>
          <w:szCs w:val="28"/>
        </w:rPr>
        <w:t>.</w:t>
      </w:r>
    </w:p>
    <w:p w14:paraId="4964AD1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مشاريع التشغيل والصيانة بوزارة المالية، يكتسب هذا البُعد أهمية مضاعفة بسبب تعدّد الجهات المعنيّة والمقاولين والمورّدين، ممّا يتطلّب هيكلًا تنظيميًّا واضحًا يُحدّد خطوط المسؤولية والمساءلة، وقيادة تُدرك أهمية الاستثمار في نضج إدارة هذه المشاريع بوصفه استثمارًا في كفاءة الأصول العامة واستدامتها</w:t>
      </w:r>
      <w:r w:rsidRPr="00BB194B">
        <w:rPr>
          <w:rFonts w:ascii="Sakkal Majalla" w:hAnsi="Sakkal Majalla" w:cs="Sakkal Majalla"/>
          <w:color w:val="000000" w:themeColor="text1"/>
          <w:sz w:val="28"/>
          <w:szCs w:val="28"/>
        </w:rPr>
        <w:t>.</w:t>
      </w:r>
    </w:p>
    <w:p w14:paraId="3651208D" w14:textId="77777777" w:rsidR="00817DAA" w:rsidRPr="00BB194B" w:rsidRDefault="00817DAA" w:rsidP="00F76E6C">
      <w:pPr>
        <w:spacing w:before="100" w:beforeAutospacing="1" w:after="100" w:afterAutospacing="1"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البُعد الثالث: المهارات والكفاءات</w:t>
      </w:r>
    </w:p>
    <w:p w14:paraId="615A88DA"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يُركّز هذا البُعد على رأس المال البشري بوصفه المحرّك الحقيقي لنضج إدارة المشاريع، إذ لا يمكن للمنهجيات والهياكل التنظيمية أن تُحقّق أهدافها دون كوادر بشرية تمتلك المعارف والمهارات والسلوكيات اللازمة لتطبيقها. ويتناول هذا البُعد مجموعة من المكوّنات الفرعية تشمل: مستوى التأهيل الأكاديمي والمهني لفرق إدارة المشاريع، وحصولهم على شهادات مهنية معتمدة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مثل</w:t>
      </w:r>
      <w:r w:rsidRPr="00BB194B">
        <w:rPr>
          <w:rFonts w:ascii="Sakkal Majalla" w:hAnsi="Sakkal Majalla" w:cs="Sakkal Majalla"/>
          <w:color w:val="000000" w:themeColor="text1"/>
          <w:sz w:val="28"/>
          <w:szCs w:val="28"/>
        </w:rPr>
        <w:t xml:space="preserve"> PMP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PRINCE2)</w:t>
      </w:r>
      <w:r w:rsidRPr="00BB194B">
        <w:rPr>
          <w:rFonts w:ascii="Sakkal Majalla" w:hAnsi="Sakkal Majalla" w:cs="Sakkal Majalla"/>
          <w:color w:val="000000" w:themeColor="text1"/>
          <w:sz w:val="28"/>
          <w:szCs w:val="28"/>
          <w:rtl/>
        </w:rPr>
        <w:t>، وامتلاكهم لمهارات فنية في التخطيط والجدولة وإدارة المخاطر والتكلفة، فضلًا عن المهارات الناعمة كالقيادة والتواصل والتفاوض وحلّ النزاعات وإدارة أصحاب المصلحة</w:t>
      </w:r>
      <w:r w:rsidRPr="00BB194B">
        <w:rPr>
          <w:rFonts w:ascii="Sakkal Majalla" w:hAnsi="Sakkal Majalla" w:cs="Sakkal Majalla"/>
          <w:color w:val="000000" w:themeColor="text1"/>
          <w:sz w:val="28"/>
          <w:szCs w:val="28"/>
        </w:rPr>
        <w:t>.</w:t>
      </w:r>
    </w:p>
    <w:p w14:paraId="694105E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ويُبرز</w:t>
      </w:r>
      <w:r w:rsidRPr="00BB194B">
        <w:rPr>
          <w:rFonts w:ascii="Sakkal Majalla" w:hAnsi="Sakkal Majalla" w:cs="Sakkal Majalla"/>
          <w:color w:val="000000" w:themeColor="text1"/>
          <w:sz w:val="28"/>
          <w:szCs w:val="28"/>
        </w:rPr>
        <w:t xml:space="preserve"> Huang et al. (2023) </w:t>
      </w:r>
      <w:r w:rsidRPr="00BB194B">
        <w:rPr>
          <w:rFonts w:ascii="Sakkal Majalla" w:hAnsi="Sakkal Majalla" w:cs="Sakkal Majalla"/>
          <w:color w:val="000000" w:themeColor="text1"/>
          <w:sz w:val="28"/>
          <w:szCs w:val="28"/>
          <w:rtl/>
        </w:rPr>
        <w:t>أنّ المهارات الناعمة — وبخاصة إدارة العلاقات مع العملاء وأصحاب المصلحة — تُمثّل عاملًا جوهريًّا في تفسير الميزة التنافسية المرتبطة بالنضج، إذ لا يقتصر النضج على الجوانب الفنية الصلبة بل يمتد ليشمل القدرة على بناء علاقات مستدامة وإدارة التوقّعات. ويتّسق هذا مع ما يُشير إليه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من أنّ البُعد الثقافي للنضج يعتمد جوهريًّا على كفاءات الأفراد واستعدادهم للتعلّم المستمر وتقبّل التغيير</w:t>
      </w:r>
      <w:r w:rsidRPr="00BB194B">
        <w:rPr>
          <w:rFonts w:ascii="Sakkal Majalla" w:hAnsi="Sakkal Majalla" w:cs="Sakkal Majalla"/>
          <w:color w:val="000000" w:themeColor="text1"/>
          <w:sz w:val="28"/>
          <w:szCs w:val="28"/>
        </w:rPr>
        <w:t>.</w:t>
      </w:r>
    </w:p>
    <w:p w14:paraId="7E8C990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وعلى المستوى العربي، يُشير المطيري</w:t>
      </w:r>
      <w:r w:rsidRPr="00BB194B">
        <w:rPr>
          <w:rFonts w:ascii="Sakkal Majalla" w:hAnsi="Sakkal Majalla" w:cs="Sakkal Majalla"/>
          <w:color w:val="000000" w:themeColor="text1"/>
          <w:sz w:val="28"/>
          <w:szCs w:val="28"/>
        </w:rPr>
        <w:t xml:space="preserve"> (2023) </w:t>
      </w:r>
      <w:r w:rsidRPr="00BB194B">
        <w:rPr>
          <w:rFonts w:ascii="Sakkal Majalla" w:hAnsi="Sakkal Majalla" w:cs="Sakkal Majalla"/>
          <w:color w:val="000000" w:themeColor="text1"/>
          <w:sz w:val="28"/>
          <w:szCs w:val="28"/>
          <w:rtl/>
        </w:rPr>
        <w:t xml:space="preserve">إلى أنّ النضج الرقمي في قطاع الاتّصالات يرتبط ارتباطًا وثيقًا بمستوى الكفاءات البشرية والإبداعية، حيث تُمثّل الكفاءات المتقدّمة وسيطًا بين رأس المال </w:t>
      </w:r>
      <w:r w:rsidRPr="00BB194B">
        <w:rPr>
          <w:rFonts w:ascii="Sakkal Majalla" w:hAnsi="Sakkal Majalla" w:cs="Sakkal Majalla"/>
          <w:color w:val="000000" w:themeColor="text1"/>
          <w:sz w:val="28"/>
          <w:szCs w:val="28"/>
          <w:rtl/>
        </w:rPr>
        <w:lastRenderedPageBreak/>
        <w:t xml:space="preserve">الفكري الأخضر والأداء الإبداعي المؤسسي. ويُضيف الفهد وآخرون </w:t>
      </w:r>
      <w:r w:rsidRPr="00BB194B">
        <w:rPr>
          <w:rFonts w:ascii="Sakkal Majalla" w:hAnsi="Sakkal Majalla" w:cs="Sakkal Majalla"/>
          <w:color w:val="000000" w:themeColor="text1"/>
          <w:sz w:val="28"/>
          <w:szCs w:val="28"/>
        </w:rPr>
        <w:t xml:space="preserve">(2024) </w:t>
      </w:r>
      <w:r w:rsidRPr="00BB194B">
        <w:rPr>
          <w:rFonts w:ascii="Sakkal Majalla" w:hAnsi="Sakkal Majalla" w:cs="Sakkal Majalla"/>
          <w:color w:val="000000" w:themeColor="text1"/>
          <w:sz w:val="28"/>
          <w:szCs w:val="28"/>
          <w:rtl/>
        </w:rPr>
        <w:t>أنّ تطوير مهارات أعضاء هيئة التدريس والطلاب في استخدام الأدوات الرقمية لإدارة مشاريع التخرّج يُعدّ شرطًا أساسيًّا لتحقيق أهداف التحوّل الرقمي في المؤسسات التعليمية</w:t>
      </w:r>
      <w:r w:rsidRPr="00BB194B">
        <w:rPr>
          <w:rFonts w:ascii="Sakkal Majalla" w:hAnsi="Sakkal Majalla" w:cs="Sakkal Majalla"/>
          <w:color w:val="000000" w:themeColor="text1"/>
          <w:sz w:val="28"/>
          <w:szCs w:val="28"/>
        </w:rPr>
        <w:t>.</w:t>
      </w:r>
    </w:p>
    <w:p w14:paraId="72D6A1A3"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سياق التشغيل والصيانة، يتطلّب هذا البُعد — إلى جانب المهارات التقليدية — كفاءات رقمية متخصّصة تشمل القدرة على التعامل مع أنظمة إدارة الأصول المحوسبة</w:t>
      </w:r>
      <w:r w:rsidRPr="00BB194B">
        <w:rPr>
          <w:rFonts w:ascii="Sakkal Majalla" w:hAnsi="Sakkal Majalla" w:cs="Sakkal Majalla"/>
          <w:color w:val="000000" w:themeColor="text1"/>
          <w:sz w:val="28"/>
          <w:szCs w:val="28"/>
        </w:rPr>
        <w:t xml:space="preserve"> (CMMS/EAM) </w:t>
      </w:r>
      <w:r w:rsidRPr="00BB194B">
        <w:rPr>
          <w:rFonts w:ascii="Sakkal Majalla" w:hAnsi="Sakkal Majalla" w:cs="Sakkal Majalla"/>
          <w:color w:val="000000" w:themeColor="text1"/>
          <w:sz w:val="28"/>
          <w:szCs w:val="28"/>
          <w:rtl/>
        </w:rPr>
        <w:t>وتحليل بيانات الصيانة وتوظيف تقنيات إنترنت الأشياء والذكاء الاصطناعي في الصيانة التنبّؤية، وهو ما يربط هذا البُعد مباشرةً بمتطلّبات الجاهزية للتحوّل الرقمي</w:t>
      </w:r>
      <w:r w:rsidRPr="00BB194B">
        <w:rPr>
          <w:rFonts w:ascii="Sakkal Majalla" w:hAnsi="Sakkal Majalla" w:cs="Sakkal Majalla"/>
          <w:color w:val="000000" w:themeColor="text1"/>
          <w:sz w:val="28"/>
          <w:szCs w:val="28"/>
        </w:rPr>
        <w:t>.</w:t>
      </w:r>
    </w:p>
    <w:p w14:paraId="2F03E82C" w14:textId="77777777" w:rsidR="00817DAA" w:rsidRPr="00BB194B" w:rsidRDefault="00817DAA" w:rsidP="00F76E6C">
      <w:pPr>
        <w:spacing w:before="100" w:beforeAutospacing="1" w:after="100" w:afterAutospacing="1"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البُعد الرابع: أدوات وتقنيات إدارة المشاريع</w:t>
      </w:r>
    </w:p>
    <w:p w14:paraId="43EEA07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يتعلّق هذا البُعد بمدى توافر واستخدام الأدوات والتقنيات التي تدعم عمليات إدارة المشاريع وتُعزّز كفاءتها. ويمتد نطاقه من أدوات الجدولة والتخطيط التقليدية (كمخطّطات غانت وبرمجيات إدارة المشاريع) إلى الأنظمة الرقمية المتكاملة التي تُغطّي دورة حياة المشروع بالكامل</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كأنظمة</w:t>
      </w:r>
      <w:r w:rsidRPr="00BB194B">
        <w:rPr>
          <w:rFonts w:ascii="Sakkal Majalla" w:hAnsi="Sakkal Majalla" w:cs="Sakkal Majalla"/>
          <w:color w:val="000000" w:themeColor="text1"/>
          <w:sz w:val="28"/>
          <w:szCs w:val="28"/>
        </w:rPr>
        <w:t xml:space="preserve"> ERP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 xml:space="preserve">BIM </w:t>
      </w:r>
      <w:r w:rsidRPr="00BB194B">
        <w:rPr>
          <w:rFonts w:ascii="Sakkal Majalla" w:hAnsi="Sakkal Majalla" w:cs="Sakkal Majalla"/>
          <w:color w:val="000000" w:themeColor="text1"/>
          <w:sz w:val="28"/>
          <w:szCs w:val="28"/>
          <w:rtl/>
        </w:rPr>
        <w:t>وأنظمة إدارة المحافظ المشروعية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ويُعدّ هذا البُعد الأكثر ارتباطًا بمتطلّبات التحوّل الرقمي، إذ يُحدّد مستوى البنية التقنية التي ترتكز عليها المنظمة في أتمتة عملياتها المشروعية وتحويلها رقميًّا</w:t>
      </w:r>
      <w:r w:rsidRPr="00BB194B">
        <w:rPr>
          <w:rFonts w:ascii="Sakkal Majalla" w:hAnsi="Sakkal Majalla" w:cs="Sakkal Majalla"/>
          <w:color w:val="000000" w:themeColor="text1"/>
          <w:sz w:val="28"/>
          <w:szCs w:val="28"/>
        </w:rPr>
        <w:t>.</w:t>
      </w:r>
    </w:p>
    <w:p w14:paraId="3490110A"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ويُؤكّد</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أنّ النضج الرقمي في قطاع البناء والتشييد يتطلّب تكاملًا بين خمسة أبعاد يشمل أحدها البُعد التقني المتمثّل في مستوى تطوّر الأدوات الرقمية المُستخدمة، من الحلول الأساسية كجداول البيانات إلى المنصّات المتقدّمة كنمذجة معلومات البناء والتوائم الرقمية. ويتّسق هذا مع ما يعرضه</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من أنّ تطبيقات الأعمال الرقمية تحتلّ الوزن النسبي الأعلى في نموذج نضج التحوّل الرقمي لمنشآت البناء، ممّا يُؤكّد المركزية الاستراتيجية للبُعد التقني</w:t>
      </w:r>
      <w:r w:rsidRPr="00BB194B">
        <w:rPr>
          <w:rFonts w:ascii="Sakkal Majalla" w:hAnsi="Sakkal Majalla" w:cs="Sakkal Majalla"/>
          <w:color w:val="000000" w:themeColor="text1"/>
          <w:sz w:val="28"/>
          <w:szCs w:val="28"/>
        </w:rPr>
        <w:t>.</w:t>
      </w:r>
    </w:p>
    <w:p w14:paraId="15EA6B8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ويُضيف</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 xml:space="preserve">بُعدًا تقييميًّا لهذا المكوّن، إذ يعرض إطارًا يتضمّن ستة وخمسين مؤشّرًا لتقييم نضج التحوّل الرقمي، تشمل مؤشّرات تقنية تتعلّق بتكامل الأنظمة وقابلية التشغيل البيني وأمن البيانات وجودة البنية التحتية الرقمية. ويُبيّن أبو عمرة (2022) أنّ مستوى التقنيات المُستخدمة في </w:t>
      </w:r>
      <w:r w:rsidRPr="00BB194B">
        <w:rPr>
          <w:rFonts w:ascii="Sakkal Majalla" w:hAnsi="Sakkal Majalla" w:cs="Sakkal Majalla"/>
          <w:color w:val="000000" w:themeColor="text1"/>
          <w:sz w:val="28"/>
          <w:szCs w:val="28"/>
          <w:rtl/>
        </w:rPr>
        <w:lastRenderedPageBreak/>
        <w:t>تقديم الخدمات الحكومية يُعدّ من المحدّدات الرئيسة لجاهزية المؤسسات العامة للتحوّل الرقمي ولجودة الخدمات المقدّمة للمواطنين</w:t>
      </w:r>
      <w:r w:rsidRPr="00BB194B">
        <w:rPr>
          <w:rFonts w:ascii="Sakkal Majalla" w:hAnsi="Sakkal Majalla" w:cs="Sakkal Majalla"/>
          <w:color w:val="000000" w:themeColor="text1"/>
          <w:sz w:val="28"/>
          <w:szCs w:val="28"/>
        </w:rPr>
        <w:t>.</w:t>
      </w:r>
    </w:p>
    <w:p w14:paraId="5D2AD02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مشاريع التشغيل والصيانة، يتمحور هذا البُعد حول أنظمة إدارة الأصول المحوسبة</w:t>
      </w:r>
      <w:r w:rsidRPr="00BB194B">
        <w:rPr>
          <w:rFonts w:ascii="Sakkal Majalla" w:hAnsi="Sakkal Majalla" w:cs="Sakkal Majalla"/>
          <w:color w:val="000000" w:themeColor="text1"/>
          <w:sz w:val="28"/>
          <w:szCs w:val="28"/>
        </w:rPr>
        <w:t xml:space="preserve"> (CMMS) </w:t>
      </w:r>
      <w:r w:rsidRPr="00BB194B">
        <w:rPr>
          <w:rFonts w:ascii="Sakkal Majalla" w:hAnsi="Sakkal Majalla" w:cs="Sakkal Majalla"/>
          <w:color w:val="000000" w:themeColor="text1"/>
          <w:sz w:val="28"/>
          <w:szCs w:val="28"/>
          <w:rtl/>
        </w:rPr>
        <w:t xml:space="preserve">وأنظمة تخطيط موارد المؤسسة </w:t>
      </w:r>
      <w:r w:rsidRPr="00BB194B">
        <w:rPr>
          <w:rFonts w:ascii="Sakkal Majalla" w:hAnsi="Sakkal Majalla" w:cs="Sakkal Majalla"/>
          <w:color w:val="000000" w:themeColor="text1"/>
          <w:sz w:val="28"/>
          <w:szCs w:val="28"/>
        </w:rPr>
        <w:t xml:space="preserve">(ERP) </w:t>
      </w:r>
      <w:r w:rsidRPr="00BB194B">
        <w:rPr>
          <w:rFonts w:ascii="Sakkal Majalla" w:hAnsi="Sakkal Majalla" w:cs="Sakkal Majalla"/>
          <w:color w:val="000000" w:themeColor="text1"/>
          <w:sz w:val="28"/>
          <w:szCs w:val="28"/>
          <w:rtl/>
        </w:rPr>
        <w:t>وأنظمة إدارة المباني</w:t>
      </w:r>
      <w:r w:rsidRPr="00BB194B">
        <w:rPr>
          <w:rFonts w:ascii="Sakkal Majalla" w:hAnsi="Sakkal Majalla" w:cs="Sakkal Majalla"/>
          <w:color w:val="000000" w:themeColor="text1"/>
          <w:sz w:val="28"/>
          <w:szCs w:val="28"/>
        </w:rPr>
        <w:t xml:space="preserve"> (BMS) </w:t>
      </w:r>
      <w:r w:rsidRPr="00BB194B">
        <w:rPr>
          <w:rFonts w:ascii="Sakkal Majalla" w:hAnsi="Sakkal Majalla" w:cs="Sakkal Majalla"/>
          <w:color w:val="000000" w:themeColor="text1"/>
          <w:sz w:val="28"/>
          <w:szCs w:val="28"/>
          <w:rtl/>
        </w:rPr>
        <w:t>وأدوات الرصد عن بُعد وتقنيات إنترنت الأشياء، إذ تُمثّل هذه الأدوات البنية التحتية الرقمية التي تُمكّن المنظمة من التحوّل من نهج الصيانة التصحيحية إلى نهج الصيانة التنبّؤية القائمة على البيانات</w:t>
      </w:r>
      <w:r w:rsidRPr="00BB194B">
        <w:rPr>
          <w:rFonts w:ascii="Sakkal Majalla" w:hAnsi="Sakkal Majalla" w:cs="Sakkal Majalla"/>
          <w:color w:val="000000" w:themeColor="text1"/>
          <w:sz w:val="28"/>
          <w:szCs w:val="28"/>
        </w:rPr>
        <w:t>.</w:t>
      </w:r>
    </w:p>
    <w:p w14:paraId="5B3A9AF7" w14:textId="0F3F6576"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01186"/>
      <w:r w:rsidRPr="00BB194B">
        <w:rPr>
          <w:rFonts w:ascii="Sakkal Majalla" w:hAnsi="Sakkal Majalla" w:cs="Sakkal Majalla" w:hint="cs"/>
          <w:b/>
          <w:bCs/>
          <w:color w:val="000000" w:themeColor="text1"/>
          <w:sz w:val="32"/>
          <w:szCs w:val="32"/>
          <w:rtl/>
        </w:rPr>
        <w:t xml:space="preserve">6.1.2 </w:t>
      </w:r>
      <w:r w:rsidR="00817DAA" w:rsidRPr="00BB194B">
        <w:rPr>
          <w:rFonts w:ascii="Sakkal Majalla" w:hAnsi="Sakkal Majalla" w:cs="Sakkal Majalla"/>
          <w:b/>
          <w:bCs/>
          <w:color w:val="000000" w:themeColor="text1"/>
          <w:sz w:val="32"/>
          <w:szCs w:val="32"/>
          <w:rtl/>
        </w:rPr>
        <w:t>استراتيجيات تطوير نضج إدارة المشاريع</w:t>
      </w:r>
      <w:bookmarkEnd w:id="34"/>
    </w:p>
    <w:p w14:paraId="7257E9A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لا يُحقَّق النضج المؤسسي في إدارة المشاريع دفعةً واحدة، بل يتطلّب تبنّي استراتيجيات تطويرية متدرّجة ومتكاملة تتناسب مع الواقع المؤسسي والموارد المتاحة. وبناءً على ما ورد في الأدبيات، يمكن تحديد خمس استراتيجيات رئيسة</w:t>
      </w:r>
      <w:r w:rsidRPr="00BB194B">
        <w:rPr>
          <w:rFonts w:ascii="Sakkal Majalla" w:hAnsi="Sakkal Majalla" w:cs="Sakkal Majalla"/>
          <w:color w:val="000000" w:themeColor="text1"/>
          <w:sz w:val="28"/>
          <w:szCs w:val="28"/>
        </w:rPr>
        <w:t>:</w:t>
      </w:r>
    </w:p>
    <w:p w14:paraId="31AB38B5"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الأولى: التوحيد المنهجي التدريجي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تستند هذه الاستراتيجية إلى منطق النماذج المرحلية في نضج إدارة المشاريع، حيث تبدأ المنظمة بتوثيق عملياتها الحالية وتحديد الفجوات بين الممارسة الفعلية والمعايير المرجعية، ثم تنتقل تدريجيًّا نحو التوحيد والتنميط</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ويُشير</w:t>
      </w:r>
      <w:r w:rsidRPr="00BB194B">
        <w:rPr>
          <w:rFonts w:ascii="Sakkal Majalla" w:hAnsi="Sakkal Majalla" w:cs="Sakkal Majalla"/>
          <w:color w:val="000000" w:themeColor="text1"/>
          <w:sz w:val="28"/>
          <w:szCs w:val="28"/>
        </w:rPr>
        <w:t xml:space="preserve"> Machado et al. (2023) </w:t>
      </w:r>
      <w:r w:rsidRPr="00BB194B">
        <w:rPr>
          <w:rFonts w:ascii="Sakkal Majalla" w:hAnsi="Sakkal Majalla" w:cs="Sakkal Majalla"/>
          <w:color w:val="000000" w:themeColor="text1"/>
          <w:sz w:val="28"/>
          <w:szCs w:val="28"/>
          <w:rtl/>
        </w:rPr>
        <w:t>إلى أنّ هذا التدرّج يكتسب أهمية خاصة في المؤسسات الصغيرة والمتوسّطة التي لا تستطيع تحمّل كلفة التحوّل الشامل المفاجئ، ويتطلّب تكييف النماذج العالمية مع السياق المحلي للمنظمة. وفي مشاريع التشغيل والصيانة، تبدأ هذه الاستراتيجية بتوحيد إجراءات أوامر العمل وتصنيف أنشطة الصيانة ومعايير القبول والرفض، ثم تتوسّع لتشمل منهجيات إدارة المخاطر والعقود والمشتريات</w:t>
      </w:r>
      <w:r w:rsidRPr="00BB194B">
        <w:rPr>
          <w:rFonts w:ascii="Sakkal Majalla" w:hAnsi="Sakkal Majalla" w:cs="Sakkal Majalla"/>
          <w:color w:val="000000" w:themeColor="text1"/>
          <w:sz w:val="28"/>
          <w:szCs w:val="28"/>
        </w:rPr>
        <w:t>.</w:t>
      </w:r>
    </w:p>
    <w:p w14:paraId="10AB429C"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الثانية: بناء القدرات التنظيمية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تُركّز هذه الاستراتيجية على إنشاء بنى تنظيمية داعمة لإدارة المشاريع، وعلى رأسها مكتب إدارة المشاريع</w:t>
      </w:r>
      <w:r w:rsidRPr="00BB194B">
        <w:rPr>
          <w:rFonts w:ascii="Sakkal Majalla" w:hAnsi="Sakkal Majalla" w:cs="Sakkal Majalla"/>
          <w:color w:val="000000" w:themeColor="text1"/>
          <w:sz w:val="28"/>
          <w:szCs w:val="28"/>
        </w:rPr>
        <w:t xml:space="preserve"> (PMO). </w:t>
      </w:r>
      <w:r w:rsidRPr="00BB194B">
        <w:rPr>
          <w:rFonts w:ascii="Sakkal Majalla" w:hAnsi="Sakkal Majalla" w:cs="Sakkal Majalla"/>
          <w:color w:val="000000" w:themeColor="text1"/>
          <w:sz w:val="28"/>
          <w:szCs w:val="28"/>
          <w:rtl/>
        </w:rPr>
        <w:t>ويتدرّج دور هذا المكتب من مركز دعم استشاري إلى كيان رقابي إلى شريك استراتيجي، وفقًا لمستوى نضج المنظمة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ويُبيّن الهاشمي (2024) أنّ </w:t>
      </w:r>
      <w:r w:rsidRPr="00BB194B">
        <w:rPr>
          <w:rFonts w:ascii="Sakkal Majalla" w:hAnsi="Sakkal Majalla" w:cs="Sakkal Majalla"/>
          <w:color w:val="000000" w:themeColor="text1"/>
          <w:sz w:val="28"/>
          <w:szCs w:val="28"/>
          <w:rtl/>
        </w:rPr>
        <w:lastRenderedPageBreak/>
        <w:t>المؤسسات الحكومية العربية بحاجة ماسّة إلى إعادة هيكلة أُطرها التنظيمية لتتلاءم مع متطلّبات المشاريع الرقمية التي تتّسم بالمرونة والتداخل الوظيفي وسرعة الإيقاع</w:t>
      </w:r>
      <w:r w:rsidRPr="00BB194B">
        <w:rPr>
          <w:rFonts w:ascii="Sakkal Majalla" w:hAnsi="Sakkal Majalla" w:cs="Sakkal Majalla"/>
          <w:color w:val="000000" w:themeColor="text1"/>
          <w:sz w:val="28"/>
          <w:szCs w:val="28"/>
        </w:rPr>
        <w:t>.</w:t>
      </w:r>
    </w:p>
    <w:p w14:paraId="15271FC2"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الثالثة: التطوير المهني المستمر</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تعتمد هذه الاستراتيجية على بناء برامج تدريبية ومسارات وظيفية متخصّصة في إدارة المشاريع تجمع بين الجوانب الفنية والمهارات الناعمة والكفاءات الرقمية. ويُشير الفهد وآخرون (2024) إلى أنّ تعزيز القدرات الرقمية للكوادر البشرية يُعدّ شرطًا أوّليًّا لأيّ مبادرة تحوّل رقمي ناجحة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ويتّسق هذا مع ما يراه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Yudianingtyas</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Purwanto</w:t>
      </w:r>
      <w:proofErr w:type="spellEnd"/>
      <w:r w:rsidRPr="00BB194B">
        <w:rPr>
          <w:rFonts w:ascii="Sakkal Majalla" w:hAnsi="Sakkal Majalla" w:cs="Sakkal Majalla"/>
          <w:color w:val="000000" w:themeColor="text1"/>
          <w:sz w:val="28"/>
          <w:szCs w:val="28"/>
        </w:rPr>
        <w:t xml:space="preserve"> (2025) </w:t>
      </w:r>
      <w:r w:rsidRPr="00BB194B">
        <w:rPr>
          <w:rFonts w:ascii="Sakkal Majalla" w:hAnsi="Sakkal Majalla" w:cs="Sakkal Majalla"/>
          <w:color w:val="000000" w:themeColor="text1"/>
          <w:sz w:val="28"/>
          <w:szCs w:val="28"/>
          <w:rtl/>
        </w:rPr>
        <w:t>من أنّ تطوير الموارد البشرية يُمثّل توصية استراتيجية أساسية لرفع مستوى النضج وتعزيز فاعلية مشاريع التحوّل الرقمي</w:t>
      </w:r>
      <w:r w:rsidRPr="00BB194B">
        <w:rPr>
          <w:rFonts w:ascii="Sakkal Majalla" w:hAnsi="Sakkal Majalla" w:cs="Sakkal Majalla"/>
          <w:color w:val="000000" w:themeColor="text1"/>
          <w:sz w:val="28"/>
          <w:szCs w:val="28"/>
        </w:rPr>
        <w:t>.</w:t>
      </w:r>
    </w:p>
    <w:p w14:paraId="18FA1B16"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الرابعة: الارتقاء التقني المتكامل</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تسعى هذه الاستراتيجية إلى تطوير البنية التقنية لإدارة المشاريع بشكل متدرّج ومتكامل مع باقي الأبعاد. ويُحذّر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من الاستثمار في التقنية دون مراعاة الجاهزية البشرية والتنظيمية، إذ قد يؤدّي ذلك إلى فجوة بين إمكانات النظام ومستوى استخدامه الفعلي. ويتّسق هذا مع إطار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الذي يربط بين خمسة أبعاد للنضج الرقمي في قطاع البناء، مؤكّدًا أنّ الارتقاء التقني لا يُحقّق أثره المطلوب إلّا في سياق تطوير متوازٍ للاستراتيجية والتنظيم والكفاءات والثقافة</w:t>
      </w:r>
      <w:r w:rsidRPr="00BB194B">
        <w:rPr>
          <w:rFonts w:ascii="Sakkal Majalla" w:hAnsi="Sakkal Majalla" w:cs="Sakkal Majalla"/>
          <w:color w:val="000000" w:themeColor="text1"/>
          <w:sz w:val="28"/>
          <w:szCs w:val="28"/>
        </w:rPr>
        <w:t>.</w:t>
      </w:r>
    </w:p>
    <w:p w14:paraId="4DEDEB0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الخامسة: التقييم الدوري والمقارنة المرجعية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تقوم هذه الاستراتيجية على إجراء تقييمات منتظمة لمستوى النضج باستخدام أدوات قياس معتمدة، ومقارنة النتائج بمعايير مرجعية داخلية وخارجية. ويُشير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إلى أنّ إطار التقييم المؤلّف من سبع فئات وستة وخمسين مؤشّرًا يُوفّر أداة عملية يمكن للمنظمات استخدامها دوريًّا لرصد تقدّمها ومقارنته بمؤسسات مماثلة. ويُعزّز هذا التوجّه قدرة المنظمة على تحديد نقاط القوة والضعف بموضوعية واتّخاذ قرارات تطويرية مستندة إلى بيانات</w:t>
      </w:r>
      <w:r w:rsidRPr="00BB194B">
        <w:rPr>
          <w:rFonts w:ascii="Sakkal Majalla" w:hAnsi="Sakkal Majalla" w:cs="Sakkal Majalla"/>
          <w:color w:val="000000" w:themeColor="text1"/>
          <w:sz w:val="28"/>
          <w:szCs w:val="28"/>
        </w:rPr>
        <w:t>.</w:t>
      </w:r>
    </w:p>
    <w:p w14:paraId="194DD970" w14:textId="0E8E5AEE" w:rsidR="00817DAA" w:rsidRPr="00BB194B" w:rsidRDefault="00234448" w:rsidP="00234448">
      <w:pPr>
        <w:spacing w:before="100" w:beforeAutospacing="1" w:after="100" w:afterAutospacing="1"/>
        <w:outlineLvl w:val="2"/>
        <w:rPr>
          <w:rFonts w:ascii="Sakkal Majalla" w:hAnsi="Sakkal Majalla" w:cs="Sakkal Majalla"/>
          <w:b/>
          <w:bCs/>
          <w:color w:val="000000" w:themeColor="text1"/>
          <w:sz w:val="32"/>
          <w:szCs w:val="32"/>
        </w:rPr>
      </w:pPr>
      <w:r w:rsidRPr="00BB194B">
        <w:rPr>
          <w:rFonts w:ascii="Sakkal Majalla" w:hAnsi="Sakkal Majalla" w:cs="Sakkal Majalla"/>
          <w:b/>
          <w:bCs/>
          <w:color w:val="000000" w:themeColor="text1"/>
          <w:sz w:val="32"/>
          <w:szCs w:val="32"/>
        </w:rPr>
        <w:br w:type="page"/>
      </w:r>
      <w:bookmarkStart w:id="35" w:name="_Toc223401187"/>
      <w:r w:rsidRPr="00BB194B">
        <w:rPr>
          <w:rFonts w:ascii="Sakkal Majalla" w:hAnsi="Sakkal Majalla" w:cs="Sakkal Majalla" w:hint="cs"/>
          <w:b/>
          <w:bCs/>
          <w:color w:val="000000" w:themeColor="text1"/>
          <w:sz w:val="32"/>
          <w:szCs w:val="32"/>
          <w:rtl/>
        </w:rPr>
        <w:lastRenderedPageBreak/>
        <w:t xml:space="preserve">7.1.2 </w:t>
      </w:r>
      <w:r w:rsidR="00817DAA" w:rsidRPr="00BB194B">
        <w:rPr>
          <w:rFonts w:ascii="Sakkal Majalla" w:hAnsi="Sakkal Majalla" w:cs="Sakkal Majalla"/>
          <w:b/>
          <w:bCs/>
          <w:color w:val="000000" w:themeColor="text1"/>
          <w:sz w:val="32"/>
          <w:szCs w:val="32"/>
          <w:rtl/>
        </w:rPr>
        <w:t>نماذج قياس نضج إدارة المشاريع</w:t>
      </w:r>
      <w:bookmarkEnd w:id="35"/>
    </w:p>
    <w:p w14:paraId="5A9B6132"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تعدّدت نماذج قياس نضج إدارة المشاريع في الأدبيات الأكاديمية والمهنية، وتتّفق معظمها في تبنّي منطق المستويات التدريجية مع اختلاف في عدد المستويات والأبعاد المُقاسة ونطاق التطبيق</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ويمكن تصنيف أبرز هذه النماذج وفقًا لمنطلقاتها النظرية والمنهجية</w:t>
      </w:r>
      <w:r w:rsidRPr="00BB194B">
        <w:rPr>
          <w:rFonts w:ascii="Sakkal Majalla" w:hAnsi="Sakkal Majalla" w:cs="Sakkal Majalla"/>
          <w:color w:val="000000" w:themeColor="text1"/>
          <w:sz w:val="28"/>
          <w:szCs w:val="28"/>
        </w:rPr>
        <w:t>:</w:t>
      </w:r>
    </w:p>
    <w:p w14:paraId="15ECAE42"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يُعدّ نموذج نضج إدارة المشاريع المؤسسية </w:t>
      </w:r>
      <w:r w:rsidRPr="00BB194B">
        <w:rPr>
          <w:rFonts w:ascii="Sakkal Majalla" w:hAnsi="Sakkal Majalla" w:cs="Sakkal Majalla"/>
          <w:color w:val="000000" w:themeColor="text1"/>
          <w:sz w:val="28"/>
          <w:szCs w:val="28"/>
        </w:rPr>
        <w:t xml:space="preserve">(OPM3) </w:t>
      </w:r>
      <w:r w:rsidRPr="00BB194B">
        <w:rPr>
          <w:rFonts w:ascii="Sakkal Majalla" w:hAnsi="Sakkal Majalla" w:cs="Sakkal Majalla"/>
          <w:color w:val="000000" w:themeColor="text1"/>
          <w:sz w:val="28"/>
          <w:szCs w:val="28"/>
          <w:rtl/>
        </w:rPr>
        <w:t>الصادر عن معهد إدارة المشاريع</w:t>
      </w:r>
      <w:r w:rsidRPr="00BB194B">
        <w:rPr>
          <w:rFonts w:ascii="Sakkal Majalla" w:hAnsi="Sakkal Majalla" w:cs="Sakkal Majalla"/>
          <w:color w:val="000000" w:themeColor="text1"/>
          <w:sz w:val="28"/>
          <w:szCs w:val="28"/>
        </w:rPr>
        <w:t xml:space="preserve"> (PMI) </w:t>
      </w:r>
      <w:r w:rsidRPr="00BB194B">
        <w:rPr>
          <w:rFonts w:ascii="Sakkal Majalla" w:hAnsi="Sakkal Majalla" w:cs="Sakkal Majalla"/>
          <w:color w:val="000000" w:themeColor="text1"/>
          <w:sz w:val="28"/>
          <w:szCs w:val="28"/>
          <w:rtl/>
        </w:rPr>
        <w:t xml:space="preserve">من أكثر النماذج شمولًا، إذ يربط بين نضج إدارة المشاريع والبرامج والمحافظ من جهة والأهداف الاستراتيجية للمنظمة من جهة أخرى. ويقوم على ثلاثة عناصر رئيسة: المعرفة </w:t>
      </w:r>
      <w:r w:rsidRPr="00BB194B">
        <w:rPr>
          <w:rFonts w:ascii="Sakkal Majalla" w:hAnsi="Sakkal Majalla" w:cs="Sakkal Majalla"/>
          <w:color w:val="000000" w:themeColor="text1"/>
          <w:sz w:val="28"/>
          <w:szCs w:val="28"/>
        </w:rPr>
        <w:t>(Knowledge)</w:t>
      </w:r>
      <w:r w:rsidRPr="00BB194B">
        <w:rPr>
          <w:rFonts w:ascii="Sakkal Majalla" w:hAnsi="Sakkal Majalla" w:cs="Sakkal Majalla"/>
          <w:color w:val="000000" w:themeColor="text1"/>
          <w:sz w:val="28"/>
          <w:szCs w:val="28"/>
          <w:rtl/>
        </w:rPr>
        <w:t>، والتقييم</w:t>
      </w:r>
      <w:r w:rsidRPr="00BB194B">
        <w:rPr>
          <w:rFonts w:ascii="Sakkal Majalla" w:hAnsi="Sakkal Majalla" w:cs="Sakkal Majalla"/>
          <w:color w:val="000000" w:themeColor="text1"/>
          <w:sz w:val="28"/>
          <w:szCs w:val="28"/>
        </w:rPr>
        <w:t xml:space="preserve"> (Assessment)</w:t>
      </w:r>
      <w:r w:rsidRPr="00BB194B">
        <w:rPr>
          <w:rFonts w:ascii="Sakkal Majalla" w:hAnsi="Sakkal Majalla" w:cs="Sakkal Majalla"/>
          <w:color w:val="000000" w:themeColor="text1"/>
          <w:sz w:val="28"/>
          <w:szCs w:val="28"/>
          <w:rtl/>
        </w:rPr>
        <w:t>، والتحسين</w:t>
      </w:r>
      <w:r w:rsidRPr="00BB194B">
        <w:rPr>
          <w:rFonts w:ascii="Sakkal Majalla" w:hAnsi="Sakkal Majalla" w:cs="Sakkal Majalla"/>
          <w:color w:val="000000" w:themeColor="text1"/>
          <w:sz w:val="28"/>
          <w:szCs w:val="28"/>
        </w:rPr>
        <w:t xml:space="preserve"> (Improvement)</w:t>
      </w:r>
      <w:r w:rsidRPr="00BB194B">
        <w:rPr>
          <w:rFonts w:ascii="Sakkal Majalla" w:hAnsi="Sakkal Majalla" w:cs="Sakkal Majalla"/>
          <w:color w:val="000000" w:themeColor="text1"/>
          <w:sz w:val="28"/>
          <w:szCs w:val="28"/>
          <w:rtl/>
        </w:rPr>
        <w:t>، ويُتيح للمنظمات قياس نضجها عبر مجالات عمليات إدارة المشاريع المتنوّعة</w:t>
      </w:r>
      <w:r w:rsidRPr="00BB194B">
        <w:rPr>
          <w:rFonts w:ascii="Sakkal Majalla" w:hAnsi="Sakkal Majalla" w:cs="Sakkal Majalla"/>
          <w:color w:val="000000" w:themeColor="text1"/>
          <w:sz w:val="28"/>
          <w:szCs w:val="28"/>
        </w:rPr>
        <w:t>.</w:t>
      </w:r>
    </w:p>
    <w:p w14:paraId="33E5CD7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ويُقدّم نموذج</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Kerzner</w:t>
      </w:r>
      <w:proofErr w:type="spellEnd"/>
      <w:r w:rsidRPr="00BB194B">
        <w:rPr>
          <w:rFonts w:ascii="Sakkal Majalla" w:hAnsi="Sakkal Majalla" w:cs="Sakkal Majalla"/>
          <w:color w:val="000000" w:themeColor="text1"/>
          <w:sz w:val="28"/>
          <w:szCs w:val="28"/>
        </w:rPr>
        <w:t xml:space="preserve"> (KPMMM) </w:t>
      </w:r>
      <w:r w:rsidRPr="00BB194B">
        <w:rPr>
          <w:rFonts w:ascii="Sakkal Majalla" w:hAnsi="Sakkal Majalla" w:cs="Sakkal Majalla"/>
          <w:color w:val="000000" w:themeColor="text1"/>
          <w:sz w:val="28"/>
          <w:szCs w:val="28"/>
          <w:rtl/>
        </w:rPr>
        <w:t>إطارًا من خمسة مستويات: اللغة المشتركة، والعمليات المشتركة، والمنهجية الموحّدة، والمقارنة المرجعية، والتحسين المستمر. وقد وظّفت</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هذا النموذج في دراسة حالة أظهرت التباين الداخلي في مستويات النضج بين أقسام المنظمة الواحدة، ممّا يدعم فكرة أنّ النضج ليس حالة مؤسسية موحّدة بل يتفاوت بحسب الوحدة التنظيمية والسياق الوظيفي</w:t>
      </w:r>
      <w:r w:rsidRPr="00BB194B">
        <w:rPr>
          <w:rFonts w:ascii="Sakkal Majalla" w:hAnsi="Sakkal Majalla" w:cs="Sakkal Majalla"/>
          <w:color w:val="000000" w:themeColor="text1"/>
          <w:sz w:val="28"/>
          <w:szCs w:val="28"/>
        </w:rPr>
        <w:t>.</w:t>
      </w:r>
    </w:p>
    <w:p w14:paraId="1207ACD1"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إطار الاتّجاه نحو ربط النضج بالتحوّل الرقمي والصناعة الرابعة، طوّر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نموذج</w:t>
      </w:r>
      <w:r w:rsidRPr="00BB194B">
        <w:rPr>
          <w:rFonts w:ascii="Sakkal Majalla" w:hAnsi="Sakkal Majalla" w:cs="Sakkal Majalla"/>
          <w:color w:val="000000" w:themeColor="text1"/>
          <w:sz w:val="28"/>
          <w:szCs w:val="28"/>
        </w:rPr>
        <w:t xml:space="preserve"> DCCMM </w:t>
      </w:r>
      <w:r w:rsidRPr="00BB194B">
        <w:rPr>
          <w:rFonts w:ascii="Sakkal Majalla" w:hAnsi="Sakkal Majalla" w:cs="Sakkal Majalla"/>
          <w:color w:val="000000" w:themeColor="text1"/>
          <w:sz w:val="28"/>
          <w:szCs w:val="28"/>
          <w:rtl/>
        </w:rPr>
        <w:t>المُؤلّف من خمسة أبعاد وثمانية وعشرين معلمة وستة مستويات للنضج، مُصمَّم خصّيصًا لقطاع البناء في سياق الصناعة الرابعة. كما يعرض</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نموذجًا يدمج بين أسلوب التحليل الهرمي</w:t>
      </w:r>
      <w:r w:rsidRPr="00BB194B">
        <w:rPr>
          <w:rFonts w:ascii="Sakkal Majalla" w:hAnsi="Sakkal Majalla" w:cs="Sakkal Majalla"/>
          <w:color w:val="000000" w:themeColor="text1"/>
          <w:sz w:val="28"/>
          <w:szCs w:val="28"/>
        </w:rPr>
        <w:t xml:space="preserve"> (AHP) </w:t>
      </w:r>
      <w:r w:rsidRPr="00BB194B">
        <w:rPr>
          <w:rFonts w:ascii="Sakkal Majalla" w:hAnsi="Sakkal Majalla" w:cs="Sakkal Majalla"/>
          <w:color w:val="000000" w:themeColor="text1"/>
          <w:sz w:val="28"/>
          <w:szCs w:val="28"/>
          <w:rtl/>
        </w:rPr>
        <w:t>ومنهجية</w:t>
      </w:r>
      <w:r w:rsidRPr="00BB194B">
        <w:rPr>
          <w:rFonts w:ascii="Sakkal Majalla" w:hAnsi="Sakkal Majalla" w:cs="Sakkal Majalla"/>
          <w:color w:val="000000" w:themeColor="text1"/>
          <w:sz w:val="28"/>
          <w:szCs w:val="28"/>
        </w:rPr>
        <w:t xml:space="preserve"> DEMATEL </w:t>
      </w:r>
      <w:r w:rsidRPr="00BB194B">
        <w:rPr>
          <w:rFonts w:ascii="Sakkal Majalla" w:hAnsi="Sakkal Majalla" w:cs="Sakkal Majalla"/>
          <w:color w:val="000000" w:themeColor="text1"/>
          <w:sz w:val="28"/>
          <w:szCs w:val="28"/>
          <w:rtl/>
        </w:rPr>
        <w:t>لترتيب عشرين عاملًا مؤثّرًا في نضج التحوّل الرقمي لمنشآت البناء عبر ستة أبعاد</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ويُوفّر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إطارًا مؤلّفًا من سبع فئات وستة وخمسين مؤشّرًا لتقييم نضج التحوّل الرقمي في المؤسسات الحكومية الكبرى المالكة للبنية التحتية</w:t>
      </w:r>
      <w:r w:rsidRPr="00BB194B">
        <w:rPr>
          <w:rFonts w:ascii="Sakkal Majalla" w:hAnsi="Sakkal Majalla" w:cs="Sakkal Majalla"/>
          <w:color w:val="000000" w:themeColor="text1"/>
          <w:sz w:val="28"/>
          <w:szCs w:val="28"/>
        </w:rPr>
        <w:t>.</w:t>
      </w:r>
    </w:p>
    <w:p w14:paraId="4B7D80F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أمّا نموذج</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ProMMM</w:t>
      </w:r>
      <w:proofErr w:type="spellEnd"/>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فقد وظّفه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 xml:space="preserve">في دراسة العلاقة بين نضج إدارة المشاريع والتميّز المؤسسي في سياق الصناعة الرابعة، وهو نموذج يتضمّن أبعادًا ثقافية وتنظيمية إلى جانب الأبعاد </w:t>
      </w:r>
      <w:r w:rsidRPr="00BB194B">
        <w:rPr>
          <w:rFonts w:ascii="Sakkal Majalla" w:hAnsi="Sakkal Majalla" w:cs="Sakkal Majalla"/>
          <w:color w:val="000000" w:themeColor="text1"/>
          <w:sz w:val="28"/>
          <w:szCs w:val="28"/>
          <w:rtl/>
        </w:rPr>
        <w:lastRenderedPageBreak/>
        <w:t>الإجرائية والتقنية. ويستخدم نموذج</w:t>
      </w:r>
      <w:r w:rsidRPr="00BB194B">
        <w:rPr>
          <w:rFonts w:ascii="Sakkal Majalla" w:hAnsi="Sakkal Majalla" w:cs="Sakkal Majalla"/>
          <w:color w:val="000000" w:themeColor="text1"/>
          <w:sz w:val="28"/>
          <w:szCs w:val="28"/>
        </w:rPr>
        <w:t xml:space="preserve"> P3M3 </w:t>
      </w:r>
      <w:r w:rsidRPr="00BB194B">
        <w:rPr>
          <w:rFonts w:ascii="Sakkal Majalla" w:hAnsi="Sakkal Majalla" w:cs="Sakkal Majalla"/>
          <w:color w:val="000000" w:themeColor="text1"/>
          <w:sz w:val="28"/>
          <w:szCs w:val="28"/>
          <w:rtl/>
        </w:rPr>
        <w:t>الذي وظّفه</w:t>
      </w:r>
      <w:r w:rsidRPr="00BB194B">
        <w:rPr>
          <w:rFonts w:ascii="Sakkal Majalla" w:hAnsi="Sakkal Majalla" w:cs="Sakkal Majalla"/>
          <w:color w:val="000000" w:themeColor="text1"/>
          <w:sz w:val="28"/>
          <w:szCs w:val="28"/>
        </w:rPr>
        <w:t xml:space="preserve"> Huang et al. (2023) </w:t>
      </w:r>
      <w:r w:rsidRPr="00BB194B">
        <w:rPr>
          <w:rFonts w:ascii="Sakkal Majalla" w:hAnsi="Sakkal Majalla" w:cs="Sakkal Majalla"/>
          <w:color w:val="000000" w:themeColor="text1"/>
          <w:sz w:val="28"/>
          <w:szCs w:val="28"/>
          <w:rtl/>
        </w:rPr>
        <w:t>تقييمًا ذاتيًّا خماسي المستويات يشمل إدارة المشاريع والبرامج والمحافظ، ويتميّز بمرونته وقابليته للتطبيق في سياقات متنوّعة</w:t>
      </w:r>
      <w:r w:rsidRPr="00BB194B">
        <w:rPr>
          <w:rFonts w:ascii="Sakkal Majalla" w:hAnsi="Sakkal Majalla" w:cs="Sakkal Majalla"/>
          <w:color w:val="000000" w:themeColor="text1"/>
          <w:sz w:val="28"/>
          <w:szCs w:val="28"/>
        </w:rPr>
        <w:t>.</w:t>
      </w:r>
    </w:p>
    <w:p w14:paraId="3D1AB667" w14:textId="1DEDA541"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401188"/>
      <w:r w:rsidRPr="00BB194B">
        <w:rPr>
          <w:rFonts w:ascii="Sakkal Majalla" w:hAnsi="Sakkal Majalla" w:cs="Sakkal Majalla" w:hint="cs"/>
          <w:b/>
          <w:bCs/>
          <w:color w:val="000000" w:themeColor="text1"/>
          <w:sz w:val="32"/>
          <w:szCs w:val="32"/>
          <w:rtl/>
        </w:rPr>
        <w:t xml:space="preserve">8.1.2 </w:t>
      </w:r>
      <w:r w:rsidR="00817DAA" w:rsidRPr="00BB194B">
        <w:rPr>
          <w:rFonts w:ascii="Sakkal Majalla" w:hAnsi="Sakkal Majalla" w:cs="Sakkal Majalla"/>
          <w:b/>
          <w:bCs/>
          <w:color w:val="000000" w:themeColor="text1"/>
          <w:sz w:val="32"/>
          <w:szCs w:val="32"/>
          <w:rtl/>
        </w:rPr>
        <w:t>محدّدات نضج إدارة المشاريع والعوامل المؤثّرة فيه</w:t>
      </w:r>
      <w:bookmarkEnd w:id="36"/>
    </w:p>
    <w:p w14:paraId="44D45965"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يتأثّر مستوى نضج إدارة المشاريع في أيّ منظمة بمجموعة من العوامل الداخلية والخارجية المتشابكة التي تُشكّل البيئة التي ينمو فيها النضج أو يتعثّر. ويمكن تصنيف هذه العوامل في فئتين رئيستين</w:t>
      </w:r>
      <w:r w:rsidRPr="00BB194B">
        <w:rPr>
          <w:rFonts w:ascii="Sakkal Majalla" w:hAnsi="Sakkal Majalla" w:cs="Sakkal Majalla"/>
          <w:color w:val="000000" w:themeColor="text1"/>
          <w:sz w:val="28"/>
          <w:szCs w:val="28"/>
        </w:rPr>
        <w:t>:</w:t>
      </w:r>
    </w:p>
    <w:p w14:paraId="21765893"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العوامل الداخلية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تشمل حجم المنظمة وطبيعة مشاريعها ونضج ثقافتها التنظيمية ومستوى الدعم القيادي ومدى توافر الموارد المالية والبشرية والتقنية. ويُشير</w:t>
      </w:r>
      <w:r w:rsidRPr="00BB194B">
        <w:rPr>
          <w:rFonts w:ascii="Sakkal Majalla" w:hAnsi="Sakkal Majalla" w:cs="Sakkal Majalla"/>
          <w:color w:val="000000" w:themeColor="text1"/>
          <w:sz w:val="28"/>
          <w:szCs w:val="28"/>
        </w:rPr>
        <w:t xml:space="preserve"> Machado et al. (2023) </w:t>
      </w:r>
      <w:r w:rsidRPr="00BB194B">
        <w:rPr>
          <w:rFonts w:ascii="Sakkal Majalla" w:hAnsi="Sakkal Majalla" w:cs="Sakkal Majalla"/>
          <w:color w:val="000000" w:themeColor="text1"/>
          <w:sz w:val="28"/>
          <w:szCs w:val="28"/>
          <w:rtl/>
        </w:rPr>
        <w:t>إلى أنّ صغر حجم المنظمة لا يحول دون تحقيق مستويات معقولة من النضج شريطة تكييف النماذج مع واقعها. وتُبرز</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أنّ التباين في الثقافات الفرعية بين أقسام المنظمة يُفرز مستويات نضج متفاوتة حتى داخل الكيان المؤسسي الواحد. ويُؤكّد السيابي (2022) أنّ البيئة البيروقراطية في المؤسسات الحكومية تُمثّل تحدّيًا مزدوجًا، إذ توفّر من جهة أُطرًا إجرائية واضحة لكنّها تُقيّد من جهة أخرى المرونة والسرعة اللتين يتطلّبهما التطوير المستمر لنضج إدارة المشاريع</w:t>
      </w:r>
      <w:r w:rsidRPr="00BB194B">
        <w:rPr>
          <w:rFonts w:ascii="Sakkal Majalla" w:hAnsi="Sakkal Majalla" w:cs="Sakkal Majalla"/>
          <w:color w:val="000000" w:themeColor="text1"/>
          <w:sz w:val="28"/>
          <w:szCs w:val="28"/>
        </w:rPr>
        <w:t>.</w:t>
      </w:r>
    </w:p>
    <w:p w14:paraId="5430D3EC"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العوامل الخارجية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تشمل البيئة التنظيمية والتشريعية، والضغوط التنافسية، ومتطلّبات أصحاب المصلحة، والتطوّرات التقنية المتسارعة. ويُشير</w:t>
      </w:r>
      <w:r w:rsidRPr="00BB194B">
        <w:rPr>
          <w:rFonts w:ascii="Sakkal Majalla" w:hAnsi="Sakkal Majalla" w:cs="Sakkal Majalla"/>
          <w:color w:val="000000" w:themeColor="text1"/>
          <w:sz w:val="28"/>
          <w:szCs w:val="28"/>
        </w:rPr>
        <w:t xml:space="preserve"> Angelopoulos et al. (2023) </w:t>
      </w:r>
      <w:r w:rsidRPr="00BB194B">
        <w:rPr>
          <w:rFonts w:ascii="Sakkal Majalla" w:hAnsi="Sakkal Majalla" w:cs="Sakkal Majalla"/>
          <w:color w:val="000000" w:themeColor="text1"/>
          <w:sz w:val="28"/>
          <w:szCs w:val="28"/>
          <w:rtl/>
        </w:rPr>
        <w:t>إلى أنّ التحوّل الرقمي يُعيد تشكيل العلاقة بين التقنية والعمليات بشكل جذري، ممّا يفرض على المنظمات إعادة النظر في مستوى نضجها لمواكبة هذا التحوّل</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ويُضيف عامر (2022) أنّ الضغوط التنافسية العالمية في قطاع الطاقة والبتروكيميائيات تدفع المؤسسات العربية نحو تسريع مسيرة نضجها لضمان استمراريتها التنافسية. ويُبيّن صوان (2023) أنّ ضغوط المتعاملين والمواطنين تجاه خدمات حكومية رقمية أفضل تُمثّل محرّكًا خارجيًّا يدفع المؤسسات الحكومية نحو تطوير نضجها المؤسسي في إدارة مشاريع التحوّل الرقمي</w:t>
      </w:r>
      <w:r w:rsidRPr="00BB194B">
        <w:rPr>
          <w:rFonts w:ascii="Sakkal Majalla" w:hAnsi="Sakkal Majalla" w:cs="Sakkal Majalla"/>
          <w:color w:val="000000" w:themeColor="text1"/>
          <w:sz w:val="28"/>
          <w:szCs w:val="28"/>
        </w:rPr>
        <w:t>.</w:t>
      </w:r>
    </w:p>
    <w:p w14:paraId="7951F0AD" w14:textId="155DED34" w:rsidR="00817DAA" w:rsidRPr="00BB194B" w:rsidRDefault="00234448" w:rsidP="00234448">
      <w:pPr>
        <w:spacing w:before="100" w:beforeAutospacing="1" w:after="100" w:afterAutospacing="1"/>
        <w:jc w:val="center"/>
        <w:outlineLvl w:val="1"/>
        <w:rPr>
          <w:rFonts w:ascii="Sakkal Majalla" w:hAnsi="Sakkal Majalla" w:cs="Sakkal Majalla"/>
          <w:b/>
          <w:bCs/>
          <w:color w:val="000000" w:themeColor="text1"/>
          <w:sz w:val="36"/>
          <w:szCs w:val="36"/>
        </w:rPr>
      </w:pPr>
      <w:r w:rsidRPr="00BB194B">
        <w:rPr>
          <w:rFonts w:ascii="Sakkal Majalla" w:hAnsi="Sakkal Majalla" w:cs="Sakkal Majalla"/>
          <w:b/>
          <w:bCs/>
          <w:color w:val="000000" w:themeColor="text1"/>
          <w:sz w:val="36"/>
          <w:szCs w:val="36"/>
          <w:rtl/>
        </w:rPr>
        <w:br w:type="page"/>
      </w:r>
      <w:bookmarkStart w:id="37" w:name="_Toc223401189"/>
      <w:r w:rsidR="00817DAA" w:rsidRPr="00BB194B">
        <w:rPr>
          <w:rFonts w:ascii="Sakkal Majalla" w:hAnsi="Sakkal Majalla" w:cs="Sakkal Majalla"/>
          <w:b/>
          <w:bCs/>
          <w:color w:val="000000" w:themeColor="text1"/>
          <w:sz w:val="36"/>
          <w:szCs w:val="36"/>
          <w:rtl/>
        </w:rPr>
        <w:lastRenderedPageBreak/>
        <w:t>المبحث الثاني: جاهزية مشاريع التشغيل والصيانة للتحوّل الرقمي</w:t>
      </w:r>
      <w:bookmarkEnd w:id="37"/>
    </w:p>
    <w:p w14:paraId="578B27C3" w14:textId="577DB660"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01190"/>
      <w:r w:rsidRPr="00BB194B">
        <w:rPr>
          <w:rFonts w:ascii="Sakkal Majalla" w:hAnsi="Sakkal Majalla" w:cs="Sakkal Majalla" w:hint="cs"/>
          <w:b/>
          <w:bCs/>
          <w:color w:val="000000" w:themeColor="text1"/>
          <w:sz w:val="32"/>
          <w:szCs w:val="32"/>
          <w:rtl/>
        </w:rPr>
        <w:t xml:space="preserve">1.2.2 </w:t>
      </w:r>
      <w:r w:rsidR="00817DAA" w:rsidRPr="00BB194B">
        <w:rPr>
          <w:rFonts w:ascii="Sakkal Majalla" w:hAnsi="Sakkal Majalla" w:cs="Sakkal Majalla"/>
          <w:b/>
          <w:bCs/>
          <w:color w:val="000000" w:themeColor="text1"/>
          <w:sz w:val="32"/>
          <w:szCs w:val="32"/>
          <w:rtl/>
        </w:rPr>
        <w:t xml:space="preserve"> تمهيد</w:t>
      </w:r>
      <w:bookmarkEnd w:id="38"/>
    </w:p>
    <w:p w14:paraId="10815B0E"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لم يعد التحوّل الرقمي خيارًا استراتيجيًّا تتبنّاه المنظمات بحسب رغبتها، بل أضحى ضرورة مؤسسية تفرضها التحوّلات المتسارعة في بيئة الأعمال العالمية والمحلية. وقد انتقل مفهوم التحوّل الرقمي من كونه مجرّد أتمتة للعمليات الورقية إلى كونه إعادة هندسة شاملة للنماذج التشغيلية والأعمال والثقافة المؤسسية بالاستناد إلى التقنيات الرقمية المتقدّمة. غير أنّ نجاح هذا التحوّل لا يتحقّق بمجرّد اقتناء التقنية أو إطلاق المبادرات الرقمية، بل يستلزم مستوًى كافيًا من الجاهزية المؤسسية تُهيّئ فيه المنظمة عملياتها وهياكلها وكوادرها وبنيتها التقنية لاستيعاب التحوّل وتحقيق مردوده المتوقّع</w:t>
      </w:r>
      <w:r w:rsidRPr="00BB194B">
        <w:rPr>
          <w:rFonts w:ascii="Sakkal Majalla" w:hAnsi="Sakkal Majalla" w:cs="Sakkal Majalla"/>
          <w:color w:val="000000" w:themeColor="text1"/>
          <w:sz w:val="28"/>
          <w:szCs w:val="28"/>
        </w:rPr>
        <w:t>.</w:t>
      </w:r>
    </w:p>
    <w:p w14:paraId="4D8EDB3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وتكتسب الجاهزية للتحوّل الرقمي أهمية مضاعفة في مشاريع التشغيل والصيانة، لأنّ هذه المشاريع تتعامل مع أصول مادية قائمة تعمل بشكل مستمر ولا تحتمل التوقّف المفاجئ أو التجريب غير المحسوب</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وتتّسم مشاريع التشغيل والصيانة في القطاع الحكومي — وتحديدًا في وزارة المالية — بخصائص تُضيف تعقيدًا إضافيًّا: كثافة العقود طويلة الأجل، وتعدّد المقاولين والمورّدين، والاعتماد على معرفة ضمنية غير مُوثّقة، والقيود التنظيمية والتشريعية، فضلًا عن ضخامة الأصول وتنوّعها الجغرافي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ومن هنا يسعى هذا المبحث إلى استعراض مفهوم جاهزية التحوّل الرقمي وتعريفاته وأهميته وأهدافه، ثم تحديد أبعاده واستراتيجيات تعزيزه، والعوامل المؤثّرة فيه، مع التركيز على سياق مشاريع التشغيل والصيانة</w:t>
      </w:r>
      <w:r w:rsidRPr="00BB194B">
        <w:rPr>
          <w:rFonts w:ascii="Sakkal Majalla" w:hAnsi="Sakkal Majalla" w:cs="Sakkal Majalla"/>
          <w:color w:val="000000" w:themeColor="text1"/>
          <w:sz w:val="28"/>
          <w:szCs w:val="28"/>
        </w:rPr>
        <w:t>.</w:t>
      </w:r>
    </w:p>
    <w:p w14:paraId="2C282F7C" w14:textId="64D19D0D"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401191"/>
      <w:r w:rsidRPr="00BB194B">
        <w:rPr>
          <w:rFonts w:ascii="Sakkal Majalla" w:hAnsi="Sakkal Majalla" w:cs="Sakkal Majalla" w:hint="cs"/>
          <w:b/>
          <w:bCs/>
          <w:color w:val="000000" w:themeColor="text1"/>
          <w:sz w:val="32"/>
          <w:szCs w:val="32"/>
          <w:rtl/>
        </w:rPr>
        <w:t xml:space="preserve">2.2.2 </w:t>
      </w:r>
      <w:r w:rsidR="00817DAA" w:rsidRPr="00BB194B">
        <w:rPr>
          <w:rFonts w:ascii="Sakkal Majalla" w:hAnsi="Sakkal Majalla" w:cs="Sakkal Majalla"/>
          <w:b/>
          <w:bCs/>
          <w:color w:val="000000" w:themeColor="text1"/>
          <w:sz w:val="32"/>
          <w:szCs w:val="32"/>
          <w:rtl/>
        </w:rPr>
        <w:t>مفهوم جاهزية التحوّل الرقمي</w:t>
      </w:r>
      <w:bookmarkEnd w:id="39"/>
    </w:p>
    <w:p w14:paraId="1CB2746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شهد مفهوم "الجاهزية للتحوّل الرقمي</w:t>
      </w:r>
      <w:r w:rsidRPr="00BB194B">
        <w:rPr>
          <w:rFonts w:ascii="Sakkal Majalla" w:hAnsi="Sakkal Majalla" w:cs="Sakkal Majalla"/>
          <w:color w:val="000000" w:themeColor="text1"/>
          <w:sz w:val="28"/>
          <w:szCs w:val="28"/>
        </w:rPr>
        <w:t xml:space="preserve">" (Digital Transformation Readiness) </w:t>
      </w:r>
      <w:r w:rsidRPr="00BB194B">
        <w:rPr>
          <w:rFonts w:ascii="Sakkal Majalla" w:hAnsi="Sakkal Majalla" w:cs="Sakkal Majalla"/>
          <w:color w:val="000000" w:themeColor="text1"/>
          <w:sz w:val="28"/>
          <w:szCs w:val="28"/>
          <w:rtl/>
        </w:rPr>
        <w:t xml:space="preserve">تطوّرًا ملحوظًا في الأدبيات الإدارية والتقنية، وإن لم يحظَ بالتوحيد الاصطلاحي ذاته الذي حظيت به مفاهيم أقدم كإدارة المشاريع أو الجودة الشاملة. ويعود ذلك جزئيًّا إلى حداثة المفهوم نسبيًّا، وإلى تعدّد الحقول المعرفية التي تتناوله — من نظم المعلومات إلى إدارة الأعمال إلى الهندسة الصناعية — ممّا أنتج تعريفات تتباين في </w:t>
      </w:r>
      <w:r w:rsidRPr="00BB194B">
        <w:rPr>
          <w:rFonts w:ascii="Sakkal Majalla" w:hAnsi="Sakkal Majalla" w:cs="Sakkal Majalla"/>
          <w:color w:val="000000" w:themeColor="text1"/>
          <w:sz w:val="28"/>
          <w:szCs w:val="28"/>
          <w:rtl/>
        </w:rPr>
        <w:lastRenderedPageBreak/>
        <w:t>نطاقها وتركيزها. ومع ذلك يمكن استخلاص ملامح مشتركة تدور حول فكرة محورية مفادها أنّ الجاهزية تُعبّر عن مدى استعداد المنظمة — بأبعادها الاستراتيجية والتنظيمية والبشرية والتقنية — لاستيعاب التحوّل الرقمي وتطبيقه بفاعلية واستدامة</w:t>
      </w:r>
      <w:r w:rsidRPr="00BB194B">
        <w:rPr>
          <w:rFonts w:ascii="Sakkal Majalla" w:hAnsi="Sakkal Majalla" w:cs="Sakkal Majalla"/>
          <w:color w:val="000000" w:themeColor="text1"/>
          <w:sz w:val="28"/>
          <w:szCs w:val="28"/>
        </w:rPr>
        <w:t>.</w:t>
      </w:r>
    </w:p>
    <w:p w14:paraId="05284A6B"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يُعرّف</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الجاهزية للتحوّل الرقمي بأنّها المستوى الذي بلغته المنظمة في تطوير قدراتها عبر سبع فئات تشمل الاستراتيجية الرقمية، والبيانات والمعلومات، والبنية التحتية التقنية، والقدرات البشرية، والعمليات، والحوكمة، والهندسة الرقمية، بحيث تُمكّنها هذه القدرات مجتمعةً من تبنّي التقنيات الرقمية والاستفادة منها في إدارة دورة حياة أصولها. ويتميّز هذا التعريف بشموليته إذ لا يقصر الجاهزية على البُعد التقني، بل يمتد ليشمل الأبعاد المؤسسية والإنسانية والاستراتيجية، وهو ما يتّسق مع طبيعة مشاريع التشغيل والصيانة التي تتطلّب تكاملًا بين هذه الأبعاد جميعها</w:t>
      </w:r>
      <w:r w:rsidRPr="00BB194B">
        <w:rPr>
          <w:rFonts w:ascii="Sakkal Majalla" w:hAnsi="Sakkal Majalla" w:cs="Sakkal Majalla"/>
          <w:color w:val="000000" w:themeColor="text1"/>
          <w:sz w:val="28"/>
          <w:szCs w:val="28"/>
        </w:rPr>
        <w:t>.</w:t>
      </w:r>
    </w:p>
    <w:p w14:paraId="75BBAAC8"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ومن زاوية القياس الكمّي، يتناول</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الجاهزية بوصفها حالة قابلة للقياس عبر ستة أبعاد ترتبط بعشرين عاملًا مؤثّرًا، ويرى أنّ المنظمة تكون جاهزة للتحوّل الرقمي بالقدر الذي تنجح فيه في تطوير كلّ من: التوجّه الاستراتيجي الرقمي، وتطبيقات الأعمال الرقمية، والقدرة التقنية، وإدارة البيانات، والهيكل التنظيمي، وإدارة التغيير. ويُبرز هذا التعريف أنّ الجاهزية ليست حالة ثنائية (جاهز/غير جاهز)، بل هي طيف متدرّج تتوزّع عليه المنظمات بحسب مستوى تطوّرها في كلّ بُعد من هذه الأبعاد</w:t>
      </w:r>
      <w:r w:rsidRPr="00BB194B">
        <w:rPr>
          <w:rFonts w:ascii="Sakkal Majalla" w:hAnsi="Sakkal Majalla" w:cs="Sakkal Majalla"/>
          <w:color w:val="000000" w:themeColor="text1"/>
          <w:sz w:val="28"/>
          <w:szCs w:val="28"/>
        </w:rPr>
        <w:t>.</w:t>
      </w:r>
    </w:p>
    <w:p w14:paraId="3B93B88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ويُوسّع</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نطاق المفهوم في سياق قطاع البناء والصناعة الرابعة، إذ يُعرّف الجاهزية بأنّها الحالة المؤسسية التي تعكس قدرة المنظمة على الانتقال عبر مستويات النضج الرقمي الستة، من مرحلة العمليات التقليدية غير المُؤتمَتة إلى مرحلة التكامل الرقمي الشامل الذي يشمل الاستراتيجية والتنظيم والعمليات والتقنية والثقافة. ويُميّز هذا التعريف بين الجاهزية والنضج الرقمي، حيث يُنظر إلى الجاهزية بوصفها حالة استعدادية سابقة تُمهّد للانتقال إلى مستوى أعلى من النضج، في حين يُعبّر النضج عن المستوى الفعلي المُحقَّق</w:t>
      </w:r>
      <w:r w:rsidRPr="00BB194B">
        <w:rPr>
          <w:rFonts w:ascii="Sakkal Majalla" w:hAnsi="Sakkal Majalla" w:cs="Sakkal Majalla"/>
          <w:color w:val="000000" w:themeColor="text1"/>
          <w:sz w:val="28"/>
          <w:szCs w:val="28"/>
        </w:rPr>
        <w:t>.</w:t>
      </w:r>
    </w:p>
    <w:p w14:paraId="2D1B3F9B"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ومن منظور إدارة العمليات، يُشير</w:t>
      </w:r>
      <w:r w:rsidRPr="00BB194B">
        <w:rPr>
          <w:rFonts w:ascii="Sakkal Majalla" w:hAnsi="Sakkal Majalla" w:cs="Sakkal Majalla"/>
          <w:color w:val="000000" w:themeColor="text1"/>
          <w:sz w:val="28"/>
          <w:szCs w:val="28"/>
        </w:rPr>
        <w:t xml:space="preserve"> Angelopoulos et al. (2023) </w:t>
      </w:r>
      <w:r w:rsidRPr="00BB194B">
        <w:rPr>
          <w:rFonts w:ascii="Sakkal Majalla" w:hAnsi="Sakkal Majalla" w:cs="Sakkal Majalla"/>
          <w:color w:val="000000" w:themeColor="text1"/>
          <w:sz w:val="28"/>
          <w:szCs w:val="28"/>
          <w:rtl/>
        </w:rPr>
        <w:t>إلى أنّ التحوّل الرقمي يُحدث تغييرًا جوهريًّا في العلاقة بين الفاعلين التنظيميين والتقنية من خلال ما يُسمّى "انعكاس الفاعلية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Pr>
        <w:lastRenderedPageBreak/>
        <w:t>(Agency Reversal</w:t>
      </w:r>
      <w:proofErr w:type="gramStart"/>
      <w:r w:rsidRPr="00BB194B">
        <w:rPr>
          <w:rFonts w:ascii="Sakkal Majalla" w:hAnsi="Sakkal Majalla" w:cs="Sakkal Majalla"/>
          <w:color w:val="000000" w:themeColor="text1"/>
          <w:sz w:val="28"/>
          <w:szCs w:val="28"/>
        </w:rPr>
        <w:t>)</w:t>
      </w:r>
      <w:r w:rsidRPr="00BB194B">
        <w:rPr>
          <w:rFonts w:ascii="Sakkal Majalla" w:hAnsi="Sakkal Majalla" w:cs="Sakkal Majalla"/>
          <w:color w:val="000000" w:themeColor="text1"/>
          <w:sz w:val="28"/>
          <w:szCs w:val="28"/>
          <w:rtl/>
        </w:rPr>
        <w:t>،</w:t>
      </w:r>
      <w:proofErr w:type="gramEnd"/>
      <w:r w:rsidRPr="00BB194B">
        <w:rPr>
          <w:rFonts w:ascii="Sakkal Majalla" w:hAnsi="Sakkal Majalla" w:cs="Sakkal Majalla"/>
          <w:color w:val="000000" w:themeColor="text1"/>
          <w:sz w:val="28"/>
          <w:szCs w:val="28"/>
          <w:rtl/>
        </w:rPr>
        <w:t xml:space="preserve"> حيث تتحوّل التقنية من أداة ينفّذ بها الإنسان مهامه إلى فاعل مستقل يُعيد تشكيل العمليات ذاتها. وفي ضوء هذا المنظور، تُعرَّف الجاهزية بأنّها قدرة المنظمة على إعادة تصوّر عملياتها التشغيلية بما يستوعب هذا التحوّل في طبيعة العلاقة بين الإنسان والتقنية، وليس مجرّد إضافة أدوات رقمية إلى عمليات قائمة</w:t>
      </w:r>
      <w:r w:rsidRPr="00BB194B">
        <w:rPr>
          <w:rFonts w:ascii="Sakkal Majalla" w:hAnsi="Sakkal Majalla" w:cs="Sakkal Majalla"/>
          <w:color w:val="000000" w:themeColor="text1"/>
          <w:sz w:val="28"/>
          <w:szCs w:val="28"/>
        </w:rPr>
        <w:t>.</w:t>
      </w:r>
    </w:p>
    <w:p w14:paraId="0963DD0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وعلى المستوى العربي، يتناول جاسم</w:t>
      </w:r>
      <w:r w:rsidRPr="00BB194B">
        <w:rPr>
          <w:rFonts w:ascii="Sakkal Majalla" w:hAnsi="Sakkal Majalla" w:cs="Sakkal Majalla"/>
          <w:color w:val="000000" w:themeColor="text1"/>
          <w:sz w:val="28"/>
          <w:szCs w:val="28"/>
        </w:rPr>
        <w:t xml:space="preserve"> (2023) </w:t>
      </w:r>
      <w:r w:rsidRPr="00BB194B">
        <w:rPr>
          <w:rFonts w:ascii="Sakkal Majalla" w:hAnsi="Sakkal Majalla" w:cs="Sakkal Majalla"/>
          <w:color w:val="000000" w:themeColor="text1"/>
          <w:sz w:val="28"/>
          <w:szCs w:val="28"/>
          <w:rtl/>
        </w:rPr>
        <w:t>مفهوم "النضج الرقمي" بوصفه مؤشّرًا على مستوى الجاهزية المؤسسية لتوظيف التقنيات الرقمية في عمليات إدارة المعرفة، ويرى أنّ النضج الرقمي يعكس مدى تبنّي المنظمة لمنظومة رقمية متكاملة تدعم إنتاج المعرفة وتخزينها ومشاركتها والإفادة منها. ويُقدّم بشميل (2024) تعريفًا يتّصل بالسياق السعودي، حيث يُنظر إلى الجاهزية بأنّها مدى قدرة المنظمة في القطاع الخاص على توظيف أدوات التحوّل الرقمي لتعزيز كفاءة مشاريعها ورفع إنتاجيتها التشغيلية. كما يربط الهاشمي (2024) مفهوم الجاهزية الرقمية بالقدرة المؤسسية على تحقيق أهداف التنمية المستدامة عبر رقمنة العمليات الحكومية وتحسين جودة الخدمات العامة. ويُشير صوان (2023) إلى أنّ جاهزية المؤسسات الحكومية للتحوّل الرقمي تتضمّن بُعدًا يتعلّق ببناء الثقة الرقمية لدى المتعاملين، إذ لا تقتصر الجاهزية على الاستعداد الداخلي للمنظمة بل تمتد إلى قدرتها على كسب ثقة المستفيدين من خدماتها الرقمية</w:t>
      </w:r>
      <w:r w:rsidRPr="00BB194B">
        <w:rPr>
          <w:rFonts w:ascii="Sakkal Majalla" w:hAnsi="Sakkal Majalla" w:cs="Sakkal Majalla"/>
          <w:color w:val="000000" w:themeColor="text1"/>
          <w:sz w:val="28"/>
          <w:szCs w:val="28"/>
        </w:rPr>
        <w:t>.</w:t>
      </w:r>
    </w:p>
    <w:p w14:paraId="57220B9C"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ومن الأهمية بمكان التمييز بين ثلاثة مفاهيم متقاربة كثيرًا ما يُخلَط بينها في الأدبيات: "الرقمنة</w:t>
      </w:r>
      <w:r w:rsidRPr="00BB194B">
        <w:rPr>
          <w:rFonts w:ascii="Sakkal Majalla" w:hAnsi="Sakkal Majalla" w:cs="Sakkal Majalla"/>
          <w:color w:val="000000" w:themeColor="text1"/>
          <w:sz w:val="28"/>
          <w:szCs w:val="28"/>
        </w:rPr>
        <w:t xml:space="preserve">" (Digitization) </w:t>
      </w:r>
      <w:r w:rsidRPr="00BB194B">
        <w:rPr>
          <w:rFonts w:ascii="Sakkal Majalla" w:hAnsi="Sakkal Majalla" w:cs="Sakkal Majalla"/>
          <w:color w:val="000000" w:themeColor="text1"/>
          <w:sz w:val="28"/>
          <w:szCs w:val="28"/>
          <w:rtl/>
        </w:rPr>
        <w:t>التي تعني تحويل البيانات من صيغة تناظرية إلى رقمية؛ و"التحويل الرقمي</w:t>
      </w:r>
      <w:r w:rsidRPr="00BB194B">
        <w:rPr>
          <w:rFonts w:ascii="Sakkal Majalla" w:hAnsi="Sakkal Majalla" w:cs="Sakkal Majalla"/>
          <w:color w:val="000000" w:themeColor="text1"/>
          <w:sz w:val="28"/>
          <w:szCs w:val="28"/>
        </w:rPr>
        <w:t xml:space="preserve">" (Digitalization) </w:t>
      </w:r>
      <w:r w:rsidRPr="00BB194B">
        <w:rPr>
          <w:rFonts w:ascii="Sakkal Majalla" w:hAnsi="Sakkal Majalla" w:cs="Sakkal Majalla"/>
          <w:color w:val="000000" w:themeColor="text1"/>
          <w:sz w:val="28"/>
          <w:szCs w:val="28"/>
          <w:rtl/>
        </w:rPr>
        <w:t>الذي يُشير إلى توظيف التقنيات الرقمية في تحسين العمليات القائمة؛ و"التحوّل الرقمي</w:t>
      </w:r>
      <w:r w:rsidRPr="00BB194B">
        <w:rPr>
          <w:rFonts w:ascii="Sakkal Majalla" w:hAnsi="Sakkal Majalla" w:cs="Sakkal Majalla"/>
          <w:color w:val="000000" w:themeColor="text1"/>
          <w:sz w:val="28"/>
          <w:szCs w:val="28"/>
        </w:rPr>
        <w:t xml:space="preserve">" (Digital Transformation) </w:t>
      </w:r>
      <w:r w:rsidRPr="00BB194B">
        <w:rPr>
          <w:rFonts w:ascii="Sakkal Majalla" w:hAnsi="Sakkal Majalla" w:cs="Sakkal Majalla"/>
          <w:color w:val="000000" w:themeColor="text1"/>
          <w:sz w:val="28"/>
          <w:szCs w:val="28"/>
          <w:rtl/>
        </w:rPr>
        <w:t xml:space="preserve">الذي يتجاوز تحسين العمليات إلى إعادة هندسة نموذج العمل والقيمة المؤسسية. ويتناول </w:t>
      </w:r>
      <w:r w:rsidRPr="00BB194B">
        <w:rPr>
          <w:rFonts w:ascii="Sakkal Majalla" w:hAnsi="Sakkal Majalla" w:cs="Sakkal Majalla"/>
          <w:color w:val="000000" w:themeColor="text1"/>
          <w:sz w:val="28"/>
          <w:szCs w:val="28"/>
        </w:rPr>
        <w:t xml:space="preserve">Angelopoulos et al. (2023) </w:t>
      </w:r>
      <w:r w:rsidRPr="00BB194B">
        <w:rPr>
          <w:rFonts w:ascii="Sakkal Majalla" w:hAnsi="Sakkal Majalla" w:cs="Sakkal Majalla"/>
          <w:color w:val="000000" w:themeColor="text1"/>
          <w:sz w:val="28"/>
          <w:szCs w:val="28"/>
          <w:rtl/>
        </w:rPr>
        <w:t>هذا التمييز بعمق، مؤكّدًا أنّ التحوّل الرقمي الحقيقي ينطوي على تغيير جذري في طبيعة العمليات وليس مجرّد أتمتتها، وأنّ الجاهزية يجب أن تُقاس وفقًا لهذا المستوى من التحوّل وليس لمجرّد الرقمنة السطحية</w:t>
      </w:r>
      <w:r w:rsidRPr="00BB194B">
        <w:rPr>
          <w:rFonts w:ascii="Sakkal Majalla" w:hAnsi="Sakkal Majalla" w:cs="Sakkal Majalla"/>
          <w:color w:val="000000" w:themeColor="text1"/>
          <w:sz w:val="28"/>
          <w:szCs w:val="28"/>
        </w:rPr>
        <w:t>.</w:t>
      </w:r>
    </w:p>
    <w:p w14:paraId="50244BDE"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رأي الباحث</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استنادًا إلى ما سبق من تعريفات، يرى الباحث أنّ جاهزية مشاريع التشغيل والصيانة للتحوّل الرقمي تُمثّل حالة مؤسسية متعدّدة الأبعاد تعكس مدى استعداد المنظمة — من حيث التوجّه الاستراتيجي، والبنية التنظيمية، والقدرات البشرية، والبنية التقنية، وعمليات إدارة البيانات — للانتقال من نمط تشغيل وصيانة تقليدي قائم على ردود الأفعال والإجراءات الورقية إلى نمط رقمي استباقي يستند إلى تكامل الأنظمة وتحليلات البيانات والتقنيات الذكية، بما يُحقّق كفاءة تشغيلية أعلى ويُعزّز استدامة الأصول ويُحسّن جودة الخدمات المقدّمة. وفي سياق وزارة المالية، تُعبّر الجاهزية عن قدرة إدارات التشغيل والصيانة على تجاوز مرحلة الرقمنة الشكلية إلى تحوّل حقيقي في طريقة التخطيط والتنفيذ والرقابة واتّخاذ القرار</w:t>
      </w:r>
      <w:r w:rsidRPr="00BB194B">
        <w:rPr>
          <w:rFonts w:ascii="Sakkal Majalla" w:hAnsi="Sakkal Majalla" w:cs="Sakkal Majalla"/>
          <w:color w:val="000000" w:themeColor="text1"/>
          <w:sz w:val="28"/>
          <w:szCs w:val="28"/>
        </w:rPr>
        <w:t>.</w:t>
      </w:r>
    </w:p>
    <w:p w14:paraId="01DBC2F2" w14:textId="3C8EA242"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01192"/>
      <w:r w:rsidRPr="00BB194B">
        <w:rPr>
          <w:rFonts w:ascii="Sakkal Majalla" w:hAnsi="Sakkal Majalla" w:cs="Sakkal Majalla" w:hint="cs"/>
          <w:b/>
          <w:bCs/>
          <w:color w:val="000000" w:themeColor="text1"/>
          <w:sz w:val="32"/>
          <w:szCs w:val="32"/>
          <w:rtl/>
        </w:rPr>
        <w:t xml:space="preserve">3.2.2 </w:t>
      </w:r>
      <w:r w:rsidR="00817DAA" w:rsidRPr="00BB194B">
        <w:rPr>
          <w:rFonts w:ascii="Sakkal Majalla" w:hAnsi="Sakkal Majalla" w:cs="Sakkal Majalla"/>
          <w:b/>
          <w:bCs/>
          <w:color w:val="000000" w:themeColor="text1"/>
          <w:sz w:val="32"/>
          <w:szCs w:val="32"/>
          <w:rtl/>
        </w:rPr>
        <w:t>أهمية جاهزية التحوّل الرقمي لمشاريع التشغيل والصيانة</w:t>
      </w:r>
      <w:bookmarkEnd w:id="40"/>
    </w:p>
    <w:p w14:paraId="66D274D6"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تحتلّ جاهزية التحوّل الرقمي مكانة متقدّمة في سلّم أولويات المنظمات المعاصرة، ليس فقط بوصفها متطلّبًا تقنيًّا بل بوصفها ركيزة استراتيجية تُحدّد قدرة المنظمة على البقاء والتنافس في بيئة رقمية متسارعة. وتتعاظم هذه الأهمية في مشاريع التشغيل والصيانة الحكومية التي تتعامل مع أصول عامة ذات قيمة اقتصادية واجتماعية عالية، وتتطلّب مستويات صارمة من الموثوقية والكفاءة والاستمرارية. وقد أبرز عدد من الباحثين جوانب مختلفة لهذه الأهمية</w:t>
      </w:r>
      <w:r w:rsidRPr="00BB194B">
        <w:rPr>
          <w:rFonts w:ascii="Sakkal Majalla" w:hAnsi="Sakkal Majalla" w:cs="Sakkal Majalla"/>
          <w:color w:val="000000" w:themeColor="text1"/>
          <w:sz w:val="28"/>
          <w:szCs w:val="28"/>
        </w:rPr>
        <w:t>:</w:t>
      </w:r>
    </w:p>
    <w:p w14:paraId="62521A7A" w14:textId="528BE151"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يُشير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إلى أنّ أهمية الجاهزية للتحوّل الرقمي في المؤسسات الحكومية الم</w:t>
      </w:r>
      <w:r w:rsidR="00234448" w:rsidRPr="00BB194B">
        <w:rPr>
          <w:rFonts w:ascii="Sakkal Majalla" w:hAnsi="Sakkal Majalla" w:cs="Sakkal Majalla"/>
          <w:color w:val="000000" w:themeColor="text1"/>
          <w:sz w:val="28"/>
          <w:szCs w:val="28"/>
          <w:rtl/>
        </w:rPr>
        <w:t xml:space="preserve">الكة للبنية التحتية تتجلّى في: </w:t>
      </w:r>
    </w:p>
    <w:p w14:paraId="082EB922" w14:textId="77777777" w:rsidR="00234448" w:rsidRPr="00BB194B" w:rsidRDefault="00817DAA" w:rsidP="00D93D67">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تحسين كفاءة إدارة دورة حياة الأصول من مرحلة التخطيط إلى مرحلة الإحلال، من خلال توفير بيانات دقيقة وآنية تدعم القرا</w:t>
      </w:r>
      <w:r w:rsidR="00234448" w:rsidRPr="00BB194B">
        <w:rPr>
          <w:rFonts w:ascii="Sakkal Majalla" w:hAnsi="Sakkal Majalla" w:cs="Sakkal Majalla"/>
          <w:color w:val="000000" w:themeColor="text1"/>
          <w:sz w:val="28"/>
          <w:szCs w:val="28"/>
          <w:rtl/>
        </w:rPr>
        <w:t xml:space="preserve">رات الاستثمارية والتشغيلية؛ </w:t>
      </w:r>
    </w:p>
    <w:p w14:paraId="3F77FE7C" w14:textId="77777777" w:rsidR="00234448" w:rsidRPr="00BB194B" w:rsidRDefault="00817DAA" w:rsidP="00D93D67">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تمكين المنظمة من تبنّي مقاربة الصيانة التنبّؤية القائمة على تحليل البيانات، بدلًا من الاعتماد الحصري على الصيانة التصحيحية التي تتّسم ب</w:t>
      </w:r>
      <w:r w:rsidR="00234448" w:rsidRPr="00BB194B">
        <w:rPr>
          <w:rFonts w:ascii="Sakkal Majalla" w:hAnsi="Sakkal Majalla" w:cs="Sakkal Majalla"/>
          <w:color w:val="000000" w:themeColor="text1"/>
          <w:sz w:val="28"/>
          <w:szCs w:val="28"/>
          <w:rtl/>
        </w:rPr>
        <w:t xml:space="preserve">ارتفاع التكلفة وضعف التخطيط؛ </w:t>
      </w:r>
    </w:p>
    <w:p w14:paraId="32D9150E" w14:textId="796AB87B" w:rsidR="00817DAA" w:rsidRPr="00BB194B" w:rsidRDefault="00817DAA" w:rsidP="00D93D67">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تعزيز الشفافية والحوكمة من خلال رقمنة سلاسل الإجراءات ومسارات الاعتماد وعمليات المتابعة</w:t>
      </w:r>
      <w:r w:rsidRPr="00BB194B">
        <w:rPr>
          <w:rFonts w:ascii="Sakkal Majalla" w:hAnsi="Sakkal Majalla" w:cs="Sakkal Majalla"/>
          <w:color w:val="000000" w:themeColor="text1"/>
          <w:sz w:val="28"/>
          <w:szCs w:val="28"/>
        </w:rPr>
        <w:t>.</w:t>
      </w:r>
    </w:p>
    <w:p w14:paraId="6C01E581"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lastRenderedPageBreak/>
        <w:t>ويرى</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أنّ أهمية الجاهزية الرقمية ف</w:t>
      </w:r>
      <w:r w:rsidR="00234448" w:rsidRPr="00BB194B">
        <w:rPr>
          <w:rFonts w:ascii="Sakkal Majalla" w:hAnsi="Sakkal Majalla" w:cs="Sakkal Majalla"/>
          <w:color w:val="000000" w:themeColor="text1"/>
          <w:sz w:val="28"/>
          <w:szCs w:val="28"/>
          <w:rtl/>
        </w:rPr>
        <w:t>ي قطاع البناء والتشييد تبرز في:</w:t>
      </w:r>
    </w:p>
    <w:p w14:paraId="2E9E5967" w14:textId="77777777" w:rsidR="00234448" w:rsidRPr="00BB194B" w:rsidRDefault="00817DAA" w:rsidP="00D93D67">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معالجة مشكلة تدنّي الإنتاجية التي يُعاني منها هذا القطاع تاريخيًّا مقارنةً بالقط</w:t>
      </w:r>
      <w:r w:rsidR="00234448" w:rsidRPr="00BB194B">
        <w:rPr>
          <w:rFonts w:ascii="Sakkal Majalla" w:hAnsi="Sakkal Majalla" w:cs="Sakkal Majalla"/>
          <w:color w:val="000000" w:themeColor="text1"/>
          <w:sz w:val="28"/>
          <w:szCs w:val="28"/>
          <w:rtl/>
        </w:rPr>
        <w:t xml:space="preserve">اعات الصناعية الأخرى؛ </w:t>
      </w:r>
    </w:p>
    <w:p w14:paraId="64916CBE" w14:textId="77777777" w:rsidR="00234448" w:rsidRPr="00BB194B" w:rsidRDefault="00817DAA" w:rsidP="00D93D67">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تمكين الشركات من التكامل الأفقي والعمودي في سلسلة القيمة </w:t>
      </w:r>
      <w:r w:rsidR="00234448" w:rsidRPr="00BB194B">
        <w:rPr>
          <w:rFonts w:ascii="Sakkal Majalla" w:hAnsi="Sakkal Majalla" w:cs="Sakkal Majalla"/>
          <w:color w:val="000000" w:themeColor="text1"/>
          <w:sz w:val="28"/>
          <w:szCs w:val="28"/>
          <w:rtl/>
        </w:rPr>
        <w:t xml:space="preserve">من خلال منصّات رقمية مشتركة؛ </w:t>
      </w:r>
    </w:p>
    <w:p w14:paraId="4D09865D" w14:textId="3A05948F" w:rsidR="00817DAA" w:rsidRPr="00BB194B" w:rsidRDefault="00817DAA" w:rsidP="00D93D67">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توفير قاعدة لاتّخاذ قرارات مستندة إلى البيانات بدلًا من الحدس والخبرة الفردية. وفي سياق التشغيل والصيانة تحديدًا، تتّسع هذه الأهمية لتشمل القدرة على تقليل فترات التوقّف غير المخطّط لها وإطالة العمر الافتراضي للأصول وتحسين تخصيص فرق العمل الميدانية</w:t>
      </w:r>
      <w:r w:rsidRPr="00BB194B">
        <w:rPr>
          <w:rFonts w:ascii="Sakkal Majalla" w:hAnsi="Sakkal Majalla" w:cs="Sakkal Majalla"/>
          <w:color w:val="000000" w:themeColor="text1"/>
          <w:sz w:val="28"/>
          <w:szCs w:val="28"/>
        </w:rPr>
        <w:t>.</w:t>
      </w:r>
    </w:p>
    <w:p w14:paraId="0951F6B8"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ويُضيف</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 xml:space="preserve">أنّ أهمية تقييم الجاهزية الرقمية تنبع من كونها: </w:t>
      </w:r>
    </w:p>
    <w:p w14:paraId="30059DA7" w14:textId="77777777" w:rsidR="00234448" w:rsidRPr="00BB194B" w:rsidRDefault="00817DAA" w:rsidP="00D93D67">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تُوفّر للمنظمة خارطة واضحة لتحديد أولويات الاستثمار الرقمي بدلًا من الإنفاق العشوائي على تقنيات قد لا ت</w:t>
      </w:r>
      <w:r w:rsidR="00234448" w:rsidRPr="00BB194B">
        <w:rPr>
          <w:rFonts w:ascii="Sakkal Majalla" w:hAnsi="Sakkal Majalla" w:cs="Sakkal Majalla"/>
          <w:color w:val="000000" w:themeColor="text1"/>
          <w:sz w:val="28"/>
          <w:szCs w:val="28"/>
          <w:rtl/>
        </w:rPr>
        <w:t xml:space="preserve">تناسب مع مستوى نضجها الحالي؛ </w:t>
      </w:r>
    </w:p>
    <w:p w14:paraId="0174742E" w14:textId="627DDC8B" w:rsidR="00817DAA" w:rsidRPr="00BB194B" w:rsidRDefault="00817DAA" w:rsidP="00D93D67">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تُمكّن من تحديد الفجوات بين الوضع الراهن والوضع المستهدف عبر مؤشرات كمّية قابلة للقياس والمتابعة الدورية</w:t>
      </w:r>
      <w:r w:rsidRPr="00BB194B">
        <w:rPr>
          <w:rFonts w:ascii="Sakkal Majalla" w:hAnsi="Sakkal Majalla" w:cs="Sakkal Majalla"/>
          <w:color w:val="000000" w:themeColor="text1"/>
          <w:sz w:val="28"/>
          <w:szCs w:val="28"/>
        </w:rPr>
        <w:t>.</w:t>
      </w:r>
    </w:p>
    <w:p w14:paraId="1182A846"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 xml:space="preserve">وعلى المستوى العربي، يُبيّن عامر (2022) أنّ أهمية الجاهزية الرقمية في قطاع التكرير والصناعات البتروكيميائية العربية تتمثّل في: </w:t>
      </w:r>
    </w:p>
    <w:p w14:paraId="2D6F4809" w14:textId="77777777" w:rsidR="00234448" w:rsidRPr="00BB194B" w:rsidRDefault="00817DAA" w:rsidP="00D93D67">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الحفاظ على تنافسية القطاع العربي أمام المنافسين الدوليين الذين قطعوا شوطًا متقدّمًا في رق</w:t>
      </w:r>
      <w:r w:rsidR="00234448" w:rsidRPr="00BB194B">
        <w:rPr>
          <w:rFonts w:ascii="Sakkal Majalla" w:hAnsi="Sakkal Majalla" w:cs="Sakkal Majalla"/>
          <w:color w:val="000000" w:themeColor="text1"/>
          <w:sz w:val="28"/>
          <w:szCs w:val="28"/>
          <w:rtl/>
        </w:rPr>
        <w:t xml:space="preserve">منة عمليات التشغيل والصيانة؛ </w:t>
      </w:r>
    </w:p>
    <w:p w14:paraId="5E1E747E" w14:textId="77777777" w:rsidR="00234448" w:rsidRPr="00BB194B" w:rsidRDefault="00817DAA" w:rsidP="00D93D67">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تعزيز معايير السلامة والموثوقية في منشآت الطاقة من خلال أنظمة الرصد الرقمي المتقدّمة؛ </w:t>
      </w:r>
    </w:p>
    <w:p w14:paraId="6B99CCBE" w14:textId="5167E083" w:rsidR="00817DAA" w:rsidRPr="00BB194B" w:rsidRDefault="00817DAA" w:rsidP="00D93D67">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تحسين كفاءة استخدام الموارد الطبيعية والطاقة بما يتّسق مع أهداف الاستدامة</w:t>
      </w:r>
      <w:r w:rsidRPr="00BB194B">
        <w:rPr>
          <w:rFonts w:ascii="Sakkal Majalla" w:hAnsi="Sakkal Majalla" w:cs="Sakkal Majalla"/>
          <w:color w:val="000000" w:themeColor="text1"/>
          <w:sz w:val="28"/>
          <w:szCs w:val="28"/>
        </w:rPr>
        <w:t>.</w:t>
      </w:r>
    </w:p>
    <w:p w14:paraId="0650928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ويُشير أبو عمرة (2022) إلى أنّ الجاهزية الرقمية للمؤسسات الحكومية تنعكس مباشرةً على جودة الخدمات المقدّمة للمواطنين، إذ إنّ المؤسسة غير الجاهزة رقميًّا ستظلّ حبيسة أنماط خدمية تقليدية لا تلبّي تطلّعات المتعاملين في العصر الرقمي. ويُعزّز صوان</w:t>
      </w:r>
      <w:r w:rsidRPr="00BB194B">
        <w:rPr>
          <w:rFonts w:ascii="Sakkal Majalla" w:hAnsi="Sakkal Majalla" w:cs="Sakkal Majalla"/>
          <w:color w:val="000000" w:themeColor="text1"/>
          <w:sz w:val="28"/>
          <w:szCs w:val="28"/>
        </w:rPr>
        <w:t xml:space="preserve"> (2023) </w:t>
      </w:r>
      <w:r w:rsidRPr="00BB194B">
        <w:rPr>
          <w:rFonts w:ascii="Sakkal Majalla" w:hAnsi="Sakkal Majalla" w:cs="Sakkal Majalla"/>
          <w:color w:val="000000" w:themeColor="text1"/>
          <w:sz w:val="28"/>
          <w:szCs w:val="28"/>
          <w:rtl/>
        </w:rPr>
        <w:t xml:space="preserve">هذا المنظور بإشارته إلى أنّ </w:t>
      </w:r>
      <w:r w:rsidRPr="00BB194B">
        <w:rPr>
          <w:rFonts w:ascii="Sakkal Majalla" w:hAnsi="Sakkal Majalla" w:cs="Sakkal Majalla"/>
          <w:color w:val="000000" w:themeColor="text1"/>
          <w:sz w:val="28"/>
          <w:szCs w:val="28"/>
          <w:rtl/>
        </w:rPr>
        <w:lastRenderedPageBreak/>
        <w:t>الجاهزية الرقمية تُسهم في بناء الثقة الرقمية بين المؤسسة الحكومية والمتعاملين، وهي ثقة تُمثّل شرطًا أساسيًّا لنجاح أيّ تحوّل رقمي حكومي واستمراريته</w:t>
      </w:r>
      <w:r w:rsidRPr="00BB194B">
        <w:rPr>
          <w:rFonts w:ascii="Sakkal Majalla" w:hAnsi="Sakkal Majalla" w:cs="Sakkal Majalla"/>
          <w:color w:val="000000" w:themeColor="text1"/>
          <w:sz w:val="28"/>
          <w:szCs w:val="28"/>
        </w:rPr>
        <w:t>.</w:t>
      </w:r>
    </w:p>
    <w:p w14:paraId="5C123403"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ويُضيف المطيري (2023) بُعدًا يتّصل بالإبداع المؤسسي، إذ يرى أنّ الجاهزية الرقمية تُهيّئ البيئة المؤسسية للابتكار من خلال توفير أدوات وبنى تحتية تدعم التجريب وتسرّع دورة التطوير، وهو أمر بالغ الأهمية في مشاريع التشغيل والصيانة التي تحتاج إلى حلول مبتكرة لمواجهة تحدّيات الأصول المتقادمة والبنى التحتية المعقّدة</w:t>
      </w:r>
      <w:r w:rsidRPr="00BB194B">
        <w:rPr>
          <w:rFonts w:ascii="Sakkal Majalla" w:hAnsi="Sakkal Majalla" w:cs="Sakkal Majalla"/>
          <w:color w:val="000000" w:themeColor="text1"/>
          <w:sz w:val="28"/>
          <w:szCs w:val="28"/>
        </w:rPr>
        <w:t>.</w:t>
      </w:r>
    </w:p>
    <w:p w14:paraId="6F0A4B7C" w14:textId="50A9B6D9"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01193"/>
      <w:r w:rsidRPr="00BB194B">
        <w:rPr>
          <w:rFonts w:ascii="Sakkal Majalla" w:hAnsi="Sakkal Majalla" w:cs="Sakkal Majalla" w:hint="cs"/>
          <w:b/>
          <w:bCs/>
          <w:color w:val="000000" w:themeColor="text1"/>
          <w:sz w:val="32"/>
          <w:szCs w:val="32"/>
          <w:rtl/>
        </w:rPr>
        <w:t xml:space="preserve">4.2.2 </w:t>
      </w:r>
      <w:r w:rsidR="00817DAA" w:rsidRPr="00BB194B">
        <w:rPr>
          <w:rFonts w:ascii="Sakkal Majalla" w:hAnsi="Sakkal Majalla" w:cs="Sakkal Majalla"/>
          <w:b/>
          <w:bCs/>
          <w:color w:val="000000" w:themeColor="text1"/>
          <w:sz w:val="32"/>
          <w:szCs w:val="32"/>
          <w:rtl/>
        </w:rPr>
        <w:t>أهداف تحقيق جاهزية التحوّل الرقمي في مشاريع التشغيل والصيانة</w:t>
      </w:r>
      <w:bookmarkEnd w:id="41"/>
    </w:p>
    <w:p w14:paraId="78FEBF31"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تسعى المنظمات من خلال تعزيز جاهزيتها للتحوّل الرقمي إلى تحقيق مجموعة من الأهداف المتدرّجة التي تتراوح بين التحسينات التشغيلية المباشرة والمكاسب الاستراتيجية طويلة المدى. وقد تباينت رؤى الباحثين حول هذه الأهداف وفقًا للسياقات التطبيقية التي تناولوها، ويمكن تصنيفها في ثلاثة مستويات</w:t>
      </w:r>
      <w:r w:rsidRPr="00BB194B">
        <w:rPr>
          <w:rFonts w:ascii="Sakkal Majalla" w:hAnsi="Sakkal Majalla" w:cs="Sakkal Majalla"/>
          <w:color w:val="000000" w:themeColor="text1"/>
          <w:sz w:val="28"/>
          <w:szCs w:val="28"/>
        </w:rPr>
        <w:t>:</w:t>
      </w:r>
    </w:p>
    <w:p w14:paraId="1265C8DD"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المستوى التشغيلي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يُشير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إلى أنّ الجاهزية الرقمية تهدف تشغيليًّا إلى:</w:t>
      </w:r>
    </w:p>
    <w:p w14:paraId="639D57C4" w14:textId="77777777" w:rsidR="00234448" w:rsidRPr="00BB194B" w:rsidRDefault="00817DAA" w:rsidP="00D93D67">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رقمنة عمليات إدارة أوامر العمل وجداول الصيانة ومتابعة تنفيذها آنيًّا، ممّا يُقلّص الفجوة الزمنية بين رصد الخ</w:t>
      </w:r>
      <w:r w:rsidR="00234448" w:rsidRPr="00BB194B">
        <w:rPr>
          <w:rFonts w:ascii="Sakkal Majalla" w:hAnsi="Sakkal Majalla" w:cs="Sakkal Majalla"/>
          <w:color w:val="000000" w:themeColor="text1"/>
          <w:sz w:val="28"/>
          <w:szCs w:val="28"/>
          <w:rtl/>
        </w:rPr>
        <w:t>لل واتّخاذ الإجراء التصحيحي؛</w:t>
      </w:r>
    </w:p>
    <w:p w14:paraId="038F608E" w14:textId="77777777" w:rsidR="00234448" w:rsidRPr="00BB194B" w:rsidRDefault="00817DAA" w:rsidP="00D93D67">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تمكين التحوّل من الصيانة التصحيحية إلى الصيانة الوقائية ثم التنبّؤية، من خلال توظيف أجهزة الاستشعار وتحليلات البيانات لل</w:t>
      </w:r>
      <w:r w:rsidR="00234448" w:rsidRPr="00BB194B">
        <w:rPr>
          <w:rFonts w:ascii="Sakkal Majalla" w:hAnsi="Sakkal Majalla" w:cs="Sakkal Majalla"/>
          <w:color w:val="000000" w:themeColor="text1"/>
          <w:sz w:val="28"/>
          <w:szCs w:val="28"/>
          <w:rtl/>
        </w:rPr>
        <w:t xml:space="preserve">تنبّؤ بالأعطال قبل وقوعها؛ </w:t>
      </w:r>
    </w:p>
    <w:p w14:paraId="5FF9B169" w14:textId="2E77CB1A" w:rsidR="00817DAA" w:rsidRPr="00BB194B" w:rsidRDefault="00817DAA" w:rsidP="00D93D67">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تحسين كفاءة إدارة المخزون من قطع الغيار والمواد التشغيلية عبر أنظمة رقمية متكاملة تربط بين التخطيط والتوريد والاستهلاك</w:t>
      </w:r>
      <w:r w:rsidRPr="00BB194B">
        <w:rPr>
          <w:rFonts w:ascii="Sakkal Majalla" w:hAnsi="Sakkal Majalla" w:cs="Sakkal Majalla"/>
          <w:color w:val="000000" w:themeColor="text1"/>
          <w:sz w:val="28"/>
          <w:szCs w:val="28"/>
        </w:rPr>
        <w:t>.</w:t>
      </w:r>
    </w:p>
    <w:p w14:paraId="26E108E1"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المستوى التنظيمي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يرى </w:t>
      </w:r>
      <w:r w:rsidRPr="00BB194B">
        <w:rPr>
          <w:rFonts w:ascii="Sakkal Majalla" w:hAnsi="Sakkal Majalla" w:cs="Sakkal Majalla"/>
          <w:color w:val="000000" w:themeColor="text1"/>
          <w:sz w:val="28"/>
          <w:szCs w:val="28"/>
        </w:rPr>
        <w:t xml:space="preserve">Angelopoulos et al. (2023) </w:t>
      </w:r>
      <w:r w:rsidRPr="00BB194B">
        <w:rPr>
          <w:rFonts w:ascii="Sakkal Majalla" w:hAnsi="Sakkal Majalla" w:cs="Sakkal Majalla"/>
          <w:color w:val="000000" w:themeColor="text1"/>
          <w:sz w:val="28"/>
          <w:szCs w:val="28"/>
          <w:rtl/>
        </w:rPr>
        <w:t>أنّ الجاهزية</w:t>
      </w:r>
      <w:r w:rsidR="00234448" w:rsidRPr="00BB194B">
        <w:rPr>
          <w:rFonts w:ascii="Sakkal Majalla" w:hAnsi="Sakkal Majalla" w:cs="Sakkal Majalla"/>
          <w:color w:val="000000" w:themeColor="text1"/>
          <w:sz w:val="28"/>
          <w:szCs w:val="28"/>
          <w:rtl/>
        </w:rPr>
        <w:t xml:space="preserve"> الرقمية تهدف تنظيميًّا إلى: </w:t>
      </w:r>
    </w:p>
    <w:p w14:paraId="29F900C3" w14:textId="77777777" w:rsidR="00234448" w:rsidRPr="00BB194B" w:rsidRDefault="00817DAA" w:rsidP="00D93D67">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إعادة هيكلة العلاقة بين الفاعلين التنظيميين والتقنية بما يُتيح توزيعًا أكثر كفاءة للمهام بين الع</w:t>
      </w:r>
      <w:r w:rsidR="00234448" w:rsidRPr="00BB194B">
        <w:rPr>
          <w:rFonts w:ascii="Sakkal Majalla" w:hAnsi="Sakkal Majalla" w:cs="Sakkal Majalla"/>
          <w:color w:val="000000" w:themeColor="text1"/>
          <w:sz w:val="28"/>
          <w:szCs w:val="28"/>
          <w:rtl/>
        </w:rPr>
        <w:t xml:space="preserve">نصر البشري والأنظمة الرقمية؛ </w:t>
      </w:r>
    </w:p>
    <w:p w14:paraId="108FFA20" w14:textId="77777777" w:rsidR="00234448" w:rsidRPr="00BB194B" w:rsidRDefault="00817DAA" w:rsidP="00D93D67">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تعزيز الشفافية المؤسسية وتسهيل عمليات التدقيق والمساءلة من خلال المسارات</w:t>
      </w:r>
      <w:r w:rsidR="00234448" w:rsidRPr="00BB194B">
        <w:rPr>
          <w:rFonts w:ascii="Sakkal Majalla" w:hAnsi="Sakkal Majalla" w:cs="Sakkal Majalla"/>
          <w:color w:val="000000" w:themeColor="text1"/>
          <w:sz w:val="28"/>
          <w:szCs w:val="28"/>
          <w:rtl/>
        </w:rPr>
        <w:t xml:space="preserve"> الرقمية الموثّقة تلقائيًّا؛ </w:t>
      </w:r>
    </w:p>
    <w:p w14:paraId="0917F7AB" w14:textId="7E7B53F2" w:rsidR="00817DAA" w:rsidRPr="00BB194B" w:rsidRDefault="00817DAA" w:rsidP="00D93D67">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 كسر الصوامع التنظيمية من خلال منصّات تعاون رقمية تُتيح مشاركة المعلومات بين الإدارات والوحدات المعنية بالتشغيل والصيانة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ويُعزّز كراز (2023) هذا المنظور بالإشارة إلى أنّ الجاهزية الرقمية في المؤسسات البلدية تهدف إلى تطوير القدرة على إدارة المشاريع الهندسية بأساليب رقمية تتّسم بالشفافية وقابلية المتابعة الآنية</w:t>
      </w:r>
      <w:r w:rsidRPr="00BB194B">
        <w:rPr>
          <w:rFonts w:ascii="Sakkal Majalla" w:hAnsi="Sakkal Majalla" w:cs="Sakkal Majalla"/>
          <w:color w:val="000000" w:themeColor="text1"/>
          <w:sz w:val="28"/>
          <w:szCs w:val="28"/>
        </w:rPr>
        <w:t>.</w:t>
      </w:r>
    </w:p>
    <w:p w14:paraId="6B808F40" w14:textId="77777777" w:rsidR="00234448"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194B">
        <w:rPr>
          <w:rFonts w:ascii="Sakkal Majalla" w:hAnsi="Sakkal Majalla" w:cs="Sakkal Majalla"/>
          <w:color w:val="000000" w:themeColor="text1"/>
          <w:sz w:val="28"/>
          <w:szCs w:val="28"/>
          <w:rtl/>
        </w:rPr>
        <w:t>المستوى الاستراتيجي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يُشير </w:t>
      </w:r>
      <w:r w:rsidRPr="00BB194B">
        <w:rPr>
          <w:rFonts w:ascii="Sakkal Majalla" w:hAnsi="Sakkal Majalla" w:cs="Sakkal Majalla"/>
          <w:color w:val="000000" w:themeColor="text1"/>
          <w:sz w:val="28"/>
          <w:szCs w:val="28"/>
        </w:rPr>
        <w:t xml:space="preserve">Chen et al. (2024) </w:t>
      </w:r>
      <w:r w:rsidRPr="00BB194B">
        <w:rPr>
          <w:rFonts w:ascii="Sakkal Majalla" w:hAnsi="Sakkal Majalla" w:cs="Sakkal Majalla"/>
          <w:color w:val="000000" w:themeColor="text1"/>
          <w:sz w:val="28"/>
          <w:szCs w:val="28"/>
          <w:rtl/>
        </w:rPr>
        <w:t>إلى أنّ الجاهزية الر</w:t>
      </w:r>
      <w:r w:rsidR="00234448" w:rsidRPr="00BB194B">
        <w:rPr>
          <w:rFonts w:ascii="Sakkal Majalla" w:hAnsi="Sakkal Majalla" w:cs="Sakkal Majalla"/>
          <w:color w:val="000000" w:themeColor="text1"/>
          <w:sz w:val="28"/>
          <w:szCs w:val="28"/>
          <w:rtl/>
        </w:rPr>
        <w:t xml:space="preserve">قمية تسعى استراتيجيًّا إلى: </w:t>
      </w:r>
    </w:p>
    <w:p w14:paraId="4414EF07" w14:textId="77777777" w:rsidR="00234448" w:rsidRPr="00BB194B" w:rsidRDefault="00817DAA" w:rsidP="00D93D67">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بناء قدرة مؤسسية على اتّخاذ قرارات استراتيجية مستندة إلى البيانات، لا سيّما فيما يتعلّق بقرارات الإحلال</w:t>
      </w:r>
      <w:r w:rsidR="00234448" w:rsidRPr="00BB194B">
        <w:rPr>
          <w:rFonts w:ascii="Sakkal Majalla" w:hAnsi="Sakkal Majalla" w:cs="Sakkal Majalla"/>
          <w:color w:val="000000" w:themeColor="text1"/>
          <w:sz w:val="28"/>
          <w:szCs w:val="28"/>
          <w:rtl/>
        </w:rPr>
        <w:t xml:space="preserve"> مقابل الاستمرار في الصيانة؛ </w:t>
      </w:r>
    </w:p>
    <w:p w14:paraId="77850B86" w14:textId="7222BC87" w:rsidR="00817DAA" w:rsidRPr="00BB194B" w:rsidRDefault="00817DAA" w:rsidP="00D93D67">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تطوير نماذج أعمال رقمية جديدة في قطاع التشغيل والصيانة تستند إلى عقود قائمة على الأداء والنتائج بدلًا من العقود التقليدية القائمة على المُدخلات</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ويُضيف الهاشمي (2024) أنّ من الأهداف الاستراتيجية للجاهزية الرقمية في القطاع الحكومي العربي تحقيق مبادئ التنمية المستدامة من خلال ترشيد استهلاك الموارد وتحسين جودة الخدمات وتقليل الأثر البيئي لعمليات التشغيل والصيانة. ويتّسق هذا مع ما يطرحه بشميل (2024) من أنّ التحوّل الرقمي في القطاع السعودي يهدف استراتيجيًّا إلى تحقيق الكفاءة المؤسسية الشاملة بما يتواءم مع رؤى التحوّل الوطنية</w:t>
      </w:r>
      <w:r w:rsidRPr="00BB194B">
        <w:rPr>
          <w:rFonts w:ascii="Sakkal Majalla" w:hAnsi="Sakkal Majalla" w:cs="Sakkal Majalla"/>
          <w:color w:val="000000" w:themeColor="text1"/>
          <w:sz w:val="28"/>
          <w:szCs w:val="28"/>
        </w:rPr>
        <w:t>.</w:t>
      </w:r>
    </w:p>
    <w:p w14:paraId="20F40290" w14:textId="529BBE91"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401194"/>
      <w:r w:rsidRPr="00BB194B">
        <w:rPr>
          <w:rFonts w:ascii="Sakkal Majalla" w:hAnsi="Sakkal Majalla" w:cs="Sakkal Majalla" w:hint="cs"/>
          <w:b/>
          <w:bCs/>
          <w:color w:val="000000" w:themeColor="text1"/>
          <w:sz w:val="32"/>
          <w:szCs w:val="32"/>
          <w:rtl/>
        </w:rPr>
        <w:t xml:space="preserve">5.2.2 </w:t>
      </w:r>
      <w:r w:rsidR="00817DAA" w:rsidRPr="00BB194B">
        <w:rPr>
          <w:rFonts w:ascii="Sakkal Majalla" w:hAnsi="Sakkal Majalla" w:cs="Sakkal Majalla"/>
          <w:b/>
          <w:bCs/>
          <w:color w:val="000000" w:themeColor="text1"/>
          <w:sz w:val="32"/>
          <w:szCs w:val="32"/>
          <w:rtl/>
        </w:rPr>
        <w:t>أبعاد جاهزية مشاريع التشغيل والصيانة للتحوّل الرقمي</w:t>
      </w:r>
      <w:bookmarkEnd w:id="42"/>
    </w:p>
    <w:p w14:paraId="4C131425"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تمّ تحديد أبعاد جاهزية التحوّل الرقمي في هذه الدراسة بناءً على التحليل المتكامل للأطر النظرية والتقييمية الواردة في الأدبيات ذات الصلة، ولا سيّما إطار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المُؤلّف من سبع فئات وستة وخمسين مؤشّرًا، ونموذج</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المُؤلّف من ستة أبعاد وعشرين عاملًا، ونموذج</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 xml:space="preserve">المُؤلّف من خمسة أبعاد وثمانية وعشرين معلمة، بالتكامل مع ما ورد في الدراسات العربية </w:t>
      </w:r>
      <w:r w:rsidRPr="00BB194B">
        <w:rPr>
          <w:rFonts w:ascii="Sakkal Majalla" w:hAnsi="Sakkal Majalla" w:cs="Sakkal Majalla"/>
          <w:color w:val="000000" w:themeColor="text1"/>
          <w:sz w:val="28"/>
          <w:szCs w:val="28"/>
          <w:rtl/>
        </w:rPr>
        <w:lastRenderedPageBreak/>
        <w:t xml:space="preserve">مثل الهاشمي </w:t>
      </w:r>
      <w:r w:rsidRPr="00BB194B">
        <w:rPr>
          <w:rFonts w:ascii="Sakkal Majalla" w:hAnsi="Sakkal Majalla" w:cs="Sakkal Majalla"/>
          <w:color w:val="000000" w:themeColor="text1"/>
          <w:sz w:val="28"/>
          <w:szCs w:val="28"/>
        </w:rPr>
        <w:t xml:space="preserve">(2024) </w:t>
      </w:r>
      <w:r w:rsidRPr="00BB194B">
        <w:rPr>
          <w:rFonts w:ascii="Sakkal Majalla" w:hAnsi="Sakkal Majalla" w:cs="Sakkal Majalla"/>
          <w:color w:val="000000" w:themeColor="text1"/>
          <w:sz w:val="28"/>
          <w:szCs w:val="28"/>
          <w:rtl/>
        </w:rPr>
        <w:t>وصوان (2023) وأبو عمرة (2022). وقد استُخلصت أربعة أبعاد رئيسة تعكس متطلّبات الجاهزية الرقمية في سياق مشاريع التشغيل والصيانة الحكومية، وهي: الجاهزية الاستراتيجية والقيادية، والجاهزية التنظيمية والعملياتية، والجاهزية البشرية والثقافية، والجاهزية التقنية والبنية التحتية</w:t>
      </w:r>
      <w:r w:rsidRPr="00BB194B">
        <w:rPr>
          <w:rFonts w:ascii="Sakkal Majalla" w:hAnsi="Sakkal Majalla" w:cs="Sakkal Majalla"/>
          <w:color w:val="000000" w:themeColor="text1"/>
          <w:sz w:val="28"/>
          <w:szCs w:val="28"/>
        </w:rPr>
        <w:t>.</w:t>
      </w:r>
    </w:p>
    <w:p w14:paraId="12F8B45F" w14:textId="77777777" w:rsidR="00817DAA" w:rsidRPr="00BB194B" w:rsidRDefault="00817DAA" w:rsidP="00F76E6C">
      <w:pPr>
        <w:spacing w:before="100" w:beforeAutospacing="1" w:after="100" w:afterAutospacing="1"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t>البُعد الأوّل: الجاهزية الاستراتيجية والقيادية</w:t>
      </w:r>
    </w:p>
    <w:p w14:paraId="6A2C6DB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يُمثّل هذا البُعد الأساس التوجيهي الذي يُحدّد رؤية المنظمة للتحوّل الرقمي ومدى التزام قيادتها العليا بهذه الرؤية وتخصيص الموارد الكافية لتحقيقها. ويتجاوز المقصود بالجاهزية الاستراتيجية مجرّد وجود وثيقة استراتيجية رقمية إلى ضرورة أن تكون هذه الاستراتيجية مُدمَجة في الاستراتيجية العامة للمنظمة ومُترجَمة إلى أهداف قابلة للقياس ومبادرات ذات جداول زمنية وموازنات واضحة</w:t>
      </w:r>
      <w:r w:rsidRPr="00BB194B">
        <w:rPr>
          <w:rFonts w:ascii="Sakkal Majalla" w:hAnsi="Sakkal Majalla" w:cs="Sakkal Majalla"/>
          <w:color w:val="000000" w:themeColor="text1"/>
          <w:sz w:val="28"/>
          <w:szCs w:val="28"/>
        </w:rPr>
        <w:t>.</w:t>
      </w:r>
    </w:p>
    <w:p w14:paraId="4578D63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ويُبيّن</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أنّ التوجّه الاستراتيجي الرقمي يُعدّ من الأبعاد الستة الأساسية في نموذج نضج التحوّل الرقمي، إذ يشمل وضوح الرؤية الرقمية وارتباطها بأهداف المنظمة الكلية ومستوى تبنّي القيادة للتحوّل الرقمي. ويتّسق هذا مع ما يعرضه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من أنّ الاستراتيجية الرقمية تُمثّل إحدى الفئات السبع في إطار تقييم الجاهزية، وتشمل مؤشرات تتعلّق بوضوح خارطة الطريق الرقمية ومستوى المواءمة بين الاستثمارات الرقمية والأولويات المؤسسية</w:t>
      </w:r>
      <w:r w:rsidRPr="00BB194B">
        <w:rPr>
          <w:rFonts w:ascii="Sakkal Majalla" w:hAnsi="Sakkal Majalla" w:cs="Sakkal Majalla"/>
          <w:color w:val="000000" w:themeColor="text1"/>
          <w:sz w:val="28"/>
          <w:szCs w:val="28"/>
        </w:rPr>
        <w:t>.</w:t>
      </w:r>
    </w:p>
    <w:p w14:paraId="47BF280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ويُضيف الهاشمي (2024) أنّ ضعف الرؤية الاستراتيجية الرقمية يُمثّل أحد أبرز التحدّيات التي تواجه القطاع الحكومي العربي في مسيرة التحوّل الرقمي، إذ تفتقر كثير من المؤسسات إلى خطط رقمية واضحة مرتبطة بمؤشرات أداء، وتتعامل مع التحوّل الرقمي بوصفه مشروعًا تقنيًّا منعزلًا وليس توجّهًا مؤسسيًّا شاملًا. وفي مشاريع التشغيل والصيانة بوزارة المالية، يتطلّب هذا البُعد أن تمتلك الجهة رؤية واضحة لكيفية توظيف التقنيات الرقمية في تحسين كفاءة أصولها وإطالة عمرها الافتراضي، وأن تكون الإدارة العليا مُلتزمة بدعم هذا التوجّه ماليًّا وإداريًّا ومؤسسيًّا</w:t>
      </w:r>
      <w:r w:rsidRPr="00BB194B">
        <w:rPr>
          <w:rFonts w:ascii="Sakkal Majalla" w:hAnsi="Sakkal Majalla" w:cs="Sakkal Majalla"/>
          <w:color w:val="000000" w:themeColor="text1"/>
          <w:sz w:val="28"/>
          <w:szCs w:val="28"/>
        </w:rPr>
        <w:t>.</w:t>
      </w:r>
    </w:p>
    <w:p w14:paraId="0B6EFD18" w14:textId="3D99196C" w:rsidR="00817DAA" w:rsidRPr="00BB194B" w:rsidRDefault="00234448" w:rsidP="00234448">
      <w:pPr>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br w:type="page"/>
      </w:r>
      <w:r w:rsidR="00817DAA" w:rsidRPr="00BB194B">
        <w:rPr>
          <w:rFonts w:ascii="Sakkal Majalla" w:hAnsi="Sakkal Majalla" w:cs="Sakkal Majalla"/>
          <w:b/>
          <w:bCs/>
          <w:color w:val="000000" w:themeColor="text1"/>
          <w:sz w:val="28"/>
          <w:szCs w:val="28"/>
          <w:rtl/>
        </w:rPr>
        <w:lastRenderedPageBreak/>
        <w:t>البُعد الثاني: الجاهزية التنظيمية والعملياتية</w:t>
      </w:r>
    </w:p>
    <w:p w14:paraId="3BF03AD1"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يتناول هذا البُعد مدى ملاءمة الهيكل التنظيمي والعمليات الداخلية لاستيعاب التحوّل الرقمي وتسهيله. ويشمل عدّة مكوّنات فرعية: مرونة الهيكل التنظيمي وقابليته للتكيّف مع متطلّبات العمل الرقمي، ووضوح الأدوار والمسؤوليات المتّصلة بالتحوّل الرقمي، ومستوى توثيق العمليات وتوحيدها بما يُتيح رقمنتها، وجودة آليات الحوكمة الرقمية التي تضمن الامتثال والمساءلة</w:t>
      </w:r>
      <w:r w:rsidRPr="00BB194B">
        <w:rPr>
          <w:rFonts w:ascii="Sakkal Majalla" w:hAnsi="Sakkal Majalla" w:cs="Sakkal Majalla"/>
          <w:color w:val="000000" w:themeColor="text1"/>
          <w:sz w:val="28"/>
          <w:szCs w:val="28"/>
        </w:rPr>
        <w:t>.</w:t>
      </w:r>
    </w:p>
    <w:p w14:paraId="0A0D272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ويُبرز</w:t>
      </w:r>
      <w:r w:rsidRPr="00BB194B">
        <w:rPr>
          <w:rFonts w:ascii="Sakkal Majalla" w:hAnsi="Sakkal Majalla" w:cs="Sakkal Majalla"/>
          <w:color w:val="000000" w:themeColor="text1"/>
          <w:sz w:val="28"/>
          <w:szCs w:val="28"/>
        </w:rPr>
        <w:t xml:space="preserve"> Angelopoulos et al. (2023) </w:t>
      </w:r>
      <w:r w:rsidRPr="00BB194B">
        <w:rPr>
          <w:rFonts w:ascii="Sakkal Majalla" w:hAnsi="Sakkal Majalla" w:cs="Sakkal Majalla"/>
          <w:color w:val="000000" w:themeColor="text1"/>
          <w:sz w:val="28"/>
          <w:szCs w:val="28"/>
          <w:rtl/>
        </w:rPr>
        <w:t>أنّ التحوّل الرقمي يستلزم إعادة تصوّر العمليات التنظيمية وليس مجرّد أتمتتها، إذ إنّ رقمنة عملية غير فعّالة لا تُنتج سوى عملية رقمية غير فعّالة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ويتطلّب ذلك مراجعة شاملة لسلاسل القيمة وإعادة هندستها بما يستثمر إمكانات التقنية الرقمية. ويتّسق هذا مع ما يعرضه</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من أنّ إدارة التغيير تُمثّل بُعدًا مستقلًّا في نموذج نضج التحوّل الرقمي، ممّا يُؤكّد أنّ التحوّل الرقمي ليس مشروعًا تقنيًّا بل مشروع تغيير مؤسسي يتطلّب إدارة دقيقة للمقاومة والتوقّعات والثقافة</w:t>
      </w:r>
      <w:r w:rsidRPr="00BB194B">
        <w:rPr>
          <w:rFonts w:ascii="Sakkal Majalla" w:hAnsi="Sakkal Majalla" w:cs="Sakkal Majalla"/>
          <w:color w:val="000000" w:themeColor="text1"/>
          <w:sz w:val="28"/>
          <w:szCs w:val="28"/>
        </w:rPr>
        <w:t>.</w:t>
      </w:r>
    </w:p>
    <w:p w14:paraId="35A340E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ويُشير صوان (2023) إلى أنّ نجاح مشاريع التحوّل الرقمي الحكومية يرتبط ارتباطًا وثيقًا بمدى نضج العمليات الإدارية الداخلية، إذ إنّ المؤسسات التي تتّسم بتعقيد إجرائي مفرط وضعف في التوثيق تواجه صعوبات جوهرية في رقمنة عملياتها. ويُعزّز السيابي (2022) هذا المنظور بالإشارة إلى أنّ الحوكمة المؤسسية الرشيدة تُمثّل ممكّنًا أساسيًّا للتحوّل الرقمي في المؤسسات الحكومية، إذ تُوفّر الأطر التنظيمية والرقابية التي تضمن فاعلية التطبيق الرقمي واتّساقه مع المتطلّبات التنظيمية والتشريعية</w:t>
      </w:r>
      <w:r w:rsidRPr="00BB194B">
        <w:rPr>
          <w:rFonts w:ascii="Sakkal Majalla" w:hAnsi="Sakkal Majalla" w:cs="Sakkal Majalla"/>
          <w:color w:val="000000" w:themeColor="text1"/>
          <w:sz w:val="28"/>
          <w:szCs w:val="28"/>
        </w:rPr>
        <w:t>.</w:t>
      </w:r>
    </w:p>
    <w:p w14:paraId="52FED4C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مشاريع التشغيل والصيانة، يكتسب هذا البُعد خصوصية نابعة من طبيعة العلاقة التعاقدية المعقّدة بين المالك والمقاول ومقدّمي الخدمات، إذ يتطلّب التحوّل الرقمي في هذا السياق توحيد منصّات التواصل والتوثيق بين الأطراف المتعدّدة، وتعديل الأُطر التعاقدية لتستوعب المتطلّبات الرقمية، ورقمنة إجراءات أوامر العمل والفحص والقبول بما يُتيح التتبّع الآني للأداء</w:t>
      </w:r>
      <w:r w:rsidRPr="00BB194B">
        <w:rPr>
          <w:rFonts w:ascii="Sakkal Majalla" w:hAnsi="Sakkal Majalla" w:cs="Sakkal Majalla"/>
          <w:color w:val="000000" w:themeColor="text1"/>
          <w:sz w:val="28"/>
          <w:szCs w:val="28"/>
        </w:rPr>
        <w:t>.</w:t>
      </w:r>
    </w:p>
    <w:p w14:paraId="1535F332" w14:textId="2FEEEF01" w:rsidR="00817DAA" w:rsidRPr="00BB194B" w:rsidRDefault="00234448" w:rsidP="00234448">
      <w:pPr>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br w:type="page"/>
      </w:r>
      <w:r w:rsidR="00817DAA" w:rsidRPr="00BB194B">
        <w:rPr>
          <w:rFonts w:ascii="Sakkal Majalla" w:hAnsi="Sakkal Majalla" w:cs="Sakkal Majalla"/>
          <w:b/>
          <w:bCs/>
          <w:color w:val="000000" w:themeColor="text1"/>
          <w:sz w:val="28"/>
          <w:szCs w:val="28"/>
          <w:rtl/>
        </w:rPr>
        <w:lastRenderedPageBreak/>
        <w:t>البُعد الثالث: الجاهزية البشرية والثقافية</w:t>
      </w:r>
    </w:p>
    <w:p w14:paraId="51BF864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يُعدّ هذا البُعد من أكثر أبعاد الجاهزية تعقيدًا وأهمية في آن واحد، إذ يرتبط بالعنصر الأصعب تغييرًا في أيّ منظمة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الإنسان وثقافته. ويتضمّن مكوّنات متعدّدة تشمل: مستوى الكفاءات الرقمية لدى العاملين في مشاريع التشغيل والصيانة، ومدى تقبّلهم للتغيير الرقمي واستعدادهم للتعلّم المستمر، ووجود ثقافة مؤسسية تدعم الابتكار والتجريب وتتقبّل الخطأ بوصفه جزءًا من عملية التعلّم، فضلًا عن توافر برامج تدريبية موجّهة لسدّ الفجوات في المهارات الرقمية</w:t>
      </w:r>
      <w:r w:rsidRPr="00BB194B">
        <w:rPr>
          <w:rFonts w:ascii="Sakkal Majalla" w:hAnsi="Sakkal Majalla" w:cs="Sakkal Majalla"/>
          <w:color w:val="000000" w:themeColor="text1"/>
          <w:sz w:val="28"/>
          <w:szCs w:val="28"/>
        </w:rPr>
        <w:t>.</w:t>
      </w:r>
    </w:p>
    <w:p w14:paraId="3B8F25B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ويُشير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إلى أنّ البُعد الثقافي والبشري يُمثّل أحد الأبعاد الخمسة الأساسية في نموذج</w:t>
      </w:r>
      <w:r w:rsidRPr="00BB194B">
        <w:rPr>
          <w:rFonts w:ascii="Sakkal Majalla" w:hAnsi="Sakkal Majalla" w:cs="Sakkal Majalla"/>
          <w:color w:val="000000" w:themeColor="text1"/>
          <w:sz w:val="28"/>
          <w:szCs w:val="28"/>
        </w:rPr>
        <w:t xml:space="preserve"> DCCMM </w:t>
      </w:r>
      <w:r w:rsidRPr="00BB194B">
        <w:rPr>
          <w:rFonts w:ascii="Sakkal Majalla" w:hAnsi="Sakkal Majalla" w:cs="Sakkal Majalla"/>
          <w:color w:val="000000" w:themeColor="text1"/>
          <w:sz w:val="28"/>
          <w:szCs w:val="28"/>
          <w:rtl/>
        </w:rPr>
        <w:t>لنضج التحوّل الرقمي في قطاع البناء، ويشمل معلمات تتعلّق بالانفتاح على التقنية ومستوى المهارات الرقمية وثقافة التعاون والمشاركة المعرفية. ويتّسق هذا مع ما يُبرزه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من أنّ البُعد الثقافي يحتلّ مكانة مركزية في نضج إدارة المشاريع، وأنّ المنظمات التي تتمتّع بثقافة داعمة للتعلّم والتحسين المستمر تُحقّق مستويات نضج أعلى</w:t>
      </w:r>
      <w:r w:rsidRPr="00BB194B">
        <w:rPr>
          <w:rFonts w:ascii="Sakkal Majalla" w:hAnsi="Sakkal Majalla" w:cs="Sakkal Majalla"/>
          <w:color w:val="000000" w:themeColor="text1"/>
          <w:sz w:val="28"/>
          <w:szCs w:val="28"/>
        </w:rPr>
        <w:t>.</w:t>
      </w:r>
    </w:p>
    <w:p w14:paraId="7DA6A1BD"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ويُبيّن الفهد وآخرون (2024) أنّ تطوير القدرات الرقمية للكوادر البشرية يُمثّل ركيزة أساسية لنجاح مبادرات التحوّل الرقمي في المؤسسات، إذ لا يكفي توفير الأدوات الرقمية ما لم يقترن ذلك ببرامج تأهيلية تُمكّن المستخدمين من توظيف هذه الأدوات بكفاءة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ويُعزّز المطيري (2023) هذا المنظور بالإشارة إلى أنّ الكفاءات البشرية الإبداعية تُمثّل عاملًا وسيطًا بين النضج الرقمي والأداء المؤسسي، ممّا يُؤكّد أنّ التقنية وحدها لا تصنع التحوّل بل يصنعه الإنسان المُؤهَّل الذي يُحسن توظيفها</w:t>
      </w:r>
      <w:r w:rsidRPr="00BB194B">
        <w:rPr>
          <w:rFonts w:ascii="Sakkal Majalla" w:hAnsi="Sakkal Majalla" w:cs="Sakkal Majalla"/>
          <w:color w:val="000000" w:themeColor="text1"/>
          <w:sz w:val="28"/>
          <w:szCs w:val="28"/>
        </w:rPr>
        <w:t>.</w:t>
      </w:r>
    </w:p>
    <w:p w14:paraId="7C97BBB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مشاريع التشغيل والصيانة، يواجه هذا البُعد تحدّيات نوعية تتعلّق بطبيعة القوى العاملة في هذا القطاع، التي كثيرًا ما تتّسم بتنوّع المستويات التعليمية والتقنية وبوجود شريحة واسعة من العاملين الميدانيين ذوي المهارات التقليدية الذين يحتاجون إلى جهد تأهيلي مكثّف لاكتساب الكفاءات الرقمية الأساسية. كما يُعدّ التعامل مع المعرفة الضمنية غير المُوثّقة التي يمتلكها الفنيون ذوو الخبرة تحدّيًا إضافيًّا، إذ يتطلّب التحوّل الرقمي تحويل هذه المعرفة إلى معرفة صريحة قابلة للرقمنة والمشاركة، وهو ما يستلزم أدوات وأساليب مُتقنة لإدارة المعرفة</w:t>
      </w:r>
      <w:r w:rsidRPr="00BB194B">
        <w:rPr>
          <w:rFonts w:ascii="Sakkal Majalla" w:hAnsi="Sakkal Majalla" w:cs="Sakkal Majalla"/>
          <w:color w:val="000000" w:themeColor="text1"/>
          <w:sz w:val="28"/>
          <w:szCs w:val="28"/>
        </w:rPr>
        <w:t>.</w:t>
      </w:r>
    </w:p>
    <w:p w14:paraId="6408E5E5" w14:textId="77777777" w:rsidR="00817DAA" w:rsidRPr="00BB194B" w:rsidRDefault="00817DAA" w:rsidP="00F76E6C">
      <w:pPr>
        <w:spacing w:before="100" w:beforeAutospacing="1" w:after="100" w:afterAutospacing="1" w:line="360" w:lineRule="auto"/>
        <w:jc w:val="both"/>
        <w:rPr>
          <w:rFonts w:ascii="Sakkal Majalla" w:hAnsi="Sakkal Majalla" w:cs="Sakkal Majalla"/>
          <w:b/>
          <w:bCs/>
          <w:color w:val="000000" w:themeColor="text1"/>
          <w:sz w:val="28"/>
          <w:szCs w:val="28"/>
        </w:rPr>
      </w:pPr>
      <w:r w:rsidRPr="00BB194B">
        <w:rPr>
          <w:rFonts w:ascii="Sakkal Majalla" w:hAnsi="Sakkal Majalla" w:cs="Sakkal Majalla"/>
          <w:b/>
          <w:bCs/>
          <w:color w:val="000000" w:themeColor="text1"/>
          <w:sz w:val="28"/>
          <w:szCs w:val="28"/>
          <w:rtl/>
        </w:rPr>
        <w:lastRenderedPageBreak/>
        <w:t>البُعد الرابع: الجاهزية التقنية والبنية التحتية</w:t>
      </w:r>
    </w:p>
    <w:p w14:paraId="4468659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يتناول هذا البُعد مستوى البنية التحتية التقنية المتوافرة لدى المنظمة ومدى كفايتها لدعم مبادرات التحوّل الرقمي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ويشمل مكوّنات متعدّدة تتراوح بين البنية التحتية الأساسية (شبكات الاتّصال، الخوادم، مراكز البيانات، أمن المعلومات) والأنظمة التطبيقية </w:t>
      </w:r>
      <w:r w:rsidRPr="00BB194B">
        <w:rPr>
          <w:rFonts w:ascii="Sakkal Majalla" w:hAnsi="Sakkal Majalla" w:cs="Sakkal Majalla"/>
          <w:color w:val="000000" w:themeColor="text1"/>
          <w:sz w:val="28"/>
          <w:szCs w:val="28"/>
        </w:rPr>
        <w:t>(</w:t>
      </w:r>
      <w:r w:rsidRPr="00BB194B">
        <w:rPr>
          <w:rFonts w:ascii="Sakkal Majalla" w:hAnsi="Sakkal Majalla" w:cs="Sakkal Majalla"/>
          <w:color w:val="000000" w:themeColor="text1"/>
          <w:sz w:val="28"/>
          <w:szCs w:val="28"/>
          <w:rtl/>
        </w:rPr>
        <w:t>أنظمة إدارة الأصول المحوسبة</w:t>
      </w:r>
      <w:r w:rsidRPr="00BB194B">
        <w:rPr>
          <w:rFonts w:ascii="Sakkal Majalla" w:hAnsi="Sakkal Majalla" w:cs="Sakkal Majalla"/>
          <w:color w:val="000000" w:themeColor="text1"/>
          <w:sz w:val="28"/>
          <w:szCs w:val="28"/>
        </w:rPr>
        <w:t xml:space="preserve"> CMMS/EAM</w:t>
      </w:r>
      <w:r w:rsidRPr="00BB194B">
        <w:rPr>
          <w:rFonts w:ascii="Sakkal Majalla" w:hAnsi="Sakkal Majalla" w:cs="Sakkal Majalla"/>
          <w:color w:val="000000" w:themeColor="text1"/>
          <w:sz w:val="28"/>
          <w:szCs w:val="28"/>
          <w:rtl/>
        </w:rPr>
        <w:t>، وأنظمة تخطيط موارد المؤسسة</w:t>
      </w:r>
      <w:r w:rsidRPr="00BB194B">
        <w:rPr>
          <w:rFonts w:ascii="Sakkal Majalla" w:hAnsi="Sakkal Majalla" w:cs="Sakkal Majalla"/>
          <w:color w:val="000000" w:themeColor="text1"/>
          <w:sz w:val="28"/>
          <w:szCs w:val="28"/>
        </w:rPr>
        <w:t xml:space="preserve"> ERP</w:t>
      </w:r>
      <w:r w:rsidRPr="00BB194B">
        <w:rPr>
          <w:rFonts w:ascii="Sakkal Majalla" w:hAnsi="Sakkal Majalla" w:cs="Sakkal Majalla"/>
          <w:color w:val="000000" w:themeColor="text1"/>
          <w:sz w:val="28"/>
          <w:szCs w:val="28"/>
          <w:rtl/>
        </w:rPr>
        <w:t>، وأنظمة إدارة المباني</w:t>
      </w:r>
      <w:r w:rsidRPr="00BB194B">
        <w:rPr>
          <w:rFonts w:ascii="Sakkal Majalla" w:hAnsi="Sakkal Majalla" w:cs="Sakkal Majalla"/>
          <w:color w:val="000000" w:themeColor="text1"/>
          <w:sz w:val="28"/>
          <w:szCs w:val="28"/>
        </w:rPr>
        <w:t xml:space="preserve"> BMS) </w:t>
      </w:r>
      <w:r w:rsidRPr="00BB194B">
        <w:rPr>
          <w:rFonts w:ascii="Sakkal Majalla" w:hAnsi="Sakkal Majalla" w:cs="Sakkal Majalla"/>
          <w:color w:val="000000" w:themeColor="text1"/>
          <w:sz w:val="28"/>
          <w:szCs w:val="28"/>
          <w:rtl/>
        </w:rPr>
        <w:t>والتقنيات المتقدّمة (إنترنت الأشياء</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IoT</w:t>
      </w:r>
      <w:proofErr w:type="spellEnd"/>
      <w:r w:rsidRPr="00BB194B">
        <w:rPr>
          <w:rFonts w:ascii="Sakkal Majalla" w:hAnsi="Sakkal Majalla" w:cs="Sakkal Majalla"/>
          <w:color w:val="000000" w:themeColor="text1"/>
          <w:sz w:val="28"/>
          <w:szCs w:val="28"/>
          <w:rtl/>
        </w:rPr>
        <w:t>، والتوائم الرقمية</w:t>
      </w:r>
      <w:r w:rsidRPr="00BB194B">
        <w:rPr>
          <w:rFonts w:ascii="Sakkal Majalla" w:hAnsi="Sakkal Majalla" w:cs="Sakkal Majalla"/>
          <w:color w:val="000000" w:themeColor="text1"/>
          <w:sz w:val="28"/>
          <w:szCs w:val="28"/>
        </w:rPr>
        <w:t xml:space="preserve"> Digital Twins</w:t>
      </w:r>
      <w:r w:rsidRPr="00BB194B">
        <w:rPr>
          <w:rFonts w:ascii="Sakkal Majalla" w:hAnsi="Sakkal Majalla" w:cs="Sakkal Majalla"/>
          <w:color w:val="000000" w:themeColor="text1"/>
          <w:sz w:val="28"/>
          <w:szCs w:val="28"/>
          <w:rtl/>
        </w:rPr>
        <w:t>، والذكاء الاصطناعي</w:t>
      </w:r>
      <w:r w:rsidRPr="00BB194B">
        <w:rPr>
          <w:rFonts w:ascii="Sakkal Majalla" w:hAnsi="Sakkal Majalla" w:cs="Sakkal Majalla"/>
          <w:color w:val="000000" w:themeColor="text1"/>
          <w:sz w:val="28"/>
          <w:szCs w:val="28"/>
        </w:rPr>
        <w:t xml:space="preserve"> AI</w:t>
      </w:r>
      <w:r w:rsidRPr="00BB194B">
        <w:rPr>
          <w:rFonts w:ascii="Sakkal Majalla" w:hAnsi="Sakkal Majalla" w:cs="Sakkal Majalla"/>
          <w:color w:val="000000" w:themeColor="text1"/>
          <w:sz w:val="28"/>
          <w:szCs w:val="28"/>
          <w:rtl/>
        </w:rPr>
        <w:t>، ونمذجة معلومات البناء</w:t>
      </w:r>
      <w:r w:rsidRPr="00BB194B">
        <w:rPr>
          <w:rFonts w:ascii="Sakkal Majalla" w:hAnsi="Sakkal Majalla" w:cs="Sakkal Majalla"/>
          <w:color w:val="000000" w:themeColor="text1"/>
          <w:sz w:val="28"/>
          <w:szCs w:val="28"/>
        </w:rPr>
        <w:t xml:space="preserve"> BIM)</w:t>
      </w:r>
      <w:r w:rsidRPr="00BB194B">
        <w:rPr>
          <w:rFonts w:ascii="Sakkal Majalla" w:hAnsi="Sakkal Majalla" w:cs="Sakkal Majalla"/>
          <w:color w:val="000000" w:themeColor="text1"/>
          <w:sz w:val="28"/>
          <w:szCs w:val="28"/>
          <w:rtl/>
        </w:rPr>
        <w:t xml:space="preserve">، فضلًا عن مستوى تكامل هذه الأنظمة وقابلية تشغيلها البيني </w:t>
      </w:r>
      <w:r w:rsidRPr="00BB194B">
        <w:rPr>
          <w:rFonts w:ascii="Sakkal Majalla" w:hAnsi="Sakkal Majalla" w:cs="Sakkal Majalla"/>
          <w:color w:val="000000" w:themeColor="text1"/>
          <w:sz w:val="28"/>
          <w:szCs w:val="28"/>
        </w:rPr>
        <w:t>(Interoperability).</w:t>
      </w:r>
    </w:p>
    <w:p w14:paraId="740F6006"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ويُوضّح</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أنّ البنية التحتية التقنية والهندسة الرقمية تُمثّلان فئتين مستقلّتين ضمن فئات إطار تقييم الجاهزية السبع، وتشملان مؤشرات تتعلّق بجودة الشبكات وأمن البيانات وتكامل الأنظمة واعتماد تقنيات</w:t>
      </w:r>
      <w:r w:rsidRPr="00BB194B">
        <w:rPr>
          <w:rFonts w:ascii="Sakkal Majalla" w:hAnsi="Sakkal Majalla" w:cs="Sakkal Majalla"/>
          <w:color w:val="000000" w:themeColor="text1"/>
          <w:sz w:val="28"/>
          <w:szCs w:val="28"/>
        </w:rPr>
        <w:t xml:space="preserve"> BIM </w:t>
      </w:r>
      <w:r w:rsidRPr="00BB194B">
        <w:rPr>
          <w:rFonts w:ascii="Sakkal Majalla" w:hAnsi="Sakkal Majalla" w:cs="Sakkal Majalla"/>
          <w:color w:val="000000" w:themeColor="text1"/>
          <w:sz w:val="28"/>
          <w:szCs w:val="28"/>
          <w:rtl/>
        </w:rPr>
        <w:t>و</w:t>
      </w:r>
      <w:proofErr w:type="spellStart"/>
      <w:r w:rsidRPr="00BB194B">
        <w:rPr>
          <w:rFonts w:ascii="Sakkal Majalla" w:hAnsi="Sakkal Majalla" w:cs="Sakkal Majalla"/>
          <w:color w:val="000000" w:themeColor="text1"/>
          <w:sz w:val="28"/>
          <w:szCs w:val="28"/>
        </w:rPr>
        <w:t>IoT</w:t>
      </w:r>
      <w:proofErr w:type="spellEnd"/>
      <w:r w:rsidRPr="00BB194B">
        <w:rPr>
          <w:rFonts w:ascii="Sakkal Majalla" w:hAnsi="Sakkal Majalla" w:cs="Sakkal Majalla"/>
          <w:color w:val="000000" w:themeColor="text1"/>
          <w:sz w:val="28"/>
          <w:szCs w:val="28"/>
          <w:rtl/>
        </w:rPr>
        <w:t xml:space="preserve">، ممّا يُبرز المركزية الاستراتيجية لهذا البُعد في تحديد مستوى الجاهزية الإجمالي. ويتّسق هذا مع ما يعرضه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من أنّ البُعد التقني في نموذج</w:t>
      </w:r>
      <w:r w:rsidRPr="00BB194B">
        <w:rPr>
          <w:rFonts w:ascii="Sakkal Majalla" w:hAnsi="Sakkal Majalla" w:cs="Sakkal Majalla"/>
          <w:color w:val="000000" w:themeColor="text1"/>
          <w:sz w:val="28"/>
          <w:szCs w:val="28"/>
        </w:rPr>
        <w:t xml:space="preserve"> DCCMM </w:t>
      </w:r>
      <w:r w:rsidRPr="00BB194B">
        <w:rPr>
          <w:rFonts w:ascii="Sakkal Majalla" w:hAnsi="Sakkal Majalla" w:cs="Sakkal Majalla"/>
          <w:color w:val="000000" w:themeColor="text1"/>
          <w:sz w:val="28"/>
          <w:szCs w:val="28"/>
          <w:rtl/>
        </w:rPr>
        <w:t>يتدرّج من استخدام أدوات أساسية كجداول البيانات في المستوى الأدنى إلى توظيف التوائم الرقمية والأنظمة الذاتية في المستويات العليا، مع التأكيد على أنّ التكامل بين الأنظمة يُمثّل تحدّيًا تقنيًّا وتنظيميًّا في آنٍ واحد</w:t>
      </w:r>
      <w:r w:rsidRPr="00BB194B">
        <w:rPr>
          <w:rFonts w:ascii="Sakkal Majalla" w:hAnsi="Sakkal Majalla" w:cs="Sakkal Majalla"/>
          <w:color w:val="000000" w:themeColor="text1"/>
          <w:sz w:val="28"/>
          <w:szCs w:val="28"/>
        </w:rPr>
        <w:t>.</w:t>
      </w:r>
    </w:p>
    <w:p w14:paraId="0CE3A92A"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ويُبيّن أبو عمرة (2022) أنّ مستوى التقنيات المُستخدمة في تقديم الخدمات الحكومية يُعدّ من المحدّدات الرئيسة لجودة هذه الخدمات ومستوى رضا المتعاملين عنها، ممّا يُؤكّد أنّ البنية التقنية ليست ترفًا بل ضرورة وظيفية. ويُضيف عامر (2022) أنّ صناعة التكرير والبتروكيميائيات العربية تُواجه تحدّي تحديث بنيتها التقنية التشغيلية التي كثيرًا ما تعتمد على أنظمة قديمة</w:t>
      </w:r>
      <w:r w:rsidRPr="00BB194B">
        <w:rPr>
          <w:rFonts w:ascii="Sakkal Majalla" w:hAnsi="Sakkal Majalla" w:cs="Sakkal Majalla"/>
          <w:color w:val="000000" w:themeColor="text1"/>
          <w:sz w:val="28"/>
          <w:szCs w:val="28"/>
        </w:rPr>
        <w:t xml:space="preserve"> (Legacy Systems) </w:t>
      </w:r>
      <w:r w:rsidRPr="00BB194B">
        <w:rPr>
          <w:rFonts w:ascii="Sakkal Majalla" w:hAnsi="Sakkal Majalla" w:cs="Sakkal Majalla"/>
          <w:color w:val="000000" w:themeColor="text1"/>
          <w:sz w:val="28"/>
          <w:szCs w:val="28"/>
          <w:rtl/>
        </w:rPr>
        <w:t>غير متوافقة مع متطلّبات التحوّل الرقمي الحديثة، وهو تحدٍّ مشترك مع مشاريع التشغيل والصيانة الحكومية</w:t>
      </w:r>
      <w:r w:rsidRPr="00BB194B">
        <w:rPr>
          <w:rFonts w:ascii="Sakkal Majalla" w:hAnsi="Sakkal Majalla" w:cs="Sakkal Majalla"/>
          <w:color w:val="000000" w:themeColor="text1"/>
          <w:sz w:val="28"/>
          <w:szCs w:val="28"/>
        </w:rPr>
        <w:t>.</w:t>
      </w:r>
    </w:p>
    <w:p w14:paraId="14DD61CA"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 xml:space="preserve">وفي مشاريع التشغيل والصيانة بوزارة المالية، يكتسب هذا البُعد أهمية خاصة نظرًا لتنوّع الأصول المُدارة جغرافيًّا ونوعيًّا، ممّا يتطلّب بنية تقنية قادرة على جمع البيانات من مصادر متعدّدة ومتباينة (أجهزة استشعار، أنظمة مراقبة، تقارير ميدانية)، ودمجها في منصّة مركزية تُتيح التحليل واتّخاذ القرار. كما </w:t>
      </w:r>
      <w:r w:rsidRPr="00BB194B">
        <w:rPr>
          <w:rFonts w:ascii="Sakkal Majalla" w:hAnsi="Sakkal Majalla" w:cs="Sakkal Majalla"/>
          <w:color w:val="000000" w:themeColor="text1"/>
          <w:sz w:val="28"/>
          <w:szCs w:val="28"/>
          <w:rtl/>
        </w:rPr>
        <w:lastRenderedPageBreak/>
        <w:t>يتطلّب ضمان أمن المعلومات وخصوصية البيانات الحكومية، وهو ما يُضيف طبقة إضافية من التعقيد التقني والتنظيمي</w:t>
      </w:r>
      <w:r w:rsidRPr="00BB194B">
        <w:rPr>
          <w:rFonts w:ascii="Sakkal Majalla" w:hAnsi="Sakkal Majalla" w:cs="Sakkal Majalla"/>
          <w:color w:val="000000" w:themeColor="text1"/>
          <w:sz w:val="28"/>
          <w:szCs w:val="28"/>
        </w:rPr>
        <w:t>.</w:t>
      </w:r>
    </w:p>
    <w:p w14:paraId="0C66E654" w14:textId="47643F8A"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401195"/>
      <w:r w:rsidRPr="00BB194B">
        <w:rPr>
          <w:rFonts w:ascii="Sakkal Majalla" w:hAnsi="Sakkal Majalla" w:cs="Sakkal Majalla" w:hint="cs"/>
          <w:b/>
          <w:bCs/>
          <w:color w:val="000000" w:themeColor="text1"/>
          <w:sz w:val="32"/>
          <w:szCs w:val="32"/>
          <w:rtl/>
        </w:rPr>
        <w:t xml:space="preserve">6.2.2 </w:t>
      </w:r>
      <w:r w:rsidR="00817DAA" w:rsidRPr="00BB194B">
        <w:rPr>
          <w:rFonts w:ascii="Sakkal Majalla" w:hAnsi="Sakkal Majalla" w:cs="Sakkal Majalla"/>
          <w:b/>
          <w:bCs/>
          <w:color w:val="000000" w:themeColor="text1"/>
          <w:sz w:val="32"/>
          <w:szCs w:val="32"/>
          <w:rtl/>
        </w:rPr>
        <w:t>استراتيجيات تعزيز جاهزية التحوّل الرقمي</w:t>
      </w:r>
      <w:bookmarkEnd w:id="43"/>
    </w:p>
    <w:p w14:paraId="629EE90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لا تتحقّق الجاهزية للتحوّل الرقمي بشكل تلقائي أو بقرار إداري واحد، بل تتطلّب تبنّي استراتيجيات متكاملة ومتدرّجة تأخذ في الاعتبار نقطة الانطلاق والموارد المتاحة والسياق المؤسسي. وبناءً على ما ورد في الأدبيات، يمكن تحديد خمس استراتيجيات رئيسة</w:t>
      </w:r>
      <w:r w:rsidRPr="00BB194B">
        <w:rPr>
          <w:rFonts w:ascii="Sakkal Majalla" w:hAnsi="Sakkal Majalla" w:cs="Sakkal Majalla"/>
          <w:color w:val="000000" w:themeColor="text1"/>
          <w:sz w:val="28"/>
          <w:szCs w:val="28"/>
        </w:rPr>
        <w:t>:</w:t>
      </w:r>
    </w:p>
    <w:p w14:paraId="055D7F98"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الأولى: بناء الرؤية الاستراتيجية الرقمية المتكاملة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تبدأ هذه الاستراتيجية بصياغة رؤية رقمية واضحة مُدمَجة في الاستراتيجية العامة للمنظمة، تُحدّد الغايات والأهداف والمراحل الزمنية والمؤشرات</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ويُؤكّد</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أنّ التوجّه الاستراتيجي الرقمي يحتلّ مكانة أساسية في نموذج نضج التحوّل الرقمي، إذ يُوفّر الإطار التوجيهي الذي يُحدّد أولويات الاستثمار والتطبيق. وفي مشاريع التشغيل والصيانة، يجب أن تتضمّن الرؤية الاستراتيجية تحديدًا واضحًا للأصول ذات الأولوية الرقمية، والتقنيات المُستهدَفة، والنتائج المُنتظرة من حيث تحسين الكفاءة وتقليل التكاليف وإطالة عمر الأصول</w:t>
      </w:r>
      <w:r w:rsidRPr="00BB194B">
        <w:rPr>
          <w:rFonts w:ascii="Sakkal Majalla" w:hAnsi="Sakkal Majalla" w:cs="Sakkal Majalla"/>
          <w:color w:val="000000" w:themeColor="text1"/>
          <w:sz w:val="28"/>
          <w:szCs w:val="28"/>
        </w:rPr>
        <w:t>.</w:t>
      </w:r>
    </w:p>
    <w:p w14:paraId="6EF48E7B"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الثانية: إعادة هندسة العمليات التشغيلية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تقوم هذه الاستراتيجية على مراجعة العمليات القائمة وإعادة تصميمها بما يستثمر إمكانات التقنية الرقمية، بدلًا من الاكتفاء بأتمتة العمليات الحالية بعيوبها. ويُشدّد</w:t>
      </w:r>
      <w:r w:rsidRPr="00BB194B">
        <w:rPr>
          <w:rFonts w:ascii="Sakkal Majalla" w:hAnsi="Sakkal Majalla" w:cs="Sakkal Majalla"/>
          <w:color w:val="000000" w:themeColor="text1"/>
          <w:sz w:val="28"/>
          <w:szCs w:val="28"/>
        </w:rPr>
        <w:t xml:space="preserve"> Angelopoulos et al. (2023) </w:t>
      </w:r>
      <w:r w:rsidRPr="00BB194B">
        <w:rPr>
          <w:rFonts w:ascii="Sakkal Majalla" w:hAnsi="Sakkal Majalla" w:cs="Sakkal Majalla"/>
          <w:color w:val="000000" w:themeColor="text1"/>
          <w:sz w:val="28"/>
          <w:szCs w:val="28"/>
          <w:rtl/>
        </w:rPr>
        <w:t>على أنّ التحوّل الرقمي الفعلي يتطلّب "انعكاس الفاعلية" حيث تُعيد التقنية تشكيل العمليات ذاتها وليس العكس. وفي سياق التشغيل والصيانة، تشمل هذه الاستراتيجية إعادة هندسة دورة أوامر العمل، وعمليات الفحص والقبول، وإجراءات المشتريات والتوريد، وآليات التقارير والمتابعة، بحيث تُصمَّم هذه العمليات من الصفر بمنطق رقمي مُتكامل</w:t>
      </w:r>
      <w:r w:rsidRPr="00BB194B">
        <w:rPr>
          <w:rFonts w:ascii="Sakkal Majalla" w:hAnsi="Sakkal Majalla" w:cs="Sakkal Majalla"/>
          <w:color w:val="000000" w:themeColor="text1"/>
          <w:sz w:val="28"/>
          <w:szCs w:val="28"/>
        </w:rPr>
        <w:t>.</w:t>
      </w:r>
    </w:p>
    <w:p w14:paraId="370B019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الثالثة: التأهيل الرقمي الشامل للكوادر البشرية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تستهدف هذه الاستراتيجية سدّ الفجوة في المهارات الرقمية عبر برامج تدريبية متدرّجة تأخذ في الاعتبار تنوّع المستويات الوظيفية والتعليمية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ويُبيّن الفهد وآخرون (2024) أنّ التأهيل الرقمي يُمثّل شرطًا مسبقًا لنجاح أيّ مبادرة تحوّل </w:t>
      </w:r>
      <w:r w:rsidRPr="00BB194B">
        <w:rPr>
          <w:rFonts w:ascii="Sakkal Majalla" w:hAnsi="Sakkal Majalla" w:cs="Sakkal Majalla"/>
          <w:color w:val="000000" w:themeColor="text1"/>
          <w:sz w:val="28"/>
          <w:szCs w:val="28"/>
          <w:rtl/>
        </w:rPr>
        <w:lastRenderedPageBreak/>
        <w:t>رقمي. وتشمل هذه الاستراتيجية في مشاريع التشغيل والصيانة تدريب الفنيين الميدانيين على استخدام الأجهزة اللوحية وتطبيقات الجوّال لتسجيل أعمال الصيانة، وتأهيل المهندسين على توظيف أنظمة</w:t>
      </w:r>
      <w:r w:rsidRPr="00BB194B">
        <w:rPr>
          <w:rFonts w:ascii="Sakkal Majalla" w:hAnsi="Sakkal Majalla" w:cs="Sakkal Majalla"/>
          <w:color w:val="000000" w:themeColor="text1"/>
          <w:sz w:val="28"/>
          <w:szCs w:val="28"/>
        </w:rPr>
        <w:t xml:space="preserve"> CMMS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 xml:space="preserve">BIM </w:t>
      </w:r>
      <w:r w:rsidRPr="00BB194B">
        <w:rPr>
          <w:rFonts w:ascii="Sakkal Majalla" w:hAnsi="Sakkal Majalla" w:cs="Sakkal Majalla"/>
          <w:color w:val="000000" w:themeColor="text1"/>
          <w:sz w:val="28"/>
          <w:szCs w:val="28"/>
          <w:rtl/>
        </w:rPr>
        <w:t xml:space="preserve">وتحليلات البيانات، وتدريب المديرين على استخدام لوحات القيادة الرقمية </w:t>
      </w:r>
      <w:r w:rsidRPr="00BB194B">
        <w:rPr>
          <w:rFonts w:ascii="Sakkal Majalla" w:hAnsi="Sakkal Majalla" w:cs="Sakkal Majalla"/>
          <w:color w:val="000000" w:themeColor="text1"/>
          <w:sz w:val="28"/>
          <w:szCs w:val="28"/>
        </w:rPr>
        <w:t xml:space="preserve">(Dashboards) </w:t>
      </w:r>
      <w:r w:rsidRPr="00BB194B">
        <w:rPr>
          <w:rFonts w:ascii="Sakkal Majalla" w:hAnsi="Sakkal Majalla" w:cs="Sakkal Majalla"/>
          <w:color w:val="000000" w:themeColor="text1"/>
          <w:sz w:val="28"/>
          <w:szCs w:val="28"/>
          <w:rtl/>
        </w:rPr>
        <w:t>لاتّخاذ القرارات</w:t>
      </w:r>
      <w:r w:rsidRPr="00BB194B">
        <w:rPr>
          <w:rFonts w:ascii="Sakkal Majalla" w:hAnsi="Sakkal Majalla" w:cs="Sakkal Majalla"/>
          <w:color w:val="000000" w:themeColor="text1"/>
          <w:sz w:val="28"/>
          <w:szCs w:val="28"/>
        </w:rPr>
        <w:t>.</w:t>
      </w:r>
    </w:p>
    <w:p w14:paraId="3C48CFE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الرابعة: التطوير التقني المتدرّج والمتكامل</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تعتمد هذه الاستراتيجية على تطوير البنية التقنية بشكل تراكمي يبدأ من تحديث البنية التحتية الأساسية (الشبكات، الأمان، التخزين)، ثم ينتقل إلى تطبيق الأنظمة المؤسسية الأساسية</w:t>
      </w:r>
      <w:r w:rsidRPr="00BB194B">
        <w:rPr>
          <w:rFonts w:ascii="Sakkal Majalla" w:hAnsi="Sakkal Majalla" w:cs="Sakkal Majalla"/>
          <w:color w:val="000000" w:themeColor="text1"/>
          <w:sz w:val="28"/>
          <w:szCs w:val="28"/>
        </w:rPr>
        <w:t xml:space="preserve"> (ERP</w:t>
      </w:r>
      <w:r w:rsidRPr="00BB194B">
        <w:rPr>
          <w:rFonts w:ascii="Sakkal Majalla" w:hAnsi="Sakkal Majalla" w:cs="Sakkal Majalla"/>
          <w:color w:val="000000" w:themeColor="text1"/>
          <w:sz w:val="28"/>
          <w:szCs w:val="28"/>
          <w:rtl/>
        </w:rPr>
        <w:t xml:space="preserve">، </w:t>
      </w:r>
      <w:r w:rsidRPr="00BB194B">
        <w:rPr>
          <w:rFonts w:ascii="Sakkal Majalla" w:hAnsi="Sakkal Majalla" w:cs="Sakkal Majalla"/>
          <w:color w:val="000000" w:themeColor="text1"/>
          <w:sz w:val="28"/>
          <w:szCs w:val="28"/>
        </w:rPr>
        <w:t>CMMS)</w:t>
      </w:r>
      <w:r w:rsidRPr="00BB194B">
        <w:rPr>
          <w:rFonts w:ascii="Sakkal Majalla" w:hAnsi="Sakkal Majalla" w:cs="Sakkal Majalla"/>
          <w:color w:val="000000" w:themeColor="text1"/>
          <w:sz w:val="28"/>
          <w:szCs w:val="28"/>
          <w:rtl/>
        </w:rPr>
        <w:t>، ثم يتقدّم نحو التقنيات المتقدّمة</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IoT</w:t>
      </w:r>
      <w:proofErr w:type="spellEnd"/>
      <w:r w:rsidRPr="00BB194B">
        <w:rPr>
          <w:rFonts w:ascii="Sakkal Majalla" w:hAnsi="Sakkal Majalla" w:cs="Sakkal Majalla"/>
          <w:color w:val="000000" w:themeColor="text1"/>
          <w:sz w:val="28"/>
          <w:szCs w:val="28"/>
          <w:rtl/>
        </w:rPr>
        <w:t xml:space="preserve">، </w:t>
      </w:r>
      <w:r w:rsidRPr="00BB194B">
        <w:rPr>
          <w:rFonts w:ascii="Sakkal Majalla" w:hAnsi="Sakkal Majalla" w:cs="Sakkal Majalla"/>
          <w:color w:val="000000" w:themeColor="text1"/>
          <w:sz w:val="28"/>
          <w:szCs w:val="28"/>
        </w:rPr>
        <w:t>AI</w:t>
      </w:r>
      <w:r w:rsidRPr="00BB194B">
        <w:rPr>
          <w:rFonts w:ascii="Sakkal Majalla" w:hAnsi="Sakkal Majalla" w:cs="Sakkal Majalla"/>
          <w:color w:val="000000" w:themeColor="text1"/>
          <w:sz w:val="28"/>
          <w:szCs w:val="28"/>
          <w:rtl/>
        </w:rPr>
        <w:t>، التوائم الرقمية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ويُحذّر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من القفز إلى تقنيات متقدّمة دون امتلاك الأساس التنظيمي والبشري الملائم، إذ يُنتج ذلك فجوة بين القدرات التقنية المتاحة ومستوى الاستخدام الفعلي. ويتّسق هذا مع نموذج</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الذي يُحدّد ستة مستويات للنضج الرقمي تتطلّب التدرّج في الارتقاء من مستوى إلى آخر</w:t>
      </w:r>
      <w:r w:rsidRPr="00BB194B">
        <w:rPr>
          <w:rFonts w:ascii="Sakkal Majalla" w:hAnsi="Sakkal Majalla" w:cs="Sakkal Majalla"/>
          <w:color w:val="000000" w:themeColor="text1"/>
          <w:sz w:val="28"/>
          <w:szCs w:val="28"/>
        </w:rPr>
        <w:t>.</w:t>
      </w:r>
    </w:p>
    <w:p w14:paraId="505CA6C9"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الاستراتيجية الخامسة: بناء منظومة حوكمة رقمية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تُركّز هذه الاستراتيجية على إنشاء أُطر حوكمة تُنظّم عمليات التحوّل الرقمي وتضمن الامتثال والمساءلة وحماية البيانات. ويُشير السيابي</w:t>
      </w:r>
      <w:r w:rsidRPr="00BB194B">
        <w:rPr>
          <w:rFonts w:ascii="Sakkal Majalla" w:hAnsi="Sakkal Majalla" w:cs="Sakkal Majalla"/>
          <w:color w:val="000000" w:themeColor="text1"/>
          <w:sz w:val="28"/>
          <w:szCs w:val="28"/>
        </w:rPr>
        <w:t xml:space="preserve"> (2022) </w:t>
      </w:r>
      <w:r w:rsidRPr="00BB194B">
        <w:rPr>
          <w:rFonts w:ascii="Sakkal Majalla" w:hAnsi="Sakkal Majalla" w:cs="Sakkal Majalla"/>
          <w:color w:val="000000" w:themeColor="text1"/>
          <w:sz w:val="28"/>
          <w:szCs w:val="28"/>
          <w:rtl/>
        </w:rPr>
        <w:t>إلى أنّ الحوكمة الإلكترونية تُمثّل ركيزة أساسية لنجاح التحوّل الرقمي في المؤسسات الحكومية، إذ تُوفّر الإطار التنظيمي الذي يضمن الشفافية والموثوقية والالتزام بالمتطلّبات التنظيمية والتشريعية. وفي سياق التشغيل والصيانة، تشمل الحوكمة الرقمية سياسات إدارة البيانات وجودتها، ومعايير أمن المعلومات، وآليات التدقيق الرقمي، وضوابط الوصول والصلاحيات في الأنظمة المشتركة بين المالك والمقاولين</w:t>
      </w:r>
      <w:r w:rsidRPr="00BB194B">
        <w:rPr>
          <w:rFonts w:ascii="Sakkal Majalla" w:hAnsi="Sakkal Majalla" w:cs="Sakkal Majalla"/>
          <w:color w:val="000000" w:themeColor="text1"/>
          <w:sz w:val="28"/>
          <w:szCs w:val="28"/>
        </w:rPr>
        <w:t>.</w:t>
      </w:r>
    </w:p>
    <w:p w14:paraId="34D1ECFD" w14:textId="480DC3C5"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401196"/>
      <w:r w:rsidRPr="00BB194B">
        <w:rPr>
          <w:rFonts w:ascii="Sakkal Majalla" w:hAnsi="Sakkal Majalla" w:cs="Sakkal Majalla" w:hint="cs"/>
          <w:b/>
          <w:bCs/>
          <w:color w:val="000000" w:themeColor="text1"/>
          <w:sz w:val="32"/>
          <w:szCs w:val="32"/>
          <w:rtl/>
        </w:rPr>
        <w:t xml:space="preserve">7.2.2 </w:t>
      </w:r>
      <w:r w:rsidR="00817DAA" w:rsidRPr="00BB194B">
        <w:rPr>
          <w:rFonts w:ascii="Sakkal Majalla" w:hAnsi="Sakkal Majalla" w:cs="Sakkal Majalla"/>
          <w:b/>
          <w:bCs/>
          <w:color w:val="000000" w:themeColor="text1"/>
          <w:sz w:val="32"/>
          <w:szCs w:val="32"/>
          <w:rtl/>
        </w:rPr>
        <w:t>نماذج تقييم جاهزية التحوّل الرقمي</w:t>
      </w:r>
      <w:bookmarkEnd w:id="44"/>
    </w:p>
    <w:p w14:paraId="747D86A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تعدّدت نماذج تقييم جاهزية التحوّل الرقمي ونضجه في الأدبيات الأكاديمية والمهنية، وتتباين في نطاقها القطاعي وأبعادها ومؤشراتها وأساليبها المنهجية. ويمكن استعراض أبرز هذه النماذج ذات الصلة بمشاريع التشغيل والصيانة وفقًا لتوجّهاتها النظرية والمنهجية</w:t>
      </w:r>
      <w:r w:rsidRPr="00BB194B">
        <w:rPr>
          <w:rFonts w:ascii="Sakkal Majalla" w:hAnsi="Sakkal Majalla" w:cs="Sakkal Majalla"/>
          <w:color w:val="000000" w:themeColor="text1"/>
          <w:sz w:val="28"/>
          <w:szCs w:val="28"/>
        </w:rPr>
        <w:t>:</w:t>
      </w:r>
    </w:p>
    <w:p w14:paraId="0EA32E8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lastRenderedPageBreak/>
        <w:t>يُقدّم</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Suprun</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إطارًا شاملًا لتقييم نضج التحوّل الرقمي في المؤسسات الحكومية الكبرى المالكة للبنية التحتية، يتألّف من سبع فئات وستة وخمسين مؤشّرًا، ويعتمد أسلوب التحليل الهرمي</w:t>
      </w:r>
      <w:r w:rsidRPr="00BB194B">
        <w:rPr>
          <w:rFonts w:ascii="Sakkal Majalla" w:hAnsi="Sakkal Majalla" w:cs="Sakkal Majalla"/>
          <w:color w:val="000000" w:themeColor="text1"/>
          <w:sz w:val="28"/>
          <w:szCs w:val="28"/>
        </w:rPr>
        <w:t xml:space="preserve"> (AHP) </w:t>
      </w:r>
      <w:r w:rsidRPr="00BB194B">
        <w:rPr>
          <w:rFonts w:ascii="Sakkal Majalla" w:hAnsi="Sakkal Majalla" w:cs="Sakkal Majalla"/>
          <w:color w:val="000000" w:themeColor="text1"/>
          <w:sz w:val="28"/>
          <w:szCs w:val="28"/>
          <w:rtl/>
        </w:rPr>
        <w:t>لترتيب المؤشّرات وفقًا لأهميتها النسبية بناءً على آراء الخبراء. ويتميّز هذا الإطار بشموليته وبكونه مصحوبًا بأداة عملية (ملف إكسل) تُسهّل التطبيق الذاتي، وهو ما يجعله ملائمًا للمؤسسات الحكومية التي تُدير أصولًا ضخمة ومتنوّعة كوزارة المالية</w:t>
      </w:r>
      <w:r w:rsidRPr="00BB194B">
        <w:rPr>
          <w:rFonts w:ascii="Sakkal Majalla" w:hAnsi="Sakkal Majalla" w:cs="Sakkal Majalla"/>
          <w:color w:val="000000" w:themeColor="text1"/>
          <w:sz w:val="28"/>
          <w:szCs w:val="28"/>
        </w:rPr>
        <w:t>.</w:t>
      </w:r>
    </w:p>
    <w:p w14:paraId="253CA8B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أمّا</w:t>
      </w:r>
      <w:r w:rsidRPr="00BB194B">
        <w:rPr>
          <w:rFonts w:ascii="Sakkal Majalla" w:hAnsi="Sakkal Majalla" w:cs="Sakkal Majalla"/>
          <w:color w:val="000000" w:themeColor="text1"/>
          <w:sz w:val="28"/>
          <w:szCs w:val="28"/>
        </w:rPr>
        <w:t xml:space="preserve"> Chen et al. (2024) </w:t>
      </w:r>
      <w:r w:rsidRPr="00BB194B">
        <w:rPr>
          <w:rFonts w:ascii="Sakkal Majalla" w:hAnsi="Sakkal Majalla" w:cs="Sakkal Majalla"/>
          <w:color w:val="000000" w:themeColor="text1"/>
          <w:sz w:val="28"/>
          <w:szCs w:val="28"/>
          <w:rtl/>
        </w:rPr>
        <w:t>فيطرح نموذج</w:t>
      </w:r>
      <w:r w:rsidRPr="00BB194B">
        <w:rPr>
          <w:rFonts w:ascii="Sakkal Majalla" w:hAnsi="Sakkal Majalla" w:cs="Sakkal Majalla"/>
          <w:color w:val="000000" w:themeColor="text1"/>
          <w:sz w:val="28"/>
          <w:szCs w:val="28"/>
        </w:rPr>
        <w:t xml:space="preserve"> DTCMM </w:t>
      </w:r>
      <w:r w:rsidRPr="00BB194B">
        <w:rPr>
          <w:rFonts w:ascii="Sakkal Majalla" w:hAnsi="Sakkal Majalla" w:cs="Sakkal Majalla"/>
          <w:color w:val="000000" w:themeColor="text1"/>
          <w:sz w:val="28"/>
          <w:szCs w:val="28"/>
          <w:rtl/>
        </w:rPr>
        <w:t>المُصمّم لمنشآت البناء، والمُؤلّف من ستة أبعاد وعشرين عاملًا مؤثّرًا، ويستخدم منهجية مزدوجة تجمع بين</w:t>
      </w:r>
      <w:r w:rsidRPr="00BB194B">
        <w:rPr>
          <w:rFonts w:ascii="Sakkal Majalla" w:hAnsi="Sakkal Majalla" w:cs="Sakkal Majalla"/>
          <w:color w:val="000000" w:themeColor="text1"/>
          <w:sz w:val="28"/>
          <w:szCs w:val="28"/>
        </w:rPr>
        <w:t xml:space="preserve"> AHP </w:t>
      </w:r>
      <w:r w:rsidRPr="00BB194B">
        <w:rPr>
          <w:rFonts w:ascii="Sakkal Majalla" w:hAnsi="Sakkal Majalla" w:cs="Sakkal Majalla"/>
          <w:color w:val="000000" w:themeColor="text1"/>
          <w:sz w:val="28"/>
          <w:szCs w:val="28"/>
          <w:rtl/>
        </w:rPr>
        <w:t>و</w:t>
      </w:r>
      <w:r w:rsidRPr="00BB194B">
        <w:rPr>
          <w:rFonts w:ascii="Sakkal Majalla" w:hAnsi="Sakkal Majalla" w:cs="Sakkal Majalla"/>
          <w:color w:val="000000" w:themeColor="text1"/>
          <w:sz w:val="28"/>
          <w:szCs w:val="28"/>
        </w:rPr>
        <w:t xml:space="preserve">DEMATEL </w:t>
      </w:r>
      <w:r w:rsidRPr="00BB194B">
        <w:rPr>
          <w:rFonts w:ascii="Sakkal Majalla" w:hAnsi="Sakkal Majalla" w:cs="Sakkal Majalla"/>
          <w:color w:val="000000" w:themeColor="text1"/>
          <w:sz w:val="28"/>
          <w:szCs w:val="28"/>
          <w:rtl/>
        </w:rPr>
        <w:t>لتحديد أوزان العوامل والعلاقات السببية بينها. ويُحدّد النموذج خمسة مستويات للنضج الرقمي تتدرّج من مرحلة إدارة الأعمال الأساسية إلى مرحلة التعاون البيئي الصناعي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ويُقدّم</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نموذج</w:t>
      </w:r>
      <w:r w:rsidRPr="00BB194B">
        <w:rPr>
          <w:rFonts w:ascii="Sakkal Majalla" w:hAnsi="Sakkal Majalla" w:cs="Sakkal Majalla"/>
          <w:color w:val="000000" w:themeColor="text1"/>
          <w:sz w:val="28"/>
          <w:szCs w:val="28"/>
        </w:rPr>
        <w:t xml:space="preserve"> DCCMM </w:t>
      </w:r>
      <w:r w:rsidRPr="00BB194B">
        <w:rPr>
          <w:rFonts w:ascii="Sakkal Majalla" w:hAnsi="Sakkal Majalla" w:cs="Sakkal Majalla"/>
          <w:color w:val="000000" w:themeColor="text1"/>
          <w:sz w:val="28"/>
          <w:szCs w:val="28"/>
          <w:rtl/>
        </w:rPr>
        <w:t>المُؤلّف من خمسة أبعاد (الاستراتيجية، والتنظيم، والعمليات، والتقنية، والثقافة) وثمانية وعشرين معلمة وستة مستويات للنضج، مُصمّم خصّيصًا لقطاع البناء في سياق الصناعة الرابعة ومُتحقَّق من صلاحيته عبر ثماني دراسات حالة نوعية</w:t>
      </w:r>
      <w:r w:rsidRPr="00BB194B">
        <w:rPr>
          <w:rFonts w:ascii="Sakkal Majalla" w:hAnsi="Sakkal Majalla" w:cs="Sakkal Majalla"/>
          <w:color w:val="000000" w:themeColor="text1"/>
          <w:sz w:val="28"/>
          <w:szCs w:val="28"/>
        </w:rPr>
        <w:t>.</w:t>
      </w:r>
    </w:p>
    <w:p w14:paraId="23214CC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ويوظّف</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نموذج</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ProMMM</w:t>
      </w:r>
      <w:proofErr w:type="spellEnd"/>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في دراسة العلاقة بين نضج إدارة المشاريع والتميّز المؤسسي في سياق الصناعة الرابعة، وهو نموذج يتميّز بدمج الأبعاد الثقافية والتنظيمية مع الأبعاد الإجرائية والتقنية. كما يوظّف</w:t>
      </w:r>
      <w:r w:rsidRPr="00BB194B">
        <w:rPr>
          <w:rFonts w:ascii="Sakkal Majalla" w:hAnsi="Sakkal Majalla" w:cs="Sakkal Majalla"/>
          <w:color w:val="000000" w:themeColor="text1"/>
          <w:sz w:val="28"/>
          <w:szCs w:val="28"/>
        </w:rPr>
        <w:t xml:space="preserve"> Huang et al. (2023) </w:t>
      </w:r>
      <w:r w:rsidRPr="00BB194B">
        <w:rPr>
          <w:rFonts w:ascii="Sakkal Majalla" w:hAnsi="Sakkal Majalla" w:cs="Sakkal Majalla"/>
          <w:color w:val="000000" w:themeColor="text1"/>
          <w:sz w:val="28"/>
          <w:szCs w:val="28"/>
          <w:rtl/>
        </w:rPr>
        <w:t>نموذج</w:t>
      </w:r>
      <w:r w:rsidRPr="00BB194B">
        <w:rPr>
          <w:rFonts w:ascii="Sakkal Majalla" w:hAnsi="Sakkal Majalla" w:cs="Sakkal Majalla"/>
          <w:color w:val="000000" w:themeColor="text1"/>
          <w:sz w:val="28"/>
          <w:szCs w:val="28"/>
        </w:rPr>
        <w:t xml:space="preserve"> P3M3 </w:t>
      </w:r>
      <w:r w:rsidRPr="00BB194B">
        <w:rPr>
          <w:rFonts w:ascii="Sakkal Majalla" w:hAnsi="Sakkal Majalla" w:cs="Sakkal Majalla"/>
          <w:color w:val="000000" w:themeColor="text1"/>
          <w:sz w:val="28"/>
          <w:szCs w:val="28"/>
          <w:rtl/>
        </w:rPr>
        <w:t>في التقييم الذاتي لنضج إدارة المشاريع والبرامج والمحافظ، وهو نموذج خماسي المستويات يتميّز بمرونته وقابليته للتطبيق عبر سياقات مؤسسية متنوّعة</w:t>
      </w:r>
      <w:r w:rsidRPr="00BB194B">
        <w:rPr>
          <w:rFonts w:ascii="Sakkal Majalla" w:hAnsi="Sakkal Majalla" w:cs="Sakkal Majalla"/>
          <w:color w:val="000000" w:themeColor="text1"/>
          <w:sz w:val="28"/>
          <w:szCs w:val="28"/>
        </w:rPr>
        <w:t>.</w:t>
      </w:r>
    </w:p>
    <w:p w14:paraId="4F8A142D"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وعلى الصعيد العربي، تُوفّر الدراسات العربية إسهامات سياقية مهمّة وإن لم تُقدّم نماذج قياسية مكتملة بالضرورة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فقد تناول جاسم (2023) قياس النضج الرقمي في سياق إدارة المعرفة الذكية في قطاع الاتّصالات، مُستخدِمًا مؤشرات تتعلّق بالبنية التقنية والقدرات البشرية والعمليات المعرفية. ويُسهم هذا التنوّع في النماذج في إثراء الإطار المرجعي لهذه الدراسة، إذ يُتيح الاستفادة من أبعاد ومؤشرات متعدّدة المصادر لبناء أداة قياس ملائمة لسياق مشاريع التشغيل والصيانة بوزارة المالية</w:t>
      </w:r>
      <w:r w:rsidRPr="00BB194B">
        <w:rPr>
          <w:rFonts w:ascii="Sakkal Majalla" w:hAnsi="Sakkal Majalla" w:cs="Sakkal Majalla"/>
          <w:color w:val="000000" w:themeColor="text1"/>
          <w:sz w:val="28"/>
          <w:szCs w:val="28"/>
        </w:rPr>
        <w:t>.</w:t>
      </w:r>
    </w:p>
    <w:p w14:paraId="2B573EF2" w14:textId="42FFD8FC"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401197"/>
      <w:r w:rsidRPr="00BB194B">
        <w:rPr>
          <w:rFonts w:ascii="Sakkal Majalla" w:hAnsi="Sakkal Majalla" w:cs="Sakkal Majalla" w:hint="cs"/>
          <w:b/>
          <w:bCs/>
          <w:color w:val="000000" w:themeColor="text1"/>
          <w:sz w:val="32"/>
          <w:szCs w:val="32"/>
          <w:rtl/>
        </w:rPr>
        <w:lastRenderedPageBreak/>
        <w:t xml:space="preserve">8.2.2 </w:t>
      </w:r>
      <w:r w:rsidR="00817DAA" w:rsidRPr="00BB194B">
        <w:rPr>
          <w:rFonts w:ascii="Sakkal Majalla" w:hAnsi="Sakkal Majalla" w:cs="Sakkal Majalla"/>
          <w:b/>
          <w:bCs/>
          <w:color w:val="000000" w:themeColor="text1"/>
          <w:sz w:val="32"/>
          <w:szCs w:val="32"/>
          <w:rtl/>
        </w:rPr>
        <w:t>محدّدات جاهزية التحوّل الرقمي والعوامل المؤثّرة فيها</w:t>
      </w:r>
      <w:bookmarkEnd w:id="45"/>
    </w:p>
    <w:p w14:paraId="4D1692F8"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تتأثّر جاهزية المنظمة للتحوّل الرقمي بمجموعة متشابكة من العوامل الداخلية والخارجية التي تتفاعل فيما بينها بأنماط معقّدة. ويمكن تصنيف هذه العوامل في فئتين رئيستين</w:t>
      </w:r>
      <w:r w:rsidRPr="00BB194B">
        <w:rPr>
          <w:rFonts w:ascii="Sakkal Majalla" w:hAnsi="Sakkal Majalla" w:cs="Sakkal Majalla"/>
          <w:color w:val="000000" w:themeColor="text1"/>
          <w:sz w:val="28"/>
          <w:szCs w:val="28"/>
        </w:rPr>
        <w:t>:</w:t>
      </w:r>
    </w:p>
    <w:p w14:paraId="761111C0"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العوامل الداخلية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تُمثّل المحدّدات التي تقع ضمن نطاق سيطرة المنظمة أو تأثيرها المباشر. ويُشير </w:t>
      </w:r>
      <w:proofErr w:type="spellStart"/>
      <w:r w:rsidRPr="00BB194B">
        <w:rPr>
          <w:rFonts w:ascii="Sakkal Majalla" w:hAnsi="Sakkal Majalla" w:cs="Sakkal Majalla"/>
          <w:color w:val="000000" w:themeColor="text1"/>
          <w:sz w:val="28"/>
          <w:szCs w:val="28"/>
        </w:rPr>
        <w:t>Jäkel</w:t>
      </w:r>
      <w:proofErr w:type="spellEnd"/>
      <w:r w:rsidRPr="00BB194B">
        <w:rPr>
          <w:rFonts w:ascii="Sakkal Majalla" w:hAnsi="Sakkal Majalla" w:cs="Sakkal Majalla"/>
          <w:color w:val="000000" w:themeColor="text1"/>
          <w:sz w:val="28"/>
          <w:szCs w:val="28"/>
        </w:rPr>
        <w:t xml:space="preserve"> et al. (2024) </w:t>
      </w:r>
      <w:r w:rsidRPr="00BB194B">
        <w:rPr>
          <w:rFonts w:ascii="Sakkal Majalla" w:hAnsi="Sakkal Majalla" w:cs="Sakkal Majalla"/>
          <w:color w:val="000000" w:themeColor="text1"/>
          <w:sz w:val="28"/>
          <w:szCs w:val="28"/>
          <w:rtl/>
        </w:rPr>
        <w:t>إلى أنّ ثقافة المنظمة واستعدادها للتغيير يُمثّلان من أقوى المحدّدات الداخلية، إذ إنّ المنظمات ذات الثقافة المنفتحة على التجريب والابتكار تُحقّق تقدّمًا أسرع في مسيرة التحوّل الرقمي مقارنةً بتلك التي تتمسّك بالأنماط التقليدية. ويُضيف</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Yudianingtyas</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Purwanto</w:t>
      </w:r>
      <w:proofErr w:type="spellEnd"/>
      <w:r w:rsidRPr="00BB194B">
        <w:rPr>
          <w:rFonts w:ascii="Sakkal Majalla" w:hAnsi="Sakkal Majalla" w:cs="Sakkal Majalla"/>
          <w:color w:val="000000" w:themeColor="text1"/>
          <w:sz w:val="28"/>
          <w:szCs w:val="28"/>
        </w:rPr>
        <w:t xml:space="preserve"> (2025) </w:t>
      </w:r>
      <w:r w:rsidRPr="00BB194B">
        <w:rPr>
          <w:rFonts w:ascii="Sakkal Majalla" w:hAnsi="Sakkal Majalla" w:cs="Sakkal Majalla"/>
          <w:color w:val="000000" w:themeColor="text1"/>
          <w:sz w:val="28"/>
          <w:szCs w:val="28"/>
          <w:rtl/>
        </w:rPr>
        <w:t>أنّ مستوى نضج إدارة المشاريع ذاته يُمثّل عاملًا داخليًّا مؤثّرًا في الجاهزية الرقمية، إذ إنّ المنظمات التي تمتلك عمليات موحّدة ومُوثّقة وكوادر مؤهّلة تكون أكثر استعدادًا لاستيعاب التحوّل الرقمي من تلك التي تعمل بأساليب عشوائية. ويتّسق هذا مع ما يطرحه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من أنّ حجم الفجوة بين النضج التقني والنضج الإداري داخل المنظمة يُمثّل عاملًا مؤثّرًا في نجاح مبادرات التحوّل الرقمي أو إخفاقها</w:t>
      </w:r>
      <w:r w:rsidRPr="00BB194B">
        <w:rPr>
          <w:rFonts w:ascii="Sakkal Majalla" w:hAnsi="Sakkal Majalla" w:cs="Sakkal Majalla"/>
          <w:color w:val="000000" w:themeColor="text1"/>
          <w:sz w:val="28"/>
          <w:szCs w:val="28"/>
        </w:rPr>
        <w:t>.</w:t>
      </w:r>
    </w:p>
    <w:p w14:paraId="07E2F4E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وعلى المستوى العربي، يُبيّن الهاشمي</w:t>
      </w:r>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أنّ من أبرز العوامل الداخلية المؤثّرة في جاهزية المؤسسات الحكومية العربية: ضعف البنية التحتية التقنية، ونقص الكفاءات الرقمية المتخصّصة، ومقاومة التغيير لدى بعض العاملين والمديرين، وغياب الرؤية الاستراتيجية الرقمية الواضحة. ويُشير كراز (2023) إلى أنّ طبيعة المشاريع الهندسية في المؤسسات البلدية وتعقيداتها الفنية تفرض تحدّيات إضافية على مسيرة التحوّل الرقمي تتطلّب حلولًا مُخصّصة تأخذ في الاعتبار خصوصية القطاع</w:t>
      </w:r>
      <w:r w:rsidRPr="00BB194B">
        <w:rPr>
          <w:rFonts w:ascii="Sakkal Majalla" w:hAnsi="Sakkal Majalla" w:cs="Sakkal Majalla"/>
          <w:color w:val="000000" w:themeColor="text1"/>
          <w:sz w:val="28"/>
          <w:szCs w:val="28"/>
        </w:rPr>
        <w:t>.</w:t>
      </w:r>
    </w:p>
    <w:p w14:paraId="28DA0907"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العوامل الخارجية</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تشمل المتغيّرات البيئية التي تقع خارج نطاق سيطرة المنظمة المباشرة لكنّها تُؤثّر تأثيرًا كبيرًا في مستوى جاهزيتها الرقمية. ويُشير</w:t>
      </w:r>
      <w:r w:rsidRPr="00BB194B">
        <w:rPr>
          <w:rFonts w:ascii="Sakkal Majalla" w:hAnsi="Sakkal Majalla" w:cs="Sakkal Majalla"/>
          <w:color w:val="000000" w:themeColor="text1"/>
          <w:sz w:val="28"/>
          <w:szCs w:val="28"/>
        </w:rPr>
        <w:t xml:space="preserve"> Angelopoulos et al. (2023) </w:t>
      </w:r>
      <w:r w:rsidRPr="00BB194B">
        <w:rPr>
          <w:rFonts w:ascii="Sakkal Majalla" w:hAnsi="Sakkal Majalla" w:cs="Sakkal Majalla"/>
          <w:color w:val="000000" w:themeColor="text1"/>
          <w:sz w:val="28"/>
          <w:szCs w:val="28"/>
          <w:rtl/>
        </w:rPr>
        <w:t>إلى أنّ التطوّرات التقنية المتسارعة — لا سيّما في مجالات الذكاء الاصطناعي وإنترنت الأشياء والحوسبة السحابية — تُمارس ضغطًا متصاعدًا على المنظمات للتحوّل الرقمي، إذ إنّ التأخّر في هذا المسار يُهدّد قدرتها التنافسية واستمراريتها. ويُضيف بشميل (2024) أنّ رؤى التحوّل الوطنية — كرؤية المملكة 2030 — تُمثّل محرّكًا خارجيًّا قويًّا يدفع مؤسسات القطاعين العام والخاص نحو تسريع مبادرات التحوّل الرقمي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ويُشير صوان </w:t>
      </w:r>
      <w:r w:rsidRPr="00BB194B">
        <w:rPr>
          <w:rFonts w:ascii="Sakkal Majalla" w:hAnsi="Sakkal Majalla" w:cs="Sakkal Majalla"/>
          <w:color w:val="000000" w:themeColor="text1"/>
          <w:sz w:val="28"/>
          <w:szCs w:val="28"/>
          <w:rtl/>
        </w:rPr>
        <w:lastRenderedPageBreak/>
        <w:t>(2023) إلى أنّ تطلّعات المتعاملين والمواطنين المتزايدة نحو خدمات رقمية سلسة وموثوقة تُشكّل ضغطًا خارجيًّا إضافيًّا على المؤسسات الحكومية لتعزيز جاهزيتها الرقمية</w:t>
      </w:r>
      <w:r w:rsidRPr="00BB194B">
        <w:rPr>
          <w:rFonts w:ascii="Sakkal Majalla" w:hAnsi="Sakkal Majalla" w:cs="Sakkal Majalla"/>
          <w:color w:val="000000" w:themeColor="text1"/>
          <w:sz w:val="28"/>
          <w:szCs w:val="28"/>
        </w:rPr>
        <w:t>.</w:t>
      </w:r>
    </w:p>
    <w:p w14:paraId="4F99137B"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سياق مشاريع التشغيل والصيانة بوزارة المالية، تتشابك العوامل الداخلية والخارجية بشكل خاص، إذ تتأثّر الجاهزية بعوامل داخلية كمستوى البنية التقنية القائمة وكفاءة الكوادر ونضج العمليات، وبعوامل خارجية كالتوجيهات الحكومية نحو الرقمنة والتطوّرات في سوق مقاولي التشغيل والصيانة ومدى جاهزية المورّدين والمقاولين أنفسهم لتبنّي الأدوات الرقمية</w:t>
      </w:r>
      <w:r w:rsidRPr="00BB194B">
        <w:rPr>
          <w:rFonts w:ascii="Sakkal Majalla" w:hAnsi="Sakkal Majalla" w:cs="Sakkal Majalla"/>
          <w:color w:val="000000" w:themeColor="text1"/>
          <w:sz w:val="28"/>
          <w:szCs w:val="28"/>
        </w:rPr>
        <w:t>.</w:t>
      </w:r>
    </w:p>
    <w:p w14:paraId="487F03B3" w14:textId="6054B56E" w:rsidR="00817DAA" w:rsidRPr="00BB194B" w:rsidRDefault="00234448" w:rsidP="0023444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401198"/>
      <w:r w:rsidRPr="00BB194B">
        <w:rPr>
          <w:rFonts w:ascii="Sakkal Majalla" w:hAnsi="Sakkal Majalla" w:cs="Sakkal Majalla" w:hint="cs"/>
          <w:b/>
          <w:bCs/>
          <w:color w:val="000000" w:themeColor="text1"/>
          <w:sz w:val="32"/>
          <w:szCs w:val="32"/>
          <w:rtl/>
        </w:rPr>
        <w:t xml:space="preserve">9.2.2 </w:t>
      </w:r>
      <w:r w:rsidR="00817DAA" w:rsidRPr="00BB194B">
        <w:rPr>
          <w:rFonts w:ascii="Sakkal Majalla" w:hAnsi="Sakkal Majalla" w:cs="Sakkal Majalla"/>
          <w:b/>
          <w:bCs/>
          <w:color w:val="000000" w:themeColor="text1"/>
          <w:sz w:val="32"/>
          <w:szCs w:val="32"/>
          <w:rtl/>
        </w:rPr>
        <w:t>العلاقة بين نضج إدارة المشاريع وجاهزية التحوّل الرقمي</w:t>
      </w:r>
      <w:bookmarkEnd w:id="46"/>
    </w:p>
    <w:p w14:paraId="4BBDB3D5"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يُمثّل الربط النظري بين نضج إدارة المشاريع وجاهزية التحوّل الرقمي الأساس الذي تقوم عليه هذه الدراسة، وقد أشارت الأدبيات إلى وجود علاقة تكاملية بين المتغيّرَيْن يمكن تفسيرها من عدّة زوايا نظرية ومنهجية</w:t>
      </w:r>
      <w:r w:rsidRPr="00BB194B">
        <w:rPr>
          <w:rFonts w:ascii="Sakkal Majalla" w:hAnsi="Sakkal Majalla" w:cs="Sakkal Majalla"/>
          <w:color w:val="000000" w:themeColor="text1"/>
          <w:sz w:val="28"/>
          <w:szCs w:val="28"/>
        </w:rPr>
        <w:t>.</w:t>
      </w:r>
    </w:p>
    <w:p w14:paraId="47A8C8FF"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من الناحية المنطقية، يُوفّر النضج المؤسسي في إدارة المشاريع — بأبعاده الأربعة — الأرضية الممهّدة للتحوّل الرقمي</w:t>
      </w:r>
      <w:r w:rsidRPr="00BB194B">
        <w:rPr>
          <w:rFonts w:ascii="Sakkal Majalla" w:hAnsi="Sakkal Majalla" w:cs="Sakkal Majalla"/>
          <w:color w:val="000000" w:themeColor="text1"/>
          <w:sz w:val="28"/>
          <w:szCs w:val="28"/>
        </w:rPr>
        <w:t xml:space="preserve">: </w:t>
      </w:r>
      <w:r w:rsidRPr="00BB194B">
        <w:rPr>
          <w:rFonts w:ascii="Sakkal Majalla" w:hAnsi="Sakkal Majalla" w:cs="Sakkal Majalla"/>
          <w:color w:val="000000" w:themeColor="text1"/>
          <w:sz w:val="28"/>
          <w:szCs w:val="28"/>
          <w:rtl/>
        </w:rPr>
        <w:t xml:space="preserve">فالمنهجيات والإجراءات الموحّدة تُتيح رقمنة العمليات بسلاسة، والهيكل التنظيمي الداعم يُوفّر بيئة حاضنة لمبادرات التحوّل، والكفاءات البشرية المُتقدّمة تضمن القدرة على توظيف الأدوات الرقمية، والأدوات التقنية الناضجة تُمثّل البنية الأساسية التي يرتكز عليها التحوّل. ويُشير </w:t>
      </w:r>
      <w:proofErr w:type="spellStart"/>
      <w:r w:rsidRPr="00BB194B">
        <w:rPr>
          <w:rFonts w:ascii="Sakkal Majalla" w:hAnsi="Sakkal Majalla" w:cs="Sakkal Majalla"/>
          <w:color w:val="000000" w:themeColor="text1"/>
          <w:sz w:val="28"/>
          <w:szCs w:val="28"/>
        </w:rPr>
        <w:t>Yudianingtyas</w:t>
      </w:r>
      <w:proofErr w:type="spellEnd"/>
      <w:r w:rsidRPr="00BB194B">
        <w:rPr>
          <w:rFonts w:ascii="Sakkal Majalla" w:hAnsi="Sakkal Majalla" w:cs="Sakkal Majalla"/>
          <w:color w:val="000000" w:themeColor="text1"/>
          <w:sz w:val="28"/>
          <w:szCs w:val="28"/>
        </w:rPr>
        <w:t xml:space="preserve"> &amp; </w:t>
      </w:r>
      <w:proofErr w:type="spellStart"/>
      <w:r w:rsidRPr="00BB194B">
        <w:rPr>
          <w:rFonts w:ascii="Sakkal Majalla" w:hAnsi="Sakkal Majalla" w:cs="Sakkal Majalla"/>
          <w:color w:val="000000" w:themeColor="text1"/>
          <w:sz w:val="28"/>
          <w:szCs w:val="28"/>
        </w:rPr>
        <w:t>Purwanto</w:t>
      </w:r>
      <w:proofErr w:type="spellEnd"/>
      <w:r w:rsidRPr="00BB194B">
        <w:rPr>
          <w:rFonts w:ascii="Sakkal Majalla" w:hAnsi="Sakkal Majalla" w:cs="Sakkal Majalla"/>
          <w:color w:val="000000" w:themeColor="text1"/>
          <w:sz w:val="28"/>
          <w:szCs w:val="28"/>
        </w:rPr>
        <w:t xml:space="preserve"> (2025) </w:t>
      </w:r>
      <w:r w:rsidRPr="00BB194B">
        <w:rPr>
          <w:rFonts w:ascii="Sakkal Majalla" w:hAnsi="Sakkal Majalla" w:cs="Sakkal Majalla"/>
          <w:color w:val="000000" w:themeColor="text1"/>
          <w:sz w:val="28"/>
          <w:szCs w:val="28"/>
          <w:rtl/>
        </w:rPr>
        <w:t>إلى أنّ نضج إدارة المشاريع يُمثّل متغيّرًا وسيطًا يُعزّز فاعلية مبادرات التحوّل الرقمي واستدامتها، إذ إنّ المنظمات ذات النضج الأعلى تمتلك قدرة أكبر على تخطيط مشاريع التحوّل الرقمي وتنفيذها ومراقبتها وتقييمها بشكل منهجي</w:t>
      </w:r>
      <w:r w:rsidRPr="00BB194B">
        <w:rPr>
          <w:rFonts w:ascii="Sakkal Majalla" w:hAnsi="Sakkal Majalla" w:cs="Sakkal Majalla"/>
          <w:color w:val="000000" w:themeColor="text1"/>
          <w:sz w:val="28"/>
          <w:szCs w:val="28"/>
        </w:rPr>
        <w:t>.</w:t>
      </w:r>
    </w:p>
    <w:p w14:paraId="3133B794"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ويتّسق هذا الطرح مع ما تُبرزه</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Woźniak</w:t>
      </w:r>
      <w:proofErr w:type="spellEnd"/>
      <w:r w:rsidRPr="00BB194B">
        <w:rPr>
          <w:rFonts w:ascii="Sakkal Majalla" w:hAnsi="Sakkal Majalla" w:cs="Sakkal Majalla"/>
          <w:color w:val="000000" w:themeColor="text1"/>
          <w:sz w:val="28"/>
          <w:szCs w:val="28"/>
        </w:rPr>
        <w:t xml:space="preserve"> (2024) </w:t>
      </w:r>
      <w:r w:rsidRPr="00BB194B">
        <w:rPr>
          <w:rFonts w:ascii="Sakkal Majalla" w:hAnsi="Sakkal Majalla" w:cs="Sakkal Majalla"/>
          <w:color w:val="000000" w:themeColor="text1"/>
          <w:sz w:val="28"/>
          <w:szCs w:val="28"/>
          <w:rtl/>
        </w:rPr>
        <w:t>من أنّ ارتفاع النضج التقني وحده لا يكفي لتحقيق التحوّل الرقمي ما لم يقترن بنضج إداري مُوازٍ، ممّا يُؤكّد أنّ العلاقة ليست تقنية فحسب بل مؤسسية شاملة. كما يُشير</w:t>
      </w:r>
      <w:r w:rsidRPr="00BB194B">
        <w:rPr>
          <w:rFonts w:ascii="Sakkal Majalla" w:hAnsi="Sakkal Majalla" w:cs="Sakkal Majalla"/>
          <w:color w:val="000000" w:themeColor="text1"/>
          <w:sz w:val="28"/>
          <w:szCs w:val="28"/>
        </w:rPr>
        <w:t xml:space="preserve"> </w:t>
      </w:r>
      <w:proofErr w:type="spellStart"/>
      <w:r w:rsidRPr="00BB194B">
        <w:rPr>
          <w:rFonts w:ascii="Sakkal Majalla" w:hAnsi="Sakkal Majalla" w:cs="Sakkal Majalla"/>
          <w:color w:val="000000" w:themeColor="text1"/>
          <w:sz w:val="28"/>
          <w:szCs w:val="28"/>
        </w:rPr>
        <w:t>Fajsi</w:t>
      </w:r>
      <w:proofErr w:type="spellEnd"/>
      <w:r w:rsidRPr="00BB194B">
        <w:rPr>
          <w:rFonts w:ascii="Sakkal Majalla" w:hAnsi="Sakkal Majalla" w:cs="Sakkal Majalla"/>
          <w:color w:val="000000" w:themeColor="text1"/>
          <w:sz w:val="28"/>
          <w:szCs w:val="28"/>
        </w:rPr>
        <w:t xml:space="preserve"> et al. (2022) </w:t>
      </w:r>
      <w:r w:rsidRPr="00BB194B">
        <w:rPr>
          <w:rFonts w:ascii="Sakkal Majalla" w:hAnsi="Sakkal Majalla" w:cs="Sakkal Majalla"/>
          <w:color w:val="000000" w:themeColor="text1"/>
          <w:sz w:val="28"/>
          <w:szCs w:val="28"/>
          <w:rtl/>
        </w:rPr>
        <w:t xml:space="preserve">إلى أنّ نضج إدارة المشاريع يرتبط بالتميّز المؤسسي الذي </w:t>
      </w:r>
      <w:r w:rsidRPr="00BB194B">
        <w:rPr>
          <w:rFonts w:ascii="Sakkal Majalla" w:hAnsi="Sakkal Majalla" w:cs="Sakkal Majalla"/>
          <w:color w:val="000000" w:themeColor="text1"/>
          <w:sz w:val="28"/>
          <w:szCs w:val="28"/>
          <w:rtl/>
        </w:rPr>
        <w:lastRenderedPageBreak/>
        <w:t>يُعدّ بدوره ممكّنًا للجاهزية الرقمية، وإن لم يكن الارتباط بالضرورة مباشرًا بل قد يتوسّطه عوامل ثقافية وتنظيمية</w:t>
      </w:r>
      <w:r w:rsidRPr="00BB194B">
        <w:rPr>
          <w:rFonts w:ascii="Sakkal Majalla" w:hAnsi="Sakkal Majalla" w:cs="Sakkal Majalla"/>
          <w:color w:val="000000" w:themeColor="text1"/>
          <w:sz w:val="28"/>
          <w:szCs w:val="28"/>
        </w:rPr>
        <w:t>.</w:t>
      </w:r>
    </w:p>
    <w:p w14:paraId="2816738C"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ويُقدّم</w:t>
      </w:r>
      <w:r w:rsidRPr="00BB194B">
        <w:rPr>
          <w:rFonts w:ascii="Sakkal Majalla" w:hAnsi="Sakkal Majalla" w:cs="Sakkal Majalla"/>
          <w:color w:val="000000" w:themeColor="text1"/>
          <w:sz w:val="28"/>
          <w:szCs w:val="28"/>
        </w:rPr>
        <w:t xml:space="preserve"> Al-</w:t>
      </w:r>
      <w:proofErr w:type="spellStart"/>
      <w:r w:rsidRPr="00BB194B">
        <w:rPr>
          <w:rFonts w:ascii="Sakkal Majalla" w:hAnsi="Sakkal Majalla" w:cs="Sakkal Majalla"/>
          <w:color w:val="000000" w:themeColor="text1"/>
          <w:sz w:val="28"/>
          <w:szCs w:val="28"/>
        </w:rPr>
        <w:t>Marri</w:t>
      </w:r>
      <w:proofErr w:type="spellEnd"/>
      <w:r w:rsidRPr="00BB194B">
        <w:rPr>
          <w:rFonts w:ascii="Sakkal Majalla" w:hAnsi="Sakkal Majalla" w:cs="Sakkal Majalla"/>
          <w:color w:val="000000" w:themeColor="text1"/>
          <w:sz w:val="28"/>
          <w:szCs w:val="28"/>
        </w:rPr>
        <w:t xml:space="preserve"> et al. (2025) </w:t>
      </w:r>
      <w:r w:rsidRPr="00BB194B">
        <w:rPr>
          <w:rFonts w:ascii="Sakkal Majalla" w:hAnsi="Sakkal Majalla" w:cs="Sakkal Majalla"/>
          <w:color w:val="000000" w:themeColor="text1"/>
          <w:sz w:val="28"/>
          <w:szCs w:val="28"/>
          <w:rtl/>
        </w:rPr>
        <w:t xml:space="preserve">إسهامًا نظريًّا يربط بين نضج إدارة المشاريع واستدامة المنظمة، والتي تتضمّن — في السياق المعاصر — القدرة على التكيّف مع التحوّلات الرقمية. كما يربط </w:t>
      </w:r>
      <w:r w:rsidRPr="00BB194B">
        <w:rPr>
          <w:rFonts w:ascii="Sakkal Majalla" w:hAnsi="Sakkal Majalla" w:cs="Sakkal Majalla"/>
          <w:color w:val="000000" w:themeColor="text1"/>
          <w:sz w:val="28"/>
          <w:szCs w:val="28"/>
        </w:rPr>
        <w:t xml:space="preserve">Machado et al. (2023) </w:t>
      </w:r>
      <w:r w:rsidRPr="00BB194B">
        <w:rPr>
          <w:rFonts w:ascii="Sakkal Majalla" w:hAnsi="Sakkal Majalla" w:cs="Sakkal Majalla"/>
          <w:color w:val="000000" w:themeColor="text1"/>
          <w:sz w:val="28"/>
          <w:szCs w:val="28"/>
          <w:rtl/>
        </w:rPr>
        <w:t>بين النضج والسياق التشغيلي للمنظمة، مؤكّدًا أنّ ملاءمة نموذج النضج للسياق المحلي يُعدّ شرطًا لفاعليته في دعم أيّ مبادرة تطويرية بما في ذلك التحوّل الرقمي</w:t>
      </w:r>
      <w:r w:rsidRPr="00BB194B">
        <w:rPr>
          <w:rFonts w:ascii="Sakkal Majalla" w:hAnsi="Sakkal Majalla" w:cs="Sakkal Majalla"/>
          <w:color w:val="000000" w:themeColor="text1"/>
          <w:sz w:val="28"/>
          <w:szCs w:val="28"/>
        </w:rPr>
        <w:t>.</w:t>
      </w:r>
    </w:p>
    <w:p w14:paraId="005B7FFB" w14:textId="77777777" w:rsidR="00817DAA" w:rsidRPr="00BB194B" w:rsidRDefault="00817DAA" w:rsidP="002344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194B">
        <w:rPr>
          <w:rFonts w:ascii="Sakkal Majalla" w:hAnsi="Sakkal Majalla" w:cs="Sakkal Majalla"/>
          <w:color w:val="000000" w:themeColor="text1"/>
          <w:sz w:val="28"/>
          <w:szCs w:val="28"/>
          <w:rtl/>
        </w:rPr>
        <w:t>وفي سياق مشاريع التشغيل والصيانة بوزارة المالية، يُفترض أنّ ارتفاع مستوى نضج إدارة المشاريع — من حيث توحيد المنهجيات، وفاعلية الهيكل التنظيمي والدعم القيادي، وكفاءة الكوادر البشرية، وتطوّر الأدوات التقنية — يُسهم إسهامًا إيجابيًّا في رفع مستوى جاهزية هذه المشاريع للتحوّل الرقمي بأبعاده الاستراتيجية والتنظيمية والبشرية والتقنية. وهذا ما تسعى الدراسة الحالية إلى التحقّق منه ميدانيًّا</w:t>
      </w:r>
      <w:r w:rsidRPr="00BB194B">
        <w:rPr>
          <w:rFonts w:ascii="Sakkal Majalla" w:hAnsi="Sakkal Majalla" w:cs="Sakkal Majalla"/>
          <w:color w:val="000000" w:themeColor="text1"/>
          <w:sz w:val="28"/>
          <w:szCs w:val="28"/>
        </w:rPr>
        <w:t>.</w:t>
      </w:r>
    </w:p>
    <w:p w14:paraId="7F8A1E94" w14:textId="7438701E" w:rsidR="00D715D2" w:rsidRPr="00BB194B" w:rsidRDefault="00234448" w:rsidP="007D55B5">
      <w:pPr>
        <w:spacing w:before="100" w:beforeAutospacing="1" w:after="100" w:afterAutospacing="1"/>
        <w:jc w:val="center"/>
        <w:outlineLvl w:val="0"/>
        <w:rPr>
          <w:rFonts w:cs="Sakkal Majalla"/>
          <w:b/>
          <w:bCs/>
          <w:color w:val="000000" w:themeColor="text1"/>
          <w:sz w:val="24"/>
          <w:szCs w:val="32"/>
          <w:rtl/>
        </w:rPr>
        <w:sectPr w:rsidR="00D715D2" w:rsidRPr="00BB194B" w:rsidSect="00F76E6C">
          <w:footerReference w:type="default" r:id="rId9"/>
          <w:pgSz w:w="11906" w:h="16838" w:code="9"/>
          <w:pgMar w:top="1440" w:right="1985" w:bottom="1440" w:left="1418" w:header="720" w:footer="720" w:gutter="567"/>
          <w:pgNumType w:start="1"/>
          <w:cols w:space="708"/>
          <w:bidi/>
          <w:rtlGutter/>
          <w:docGrid w:linePitch="360"/>
        </w:sectPr>
      </w:pPr>
      <w:r w:rsidRPr="00BB194B">
        <w:rPr>
          <w:rFonts w:ascii="Sakkal Majalla" w:hAnsi="Sakkal Majalla" w:cs="Sakkal Majalla"/>
          <w:b/>
          <w:bCs/>
          <w:color w:val="000000" w:themeColor="text1"/>
          <w:sz w:val="40"/>
          <w:szCs w:val="40"/>
          <w:rtl/>
        </w:rPr>
        <w:br w:type="page"/>
      </w:r>
    </w:p>
    <w:p w14:paraId="29D4231B" w14:textId="12A9E691" w:rsidR="0081623B" w:rsidRPr="00BB194B" w:rsidRDefault="0081623B" w:rsidP="00F76E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B194B">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006DBD9">
            <wp:simplePos x="0" y="0"/>
            <wp:positionH relativeFrom="column">
              <wp:posOffset>3481070</wp:posOffset>
            </wp:positionH>
            <wp:positionV relativeFrom="paragraph">
              <wp:posOffset>0</wp:posOffset>
            </wp:positionV>
            <wp:extent cx="1727835" cy="1600200"/>
            <wp:effectExtent l="0" t="0" r="5715" b="0"/>
            <wp:wrapTight wrapText="bothSides">
              <wp:wrapPolygon edited="0">
                <wp:start x="0" y="0"/>
                <wp:lineTo x="0" y="21343"/>
                <wp:lineTo x="21433" y="21343"/>
                <wp:lineTo x="2143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7835" cy="1600200"/>
                    </a:xfrm>
                    <a:prstGeom prst="rect">
                      <a:avLst/>
                    </a:prstGeom>
                    <a:noFill/>
                  </pic:spPr>
                </pic:pic>
              </a:graphicData>
            </a:graphic>
            <wp14:sizeRelH relativeFrom="margin">
              <wp14:pctWidth>0</wp14:pctWidth>
            </wp14:sizeRelH>
            <wp14:sizeRelV relativeFrom="margin">
              <wp14:pctHeight>0</wp14:pctHeight>
            </wp14:sizeRelV>
          </wp:anchor>
        </w:drawing>
      </w:r>
      <w:r w:rsidRPr="00BB194B">
        <w:rPr>
          <w:rFonts w:ascii="Sakkal Majalla" w:eastAsia="Calibri" w:hAnsi="Sakkal Majalla" w:cs="Sakkal Majalla"/>
          <w:b/>
          <w:bCs/>
          <w:color w:val="000000" w:themeColor="text1"/>
          <w:kern w:val="0"/>
          <w:sz w:val="32"/>
          <w:szCs w:val="32"/>
          <w:lang w:bidi="ar-EG"/>
          <w14:ligatures w14:val="none"/>
        </w:rPr>
        <w:t>Mid</w:t>
      </w:r>
      <w:r w:rsidR="000D353F" w:rsidRPr="00BB194B">
        <w:rPr>
          <w:rFonts w:ascii="Sakkal Majalla" w:eastAsia="Calibri" w:hAnsi="Sakkal Majalla" w:cs="Sakkal Majalla"/>
          <w:b/>
          <w:bCs/>
          <w:color w:val="000000" w:themeColor="text1"/>
          <w:kern w:val="0"/>
          <w:sz w:val="32"/>
          <w:szCs w:val="32"/>
          <w:lang w:bidi="ar-EG"/>
          <w14:ligatures w14:val="none"/>
        </w:rPr>
        <w:t xml:space="preserve"> </w:t>
      </w:r>
      <w:r w:rsidRPr="00BB194B">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BB194B" w:rsidRDefault="0081623B" w:rsidP="00F76E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B194B">
        <w:rPr>
          <w:rFonts w:ascii="Sakkal Majalla" w:eastAsia="Calibri" w:hAnsi="Sakkal Majalla" w:cs="Sakkal Majalla"/>
          <w:b/>
          <w:bCs/>
          <w:color w:val="000000" w:themeColor="text1"/>
          <w:kern w:val="0"/>
          <w:sz w:val="32"/>
          <w:szCs w:val="32"/>
          <w:lang w:bidi="ar-EG"/>
          <w14:ligatures w14:val="none"/>
        </w:rPr>
        <w:t>College of Management</w:t>
      </w:r>
    </w:p>
    <w:p w14:paraId="17372067" w14:textId="73F00E9C" w:rsidR="00534DA5" w:rsidRPr="00BB194B" w:rsidRDefault="00295BBE" w:rsidP="00D715D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BB194B">
        <w:rPr>
          <w:rFonts w:ascii="Sakkal Majalla" w:eastAsia="Calibri" w:hAnsi="Sakkal Majalla" w:cs="Sakkal Majalla"/>
          <w:b/>
          <w:bCs/>
          <w:color w:val="000000" w:themeColor="text1"/>
          <w:kern w:val="0"/>
          <w:sz w:val="32"/>
          <w:szCs w:val="32"/>
          <w:lang w:bidi="ar-EG"/>
          <w14:ligatures w14:val="none"/>
        </w:rPr>
        <w:t xml:space="preserve">Master of </w:t>
      </w:r>
      <w:r w:rsidR="0050030C" w:rsidRPr="00BB194B">
        <w:rPr>
          <w:rFonts w:ascii="Sakkal Majalla" w:eastAsia="Calibri" w:hAnsi="Sakkal Majalla" w:cs="Sakkal Majalla"/>
          <w:b/>
          <w:bCs/>
          <w:color w:val="000000" w:themeColor="text1"/>
          <w:kern w:val="0"/>
          <w:sz w:val="32"/>
          <w:szCs w:val="32"/>
          <w14:ligatures w14:val="none"/>
        </w:rPr>
        <w:t>project</w:t>
      </w:r>
      <w:r w:rsidR="00125FC8" w:rsidRPr="00BB194B">
        <w:rPr>
          <w:rFonts w:ascii="Sakkal Majalla" w:eastAsia="Calibri" w:hAnsi="Sakkal Majalla" w:cs="Sakkal Majalla"/>
          <w:b/>
          <w:bCs/>
          <w:color w:val="000000" w:themeColor="text1"/>
          <w:kern w:val="0"/>
          <w:sz w:val="32"/>
          <w:szCs w:val="32"/>
          <w14:ligatures w14:val="none"/>
        </w:rPr>
        <w:t xml:space="preserve"> management </w:t>
      </w:r>
    </w:p>
    <w:p w14:paraId="68A4DDE0" w14:textId="77777777" w:rsidR="0050030C" w:rsidRPr="00BB194B" w:rsidRDefault="0050030C" w:rsidP="00D715D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BB194B">
        <w:rPr>
          <w:rFonts w:ascii="Sakkal Majalla" w:eastAsia="Calibri" w:hAnsi="Sakkal Majalla" w:cs="Sakkal Majalla"/>
          <w:b/>
          <w:bCs/>
          <w:color w:val="000000" w:themeColor="text1"/>
          <w:kern w:val="0"/>
          <w:sz w:val="40"/>
          <w:szCs w:val="40"/>
          <w:lang w:bidi="ar-EG"/>
          <w14:ligatures w14:val="none"/>
        </w:rPr>
        <w:t>The relationship between Project Management Maturity and the level of readiness of operation and maintenance projects for digital transformation in the Ministry of Finance</w:t>
      </w:r>
    </w:p>
    <w:p w14:paraId="24532F5F" w14:textId="3ED0BB0E" w:rsidR="000D353F" w:rsidRPr="00BB194B" w:rsidRDefault="000D353F" w:rsidP="00D715D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B194B">
        <w:rPr>
          <w:rFonts w:ascii="Sakkal Majalla" w:eastAsia="Calibri" w:hAnsi="Sakkal Majalla" w:cs="Sakkal Majalla"/>
          <w:b/>
          <w:bCs/>
          <w:color w:val="000000" w:themeColor="text1"/>
          <w:kern w:val="0"/>
          <w:sz w:val="36"/>
          <w:szCs w:val="36"/>
          <w:lang w:bidi="ar-EG"/>
          <w14:ligatures w14:val="none"/>
        </w:rPr>
        <w:t>Prepared by:</w:t>
      </w:r>
    </w:p>
    <w:p w14:paraId="0D8EB8A6" w14:textId="77777777" w:rsidR="0050030C" w:rsidRPr="00BB194B" w:rsidRDefault="0050030C" w:rsidP="00D715D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B194B">
        <w:rPr>
          <w:rFonts w:ascii="Sakkal Majalla" w:eastAsia="Calibri" w:hAnsi="Sakkal Majalla" w:cs="Sakkal Majalla"/>
          <w:color w:val="000000" w:themeColor="text1"/>
          <w:kern w:val="0"/>
          <w:sz w:val="36"/>
          <w:szCs w:val="36"/>
          <w:lang w:bidi="ar-EG"/>
          <w14:ligatures w14:val="none"/>
        </w:rPr>
        <w:t>Hussain Ahmed Hussain Alzhrani</w:t>
      </w:r>
    </w:p>
    <w:p w14:paraId="179290D9" w14:textId="68975BE7" w:rsidR="00125FC8" w:rsidRPr="00BB194B" w:rsidRDefault="0050030C" w:rsidP="00D715D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B194B">
        <w:rPr>
          <w:rFonts w:ascii="Sakkal Majalla" w:eastAsia="Calibri" w:hAnsi="Sakkal Majalla" w:cs="Sakkal Majalla"/>
          <w:color w:val="000000" w:themeColor="text1"/>
          <w:kern w:val="0"/>
          <w:sz w:val="36"/>
          <w:szCs w:val="36"/>
          <w:lang w:bidi="ar-EG"/>
          <w14:ligatures w14:val="none"/>
        </w:rPr>
        <w:t>252001485</w:t>
      </w:r>
    </w:p>
    <w:p w14:paraId="11FA3077" w14:textId="1A144B1E" w:rsidR="0081623B" w:rsidRPr="00BB194B" w:rsidRDefault="0081623B" w:rsidP="00D715D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B194B">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BB194B" w:rsidRDefault="00BA5817" w:rsidP="00D715D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B194B">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BB194B" w:rsidRDefault="000A06E6" w:rsidP="00D715D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B194B">
        <w:rPr>
          <w:rFonts w:ascii="Sakkal Majalla" w:eastAsia="Calibri" w:hAnsi="Sakkal Majalla" w:cs="Sakkal Majalla"/>
          <w:color w:val="000000" w:themeColor="text1"/>
          <w:kern w:val="0"/>
          <w:sz w:val="36"/>
          <w:szCs w:val="36"/>
          <w:lang w:bidi="ar-EG"/>
          <w14:ligatures w14:val="none"/>
        </w:rPr>
        <w:t>Dr. Fayez</w:t>
      </w:r>
      <w:bookmarkStart w:id="47" w:name="_GoBack"/>
      <w:bookmarkEnd w:id="47"/>
      <w:r w:rsidRPr="00BB194B">
        <w:rPr>
          <w:rFonts w:ascii="Sakkal Majalla" w:eastAsia="Calibri" w:hAnsi="Sakkal Majalla" w:cs="Sakkal Majalla"/>
          <w:color w:val="000000" w:themeColor="text1"/>
          <w:kern w:val="0"/>
          <w:sz w:val="36"/>
          <w:szCs w:val="36"/>
          <w:lang w:bidi="ar-EG"/>
          <w14:ligatures w14:val="none"/>
        </w:rPr>
        <w:t xml:space="preserve"> Jarad</w:t>
      </w:r>
    </w:p>
    <w:p w14:paraId="6E52896B" w14:textId="3FBC9CB8" w:rsidR="009125CE" w:rsidRPr="00BB194B" w:rsidRDefault="00D715D2" w:rsidP="00D715D2">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BB194B">
        <w:rPr>
          <w:rFonts w:ascii="Sakkal Majalla" w:eastAsia="Calibri" w:hAnsi="Sakkal Majalla" w:cs="Sakkal Majalla" w:hint="cs"/>
          <w:color w:val="000000" w:themeColor="text1"/>
          <w:kern w:val="0"/>
          <w:sz w:val="36"/>
          <w:szCs w:val="36"/>
          <w:rtl/>
          <w:lang w:bidi="ar-EG"/>
          <w14:ligatures w14:val="none"/>
        </w:rPr>
        <w:t xml:space="preserve">1447 </w:t>
      </w:r>
      <w:r w:rsidRPr="00BB194B">
        <w:rPr>
          <w:rFonts w:ascii="Sakkal Majalla" w:eastAsia="Calibri" w:hAnsi="Sakkal Majalla" w:cs="Sakkal Majalla"/>
          <w:color w:val="000000" w:themeColor="text1"/>
          <w:kern w:val="0"/>
          <w:sz w:val="36"/>
          <w:szCs w:val="36"/>
          <w:rtl/>
          <w:lang w:bidi="ar-EG"/>
          <w14:ligatures w14:val="none"/>
        </w:rPr>
        <w:t>–</w:t>
      </w:r>
      <w:r w:rsidRPr="00BB194B">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BB194B" w:rsidSect="00F76E6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064D27" w14:textId="77777777" w:rsidR="00D93D67" w:rsidRDefault="00D93D67" w:rsidP="009125CE">
      <w:pPr>
        <w:spacing w:after="0" w:line="240" w:lineRule="auto"/>
      </w:pPr>
      <w:r>
        <w:separator/>
      </w:r>
    </w:p>
  </w:endnote>
  <w:endnote w:type="continuationSeparator" w:id="0">
    <w:p w14:paraId="3CBCE636" w14:textId="77777777" w:rsidR="00D93D67" w:rsidRDefault="00D93D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8074233"/>
      <w:docPartObj>
        <w:docPartGallery w:val="Page Numbers (Bottom of Page)"/>
        <w:docPartUnique/>
      </w:docPartObj>
    </w:sdtPr>
    <w:sdtContent>
      <w:p w14:paraId="67F54CB4" w14:textId="77777777" w:rsidR="00D715D2" w:rsidRDefault="00D715D2">
        <w:pPr>
          <w:pStyle w:val="Footer"/>
        </w:pPr>
        <w:r>
          <w:rPr>
            <w:noProof/>
          </w:rPr>
          <mc:AlternateContent>
            <mc:Choice Requires="wps">
              <w:drawing>
                <wp:anchor distT="0" distB="0" distL="114300" distR="114300" simplePos="0" relativeHeight="251666432" behindDoc="0" locked="0" layoutInCell="1" allowOverlap="1" wp14:anchorId="488C7812" wp14:editId="4FE72CD8">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F0C5A6A" w14:textId="77777777" w:rsidR="00D715D2" w:rsidRPr="00F76E6C" w:rsidRDefault="00D715D2">
                              <w:pPr>
                                <w:jc w:val="center"/>
                                <w:rPr>
                                  <w:rFonts w:ascii="Sakkal Majalla" w:hAnsi="Sakkal Majalla" w:cs="Sakkal Majalla"/>
                                  <w:b/>
                                  <w:bCs/>
                                  <w:sz w:val="24"/>
                                  <w:szCs w:val="24"/>
                                </w:rPr>
                              </w:pPr>
                              <w:r w:rsidRPr="00F76E6C">
                                <w:rPr>
                                  <w:rFonts w:ascii="Sakkal Majalla" w:hAnsi="Sakkal Majalla" w:cs="Sakkal Majalla"/>
                                  <w:b/>
                                  <w:bCs/>
                                  <w:sz w:val="24"/>
                                  <w:szCs w:val="24"/>
                                </w:rPr>
                                <w:fldChar w:fldCharType="begin"/>
                              </w:r>
                              <w:r w:rsidRPr="00F76E6C">
                                <w:rPr>
                                  <w:rFonts w:ascii="Sakkal Majalla" w:hAnsi="Sakkal Majalla" w:cs="Sakkal Majalla"/>
                                  <w:b/>
                                  <w:bCs/>
                                  <w:sz w:val="24"/>
                                  <w:szCs w:val="24"/>
                                </w:rPr>
                                <w:instrText xml:space="preserve"> PAGE    \* MERGEFORMAT </w:instrText>
                              </w:r>
                              <w:r w:rsidRPr="00F76E6C">
                                <w:rPr>
                                  <w:rFonts w:ascii="Sakkal Majalla" w:hAnsi="Sakkal Majalla" w:cs="Sakkal Majalla"/>
                                  <w:b/>
                                  <w:bCs/>
                                  <w:sz w:val="24"/>
                                  <w:szCs w:val="24"/>
                                </w:rPr>
                                <w:fldChar w:fldCharType="separate"/>
                              </w:r>
                              <w:r w:rsidR="007D55B5">
                                <w:rPr>
                                  <w:rFonts w:ascii="Sakkal Majalla" w:hAnsi="Sakkal Majalla" w:cs="Sakkal Majalla"/>
                                  <w:b/>
                                  <w:bCs/>
                                  <w:noProof/>
                                  <w:sz w:val="24"/>
                                  <w:szCs w:val="24"/>
                                  <w:rtl/>
                                </w:rPr>
                                <w:t>50</w:t>
                              </w:r>
                              <w:r w:rsidRPr="00F76E6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88C781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0F0C5A6A" w14:textId="77777777" w:rsidR="00D715D2" w:rsidRPr="00F76E6C" w:rsidRDefault="00D715D2">
                        <w:pPr>
                          <w:jc w:val="center"/>
                          <w:rPr>
                            <w:rFonts w:ascii="Sakkal Majalla" w:hAnsi="Sakkal Majalla" w:cs="Sakkal Majalla"/>
                            <w:b/>
                            <w:bCs/>
                            <w:sz w:val="24"/>
                            <w:szCs w:val="24"/>
                          </w:rPr>
                        </w:pPr>
                        <w:r w:rsidRPr="00F76E6C">
                          <w:rPr>
                            <w:rFonts w:ascii="Sakkal Majalla" w:hAnsi="Sakkal Majalla" w:cs="Sakkal Majalla"/>
                            <w:b/>
                            <w:bCs/>
                            <w:sz w:val="24"/>
                            <w:szCs w:val="24"/>
                          </w:rPr>
                          <w:fldChar w:fldCharType="begin"/>
                        </w:r>
                        <w:r w:rsidRPr="00F76E6C">
                          <w:rPr>
                            <w:rFonts w:ascii="Sakkal Majalla" w:hAnsi="Sakkal Majalla" w:cs="Sakkal Majalla"/>
                            <w:b/>
                            <w:bCs/>
                            <w:sz w:val="24"/>
                            <w:szCs w:val="24"/>
                          </w:rPr>
                          <w:instrText xml:space="preserve"> PAGE    \* MERGEFORMAT </w:instrText>
                        </w:r>
                        <w:r w:rsidRPr="00F76E6C">
                          <w:rPr>
                            <w:rFonts w:ascii="Sakkal Majalla" w:hAnsi="Sakkal Majalla" w:cs="Sakkal Majalla"/>
                            <w:b/>
                            <w:bCs/>
                            <w:sz w:val="24"/>
                            <w:szCs w:val="24"/>
                          </w:rPr>
                          <w:fldChar w:fldCharType="separate"/>
                        </w:r>
                        <w:r w:rsidR="007D55B5">
                          <w:rPr>
                            <w:rFonts w:ascii="Sakkal Majalla" w:hAnsi="Sakkal Majalla" w:cs="Sakkal Majalla"/>
                            <w:b/>
                            <w:bCs/>
                            <w:noProof/>
                            <w:sz w:val="24"/>
                            <w:szCs w:val="24"/>
                            <w:rtl/>
                          </w:rPr>
                          <w:t>50</w:t>
                        </w:r>
                        <w:r w:rsidRPr="00F76E6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2B0404B" wp14:editId="6E9F77AD">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03A7F67"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C81A1" w14:textId="1AAE9DDD" w:rsidR="00D715D2" w:rsidRDefault="00D715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0F542" w14:textId="77777777" w:rsidR="00D93D67" w:rsidRDefault="00D93D67" w:rsidP="009125CE">
      <w:pPr>
        <w:spacing w:after="0" w:line="240" w:lineRule="auto"/>
      </w:pPr>
      <w:r>
        <w:separator/>
      </w:r>
    </w:p>
  </w:footnote>
  <w:footnote w:type="continuationSeparator" w:id="0">
    <w:p w14:paraId="0551E11F" w14:textId="77777777" w:rsidR="00D93D67" w:rsidRDefault="00D93D6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E310F"/>
    <w:multiLevelType w:val="hybridMultilevel"/>
    <w:tmpl w:val="892276C8"/>
    <w:lvl w:ilvl="0" w:tplc="06B83980">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
    <w:nsid w:val="05C6254F"/>
    <w:multiLevelType w:val="hybridMultilevel"/>
    <w:tmpl w:val="029C6544"/>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
    <w:nsid w:val="061873FF"/>
    <w:multiLevelType w:val="multilevel"/>
    <w:tmpl w:val="82662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8F5610"/>
    <w:multiLevelType w:val="hybridMultilevel"/>
    <w:tmpl w:val="DBFAC51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55F71"/>
    <w:multiLevelType w:val="hybridMultilevel"/>
    <w:tmpl w:val="7AF8EBB6"/>
    <w:lvl w:ilvl="0" w:tplc="06B83980">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4379D2"/>
    <w:multiLevelType w:val="hybridMultilevel"/>
    <w:tmpl w:val="8C980B18"/>
    <w:lvl w:ilvl="0" w:tplc="A42E0E12">
      <w:start w:val="1"/>
      <w:numFmt w:val="decimal"/>
      <w:lvlText w:val="%1-"/>
      <w:lvlJc w:val="left"/>
      <w:pPr>
        <w:ind w:left="1464" w:hanging="360"/>
      </w:pPr>
      <w:rPr>
        <w:rFonts w:hint="default"/>
      </w:r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7">
    <w:nsid w:val="2A177A83"/>
    <w:multiLevelType w:val="hybridMultilevel"/>
    <w:tmpl w:val="738C5CC2"/>
    <w:lvl w:ilvl="0" w:tplc="06B83980">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8">
    <w:nsid w:val="2B3556E0"/>
    <w:multiLevelType w:val="hybridMultilevel"/>
    <w:tmpl w:val="39EA4EB6"/>
    <w:lvl w:ilvl="0" w:tplc="EFB8F0D6">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315D90"/>
    <w:multiLevelType w:val="hybridMultilevel"/>
    <w:tmpl w:val="6010B2D0"/>
    <w:lvl w:ilvl="0" w:tplc="A42E0E12">
      <w:start w:val="1"/>
      <w:numFmt w:val="decimal"/>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
    <w:nsid w:val="3A2029B6"/>
    <w:multiLevelType w:val="hybridMultilevel"/>
    <w:tmpl w:val="B622AFD6"/>
    <w:lvl w:ilvl="0" w:tplc="A42E0E12">
      <w:start w:val="1"/>
      <w:numFmt w:val="decimal"/>
      <w:lvlText w:val="%1-"/>
      <w:lvlJc w:val="left"/>
      <w:pPr>
        <w:ind w:left="142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2">
    <w:nsid w:val="3A46545E"/>
    <w:multiLevelType w:val="hybridMultilevel"/>
    <w:tmpl w:val="CAE416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41B0D41"/>
    <w:multiLevelType w:val="hybridMultilevel"/>
    <w:tmpl w:val="E08279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9B3AF8"/>
    <w:multiLevelType w:val="hybridMultilevel"/>
    <w:tmpl w:val="FBB4AB48"/>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6">
    <w:nsid w:val="5D9E4137"/>
    <w:multiLevelType w:val="hybridMultilevel"/>
    <w:tmpl w:val="1FE26892"/>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7">
    <w:nsid w:val="61BB06BB"/>
    <w:multiLevelType w:val="hybridMultilevel"/>
    <w:tmpl w:val="A67C4E04"/>
    <w:lvl w:ilvl="0" w:tplc="A42E0E12">
      <w:start w:val="1"/>
      <w:numFmt w:val="decimal"/>
      <w:lvlText w:val="%1-"/>
      <w:lvlJc w:val="left"/>
      <w:pPr>
        <w:ind w:left="1464" w:hanging="360"/>
      </w:pPr>
      <w:rPr>
        <w:rFonts w:hint="default"/>
      </w:r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8">
    <w:nsid w:val="62411216"/>
    <w:multiLevelType w:val="hybridMultilevel"/>
    <w:tmpl w:val="11AC51FA"/>
    <w:lvl w:ilvl="0" w:tplc="06B8398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36123C"/>
    <w:multiLevelType w:val="hybridMultilevel"/>
    <w:tmpl w:val="642C6128"/>
    <w:lvl w:ilvl="0" w:tplc="06B83980">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0">
    <w:nsid w:val="6FF3126F"/>
    <w:multiLevelType w:val="multilevel"/>
    <w:tmpl w:val="D2AE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64761DD"/>
    <w:multiLevelType w:val="hybridMultilevel"/>
    <w:tmpl w:val="5DEC7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4"/>
  </w:num>
  <w:num w:numId="3">
    <w:abstractNumId w:val="5"/>
  </w:num>
  <w:num w:numId="4">
    <w:abstractNumId w:val="22"/>
  </w:num>
  <w:num w:numId="5">
    <w:abstractNumId w:val="20"/>
  </w:num>
  <w:num w:numId="6">
    <w:abstractNumId w:val="2"/>
  </w:num>
  <w:num w:numId="7">
    <w:abstractNumId w:val="21"/>
  </w:num>
  <w:num w:numId="8">
    <w:abstractNumId w:val="18"/>
  </w:num>
  <w:num w:numId="9">
    <w:abstractNumId w:val="12"/>
  </w:num>
  <w:num w:numId="10">
    <w:abstractNumId w:val="8"/>
  </w:num>
  <w:num w:numId="11">
    <w:abstractNumId w:val="13"/>
  </w:num>
  <w:num w:numId="12">
    <w:abstractNumId w:val="3"/>
  </w:num>
  <w:num w:numId="13">
    <w:abstractNumId w:val="11"/>
  </w:num>
  <w:num w:numId="14">
    <w:abstractNumId w:val="6"/>
  </w:num>
  <w:num w:numId="15">
    <w:abstractNumId w:val="4"/>
  </w:num>
  <w:num w:numId="16">
    <w:abstractNumId w:val="7"/>
  </w:num>
  <w:num w:numId="17">
    <w:abstractNumId w:val="0"/>
  </w:num>
  <w:num w:numId="18">
    <w:abstractNumId w:val="10"/>
  </w:num>
  <w:num w:numId="19">
    <w:abstractNumId w:val="17"/>
  </w:num>
  <w:num w:numId="20">
    <w:abstractNumId w:val="19"/>
  </w:num>
  <w:num w:numId="21">
    <w:abstractNumId w:val="16"/>
  </w:num>
  <w:num w:numId="22">
    <w:abstractNumId w:val="1"/>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239B"/>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48"/>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5D33"/>
    <w:rsid w:val="005F7706"/>
    <w:rsid w:val="006020A6"/>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501C6"/>
    <w:rsid w:val="0075065B"/>
    <w:rsid w:val="007526FA"/>
    <w:rsid w:val="0075485F"/>
    <w:rsid w:val="00754DB9"/>
    <w:rsid w:val="00755053"/>
    <w:rsid w:val="00756A6F"/>
    <w:rsid w:val="00757802"/>
    <w:rsid w:val="00760A35"/>
    <w:rsid w:val="00766D40"/>
    <w:rsid w:val="007739B3"/>
    <w:rsid w:val="007753A5"/>
    <w:rsid w:val="00775634"/>
    <w:rsid w:val="00780E8F"/>
    <w:rsid w:val="0078108B"/>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D55B5"/>
    <w:rsid w:val="007E0AD8"/>
    <w:rsid w:val="007E1EBB"/>
    <w:rsid w:val="007E2164"/>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17DAA"/>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579B2"/>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704E"/>
    <w:rsid w:val="008A0A06"/>
    <w:rsid w:val="008A2196"/>
    <w:rsid w:val="008A248D"/>
    <w:rsid w:val="008A425D"/>
    <w:rsid w:val="008A4F17"/>
    <w:rsid w:val="008A6CE7"/>
    <w:rsid w:val="008B0662"/>
    <w:rsid w:val="008B2333"/>
    <w:rsid w:val="008B3965"/>
    <w:rsid w:val="008B41AE"/>
    <w:rsid w:val="008B6680"/>
    <w:rsid w:val="008B6EE6"/>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194B"/>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4BA"/>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715D2"/>
    <w:rsid w:val="00D7196E"/>
    <w:rsid w:val="00D76CFA"/>
    <w:rsid w:val="00D7719C"/>
    <w:rsid w:val="00D81039"/>
    <w:rsid w:val="00D826E8"/>
    <w:rsid w:val="00D82A72"/>
    <w:rsid w:val="00D92BC0"/>
    <w:rsid w:val="00D92F77"/>
    <w:rsid w:val="00D93D67"/>
    <w:rsid w:val="00D965B5"/>
    <w:rsid w:val="00DA0EBA"/>
    <w:rsid w:val="00DA1C1B"/>
    <w:rsid w:val="00DA3C05"/>
    <w:rsid w:val="00DA4EAA"/>
    <w:rsid w:val="00DB1F25"/>
    <w:rsid w:val="00DB43B3"/>
    <w:rsid w:val="00DC10F4"/>
    <w:rsid w:val="00DC40DA"/>
    <w:rsid w:val="00DC6851"/>
    <w:rsid w:val="00DC7F13"/>
    <w:rsid w:val="00DD0457"/>
    <w:rsid w:val="00DD05A9"/>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4091"/>
    <w:rsid w:val="00F75CCD"/>
    <w:rsid w:val="00F76E6C"/>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817D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6">
    <w:name w:val="Grid Table 1 Light Accent 6"/>
    <w:basedOn w:val="TableNormal"/>
    <w:uiPriority w:val="46"/>
    <w:rsid w:val="00F76E6C"/>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F7409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D715D2"/>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388134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1729787">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2979839">
      <w:bodyDiv w:val="1"/>
      <w:marLeft w:val="0"/>
      <w:marRight w:val="0"/>
      <w:marTop w:val="0"/>
      <w:marBottom w:val="0"/>
      <w:divBdr>
        <w:top w:val="none" w:sz="0" w:space="0" w:color="auto"/>
        <w:left w:val="none" w:sz="0" w:space="0" w:color="auto"/>
        <w:bottom w:val="none" w:sz="0" w:space="0" w:color="auto"/>
        <w:right w:val="none" w:sz="0" w:space="0" w:color="auto"/>
      </w:divBdr>
      <w:divsChild>
        <w:div w:id="2093812234">
          <w:marLeft w:val="0"/>
          <w:marRight w:val="0"/>
          <w:marTop w:val="0"/>
          <w:marBottom w:val="0"/>
          <w:divBdr>
            <w:top w:val="none" w:sz="0" w:space="0" w:color="auto"/>
            <w:left w:val="none" w:sz="0" w:space="0" w:color="auto"/>
            <w:bottom w:val="none" w:sz="0" w:space="0" w:color="auto"/>
            <w:right w:val="none" w:sz="0" w:space="0" w:color="auto"/>
          </w:divBdr>
        </w:div>
        <w:div w:id="356934616">
          <w:marLeft w:val="0"/>
          <w:marRight w:val="0"/>
          <w:marTop w:val="0"/>
          <w:marBottom w:val="0"/>
          <w:divBdr>
            <w:top w:val="none" w:sz="0" w:space="0" w:color="auto"/>
            <w:left w:val="none" w:sz="0" w:space="0" w:color="auto"/>
            <w:bottom w:val="none" w:sz="0" w:space="0" w:color="auto"/>
            <w:right w:val="none" w:sz="0" w:space="0" w:color="auto"/>
          </w:divBdr>
        </w:div>
        <w:div w:id="1712266386">
          <w:marLeft w:val="0"/>
          <w:marRight w:val="0"/>
          <w:marTop w:val="0"/>
          <w:marBottom w:val="0"/>
          <w:divBdr>
            <w:top w:val="none" w:sz="0" w:space="0" w:color="auto"/>
            <w:left w:val="none" w:sz="0" w:space="0" w:color="auto"/>
            <w:bottom w:val="none" w:sz="0" w:space="0" w:color="auto"/>
            <w:right w:val="none" w:sz="0" w:space="0" w:color="auto"/>
          </w:divBdr>
        </w:div>
        <w:div w:id="73822731">
          <w:marLeft w:val="0"/>
          <w:marRight w:val="0"/>
          <w:marTop w:val="0"/>
          <w:marBottom w:val="0"/>
          <w:divBdr>
            <w:top w:val="none" w:sz="0" w:space="0" w:color="auto"/>
            <w:left w:val="none" w:sz="0" w:space="0" w:color="auto"/>
            <w:bottom w:val="none" w:sz="0" w:space="0" w:color="auto"/>
            <w:right w:val="none" w:sz="0" w:space="0" w:color="auto"/>
          </w:divBdr>
        </w:div>
        <w:div w:id="875702758">
          <w:marLeft w:val="0"/>
          <w:marRight w:val="0"/>
          <w:marTop w:val="0"/>
          <w:marBottom w:val="0"/>
          <w:divBdr>
            <w:top w:val="none" w:sz="0" w:space="0" w:color="auto"/>
            <w:left w:val="none" w:sz="0" w:space="0" w:color="auto"/>
            <w:bottom w:val="none" w:sz="0" w:space="0" w:color="auto"/>
            <w:right w:val="none" w:sz="0" w:space="0" w:color="auto"/>
          </w:divBdr>
        </w:div>
        <w:div w:id="1494684921">
          <w:marLeft w:val="0"/>
          <w:marRight w:val="0"/>
          <w:marTop w:val="0"/>
          <w:marBottom w:val="0"/>
          <w:divBdr>
            <w:top w:val="none" w:sz="0" w:space="0" w:color="auto"/>
            <w:left w:val="none" w:sz="0" w:space="0" w:color="auto"/>
            <w:bottom w:val="none" w:sz="0" w:space="0" w:color="auto"/>
            <w:right w:val="none" w:sz="0" w:space="0" w:color="auto"/>
          </w:divBdr>
        </w:div>
        <w:div w:id="217398877">
          <w:marLeft w:val="0"/>
          <w:marRight w:val="0"/>
          <w:marTop w:val="0"/>
          <w:marBottom w:val="0"/>
          <w:divBdr>
            <w:top w:val="none" w:sz="0" w:space="0" w:color="auto"/>
            <w:left w:val="none" w:sz="0" w:space="0" w:color="auto"/>
            <w:bottom w:val="none" w:sz="0" w:space="0" w:color="auto"/>
            <w:right w:val="none" w:sz="0" w:space="0" w:color="auto"/>
          </w:divBdr>
        </w:div>
      </w:divsChild>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0328892">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2587733">
      <w:bodyDiv w:val="1"/>
      <w:marLeft w:val="0"/>
      <w:marRight w:val="0"/>
      <w:marTop w:val="0"/>
      <w:marBottom w:val="0"/>
      <w:divBdr>
        <w:top w:val="none" w:sz="0" w:space="0" w:color="auto"/>
        <w:left w:val="none" w:sz="0" w:space="0" w:color="auto"/>
        <w:bottom w:val="none" w:sz="0" w:space="0" w:color="auto"/>
        <w:right w:val="none" w:sz="0" w:space="0" w:color="auto"/>
      </w:divBdr>
      <w:divsChild>
        <w:div w:id="1375347377">
          <w:marLeft w:val="0"/>
          <w:marRight w:val="0"/>
          <w:marTop w:val="0"/>
          <w:marBottom w:val="0"/>
          <w:divBdr>
            <w:top w:val="none" w:sz="0" w:space="0" w:color="auto"/>
            <w:left w:val="none" w:sz="0" w:space="0" w:color="auto"/>
            <w:bottom w:val="none" w:sz="0" w:space="0" w:color="auto"/>
            <w:right w:val="none" w:sz="0" w:space="0" w:color="auto"/>
          </w:divBdr>
        </w:div>
        <w:div w:id="1071778441">
          <w:marLeft w:val="0"/>
          <w:marRight w:val="0"/>
          <w:marTop w:val="0"/>
          <w:marBottom w:val="0"/>
          <w:divBdr>
            <w:top w:val="none" w:sz="0" w:space="0" w:color="auto"/>
            <w:left w:val="none" w:sz="0" w:space="0" w:color="auto"/>
            <w:bottom w:val="none" w:sz="0" w:space="0" w:color="auto"/>
            <w:right w:val="none" w:sz="0" w:space="0" w:color="auto"/>
          </w:divBdr>
        </w:div>
        <w:div w:id="670060774">
          <w:marLeft w:val="0"/>
          <w:marRight w:val="0"/>
          <w:marTop w:val="0"/>
          <w:marBottom w:val="0"/>
          <w:divBdr>
            <w:top w:val="none" w:sz="0" w:space="0" w:color="auto"/>
            <w:left w:val="none" w:sz="0" w:space="0" w:color="auto"/>
            <w:bottom w:val="none" w:sz="0" w:space="0" w:color="auto"/>
            <w:right w:val="none" w:sz="0" w:space="0" w:color="auto"/>
          </w:divBdr>
        </w:div>
        <w:div w:id="2133204433">
          <w:marLeft w:val="0"/>
          <w:marRight w:val="0"/>
          <w:marTop w:val="0"/>
          <w:marBottom w:val="0"/>
          <w:divBdr>
            <w:top w:val="none" w:sz="0" w:space="0" w:color="auto"/>
            <w:left w:val="none" w:sz="0" w:space="0" w:color="auto"/>
            <w:bottom w:val="none" w:sz="0" w:space="0" w:color="auto"/>
            <w:right w:val="none" w:sz="0" w:space="0" w:color="auto"/>
          </w:divBdr>
        </w:div>
        <w:div w:id="1411728897">
          <w:marLeft w:val="0"/>
          <w:marRight w:val="0"/>
          <w:marTop w:val="0"/>
          <w:marBottom w:val="0"/>
          <w:divBdr>
            <w:top w:val="none" w:sz="0" w:space="0" w:color="auto"/>
            <w:left w:val="none" w:sz="0" w:space="0" w:color="auto"/>
            <w:bottom w:val="none" w:sz="0" w:space="0" w:color="auto"/>
            <w:right w:val="none" w:sz="0" w:space="0" w:color="auto"/>
          </w:divBdr>
        </w:div>
        <w:div w:id="1454136712">
          <w:marLeft w:val="0"/>
          <w:marRight w:val="0"/>
          <w:marTop w:val="0"/>
          <w:marBottom w:val="0"/>
          <w:divBdr>
            <w:top w:val="none" w:sz="0" w:space="0" w:color="auto"/>
            <w:left w:val="none" w:sz="0" w:space="0" w:color="auto"/>
            <w:bottom w:val="none" w:sz="0" w:space="0" w:color="auto"/>
            <w:right w:val="none" w:sz="0" w:space="0" w:color="auto"/>
          </w:divBdr>
        </w:div>
        <w:div w:id="2005355544">
          <w:marLeft w:val="0"/>
          <w:marRight w:val="0"/>
          <w:marTop w:val="0"/>
          <w:marBottom w:val="0"/>
          <w:divBdr>
            <w:top w:val="none" w:sz="0" w:space="0" w:color="auto"/>
            <w:left w:val="none" w:sz="0" w:space="0" w:color="auto"/>
            <w:bottom w:val="none" w:sz="0" w:space="0" w:color="auto"/>
            <w:right w:val="none" w:sz="0" w:space="0" w:color="auto"/>
          </w:divBdr>
        </w:div>
        <w:div w:id="2106416688">
          <w:marLeft w:val="0"/>
          <w:marRight w:val="0"/>
          <w:marTop w:val="0"/>
          <w:marBottom w:val="0"/>
          <w:divBdr>
            <w:top w:val="none" w:sz="0" w:space="0" w:color="auto"/>
            <w:left w:val="none" w:sz="0" w:space="0" w:color="auto"/>
            <w:bottom w:val="none" w:sz="0" w:space="0" w:color="auto"/>
            <w:right w:val="none" w:sz="0" w:space="0" w:color="auto"/>
          </w:divBdr>
        </w:div>
        <w:div w:id="668102088">
          <w:marLeft w:val="0"/>
          <w:marRight w:val="0"/>
          <w:marTop w:val="0"/>
          <w:marBottom w:val="0"/>
          <w:divBdr>
            <w:top w:val="none" w:sz="0" w:space="0" w:color="auto"/>
            <w:left w:val="none" w:sz="0" w:space="0" w:color="auto"/>
            <w:bottom w:val="none" w:sz="0" w:space="0" w:color="auto"/>
            <w:right w:val="none" w:sz="0" w:space="0" w:color="auto"/>
          </w:divBdr>
        </w:div>
        <w:div w:id="2106345526">
          <w:marLeft w:val="0"/>
          <w:marRight w:val="0"/>
          <w:marTop w:val="0"/>
          <w:marBottom w:val="0"/>
          <w:divBdr>
            <w:top w:val="none" w:sz="0" w:space="0" w:color="auto"/>
            <w:left w:val="none" w:sz="0" w:space="0" w:color="auto"/>
            <w:bottom w:val="none" w:sz="0" w:space="0" w:color="auto"/>
            <w:right w:val="none" w:sz="0" w:space="0" w:color="auto"/>
          </w:divBdr>
        </w:div>
        <w:div w:id="2079395973">
          <w:marLeft w:val="0"/>
          <w:marRight w:val="0"/>
          <w:marTop w:val="0"/>
          <w:marBottom w:val="0"/>
          <w:divBdr>
            <w:top w:val="none" w:sz="0" w:space="0" w:color="auto"/>
            <w:left w:val="none" w:sz="0" w:space="0" w:color="auto"/>
            <w:bottom w:val="none" w:sz="0" w:space="0" w:color="auto"/>
            <w:right w:val="none" w:sz="0" w:space="0" w:color="auto"/>
          </w:divBdr>
        </w:div>
        <w:div w:id="1578395949">
          <w:marLeft w:val="0"/>
          <w:marRight w:val="0"/>
          <w:marTop w:val="0"/>
          <w:marBottom w:val="0"/>
          <w:divBdr>
            <w:top w:val="none" w:sz="0" w:space="0" w:color="auto"/>
            <w:left w:val="none" w:sz="0" w:space="0" w:color="auto"/>
            <w:bottom w:val="none" w:sz="0" w:space="0" w:color="auto"/>
            <w:right w:val="none" w:sz="0" w:space="0" w:color="auto"/>
          </w:divBdr>
        </w:div>
        <w:div w:id="89548813">
          <w:marLeft w:val="0"/>
          <w:marRight w:val="0"/>
          <w:marTop w:val="0"/>
          <w:marBottom w:val="0"/>
          <w:divBdr>
            <w:top w:val="none" w:sz="0" w:space="0" w:color="auto"/>
            <w:left w:val="none" w:sz="0" w:space="0" w:color="auto"/>
            <w:bottom w:val="none" w:sz="0" w:space="0" w:color="auto"/>
            <w:right w:val="none" w:sz="0" w:space="0" w:color="auto"/>
          </w:divBdr>
        </w:div>
        <w:div w:id="412972056">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5576305">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48783">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2B2CEC-D653-4B61-8AF6-46CA486AF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12075</Words>
  <Characters>68831</Characters>
  <Application>Microsoft Office Word</Application>
  <DocSecurity>0</DocSecurity>
  <Lines>573</Lines>
  <Paragraphs>161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2026-03-03T01:39:00Z</cp:lastPrinted>
  <dcterms:created xsi:type="dcterms:W3CDTF">2026-03-03T01:41:00Z</dcterms:created>
  <dcterms:modified xsi:type="dcterms:W3CDTF">2026-03-03T01:41:00Z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