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772743">
      <w:pPr>
        <w:rPr>
          <w:sz w:val="28"/>
          <w:szCs w:val="28"/>
          <w:rtl/>
          <w:lang w:bidi="ar-EG"/>
        </w:rPr>
      </w:pPr>
      <w:r>
        <w:rPr>
          <w:sz w:val="28"/>
          <w:szCs w:val="28"/>
        </w:rPr>
        <w:drawing>
          <wp:anchor distT="0" distB="0" distL="114300" distR="114300" simplePos="0" relativeHeight="251659264" behindDoc="0" locked="0" layoutInCell="1" allowOverlap="1">
            <wp:simplePos x="0" y="0"/>
            <wp:positionH relativeFrom="column">
              <wp:posOffset>38100</wp:posOffset>
            </wp:positionH>
            <wp:positionV relativeFrom="paragraph">
              <wp:posOffset>-255270</wp:posOffset>
            </wp:positionV>
            <wp:extent cx="1914525" cy="1341120"/>
            <wp:effectExtent l="19050" t="0" r="28575" b="430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1914525" cy="134112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Pr>
          <w:rFonts w:hint="cs"/>
          <w:sz w:val="28"/>
          <w:szCs w:val="28"/>
          <w:rtl/>
          <w:lang w:bidi="ar-EG"/>
        </w:rPr>
        <w:t>جــــامـــعة ميدأوشــــن</w:t>
      </w:r>
    </w:p>
    <w:p w14:paraId="2429E0E0">
      <w:pPr>
        <w:rPr>
          <w:sz w:val="28"/>
          <w:szCs w:val="28"/>
          <w:rtl/>
          <w:lang w:bidi="ar-EG"/>
        </w:rPr>
      </w:pPr>
      <w:r>
        <w:rPr>
          <w:rFonts w:hint="cs"/>
          <w:sz w:val="28"/>
          <w:szCs w:val="28"/>
          <w:rtl/>
          <w:lang w:bidi="ar-EG"/>
        </w:rPr>
        <w:t>كلية الإعلام والتسويق</w:t>
      </w:r>
    </w:p>
    <w:p w14:paraId="75A4B94E">
      <w:pPr>
        <w:rPr>
          <w:sz w:val="28"/>
          <w:szCs w:val="28"/>
          <w:rtl/>
          <w:lang w:bidi="ar-EG"/>
        </w:rPr>
      </w:pPr>
      <w:r>
        <w:rPr>
          <w:rFonts w:hint="cs"/>
          <w:sz w:val="28"/>
          <w:szCs w:val="28"/>
          <w:rtl/>
          <w:lang w:bidi="ar-EG"/>
        </w:rPr>
        <w:t xml:space="preserve">برنامج بكالوريوس التسويق الرقمي </w:t>
      </w:r>
    </w:p>
    <w:p w14:paraId="4B65CD90">
      <w:pPr>
        <w:rPr>
          <w:sz w:val="28"/>
          <w:szCs w:val="28"/>
          <w:rtl/>
          <w:lang w:bidi="ar-EG"/>
        </w:rPr>
      </w:pPr>
    </w:p>
    <w:p w14:paraId="1B8BDA44">
      <w:pPr>
        <w:rPr>
          <w:sz w:val="28"/>
          <w:szCs w:val="28"/>
          <w:rtl/>
          <w:lang w:bidi="ar-EG"/>
        </w:rPr>
      </w:pPr>
    </w:p>
    <w:p w14:paraId="5F412B15">
      <w:pPr>
        <w:rPr>
          <w:sz w:val="28"/>
          <w:szCs w:val="28"/>
          <w:rtl/>
          <w:lang w:bidi="ar-EG"/>
        </w:rPr>
      </w:pPr>
    </w:p>
    <w:p w14:paraId="621EB04D">
      <w:pPr>
        <w:rPr>
          <w:sz w:val="28"/>
          <w:szCs w:val="28"/>
          <w:rtl/>
          <w:lang w:bidi="ar-EG"/>
        </w:rPr>
      </w:pPr>
    </w:p>
    <w:p w14:paraId="4E5E547C">
      <w:pPr>
        <w:jc w:val="center"/>
        <w:rPr>
          <w:sz w:val="32"/>
          <w:szCs w:val="32"/>
          <w:rtl/>
          <w:lang w:bidi="ar-EG"/>
        </w:rPr>
      </w:pPr>
      <w:r>
        <w:rPr>
          <w:rFonts w:hint="cs"/>
          <w:sz w:val="32"/>
          <w:szCs w:val="32"/>
          <w:rtl/>
          <w:lang w:bidi="ar-EG"/>
        </w:rPr>
        <w:t>بحث مقدم ضمن مشروع التخرج ببرنامج بكالوريوس التسويق الرقمي</w:t>
      </w:r>
    </w:p>
    <w:p w14:paraId="7A6EA433">
      <w:pPr>
        <w:jc w:val="center"/>
        <w:rPr>
          <w:sz w:val="32"/>
          <w:szCs w:val="32"/>
          <w:rtl/>
          <w:lang w:bidi="ar-EG"/>
        </w:rPr>
      </w:pPr>
    </w:p>
    <w:p w14:paraId="019E307E">
      <w:pPr>
        <w:jc w:val="center"/>
        <w:rPr>
          <w:b/>
          <w:bCs/>
          <w:sz w:val="28"/>
          <w:szCs w:val="28"/>
          <w:rtl/>
          <w:lang w:bidi="ar-EG"/>
        </w:rPr>
      </w:pPr>
      <w:r>
        <w:rPr>
          <w:rFonts w:hint="cs" w:ascii="Arial" w:hAnsi="Arial" w:eastAsia="Arial"/>
          <w:b/>
          <w:bCs/>
          <w:sz w:val="26"/>
          <w:szCs w:val="28"/>
          <w:rtl/>
          <w:lang w:bidi="ar-EG"/>
        </w:rPr>
        <w:t>عنوان البحث: أخلاقيات البحث العلمي والأمانة العلمية</w:t>
      </w:r>
    </w:p>
    <w:p w14:paraId="2CB6FDE8">
      <w:pPr>
        <w:jc w:val="center"/>
        <w:rPr>
          <w:sz w:val="28"/>
          <w:szCs w:val="28"/>
          <w:rtl/>
          <w:lang w:bidi="ar-EG"/>
        </w:rPr>
      </w:pPr>
    </w:p>
    <w:p w14:paraId="0337869A">
      <w:pPr>
        <w:jc w:val="center"/>
        <w:rPr>
          <w:rFonts w:hint="cs"/>
          <w:sz w:val="32"/>
          <w:szCs w:val="32"/>
          <w:rtl/>
        </w:rPr>
      </w:pPr>
      <w:r>
        <w:rPr>
          <w:rFonts w:hint="cs" w:ascii="Arial" w:hAnsi="Arial" w:eastAsia="Arial"/>
          <w:sz w:val="32"/>
          <w:szCs w:val="32"/>
          <w:rtl/>
          <w:lang w:bidi="ar-EG"/>
        </w:rPr>
        <w:t xml:space="preserve">إعداد: </w:t>
      </w:r>
      <w:r>
        <w:rPr>
          <w:rFonts w:hint="cs" w:ascii="Arial" w:hAnsi="Arial" w:eastAsia="Arial"/>
          <w:sz w:val="32"/>
          <w:szCs w:val="32"/>
          <w:rtl/>
        </w:rPr>
        <w:t>وليد محمد شحادة</w:t>
      </w:r>
    </w:p>
    <w:p w14:paraId="04336E58">
      <w:pPr>
        <w:jc w:val="center"/>
        <w:rPr>
          <w:sz w:val="32"/>
          <w:szCs w:val="32"/>
          <w:lang w:bidi="ar-EG"/>
        </w:rPr>
      </w:pPr>
      <w:r>
        <w:rPr>
          <w:rFonts w:hint="cs" w:ascii="Arial" w:hAnsi="Arial" w:eastAsia="Arial"/>
          <w:b/>
          <w:bCs/>
          <w:sz w:val="32"/>
          <w:szCs w:val="32"/>
          <w:rtl/>
          <w:lang w:bidi="ar-EG"/>
        </w:rPr>
        <w:t>الرقم الأكاديمي: 233000636</w:t>
      </w:r>
    </w:p>
    <w:p w14:paraId="441CDE21">
      <w:pPr>
        <w:rPr>
          <w:sz w:val="28"/>
          <w:szCs w:val="28"/>
          <w:rtl/>
          <w:lang w:bidi="ar-EG"/>
        </w:rPr>
      </w:pPr>
    </w:p>
    <w:p w14:paraId="22827B00">
      <w:pPr>
        <w:jc w:val="center"/>
        <w:rPr>
          <w:sz w:val="28"/>
          <w:szCs w:val="28"/>
          <w:rtl/>
          <w:lang w:bidi="ar-EG"/>
        </w:rPr>
      </w:pPr>
    </w:p>
    <w:p w14:paraId="02B567E0">
      <w:pPr>
        <w:jc w:val="center"/>
        <w:rPr>
          <w:rFonts w:hint="default" w:cstheme="minorBidi"/>
          <w:sz w:val="28"/>
          <w:szCs w:val="28"/>
          <w:rtl/>
          <w:lang w:val="en-US" w:bidi="ar-SA"/>
        </w:rPr>
      </w:pPr>
      <w:r>
        <w:rPr>
          <w:rFonts w:hint="cs" w:cstheme="minorBidi"/>
          <w:sz w:val="28"/>
          <w:szCs w:val="28"/>
          <w:rtl/>
          <w:lang w:val="en-US" w:bidi="ar-SA"/>
        </w:rPr>
        <w:t>د</w:t>
      </w:r>
      <w:r>
        <w:rPr>
          <w:rFonts w:hint="default" w:cstheme="minorBidi"/>
          <w:sz w:val="28"/>
          <w:szCs w:val="28"/>
          <w:rtl w:val="0"/>
          <w:lang w:val="en-US" w:bidi="ar-SA"/>
        </w:rPr>
        <w:t>.</w:t>
      </w:r>
      <w:r>
        <w:rPr>
          <w:rFonts w:hint="cs" w:cstheme="minorBidi"/>
          <w:sz w:val="28"/>
          <w:szCs w:val="28"/>
          <w:rtl/>
          <w:lang w:val="en-US" w:bidi="ar-SA"/>
        </w:rPr>
        <w:t>عبير احمد</w:t>
      </w:r>
    </w:p>
    <w:p w14:paraId="045EAAAF">
      <w:pPr>
        <w:rPr>
          <w:sz w:val="28"/>
          <w:szCs w:val="28"/>
          <w:rtl/>
          <w:lang w:bidi="ar-EG"/>
        </w:rPr>
      </w:pPr>
      <w:bookmarkStart w:id="0" w:name="_GoBack"/>
      <w:bookmarkEnd w:id="0"/>
    </w:p>
    <w:p w14:paraId="3EC6B8CB">
      <w:pPr>
        <w:rPr>
          <w:sz w:val="28"/>
          <w:szCs w:val="28"/>
          <w:rtl/>
          <w:lang w:bidi="ar-EG"/>
        </w:rPr>
      </w:pPr>
    </w:p>
    <w:p w14:paraId="68AC1D93">
      <w:pPr>
        <w:jc w:val="center"/>
        <w:rPr>
          <w:b/>
          <w:bCs/>
          <w:sz w:val="28"/>
          <w:szCs w:val="28"/>
          <w:rtl/>
          <w:lang w:bidi="ar-EG"/>
        </w:rPr>
      </w:pPr>
      <w:r>
        <w:rPr>
          <w:rFonts w:hint="cs"/>
          <w:b/>
          <w:bCs/>
          <w:sz w:val="28"/>
          <w:szCs w:val="28"/>
          <w:rtl/>
          <w:lang w:bidi="ar-EG"/>
        </w:rPr>
        <w:t>الفصل الدراسي الثالث 2026</w:t>
      </w:r>
    </w:p>
    <w:p w14:paraId="2DF77927">
      <w:r>
        <w:br w:type="page"/>
      </w:r>
    </w:p>
    <w:p w14:paraId="09EFA477">
      <w:pPr>
        <w:spacing w:after="160"/>
        <w:jc w:val="center"/>
      </w:pPr>
      <w:r>
        <w:rPr>
          <w:rFonts w:ascii="Arial" w:hAnsi="Arial" w:eastAsia="Arial"/>
          <w:b/>
          <w:sz w:val="34"/>
        </w:rPr>
        <w:t>أخلاقيات البحث العلمي والأمانة العلمية</w:t>
      </w:r>
    </w:p>
    <w:p w14:paraId="49850DCC">
      <w:pPr>
        <w:spacing w:after="60"/>
        <w:jc w:val="right"/>
      </w:pPr>
      <w:r>
        <w:rPr>
          <w:rFonts w:ascii="Arial" w:hAnsi="Arial" w:eastAsia="Arial"/>
          <w:b/>
          <w:sz w:val="28"/>
        </w:rPr>
        <w:t>مقدمة</w:t>
      </w:r>
    </w:p>
    <w:p w14:paraId="106F172A">
      <w:pPr>
        <w:spacing w:after="100"/>
        <w:ind w:firstLine="397"/>
        <w:jc w:val="both"/>
      </w:pPr>
      <w:r>
        <w:rPr>
          <w:rFonts w:ascii="Arial" w:hAnsi="Arial" w:eastAsia="Arial"/>
          <w:sz w:val="30"/>
        </w:rPr>
        <w:t>يمثل البحث العلمي وسيلة أساسية لفهم الظواهر وحل المشكلات وتطوير المعرفة غير أن قيمة أي بحث لا تقاس بنتائجه وحدها بل بمدى التزام الباحث بالقواعد الأخلاقية التي تحكم جميع مراحله. فالأخلاق تمنع استغلال المشاركين أو الإضرار بهم والأمانة العلمية تضمن أن تكون المعلومات والنتائج منسوبة إلى أصحابها وأن تُعرض بصورة صادقة وموضوعية ومن ثم فإن الالتزام بهذين المبدأين ليس إجراءً شكلياً بل مسؤولية علمية ومجتمعية تحفظ الثقة في الجامعة والباحث والنتائج المنشور</w:t>
      </w:r>
    </w:p>
    <w:p w14:paraId="10D867C0">
      <w:pPr>
        <w:spacing w:after="60"/>
        <w:jc w:val="right"/>
      </w:pPr>
      <w:r>
        <w:rPr>
          <w:rFonts w:ascii="Arial" w:hAnsi="Arial" w:eastAsia="Arial"/>
          <w:b/>
          <w:sz w:val="28"/>
        </w:rPr>
        <w:t>أولاً: أخلاقيات البحث العلمي</w:t>
      </w:r>
    </w:p>
    <w:p w14:paraId="5910DAC9">
      <w:pPr>
        <w:spacing w:after="100"/>
        <w:ind w:firstLine="397"/>
        <w:jc w:val="both"/>
      </w:pPr>
      <w:r>
        <w:rPr>
          <w:rFonts w:ascii="Arial" w:hAnsi="Arial" w:eastAsia="Arial"/>
          <w:sz w:val="30"/>
        </w:rPr>
        <w:t>تشير أخلاقيات البحث العلمي إلى مجموعة القيم والضوابط التي توجه سلوك الباحث أثناء تحديد المشكلة، وجمع البيانات وتحليله ونشرها ومن أهم هذه الضوابط احترام كرامة المشاركين وخصوصيتهم، والحصول على موافقتهم المستنيرة بعد توضيح هدف الدراسة وطبيعة مشاركتهم وحقهم في الانسحاب دون ضرر كما يجب حماية البيانات الشخصية وعدم استخدامها إلا للغرض الذي جُمعت من أجله وتخزينها بطريقة آمنة وحذف ما يكشف هوية المشاركين عند الحاجة.</w:t>
      </w:r>
    </w:p>
    <w:p w14:paraId="76A62709">
      <w:pPr>
        <w:spacing w:after="100"/>
        <w:ind w:firstLine="397"/>
        <w:jc w:val="both"/>
      </w:pPr>
      <w:r>
        <w:rPr>
          <w:rFonts w:ascii="Arial" w:hAnsi="Arial" w:eastAsia="Arial"/>
          <w:sz w:val="30"/>
        </w:rPr>
        <w:t>وتتطلب الأخلاق البحثية كذلك تجنب تعريض الأفراد أو المؤسسات لأي خطر غير ضروري، والإفصاح عن أي تضارب محتمل في المصالح والالتزام بتعليمات الجامعة والجهات المختصة وفي البحوث التي تتناول سلوك المستخدمين أو بياناتهم الرقمية تزداد أهمية الحصول على الإذن المناس والتمييز بين البيانات المتاحة للعامة والبيانات التي لا يجوز جمعها أو إعادة نشرها دون موافقة ويجب أن يكون الهدف من البحث هو المعرفة وخدمة المجتمع لا الإضرار بالأفراد أو استغلالهم</w:t>
      </w:r>
    </w:p>
    <w:p w14:paraId="5F347230">
      <w:pPr>
        <w:spacing w:after="100"/>
        <w:ind w:firstLine="397"/>
        <w:jc w:val="both"/>
      </w:pPr>
      <w:r>
        <w:rPr>
          <w:rFonts w:ascii="Arial" w:hAnsi="Arial" w:eastAsia="Arial"/>
          <w:sz w:val="30"/>
        </w:rPr>
        <w:t>وتقوم الممارسة الأخلاقية على مبادئ العدالة والموضوعية والشفافية؛ فلا يجوز اختيار المشاركين أو تفسير البيانات بطريقة تفضّل فئة على أخرى دون مبرر علمي كما ينبغي للباحث أن يوضح حدود دراسته ومواطن القوة والضعف فيها وأن يفرق بين الحقائق المؤكدة والآراء أو التفسيرات المحتملة ويساعد هذا الوضوح على تمكين القارئ من تقييم النتائج بصورة مستقلة ويمنع المبالغة في تعميمها خارج السياق الذي جُمعت فيه البيانات</w:t>
      </w:r>
    </w:p>
    <w:p w14:paraId="7A0D8742">
      <w:pPr>
        <w:spacing w:after="100"/>
        <w:ind w:firstLine="397"/>
        <w:jc w:val="both"/>
      </w:pPr>
      <w:r>
        <w:rPr>
          <w:rFonts w:ascii="Arial" w:hAnsi="Arial" w:eastAsia="Arial"/>
          <w:sz w:val="30"/>
        </w:rPr>
        <w:t>وتظهر أهمية أخلاقيات البحث منذ اختيار موضوع الدراسة وصياغة أسئلتها فعلى الباحث أن يتأكد من أن المشكلة حقيقية وذات قيمة وأن المنهج المقترح مناسب للإجابة عنها كما يجب أن يختار أدوات جمع البيانات بعناية وأن يتجنب الأسئلة التي قد تكشف معلومات حساسة دون ضرورة وعند إجراء المقابلات أو الاستبيانات ينبغي تقديم شرح واضح للمشارك بلغة مفهومة مع التأكيد أن المشاركة اختيارية وأن رفض الإجابة عن أي سؤال لا يترتب عليه أي جزاء أو ضرر</w:t>
      </w:r>
    </w:p>
    <w:p w14:paraId="740AD76C">
      <w:pPr>
        <w:spacing w:after="100"/>
        <w:ind w:firstLine="397"/>
        <w:jc w:val="both"/>
      </w:pPr>
      <w:r>
        <w:rPr>
          <w:rFonts w:ascii="Arial" w:hAnsi="Arial" w:eastAsia="Arial"/>
          <w:sz w:val="30"/>
        </w:rPr>
        <w:t>ومن الجوانب المهمة أيضاً المحافظة على استقلالية الباحث، فلا ينبغي أن تؤثر رغبة جهة ممولة أو مصلحة شخصية في تصميم الدراسة أو تحليل نتائجها وإذا كانت هناك علاقة بين الباحث والجهة محل الدراسة فيجب الإفصاح عنها حتى يستطيع القارئ تقدير النتائج في سياقها الصحيح ويشمل الالتزام الأخلاقي احترام الوقت والجهد الذي يقدمه المشاركون واستخدام نتائج الدراسة بما يحقق منفعة علمية أو اجتماعية واضحة وعدم تحويل البيانات إلى مادة للتشهير أو التمييز</w:t>
      </w:r>
    </w:p>
    <w:p w14:paraId="5EF75287">
      <w:pPr>
        <w:spacing w:after="100"/>
        <w:ind w:firstLine="397"/>
        <w:jc w:val="both"/>
      </w:pPr>
      <w:r>
        <w:rPr>
          <w:rFonts w:ascii="Arial" w:hAnsi="Arial" w:eastAsia="Arial"/>
          <w:sz w:val="30"/>
        </w:rPr>
        <w:t>أما في مرحلة تحليل البيانات فينبغي استخدام أساليب مناسبة لطبيعة المعلومات والاحتفاظ بالبيانات الأصلية ونسخ التحليل بطريقة منظمة ولا يجوز حذف القيم أو تعديلها لمجرد أنها لا تتفق مع توقعات الباحث بل يجب تفسير الاختلافات والنتائج غير المتوقعة بموضوعية كما أن عرض النتائج بصورة دقيقة مع بيان حجم العينة وحدودها يساعد على منع إساءة فهم البحث ويعزز ثقة القراء في استنتاجات</w:t>
      </w:r>
    </w:p>
    <w:p w14:paraId="5125EE77">
      <w:pPr>
        <w:spacing w:after="100"/>
        <w:ind w:firstLine="397"/>
        <w:jc w:val="both"/>
      </w:pPr>
      <w:r>
        <w:rPr>
          <w:rFonts w:ascii="Arial" w:hAnsi="Arial" w:eastAsia="Arial"/>
          <w:sz w:val="30"/>
        </w:rPr>
        <w:t>وبذلك يتبين أن الالتزام الأخلاقي ليس مرحلة منفصلة تنتهي بتوقيع نموذج الموافقة بل هو مسار مستمر يبدأ قبل جمع البيانات ويستمر أثناء التحليل والكتابة وبعد نشر النتائج وكلما كان الباحث أكثر وضوحاً في شرح إجراءاته وأكثر حرصاً على حماية المشاركين وتوثيق مصادره زادت قيمة بحثه وإمكان الاستفادة منه كما أن مراجعة العمل من قبل المشرف أو لجنة مختصة تمثل فرصة لاكتشاف مواطن الضعف وتصحيحها قبل اعتماد الدراسة وهي جزء من ضمان الجودة وليست عائقاً أمام الباحث.</w:t>
      </w:r>
    </w:p>
    <w:p w14:paraId="373A3AE0"/>
    <w:p w14:paraId="4FF16F94">
      <w:pPr>
        <w:spacing w:after="60"/>
        <w:jc w:val="right"/>
      </w:pPr>
      <w:r>
        <w:rPr>
          <w:rFonts w:ascii="Arial" w:hAnsi="Arial" w:eastAsia="Arial"/>
          <w:b/>
          <w:sz w:val="28"/>
        </w:rPr>
        <w:t>ثانياً: الأمانة العلمية</w:t>
      </w:r>
    </w:p>
    <w:p w14:paraId="7C525030">
      <w:pPr>
        <w:spacing w:after="100"/>
        <w:ind w:firstLine="397"/>
        <w:jc w:val="both"/>
      </w:pPr>
      <w:r>
        <w:rPr>
          <w:rFonts w:ascii="Arial" w:hAnsi="Arial" w:eastAsia="Arial"/>
          <w:sz w:val="30"/>
        </w:rPr>
        <w:t>الأمانة العلمية تعني نقل الأفكار والبيانات والنتائج بصدق ونسبتها إلى مصادرها الأصلية والتمييز بوضوح بين ما توصل إليه الباحث وما اقتبسه أو استفاد منه ويُعد الانتحال سواء كان نسخاً حرفياً أو إعادة صياغة دون توثيق مخالفة علمية كما تشمل المخالفات اختلاق البيانات أو تغيير النتائج عمداً أو إخفاء نتائج لا توافق توقعات الباحث أو تقديم عمل سبق استخدامه على أنه عمل جديد لذلك ينبغي الاحتفاظ بسجلات واضحة للخطوات والبيانات والتحليلات ومراجعة الاقتباسات والمراجع قبل تسليم البحث</w:t>
      </w:r>
    </w:p>
    <w:p w14:paraId="7CDB2FF4">
      <w:pPr>
        <w:spacing w:after="100"/>
        <w:ind w:firstLine="397"/>
        <w:jc w:val="both"/>
      </w:pPr>
      <w:r>
        <w:rPr>
          <w:rFonts w:ascii="Arial" w:hAnsi="Arial" w:eastAsia="Arial"/>
          <w:sz w:val="30"/>
        </w:rPr>
        <w:t>وتتحقق الأمانة أيضاً من خلال توثيق المراجع بطريقة موحدة، واستخدام علامات الاقتباس عند نقل النص حرفياً وذكر أسماء جميع من ساهموا مساهمة فعلية في البحث وعدم إضافة أسماء لم تشارك وإذا اكتشف الباحث خطأ مؤثراً بعد التسليم أو النشر فعليه الإبلاغ عنه وتصحيحه بدلاً من تجاهله كما أن استخدام أدوات الذكاء الاصطناعي لا يلغي مسؤولية الباحث إذ يجب التحقق من دقة المخرجات وعدم اختلاق المصادر والإفصاح عن الاستخدام عندما تتطلب سياسة الجامعة ذلك</w:t>
      </w:r>
    </w:p>
    <w:p w14:paraId="7FCBA0D8">
      <w:pPr>
        <w:spacing w:after="100"/>
        <w:ind w:firstLine="397"/>
        <w:jc w:val="both"/>
      </w:pPr>
      <w:r>
        <w:rPr>
          <w:rFonts w:ascii="Arial" w:hAnsi="Arial" w:eastAsia="Arial"/>
          <w:sz w:val="30"/>
        </w:rPr>
        <w:t>ومن مسؤولية الباحث كذلك أن يتعامل مع نتائج البحث باعتبارها أمانة لا وسيلة لتحقيق نتيجة مسبقة لذلك يجب تجنب الانتقائية في عرض البيانات وذكر النتائج التي لا تؤيد الفرضية إلى جانب النتائج المؤيدة لها كما ينبغي حفظ الملفات الأصلية والتحليلات بصورة منظمة حتى يمكن مراجعة الإجراءات أو تكرار الدراسة عند الحاجة إن قابلية التحقق وإمكانية إعادة الفحص من أهم علامات البحث الجادوهما تعتمدان على الصدق في تسجيل الخطوات والقرارات المنهجية</w:t>
      </w:r>
    </w:p>
    <w:p w14:paraId="41E66C64">
      <w:pPr>
        <w:spacing w:after="100"/>
        <w:ind w:firstLine="397"/>
        <w:jc w:val="both"/>
      </w:pPr>
      <w:r>
        <w:rPr>
          <w:rFonts w:ascii="Arial" w:hAnsi="Arial" w:eastAsia="Arial"/>
          <w:sz w:val="30"/>
        </w:rPr>
        <w:t>وتتضح الأمانة العلمية في الكتابة أيضاً من خلال التمييز بين الاقتباس المباشر والتلخيص وإعادة الصياغة فالاقتباس المباشر يتطلب نقل النص كما ورد مع وضعه بين علامتي تنصيص وذكر الصفحة متى توافرت بينما يتطلب التلخيص أو إعادة الصياغة فهم الفكرة ثم التعبير عنها بأسلوب الباحث مع الإشارة إلى المصدر أما تجميع عبارات متفرقة من مصادر مختلفة وتغيير بعض الكلمات دون توثيق فهو لا يحقق الأمانة حتى لو اختلفت الصياغة ظاهرياً</w:t>
      </w:r>
    </w:p>
    <w:p w14:paraId="3FD8FDC9">
      <w:pPr>
        <w:spacing w:after="100"/>
        <w:ind w:firstLine="397"/>
        <w:jc w:val="both"/>
      </w:pPr>
      <w:r>
        <w:rPr>
          <w:rFonts w:ascii="Arial" w:hAnsi="Arial" w:eastAsia="Arial"/>
          <w:sz w:val="30"/>
        </w:rPr>
        <w:t>ويجب أن تكون قائمة المراجع انعكاساً حقيقياً للمصادر التي قرأها الباحث واستفاد منها وأن تتطابق الإحالات داخل النص مع البيانات الواردة في القائمة النهائية كما ينبغي مراجعة أسماء المؤلفين وعناوين الكتب والمقالات وتواريخ النشر والروابط الإلكترونية قبل تسليم العمل ويساعد استخدام برامج إدارة المراجع أو الجداول المنظمة على تقليل الأخطاء لكنه لا يعفي الباحث من المراجعة اليدوية والتأكد من صحة كل معلومة</w:t>
      </w:r>
    </w:p>
    <w:p w14:paraId="028CF079">
      <w:pPr>
        <w:spacing w:after="100"/>
        <w:ind w:firstLine="397"/>
        <w:jc w:val="both"/>
      </w:pPr>
      <w:r>
        <w:rPr>
          <w:rFonts w:ascii="Arial" w:hAnsi="Arial" w:eastAsia="Arial"/>
          <w:sz w:val="30"/>
        </w:rPr>
        <w:t>وفي البيئة الجامعية لا تقتصر الأمانة على تجنب الانتحال بل تشمل احترام أعمال الزملاء وعدم تبادل الإجابات أو تسليم عمل أعده شخص آخر، وعدم استخدام بحث سابق في مقرر جديد دون إذن وتوضيح كما تعني الأمانة الاعتراف بالمساعدة العلمية أو التقنية التي تلقاها الباحث والالتزام بتعليمات التقييم وسياسات الجامعة إن هذه السلوكيات تبني شخصية الباحث وتؤهله للممارسة المهنية التي تعتمد على الثقة والمسؤولية</w:t>
      </w:r>
    </w:p>
    <w:p w14:paraId="73F20D5F">
      <w:pPr>
        <w:spacing w:after="100"/>
        <w:ind w:firstLine="397"/>
        <w:jc w:val="both"/>
        <w:rPr>
          <w:rFonts w:ascii="Arial" w:hAnsi="Arial" w:eastAsia="Arial"/>
          <w:sz w:val="30"/>
          <w:rtl/>
        </w:rPr>
      </w:pPr>
      <w:r>
        <w:rPr>
          <w:rFonts w:ascii="Arial" w:hAnsi="Arial" w:eastAsia="Arial"/>
          <w:sz w:val="30"/>
        </w:rPr>
        <w:t>ومن أجل ترسيخ هذه القيم يحتاج الطالب إلى وضع خطة واضحة لبحثه والاحتفاظ بدفتر أو ملف يسجل فيه المراجع والأفكار ومراحل العمل ومراجعة النص باستخدام أدوات كشف التشابه باعتبارها وسيلة للمراجعة لا بديلاً عن الفهم كما ينبغي قراءة تعليمات الجامعة قبل التسليم وطلب التوجيه عند وجود غموض في التوثيق أو استخدام المصادر الرقمية. إن طلب المساعدة في الوقت المناسب سلوك مسؤول بينما إخفاء الخطأ أو الاعتماد على مصادر غير موثوقة قد يضعف البحث مهما كان أسلوبه جيداً.</w:t>
      </w:r>
    </w:p>
    <w:p w14:paraId="256559A0">
      <w:pPr>
        <w:spacing w:after="100"/>
        <w:ind w:firstLine="397"/>
        <w:jc w:val="both"/>
      </w:pPr>
    </w:p>
    <w:p w14:paraId="27F7F74B">
      <w:pPr>
        <w:spacing w:after="60"/>
        <w:jc w:val="right"/>
      </w:pPr>
      <w:r>
        <w:rPr>
          <w:rFonts w:ascii="Arial" w:hAnsi="Arial" w:eastAsia="Arial"/>
          <w:b/>
          <w:sz w:val="28"/>
        </w:rPr>
        <w:t>خاتمة</w:t>
      </w:r>
    </w:p>
    <w:p w14:paraId="6ED6B383">
      <w:pPr>
        <w:spacing w:after="100"/>
        <w:ind w:firstLine="397"/>
        <w:jc w:val="both"/>
        <w:rPr>
          <w:rFonts w:ascii="Arial" w:hAnsi="Arial" w:eastAsia="Arial"/>
          <w:sz w:val="30"/>
          <w:rtl/>
        </w:rPr>
      </w:pPr>
      <w:r>
        <w:rPr>
          <w:rFonts w:ascii="Arial" w:hAnsi="Arial" w:eastAsia="Arial"/>
          <w:sz w:val="30"/>
        </w:rPr>
        <w:t>إن أخلاقيات البحث العلمي والأمانة العلمية أساسان متلازمان لجودة المعرفة ومصداقيتها فالباحث المسؤول يحمي حقوق المشاركين، ويحافظ على سرية بياناتهم ويعرض النتائج كما هي ويمنح كل مصدر وصاحب فكرة حقه وبالالتزام بهذه المبادئ يصبح البحث أداة موثوقة للتعلم وصنع القرار وخدمة المجتمع وتتحول القواعد الأخلاقية من تعليمات مكتوبة إلى ممارسة يومية تعكس احترام الباحث للعلم وللآخرين.</w:t>
      </w:r>
    </w:p>
    <w:p w14:paraId="01132C9C">
      <w:pPr>
        <w:spacing w:after="100"/>
        <w:ind w:firstLine="397"/>
        <w:jc w:val="both"/>
        <w:rPr>
          <w:rFonts w:ascii="Arial" w:hAnsi="Arial" w:eastAsia="Arial"/>
          <w:sz w:val="30"/>
          <w:rtl/>
        </w:rPr>
      </w:pPr>
    </w:p>
    <w:p w14:paraId="26D1A66B">
      <w:pPr>
        <w:spacing w:after="100"/>
        <w:ind w:firstLine="397"/>
        <w:jc w:val="both"/>
        <w:rPr>
          <w:rFonts w:ascii="Arial" w:hAnsi="Arial" w:eastAsia="Arial"/>
          <w:sz w:val="30"/>
          <w:rtl/>
        </w:rPr>
      </w:pPr>
    </w:p>
    <w:p w14:paraId="571FAD09">
      <w:pPr>
        <w:spacing w:after="100"/>
        <w:ind w:firstLine="397"/>
        <w:jc w:val="both"/>
        <w:rPr>
          <w:rFonts w:ascii="Arial" w:hAnsi="Arial" w:eastAsia="Arial"/>
          <w:sz w:val="30"/>
          <w:rtl/>
        </w:rPr>
      </w:pPr>
    </w:p>
    <w:p w14:paraId="67F624C2">
      <w:pPr>
        <w:spacing w:after="100"/>
        <w:ind w:firstLine="397"/>
        <w:jc w:val="both"/>
        <w:rPr>
          <w:rFonts w:ascii="Arial" w:hAnsi="Arial" w:eastAsia="Arial"/>
          <w:sz w:val="30"/>
          <w:rtl/>
        </w:rPr>
      </w:pPr>
    </w:p>
    <w:p w14:paraId="67997071">
      <w:pPr>
        <w:spacing w:after="100"/>
        <w:ind w:firstLine="397"/>
        <w:jc w:val="both"/>
        <w:rPr>
          <w:rFonts w:ascii="Arial" w:hAnsi="Arial" w:eastAsia="Arial"/>
          <w:sz w:val="30"/>
          <w:rtl/>
        </w:rPr>
      </w:pPr>
    </w:p>
    <w:p w14:paraId="62D9FA95">
      <w:pPr>
        <w:spacing w:after="100"/>
        <w:jc w:val="both"/>
        <w:rPr>
          <w:rFonts w:ascii="Arial" w:hAnsi="Arial" w:eastAsia="Arial"/>
          <w:sz w:val="30"/>
          <w:rtl/>
        </w:rPr>
      </w:pPr>
    </w:p>
    <w:p w14:paraId="3E710E5C">
      <w:pPr>
        <w:spacing w:after="100"/>
        <w:jc w:val="both"/>
        <w:rPr>
          <w:rFonts w:ascii="Arial" w:hAnsi="Arial" w:eastAsia="Arial"/>
          <w:sz w:val="30"/>
          <w:rtl/>
        </w:rPr>
      </w:pPr>
    </w:p>
    <w:p w14:paraId="7DEB93BA">
      <w:pPr>
        <w:spacing w:after="100"/>
        <w:jc w:val="both"/>
        <w:rPr>
          <w:rFonts w:ascii="Arial" w:hAnsi="Arial" w:eastAsia="Arial"/>
          <w:sz w:val="30"/>
          <w:rtl/>
        </w:rPr>
      </w:pPr>
    </w:p>
    <w:p w14:paraId="02744DF9">
      <w:pPr>
        <w:spacing w:after="100"/>
        <w:jc w:val="both"/>
        <w:rPr>
          <w:rFonts w:ascii="Arial" w:hAnsi="Arial" w:eastAsia="Arial"/>
          <w:sz w:val="30"/>
          <w:rtl/>
        </w:rPr>
      </w:pPr>
    </w:p>
    <w:p w14:paraId="41B78F3F">
      <w:pPr>
        <w:spacing w:after="100"/>
        <w:ind w:firstLine="397"/>
        <w:jc w:val="both"/>
        <w:rPr>
          <w:rFonts w:ascii="Arial" w:hAnsi="Arial" w:eastAsia="Arial"/>
          <w:sz w:val="30"/>
          <w:rtl/>
        </w:rPr>
      </w:pPr>
    </w:p>
    <w:p w14:paraId="107F93C7">
      <w:pPr>
        <w:spacing w:after="100"/>
        <w:ind w:firstLine="397"/>
        <w:jc w:val="both"/>
        <w:rPr>
          <w:rFonts w:ascii="Arial" w:hAnsi="Arial" w:eastAsia="Arial"/>
          <w:sz w:val="30"/>
          <w:rtl/>
        </w:rPr>
      </w:pPr>
    </w:p>
    <w:p w14:paraId="1D986A60">
      <w:pPr>
        <w:spacing w:after="100"/>
        <w:ind w:firstLine="397"/>
        <w:jc w:val="both"/>
      </w:pPr>
    </w:p>
    <w:p w14:paraId="3DB19C6E">
      <w:pPr>
        <w:spacing w:after="40"/>
        <w:jc w:val="right"/>
      </w:pPr>
      <w:r>
        <w:rPr>
          <w:rFonts w:ascii="Arial" w:hAnsi="Arial" w:eastAsia="Arial"/>
          <w:b/>
          <w:sz w:val="24"/>
        </w:rPr>
        <w:t>مراجع مختصرة</w:t>
      </w:r>
    </w:p>
    <w:p w14:paraId="61CAFAE8">
      <w:pPr>
        <w:spacing w:after="0"/>
        <w:jc w:val="right"/>
      </w:pPr>
      <w:r>
        <w:rPr>
          <w:rFonts w:ascii="Arial" w:hAnsi="Arial" w:eastAsia="Arial"/>
          <w:sz w:val="20"/>
        </w:rPr>
        <w:t>• American Psychological Association. (2020). Publication Manual of the American Psychological Association (7th ed.)</w:t>
      </w:r>
      <w:r>
        <w:rPr>
          <w:rFonts w:hint="default" w:ascii="Arial" w:hAnsi="Arial" w:eastAsia="Arial"/>
          <w:sz w:val="20"/>
          <w:lang w:val="en-US"/>
        </w:rPr>
        <w:t>.</w:t>
      </w:r>
      <w:r>
        <w:rPr>
          <w:rFonts w:ascii="Arial" w:hAnsi="Arial" w:eastAsia="Arial"/>
          <w:sz w:val="20"/>
        </w:rPr>
        <w:br w:type="textWrapping"/>
      </w:r>
      <w:r>
        <w:rPr>
          <w:rFonts w:ascii="Arial" w:hAnsi="Arial" w:eastAsia="Arial"/>
          <w:sz w:val="20"/>
        </w:rPr>
        <w:t>• Committee on Publication Ethics (COPE). Core Practices.• UNESCO. (2021). UNESCO Recommendation on Open Science.</w:t>
      </w:r>
    </w:p>
    <w:sectPr>
      <w:pgSz w:w="11906" w:h="16838"/>
      <w:pgMar w:top="1020" w:right="1134" w:bottom="1020" w:left="1134" w:header="720" w:footer="720" w:gutter="0"/>
      <w:pgBorders w:offsetFrom="page">
        <w:top w:val="thinThickSmallGap" w:color="auto" w:sz="24" w:space="24"/>
        <w:left w:val="thinThickSmallGap" w:color="auto" w:sz="24" w:space="24"/>
        <w:bottom w:val="thickThinSmallGap" w:color="auto" w:sz="24" w:space="24"/>
        <w:right w:val="thickThinSmallGap" w:color="auto" w:sz="24" w:space="24"/>
      </w:pgBorders>
      <w:cols w:space="720" w:num="1"/>
      <w:bidi/>
      <w:rtlGutter w:val="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1E13"/>
    <w:rsid w:val="000759F8"/>
    <w:rsid w:val="00082F8B"/>
    <w:rsid w:val="000A7229"/>
    <w:rsid w:val="000C6E11"/>
    <w:rsid w:val="00133475"/>
    <w:rsid w:val="001959F7"/>
    <w:rsid w:val="001973E2"/>
    <w:rsid w:val="001B6723"/>
    <w:rsid w:val="001C5A17"/>
    <w:rsid w:val="001D5F3A"/>
    <w:rsid w:val="00226EC1"/>
    <w:rsid w:val="00251E13"/>
    <w:rsid w:val="002924BB"/>
    <w:rsid w:val="002A6691"/>
    <w:rsid w:val="002D0C50"/>
    <w:rsid w:val="002F6004"/>
    <w:rsid w:val="003057CF"/>
    <w:rsid w:val="003F3D2A"/>
    <w:rsid w:val="00440A79"/>
    <w:rsid w:val="004574CF"/>
    <w:rsid w:val="00473EE3"/>
    <w:rsid w:val="00482E71"/>
    <w:rsid w:val="0056220E"/>
    <w:rsid w:val="005B6E8D"/>
    <w:rsid w:val="005D0DE7"/>
    <w:rsid w:val="005E5433"/>
    <w:rsid w:val="006229CC"/>
    <w:rsid w:val="00647A87"/>
    <w:rsid w:val="00656B45"/>
    <w:rsid w:val="006C2C49"/>
    <w:rsid w:val="0073654B"/>
    <w:rsid w:val="0074205B"/>
    <w:rsid w:val="00767D5D"/>
    <w:rsid w:val="00774B8D"/>
    <w:rsid w:val="007A37CD"/>
    <w:rsid w:val="00811F88"/>
    <w:rsid w:val="00814DDB"/>
    <w:rsid w:val="00834B2A"/>
    <w:rsid w:val="00885ECA"/>
    <w:rsid w:val="00887C90"/>
    <w:rsid w:val="008906E0"/>
    <w:rsid w:val="00916441"/>
    <w:rsid w:val="009678C0"/>
    <w:rsid w:val="00A20991"/>
    <w:rsid w:val="00A4521E"/>
    <w:rsid w:val="00A6122B"/>
    <w:rsid w:val="00B11A3A"/>
    <w:rsid w:val="00B11C33"/>
    <w:rsid w:val="00B232D5"/>
    <w:rsid w:val="00B66F5D"/>
    <w:rsid w:val="00BA16C3"/>
    <w:rsid w:val="00BE5104"/>
    <w:rsid w:val="00BF067B"/>
    <w:rsid w:val="00C176AB"/>
    <w:rsid w:val="00C22C22"/>
    <w:rsid w:val="00D33709"/>
    <w:rsid w:val="00D53780"/>
    <w:rsid w:val="00D65CB3"/>
    <w:rsid w:val="00D92828"/>
    <w:rsid w:val="00DB5E2B"/>
    <w:rsid w:val="00DE0A21"/>
    <w:rsid w:val="00E66A5B"/>
    <w:rsid w:val="00E91887"/>
    <w:rsid w:val="00F01A50"/>
    <w:rsid w:val="00FA016B"/>
    <w:rsid w:val="00FA597F"/>
    <w:rsid w:val="00FC70F6"/>
    <w:rsid w:val="00FD4BBC"/>
    <w:rsid w:val="4075655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bidi/>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8"/>
    <w:semiHidden/>
    <w:unhideWhenUsed/>
    <w:qFormat/>
    <w:uiPriority w:val="99"/>
    <w:pPr>
      <w:spacing w:after="0" w:line="240" w:lineRule="auto"/>
    </w:pPr>
    <w:rPr>
      <w:rFonts w:ascii="Tahoma" w:hAnsi="Tahoma" w:cs="Tahoma"/>
      <w:sz w:val="16"/>
      <w:szCs w:val="16"/>
    </w:rPr>
  </w:style>
  <w:style w:type="character" w:styleId="5">
    <w:name w:val="FollowedHyperlink"/>
    <w:basedOn w:val="2"/>
    <w:semiHidden/>
    <w:unhideWhenUsed/>
    <w:qFormat/>
    <w:uiPriority w:val="99"/>
    <w:rPr>
      <w:color w:val="800080" w:themeColor="followedHyperlink"/>
      <w:u w:val="single"/>
      <w14:textFill>
        <w14:solidFill>
          <w14:schemeClr w14:val="folHlink"/>
        </w14:solidFill>
      </w14:textFill>
    </w:rPr>
  </w:style>
  <w:style w:type="character" w:styleId="6">
    <w:name w:val="Hyperlink"/>
    <w:basedOn w:val="2"/>
    <w:unhideWhenUsed/>
    <w:qFormat/>
    <w:uiPriority w:val="99"/>
    <w:rPr>
      <w:color w:val="0000FF" w:themeColor="hyperlink"/>
      <w:u w:val="single"/>
      <w14:textFill>
        <w14:solidFill>
          <w14:schemeClr w14:val="hlink"/>
        </w14:solidFill>
      </w14:textFill>
    </w:rPr>
  </w:style>
  <w:style w:type="table" w:styleId="7">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Balloon Text Char"/>
    <w:basedOn w:val="2"/>
    <w:link w:val="4"/>
    <w:semiHidden/>
    <w:qFormat/>
    <w:uiPriority w:val="99"/>
    <w:rPr>
      <w:rFonts w:ascii="Tahoma" w:hAnsi="Tahoma" w:cs="Tahoma"/>
      <w:sz w:val="16"/>
      <w:szCs w:val="16"/>
    </w:rPr>
  </w:style>
  <w:style w:type="paragraph" w:styleId="9">
    <w:name w:val="List Paragraph"/>
    <w:basedOn w:val="1"/>
    <w:qFormat/>
    <w:uiPriority w:val="34"/>
    <w:pPr>
      <w:ind w:left="720"/>
      <w:contextualSpacing/>
    </w:pPr>
  </w:style>
  <w:style w:type="character" w:customStyle="1" w:styleId="10">
    <w:name w:val="Unresolved Mention"/>
    <w:basedOn w:val="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WEST</Company>
  <Pages>4</Pages>
  <Words>1181</Words>
  <Characters>5973</Characters>
  <Lines>52</Lines>
  <Paragraphs>14</Paragraphs>
  <TotalTime>2946</TotalTime>
  <ScaleCrop>false</ScaleCrop>
  <LinksUpToDate>false</LinksUpToDate>
  <CharactersWithSpaces>7122</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2026-10-06T09:59:00Z</dcterms:created>
  <dc:creator>MOhamed Okda</dc:creator>
  <cp:lastModifiedBy>Waleed</cp:lastModifiedBy>
  <cp:lastPrinted>2026-02-13T22:03:00Z</cp:lastPrinted>
  <dcterms:modified xsi:type="dcterms:W3CDTF">2026-10-08T11:11:17Z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eyJoZGlkIjoiNTY3MGQ3M2JhMDZmM2U4Nzk4ZWRkNGNhMTk2NzBlYTAiLCJ1c2VySWQiOiI4ODEzOTYxMDE5MTgyIn0=</vt:lpwstr>
  </property>
  <property fmtid="{D5CDD505-2E9C-101B-9397-08002B2CF9AE}" pid="3" name="KSOProductBuildVer">
    <vt:lpwstr>1033-12.1.0.28485</vt:lpwstr>
  </property>
  <property fmtid="{D5CDD505-2E9C-101B-9397-08002B2CF9AE}" pid="4" name="ICV">
    <vt:lpwstr>D8FDA7A4FA6040D3A7DAD7DF5194376C_13</vt:lpwstr>
  </property>
</Properties>
</file>