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767178E" w:rsidR="009125CE" w:rsidRPr="00565106" w:rsidRDefault="00F64761" w:rsidP="00A6431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565106">
        <w:rPr>
          <w:rFonts w:ascii="Simplified Arabic" w:hAnsi="Simplified Arabic" w:cs="Simplified Arabic"/>
          <w:b/>
          <w:bCs/>
          <w:noProof/>
          <w:color w:val="000000" w:themeColor="text1"/>
          <w:sz w:val="32"/>
          <w:szCs w:val="32"/>
        </w:rPr>
        <w:drawing>
          <wp:anchor distT="0" distB="0" distL="114300" distR="114300" simplePos="0" relativeHeight="251658240" behindDoc="0" locked="0" layoutInCell="1" allowOverlap="1" wp14:anchorId="4117FFF0" wp14:editId="0B2B39CE">
            <wp:simplePos x="0" y="0"/>
            <wp:positionH relativeFrom="margin">
              <wp:posOffset>300990</wp:posOffset>
            </wp:positionH>
            <wp:positionV relativeFrom="margin">
              <wp:posOffset>-300355</wp:posOffset>
            </wp:positionV>
            <wp:extent cx="1586865" cy="1472702"/>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6865" cy="1472702"/>
                    </a:xfrm>
                    <a:prstGeom prst="rect">
                      <a:avLst/>
                    </a:prstGeom>
                  </pic:spPr>
                </pic:pic>
              </a:graphicData>
            </a:graphic>
            <wp14:sizeRelH relativeFrom="margin">
              <wp14:pctWidth>0</wp14:pctWidth>
            </wp14:sizeRelH>
            <wp14:sizeRelV relativeFrom="margin">
              <wp14:pctHeight>0</wp14:pctHeight>
            </wp14:sizeRelV>
          </wp:anchor>
        </w:drawing>
      </w:r>
      <w:r w:rsidRPr="00565106">
        <w:rPr>
          <w:rFonts w:ascii="Simplified Arabic" w:hAnsi="Simplified Arabic" w:cs="Simplified Arabic"/>
          <w:b/>
          <w:bCs/>
          <w:color w:val="000000" w:themeColor="text1"/>
          <w:sz w:val="32"/>
          <w:szCs w:val="32"/>
          <w:rtl/>
        </w:rPr>
        <w:t>ج</w:t>
      </w:r>
      <w:r w:rsidR="009125CE" w:rsidRPr="00565106">
        <w:rPr>
          <w:rFonts w:ascii="Simplified Arabic" w:hAnsi="Simplified Arabic" w:cs="Simplified Arabic"/>
          <w:b/>
          <w:bCs/>
          <w:color w:val="000000" w:themeColor="text1"/>
          <w:sz w:val="32"/>
          <w:szCs w:val="32"/>
          <w:rtl/>
          <w:lang w:bidi="ar-EG"/>
        </w:rPr>
        <w:t xml:space="preserve">امعة ميدأوشن </w:t>
      </w:r>
    </w:p>
    <w:p w14:paraId="1E957002" w14:textId="2A221B0E" w:rsidR="00F546CE" w:rsidRPr="00565106" w:rsidRDefault="009125CE" w:rsidP="00A6431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65106">
        <w:rPr>
          <w:rFonts w:ascii="Simplified Arabic" w:hAnsi="Simplified Arabic" w:cs="Simplified Arabic"/>
          <w:b/>
          <w:bCs/>
          <w:color w:val="000000" w:themeColor="text1"/>
          <w:sz w:val="32"/>
          <w:szCs w:val="32"/>
          <w:rtl/>
          <w:lang w:bidi="ar-EG"/>
        </w:rPr>
        <w:t xml:space="preserve">كلية الإدارة </w:t>
      </w:r>
    </w:p>
    <w:p w14:paraId="0217C513" w14:textId="09087A8B" w:rsidR="009125CE" w:rsidRPr="00565106" w:rsidRDefault="009125CE" w:rsidP="00A6431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65106">
        <w:rPr>
          <w:rFonts w:ascii="Simplified Arabic" w:hAnsi="Simplified Arabic" w:cs="Simplified Arabic"/>
          <w:b/>
          <w:bCs/>
          <w:color w:val="000000" w:themeColor="text1"/>
          <w:sz w:val="32"/>
          <w:szCs w:val="32"/>
          <w:rtl/>
          <w:lang w:bidi="ar-EG"/>
        </w:rPr>
        <w:t xml:space="preserve">قسم / </w:t>
      </w:r>
      <w:r w:rsidR="00A870DE" w:rsidRPr="00565106">
        <w:rPr>
          <w:rFonts w:ascii="Simplified Arabic" w:hAnsi="Simplified Arabic" w:cs="Simplified Arabic"/>
          <w:b/>
          <w:bCs/>
          <w:color w:val="000000" w:themeColor="text1"/>
          <w:sz w:val="32"/>
          <w:szCs w:val="32"/>
          <w:rtl/>
          <w:lang w:bidi="ar-EG"/>
        </w:rPr>
        <w:t>إدارة المشاريع</w:t>
      </w:r>
    </w:p>
    <w:p w14:paraId="11A91486" w14:textId="77777777" w:rsidR="009125CE" w:rsidRPr="00565106" w:rsidRDefault="009125CE" w:rsidP="00A6431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B75BBDB" w14:textId="77777777" w:rsidR="00A870DE" w:rsidRPr="00565106" w:rsidRDefault="00A870DE" w:rsidP="00A6431F">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pPr>
      <w:r w:rsidRPr="00565106">
        <w:rPr>
          <w:rFonts w:ascii="Simplified Arabic" w:hAnsi="Simplified Arabic" w:cs="Simplified Arabic"/>
          <w:b/>
          <w:bCs/>
          <w:color w:val="000000" w:themeColor="text1"/>
          <w:sz w:val="40"/>
          <w:szCs w:val="40"/>
          <w:rtl/>
        </w:rPr>
        <w:t>أثر</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برامج</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الدعم</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المالي</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للطلاب</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على</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الاستمرار</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الأكاديمي</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وتقليل</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التسرب</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دراسة</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تطبيقية</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على</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الجامعات</w:t>
      </w:r>
      <w:r w:rsidRPr="00565106">
        <w:rPr>
          <w:rFonts w:ascii="Simplified Arabic" w:hAnsi="Simplified Arabic" w:cs="Simplified Arabic"/>
          <w:b/>
          <w:bCs/>
          <w:color w:val="000000" w:themeColor="text1"/>
          <w:sz w:val="40"/>
          <w:szCs w:val="40"/>
        </w:rPr>
        <w:t xml:space="preserve"> </w:t>
      </w:r>
      <w:r w:rsidRPr="00565106">
        <w:rPr>
          <w:rFonts w:ascii="Simplified Arabic" w:hAnsi="Simplified Arabic" w:cs="Simplified Arabic"/>
          <w:b/>
          <w:bCs/>
          <w:color w:val="000000" w:themeColor="text1"/>
          <w:sz w:val="40"/>
          <w:szCs w:val="40"/>
          <w:rtl/>
        </w:rPr>
        <w:t>السعودية</w:t>
      </w:r>
    </w:p>
    <w:p w14:paraId="0EB57E30" w14:textId="77777777" w:rsidR="009125CE" w:rsidRPr="00565106" w:rsidRDefault="009125CE" w:rsidP="00A6431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6D872A85" w:rsidR="009125CE" w:rsidRPr="00565106" w:rsidRDefault="009125CE" w:rsidP="00F4713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65106">
        <w:rPr>
          <w:rFonts w:ascii="Simplified Arabic" w:hAnsi="Simplified Arabic" w:cs="Simplified Arabic"/>
          <w:b/>
          <w:bCs/>
          <w:color w:val="000000" w:themeColor="text1"/>
          <w:sz w:val="36"/>
          <w:szCs w:val="36"/>
          <w:rtl/>
          <w:lang w:bidi="ar-EG"/>
        </w:rPr>
        <w:t>إعداد الطالب/</w:t>
      </w:r>
    </w:p>
    <w:p w14:paraId="3D3CBDF8" w14:textId="6E68DCB4" w:rsidR="009125CE" w:rsidRPr="00565106" w:rsidRDefault="00A870DE" w:rsidP="00F4713C">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r w:rsidRPr="00565106">
        <w:rPr>
          <w:rFonts w:ascii="Simplified Arabic" w:hAnsi="Simplified Arabic" w:cs="Simplified Arabic"/>
          <w:color w:val="000000" w:themeColor="text1"/>
          <w:sz w:val="36"/>
          <w:szCs w:val="36"/>
          <w:rtl/>
          <w:lang w:bidi="ar-EG"/>
        </w:rPr>
        <w:t>ياسر محمد الحربي</w:t>
      </w:r>
    </w:p>
    <w:p w14:paraId="51DB36AD" w14:textId="1CF63734" w:rsidR="00A870DE" w:rsidRPr="00565106" w:rsidRDefault="00A870DE" w:rsidP="00F4713C">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565106">
        <w:rPr>
          <w:rFonts w:ascii="Simplified Arabic" w:hAnsi="Simplified Arabic" w:cs="Simplified Arabic"/>
          <w:color w:val="000000" w:themeColor="text1"/>
          <w:sz w:val="36"/>
          <w:szCs w:val="36"/>
        </w:rPr>
        <w:t>253002779</w:t>
      </w:r>
    </w:p>
    <w:tbl>
      <w:tblPr>
        <w:bidiVisual/>
        <w:tblW w:w="0" w:type="auto"/>
        <w:tblLook w:val="04A0" w:firstRow="1" w:lastRow="0" w:firstColumn="1" w:lastColumn="0" w:noHBand="0" w:noVBand="1"/>
      </w:tblPr>
      <w:tblGrid>
        <w:gridCol w:w="4530"/>
        <w:gridCol w:w="4531"/>
      </w:tblGrid>
      <w:tr w:rsidR="00F4713C" w:rsidRPr="00565106" w14:paraId="5A7E01B3" w14:textId="77777777" w:rsidTr="00F4713C">
        <w:tc>
          <w:tcPr>
            <w:tcW w:w="4530" w:type="dxa"/>
          </w:tcPr>
          <w:p w14:paraId="15290D82" w14:textId="77777777" w:rsidR="00F4713C" w:rsidRPr="00565106" w:rsidRDefault="00F4713C" w:rsidP="00F4713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65106">
              <w:rPr>
                <w:rFonts w:ascii="Simplified Arabic" w:hAnsi="Simplified Arabic" w:cs="Simplified Arabic" w:hint="cs"/>
                <w:b/>
                <w:bCs/>
                <w:color w:val="000000" w:themeColor="text1"/>
                <w:sz w:val="36"/>
                <w:szCs w:val="36"/>
                <w:rtl/>
                <w:lang w:bidi="ar-EG"/>
              </w:rPr>
              <w:t>المشرف الرئيسي/</w:t>
            </w:r>
          </w:p>
        </w:tc>
        <w:tc>
          <w:tcPr>
            <w:tcW w:w="4531" w:type="dxa"/>
          </w:tcPr>
          <w:p w14:paraId="62F7E0F5" w14:textId="77777777" w:rsidR="00F4713C" w:rsidRPr="00565106" w:rsidRDefault="00F4713C" w:rsidP="00F4713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65106">
              <w:rPr>
                <w:rFonts w:ascii="Simplified Arabic" w:hAnsi="Simplified Arabic" w:cs="Simplified Arabic" w:hint="cs"/>
                <w:b/>
                <w:bCs/>
                <w:color w:val="000000" w:themeColor="text1"/>
                <w:sz w:val="36"/>
                <w:szCs w:val="36"/>
                <w:rtl/>
                <w:lang w:bidi="ar-EG"/>
              </w:rPr>
              <w:t>المشرف الثاني/</w:t>
            </w:r>
          </w:p>
        </w:tc>
      </w:tr>
      <w:tr w:rsidR="00F4713C" w:rsidRPr="00565106" w14:paraId="06E62D72" w14:textId="77777777" w:rsidTr="00F4713C">
        <w:tc>
          <w:tcPr>
            <w:tcW w:w="4530" w:type="dxa"/>
          </w:tcPr>
          <w:p w14:paraId="2F14230B" w14:textId="77777777" w:rsidR="00F4713C" w:rsidRPr="00565106" w:rsidRDefault="00F4713C" w:rsidP="00F4713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56510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2912FDE" w14:textId="77777777" w:rsidR="00F4713C" w:rsidRPr="00565106" w:rsidRDefault="00F4713C" w:rsidP="00F4713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565106">
              <w:rPr>
                <w:rFonts w:ascii="Simplified Arabic" w:eastAsia="Calibri" w:hAnsi="Simplified Arabic" w:cs="Simplified Arabic"/>
                <w:color w:val="000000" w:themeColor="text1"/>
                <w:kern w:val="0"/>
                <w:sz w:val="36"/>
                <w:szCs w:val="36"/>
                <w:rtl/>
                <w:lang w:bidi="ar-EG"/>
                <w14:ligatures w14:val="none"/>
              </w:rPr>
              <w:t>د.فايز جراد</w:t>
            </w:r>
          </w:p>
        </w:tc>
      </w:tr>
    </w:tbl>
    <w:p w14:paraId="476A2111" w14:textId="77777777" w:rsidR="00F4713C" w:rsidRPr="00565106" w:rsidRDefault="00F4713C" w:rsidP="00F4713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65106">
        <w:rPr>
          <w:rFonts w:ascii="Simplified Arabic" w:hAnsi="Simplified Arabic" w:cs="Simplified Arabic"/>
          <w:b/>
          <w:bCs/>
          <w:color w:val="000000" w:themeColor="text1"/>
          <w:sz w:val="36"/>
          <w:szCs w:val="36"/>
          <w:rtl/>
          <w:lang w:bidi="ar-EG"/>
        </w:rPr>
        <w:t>العام الدراسي:</w:t>
      </w:r>
    </w:p>
    <w:p w14:paraId="4D835AEC" w14:textId="77777777" w:rsidR="00F4713C" w:rsidRPr="00565106" w:rsidRDefault="00F4713C" w:rsidP="00F4713C">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565106">
        <w:rPr>
          <w:rFonts w:ascii="Simplified Arabic" w:hAnsi="Simplified Arabic" w:cs="Simplified Arabic" w:hint="cs"/>
          <w:color w:val="000000" w:themeColor="text1"/>
          <w:sz w:val="36"/>
          <w:szCs w:val="36"/>
          <w:rtl/>
          <w:lang w:bidi="ar-EG"/>
        </w:rPr>
        <w:t xml:space="preserve">1448 </w:t>
      </w:r>
      <w:r w:rsidRPr="00565106">
        <w:rPr>
          <w:rFonts w:ascii="Simplified Arabic" w:hAnsi="Simplified Arabic" w:cs="Simplified Arabic"/>
          <w:color w:val="000000" w:themeColor="text1"/>
          <w:sz w:val="36"/>
          <w:szCs w:val="36"/>
          <w:rtl/>
          <w:lang w:bidi="ar-EG"/>
        </w:rPr>
        <w:t>–</w:t>
      </w:r>
      <w:r w:rsidRPr="00565106">
        <w:rPr>
          <w:rFonts w:ascii="Simplified Arabic" w:hAnsi="Simplified Arabic" w:cs="Simplified Arabic" w:hint="cs"/>
          <w:color w:val="000000" w:themeColor="text1"/>
          <w:sz w:val="36"/>
          <w:szCs w:val="36"/>
          <w:rtl/>
          <w:lang w:bidi="ar-EG"/>
        </w:rPr>
        <w:t xml:space="preserve"> 2026</w:t>
      </w:r>
    </w:p>
    <w:p w14:paraId="6C0650D2" w14:textId="77777777" w:rsidR="00F4713C" w:rsidRPr="00565106" w:rsidRDefault="00F4713C" w:rsidP="00F4713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F4713C" w:rsidRPr="00565106" w:rsidSect="00F4713C">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3048502C" w14:textId="12367458" w:rsidR="00A74F76" w:rsidRPr="00565106" w:rsidRDefault="00F4713C" w:rsidP="00F4713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4329130"/>
      <w:r w:rsidRPr="00565106">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10DF01B" w14:textId="71892760"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 w:name="_Toc234329131"/>
      <w:r w:rsidRPr="00565106">
        <w:rPr>
          <w:rFonts w:ascii="Simplified Arabic" w:hAnsi="Simplified Arabic" w:cs="Simplified Arabic" w:hint="cs"/>
          <w:b/>
          <w:bCs/>
          <w:color w:val="000000" w:themeColor="text1"/>
          <w:sz w:val="36"/>
          <w:szCs w:val="36"/>
          <w:rtl/>
        </w:rPr>
        <w:t xml:space="preserve">1.1 </w:t>
      </w:r>
      <w:r w:rsidR="002D7B70" w:rsidRPr="00565106">
        <w:rPr>
          <w:rFonts w:ascii="Simplified Arabic" w:hAnsi="Simplified Arabic" w:cs="Simplified Arabic"/>
          <w:b/>
          <w:bCs/>
          <w:color w:val="000000" w:themeColor="text1"/>
          <w:sz w:val="36"/>
          <w:szCs w:val="36"/>
          <w:rtl/>
        </w:rPr>
        <w:t>مقدمة الدراسة</w:t>
      </w:r>
      <w:bookmarkEnd w:id="1"/>
    </w:p>
    <w:p w14:paraId="4EC11F8A" w14:textId="6BD4204F"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يشهد العالم المعاصر تحولات متسارعة في منظومة التعليم العالي، إذ باتت الجامعات تُمثّل الرافعة الأساسية للتنمية الاقتصادية والاجتماعية، والمصدر الرئيس لإعداد الكفاءات البشرية القادرة على مواكبة متطلبات سوق العمل ومجتمعات المعرفة. وقد أدركت الدول أن الاستثمار في التعليم الجامعي هو استثمار طويل الأمد في رأس المال البشري، ومن ثَمّ سعت إلى ضمان وصول أبنائها إلى هذا التعليم واستمرارهم فيه حتى إتمام مسيرتهم الأكاديمية، غير أن ظاهرة التسرب الجامعي ما زالت تُشكّل تحدياً بنيوياً يواجه أنظمة التعليم العالي في مختلف بقاع العالم، ويُلقي بظلاله على تحقيق أهداف التنمية المستدامة المرتبطة بجودة التعليم وتكافؤ الفرص</w:t>
      </w:r>
      <w:r w:rsidRPr="00565106">
        <w:rPr>
          <w:rFonts w:ascii="Simplified Arabic" w:hAnsi="Simplified Arabic" w:cs="Simplified Arabic"/>
          <w:color w:val="000000" w:themeColor="text1"/>
          <w:sz w:val="28"/>
          <w:szCs w:val="28"/>
        </w:rPr>
        <w:t xml:space="preserve"> (Lorenzo-Quiles et al., 2023).</w:t>
      </w:r>
    </w:p>
    <w:p w14:paraId="61E3C1E7"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وتتعدد المحدّدات المفسِّرة لظاهرة التسرب الجامعي بحيث لا يمكن ردّها إلى عامل واحد، إذ تتشابك فيها العوامل الشخصية والأكاديمية والأسرية والمؤسسية والاقتصادية، وتتفاعل هذه العوامل فيما بينها لتُنتج قرار الانقطاع عن الدراسة. وقد أشارت الأدبيات الحديثة إلى أن العوامل الاقتصادية تحتل موقعاً محورياً ضمن هذه المنظومة من المحدّدات، لا سيّما في ظل ارتفاع تكاليف التعليم العالي وتنامي الأعباء المعيشية على الأسر، مما يجعل قدرة الطالب على الاستمرار الأكاديمي رهينةً إلى حدٍّ بعيد بقدرته المالية وقدرة أسرته على تحمّل هذه الأعباء</w:t>
      </w:r>
      <w:r w:rsidRPr="00565106">
        <w:rPr>
          <w:rFonts w:ascii="Simplified Arabic" w:hAnsi="Simplified Arabic" w:cs="Simplified Arabic"/>
          <w:color w:val="000000" w:themeColor="text1"/>
          <w:sz w:val="28"/>
          <w:szCs w:val="28"/>
        </w:rPr>
        <w:t xml:space="preserve"> (N</w:t>
      </w:r>
      <w:r w:rsidRPr="00565106">
        <w:rPr>
          <w:rFonts w:ascii="Cambria" w:hAnsi="Cambria" w:cs="Cambria"/>
          <w:color w:val="000000" w:themeColor="text1"/>
          <w:sz w:val="28"/>
          <w:szCs w:val="28"/>
        </w:rPr>
        <w:t>úñ</w:t>
      </w:r>
      <w:r w:rsidRPr="00565106">
        <w:rPr>
          <w:rFonts w:ascii="Simplified Arabic" w:hAnsi="Simplified Arabic" w:cs="Simplified Arabic"/>
          <w:color w:val="000000" w:themeColor="text1"/>
          <w:sz w:val="28"/>
          <w:szCs w:val="28"/>
        </w:rPr>
        <w:t>ez-Naranjo, 2024).</w:t>
      </w:r>
    </w:p>
    <w:p w14:paraId="7992B3C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وفي هذا السياق، بزغت برامج الدعم المالي للطلاب بوصفها إحدى أهم أدوات السياسة التعليمية التي تلجأ إليها الحكومات والجامعات لتخفيف الأثر السلبي للعوامل الاقتصادية على المسار الجامعي للطالب، وذلك عبر جملة متنوعة من الآليات تشمل المنح الدراسية، والقروض الميسّرة، والمكافآت الشهرية، والإعفاءات من الرسوم، وبرامج العمل داخل الحرم الجامعي. وتنطلق فلسفة هذه البرامج من إيمان راسخ بأن المال لا ينبغي أن يكون حائلاً دون إتمام التعليم، وأن العدالة في التعليم العالي تقتضي تكافؤ الفرص لجميع الفئات الاجتماعية بصرف النظر عن قدرتها المالية</w:t>
      </w:r>
      <w:r w:rsidRPr="00565106">
        <w:rPr>
          <w:rFonts w:ascii="Simplified Arabic" w:hAnsi="Simplified Arabic" w:cs="Simplified Arabic"/>
          <w:color w:val="000000" w:themeColor="text1"/>
          <w:sz w:val="28"/>
          <w:szCs w:val="28"/>
        </w:rPr>
        <w:t xml:space="preserve"> (LaSota et al., 2025).</w:t>
      </w:r>
    </w:p>
    <w:p w14:paraId="0C07B29C" w14:textId="3E62E493"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 xml:space="preserve">وقد تعدّدت أشكال الدعم المالي وأبعاده باختلاف السياقات والأنظمة التعليمية، فبعضها يقوم على معيار الحاجة، وبعضها الآخر يقوم على معيار الاستحقاق الأكاديمي، فيما تجمع أنظمة أخرى بين </w:t>
      </w:r>
      <w:r w:rsidRPr="00565106">
        <w:rPr>
          <w:rFonts w:ascii="Simplified Arabic" w:hAnsi="Simplified Arabic" w:cs="Simplified Arabic"/>
          <w:color w:val="000000" w:themeColor="text1"/>
          <w:sz w:val="28"/>
          <w:szCs w:val="28"/>
          <w:rtl/>
        </w:rPr>
        <w:lastRenderedPageBreak/>
        <w:t>المعيارين في إطار منظومة دعم مختلطة، تسعى من خلال التنويع في أدواتها إلى تلبية احتياجات فئات طلابية متباينة. وقد أظهرت الأدبيات أن التصميم الدقيق لبرامج الدعم المالي، ومدى ملاءمتها لخصائص المستفيدين منها، يُعدّان من العوامل الحاسمة في تحديد مدى فاعليتها في دعم المسار الأكاديمي للطلاب</w:t>
      </w:r>
      <w:r w:rsidRPr="00565106">
        <w:rPr>
          <w:rFonts w:ascii="Simplified Arabic" w:hAnsi="Simplified Arabic" w:cs="Simplified Arabic"/>
          <w:color w:val="000000" w:themeColor="text1"/>
          <w:sz w:val="28"/>
          <w:szCs w:val="28"/>
        </w:rPr>
        <w:t xml:space="preserve"> (Qi et al.,  2022).</w:t>
      </w:r>
    </w:p>
    <w:p w14:paraId="1E5BD1EE" w14:textId="76645E53"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وعلى الجانب المقابل، لا تزال ظاهرة التسرب الجامعي تفرض نفسها بوصفها إحدى أعقد القضايا التربوية المعاصرة، لما تنطوي عليه من كلفة اقتصادية واجتماعية باهظة على مستوى الفرد والأسرة والمؤسسة التعليمية والدولة. فالطالب المتسرب يفقد فرصة تحسين مساره المهني ومستوى دخله المستقبلي، والأسرة تفقد ما استثمرته من موارد مادية ومعنوية، والجامعة تُهدر جزءاً من طاقتها الاستيعابية، بينما يُحرم المجتمع من كفاءات كان يُمكن أن تُسهم في تنميته</w:t>
      </w:r>
      <w:r w:rsidRPr="00565106">
        <w:rPr>
          <w:rFonts w:ascii="Simplified Arabic" w:hAnsi="Simplified Arabic" w:cs="Simplified Arabic"/>
          <w:color w:val="000000" w:themeColor="text1"/>
          <w:sz w:val="28"/>
          <w:szCs w:val="28"/>
        </w:rPr>
        <w:t xml:space="preserve"> (Aina, et al., 2022).</w:t>
      </w:r>
    </w:p>
    <w:p w14:paraId="028A57E0" w14:textId="2A6D75ED"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وفي ضوء ما تقدّم، يتضح أن العلاقة بين الدعم المالي والتسرب الجامعي علاقة جوهرية متشعّبة الأبعاد، تستحق البحث والتقصّي في السياق السعودي الذي يشهد – في ظل رؤية المملكة 2030 – توسّعاً ملحوظاً في مؤسسات التعليم العالي، وتنوّعاً في برامج الدعم المالي المقدَّم للطلاب، مما يجعل من دراسة أثر هذه البرامج على الاستمرار الأكاديمي والحدّ من التسرب في الجامعات السعودية ضرورةً علمية وعملية، تُسهم في توفير قاعدة معرفية موثوقة تُبنى عليها السياسات المستقبلية الرامية إلى تحقيق العدالة التعليمية والاستدامة الأكاديمية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w:t>
      </w:r>
    </w:p>
    <w:p w14:paraId="6537E57C" w14:textId="0A4F857E"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2" w:name="_Toc234329132"/>
      <w:r w:rsidRPr="00565106">
        <w:rPr>
          <w:rFonts w:ascii="Simplified Arabic" w:hAnsi="Simplified Arabic" w:cs="Simplified Arabic" w:hint="cs"/>
          <w:b/>
          <w:bCs/>
          <w:color w:val="000000" w:themeColor="text1"/>
          <w:sz w:val="36"/>
          <w:szCs w:val="36"/>
          <w:rtl/>
        </w:rPr>
        <w:t xml:space="preserve">2.1 </w:t>
      </w:r>
      <w:r w:rsidR="002D7B70" w:rsidRPr="00565106">
        <w:rPr>
          <w:rFonts w:ascii="Simplified Arabic" w:hAnsi="Simplified Arabic" w:cs="Simplified Arabic"/>
          <w:b/>
          <w:bCs/>
          <w:color w:val="000000" w:themeColor="text1"/>
          <w:sz w:val="36"/>
          <w:szCs w:val="36"/>
          <w:rtl/>
        </w:rPr>
        <w:t>مشكلة الدراسة</w:t>
      </w:r>
      <w:bookmarkEnd w:id="2"/>
    </w:p>
    <w:p w14:paraId="2C6BB9BD"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تُشكّل ظاهرة التسرب الجامعي إحدى أبرز الإشكاليات التي تُقلق أنظمة التعليم العالي في مختلف أنحاء العالم، إذ لم تعد قاصرة على البيئات التعليمية الهشّة أو الأنظمة التعليمية الناشئة، بل باتت تمسّ حتى أعرق الجامعات وأكثرها استقراراً، مما يعكس تعقّد الظاهرة وتشابك محدّداتها وتعدّد أبعادها. وقد أشارت المراجعات المنهجية الحديثة إلى أن نسبة الطلاب الذين يتسرّبون من التعليم الجامعي في دول منظمة التعاون الاقتصادي والتنمية تتراوح حول الثلث تقريباً، وهي نسبة تنطوي على هدر هائل للموارد البشرية والمالية على المستويين الفردي والمجتمعي، وتُضعف من قدرة الجامعات على تحقيق أهدافها المتصلة بإعداد الكفاءات وتحقيق العدالة التعليمية</w:t>
      </w:r>
      <w:r w:rsidRPr="00565106">
        <w:rPr>
          <w:rFonts w:ascii="Simplified Arabic" w:hAnsi="Simplified Arabic" w:cs="Simplified Arabic"/>
          <w:color w:val="000000" w:themeColor="text1"/>
          <w:sz w:val="28"/>
          <w:szCs w:val="28"/>
        </w:rPr>
        <w:t xml:space="preserve"> (Aina et al., 2022).</w:t>
      </w:r>
    </w:p>
    <w:p w14:paraId="3BC14C85"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وفي السياق السعودي، ورغم الجهود الكبيرة التي بذلتها المملكة العربية السعودية في تطوير منظومة التعليم العالي وتوسيع الطاقة الاستيعابية للجامعات ضمن مستهدفات رؤية 2030، إلا أن الجامعات السعودية لا تزال تواجه تحدياً حقيقياً يتمثل في تفاوت معدلات الاستمرار الأكاديمي بين الطلاب، وارتفاع نسب الانقطاع في بعض التخصصات والمراحل، لا سيّما في السنة الجامعية الأولى التي تُعدّ من أكثر المراحل عرضةً للتسرب. وقد أوضحت الأدبيات المتخصّصة أن الأسباب المفضية إلى هذه الظاهرة متعددة، من أبرزها الأعباء الاقتصادية التي يواجهها الطالب وأسرته، وضعف التكيّف الأكاديمي والاجتماعي، وعدم الرضا عن التخصص، وضعف التوجيه والإرشاد، إلى جانب عوامل مؤسسية تتصل بجودة البيئة التعليمية</w:t>
      </w:r>
      <w:r w:rsidRPr="00565106">
        <w:rPr>
          <w:rFonts w:ascii="Simplified Arabic" w:hAnsi="Simplified Arabic" w:cs="Simplified Arabic"/>
          <w:color w:val="000000" w:themeColor="text1"/>
          <w:sz w:val="28"/>
          <w:szCs w:val="28"/>
        </w:rPr>
        <w:t xml:space="preserve"> (N</w:t>
      </w:r>
      <w:r w:rsidRPr="00565106">
        <w:rPr>
          <w:rFonts w:ascii="Cambria" w:hAnsi="Cambria" w:cs="Cambria"/>
          <w:color w:val="000000" w:themeColor="text1"/>
          <w:sz w:val="28"/>
          <w:szCs w:val="28"/>
        </w:rPr>
        <w:t>úñ</w:t>
      </w:r>
      <w:r w:rsidRPr="00565106">
        <w:rPr>
          <w:rFonts w:ascii="Simplified Arabic" w:hAnsi="Simplified Arabic" w:cs="Simplified Arabic"/>
          <w:color w:val="000000" w:themeColor="text1"/>
          <w:sz w:val="28"/>
          <w:szCs w:val="28"/>
        </w:rPr>
        <w:t>ez-Naranjo, 2024).</w:t>
      </w:r>
    </w:p>
    <w:p w14:paraId="01A1616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ومن بين هذه العوامل، يبرز البُعد الاقتصادي بوصفه محدّداً محورياً يمتد أثره ليتقاطع مع سائر المحدّدات الأخرى، إذ يجد كثير من الطلاب – لا سيّما القادمين من أسر ذات دخل محدود – صعوبة في تحمّل تكاليف التعليم والمعيشة والمواصلات والكتب والسكن الجامعي، مما يدفع بعضهم إلى الجمع بين الدراسة والعمل بصورة تُثقل كاهلهم أكاديمياً، أو الانقطاع الكلي عن الدراسة. ومن هنا برزت برامج الدعم المالي للطلاب في الجامعات السعودية – بأشكالها المتنوعة من مكافآت شهرية، ومنح دراسية، وقروض ميسّرة، وإعفاءات من الرسوم، وبرامج تشغيل داخل الحرم الجامعي – بوصفها آلية استراتيجية لمواجهة هذا التحدي وضمان تكافؤ الفرص التعليمية</w:t>
      </w:r>
      <w:r w:rsidRPr="00565106">
        <w:rPr>
          <w:rFonts w:ascii="Simplified Arabic" w:hAnsi="Simplified Arabic" w:cs="Simplified Arabic"/>
          <w:color w:val="000000" w:themeColor="text1"/>
          <w:sz w:val="28"/>
          <w:szCs w:val="28"/>
        </w:rPr>
        <w:t xml:space="preserve"> (Moores &amp; Burgess, 2023).</w:t>
      </w:r>
    </w:p>
    <w:p w14:paraId="2721C8FD"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غير أن ثمة إشكالية علمية جوهرية تتمثل في أن الأدبيات المتوفّرة حول أثر هذه البرامج في السياق السعودي لا تزال محدودة، إذ ركّزت أغلب الدراسات على السياقات الغربية والآسيوية، فيما ظلّت الدراسات العربية – والسعودية بوجه خاص – قاصرةً عن تقديم فهم معمّق لطبيعة العلاقة بين برامج الدعم المالي بأبعادها المختلفة والاستمرار الأكاديمي وتقليل التسرب. كما أن الدراسات القليلة المتاحة كثيراً ما تناولت الدعم المالي بوصفه متغيراً أحادياً، دون تفكيكه إلى أبعاده الحقيقية (منح، وقروض، ومكافآت، وإعفاءات) التي قد يتفاوت أثر كلٍّ منها في التأثير على المسار الأكاديمي للطالب</w:t>
      </w:r>
      <w:r w:rsidRPr="00565106">
        <w:rPr>
          <w:rFonts w:ascii="Simplified Arabic" w:hAnsi="Simplified Arabic" w:cs="Simplified Arabic"/>
          <w:color w:val="000000" w:themeColor="text1"/>
          <w:sz w:val="28"/>
          <w:szCs w:val="28"/>
        </w:rPr>
        <w:t xml:space="preserve"> (LaSota et al., 2025).</w:t>
      </w:r>
    </w:p>
    <w:p w14:paraId="56286A5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يُضاف إلى ذلك أن التسرب الجامعي في حدّ ذاته ظاهرة متعددة الأبعاد، ولا يمكن اختزالها في مجرد قرار الانقطاع، بل تمتد لتشمل التسرب الجزئي، والتحوّل بين التخصصات، والانتقال بين المؤسسات، وهي أشكال تختلف في محدّداتها وفي مدى استجابتها لتدخّلات الدعم المالي، مما يجعل قياس الأثر الحقيقي لبرامج الدعم أمراً يحتاج إلى مقاربات بحثية دقيقة تراعي هذا التنوّع</w:t>
      </w:r>
      <w:r w:rsidRPr="00565106">
        <w:rPr>
          <w:rFonts w:ascii="Simplified Arabic" w:hAnsi="Simplified Arabic" w:cs="Simplified Arabic"/>
          <w:color w:val="000000" w:themeColor="text1"/>
          <w:sz w:val="28"/>
          <w:szCs w:val="28"/>
        </w:rPr>
        <w:t xml:space="preserve"> (B</w:t>
      </w:r>
      <w:r w:rsidRPr="00565106">
        <w:rPr>
          <w:rFonts w:ascii="Cambria" w:hAnsi="Cambria" w:cs="Cambria"/>
          <w:color w:val="000000" w:themeColor="text1"/>
          <w:sz w:val="28"/>
          <w:szCs w:val="28"/>
        </w:rPr>
        <w:t>ä</w:t>
      </w:r>
      <w:r w:rsidRPr="00565106">
        <w:rPr>
          <w:rFonts w:ascii="Simplified Arabic" w:hAnsi="Simplified Arabic" w:cs="Simplified Arabic"/>
          <w:color w:val="000000" w:themeColor="text1"/>
          <w:sz w:val="28"/>
          <w:szCs w:val="28"/>
        </w:rPr>
        <w:t>ulke et al., 2022).</w:t>
      </w:r>
    </w:p>
    <w:p w14:paraId="49DD46E3" w14:textId="4451CA08"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ومن هنا تنبثق مشكلة الدراسة الحالية التي تسعى إلى سدّ هذه الفجوة المعرفية عبر الإجابة عن التساؤل المحوري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 xml:space="preserve">ما أثر برامج الدعم المالي للطلاب بأبعادها المختلفة (المنح الدراسية، والقروض الميسّرة، والمكافآت الشهرية، والإعفاءات من الرسوم) على الاستمرار الأكاديمي وتقليل التسرب في الجامعات السعودية؟ </w:t>
      </w:r>
    </w:p>
    <w:p w14:paraId="48F550A6" w14:textId="7F50F03A"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 w:name="_Toc234329133"/>
      <w:r w:rsidRPr="00565106">
        <w:rPr>
          <w:rFonts w:ascii="Simplified Arabic" w:hAnsi="Simplified Arabic" w:cs="Simplified Arabic" w:hint="cs"/>
          <w:b/>
          <w:bCs/>
          <w:color w:val="000000" w:themeColor="text1"/>
          <w:sz w:val="36"/>
          <w:szCs w:val="36"/>
          <w:rtl/>
        </w:rPr>
        <w:t xml:space="preserve">3.1 </w:t>
      </w:r>
      <w:r w:rsidR="002D7B70" w:rsidRPr="00565106">
        <w:rPr>
          <w:rFonts w:ascii="Simplified Arabic" w:hAnsi="Simplified Arabic" w:cs="Simplified Arabic"/>
          <w:b/>
          <w:bCs/>
          <w:color w:val="000000" w:themeColor="text1"/>
          <w:sz w:val="36"/>
          <w:szCs w:val="36"/>
          <w:rtl/>
        </w:rPr>
        <w:t>أهمية الدراسة</w:t>
      </w:r>
      <w:bookmarkEnd w:id="3"/>
    </w:p>
    <w:p w14:paraId="0623D683"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أولاً: الأهمية العلمية (النظرية)</w:t>
      </w:r>
    </w:p>
    <w:p w14:paraId="27E909C7"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تُسهم الدراسة في إثراء المكتبة العربية والسعودية بمرجع علمي يتناول العلاقة بين برامج الدعم المالي والتسرب الجامعي، وهو موضوع لا يزال بحاجة إلى مزيد من التأصيل في السياق المحلي</w:t>
      </w:r>
      <w:r w:rsidRPr="00565106">
        <w:rPr>
          <w:rFonts w:ascii="Simplified Arabic" w:hAnsi="Simplified Arabic" w:cs="Simplified Arabic"/>
          <w:color w:val="000000" w:themeColor="text1"/>
          <w:sz w:val="28"/>
          <w:szCs w:val="28"/>
        </w:rPr>
        <w:t>.</w:t>
      </w:r>
    </w:p>
    <w:p w14:paraId="3228D4E3"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تُقدّم الدراسة إطاراً نظرياً متكاملاً يجمع بين أدبيات الدعم المالي وأدبيات التسرب الجامعي في نموذج بحثي واحد، مما يُسهم في تطوير الفهم المفاهيمي للعلاقة بين المتغيرين</w:t>
      </w:r>
      <w:r w:rsidRPr="00565106">
        <w:rPr>
          <w:rFonts w:ascii="Simplified Arabic" w:hAnsi="Simplified Arabic" w:cs="Simplified Arabic"/>
          <w:color w:val="000000" w:themeColor="text1"/>
          <w:sz w:val="28"/>
          <w:szCs w:val="28"/>
        </w:rPr>
        <w:t>.</w:t>
      </w:r>
    </w:p>
    <w:p w14:paraId="637BC7C7"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تُعالج الدراسة فجوة معرفية واضحة تتمثل في ندرة الدراسات التي تناولت الدعم المالي بأبعاده المتعددة – لا بوصفه متغيراً أحادياً – في علاقته بالاستمرار الأكاديمي</w:t>
      </w:r>
      <w:r w:rsidRPr="00565106">
        <w:rPr>
          <w:rFonts w:ascii="Simplified Arabic" w:hAnsi="Simplified Arabic" w:cs="Simplified Arabic"/>
          <w:color w:val="000000" w:themeColor="text1"/>
          <w:sz w:val="28"/>
          <w:szCs w:val="28"/>
        </w:rPr>
        <w:t>.</w:t>
      </w:r>
    </w:p>
    <w:p w14:paraId="1EAC09CB"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تفتح الدراسة آفاقاً بحثية جديدة للباحثين في مجال اقتصاديات التعليم وسياسات التعليم العالي، وتُشكّل نقطة انطلاق لدراسات لاحقة تتناول متغيرات وسيطة ومعدّلة ذات صلة</w:t>
      </w:r>
      <w:r w:rsidRPr="00565106">
        <w:rPr>
          <w:rFonts w:ascii="Simplified Arabic" w:hAnsi="Simplified Arabic" w:cs="Simplified Arabic"/>
          <w:color w:val="000000" w:themeColor="text1"/>
          <w:sz w:val="28"/>
          <w:szCs w:val="28"/>
        </w:rPr>
        <w:t>.</w:t>
      </w:r>
    </w:p>
    <w:p w14:paraId="490064D2"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تستند الدراسة إلى أدبيات حديثة ومتنوعة عربية وأجنبية، مما يُعزّز رصانتها العلمية ويُثري الأدب النظري في هذا الميدان</w:t>
      </w:r>
      <w:r w:rsidRPr="00565106">
        <w:rPr>
          <w:rFonts w:ascii="Simplified Arabic" w:hAnsi="Simplified Arabic" w:cs="Simplified Arabic"/>
          <w:color w:val="000000" w:themeColor="text1"/>
          <w:sz w:val="28"/>
          <w:szCs w:val="28"/>
        </w:rPr>
        <w:t>.</w:t>
      </w:r>
    </w:p>
    <w:p w14:paraId="2F28AF58"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ثانياً: الأهمية العملية (التطبيقية)</w:t>
      </w:r>
    </w:p>
    <w:p w14:paraId="46DBA1C1"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تُزوّد الدراسة صانعي القرار في وزارة التعليم والجامعات السعودية بقاعدة معرفية موثوقة يمكن الاستناد إليها في تطوير برامج الدعم المالي وتوجيهها</w:t>
      </w:r>
      <w:r w:rsidRPr="00565106">
        <w:rPr>
          <w:rFonts w:ascii="Simplified Arabic" w:hAnsi="Simplified Arabic" w:cs="Simplified Arabic"/>
          <w:color w:val="000000" w:themeColor="text1"/>
          <w:sz w:val="28"/>
          <w:szCs w:val="28"/>
        </w:rPr>
        <w:t>.</w:t>
      </w:r>
    </w:p>
    <w:p w14:paraId="72D93A55"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تُساعد إدارات الجامعات في تحديد الأبعاد الأكثر تأثيراً من برامج الدعم المالي في دعم الاستمرار الأكاديمي، مما يُتيح ترشيد الإنفاق وتحقيق أعلى مردود ممكن</w:t>
      </w:r>
      <w:r w:rsidRPr="00565106">
        <w:rPr>
          <w:rFonts w:ascii="Simplified Arabic" w:hAnsi="Simplified Arabic" w:cs="Simplified Arabic"/>
          <w:color w:val="000000" w:themeColor="text1"/>
          <w:sz w:val="28"/>
          <w:szCs w:val="28"/>
        </w:rPr>
        <w:t>.</w:t>
      </w:r>
    </w:p>
    <w:p w14:paraId="129FCB30"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تُقدّم الدراسة مؤشرات عملية يمكن استثمارها في تصميم برامج تدخّل مبكر للطلاب المعرَّضين لخطر التسرب</w:t>
      </w:r>
      <w:r w:rsidRPr="00565106">
        <w:rPr>
          <w:rFonts w:ascii="Simplified Arabic" w:hAnsi="Simplified Arabic" w:cs="Simplified Arabic"/>
          <w:color w:val="000000" w:themeColor="text1"/>
          <w:sz w:val="28"/>
          <w:szCs w:val="28"/>
        </w:rPr>
        <w:t>.</w:t>
      </w:r>
    </w:p>
    <w:p w14:paraId="1742B11A"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تنسجم الدراسة مع مستهدفات رؤية المملكة العربية السعودية 2030 المتصلة بجودة التعليم وتكافؤ الفرص وتنمية رأس المال البشري</w:t>
      </w:r>
      <w:r w:rsidRPr="00565106">
        <w:rPr>
          <w:rFonts w:ascii="Simplified Arabic" w:hAnsi="Simplified Arabic" w:cs="Simplified Arabic"/>
          <w:color w:val="000000" w:themeColor="text1"/>
          <w:sz w:val="28"/>
          <w:szCs w:val="28"/>
        </w:rPr>
        <w:t>.</w:t>
      </w:r>
    </w:p>
    <w:p w14:paraId="749102EA"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تُفيد الطلاب وأسرهم من خلال إبراز أثر برامج الدعم المتاحة، وتوجيه اختياراتهم بما يخدم مسارهم الأكاديمي</w:t>
      </w:r>
      <w:r w:rsidRPr="00565106">
        <w:rPr>
          <w:rFonts w:ascii="Simplified Arabic" w:hAnsi="Simplified Arabic" w:cs="Simplified Arabic"/>
          <w:color w:val="000000" w:themeColor="text1"/>
          <w:sz w:val="28"/>
          <w:szCs w:val="28"/>
        </w:rPr>
        <w:t>.</w:t>
      </w:r>
    </w:p>
    <w:p w14:paraId="7A29CE5B" w14:textId="77777777" w:rsidR="002D7B70" w:rsidRPr="00565106" w:rsidRDefault="002D7B70" w:rsidP="00FB4535">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تُفيد الباحثين والمهتمين بمجال التعليم العالي عبر توفير أداة قياس ونتائج ميدانية يمكن البناء عليها في دراسات مستقبلية</w:t>
      </w:r>
      <w:r w:rsidRPr="00565106">
        <w:rPr>
          <w:rFonts w:ascii="Simplified Arabic" w:hAnsi="Simplified Arabic" w:cs="Simplified Arabic"/>
          <w:color w:val="000000" w:themeColor="text1"/>
          <w:sz w:val="28"/>
          <w:szCs w:val="28"/>
        </w:rPr>
        <w:t>.</w:t>
      </w:r>
    </w:p>
    <w:p w14:paraId="5E8637A0" w14:textId="6F715A0C"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 w:name="_Toc234329134"/>
      <w:r w:rsidRPr="00565106">
        <w:rPr>
          <w:rFonts w:ascii="Simplified Arabic" w:hAnsi="Simplified Arabic" w:cs="Simplified Arabic" w:hint="cs"/>
          <w:b/>
          <w:bCs/>
          <w:color w:val="000000" w:themeColor="text1"/>
          <w:sz w:val="36"/>
          <w:szCs w:val="36"/>
          <w:rtl/>
        </w:rPr>
        <w:t xml:space="preserve">4.1 </w:t>
      </w:r>
      <w:r w:rsidR="002D7B70" w:rsidRPr="00565106">
        <w:rPr>
          <w:rFonts w:ascii="Simplified Arabic" w:hAnsi="Simplified Arabic" w:cs="Simplified Arabic"/>
          <w:b/>
          <w:bCs/>
          <w:color w:val="000000" w:themeColor="text1"/>
          <w:sz w:val="36"/>
          <w:szCs w:val="36"/>
          <w:rtl/>
        </w:rPr>
        <w:t>هدف الدراسة</w:t>
      </w:r>
      <w:bookmarkEnd w:id="4"/>
    </w:p>
    <w:p w14:paraId="5E10D5EE"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تهدف الدراسة إلى دراسة أثر برامج الدعم المالي للطلاب بأبعادها (المنح الدراسية، والقروض الميسّرة، والمكافآت الشهرية، والإعفاءات من الرسوم)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ويتفرّع من هذا الهدف الرئيس جملة من الأهداف الفرعية على النحو الآتي</w:t>
      </w:r>
      <w:r w:rsidRPr="00565106">
        <w:rPr>
          <w:rFonts w:ascii="Simplified Arabic" w:hAnsi="Simplified Arabic" w:cs="Simplified Arabic"/>
          <w:color w:val="000000" w:themeColor="text1"/>
          <w:sz w:val="28"/>
          <w:szCs w:val="28"/>
        </w:rPr>
        <w:t>:</w:t>
      </w:r>
    </w:p>
    <w:p w14:paraId="46EBFF60" w14:textId="77777777" w:rsidR="002D7B70" w:rsidRPr="00565106" w:rsidRDefault="002D7B70" w:rsidP="00FB453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التعرف على مستوى برامج الدعم المالي المقدَّمة للطلاب في الجامعات السعودية بأبعادها المختلفة من وجهة نظر عيّنة الدراسة</w:t>
      </w:r>
      <w:r w:rsidRPr="00565106">
        <w:rPr>
          <w:rFonts w:ascii="Simplified Arabic" w:hAnsi="Simplified Arabic" w:cs="Simplified Arabic"/>
          <w:color w:val="000000" w:themeColor="text1"/>
          <w:sz w:val="28"/>
          <w:szCs w:val="28"/>
        </w:rPr>
        <w:t>.</w:t>
      </w:r>
    </w:p>
    <w:p w14:paraId="66B0DFA3" w14:textId="77777777" w:rsidR="002D7B70" w:rsidRPr="00565106" w:rsidRDefault="002D7B70" w:rsidP="00FB453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الكشف عن مستوى الاستمرار الأكاديمي ونسب التسرب لدى طلاب الجامعات السعودية</w:t>
      </w:r>
      <w:r w:rsidRPr="00565106">
        <w:rPr>
          <w:rFonts w:ascii="Simplified Arabic" w:hAnsi="Simplified Arabic" w:cs="Simplified Arabic"/>
          <w:color w:val="000000" w:themeColor="text1"/>
          <w:sz w:val="28"/>
          <w:szCs w:val="28"/>
        </w:rPr>
        <w:t>.</w:t>
      </w:r>
    </w:p>
    <w:p w14:paraId="2A806149" w14:textId="77777777" w:rsidR="002D7B70" w:rsidRPr="00565106" w:rsidRDefault="002D7B70" w:rsidP="00FB453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تحديد أثر بُعد المنح الدراسية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1A20E4AB" w14:textId="77777777" w:rsidR="002D7B70" w:rsidRPr="00565106" w:rsidRDefault="002D7B70" w:rsidP="00FB453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تحديد أثر بُعد القروض الميسّرة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7AF141F8" w14:textId="77777777" w:rsidR="002D7B70" w:rsidRPr="00565106" w:rsidRDefault="002D7B70" w:rsidP="00FB453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تحديد أثر بُعد المكافآت الشهرية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147CBCBC" w14:textId="77777777" w:rsidR="002D7B70" w:rsidRPr="00565106" w:rsidRDefault="002D7B70" w:rsidP="00FB453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تحديد أثر بُعد الإعفاءات من الرسوم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106132AB" w14:textId="77777777" w:rsidR="002D7B70" w:rsidRPr="00565106" w:rsidRDefault="002D7B70" w:rsidP="00FB453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الكشف عن الفروق في تصوّرات أفراد عيّنة الدراسة حول أثر برامج الدعم المالي التي تُعزى إلى المتغيرات الديموغرافية (الجنس، والتخصص، والمستوى الدراسي، والدخل الأسري)</w:t>
      </w:r>
      <w:r w:rsidRPr="00565106">
        <w:rPr>
          <w:rFonts w:ascii="Simplified Arabic" w:hAnsi="Simplified Arabic" w:cs="Simplified Arabic"/>
          <w:color w:val="000000" w:themeColor="text1"/>
          <w:sz w:val="28"/>
          <w:szCs w:val="28"/>
        </w:rPr>
        <w:t>.</w:t>
      </w:r>
    </w:p>
    <w:p w14:paraId="7BE190B3" w14:textId="77777777" w:rsidR="002D7B70" w:rsidRPr="00565106" w:rsidRDefault="002D7B70" w:rsidP="00FB4535">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تقديم تصوّر مقترح لتطوير برامج الدعم المالي في الجامعات السعودية بما يُعزّز الاستمرار الأكاديمي ويُقلّل من ظاهرة التسرب</w:t>
      </w:r>
      <w:r w:rsidRPr="00565106">
        <w:rPr>
          <w:rFonts w:ascii="Simplified Arabic" w:hAnsi="Simplified Arabic" w:cs="Simplified Arabic"/>
          <w:color w:val="000000" w:themeColor="text1"/>
          <w:sz w:val="28"/>
          <w:szCs w:val="28"/>
        </w:rPr>
        <w:t>.</w:t>
      </w:r>
    </w:p>
    <w:p w14:paraId="1DE49933" w14:textId="438D81F6"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 w:name="_Toc234329135"/>
      <w:r w:rsidRPr="00565106">
        <w:rPr>
          <w:rFonts w:ascii="Simplified Arabic" w:hAnsi="Simplified Arabic" w:cs="Simplified Arabic" w:hint="cs"/>
          <w:b/>
          <w:bCs/>
          <w:color w:val="000000" w:themeColor="text1"/>
          <w:sz w:val="36"/>
          <w:szCs w:val="36"/>
          <w:rtl/>
        </w:rPr>
        <w:t xml:space="preserve">5.1 </w:t>
      </w:r>
      <w:r w:rsidR="002D7B70" w:rsidRPr="00565106">
        <w:rPr>
          <w:rFonts w:ascii="Simplified Arabic" w:hAnsi="Simplified Arabic" w:cs="Simplified Arabic"/>
          <w:b/>
          <w:bCs/>
          <w:color w:val="000000" w:themeColor="text1"/>
          <w:sz w:val="36"/>
          <w:szCs w:val="36"/>
          <w:rtl/>
        </w:rPr>
        <w:t>أسئلة الدراسة</w:t>
      </w:r>
      <w:bookmarkEnd w:id="5"/>
    </w:p>
    <w:p w14:paraId="65D5FB2A"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السؤال الرئيس</w:t>
      </w:r>
    </w:p>
    <w:p w14:paraId="5D115897" w14:textId="77777777" w:rsidR="002D7B70" w:rsidRPr="00565106" w:rsidRDefault="002D7B70" w:rsidP="00FB453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ما أثر برامج الدعم المالي للطلاب بأبعادها (المنح الدراسية، والقروض الميسّرة، والمكافآت الشهرية، والإعفاءات من الرسوم) على الاستمرار الأكاديمي وتقليل التسرب في الجامعات السعودية؟</w:t>
      </w:r>
    </w:p>
    <w:p w14:paraId="7D808CFE"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الأسئلة الفرعية</w:t>
      </w:r>
    </w:p>
    <w:p w14:paraId="47ADDAF1" w14:textId="77777777" w:rsidR="002D7B70" w:rsidRPr="00565106" w:rsidRDefault="002D7B70" w:rsidP="00FB453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ما مستوى برامج الدعم المالي المقدَّمة للطلاب في الجامعات السعودية بأبعادها المختلفة من وجهة نظر عيّنة الدراسة؟</w:t>
      </w:r>
    </w:p>
    <w:p w14:paraId="73B53454" w14:textId="77777777" w:rsidR="002D7B70" w:rsidRPr="00565106" w:rsidRDefault="002D7B70" w:rsidP="00FB453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ما مستوى الاستمرار الأكاديمي ونسب التسرب لدى طلاب الجامعات السعودية؟</w:t>
      </w:r>
    </w:p>
    <w:p w14:paraId="09A5601F" w14:textId="77777777" w:rsidR="002D7B70" w:rsidRPr="00565106" w:rsidRDefault="002D7B70" w:rsidP="00FB453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ما أثر بُعد المنح الدراسية على الاستمرار الأكاديمي وتقليل التسرب في الجامعات السعودية؟</w:t>
      </w:r>
    </w:p>
    <w:p w14:paraId="2865446E" w14:textId="77777777" w:rsidR="002D7B70" w:rsidRPr="00565106" w:rsidRDefault="002D7B70" w:rsidP="00FB453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ما أثر بُعد القروض الميسّرة على الاستمرار الأكاديمي وتقليل التسرب في الجامعات السعودية؟</w:t>
      </w:r>
    </w:p>
    <w:p w14:paraId="4FFEE828" w14:textId="77777777" w:rsidR="002D7B70" w:rsidRPr="00565106" w:rsidRDefault="002D7B70" w:rsidP="00FB453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ما أثر بُعد المكافآت الشهرية على الاستمرار الأكاديمي وتقليل التسرب في الجامعات السعودية؟</w:t>
      </w:r>
    </w:p>
    <w:p w14:paraId="011D2937" w14:textId="77777777" w:rsidR="002D7B70" w:rsidRPr="00565106" w:rsidRDefault="002D7B70" w:rsidP="00FB453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ما أثر بُعد الإعفاءات من الرسوم على الاستمرار الأكاديمي وتقليل التسرب في الجامعات السعودية؟</w:t>
      </w:r>
    </w:p>
    <w:p w14:paraId="56C2DEEC" w14:textId="77777777" w:rsidR="002D7B70" w:rsidRPr="00565106" w:rsidRDefault="002D7B70" w:rsidP="00FB4535">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هل توجد فروق ذات دلالة إحصائية عند مستوى الدلالة</w:t>
      </w:r>
      <w:r w:rsidRPr="00565106">
        <w:rPr>
          <w:rFonts w:ascii="Simplified Arabic" w:hAnsi="Simplified Arabic" w:cs="Simplified Arabic"/>
          <w:color w:val="000000" w:themeColor="text1"/>
          <w:sz w:val="28"/>
          <w:szCs w:val="28"/>
        </w:rPr>
        <w:t xml:space="preserve"> (</w:t>
      </w:r>
      <w:r w:rsidRPr="00565106">
        <w:rPr>
          <w:rFonts w:ascii="Cambria" w:hAnsi="Cambria" w:cs="Cambria"/>
          <w:color w:val="000000" w:themeColor="text1"/>
          <w:sz w:val="28"/>
          <w:szCs w:val="28"/>
        </w:rPr>
        <w:t>α</w:t>
      </w:r>
      <w:r w:rsidRPr="00565106">
        <w:rPr>
          <w:rFonts w:ascii="Simplified Arabic" w:hAnsi="Simplified Arabic" w:cs="Simplified Arabic"/>
          <w:color w:val="000000" w:themeColor="text1"/>
          <w:sz w:val="28"/>
          <w:szCs w:val="28"/>
        </w:rPr>
        <w:t xml:space="preserve"> </w:t>
      </w:r>
      <w:r w:rsidRPr="00565106">
        <w:rPr>
          <w:rFonts w:ascii="Times New Roman" w:hAnsi="Times New Roman" w:cs="Times New Roman"/>
          <w:color w:val="000000" w:themeColor="text1"/>
          <w:sz w:val="28"/>
          <w:szCs w:val="28"/>
        </w:rPr>
        <w:t>≤</w:t>
      </w:r>
      <w:r w:rsidRPr="00565106">
        <w:rPr>
          <w:rFonts w:ascii="Simplified Arabic" w:hAnsi="Simplified Arabic" w:cs="Simplified Arabic"/>
          <w:color w:val="000000" w:themeColor="text1"/>
          <w:sz w:val="28"/>
          <w:szCs w:val="28"/>
        </w:rPr>
        <w:t xml:space="preserve"> 0.05) </w:t>
      </w:r>
      <w:r w:rsidRPr="00565106">
        <w:rPr>
          <w:rFonts w:ascii="Simplified Arabic" w:hAnsi="Simplified Arabic" w:cs="Simplified Arabic"/>
          <w:color w:val="000000" w:themeColor="text1"/>
          <w:sz w:val="28"/>
          <w:szCs w:val="28"/>
          <w:rtl/>
        </w:rPr>
        <w:t>بين متوسطات تصوّرات أفراد عيّنة الدراسة حول أثر برامج الدعم المالي تُعزى إلى المتغيرات الديموغرافية (الجنس، والتخصص، والمستوى الدراسي، والدخل الأسري)؟</w:t>
      </w:r>
    </w:p>
    <w:p w14:paraId="448318D9" w14:textId="58C2D165"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6" w:name="_Toc234329136"/>
      <w:r w:rsidRPr="00565106">
        <w:rPr>
          <w:rFonts w:ascii="Simplified Arabic" w:hAnsi="Simplified Arabic" w:cs="Simplified Arabic" w:hint="cs"/>
          <w:b/>
          <w:bCs/>
          <w:color w:val="000000" w:themeColor="text1"/>
          <w:sz w:val="36"/>
          <w:szCs w:val="36"/>
          <w:rtl/>
        </w:rPr>
        <w:t xml:space="preserve">6.1 </w:t>
      </w:r>
      <w:r w:rsidR="002D7B70" w:rsidRPr="00565106">
        <w:rPr>
          <w:rFonts w:ascii="Simplified Arabic" w:hAnsi="Simplified Arabic" w:cs="Simplified Arabic"/>
          <w:b/>
          <w:bCs/>
          <w:color w:val="000000" w:themeColor="text1"/>
          <w:sz w:val="36"/>
          <w:szCs w:val="36"/>
          <w:rtl/>
        </w:rPr>
        <w:t>فروض الدراسة</w:t>
      </w:r>
      <w:bookmarkEnd w:id="6"/>
    </w:p>
    <w:p w14:paraId="745D0702"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الفرض الرئيس</w:t>
      </w:r>
    </w:p>
    <w:p w14:paraId="2FE2D130" w14:textId="77777777" w:rsidR="002D7B70" w:rsidRPr="00565106" w:rsidRDefault="002D7B70" w:rsidP="00FB4535">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يوجد أثر ذو دلالة إحصائية عند مستوى الدلالة</w:t>
      </w:r>
      <w:r w:rsidRPr="00565106">
        <w:rPr>
          <w:rFonts w:ascii="Simplified Arabic" w:hAnsi="Simplified Arabic" w:cs="Simplified Arabic"/>
          <w:color w:val="000000" w:themeColor="text1"/>
          <w:sz w:val="28"/>
          <w:szCs w:val="28"/>
        </w:rPr>
        <w:t xml:space="preserve"> (</w:t>
      </w:r>
      <w:r w:rsidRPr="00565106">
        <w:rPr>
          <w:rFonts w:ascii="Cambria" w:hAnsi="Cambria" w:cs="Cambria"/>
          <w:color w:val="000000" w:themeColor="text1"/>
          <w:sz w:val="28"/>
          <w:szCs w:val="28"/>
        </w:rPr>
        <w:t>α</w:t>
      </w:r>
      <w:r w:rsidRPr="00565106">
        <w:rPr>
          <w:rFonts w:ascii="Simplified Arabic" w:hAnsi="Simplified Arabic" w:cs="Simplified Arabic"/>
          <w:color w:val="000000" w:themeColor="text1"/>
          <w:sz w:val="28"/>
          <w:szCs w:val="28"/>
        </w:rPr>
        <w:t xml:space="preserve"> </w:t>
      </w:r>
      <w:r w:rsidRPr="00565106">
        <w:rPr>
          <w:rFonts w:ascii="Times New Roman" w:hAnsi="Times New Roman" w:cs="Times New Roman"/>
          <w:color w:val="000000" w:themeColor="text1"/>
          <w:sz w:val="28"/>
          <w:szCs w:val="28"/>
        </w:rPr>
        <w:t>≤</w:t>
      </w:r>
      <w:r w:rsidRPr="00565106">
        <w:rPr>
          <w:rFonts w:ascii="Simplified Arabic" w:hAnsi="Simplified Arabic" w:cs="Simplified Arabic"/>
          <w:color w:val="000000" w:themeColor="text1"/>
          <w:sz w:val="28"/>
          <w:szCs w:val="28"/>
        </w:rPr>
        <w:t xml:space="preserve"> 0.05) </w:t>
      </w:r>
      <w:r w:rsidRPr="00565106">
        <w:rPr>
          <w:rFonts w:ascii="Simplified Arabic" w:hAnsi="Simplified Arabic" w:cs="Simplified Arabic"/>
          <w:color w:val="000000" w:themeColor="text1"/>
          <w:sz w:val="28"/>
          <w:szCs w:val="28"/>
          <w:rtl/>
        </w:rPr>
        <w:t>لبرامج الدعم المالي للطلاب بأبعادها (المنح الدراسية، والقروض الميسّرة، والمكافآت الشهرية، والإعفاءات من الرسوم)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2B7FE2D9"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الفروض الفرعية</w:t>
      </w:r>
    </w:p>
    <w:p w14:paraId="642E7273" w14:textId="77777777" w:rsidR="002D7B70" w:rsidRPr="00565106" w:rsidRDefault="002D7B70" w:rsidP="00FB4535">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الفرض الفرعي الأول</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يوجد أثر ذو دلالة إحصائية عند مستوى الدلالة</w:t>
      </w:r>
      <w:r w:rsidRPr="00565106">
        <w:rPr>
          <w:rFonts w:ascii="Simplified Arabic" w:hAnsi="Simplified Arabic" w:cs="Simplified Arabic"/>
          <w:color w:val="000000" w:themeColor="text1"/>
          <w:sz w:val="28"/>
          <w:szCs w:val="28"/>
        </w:rPr>
        <w:t xml:space="preserve"> (</w:t>
      </w:r>
      <w:r w:rsidRPr="00565106">
        <w:rPr>
          <w:rFonts w:ascii="Cambria" w:hAnsi="Cambria" w:cs="Cambria"/>
          <w:color w:val="000000" w:themeColor="text1"/>
          <w:sz w:val="28"/>
          <w:szCs w:val="28"/>
        </w:rPr>
        <w:t>α</w:t>
      </w:r>
      <w:r w:rsidRPr="00565106">
        <w:rPr>
          <w:rFonts w:ascii="Simplified Arabic" w:hAnsi="Simplified Arabic" w:cs="Simplified Arabic"/>
          <w:color w:val="000000" w:themeColor="text1"/>
          <w:sz w:val="28"/>
          <w:szCs w:val="28"/>
        </w:rPr>
        <w:t xml:space="preserve"> </w:t>
      </w:r>
      <w:r w:rsidRPr="00565106">
        <w:rPr>
          <w:rFonts w:ascii="Times New Roman" w:hAnsi="Times New Roman" w:cs="Times New Roman"/>
          <w:color w:val="000000" w:themeColor="text1"/>
          <w:sz w:val="28"/>
          <w:szCs w:val="28"/>
        </w:rPr>
        <w:t>≤</w:t>
      </w:r>
      <w:r w:rsidRPr="00565106">
        <w:rPr>
          <w:rFonts w:ascii="Simplified Arabic" w:hAnsi="Simplified Arabic" w:cs="Simplified Arabic"/>
          <w:color w:val="000000" w:themeColor="text1"/>
          <w:sz w:val="28"/>
          <w:szCs w:val="28"/>
        </w:rPr>
        <w:t xml:space="preserve"> 0.05) </w:t>
      </w:r>
      <w:r w:rsidRPr="00565106">
        <w:rPr>
          <w:rFonts w:ascii="Simplified Arabic" w:hAnsi="Simplified Arabic" w:cs="Simplified Arabic"/>
          <w:color w:val="000000" w:themeColor="text1"/>
          <w:sz w:val="28"/>
          <w:szCs w:val="28"/>
          <w:rtl/>
        </w:rPr>
        <w:t>لبُعد المنح الدراسية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64E99AE3" w14:textId="77777777" w:rsidR="002D7B70" w:rsidRPr="00565106" w:rsidRDefault="002D7B70" w:rsidP="00FB4535">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الفرض الفرعي الثاني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يوجد أثر ذو دلالة إحصائية عند مستوى الدلالة</w:t>
      </w:r>
      <w:r w:rsidRPr="00565106">
        <w:rPr>
          <w:rFonts w:ascii="Simplified Arabic" w:hAnsi="Simplified Arabic" w:cs="Simplified Arabic"/>
          <w:color w:val="000000" w:themeColor="text1"/>
          <w:sz w:val="28"/>
          <w:szCs w:val="28"/>
        </w:rPr>
        <w:t xml:space="preserve"> (</w:t>
      </w:r>
      <w:r w:rsidRPr="00565106">
        <w:rPr>
          <w:rFonts w:ascii="Cambria" w:hAnsi="Cambria" w:cs="Cambria"/>
          <w:color w:val="000000" w:themeColor="text1"/>
          <w:sz w:val="28"/>
          <w:szCs w:val="28"/>
        </w:rPr>
        <w:t>α</w:t>
      </w:r>
      <w:r w:rsidRPr="00565106">
        <w:rPr>
          <w:rFonts w:ascii="Simplified Arabic" w:hAnsi="Simplified Arabic" w:cs="Simplified Arabic"/>
          <w:color w:val="000000" w:themeColor="text1"/>
          <w:sz w:val="28"/>
          <w:szCs w:val="28"/>
        </w:rPr>
        <w:t xml:space="preserve"> </w:t>
      </w:r>
      <w:r w:rsidRPr="00565106">
        <w:rPr>
          <w:rFonts w:ascii="Times New Roman" w:hAnsi="Times New Roman" w:cs="Times New Roman"/>
          <w:color w:val="000000" w:themeColor="text1"/>
          <w:sz w:val="28"/>
          <w:szCs w:val="28"/>
        </w:rPr>
        <w:t>≤</w:t>
      </w:r>
      <w:r w:rsidRPr="00565106">
        <w:rPr>
          <w:rFonts w:ascii="Simplified Arabic" w:hAnsi="Simplified Arabic" w:cs="Simplified Arabic"/>
          <w:color w:val="000000" w:themeColor="text1"/>
          <w:sz w:val="28"/>
          <w:szCs w:val="28"/>
        </w:rPr>
        <w:t xml:space="preserve"> 0.05) </w:t>
      </w:r>
      <w:r w:rsidRPr="00565106">
        <w:rPr>
          <w:rFonts w:ascii="Simplified Arabic" w:hAnsi="Simplified Arabic" w:cs="Simplified Arabic"/>
          <w:color w:val="000000" w:themeColor="text1"/>
          <w:sz w:val="28"/>
          <w:szCs w:val="28"/>
          <w:rtl/>
        </w:rPr>
        <w:t>لبُعد القروض الميسّرة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70E7F2FE" w14:textId="77777777" w:rsidR="002D7B70" w:rsidRPr="00565106" w:rsidRDefault="002D7B70" w:rsidP="00FB4535">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الفرض الفرعي الثالث</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يوجد أثر ذو دلالة إحصائية عند مستوى الدلالة</w:t>
      </w:r>
      <w:r w:rsidRPr="00565106">
        <w:rPr>
          <w:rFonts w:ascii="Simplified Arabic" w:hAnsi="Simplified Arabic" w:cs="Simplified Arabic"/>
          <w:color w:val="000000" w:themeColor="text1"/>
          <w:sz w:val="28"/>
          <w:szCs w:val="28"/>
        </w:rPr>
        <w:t xml:space="preserve"> (</w:t>
      </w:r>
      <w:r w:rsidRPr="00565106">
        <w:rPr>
          <w:rFonts w:ascii="Cambria" w:hAnsi="Cambria" w:cs="Cambria"/>
          <w:color w:val="000000" w:themeColor="text1"/>
          <w:sz w:val="28"/>
          <w:szCs w:val="28"/>
        </w:rPr>
        <w:t>α</w:t>
      </w:r>
      <w:r w:rsidRPr="00565106">
        <w:rPr>
          <w:rFonts w:ascii="Simplified Arabic" w:hAnsi="Simplified Arabic" w:cs="Simplified Arabic"/>
          <w:color w:val="000000" w:themeColor="text1"/>
          <w:sz w:val="28"/>
          <w:szCs w:val="28"/>
        </w:rPr>
        <w:t xml:space="preserve"> </w:t>
      </w:r>
      <w:r w:rsidRPr="00565106">
        <w:rPr>
          <w:rFonts w:ascii="Times New Roman" w:hAnsi="Times New Roman" w:cs="Times New Roman"/>
          <w:color w:val="000000" w:themeColor="text1"/>
          <w:sz w:val="28"/>
          <w:szCs w:val="28"/>
        </w:rPr>
        <w:t>≤</w:t>
      </w:r>
      <w:r w:rsidRPr="00565106">
        <w:rPr>
          <w:rFonts w:ascii="Simplified Arabic" w:hAnsi="Simplified Arabic" w:cs="Simplified Arabic"/>
          <w:color w:val="000000" w:themeColor="text1"/>
          <w:sz w:val="28"/>
          <w:szCs w:val="28"/>
        </w:rPr>
        <w:t xml:space="preserve"> 0.05) </w:t>
      </w:r>
      <w:r w:rsidRPr="00565106">
        <w:rPr>
          <w:rFonts w:ascii="Simplified Arabic" w:hAnsi="Simplified Arabic" w:cs="Simplified Arabic"/>
          <w:color w:val="000000" w:themeColor="text1"/>
          <w:sz w:val="28"/>
          <w:szCs w:val="28"/>
          <w:rtl/>
        </w:rPr>
        <w:t>لبُعد المكافآت الشهرية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0D61F622" w14:textId="77777777" w:rsidR="002D7B70" w:rsidRPr="00565106" w:rsidRDefault="002D7B70" w:rsidP="00FB4535">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الفرض الفرعي الرابع</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يوجد أثر ذو دلالة إحصائية عند مستوى الدلالة</w:t>
      </w:r>
      <w:r w:rsidRPr="00565106">
        <w:rPr>
          <w:rFonts w:ascii="Simplified Arabic" w:hAnsi="Simplified Arabic" w:cs="Simplified Arabic"/>
          <w:color w:val="000000" w:themeColor="text1"/>
          <w:sz w:val="28"/>
          <w:szCs w:val="28"/>
        </w:rPr>
        <w:t xml:space="preserve"> (</w:t>
      </w:r>
      <w:r w:rsidRPr="00565106">
        <w:rPr>
          <w:rFonts w:ascii="Cambria" w:hAnsi="Cambria" w:cs="Cambria"/>
          <w:color w:val="000000" w:themeColor="text1"/>
          <w:sz w:val="28"/>
          <w:szCs w:val="28"/>
        </w:rPr>
        <w:t>α</w:t>
      </w:r>
      <w:r w:rsidRPr="00565106">
        <w:rPr>
          <w:rFonts w:ascii="Simplified Arabic" w:hAnsi="Simplified Arabic" w:cs="Simplified Arabic"/>
          <w:color w:val="000000" w:themeColor="text1"/>
          <w:sz w:val="28"/>
          <w:szCs w:val="28"/>
        </w:rPr>
        <w:t xml:space="preserve"> </w:t>
      </w:r>
      <w:r w:rsidRPr="00565106">
        <w:rPr>
          <w:rFonts w:ascii="Times New Roman" w:hAnsi="Times New Roman" w:cs="Times New Roman"/>
          <w:color w:val="000000" w:themeColor="text1"/>
          <w:sz w:val="28"/>
          <w:szCs w:val="28"/>
        </w:rPr>
        <w:t>≤</w:t>
      </w:r>
      <w:r w:rsidRPr="00565106">
        <w:rPr>
          <w:rFonts w:ascii="Simplified Arabic" w:hAnsi="Simplified Arabic" w:cs="Simplified Arabic"/>
          <w:color w:val="000000" w:themeColor="text1"/>
          <w:sz w:val="28"/>
          <w:szCs w:val="28"/>
        </w:rPr>
        <w:t xml:space="preserve"> 0.05) </w:t>
      </w:r>
      <w:r w:rsidRPr="00565106">
        <w:rPr>
          <w:rFonts w:ascii="Simplified Arabic" w:hAnsi="Simplified Arabic" w:cs="Simplified Arabic"/>
          <w:color w:val="000000" w:themeColor="text1"/>
          <w:sz w:val="28"/>
          <w:szCs w:val="28"/>
          <w:rtl/>
        </w:rPr>
        <w:t>لبُعد الإعفاءات من الرسوم على الاستمرار الأكاديمي وتقليل التسرب في الجامعات السعودية</w:t>
      </w:r>
      <w:r w:rsidRPr="00565106">
        <w:rPr>
          <w:rFonts w:ascii="Simplified Arabic" w:hAnsi="Simplified Arabic" w:cs="Simplified Arabic"/>
          <w:color w:val="000000" w:themeColor="text1"/>
          <w:sz w:val="28"/>
          <w:szCs w:val="28"/>
        </w:rPr>
        <w:t>.</w:t>
      </w:r>
    </w:p>
    <w:p w14:paraId="022C3392" w14:textId="77777777" w:rsidR="002D7B70" w:rsidRPr="00565106" w:rsidRDefault="002D7B70" w:rsidP="00FB4535">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الفرض الفرعي الخامس</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توجد فروق ذات دلالة إحصائية عند مستوى الدلالة</w:t>
      </w:r>
      <w:r w:rsidRPr="00565106">
        <w:rPr>
          <w:rFonts w:ascii="Simplified Arabic" w:hAnsi="Simplified Arabic" w:cs="Simplified Arabic"/>
          <w:color w:val="000000" w:themeColor="text1"/>
          <w:sz w:val="28"/>
          <w:szCs w:val="28"/>
        </w:rPr>
        <w:t xml:space="preserve"> (</w:t>
      </w:r>
      <w:r w:rsidRPr="00565106">
        <w:rPr>
          <w:rFonts w:ascii="Cambria" w:hAnsi="Cambria" w:cs="Cambria"/>
          <w:color w:val="000000" w:themeColor="text1"/>
          <w:sz w:val="28"/>
          <w:szCs w:val="28"/>
        </w:rPr>
        <w:t>α</w:t>
      </w:r>
      <w:r w:rsidRPr="00565106">
        <w:rPr>
          <w:rFonts w:ascii="Simplified Arabic" w:hAnsi="Simplified Arabic" w:cs="Simplified Arabic"/>
          <w:color w:val="000000" w:themeColor="text1"/>
          <w:sz w:val="28"/>
          <w:szCs w:val="28"/>
        </w:rPr>
        <w:t xml:space="preserve"> </w:t>
      </w:r>
      <w:r w:rsidRPr="00565106">
        <w:rPr>
          <w:rFonts w:ascii="Times New Roman" w:hAnsi="Times New Roman" w:cs="Times New Roman"/>
          <w:color w:val="000000" w:themeColor="text1"/>
          <w:sz w:val="28"/>
          <w:szCs w:val="28"/>
        </w:rPr>
        <w:t>≤</w:t>
      </w:r>
      <w:r w:rsidRPr="00565106">
        <w:rPr>
          <w:rFonts w:ascii="Simplified Arabic" w:hAnsi="Simplified Arabic" w:cs="Simplified Arabic"/>
          <w:color w:val="000000" w:themeColor="text1"/>
          <w:sz w:val="28"/>
          <w:szCs w:val="28"/>
        </w:rPr>
        <w:t xml:space="preserve"> 0.05) </w:t>
      </w:r>
      <w:r w:rsidRPr="00565106">
        <w:rPr>
          <w:rFonts w:ascii="Simplified Arabic" w:hAnsi="Simplified Arabic" w:cs="Simplified Arabic"/>
          <w:color w:val="000000" w:themeColor="text1"/>
          <w:sz w:val="28"/>
          <w:szCs w:val="28"/>
          <w:rtl/>
        </w:rPr>
        <w:t>بين متوسطات تصوّرات أفراد عيّنة الدراسة حول أثر برامج الدعم المالي على الاستمرار الأكاديمي وتقليل التسرب تُعزى إلى المتغيرات الديموغرافية (الجنس، والتخصص، والمستوى الدراسي، والدخل الأسري)</w:t>
      </w:r>
      <w:r w:rsidRPr="00565106">
        <w:rPr>
          <w:rFonts w:ascii="Simplified Arabic" w:hAnsi="Simplified Arabic" w:cs="Simplified Arabic"/>
          <w:color w:val="000000" w:themeColor="text1"/>
          <w:sz w:val="28"/>
          <w:szCs w:val="28"/>
        </w:rPr>
        <w:t>.</w:t>
      </w:r>
    </w:p>
    <w:p w14:paraId="37C6B4CD" w14:textId="402357C7"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7" w:name="_Toc234329137"/>
      <w:r w:rsidRPr="00565106">
        <w:rPr>
          <w:rFonts w:ascii="Simplified Arabic" w:hAnsi="Simplified Arabic" w:cs="Simplified Arabic" w:hint="cs"/>
          <w:b/>
          <w:bCs/>
          <w:color w:val="000000" w:themeColor="text1"/>
          <w:sz w:val="36"/>
          <w:szCs w:val="36"/>
          <w:rtl/>
        </w:rPr>
        <w:t xml:space="preserve">7.1 </w:t>
      </w:r>
      <w:r w:rsidR="002D7B70" w:rsidRPr="00565106">
        <w:rPr>
          <w:rFonts w:ascii="Simplified Arabic" w:hAnsi="Simplified Arabic" w:cs="Simplified Arabic"/>
          <w:b/>
          <w:bCs/>
          <w:color w:val="000000" w:themeColor="text1"/>
          <w:sz w:val="36"/>
          <w:szCs w:val="36"/>
          <w:rtl/>
        </w:rPr>
        <w:t>الدراسات السابقة</w:t>
      </w:r>
      <w:bookmarkEnd w:id="7"/>
      <w:r w:rsidR="002D7B70" w:rsidRPr="00565106">
        <w:rPr>
          <w:rFonts w:ascii="Simplified Arabic" w:hAnsi="Simplified Arabic" w:cs="Simplified Arabic"/>
          <w:b/>
          <w:bCs/>
          <w:color w:val="000000" w:themeColor="text1"/>
          <w:sz w:val="36"/>
          <w:szCs w:val="36"/>
          <w:rtl/>
        </w:rPr>
        <w:t xml:space="preserve"> </w:t>
      </w:r>
    </w:p>
    <w:p w14:paraId="5D12FC4E"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المحور الأول: الدعم المالي (المتغير المستقل) وعلاقته بمتغيرات أخرى</w:t>
      </w:r>
    </w:p>
    <w:p w14:paraId="3C662264"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يُقصد بالدعم المالي المقدَّم للطلاب مجموعة الحوافز والمساعدات المادية التي تُصرف بصور متعددة كالمنح، والقروض، والمكافآت، والإعفاءات من الرسوم، بهدف تخفيف الأعباء الاقتصادية عن الطالب وأسرته وتمكينه من مواصلة تعليمه. وفيما يلي عرض لأبرز الدراسات التي تناولت هذا المتغير</w:t>
      </w:r>
      <w:r w:rsidRPr="00565106">
        <w:rPr>
          <w:rFonts w:ascii="Simplified Arabic" w:hAnsi="Simplified Arabic" w:cs="Simplified Arabic"/>
          <w:color w:val="000000" w:themeColor="text1"/>
          <w:sz w:val="28"/>
          <w:szCs w:val="28"/>
        </w:rPr>
        <w:t>:</w:t>
      </w:r>
    </w:p>
    <w:p w14:paraId="354218F1"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 القطيشات والقطيشات</w:t>
      </w:r>
      <w:r w:rsidRPr="00565106">
        <w:rPr>
          <w:rFonts w:ascii="Simplified Arabic" w:hAnsi="Simplified Arabic" w:cs="Simplified Arabic"/>
          <w:color w:val="000000" w:themeColor="text1"/>
          <w:sz w:val="28"/>
          <w:szCs w:val="28"/>
        </w:rPr>
        <w:t xml:space="preserve"> (2023): </w:t>
      </w:r>
      <w:r w:rsidRPr="00565106">
        <w:rPr>
          <w:rFonts w:ascii="Simplified Arabic" w:hAnsi="Simplified Arabic" w:cs="Simplified Arabic"/>
          <w:color w:val="000000" w:themeColor="text1"/>
          <w:sz w:val="28"/>
          <w:szCs w:val="28"/>
          <w:rtl/>
        </w:rPr>
        <w:t>هدفت الدراسة إلى التعرف على أثر الدعم المقدَّم من الجهات المانحة بأبعاده (الدعم المالي، والدعم الفني، والدعم الإداري، وبناء القدرات) على استدامة المشاريع في المنظمات غير الربحية في الأردن، واستخدمت الدراسة المنهج الوصفي التحليلي، وتكونت العينة من العاملين في عدد من المنظمات غير الربحية في محافظة البلقاء. وتوصلت نتائج الدراسة إلى وجود أثر ذي دلالة إحصائية للدعم المقدَّم من الجهات المانحة بأبعاده مجتمعةً على استدامة المشاريع، وكان الدعم المالي في مقدمة الأبعاد تأثيراً. وأوصت الدراسة بضرورة تنويع مصادر الدعم، وتعزيز الشفافية في إدارة الأموال المانحة، وبناء قدرات المؤسسات المستفيدة لضمان استدامة المشاريع بعد انتهاء فترة التمويل</w:t>
      </w:r>
      <w:r w:rsidRPr="00565106">
        <w:rPr>
          <w:rFonts w:ascii="Simplified Arabic" w:hAnsi="Simplified Arabic" w:cs="Simplified Arabic"/>
          <w:color w:val="000000" w:themeColor="text1"/>
          <w:sz w:val="28"/>
          <w:szCs w:val="28"/>
        </w:rPr>
        <w:t>.</w:t>
      </w:r>
    </w:p>
    <w:p w14:paraId="43C39B62"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 قادر ومحمد وتمرخان</w:t>
      </w:r>
      <w:r w:rsidRPr="00565106">
        <w:rPr>
          <w:rFonts w:ascii="Simplified Arabic" w:hAnsi="Simplified Arabic" w:cs="Simplified Arabic"/>
          <w:color w:val="000000" w:themeColor="text1"/>
          <w:sz w:val="28"/>
          <w:szCs w:val="28"/>
        </w:rPr>
        <w:t xml:space="preserve"> (2023): </w:t>
      </w:r>
      <w:r w:rsidRPr="00565106">
        <w:rPr>
          <w:rFonts w:ascii="Simplified Arabic" w:hAnsi="Simplified Arabic" w:cs="Simplified Arabic"/>
          <w:color w:val="000000" w:themeColor="text1"/>
          <w:sz w:val="28"/>
          <w:szCs w:val="28"/>
          <w:rtl/>
        </w:rPr>
        <w:t xml:space="preserve">هدفت الدراسة إلى التعرف على أثر الدعم المالي الحكومي بأبعاده (القروض الميسّرة، والمنح، والإعفاءات الضريبية، والمنح النقدية المباشرة) على النشاط الاقتصادي </w:t>
      </w:r>
      <w:r w:rsidRPr="00565106">
        <w:rPr>
          <w:rFonts w:ascii="Simplified Arabic" w:hAnsi="Simplified Arabic" w:cs="Simplified Arabic"/>
          <w:color w:val="000000" w:themeColor="text1"/>
          <w:sz w:val="28"/>
          <w:szCs w:val="28"/>
          <w:rtl/>
        </w:rPr>
        <w:lastRenderedPageBreak/>
        <w:t>للشباب في إقليم كردستان العراق، واستخدمت الدراسة المنهج الوصفي التحليلي التطبيقي، وتكونت العينة من مجموعة من الشباب المستفيدين من برامج الدعم الحكومي في الإقليم. وتوصلت نتائج الدراسة إلى وجود أثر إيجابي دال إحصائياً للدعم المالي الحكومي في تنشيط المشاريع الشبابية ورفع مستوى المشاركة الاقتصادية، مع تفاوت الأثر بحسب نوع الدعم؛ إذ كان للقروض الميسّرة والمنح النقدية الأثر الأكبر. وأوصت الدراسة بتوسيع نطاق برامج الدعم الحكومي وتيسير إجراءات الحصول عليها، وربطها بمعايير أداء واضحة تضمن حسن الاستفادة منها</w:t>
      </w:r>
      <w:r w:rsidRPr="00565106">
        <w:rPr>
          <w:rFonts w:ascii="Simplified Arabic" w:hAnsi="Simplified Arabic" w:cs="Simplified Arabic"/>
          <w:color w:val="000000" w:themeColor="text1"/>
          <w:sz w:val="28"/>
          <w:szCs w:val="28"/>
        </w:rPr>
        <w:t>.</w:t>
      </w:r>
    </w:p>
    <w:p w14:paraId="422CE388"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w:t>
      </w:r>
      <w:r w:rsidRPr="00565106">
        <w:rPr>
          <w:rFonts w:ascii="Simplified Arabic" w:hAnsi="Simplified Arabic" w:cs="Simplified Arabic"/>
          <w:color w:val="000000" w:themeColor="text1"/>
          <w:sz w:val="28"/>
          <w:szCs w:val="28"/>
        </w:rPr>
        <w:t xml:space="preserve"> Moores &amp; Burgess (2023): </w:t>
      </w:r>
      <w:r w:rsidRPr="00565106">
        <w:rPr>
          <w:rFonts w:ascii="Simplified Arabic" w:hAnsi="Simplified Arabic" w:cs="Simplified Arabic"/>
          <w:color w:val="000000" w:themeColor="text1"/>
          <w:sz w:val="28"/>
          <w:szCs w:val="28"/>
          <w:rtl/>
        </w:rPr>
        <w:t>هدفت الدراسة إلى التعرف على أثر الدعم المالي المقدَّم للطلاب الجامعيين بأبعاده (المنح الدراسية، والمكافآت المرتبطة بالدخل، والدعم الطارئ) على معدلات الاستمرار الأكاديمي للطلاب من الأسر ذات الدخل المنخفض والمتوسط في المملكة المتحدة، واستخدمت الدراسة المنهج شبه التجريبي بالاعتماد على تحليل بيانات جامعة بريطانية على مدى عدة سنوات، وتكونت العينة من آلاف الطلاب الملتحقين ببرامج البكالوريوس. وتوصلت نتائج الدراسة إلى أن المنح الدراسية أسهمت في تحسين معدلات الاستمرار الأكاديمي بشكل دال، لكن بصورة تفاضلية؛ إذ استفاد منها بصورة أكبر الطلاب المنتمون إلى الأسر ذات الدخل المنخفض والمتوسط. وأوصت الدراسة بتوجيه برامج الدعم المالي بشكل أدق إلى الفئات الأكثر احتياجاً لضمان أعلى مردود على معدلات الاستمرار</w:t>
      </w:r>
      <w:r w:rsidRPr="00565106">
        <w:rPr>
          <w:rFonts w:ascii="Simplified Arabic" w:hAnsi="Simplified Arabic" w:cs="Simplified Arabic"/>
          <w:color w:val="000000" w:themeColor="text1"/>
          <w:sz w:val="28"/>
          <w:szCs w:val="28"/>
        </w:rPr>
        <w:t>.</w:t>
      </w:r>
    </w:p>
    <w:p w14:paraId="4F21A595"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w:t>
      </w:r>
      <w:r w:rsidRPr="00565106">
        <w:rPr>
          <w:rFonts w:ascii="Simplified Arabic" w:hAnsi="Simplified Arabic" w:cs="Simplified Arabic"/>
          <w:color w:val="000000" w:themeColor="text1"/>
          <w:sz w:val="28"/>
          <w:szCs w:val="28"/>
        </w:rPr>
        <w:t xml:space="preserve"> LaSota </w:t>
      </w:r>
      <w:r w:rsidRPr="00565106">
        <w:rPr>
          <w:rFonts w:ascii="Simplified Arabic" w:hAnsi="Simplified Arabic" w:cs="Simplified Arabic"/>
          <w:color w:val="000000" w:themeColor="text1"/>
          <w:sz w:val="28"/>
          <w:szCs w:val="28"/>
          <w:rtl/>
        </w:rPr>
        <w:t>وآخرون</w:t>
      </w:r>
      <w:r w:rsidRPr="00565106">
        <w:rPr>
          <w:rFonts w:ascii="Simplified Arabic" w:hAnsi="Simplified Arabic" w:cs="Simplified Arabic"/>
          <w:color w:val="000000" w:themeColor="text1"/>
          <w:sz w:val="28"/>
          <w:szCs w:val="28"/>
        </w:rPr>
        <w:t xml:space="preserve"> (2025): </w:t>
      </w:r>
      <w:r w:rsidRPr="00565106">
        <w:rPr>
          <w:rFonts w:ascii="Simplified Arabic" w:hAnsi="Simplified Arabic" w:cs="Simplified Arabic"/>
          <w:color w:val="000000" w:themeColor="text1"/>
          <w:sz w:val="28"/>
          <w:szCs w:val="28"/>
          <w:rtl/>
        </w:rPr>
        <w:t>هدفت الدراسة إلى التعرف على أثر برامج المنح المالية بأبعاده (المنح الفيدرالية، ومنح الولايات، والمنح المؤسسية، والمنح المدمجة مع خدمات الدعم) على مخرجات الطلاب الجامعيين شاملةً الالتحاق وتراكم الساعات والاستمرار والتخرج، واستخدمت الدراسة منهج المراجعة المنظمة والتحليل البعدي</w:t>
      </w:r>
      <w:r w:rsidRPr="00565106">
        <w:rPr>
          <w:rFonts w:ascii="Simplified Arabic" w:hAnsi="Simplified Arabic" w:cs="Simplified Arabic"/>
          <w:color w:val="000000" w:themeColor="text1"/>
          <w:sz w:val="28"/>
          <w:szCs w:val="28"/>
        </w:rPr>
        <w:t xml:space="preserve"> (Meta-Analysis)</w:t>
      </w:r>
      <w:r w:rsidRPr="00565106">
        <w:rPr>
          <w:rFonts w:ascii="Simplified Arabic" w:hAnsi="Simplified Arabic" w:cs="Simplified Arabic"/>
          <w:color w:val="000000" w:themeColor="text1"/>
          <w:sz w:val="28"/>
          <w:szCs w:val="28"/>
          <w:rtl/>
        </w:rPr>
        <w:t>، وتكونت العينة من عشرات الدراسات التجريبية وشبه التجريبية التي أُجريت على آلاف الطلاب في الولايات المتحدة. وتوصلت نتائج الدراسة إلى وجود آثار إيجابية صغيرة لكن ذات دلالة عملية للمنح على الالتحاق والاستمرار وتراكم الساعات وإتمام الدراسة، وأن هذه الآثار تتعزّز حين تُدمج المنح مع خدمات إرشادية وأكاديمية. وأوصت الدراسة بضرورة توسيع برامج المنح ودمجها ببرامج التوجيه، والاستمرار في تقييم أثرها على الفئات الأشد احتياجاً</w:t>
      </w:r>
      <w:r w:rsidRPr="00565106">
        <w:rPr>
          <w:rFonts w:ascii="Simplified Arabic" w:hAnsi="Simplified Arabic" w:cs="Simplified Arabic"/>
          <w:color w:val="000000" w:themeColor="text1"/>
          <w:sz w:val="28"/>
          <w:szCs w:val="28"/>
        </w:rPr>
        <w:t>.</w:t>
      </w:r>
    </w:p>
    <w:p w14:paraId="43671BD1" w14:textId="704D2A50"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w:t>
      </w:r>
      <w:r w:rsidRPr="00565106">
        <w:rPr>
          <w:rFonts w:ascii="Simplified Arabic" w:hAnsi="Simplified Arabic" w:cs="Simplified Arabic"/>
          <w:color w:val="000000" w:themeColor="text1"/>
          <w:sz w:val="28"/>
          <w:szCs w:val="28"/>
        </w:rPr>
        <w:t xml:space="preserve"> Chen &amp; Smith (2024): </w:t>
      </w:r>
      <w:r w:rsidRPr="00565106">
        <w:rPr>
          <w:rFonts w:ascii="Simplified Arabic" w:hAnsi="Simplified Arabic" w:cs="Simplified Arabic"/>
          <w:color w:val="000000" w:themeColor="text1"/>
          <w:sz w:val="28"/>
          <w:szCs w:val="28"/>
          <w:rtl/>
        </w:rPr>
        <w:t xml:space="preserve">هدفت الدراسة إلى التعرف على أثر القروض الفيدرالية بأبعاده (المستوى المنخفض، والمتوسط، والمرتفع من الاقتراض) على استمرار طلاب السنة الأولى في مؤسساتهم، والانتقال إلى مؤسسات أخرى، والتسرب من النظام الجامعي، واستخدمت الدراسة المنهج الوصفي الكمّي </w:t>
      </w:r>
      <w:r w:rsidRPr="00565106">
        <w:rPr>
          <w:rFonts w:ascii="Simplified Arabic" w:hAnsi="Simplified Arabic" w:cs="Simplified Arabic"/>
          <w:color w:val="000000" w:themeColor="text1"/>
          <w:sz w:val="28"/>
          <w:szCs w:val="28"/>
          <w:rtl/>
        </w:rPr>
        <w:lastRenderedPageBreak/>
        <w:t>عبر تحليل الانحدار اللوجستي، وتكونت العينة من الطلاب الملتحقين بمؤسسات التعليم العالي في الولايات المتحدة اعتماداً على بيانات وطنية. وتوصلت نتائج الدراسة إلى أن المستوى المعتدل من القروض يرتبط سلبياً بالتسرب من النظام، بينما ترتبط المستويات المرتفعة بمخاطر أكبر للانتقال والتسرب. وأوصت الدراسة بضرورة إرشاد الطلاب مالياً وضبط مستويات الاقتراض عند حدود آمنة تحمي مسيرتهم الأكاديمية</w:t>
      </w:r>
      <w:r w:rsidRPr="00565106">
        <w:rPr>
          <w:rFonts w:ascii="Simplified Arabic" w:hAnsi="Simplified Arabic" w:cs="Simplified Arabic"/>
          <w:color w:val="000000" w:themeColor="text1"/>
          <w:sz w:val="28"/>
          <w:szCs w:val="28"/>
        </w:rPr>
        <w:t>.</w:t>
      </w:r>
    </w:p>
    <w:p w14:paraId="65A2FC90"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المحور الثاني: التسرب الجامعي (المتغير التابع) وعلاقته بمتغيرات أخرى</w:t>
      </w:r>
    </w:p>
    <w:p w14:paraId="38BFFFC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يُشير التسرب الجامعي إلى انقطاع الطالب عن الدراسة الجامعية قبل إتمام متطلبات الحصول على الدرجة العلمية، وهو ظاهرة معقّدة متعددة الأبعاد ترتبط بعوامل فردية وأسرية وأكاديمية ومؤسسية واقتصادية. وفيما يلي عرض لأبرز الدراسات التي تناولت هذا المتغير</w:t>
      </w:r>
      <w:r w:rsidRPr="00565106">
        <w:rPr>
          <w:rFonts w:ascii="Simplified Arabic" w:hAnsi="Simplified Arabic" w:cs="Simplified Arabic"/>
          <w:color w:val="000000" w:themeColor="text1"/>
          <w:sz w:val="28"/>
          <w:szCs w:val="28"/>
        </w:rPr>
        <w:t>:</w:t>
      </w:r>
    </w:p>
    <w:p w14:paraId="38C41224"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 عصماني</w:t>
      </w:r>
      <w:r w:rsidRPr="00565106">
        <w:rPr>
          <w:rFonts w:ascii="Simplified Arabic" w:hAnsi="Simplified Arabic" w:cs="Simplified Arabic"/>
          <w:color w:val="000000" w:themeColor="text1"/>
          <w:sz w:val="28"/>
          <w:szCs w:val="28"/>
        </w:rPr>
        <w:t xml:space="preserve"> (2023): </w:t>
      </w:r>
      <w:r w:rsidRPr="00565106">
        <w:rPr>
          <w:rFonts w:ascii="Simplified Arabic" w:hAnsi="Simplified Arabic" w:cs="Simplified Arabic"/>
          <w:color w:val="000000" w:themeColor="text1"/>
          <w:sz w:val="28"/>
          <w:szCs w:val="28"/>
          <w:rtl/>
        </w:rPr>
        <w:t>هدفت الدراسة إلى التعرف على دور مستشار التوجيه والإرشاد المدرسي والمهني بأبعاده (الإرشاد النفسي، والإرشاد الأكاديمي، والإرشاد المهني، والتواصل مع الأسرة) في التقليل من ظاهرة التسرب المدرسي من وجهة نظر تلاميذ المرحلة الثانوية، واستخدمت الدراسة المنهج الوصفي الميداني، وتكونت العينة من تلاميذ مرحلة التعليم الثانوي في الجزائر. وتوصلت نتائج الدراسة إلى أن لمستشار التوجيه دوراً إيجابياً ملحوظاً في الحدّ من التسرب، وأن هذا الدور يزداد فاعلية كلما زاد التنسيق بين المدرسة والأسرة. وأوصت الدراسة بتفعيل دور مستشاري التوجيه، وتكثيف البرامج الإرشادية الوقائية، وربطها ببرامج توعية أسرية لضمان استمرار الطلاب في الدراسة</w:t>
      </w:r>
      <w:r w:rsidRPr="00565106">
        <w:rPr>
          <w:rFonts w:ascii="Simplified Arabic" w:hAnsi="Simplified Arabic" w:cs="Simplified Arabic"/>
          <w:color w:val="000000" w:themeColor="text1"/>
          <w:sz w:val="28"/>
          <w:szCs w:val="28"/>
        </w:rPr>
        <w:t>.</w:t>
      </w:r>
    </w:p>
    <w:p w14:paraId="54F8C64B"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 عنانزة والعزام</w:t>
      </w:r>
      <w:r w:rsidRPr="00565106">
        <w:rPr>
          <w:rFonts w:ascii="Simplified Arabic" w:hAnsi="Simplified Arabic" w:cs="Simplified Arabic"/>
          <w:color w:val="000000" w:themeColor="text1"/>
          <w:sz w:val="28"/>
          <w:szCs w:val="28"/>
        </w:rPr>
        <w:t xml:space="preserve"> (2024): </w:t>
      </w:r>
      <w:r w:rsidRPr="00565106">
        <w:rPr>
          <w:rFonts w:ascii="Simplified Arabic" w:hAnsi="Simplified Arabic" w:cs="Simplified Arabic"/>
          <w:color w:val="000000" w:themeColor="text1"/>
          <w:sz w:val="28"/>
          <w:szCs w:val="28"/>
          <w:rtl/>
        </w:rPr>
        <w:t>هدفت الدراسة إلى التعرف على ظاهرة التسرب في المدارس الأردنية بأبعادها (الأسباب الأسرية، والأسباب الاقتصادية، والأسباب المدرسية، والأسباب النفسية) وأثرها على المجتمع الأردني، واستخدمت الدراسة المنهج الوصفي النظري بالاعتماد على تحليل الأدبيات والتقارير الرسمية، وتكونت العينة من مجموعة من الدراسات والوثائق ذات الصلة بظاهرة التسرب في الأردن. وتوصلت نتائج الدراسة إلى أن العوامل الاقتصادية والأسرية تأتي في مقدمة العوامل المؤدية للتسرب، وأن للتسرب آثاراً سلبية عميقة على المجتمع تشمل ارتفاع معدلات البطالة والجريمة وتراجع الإنتاجية. وأوصت الدراسة بضرورة تبنّي سياسات وقائية شاملة تجمع بين الدعم الاقتصادي للأسر والتدخلات المدرسية والإرشادية لخفض معدلات التسرب</w:t>
      </w:r>
      <w:r w:rsidRPr="00565106">
        <w:rPr>
          <w:rFonts w:ascii="Simplified Arabic" w:hAnsi="Simplified Arabic" w:cs="Simplified Arabic"/>
          <w:color w:val="000000" w:themeColor="text1"/>
          <w:sz w:val="28"/>
          <w:szCs w:val="28"/>
        </w:rPr>
        <w:t>.</w:t>
      </w:r>
    </w:p>
    <w:p w14:paraId="66DC1591"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دراسة</w:t>
      </w:r>
      <w:r w:rsidRPr="00565106">
        <w:rPr>
          <w:rFonts w:ascii="Simplified Arabic" w:hAnsi="Simplified Arabic" w:cs="Simplified Arabic"/>
          <w:color w:val="000000" w:themeColor="text1"/>
          <w:sz w:val="28"/>
          <w:szCs w:val="28"/>
        </w:rPr>
        <w:t xml:space="preserve"> Lorenzo-Quiles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Gald</w:t>
      </w:r>
      <w:r w:rsidRPr="00565106">
        <w:rPr>
          <w:rFonts w:ascii="Cambria" w:hAnsi="Cambria" w:cs="Cambria"/>
          <w:color w:val="000000" w:themeColor="text1"/>
          <w:sz w:val="28"/>
          <w:szCs w:val="28"/>
        </w:rPr>
        <w:t>ó</w:t>
      </w:r>
      <w:r w:rsidRPr="00565106">
        <w:rPr>
          <w:rFonts w:ascii="Simplified Arabic" w:hAnsi="Simplified Arabic" w:cs="Simplified Arabic"/>
          <w:color w:val="000000" w:themeColor="text1"/>
          <w:sz w:val="28"/>
          <w:szCs w:val="28"/>
        </w:rPr>
        <w:t>n-L</w:t>
      </w:r>
      <w:r w:rsidRPr="00565106">
        <w:rPr>
          <w:rFonts w:ascii="Cambria" w:hAnsi="Cambria" w:cs="Cambria"/>
          <w:color w:val="000000" w:themeColor="text1"/>
          <w:sz w:val="28"/>
          <w:szCs w:val="28"/>
        </w:rPr>
        <w:t>ó</w:t>
      </w:r>
      <w:r w:rsidRPr="00565106">
        <w:rPr>
          <w:rFonts w:ascii="Simplified Arabic" w:hAnsi="Simplified Arabic" w:cs="Simplified Arabic"/>
          <w:color w:val="000000" w:themeColor="text1"/>
          <w:sz w:val="28"/>
          <w:szCs w:val="28"/>
        </w:rPr>
        <w:t xml:space="preserve">pez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Lend</w:t>
      </w:r>
      <w:r w:rsidRPr="00565106">
        <w:rPr>
          <w:rFonts w:ascii="Cambria" w:hAnsi="Cambria" w:cs="Cambria"/>
          <w:color w:val="000000" w:themeColor="text1"/>
          <w:sz w:val="28"/>
          <w:szCs w:val="28"/>
        </w:rPr>
        <w:t>í</w:t>
      </w:r>
      <w:r w:rsidRPr="00565106">
        <w:rPr>
          <w:rFonts w:ascii="Simplified Arabic" w:hAnsi="Simplified Arabic" w:cs="Simplified Arabic"/>
          <w:color w:val="000000" w:themeColor="text1"/>
          <w:sz w:val="28"/>
          <w:szCs w:val="28"/>
        </w:rPr>
        <w:t>nez-Tur</w:t>
      </w:r>
      <w:r w:rsidRPr="00565106">
        <w:rPr>
          <w:rFonts w:ascii="Cambria" w:hAnsi="Cambria" w:cs="Cambria"/>
          <w:color w:val="000000" w:themeColor="text1"/>
          <w:sz w:val="28"/>
          <w:szCs w:val="28"/>
        </w:rPr>
        <w:t>ó</w:t>
      </w:r>
      <w:r w:rsidRPr="00565106">
        <w:rPr>
          <w:rFonts w:ascii="Simplified Arabic" w:hAnsi="Simplified Arabic" w:cs="Simplified Arabic"/>
          <w:color w:val="000000" w:themeColor="text1"/>
          <w:sz w:val="28"/>
          <w:szCs w:val="28"/>
        </w:rPr>
        <w:t xml:space="preserve">n (2023): </w:t>
      </w:r>
      <w:r w:rsidRPr="00565106">
        <w:rPr>
          <w:rFonts w:ascii="Simplified Arabic" w:hAnsi="Simplified Arabic" w:cs="Simplified Arabic"/>
          <w:color w:val="000000" w:themeColor="text1"/>
          <w:sz w:val="28"/>
          <w:szCs w:val="28"/>
          <w:rtl/>
        </w:rPr>
        <w:t>هدفت الدراسة إلى التعرف على العوامل المسهمة في التسرب الجامعي بأبعاده (تكيّف الطالب، والشخصية، والمستوى الاجتماعي والاقتصادي، والعلاقة بين المعلم والطالب، والعوامل المؤسسية)، واستخدمت الدراسة منهج المراجعة المنظمة للأدبيات، وتكونت العينة من عدد كبير من الدراسات الحديثة المنشورة في قواعد بيانات علمية موثوقة. وتوصلت نتائج الدراسة إلى أن التسرب الجامعي يرتبط بخمسة محاور رئيسة هي: تكيّف الطالب، وسمات الشخصية، والمستوى الاجتماعي والاقتصادي، والعلاقة بين المعلم والطالب، والعوامل المؤسسية، وأن العامل الاقتصادي يمثل محدّداً محورياً لا سيّما لدى الطلاب من الأسر منخفضة الدخل. وأوصت الدراسة بضرورة تبنّي مقاربات متعددة الأبعاد لمواجهة التسرب تجمع بين الدعم النفسي والأكاديمي والمالي</w:t>
      </w:r>
      <w:r w:rsidRPr="00565106">
        <w:rPr>
          <w:rFonts w:ascii="Simplified Arabic" w:hAnsi="Simplified Arabic" w:cs="Simplified Arabic"/>
          <w:color w:val="000000" w:themeColor="text1"/>
          <w:sz w:val="28"/>
          <w:szCs w:val="28"/>
        </w:rPr>
        <w:t>.</w:t>
      </w:r>
    </w:p>
    <w:p w14:paraId="24345237"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w:t>
      </w:r>
      <w:r w:rsidRPr="00565106">
        <w:rPr>
          <w:rFonts w:ascii="Simplified Arabic" w:hAnsi="Simplified Arabic" w:cs="Simplified Arabic"/>
          <w:color w:val="000000" w:themeColor="text1"/>
          <w:sz w:val="28"/>
          <w:szCs w:val="28"/>
        </w:rPr>
        <w:t xml:space="preserve"> N</w:t>
      </w:r>
      <w:r w:rsidRPr="00565106">
        <w:rPr>
          <w:rFonts w:ascii="Cambria" w:hAnsi="Cambria" w:cs="Cambria"/>
          <w:color w:val="000000" w:themeColor="text1"/>
          <w:sz w:val="28"/>
          <w:szCs w:val="28"/>
        </w:rPr>
        <w:t>úñ</w:t>
      </w:r>
      <w:r w:rsidRPr="00565106">
        <w:rPr>
          <w:rFonts w:ascii="Simplified Arabic" w:hAnsi="Simplified Arabic" w:cs="Simplified Arabic"/>
          <w:color w:val="000000" w:themeColor="text1"/>
          <w:sz w:val="28"/>
          <w:szCs w:val="28"/>
        </w:rPr>
        <w:t xml:space="preserve">ez-Naranjo (2024): </w:t>
      </w:r>
      <w:r w:rsidRPr="00565106">
        <w:rPr>
          <w:rFonts w:ascii="Simplified Arabic" w:hAnsi="Simplified Arabic" w:cs="Simplified Arabic"/>
          <w:color w:val="000000" w:themeColor="text1"/>
          <w:sz w:val="28"/>
          <w:szCs w:val="28"/>
          <w:rtl/>
        </w:rPr>
        <w:t>هدفت الدراسة إلى التعرف على العوامل المحدِّدة للتسرب الجامعي بأبعاده (العوامل الشخصية، والأسرية، والاقتصادية، والأكاديمية، والمؤسسية) في السياق الإكوادوري، واستخدمت الدراسة المنهج الوصفي التحليلي بالاعتماد على التحليل الإحصائي لبيانات كمّية، وتكونت العينة من (1078) طالباً في إحدى الجامعات الخاصة في الإكوادور. وتوصلت نتائج الدراسة إلى أن احتمال التسرب بلغ نحو (44.9%) في المؤسسات الخاصة، وأن العوامل الاقتصادية والأكاديمية جاءت في مقدمة العوامل المفسِّرة للتسرب، يليها العوامل الأسرية والمؤسسية. وأوصت الدراسة بضرورة تعزيز برامج الدعم المالي، وتحسين برامج التوجيه الأكاديمي، وتطوير آليات الكشف المبكر عن الطلاب المعرَّضين لخطر التسرب</w:t>
      </w:r>
      <w:r w:rsidRPr="00565106">
        <w:rPr>
          <w:rFonts w:ascii="Simplified Arabic" w:hAnsi="Simplified Arabic" w:cs="Simplified Arabic"/>
          <w:color w:val="000000" w:themeColor="text1"/>
          <w:sz w:val="28"/>
          <w:szCs w:val="28"/>
        </w:rPr>
        <w:t>.</w:t>
      </w:r>
    </w:p>
    <w:p w14:paraId="0642C919"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دراسة</w:t>
      </w:r>
      <w:r w:rsidRPr="00565106">
        <w:rPr>
          <w:rFonts w:ascii="Simplified Arabic" w:hAnsi="Simplified Arabic" w:cs="Simplified Arabic"/>
          <w:color w:val="000000" w:themeColor="text1"/>
          <w:sz w:val="28"/>
          <w:szCs w:val="28"/>
        </w:rPr>
        <w:t xml:space="preserve"> Mtshweni (2022): </w:t>
      </w:r>
      <w:r w:rsidRPr="00565106">
        <w:rPr>
          <w:rFonts w:ascii="Simplified Arabic" w:hAnsi="Simplified Arabic" w:cs="Simplified Arabic"/>
          <w:color w:val="000000" w:themeColor="text1"/>
          <w:sz w:val="28"/>
          <w:szCs w:val="28"/>
          <w:rtl/>
        </w:rPr>
        <w:t xml:space="preserve">هدفت الدراسة إلى التعرف على أثر التكيّف والوضع الاجتماعي والاقتصادي بأبعادهما (التكيّف الأكاديمي، والتكيّف الاجتماعي، والتكيّف الشخصي والانفعالي، ومستوى الدخل الأسري، ومستوى تعليم الوالدين) على نيّة التسرب من الجامعة لدى الطلاب الجامعيين، واستخدمت الدراسة المنهج الوصفي الارتباطي، وتكونت العينة من طلاب المرحلة الجامعية الأولى في إحدى الجامعات في جنوب أفريقيا. وتوصلت نتائج الدراسة إلى وجود علاقة دالة إحصائياً بين ضعف التكيّف الجامعي وتدنّي الوضع الاجتماعي والاقتصادي من جهة وارتفاع نيّة التسرب من الجامعة من جهة أخرى، وأن الوضع الاقتصادي يمثّل عاملاً وسيطاً مهماً في تفسير هذه العلاقة. وأوصت الدراسة بضرورة تصميم برامج </w:t>
      </w:r>
      <w:r w:rsidRPr="00565106">
        <w:rPr>
          <w:rFonts w:ascii="Simplified Arabic" w:hAnsi="Simplified Arabic" w:cs="Simplified Arabic"/>
          <w:color w:val="000000" w:themeColor="text1"/>
          <w:sz w:val="28"/>
          <w:szCs w:val="28"/>
          <w:rtl/>
        </w:rPr>
        <w:lastRenderedPageBreak/>
        <w:t>جامعية تُعزّز تكيّف الطلاب الجدد، وتقديم دعم مالي مستهدَف للطلاب من الأسر منخفضة الدخل للحدّ من نيّتهم في التسرب</w:t>
      </w:r>
      <w:r w:rsidRPr="00565106">
        <w:rPr>
          <w:rFonts w:ascii="Simplified Arabic" w:hAnsi="Simplified Arabic" w:cs="Simplified Arabic"/>
          <w:color w:val="000000" w:themeColor="text1"/>
          <w:sz w:val="28"/>
          <w:szCs w:val="28"/>
        </w:rPr>
        <w:t>.</w:t>
      </w:r>
    </w:p>
    <w:p w14:paraId="4EB22E1A" w14:textId="5D266F73"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4329138"/>
      <w:r w:rsidRPr="00565106">
        <w:rPr>
          <w:rFonts w:ascii="Simplified Arabic" w:hAnsi="Simplified Arabic" w:cs="Simplified Arabic" w:hint="cs"/>
          <w:b/>
          <w:bCs/>
          <w:color w:val="000000" w:themeColor="text1"/>
          <w:sz w:val="36"/>
          <w:szCs w:val="36"/>
          <w:rtl/>
        </w:rPr>
        <w:t xml:space="preserve">8.1 </w:t>
      </w:r>
      <w:r w:rsidR="002D7B70" w:rsidRPr="00565106">
        <w:rPr>
          <w:rFonts w:ascii="Simplified Arabic" w:hAnsi="Simplified Arabic" w:cs="Simplified Arabic"/>
          <w:b/>
          <w:bCs/>
          <w:color w:val="000000" w:themeColor="text1"/>
          <w:sz w:val="36"/>
          <w:szCs w:val="36"/>
          <w:rtl/>
        </w:rPr>
        <w:t>الفجوة البحثية</w:t>
      </w:r>
      <w:bookmarkEnd w:id="8"/>
    </w:p>
    <w:p w14:paraId="249F8878"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من خلال الاستعراض المعمّق للدراسات السابقة العربية والأجنبية التي تناولت متغيرَي الدعم المالي والتسرب الجامعي، تتّضح جملة من أوجه الاتفاق والاختلاف بين هذه الدراسات والدراسة الحالية، تتبلور من مجموعها ملامح الفجوة البحثية التي تسعى الدراسة الراهنة إلى ردمها. فمن حيث أوجه الاتفاق، تتفق الدراسة الحالية مع كثير من الدراسات السابقة كدراسة القطيشات والقطيشات (2023)، ودراسة قادر ومحمد وتمرخان (2023)، ودراسة</w:t>
      </w:r>
      <w:r w:rsidRPr="00565106">
        <w:rPr>
          <w:rFonts w:ascii="Simplified Arabic" w:hAnsi="Simplified Arabic" w:cs="Simplified Arabic"/>
          <w:color w:val="000000" w:themeColor="text1"/>
          <w:sz w:val="28"/>
          <w:szCs w:val="28"/>
        </w:rPr>
        <w:t xml:space="preserve"> Moores &amp; Burgess (2023)</w:t>
      </w:r>
      <w:r w:rsidRPr="00565106">
        <w:rPr>
          <w:rFonts w:ascii="Simplified Arabic" w:hAnsi="Simplified Arabic" w:cs="Simplified Arabic"/>
          <w:color w:val="000000" w:themeColor="text1"/>
          <w:sz w:val="28"/>
          <w:szCs w:val="28"/>
          <w:rtl/>
        </w:rPr>
        <w:t>، ودراسة</w:t>
      </w:r>
      <w:r w:rsidRPr="00565106">
        <w:rPr>
          <w:rFonts w:ascii="Simplified Arabic" w:hAnsi="Simplified Arabic" w:cs="Simplified Arabic"/>
          <w:color w:val="000000" w:themeColor="text1"/>
          <w:sz w:val="28"/>
          <w:szCs w:val="28"/>
        </w:rPr>
        <w:t xml:space="preserve"> LaSota </w:t>
      </w:r>
      <w:r w:rsidRPr="00565106">
        <w:rPr>
          <w:rFonts w:ascii="Simplified Arabic" w:hAnsi="Simplified Arabic" w:cs="Simplified Arabic"/>
          <w:color w:val="000000" w:themeColor="text1"/>
          <w:sz w:val="28"/>
          <w:szCs w:val="28"/>
          <w:rtl/>
        </w:rPr>
        <w:t>وآخرون (2025)، ودراسة</w:t>
      </w:r>
      <w:r w:rsidRPr="00565106">
        <w:rPr>
          <w:rFonts w:ascii="Simplified Arabic" w:hAnsi="Simplified Arabic" w:cs="Simplified Arabic"/>
          <w:color w:val="000000" w:themeColor="text1"/>
          <w:sz w:val="28"/>
          <w:szCs w:val="28"/>
        </w:rPr>
        <w:t xml:space="preserve"> Chen &amp; Smith (2024)</w:t>
      </w:r>
      <w:r w:rsidRPr="00565106">
        <w:rPr>
          <w:rFonts w:ascii="Simplified Arabic" w:hAnsi="Simplified Arabic" w:cs="Simplified Arabic"/>
          <w:color w:val="000000" w:themeColor="text1"/>
          <w:sz w:val="28"/>
          <w:szCs w:val="28"/>
          <w:rtl/>
        </w:rPr>
        <w:t>، في تناول الدعم المالي متغيراً مستقلاً وقياس أثره على متغيرات مخرجاتية، كما تتفق مع دراسة عصماني (2023)، ودراسة عنانزة والعزام (2024)، ودراسة</w:t>
      </w:r>
      <w:r w:rsidRPr="00565106">
        <w:rPr>
          <w:rFonts w:ascii="Simplified Arabic" w:hAnsi="Simplified Arabic" w:cs="Simplified Arabic"/>
          <w:color w:val="000000" w:themeColor="text1"/>
          <w:sz w:val="28"/>
          <w:szCs w:val="28"/>
        </w:rPr>
        <w:t xml:space="preserve"> Lorenzo-Quiles </w:t>
      </w:r>
      <w:r w:rsidRPr="00565106">
        <w:rPr>
          <w:rFonts w:ascii="Simplified Arabic" w:hAnsi="Simplified Arabic" w:cs="Simplified Arabic"/>
          <w:color w:val="000000" w:themeColor="text1"/>
          <w:sz w:val="28"/>
          <w:szCs w:val="28"/>
          <w:rtl/>
        </w:rPr>
        <w:t>وآخرون (2023)، ودراسة</w:t>
      </w:r>
      <w:r w:rsidRPr="00565106">
        <w:rPr>
          <w:rFonts w:ascii="Simplified Arabic" w:hAnsi="Simplified Arabic" w:cs="Simplified Arabic"/>
          <w:color w:val="000000" w:themeColor="text1"/>
          <w:sz w:val="28"/>
          <w:szCs w:val="28"/>
        </w:rPr>
        <w:t xml:space="preserve"> N</w:t>
      </w:r>
      <w:r w:rsidRPr="00565106">
        <w:rPr>
          <w:rFonts w:ascii="Cambria" w:hAnsi="Cambria" w:cs="Cambria"/>
          <w:color w:val="000000" w:themeColor="text1"/>
          <w:sz w:val="28"/>
          <w:szCs w:val="28"/>
        </w:rPr>
        <w:t>úñ</w:t>
      </w:r>
      <w:r w:rsidRPr="00565106">
        <w:rPr>
          <w:rFonts w:ascii="Simplified Arabic" w:hAnsi="Simplified Arabic" w:cs="Simplified Arabic"/>
          <w:color w:val="000000" w:themeColor="text1"/>
          <w:sz w:val="28"/>
          <w:szCs w:val="28"/>
        </w:rPr>
        <w:t>ez-Naranjo (2024)</w:t>
      </w:r>
      <w:r w:rsidRPr="00565106">
        <w:rPr>
          <w:rFonts w:ascii="Simplified Arabic" w:hAnsi="Simplified Arabic" w:cs="Simplified Arabic"/>
          <w:color w:val="000000" w:themeColor="text1"/>
          <w:sz w:val="28"/>
          <w:szCs w:val="28"/>
          <w:rtl/>
        </w:rPr>
        <w:t>، ودراسة</w:t>
      </w:r>
      <w:r w:rsidRPr="00565106">
        <w:rPr>
          <w:rFonts w:ascii="Simplified Arabic" w:hAnsi="Simplified Arabic" w:cs="Simplified Arabic"/>
          <w:color w:val="000000" w:themeColor="text1"/>
          <w:sz w:val="28"/>
          <w:szCs w:val="28"/>
        </w:rPr>
        <w:t xml:space="preserve"> Mtshweni (2022) </w:t>
      </w:r>
      <w:r w:rsidRPr="00565106">
        <w:rPr>
          <w:rFonts w:ascii="Simplified Arabic" w:hAnsi="Simplified Arabic" w:cs="Simplified Arabic"/>
          <w:color w:val="000000" w:themeColor="text1"/>
          <w:sz w:val="28"/>
          <w:szCs w:val="28"/>
          <w:rtl/>
        </w:rPr>
        <w:t>في تناول التسرب متغيراً محورياً يستحق البحث، فضلاً عن الاتفاق مع أغلب الدراسات السابقة في توظيف المنهج الوصفي التحليلي بوصفه المنهج الأنسب لدراسة العلاقات الأثرية بين المتغيرات في العلوم التربوية والإدارية. أما من حيث أوجه الاختلاف، فتتمايز الدراسة الحالية عن سابقاتها في عدة جوانب جوهرية، أبرزها: أن الدراسات الأجنبية التي تناولت الدعم المالي والتسرب الجامعي أُجريت في سياقات بعيدة عن البيئة السعودية كالسياق البريطاني في دراسة</w:t>
      </w:r>
      <w:r w:rsidRPr="00565106">
        <w:rPr>
          <w:rFonts w:ascii="Simplified Arabic" w:hAnsi="Simplified Arabic" w:cs="Simplified Arabic"/>
          <w:color w:val="000000" w:themeColor="text1"/>
          <w:sz w:val="28"/>
          <w:szCs w:val="28"/>
        </w:rPr>
        <w:t xml:space="preserve"> Moores &amp; Burgess (2023)</w:t>
      </w:r>
      <w:r w:rsidRPr="00565106">
        <w:rPr>
          <w:rFonts w:ascii="Simplified Arabic" w:hAnsi="Simplified Arabic" w:cs="Simplified Arabic"/>
          <w:color w:val="000000" w:themeColor="text1"/>
          <w:sz w:val="28"/>
          <w:szCs w:val="28"/>
          <w:rtl/>
        </w:rPr>
        <w:t>، والأمريكي في دراسات</w:t>
      </w:r>
      <w:r w:rsidRPr="00565106">
        <w:rPr>
          <w:rFonts w:ascii="Simplified Arabic" w:hAnsi="Simplified Arabic" w:cs="Simplified Arabic"/>
          <w:color w:val="000000" w:themeColor="text1"/>
          <w:sz w:val="28"/>
          <w:szCs w:val="28"/>
        </w:rPr>
        <w:t xml:space="preserve"> LaSota </w:t>
      </w:r>
      <w:r w:rsidRPr="00565106">
        <w:rPr>
          <w:rFonts w:ascii="Simplified Arabic" w:hAnsi="Simplified Arabic" w:cs="Simplified Arabic"/>
          <w:color w:val="000000" w:themeColor="text1"/>
          <w:sz w:val="28"/>
          <w:szCs w:val="28"/>
          <w:rtl/>
        </w:rPr>
        <w:t>وآخرون (2025) و</w:t>
      </w:r>
      <w:r w:rsidRPr="00565106">
        <w:rPr>
          <w:rFonts w:ascii="Simplified Arabic" w:hAnsi="Simplified Arabic" w:cs="Simplified Arabic"/>
          <w:color w:val="000000" w:themeColor="text1"/>
          <w:sz w:val="28"/>
          <w:szCs w:val="28"/>
        </w:rPr>
        <w:t>Chen &amp; Smith (2024)</w:t>
      </w:r>
      <w:r w:rsidRPr="00565106">
        <w:rPr>
          <w:rFonts w:ascii="Simplified Arabic" w:hAnsi="Simplified Arabic" w:cs="Simplified Arabic"/>
          <w:color w:val="000000" w:themeColor="text1"/>
          <w:sz w:val="28"/>
          <w:szCs w:val="28"/>
          <w:rtl/>
        </w:rPr>
        <w:t>، والصيني في دراسة</w:t>
      </w:r>
      <w:r w:rsidRPr="00565106">
        <w:rPr>
          <w:rFonts w:ascii="Simplified Arabic" w:hAnsi="Simplified Arabic" w:cs="Simplified Arabic"/>
          <w:color w:val="000000" w:themeColor="text1"/>
          <w:sz w:val="28"/>
          <w:szCs w:val="28"/>
        </w:rPr>
        <w:t xml:space="preserve"> Qi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Ma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Ji (2022)</w:t>
      </w:r>
      <w:r w:rsidRPr="00565106">
        <w:rPr>
          <w:rFonts w:ascii="Simplified Arabic" w:hAnsi="Simplified Arabic" w:cs="Simplified Arabic"/>
          <w:color w:val="000000" w:themeColor="text1"/>
          <w:sz w:val="28"/>
          <w:szCs w:val="28"/>
          <w:rtl/>
        </w:rPr>
        <w:t>، والإكوادوري في دراسة</w:t>
      </w:r>
      <w:r w:rsidRPr="00565106">
        <w:rPr>
          <w:rFonts w:ascii="Simplified Arabic" w:hAnsi="Simplified Arabic" w:cs="Simplified Arabic"/>
          <w:color w:val="000000" w:themeColor="text1"/>
          <w:sz w:val="28"/>
          <w:szCs w:val="28"/>
        </w:rPr>
        <w:t xml:space="preserve"> N</w:t>
      </w:r>
      <w:r w:rsidRPr="00565106">
        <w:rPr>
          <w:rFonts w:ascii="Cambria" w:hAnsi="Cambria" w:cs="Cambria"/>
          <w:color w:val="000000" w:themeColor="text1"/>
          <w:sz w:val="28"/>
          <w:szCs w:val="28"/>
        </w:rPr>
        <w:t>úñ</w:t>
      </w:r>
      <w:r w:rsidRPr="00565106">
        <w:rPr>
          <w:rFonts w:ascii="Simplified Arabic" w:hAnsi="Simplified Arabic" w:cs="Simplified Arabic"/>
          <w:color w:val="000000" w:themeColor="text1"/>
          <w:sz w:val="28"/>
          <w:szCs w:val="28"/>
        </w:rPr>
        <w:t>ez-Naranjo (2024)</w:t>
      </w:r>
      <w:r w:rsidRPr="00565106">
        <w:rPr>
          <w:rFonts w:ascii="Simplified Arabic" w:hAnsi="Simplified Arabic" w:cs="Simplified Arabic"/>
          <w:color w:val="000000" w:themeColor="text1"/>
          <w:sz w:val="28"/>
          <w:szCs w:val="28"/>
          <w:rtl/>
        </w:rPr>
        <w:t>، والجنوب أفريقي في دراسة</w:t>
      </w:r>
      <w:r w:rsidRPr="00565106">
        <w:rPr>
          <w:rFonts w:ascii="Simplified Arabic" w:hAnsi="Simplified Arabic" w:cs="Simplified Arabic"/>
          <w:color w:val="000000" w:themeColor="text1"/>
          <w:sz w:val="28"/>
          <w:szCs w:val="28"/>
        </w:rPr>
        <w:t xml:space="preserve"> Mtshweni (2022)</w:t>
      </w:r>
      <w:r w:rsidRPr="00565106">
        <w:rPr>
          <w:rFonts w:ascii="Simplified Arabic" w:hAnsi="Simplified Arabic" w:cs="Simplified Arabic"/>
          <w:color w:val="000000" w:themeColor="text1"/>
          <w:sz w:val="28"/>
          <w:szCs w:val="28"/>
          <w:rtl/>
        </w:rPr>
        <w:t xml:space="preserve">، وهي سياقات تختلف جوهرياً عن السياق السعودي من حيث طبيعة نظام الدعم المالي المعمول به، والخلفية الاجتماعية والاقتصادية للطلاب، وطبيعة الجامعات ومصادر تمويلها. كما تختلف الدراسة الحالية عن الدراسات العربية كدراسة القطيشات والقطيشات (2023) التي تناولت الدعم في سياق المنظمات غير الربحية لا في سياق الجامعات، ودراسة قادر ومحمد وتمرخان (2023) التي ركّزت على الأثر الاقتصادي للدعم على النشاط الاقتصادي للشباب لا على مسارهم الأكاديمي، ودراسة عصماني (2023) ودراسة عنانزة والعزام (2024) اللتين تناولتا التسرب في المرحلة المدرسية لا الجامعية. كذلك تتميّز الدراسة الحالية بأنها تتناول الدعم المالي بأبعاده المتعددة (المنح الدراسية، والقروض الميسّرة، والمكافآت الشهرية، </w:t>
      </w:r>
      <w:r w:rsidRPr="00565106">
        <w:rPr>
          <w:rFonts w:ascii="Simplified Arabic" w:hAnsi="Simplified Arabic" w:cs="Simplified Arabic"/>
          <w:color w:val="000000" w:themeColor="text1"/>
          <w:sz w:val="28"/>
          <w:szCs w:val="28"/>
          <w:rtl/>
        </w:rPr>
        <w:lastRenderedPageBreak/>
        <w:t>والإعفاءات من الرسوم)، في حين اقتصر كثير من الدراسات على تناوله بوصفه متغيراً أحادياً أو ركّزت على بُعد واحد منه فحسب. ومن هنا تتحدّد الفجوة البحثية التي تسعى الدراسة الحالية إلى سدّها في: الجمع بين متغيرَي الدعم المالي والتسرب الجامعي في نموذج بحثي واحد داخل السياق السعودي الذي لم يحظَ بدراسات كافية في هذا المجال، وتفكيك الدعم المالي إلى أبعاده الحقيقية بدلاً من تناوله بشكل إجمالي، وربط هذه الأبعاد بالاستمرار الأكاديمي وتقليل التسرب في الجامعات السعودية، وهو ما يُشكّل إضافة نوعية للأدب النظري وإسهاماً عملياً يخدم صانعي القرار في منظومة التعليم العالي السعودي</w:t>
      </w:r>
      <w:r w:rsidRPr="00565106">
        <w:rPr>
          <w:rFonts w:ascii="Simplified Arabic" w:hAnsi="Simplified Arabic" w:cs="Simplified Arabic"/>
          <w:color w:val="000000" w:themeColor="text1"/>
          <w:sz w:val="28"/>
          <w:szCs w:val="28"/>
        </w:rPr>
        <w:t>.</w:t>
      </w:r>
    </w:p>
    <w:p w14:paraId="057F6C34" w14:textId="26CBE896"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4329139"/>
      <w:r w:rsidRPr="00565106">
        <w:rPr>
          <w:rFonts w:ascii="Simplified Arabic" w:hAnsi="Simplified Arabic" w:cs="Simplified Arabic" w:hint="cs"/>
          <w:b/>
          <w:bCs/>
          <w:color w:val="000000" w:themeColor="text1"/>
          <w:sz w:val="36"/>
          <w:szCs w:val="36"/>
          <w:rtl/>
        </w:rPr>
        <w:t xml:space="preserve">9.1 </w:t>
      </w:r>
      <w:r w:rsidR="002D7B70" w:rsidRPr="00565106">
        <w:rPr>
          <w:rFonts w:ascii="Simplified Arabic" w:hAnsi="Simplified Arabic" w:cs="Simplified Arabic"/>
          <w:b/>
          <w:bCs/>
          <w:color w:val="000000" w:themeColor="text1"/>
          <w:sz w:val="36"/>
          <w:szCs w:val="36"/>
          <w:rtl/>
        </w:rPr>
        <w:t>المنطلقات النظرية للدراسة</w:t>
      </w:r>
      <w:bookmarkEnd w:id="9"/>
    </w:p>
    <w:p w14:paraId="0466C1F0"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أولاً: الإطار النظري</w:t>
      </w:r>
    </w:p>
    <w:p w14:paraId="752ACCC1"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تنطلق الدراسة الحالية من جملة من المرتكزات النظرية التي تُشكّل الخلفية المفاهيمية والفكرية لبناء نموذجها البحثي، وتُستمدّ هذه المرتكزات من أدبيات علم اقتصاديات التعليم وعلم الاجتماع التربوي وعلم النفس التربوي. ولعلّ في مقدمة هذه المرتكزات نظرية رأس المال البشري</w:t>
      </w:r>
      <w:r w:rsidRPr="00565106">
        <w:rPr>
          <w:rFonts w:ascii="Simplified Arabic" w:hAnsi="Simplified Arabic" w:cs="Simplified Arabic"/>
          <w:color w:val="000000" w:themeColor="text1"/>
          <w:sz w:val="28"/>
          <w:szCs w:val="28"/>
        </w:rPr>
        <w:t xml:space="preserve"> (Human Capital Theory) </w:t>
      </w:r>
      <w:r w:rsidRPr="00565106">
        <w:rPr>
          <w:rFonts w:ascii="Simplified Arabic" w:hAnsi="Simplified Arabic" w:cs="Simplified Arabic"/>
          <w:color w:val="000000" w:themeColor="text1"/>
          <w:sz w:val="28"/>
          <w:szCs w:val="28"/>
          <w:rtl/>
        </w:rPr>
        <w:t>التي أرسى دعائمها الاقتصادي شولتز وطوّرها بيكر، والتي تنظر إلى الإنفاق على التعليم – ومن ضمنه الدعم المالي للطلاب – بوصفه استثماراً طويل الأمد يعود بمردود اقتصادي واجتماعي على الفرد والمجتمع، ومن ثَمّ فإن أي انقطاع عن التعليم يمثّل خسارة استثمارية جسيمة تستوجب تدخّلات مالية وقائية</w:t>
      </w:r>
      <w:r w:rsidRPr="00565106">
        <w:rPr>
          <w:rFonts w:ascii="Simplified Arabic" w:hAnsi="Simplified Arabic" w:cs="Simplified Arabic"/>
          <w:color w:val="000000" w:themeColor="text1"/>
          <w:sz w:val="28"/>
          <w:szCs w:val="28"/>
        </w:rPr>
        <w:t>.</w:t>
      </w:r>
    </w:p>
    <w:p w14:paraId="05FE0DA4"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كذلك تستند الدراسة إلى نموذج تينتو للتسرب الطلابي</w:t>
      </w:r>
      <w:r w:rsidRPr="00565106">
        <w:rPr>
          <w:rFonts w:ascii="Simplified Arabic" w:hAnsi="Simplified Arabic" w:cs="Simplified Arabic"/>
          <w:color w:val="000000" w:themeColor="text1"/>
          <w:sz w:val="28"/>
          <w:szCs w:val="28"/>
        </w:rPr>
        <w:t xml:space="preserve"> (Tinto’s Student Integration Model) </w:t>
      </w:r>
      <w:r w:rsidRPr="00565106">
        <w:rPr>
          <w:rFonts w:ascii="Simplified Arabic" w:hAnsi="Simplified Arabic" w:cs="Simplified Arabic"/>
          <w:color w:val="000000" w:themeColor="text1"/>
          <w:sz w:val="28"/>
          <w:szCs w:val="28"/>
          <w:rtl/>
        </w:rPr>
        <w:t>الذي يُعدّ من أكثر النماذج تأثيراً في تفسير ظاهرة التسرب الجامعي، إذ يرى أن قرار الطالب بمواصلة الدراسة أو الانقطاع عنها يتوقف على مدى اندماجه الأكاديمي والاجتماعي في المؤسسة الجامعية، وأن الدعم المالي يمثّل عاملاً مسانداً يُيسّر هذا الاندماج بتخفيف الأعباء الاقتصادية عن الطالب وتمكينه من التفرّغ للدراسة والانخراط في الحياة الجامعية</w:t>
      </w:r>
      <w:r w:rsidRPr="00565106">
        <w:rPr>
          <w:rFonts w:ascii="Simplified Arabic" w:hAnsi="Simplified Arabic" w:cs="Simplified Arabic"/>
          <w:color w:val="000000" w:themeColor="text1"/>
          <w:sz w:val="28"/>
          <w:szCs w:val="28"/>
        </w:rPr>
        <w:t>.</w:t>
      </w:r>
    </w:p>
    <w:p w14:paraId="7E5DF410"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ويُضاف إلى ذلك نموذج بين وميتزنر</w:t>
      </w:r>
      <w:r w:rsidRPr="00565106">
        <w:rPr>
          <w:rFonts w:ascii="Simplified Arabic" w:hAnsi="Simplified Arabic" w:cs="Simplified Arabic"/>
          <w:color w:val="000000" w:themeColor="text1"/>
          <w:sz w:val="28"/>
          <w:szCs w:val="28"/>
        </w:rPr>
        <w:t xml:space="preserve"> (Bean &amp; Metzner Model) </w:t>
      </w:r>
      <w:r w:rsidRPr="00565106">
        <w:rPr>
          <w:rFonts w:ascii="Simplified Arabic" w:hAnsi="Simplified Arabic" w:cs="Simplified Arabic"/>
          <w:color w:val="000000" w:themeColor="text1"/>
          <w:sz w:val="28"/>
          <w:szCs w:val="28"/>
          <w:rtl/>
        </w:rPr>
        <w:t>الذي طوّر نموذج تينتو ليشمل الطلاب غير التقليديين، مؤكداً على أهمية العوامل الخارجية بما فيها الوضع الاقتصادي والدعم المالي في تفسير قرار الانقطاع عن الدراسة. ومن الأطر المهمة أيضاً نظرية الفعل المخطط لأجزن</w:t>
      </w:r>
      <w:r w:rsidRPr="00565106">
        <w:rPr>
          <w:rFonts w:ascii="Simplified Arabic" w:hAnsi="Simplified Arabic" w:cs="Simplified Arabic"/>
          <w:color w:val="000000" w:themeColor="text1"/>
          <w:sz w:val="28"/>
          <w:szCs w:val="28"/>
        </w:rPr>
        <w:t xml:space="preserve"> (Theory of Planned Behavior) </w:t>
      </w:r>
      <w:r w:rsidRPr="00565106">
        <w:rPr>
          <w:rFonts w:ascii="Simplified Arabic" w:hAnsi="Simplified Arabic" w:cs="Simplified Arabic"/>
          <w:color w:val="000000" w:themeColor="text1"/>
          <w:sz w:val="28"/>
          <w:szCs w:val="28"/>
          <w:rtl/>
        </w:rPr>
        <w:t xml:space="preserve">التي تُفسّر السلوك الإنساني – بما في ذلك سلوك التسرب – بوصفه محصّلةً </w:t>
      </w:r>
      <w:r w:rsidRPr="00565106">
        <w:rPr>
          <w:rFonts w:ascii="Simplified Arabic" w:hAnsi="Simplified Arabic" w:cs="Simplified Arabic"/>
          <w:color w:val="000000" w:themeColor="text1"/>
          <w:sz w:val="28"/>
          <w:szCs w:val="28"/>
          <w:rtl/>
        </w:rPr>
        <w:lastRenderedPageBreak/>
        <w:t>لثلاثة عوامل هي الاتجاهات، والمعايير الذاتية، والتحكم السلوكي المدرَك، ويرتبط التحكم السلوكي المدرَك ارتباطاً وثيقاً بتوافر الموارد المالية اللازمة لمواصلة الدراسة</w:t>
      </w:r>
      <w:r w:rsidRPr="00565106">
        <w:rPr>
          <w:rFonts w:ascii="Simplified Arabic" w:hAnsi="Simplified Arabic" w:cs="Simplified Arabic"/>
          <w:color w:val="000000" w:themeColor="text1"/>
          <w:sz w:val="28"/>
          <w:szCs w:val="28"/>
        </w:rPr>
        <w:t>.</w:t>
      </w:r>
    </w:p>
    <w:p w14:paraId="7568FF72"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كما تستند الدراسة إلى نظرية العدالة التعليمية</w:t>
      </w:r>
      <w:r w:rsidRPr="00565106">
        <w:rPr>
          <w:rFonts w:ascii="Simplified Arabic" w:hAnsi="Simplified Arabic" w:cs="Simplified Arabic"/>
          <w:color w:val="000000" w:themeColor="text1"/>
          <w:sz w:val="28"/>
          <w:szCs w:val="28"/>
        </w:rPr>
        <w:t xml:space="preserve"> (Educational Equity Theory) </w:t>
      </w:r>
      <w:r w:rsidRPr="00565106">
        <w:rPr>
          <w:rFonts w:ascii="Simplified Arabic" w:hAnsi="Simplified Arabic" w:cs="Simplified Arabic"/>
          <w:color w:val="000000" w:themeColor="text1"/>
          <w:sz w:val="28"/>
          <w:szCs w:val="28"/>
          <w:rtl/>
        </w:rPr>
        <w:t>التي تنطلق من مبدأ تكافؤ الفرص، وترى أن على الدولة والمؤسسات التعليمية واجباً في تقديم الدعم المالي للفئات المحرومة اقتصادياً بما يضمن وصولها إلى التعليم واستمرارها فيه</w:t>
      </w:r>
      <w:r w:rsidRPr="00565106">
        <w:rPr>
          <w:rFonts w:ascii="Simplified Arabic" w:hAnsi="Simplified Arabic" w:cs="Simplified Arabic"/>
          <w:color w:val="000000" w:themeColor="text1"/>
          <w:sz w:val="28"/>
          <w:szCs w:val="28"/>
        </w:rPr>
        <w:t>.</w:t>
      </w:r>
    </w:p>
    <w:p w14:paraId="581CBF82"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وقد تعدّدت أشكال الدعم المالي في أدبيات التعليم العالي بحسب معايير مختلفة؛ فمن حيث المصدر ينقسم إلى دعم حكومي ودعم مؤسسي ودعم من القطاع الخاص، ومن حيث معيار الاستحقاق ينقسم إلى دعم قائم على الحاجة</w:t>
      </w:r>
      <w:r w:rsidRPr="00565106">
        <w:rPr>
          <w:rFonts w:ascii="Simplified Arabic" w:hAnsi="Simplified Arabic" w:cs="Simplified Arabic"/>
          <w:color w:val="000000" w:themeColor="text1"/>
          <w:sz w:val="28"/>
          <w:szCs w:val="28"/>
        </w:rPr>
        <w:t xml:space="preserve"> (Need-based) </w:t>
      </w:r>
      <w:r w:rsidRPr="00565106">
        <w:rPr>
          <w:rFonts w:ascii="Simplified Arabic" w:hAnsi="Simplified Arabic" w:cs="Simplified Arabic"/>
          <w:color w:val="000000" w:themeColor="text1"/>
          <w:sz w:val="28"/>
          <w:szCs w:val="28"/>
          <w:rtl/>
        </w:rPr>
        <w:t>ودعم قائم على الاستحقاق الأكاديمي</w:t>
      </w:r>
      <w:r w:rsidRPr="00565106">
        <w:rPr>
          <w:rFonts w:ascii="Simplified Arabic" w:hAnsi="Simplified Arabic" w:cs="Simplified Arabic"/>
          <w:color w:val="000000" w:themeColor="text1"/>
          <w:sz w:val="28"/>
          <w:szCs w:val="28"/>
        </w:rPr>
        <w:t xml:space="preserve"> (Merit-based) </w:t>
      </w:r>
      <w:r w:rsidRPr="00565106">
        <w:rPr>
          <w:rFonts w:ascii="Simplified Arabic" w:hAnsi="Simplified Arabic" w:cs="Simplified Arabic"/>
          <w:color w:val="000000" w:themeColor="text1"/>
          <w:sz w:val="28"/>
          <w:szCs w:val="28"/>
          <w:rtl/>
        </w:rPr>
        <w:t>ودعم مختلط، ومن حيث طبيعة الالتزام ينقسم إلى منح غير مسترجعة وقروض مسترجعة. وقد اعتمدت الدراسة الحالية أربعة أبعاد رئيسة للدعم المالي بما يتناسب مع السياق السعودي، وهي: المنح الدراسية، والقروض الميسّرة، والمكافآت الشهرية، والإعفاءات من الرسوم</w:t>
      </w:r>
      <w:r w:rsidRPr="00565106">
        <w:rPr>
          <w:rFonts w:ascii="Simplified Arabic" w:hAnsi="Simplified Arabic" w:cs="Simplified Arabic"/>
          <w:color w:val="000000" w:themeColor="text1"/>
          <w:sz w:val="28"/>
          <w:szCs w:val="28"/>
        </w:rPr>
        <w:t>.</w:t>
      </w:r>
    </w:p>
    <w:p w14:paraId="61EBCB3F"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وعلى الجانب الآخر، تعدّدت الأطر المفسِّرة للتسرب الجامعي؛ فمنها ما يُركّز على الأبعاد الفردية كخصائص الطالب وقدراته وميوله، ومنها ما يُركّز على الأبعاد الأسرية كمستوى الدخل ومستوى تعليم الوالدين، ومنها ما يُركّز على الأبعاد المؤسسية كجودة التدريس وخدمات الإرشاد، ومنها ما يجمع بين هذه الأبعاد في نماذج تفاعلية متكاملة. ويُقابل التسرب مفهوم الاستمرار الأكاديمي</w:t>
      </w:r>
      <w:r w:rsidRPr="00565106">
        <w:rPr>
          <w:rFonts w:ascii="Simplified Arabic" w:hAnsi="Simplified Arabic" w:cs="Simplified Arabic"/>
          <w:color w:val="000000" w:themeColor="text1"/>
          <w:sz w:val="28"/>
          <w:szCs w:val="28"/>
        </w:rPr>
        <w:t xml:space="preserve"> (Academic Persistence) </w:t>
      </w:r>
      <w:r w:rsidRPr="00565106">
        <w:rPr>
          <w:rFonts w:ascii="Simplified Arabic" w:hAnsi="Simplified Arabic" w:cs="Simplified Arabic"/>
          <w:color w:val="000000" w:themeColor="text1"/>
          <w:sz w:val="28"/>
          <w:szCs w:val="28"/>
          <w:rtl/>
        </w:rPr>
        <w:t>الذي يُشير إلى قدرة الطالب على مواصلة دراسته حتى إتمام متطلبات الحصول على الدرجة العلمية، ويُعدّ الاستمرار الأكاديمي والتسرب وجهين لعملة واحدة في الأدبيات التربوية</w:t>
      </w:r>
      <w:r w:rsidRPr="00565106">
        <w:rPr>
          <w:rFonts w:ascii="Simplified Arabic" w:hAnsi="Simplified Arabic" w:cs="Simplified Arabic"/>
          <w:color w:val="000000" w:themeColor="text1"/>
          <w:sz w:val="28"/>
          <w:szCs w:val="28"/>
        </w:rPr>
        <w:t>.</w:t>
      </w:r>
    </w:p>
    <w:p w14:paraId="2DE114BE"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65106">
        <w:rPr>
          <w:rFonts w:ascii="Simplified Arabic" w:hAnsi="Simplified Arabic" w:cs="Simplified Arabic"/>
          <w:b/>
          <w:bCs/>
          <w:color w:val="000000" w:themeColor="text1"/>
          <w:sz w:val="32"/>
          <w:szCs w:val="32"/>
          <w:rtl/>
        </w:rPr>
        <w:t>ثانياً: مصطلحات الدراسة</w:t>
      </w:r>
    </w:p>
    <w:p w14:paraId="2EE5833C"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الدعم المالي للطلاب</w:t>
      </w:r>
      <w:r w:rsidRPr="00565106">
        <w:rPr>
          <w:rFonts w:ascii="Simplified Arabic" w:hAnsi="Simplified Arabic" w:cs="Simplified Arabic"/>
          <w:b/>
          <w:bCs/>
          <w:color w:val="000000" w:themeColor="text1"/>
          <w:sz w:val="28"/>
          <w:szCs w:val="28"/>
        </w:rPr>
        <w:t xml:space="preserve"> (Student Financial Aid):</w:t>
      </w:r>
    </w:p>
    <w:p w14:paraId="35E84FD7" w14:textId="77777777" w:rsidR="002D7B70" w:rsidRPr="00565106" w:rsidRDefault="002D7B70" w:rsidP="00FB453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المفاهيمي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يُعرَّف بأنه مجموعة الحوافز والمساعدات المادية التي تُقدَّم للطلاب الجامعيين من مصادر حكومية أو مؤسسية أو خاصة، بأشكال متعددة تشمل المنح والقروض والمكافآت والإعفاءات، بهدف تخفيف الأعباء الاقتصادية عن الطالب وأسرته وتمكينه من مواصلة تعليمه الجامعي وتحقيق تكافؤ الفرص التعليمية</w:t>
      </w:r>
      <w:r w:rsidRPr="00565106">
        <w:rPr>
          <w:rFonts w:ascii="Simplified Arabic" w:hAnsi="Simplified Arabic" w:cs="Simplified Arabic"/>
          <w:color w:val="000000" w:themeColor="text1"/>
          <w:sz w:val="28"/>
          <w:szCs w:val="28"/>
        </w:rPr>
        <w:t>.</w:t>
      </w:r>
    </w:p>
    <w:p w14:paraId="2C4BCA0B" w14:textId="77777777" w:rsidR="002D7B70" w:rsidRPr="00565106" w:rsidRDefault="002D7B70" w:rsidP="00FB453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التعريف الإجرائي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يُعرَّف إجرائياً في هذه الدراسة بأنه الدرجة التي يحصل عليها المستجيب على مقياس الدعم المالي المُعدّ لأغراض هذه الدراسة، والذي يقيس أربعة أبعاد هي: المنح الدراسية، والقروض الميسّرة، والمكافآت الشهرية، والإعفاءات من الرسوم</w:t>
      </w:r>
      <w:r w:rsidRPr="00565106">
        <w:rPr>
          <w:rFonts w:ascii="Simplified Arabic" w:hAnsi="Simplified Arabic" w:cs="Simplified Arabic"/>
          <w:color w:val="000000" w:themeColor="text1"/>
          <w:sz w:val="28"/>
          <w:szCs w:val="28"/>
        </w:rPr>
        <w:t>.</w:t>
      </w:r>
    </w:p>
    <w:p w14:paraId="7292C0CA"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المنح الدراسية</w:t>
      </w:r>
      <w:r w:rsidRPr="00565106">
        <w:rPr>
          <w:rFonts w:ascii="Simplified Arabic" w:hAnsi="Simplified Arabic" w:cs="Simplified Arabic"/>
          <w:b/>
          <w:bCs/>
          <w:color w:val="000000" w:themeColor="text1"/>
          <w:sz w:val="28"/>
          <w:szCs w:val="28"/>
        </w:rPr>
        <w:t xml:space="preserve"> (Scholarships):</w:t>
      </w:r>
    </w:p>
    <w:p w14:paraId="02FAF973" w14:textId="77777777" w:rsidR="002D7B70" w:rsidRPr="00565106" w:rsidRDefault="002D7B70" w:rsidP="00FB453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المفاهيمي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مبالغ مالية غير مسترجعة تُقدَّم للطلاب الجامعيين بناءً على معايير الاستحقاق الأكاديمي أو الحاجة المالية أو كليهما، بهدف دعم مسيرتهم الدراسية</w:t>
      </w:r>
      <w:r w:rsidRPr="00565106">
        <w:rPr>
          <w:rFonts w:ascii="Simplified Arabic" w:hAnsi="Simplified Arabic" w:cs="Simplified Arabic"/>
          <w:color w:val="000000" w:themeColor="text1"/>
          <w:sz w:val="28"/>
          <w:szCs w:val="28"/>
        </w:rPr>
        <w:t>.</w:t>
      </w:r>
    </w:p>
    <w:p w14:paraId="71407230" w14:textId="77777777" w:rsidR="002D7B70" w:rsidRPr="00565106" w:rsidRDefault="002D7B70" w:rsidP="00FB453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الإجرائي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الدرجة التي يحصل عليها المستجيب على الفقرات المخصّصة لقياس هذا البُعد في أداة الدراسة</w:t>
      </w:r>
      <w:r w:rsidRPr="00565106">
        <w:rPr>
          <w:rFonts w:ascii="Simplified Arabic" w:hAnsi="Simplified Arabic" w:cs="Simplified Arabic"/>
          <w:color w:val="000000" w:themeColor="text1"/>
          <w:sz w:val="28"/>
          <w:szCs w:val="28"/>
        </w:rPr>
        <w:t>.</w:t>
      </w:r>
    </w:p>
    <w:p w14:paraId="50698B3B"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القروض الميسّرة</w:t>
      </w:r>
      <w:r w:rsidRPr="00565106">
        <w:rPr>
          <w:rFonts w:ascii="Simplified Arabic" w:hAnsi="Simplified Arabic" w:cs="Simplified Arabic"/>
          <w:b/>
          <w:bCs/>
          <w:color w:val="000000" w:themeColor="text1"/>
          <w:sz w:val="28"/>
          <w:szCs w:val="28"/>
        </w:rPr>
        <w:t xml:space="preserve"> (Student Loans):</w:t>
      </w:r>
    </w:p>
    <w:p w14:paraId="7C0F47A6" w14:textId="77777777" w:rsidR="002D7B70" w:rsidRPr="00565106" w:rsidRDefault="002D7B70" w:rsidP="00FB453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المفاهيمي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مبالغ مالية تُقدَّم للطلاب بشروط ميسّرة تشمل انخفاض معدلات الفائدة أو انعدامها، وتأجيل السداد إلى ما بعد التخرج، بغرض تمويل نفقات الدراسة والمعيشة</w:t>
      </w:r>
      <w:r w:rsidRPr="00565106">
        <w:rPr>
          <w:rFonts w:ascii="Simplified Arabic" w:hAnsi="Simplified Arabic" w:cs="Simplified Arabic"/>
          <w:color w:val="000000" w:themeColor="text1"/>
          <w:sz w:val="28"/>
          <w:szCs w:val="28"/>
        </w:rPr>
        <w:t>.</w:t>
      </w:r>
    </w:p>
    <w:p w14:paraId="713C96C0" w14:textId="77777777" w:rsidR="002D7B70" w:rsidRPr="00565106" w:rsidRDefault="002D7B70" w:rsidP="00FB453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الإجرائي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الدرجة التي يحصل عليها المستجيب على الفقرات المخصّصة لقياس هذا البُعد في أداة الدراسة</w:t>
      </w:r>
      <w:r w:rsidRPr="00565106">
        <w:rPr>
          <w:rFonts w:ascii="Simplified Arabic" w:hAnsi="Simplified Arabic" w:cs="Simplified Arabic"/>
          <w:color w:val="000000" w:themeColor="text1"/>
          <w:sz w:val="28"/>
          <w:szCs w:val="28"/>
        </w:rPr>
        <w:t>.</w:t>
      </w:r>
    </w:p>
    <w:p w14:paraId="3C702FDF"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المكافآت الشهرية</w:t>
      </w:r>
      <w:r w:rsidRPr="00565106">
        <w:rPr>
          <w:rFonts w:ascii="Simplified Arabic" w:hAnsi="Simplified Arabic" w:cs="Simplified Arabic"/>
          <w:b/>
          <w:bCs/>
          <w:color w:val="000000" w:themeColor="text1"/>
          <w:sz w:val="28"/>
          <w:szCs w:val="28"/>
        </w:rPr>
        <w:t xml:space="preserve"> (Monthly Stipends):</w:t>
      </w:r>
    </w:p>
    <w:p w14:paraId="36E95C0C" w14:textId="77777777" w:rsidR="002D7B70" w:rsidRPr="00565106" w:rsidRDefault="002D7B70" w:rsidP="00FB453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المفاهيمي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مبالغ مالية دورية تُصرف للطلاب الجامعيين بصفة شهرية طوال فترة دراستهم، بهدف الإسهام في تغطية نفقاتهم المعيشية اليومية</w:t>
      </w:r>
      <w:r w:rsidRPr="00565106">
        <w:rPr>
          <w:rFonts w:ascii="Simplified Arabic" w:hAnsi="Simplified Arabic" w:cs="Simplified Arabic"/>
          <w:color w:val="000000" w:themeColor="text1"/>
          <w:sz w:val="28"/>
          <w:szCs w:val="28"/>
        </w:rPr>
        <w:t>.</w:t>
      </w:r>
    </w:p>
    <w:p w14:paraId="317D10A0" w14:textId="77777777" w:rsidR="002D7B70" w:rsidRPr="00565106" w:rsidRDefault="002D7B70" w:rsidP="00FB4535">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الإجرائي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الدرجة التي يحصل عليها المستجيب على الفقرات المخصّصة لقياس هذا البُعد في أداة الدراسة</w:t>
      </w:r>
      <w:r w:rsidRPr="00565106">
        <w:rPr>
          <w:rFonts w:ascii="Simplified Arabic" w:hAnsi="Simplified Arabic" w:cs="Simplified Arabic"/>
          <w:color w:val="000000" w:themeColor="text1"/>
          <w:sz w:val="28"/>
          <w:szCs w:val="28"/>
        </w:rPr>
        <w:t>.</w:t>
      </w:r>
    </w:p>
    <w:p w14:paraId="25F3A2EB"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الإعفاءات من الرسوم</w:t>
      </w:r>
      <w:r w:rsidRPr="00565106">
        <w:rPr>
          <w:rFonts w:ascii="Simplified Arabic" w:hAnsi="Simplified Arabic" w:cs="Simplified Arabic"/>
          <w:b/>
          <w:bCs/>
          <w:color w:val="000000" w:themeColor="text1"/>
          <w:sz w:val="28"/>
          <w:szCs w:val="28"/>
        </w:rPr>
        <w:t xml:space="preserve"> (Fee Waivers):</w:t>
      </w:r>
    </w:p>
    <w:p w14:paraId="0EBDCE37" w14:textId="77777777" w:rsidR="002D7B70" w:rsidRPr="00565106" w:rsidRDefault="002D7B70" w:rsidP="00FB4535">
      <w:pPr>
        <w:numPr>
          <w:ilvl w:val="0"/>
          <w:numId w:val="2"/>
        </w:numPr>
        <w:spacing w:before="100" w:beforeAutospacing="1" w:after="100" w:afterAutospacing="1" w:line="276" w:lineRule="auto"/>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المفاهيمي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إجراء إداري تعتمده الجامعة يُعفي بموجبه فئات معيّنة من الطلاب من دفع كلّ الرسوم الدراسية أو بعضها بناءً على معايير محدّدة</w:t>
      </w:r>
      <w:r w:rsidRPr="00565106">
        <w:rPr>
          <w:rFonts w:ascii="Simplified Arabic" w:hAnsi="Simplified Arabic" w:cs="Simplified Arabic"/>
          <w:color w:val="000000" w:themeColor="text1"/>
          <w:sz w:val="28"/>
          <w:szCs w:val="28"/>
        </w:rPr>
        <w:t>.</w:t>
      </w:r>
    </w:p>
    <w:p w14:paraId="229CDA57" w14:textId="77777777" w:rsidR="002D7B70" w:rsidRPr="00565106" w:rsidRDefault="002D7B70" w:rsidP="00FB4535">
      <w:pPr>
        <w:numPr>
          <w:ilvl w:val="0"/>
          <w:numId w:val="2"/>
        </w:numPr>
        <w:spacing w:before="100" w:beforeAutospacing="1" w:after="100" w:afterAutospacing="1" w:line="276" w:lineRule="auto"/>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التعريف الإجرائي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الدرجة التي يحصل عليها المستجيب على الفقرات المخصّصة لقياس هذا البُعد في أداة الدراسة</w:t>
      </w:r>
      <w:r w:rsidRPr="00565106">
        <w:rPr>
          <w:rFonts w:ascii="Simplified Arabic" w:hAnsi="Simplified Arabic" w:cs="Simplified Arabic"/>
          <w:color w:val="000000" w:themeColor="text1"/>
          <w:sz w:val="28"/>
          <w:szCs w:val="28"/>
        </w:rPr>
        <w:t>.</w:t>
      </w:r>
    </w:p>
    <w:p w14:paraId="76710495"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التسرب الجامعي</w:t>
      </w:r>
      <w:r w:rsidRPr="00565106">
        <w:rPr>
          <w:rFonts w:ascii="Simplified Arabic" w:hAnsi="Simplified Arabic" w:cs="Simplified Arabic"/>
          <w:b/>
          <w:bCs/>
          <w:color w:val="000000" w:themeColor="text1"/>
          <w:sz w:val="28"/>
          <w:szCs w:val="28"/>
        </w:rPr>
        <w:t xml:space="preserve"> (University Dropout):</w:t>
      </w:r>
    </w:p>
    <w:p w14:paraId="68C9C52F" w14:textId="77777777" w:rsidR="002D7B70" w:rsidRPr="00565106" w:rsidRDefault="002D7B70" w:rsidP="00FB4535">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المفاهيمي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يُعرَّف بأنه انقطاع الطالب الجامعي عن مواصلة دراسته الجامعية بصورة نهائية قبل استكمال متطلبات الحصول على الدرجة العلمية التي التحق بها، لأسباب متعددة قد تكون أكاديمية أو اقتصادية أو اجتماعية أو نفسية أو مؤسسية</w:t>
      </w:r>
      <w:r w:rsidRPr="00565106">
        <w:rPr>
          <w:rFonts w:ascii="Simplified Arabic" w:hAnsi="Simplified Arabic" w:cs="Simplified Arabic"/>
          <w:color w:val="000000" w:themeColor="text1"/>
          <w:sz w:val="28"/>
          <w:szCs w:val="28"/>
        </w:rPr>
        <w:t>.</w:t>
      </w:r>
    </w:p>
    <w:p w14:paraId="1F9E7C0F" w14:textId="77777777" w:rsidR="002D7B70" w:rsidRPr="00565106" w:rsidRDefault="002D7B70" w:rsidP="00FB4535">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الإجرائي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يُعرَّف إجرائياً بأنه الدرجة التي يحصل عليها المستجيب على مقياس التسرب الجامعي المُعدّ لأغراض هذه الدراسة، والذي يقيس مؤشرات التسرب الفعلي ونيّة التسرب والانقطاع المتقطّع</w:t>
      </w:r>
      <w:r w:rsidRPr="00565106">
        <w:rPr>
          <w:rFonts w:ascii="Simplified Arabic" w:hAnsi="Simplified Arabic" w:cs="Simplified Arabic"/>
          <w:color w:val="000000" w:themeColor="text1"/>
          <w:sz w:val="28"/>
          <w:szCs w:val="28"/>
        </w:rPr>
        <w:t>.</w:t>
      </w:r>
    </w:p>
    <w:p w14:paraId="1E0A1914"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الاستمرار الأكاديمي</w:t>
      </w:r>
      <w:r w:rsidRPr="00565106">
        <w:rPr>
          <w:rFonts w:ascii="Simplified Arabic" w:hAnsi="Simplified Arabic" w:cs="Simplified Arabic"/>
          <w:b/>
          <w:bCs/>
          <w:color w:val="000000" w:themeColor="text1"/>
          <w:sz w:val="28"/>
          <w:szCs w:val="28"/>
        </w:rPr>
        <w:t xml:space="preserve"> (Academic Persistence):</w:t>
      </w:r>
    </w:p>
    <w:p w14:paraId="0470CEA4" w14:textId="77777777" w:rsidR="002D7B70" w:rsidRPr="00565106" w:rsidRDefault="002D7B70" w:rsidP="00FB4535">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المفاهيمي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يُعرَّف بأنه قدرة الطالب الجامعي على مواصلة مسيرته الدراسية بانتظام من فصل دراسي إلى آخر ومن سنة إلى أخرى حتى إتمام متطلبات الحصول على الدرجة العلمية، على الرغم من التحديات الأكاديمية والاقتصادية والاجتماعية التي قد يواجهها</w:t>
      </w:r>
      <w:r w:rsidRPr="00565106">
        <w:rPr>
          <w:rFonts w:ascii="Simplified Arabic" w:hAnsi="Simplified Arabic" w:cs="Simplified Arabic"/>
          <w:color w:val="000000" w:themeColor="text1"/>
          <w:sz w:val="28"/>
          <w:szCs w:val="28"/>
        </w:rPr>
        <w:t>.</w:t>
      </w:r>
    </w:p>
    <w:p w14:paraId="76B409CB" w14:textId="77777777" w:rsidR="002D7B70" w:rsidRPr="00565106" w:rsidRDefault="002D7B70" w:rsidP="00FB4535">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الإجرائي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الدرجة التي يحصل عليها المستجيب على مقياس الاستمرار الأكاديمي المُعدّ لأغراض هذه الدراسة، الذي يقيس مؤشرات الانتظام في الدراسة، والالتزام بالمقررات، والنية في إتمام الدراسة</w:t>
      </w:r>
      <w:r w:rsidRPr="00565106">
        <w:rPr>
          <w:rFonts w:ascii="Simplified Arabic" w:hAnsi="Simplified Arabic" w:cs="Simplified Arabic"/>
          <w:color w:val="000000" w:themeColor="text1"/>
          <w:sz w:val="28"/>
          <w:szCs w:val="28"/>
        </w:rPr>
        <w:t>.</w:t>
      </w:r>
    </w:p>
    <w:p w14:paraId="73E8B4FE"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الجامعات السعودية</w:t>
      </w:r>
      <w:r w:rsidRPr="00565106">
        <w:rPr>
          <w:rFonts w:ascii="Simplified Arabic" w:hAnsi="Simplified Arabic" w:cs="Simplified Arabic"/>
          <w:b/>
          <w:bCs/>
          <w:color w:val="000000" w:themeColor="text1"/>
          <w:sz w:val="28"/>
          <w:szCs w:val="28"/>
        </w:rPr>
        <w:t xml:space="preserve"> (Saudi Universities):</w:t>
      </w:r>
    </w:p>
    <w:p w14:paraId="4174650A" w14:textId="77777777" w:rsidR="002D7B70" w:rsidRPr="00565106" w:rsidRDefault="002D7B70" w:rsidP="00FB4535">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التعريف المفاهيمي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المؤسسات الحكومية والأهلية المرخّصة من قِبل وزارة التعليم في المملكة العربية السعودية والمعتمدة لتقديم برامج التعليم العالي في مراحل البكالوريوس والدراسات العليا</w:t>
      </w:r>
      <w:r w:rsidRPr="00565106">
        <w:rPr>
          <w:rFonts w:ascii="Simplified Arabic" w:hAnsi="Simplified Arabic" w:cs="Simplified Arabic"/>
          <w:color w:val="000000" w:themeColor="text1"/>
          <w:sz w:val="28"/>
          <w:szCs w:val="28"/>
        </w:rPr>
        <w:t>.</w:t>
      </w:r>
    </w:p>
    <w:p w14:paraId="61A05640" w14:textId="188A0F44" w:rsidR="00A74F76" w:rsidRPr="00565106" w:rsidRDefault="002D7B70" w:rsidP="00FB4535">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565106">
        <w:rPr>
          <w:rFonts w:ascii="Simplified Arabic" w:hAnsi="Simplified Arabic" w:cs="Simplified Arabic"/>
          <w:color w:val="000000" w:themeColor="text1"/>
          <w:sz w:val="28"/>
          <w:szCs w:val="28"/>
          <w:rtl/>
        </w:rPr>
        <w:t>التعريف الإجرائي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يُقصد بها في هذه الدراسة الجامعات السعودية التي يشملها التطبيق الميداني للدراسة، والتي تُقدّم برامج دعم مالي لطلابها</w:t>
      </w:r>
      <w:r w:rsidRPr="00565106">
        <w:rPr>
          <w:rFonts w:ascii="Simplified Arabic" w:hAnsi="Simplified Arabic" w:cs="Simplified Arabic"/>
          <w:color w:val="000000" w:themeColor="text1"/>
          <w:sz w:val="28"/>
          <w:szCs w:val="28"/>
        </w:rPr>
        <w:t>.</w:t>
      </w:r>
    </w:p>
    <w:p w14:paraId="7873D6C3" w14:textId="7A860357"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0" w:name="_Toc234329140"/>
      <w:r w:rsidRPr="00565106">
        <w:rPr>
          <w:rFonts w:ascii="Simplified Arabic" w:hAnsi="Simplified Arabic" w:cs="Simplified Arabic" w:hint="cs"/>
          <w:b/>
          <w:bCs/>
          <w:color w:val="000000" w:themeColor="text1"/>
          <w:sz w:val="36"/>
          <w:szCs w:val="36"/>
          <w:rtl/>
        </w:rPr>
        <w:t xml:space="preserve">10.1 </w:t>
      </w:r>
      <w:r w:rsidR="002D7B70" w:rsidRPr="00565106">
        <w:rPr>
          <w:rFonts w:ascii="Simplified Arabic" w:hAnsi="Simplified Arabic" w:cs="Simplified Arabic"/>
          <w:b/>
          <w:bCs/>
          <w:color w:val="000000" w:themeColor="text1"/>
          <w:sz w:val="36"/>
          <w:szCs w:val="36"/>
          <w:rtl/>
        </w:rPr>
        <w:t>منهجية الدراسة</w:t>
      </w:r>
      <w:bookmarkEnd w:id="10"/>
    </w:p>
    <w:p w14:paraId="0F0301C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سوف تعتمد الدراسة الحالية على المنهج الوصفي التحليلي بوصفه المنهج الأنسب لطبيعة موضوعها وأهدافها، إذ يُتيح هذا المنهج وصف الظاهرة موضع الدراسة كما هي في الواقع، وجمع البيانات الكمّية والكيفية عنها، وتحليلها وتفسيرها للوصول إلى استنتاجات علمية موضوعية. وسيتم توظيف هذا المنهج في تشخيص واقع برامج الدعم المالي المقدَّمة للطلاب في الجامعات السعودية بأبعادها المختلفة، ورصد مستوى الاستمرار الأكاديمي ومعدلات التسرب لدى الطلاب، وذلك من خلال جمع البيانات الميدانية من مفردات عيّنة الدراسة وتحليلها بأدوات إحصائية مناسبة</w:t>
      </w:r>
      <w:r w:rsidRPr="00565106">
        <w:rPr>
          <w:rFonts w:ascii="Simplified Arabic" w:hAnsi="Simplified Arabic" w:cs="Simplified Arabic"/>
          <w:color w:val="000000" w:themeColor="text1"/>
          <w:sz w:val="28"/>
          <w:szCs w:val="28"/>
        </w:rPr>
        <w:t>.</w:t>
      </w:r>
    </w:p>
    <w:p w14:paraId="01674054"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كما ستعتمد الدراسة على المنهج الوصفي الارتباطي/السببي لقياس أثر المتغير المستقل (الدعم المالي بأبعاده الأربعة) على المتغير التابع (الاستمرار الأكاديمي وتقليل التسرب)، وذلك من خلال بناء نموذج بحثي يعكس العلاقات الأثرية بين المتغيرات، واختباره إحصائياً عبر أساليب الانحدار المتعدد. وسيُستند في بناء الإطار النظري للدراسة إلى المنهج الوثائقي بمراجعة الأدبيات والدراسات السابقة العربية والأجنبية ذات الصلة، بما يُثري الجانب النظري ويدعم تفسير النتائج التي سيتم التوصل إليها ميدانياً</w:t>
      </w:r>
      <w:r w:rsidRPr="00565106">
        <w:rPr>
          <w:rFonts w:ascii="Simplified Arabic" w:hAnsi="Simplified Arabic" w:cs="Simplified Arabic"/>
          <w:color w:val="000000" w:themeColor="text1"/>
          <w:sz w:val="28"/>
          <w:szCs w:val="28"/>
        </w:rPr>
        <w:t>.</w:t>
      </w:r>
    </w:p>
    <w:p w14:paraId="487B4798" w14:textId="251B8B59"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1" w:name="_Toc234329141"/>
      <w:r w:rsidRPr="00565106">
        <w:rPr>
          <w:rFonts w:ascii="Simplified Arabic" w:hAnsi="Simplified Arabic" w:cs="Simplified Arabic" w:hint="cs"/>
          <w:b/>
          <w:bCs/>
          <w:color w:val="000000" w:themeColor="text1"/>
          <w:sz w:val="36"/>
          <w:szCs w:val="36"/>
          <w:rtl/>
        </w:rPr>
        <w:t xml:space="preserve">11.1 </w:t>
      </w:r>
      <w:r w:rsidR="002D7B70" w:rsidRPr="00565106">
        <w:rPr>
          <w:rFonts w:ascii="Simplified Arabic" w:hAnsi="Simplified Arabic" w:cs="Simplified Arabic"/>
          <w:b/>
          <w:bCs/>
          <w:color w:val="000000" w:themeColor="text1"/>
          <w:sz w:val="36"/>
          <w:szCs w:val="36"/>
          <w:rtl/>
        </w:rPr>
        <w:t>مجتمع وعيّنة الدراسة</w:t>
      </w:r>
      <w:bookmarkEnd w:id="11"/>
    </w:p>
    <w:p w14:paraId="3C766577"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سوف يتكوّن مجتمع الدراسة من جميع طلاب المرحلة الجامعية (البكالوريوس) في الجامعات السعودية الحكومية والأهلية، الذين ينتمون إلى فئات مختلفة من المستفيدين من برامج الدعم المالي المقدَّمة على المستويين الحكومي والمؤسسي. وبالنظر إلى الحجم الكبير لهذا المجتمع الذي يتجاوز (1,600,000) طالب وطالبة وفقاً لأحدث إحصاءات وزارة التعليم في المملكة العربية السعودية، فإن الدراسة سوف تقتصر في تطبيقها الميداني على عدد من الجامعات السعودية المختارة بطريقة مقصودة، بما يضمن تنوّع العيّنة وشموليتها</w:t>
      </w:r>
      <w:r w:rsidRPr="00565106">
        <w:rPr>
          <w:rFonts w:ascii="Simplified Arabic" w:hAnsi="Simplified Arabic" w:cs="Simplified Arabic"/>
          <w:color w:val="000000" w:themeColor="text1"/>
          <w:sz w:val="28"/>
          <w:szCs w:val="28"/>
        </w:rPr>
        <w:t>.</w:t>
      </w:r>
    </w:p>
    <w:p w14:paraId="251F5881"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وسوف يتم اختيار عيّنة الدراسة بالأسلوب العشوائي الطبقي، بحيث تراعي التوزيع النسبي للطلاب بحسب الجنس والتخصص والمستوى الدراسي، وذلك لضمان تمثيل عادل لجميع فئات المجتمع الأصلي. وسيُحدَّد حجم العيّنة وفق معادلة ستيفن ثامبسون</w:t>
      </w:r>
      <w:r w:rsidRPr="00565106">
        <w:rPr>
          <w:rFonts w:ascii="Simplified Arabic" w:hAnsi="Simplified Arabic" w:cs="Simplified Arabic"/>
          <w:color w:val="000000" w:themeColor="text1"/>
          <w:sz w:val="28"/>
          <w:szCs w:val="28"/>
        </w:rPr>
        <w:t xml:space="preserve"> (Stephen Thompson) </w:t>
      </w:r>
      <w:r w:rsidRPr="00565106">
        <w:rPr>
          <w:rFonts w:ascii="Simplified Arabic" w:hAnsi="Simplified Arabic" w:cs="Simplified Arabic"/>
          <w:color w:val="000000" w:themeColor="text1"/>
          <w:sz w:val="28"/>
          <w:szCs w:val="28"/>
          <w:rtl/>
        </w:rPr>
        <w:t xml:space="preserve">عند مستوى دلالة (0.05) ومستوى ثقة (95%)، بحيث يبلغ حجم العيّنة المستهدَف نحو (384) طالباً وطالبة كحدٍّ أدنى تمثيلي للمجتمع الأصلي، وسوف يتم توزيع نحو (450) استبانة لتعويض الاستبانات غير المستردَّة أو غير </w:t>
      </w:r>
      <w:r w:rsidRPr="00565106">
        <w:rPr>
          <w:rFonts w:ascii="Simplified Arabic" w:hAnsi="Simplified Arabic" w:cs="Simplified Arabic"/>
          <w:color w:val="000000" w:themeColor="text1"/>
          <w:sz w:val="28"/>
          <w:szCs w:val="28"/>
          <w:rtl/>
        </w:rPr>
        <w:lastRenderedPageBreak/>
        <w:t>الصالحة للتحليل الإحصائي، على أن يتم الاعتماد على الاستبانات المكتملة والصالحة في التحليل النهائي للدراسة</w:t>
      </w:r>
      <w:r w:rsidRPr="00565106">
        <w:rPr>
          <w:rFonts w:ascii="Simplified Arabic" w:hAnsi="Simplified Arabic" w:cs="Simplified Arabic"/>
          <w:color w:val="000000" w:themeColor="text1"/>
          <w:sz w:val="28"/>
          <w:szCs w:val="28"/>
        </w:rPr>
        <w:t>.</w:t>
      </w:r>
    </w:p>
    <w:p w14:paraId="2B0A7E0D" w14:textId="7AB73902"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2" w:name="_Toc234329142"/>
      <w:r w:rsidRPr="00565106">
        <w:rPr>
          <w:rFonts w:ascii="Simplified Arabic" w:hAnsi="Simplified Arabic" w:cs="Simplified Arabic" w:hint="cs"/>
          <w:b/>
          <w:bCs/>
          <w:color w:val="000000" w:themeColor="text1"/>
          <w:sz w:val="36"/>
          <w:szCs w:val="36"/>
          <w:rtl/>
        </w:rPr>
        <w:t xml:space="preserve">12.1 </w:t>
      </w:r>
      <w:r w:rsidR="002D7B70" w:rsidRPr="00565106">
        <w:rPr>
          <w:rFonts w:ascii="Simplified Arabic" w:hAnsi="Simplified Arabic" w:cs="Simplified Arabic"/>
          <w:b/>
          <w:bCs/>
          <w:color w:val="000000" w:themeColor="text1"/>
          <w:sz w:val="36"/>
          <w:szCs w:val="36"/>
          <w:rtl/>
        </w:rPr>
        <w:t>مصادر جمع البيانات</w:t>
      </w:r>
      <w:bookmarkEnd w:id="12"/>
    </w:p>
    <w:p w14:paraId="4C928779"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سوف تعتمد الدراسة في جمع بياناتها على مصدرين رئيسين هما</w:t>
      </w:r>
      <w:r w:rsidRPr="00565106">
        <w:rPr>
          <w:rFonts w:ascii="Simplified Arabic" w:hAnsi="Simplified Arabic" w:cs="Simplified Arabic"/>
          <w:b/>
          <w:bCs/>
          <w:color w:val="000000" w:themeColor="text1"/>
          <w:sz w:val="28"/>
          <w:szCs w:val="28"/>
        </w:rPr>
        <w:t>:</w:t>
      </w:r>
    </w:p>
    <w:p w14:paraId="2C640320" w14:textId="77777777" w:rsidR="002D7B70" w:rsidRPr="00565106" w:rsidRDefault="002D7B70" w:rsidP="00FB4535">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أولاً: المصادر الثانوية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وتشمل الكتب العلمية، والدوريات المحكَّمة، والرسائل الجامعية، والتقارير الرسمية الصادرة عن وزارة التعليم السعودية والجامعات السعودية، وقواعد البيانات الإلكترونية العربية والأجنبية، وسوف يُستفاد منها في بناء الإطار النظري وصياغة أداة الدراسة وتفسير نتائجها</w:t>
      </w:r>
      <w:r w:rsidRPr="00565106">
        <w:rPr>
          <w:rFonts w:ascii="Simplified Arabic" w:hAnsi="Simplified Arabic" w:cs="Simplified Arabic"/>
          <w:color w:val="000000" w:themeColor="text1"/>
          <w:sz w:val="28"/>
          <w:szCs w:val="28"/>
        </w:rPr>
        <w:t>.</w:t>
      </w:r>
    </w:p>
    <w:p w14:paraId="13D8B81F" w14:textId="77777777" w:rsidR="002D7B70" w:rsidRPr="00565106" w:rsidRDefault="002D7B70" w:rsidP="00FB4535">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ثانياً: المصادر الأولية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وتتمثل في البيانات الميدانية التي سيتم جمعها مباشرةً من مفردات عيّنة الدراسة عبر الاستبانة الإلكترونية التي سوف تُصمَّم لأغراض هذه الدراسة، وتُوزَّع على الطلاب المستهدَفين في الجامعات السعودية</w:t>
      </w:r>
      <w:r w:rsidRPr="00565106">
        <w:rPr>
          <w:rFonts w:ascii="Simplified Arabic" w:hAnsi="Simplified Arabic" w:cs="Simplified Arabic"/>
          <w:color w:val="000000" w:themeColor="text1"/>
          <w:sz w:val="28"/>
          <w:szCs w:val="28"/>
        </w:rPr>
        <w:t>.</w:t>
      </w:r>
    </w:p>
    <w:p w14:paraId="61F963A6" w14:textId="3ECCA23F"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3" w:name="_Toc234329143"/>
      <w:r w:rsidRPr="00565106">
        <w:rPr>
          <w:rFonts w:ascii="Simplified Arabic" w:hAnsi="Simplified Arabic" w:cs="Simplified Arabic" w:hint="cs"/>
          <w:b/>
          <w:bCs/>
          <w:color w:val="000000" w:themeColor="text1"/>
          <w:sz w:val="36"/>
          <w:szCs w:val="36"/>
          <w:rtl/>
        </w:rPr>
        <w:t xml:space="preserve">13.1 </w:t>
      </w:r>
      <w:r w:rsidR="002D7B70" w:rsidRPr="00565106">
        <w:rPr>
          <w:rFonts w:ascii="Simplified Arabic" w:hAnsi="Simplified Arabic" w:cs="Simplified Arabic"/>
          <w:b/>
          <w:bCs/>
          <w:color w:val="000000" w:themeColor="text1"/>
          <w:sz w:val="36"/>
          <w:szCs w:val="36"/>
          <w:rtl/>
        </w:rPr>
        <w:t>أداة الدراسة</w:t>
      </w:r>
      <w:bookmarkEnd w:id="13"/>
    </w:p>
    <w:p w14:paraId="3770B63D"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سوف يتم بناء استبانة إلكترونية بوصفها الأداة الرئيسة لجمع البيانات الميدانية، وسوف تشتمل على ثلاثة أقسام على النحو الآتي</w:t>
      </w:r>
      <w:r w:rsidRPr="00565106">
        <w:rPr>
          <w:rFonts w:ascii="Simplified Arabic" w:hAnsi="Simplified Arabic" w:cs="Simplified Arabic"/>
          <w:color w:val="000000" w:themeColor="text1"/>
          <w:sz w:val="28"/>
          <w:szCs w:val="28"/>
        </w:rPr>
        <w:t>:</w:t>
      </w:r>
    </w:p>
    <w:p w14:paraId="7A0C2151"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القسم الأول</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البيانات الديموغرافية لأفراد عيّنة الدراسة، ويشمل (الجنس، والتخصص، والمستوى الدراسي، والدخل الأسري، ونوع الجامعة)</w:t>
      </w:r>
      <w:r w:rsidRPr="00565106">
        <w:rPr>
          <w:rFonts w:ascii="Simplified Arabic" w:hAnsi="Simplified Arabic" w:cs="Simplified Arabic"/>
          <w:color w:val="000000" w:themeColor="text1"/>
          <w:sz w:val="28"/>
          <w:szCs w:val="28"/>
        </w:rPr>
        <w:t>.</w:t>
      </w:r>
    </w:p>
    <w:p w14:paraId="3E67147D"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القسم الثاني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فقرات قياس المتغير المستقل (الدعم المالي للطلاب) بأبعاده الأربعة، وعدد فقراته (16) فقرة موزّعة على النحو الآتي</w:t>
      </w:r>
      <w:r w:rsidRPr="00565106">
        <w:rPr>
          <w:rFonts w:ascii="Simplified Arabic" w:hAnsi="Simplified Arabic" w:cs="Simplified Arabic"/>
          <w:color w:val="000000" w:themeColor="text1"/>
          <w:sz w:val="28"/>
          <w:szCs w:val="28"/>
        </w:rPr>
        <w:t>:</w:t>
      </w:r>
    </w:p>
    <w:p w14:paraId="1389E730" w14:textId="77777777" w:rsidR="002D7B70" w:rsidRPr="00565106" w:rsidRDefault="002D7B70" w:rsidP="00FB453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بُعد المنح الدراسية: (4) فقرات</w:t>
      </w:r>
      <w:r w:rsidRPr="00565106">
        <w:rPr>
          <w:rFonts w:ascii="Simplified Arabic" w:hAnsi="Simplified Arabic" w:cs="Simplified Arabic"/>
          <w:color w:val="000000" w:themeColor="text1"/>
          <w:sz w:val="28"/>
          <w:szCs w:val="28"/>
        </w:rPr>
        <w:t>.</w:t>
      </w:r>
    </w:p>
    <w:p w14:paraId="2C76E5DE" w14:textId="77777777" w:rsidR="002D7B70" w:rsidRPr="00565106" w:rsidRDefault="002D7B70" w:rsidP="00FB453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بُعد القروض الميسّرة: (4) فقرات</w:t>
      </w:r>
      <w:r w:rsidRPr="00565106">
        <w:rPr>
          <w:rFonts w:ascii="Simplified Arabic" w:hAnsi="Simplified Arabic" w:cs="Simplified Arabic"/>
          <w:color w:val="000000" w:themeColor="text1"/>
          <w:sz w:val="28"/>
          <w:szCs w:val="28"/>
        </w:rPr>
        <w:t>.</w:t>
      </w:r>
    </w:p>
    <w:p w14:paraId="685D4FC9" w14:textId="77777777" w:rsidR="002D7B70" w:rsidRPr="00565106" w:rsidRDefault="002D7B70" w:rsidP="00FB453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بُعد المكافآت الشهرية: (4) فقرات</w:t>
      </w:r>
      <w:r w:rsidRPr="00565106">
        <w:rPr>
          <w:rFonts w:ascii="Simplified Arabic" w:hAnsi="Simplified Arabic" w:cs="Simplified Arabic"/>
          <w:color w:val="000000" w:themeColor="text1"/>
          <w:sz w:val="28"/>
          <w:szCs w:val="28"/>
        </w:rPr>
        <w:t>.</w:t>
      </w:r>
    </w:p>
    <w:p w14:paraId="5ECABF90" w14:textId="77777777" w:rsidR="002D7B70" w:rsidRPr="00565106" w:rsidRDefault="002D7B70" w:rsidP="00FB4535">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بُعد الإعفاءات من الرسوم: (4) فقرات</w:t>
      </w:r>
      <w:r w:rsidRPr="00565106">
        <w:rPr>
          <w:rFonts w:ascii="Simplified Arabic" w:hAnsi="Simplified Arabic" w:cs="Simplified Arabic"/>
          <w:color w:val="000000" w:themeColor="text1"/>
          <w:sz w:val="28"/>
          <w:szCs w:val="28"/>
        </w:rPr>
        <w:t>.</w:t>
      </w:r>
    </w:p>
    <w:p w14:paraId="2323E695"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القسم الثالث</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فقرات قياس المتغير التابع (الاستمرار الأكاديمي وتقليل التسرب) بوصفه محوراً أحادياً، وعدد فقراته (10) فقرات</w:t>
      </w:r>
      <w:r w:rsidRPr="00565106">
        <w:rPr>
          <w:rFonts w:ascii="Simplified Arabic" w:hAnsi="Simplified Arabic" w:cs="Simplified Arabic"/>
          <w:color w:val="000000" w:themeColor="text1"/>
          <w:sz w:val="28"/>
          <w:szCs w:val="28"/>
        </w:rPr>
        <w:t>.</w:t>
      </w:r>
    </w:p>
    <w:p w14:paraId="3351B1DB"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وبذلك يبلغ إجمالي فقرات الاستبانة (26) فقرة، وسوف تُصاغ جميع الفقرات وفق مقياس ليكرت الخماسي (موافق بشدة، موافق، محايد، غير موافق، غير موافق بشدة)، وسوف يتم التحقق من صدق الأداة عبر عرضها على مجموعة من المحكَّمين المتخصّصين، والتحقق من ثباتها عبر معامل ألفا كرونباخ</w:t>
      </w:r>
      <w:r w:rsidRPr="00565106">
        <w:rPr>
          <w:rFonts w:ascii="Simplified Arabic" w:hAnsi="Simplified Arabic" w:cs="Simplified Arabic"/>
          <w:color w:val="000000" w:themeColor="text1"/>
          <w:sz w:val="28"/>
          <w:szCs w:val="28"/>
        </w:rPr>
        <w:t>.</w:t>
      </w:r>
    </w:p>
    <w:p w14:paraId="67AD635A" w14:textId="6E196273"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4" w:name="_Toc234329144"/>
      <w:r w:rsidRPr="00565106">
        <w:rPr>
          <w:rFonts w:ascii="Simplified Arabic" w:hAnsi="Simplified Arabic" w:cs="Simplified Arabic" w:hint="cs"/>
          <w:b/>
          <w:bCs/>
          <w:color w:val="000000" w:themeColor="text1"/>
          <w:sz w:val="36"/>
          <w:szCs w:val="36"/>
          <w:rtl/>
        </w:rPr>
        <w:t xml:space="preserve">14.1 </w:t>
      </w:r>
      <w:r w:rsidR="002D7B70" w:rsidRPr="00565106">
        <w:rPr>
          <w:rFonts w:ascii="Simplified Arabic" w:hAnsi="Simplified Arabic" w:cs="Simplified Arabic"/>
          <w:b/>
          <w:bCs/>
          <w:color w:val="000000" w:themeColor="text1"/>
          <w:sz w:val="36"/>
          <w:szCs w:val="36"/>
          <w:rtl/>
        </w:rPr>
        <w:t>الأساليب الإحصائية المستخدمة</w:t>
      </w:r>
      <w:bookmarkEnd w:id="14"/>
    </w:p>
    <w:p w14:paraId="01C95C1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سوف تتم معالجة البيانات إحصائياً باستخدام برنامج الحزمة الإحصائية للعلوم الاجتماعية</w:t>
      </w:r>
      <w:r w:rsidRPr="00565106">
        <w:rPr>
          <w:rFonts w:ascii="Simplified Arabic" w:hAnsi="Simplified Arabic" w:cs="Simplified Arabic"/>
          <w:color w:val="000000" w:themeColor="text1"/>
          <w:sz w:val="28"/>
          <w:szCs w:val="28"/>
        </w:rPr>
        <w:t xml:space="preserve"> (SPSS)</w:t>
      </w:r>
      <w:r w:rsidRPr="00565106">
        <w:rPr>
          <w:rFonts w:ascii="Simplified Arabic" w:hAnsi="Simplified Arabic" w:cs="Simplified Arabic"/>
          <w:color w:val="000000" w:themeColor="text1"/>
          <w:sz w:val="28"/>
          <w:szCs w:val="28"/>
          <w:rtl/>
        </w:rPr>
        <w:t>، وذلك بتوظيف مجموعة من الأساليب الإحصائية الوصفية والاستدلالية، تشمل</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التكرارات والنسب المئوية لوصف خصائص عيّنة الدراسة، والمتوسطات الحسابية والانحرافات المعيارية لوصف استجابات أفراد العيّنة على فقرات الاستبانة، ومعامل ألفا كرونباخ للتحقق من ثبات أداة الدراسة، ومعامل ارتباط بيرسون لقياس الصدق البنائي والعلاقات بين المتغيرات، واختبار التوزيع الطبيعي (كولمجروف-سمرنوف) للتأكد من اعتدالية توزيع البيانات، وتحليل الانحدار الخطي البسيط والمتعدد لاختبار الفروض المتعلقة بأثر المتغير المستقل بأبعاده على المتغير التابع، واختبار</w:t>
      </w:r>
      <w:r w:rsidRPr="00565106">
        <w:rPr>
          <w:rFonts w:ascii="Simplified Arabic" w:hAnsi="Simplified Arabic" w:cs="Simplified Arabic"/>
          <w:color w:val="000000" w:themeColor="text1"/>
          <w:sz w:val="28"/>
          <w:szCs w:val="28"/>
        </w:rPr>
        <w:t xml:space="preserve"> (t) </w:t>
      </w:r>
      <w:r w:rsidRPr="00565106">
        <w:rPr>
          <w:rFonts w:ascii="Simplified Arabic" w:hAnsi="Simplified Arabic" w:cs="Simplified Arabic"/>
          <w:color w:val="000000" w:themeColor="text1"/>
          <w:sz w:val="28"/>
          <w:szCs w:val="28"/>
          <w:rtl/>
        </w:rPr>
        <w:t>وتحليل التباين الأحادي</w:t>
      </w:r>
      <w:r w:rsidRPr="00565106">
        <w:rPr>
          <w:rFonts w:ascii="Simplified Arabic" w:hAnsi="Simplified Arabic" w:cs="Simplified Arabic"/>
          <w:color w:val="000000" w:themeColor="text1"/>
          <w:sz w:val="28"/>
          <w:szCs w:val="28"/>
        </w:rPr>
        <w:t xml:space="preserve"> (ANOVA) </w:t>
      </w:r>
      <w:r w:rsidRPr="00565106">
        <w:rPr>
          <w:rFonts w:ascii="Simplified Arabic" w:hAnsi="Simplified Arabic" w:cs="Simplified Arabic"/>
          <w:color w:val="000000" w:themeColor="text1"/>
          <w:sz w:val="28"/>
          <w:szCs w:val="28"/>
          <w:rtl/>
        </w:rPr>
        <w:t>للكشف عن الفروق في استجابات أفراد العيّنة تُعزى إلى المتغيرات الديموغرافية، إضافةً إلى اختبار معامل تضخم التباين</w:t>
      </w:r>
      <w:r w:rsidRPr="00565106">
        <w:rPr>
          <w:rFonts w:ascii="Simplified Arabic" w:hAnsi="Simplified Arabic" w:cs="Simplified Arabic"/>
          <w:color w:val="000000" w:themeColor="text1"/>
          <w:sz w:val="28"/>
          <w:szCs w:val="28"/>
        </w:rPr>
        <w:t xml:space="preserve"> (VIF) </w:t>
      </w:r>
      <w:r w:rsidRPr="00565106">
        <w:rPr>
          <w:rFonts w:ascii="Simplified Arabic" w:hAnsi="Simplified Arabic" w:cs="Simplified Arabic"/>
          <w:color w:val="000000" w:themeColor="text1"/>
          <w:sz w:val="28"/>
          <w:szCs w:val="28"/>
          <w:rtl/>
        </w:rPr>
        <w:t>للتأكد من عدم وجود مشكلة الارتباط الخطي المتعدد بين المتغيرات المستقلة</w:t>
      </w:r>
      <w:r w:rsidRPr="00565106">
        <w:rPr>
          <w:rFonts w:ascii="Simplified Arabic" w:hAnsi="Simplified Arabic" w:cs="Simplified Arabic"/>
          <w:color w:val="000000" w:themeColor="text1"/>
          <w:sz w:val="28"/>
          <w:szCs w:val="28"/>
        </w:rPr>
        <w:t>.</w:t>
      </w:r>
    </w:p>
    <w:p w14:paraId="72B3D13A" w14:textId="74B2E821" w:rsidR="002D7B70" w:rsidRPr="00565106" w:rsidRDefault="00F4713C" w:rsidP="00F4713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5" w:name="_Toc234329145"/>
      <w:r w:rsidRPr="00565106">
        <w:rPr>
          <w:rFonts w:ascii="Simplified Arabic" w:hAnsi="Simplified Arabic" w:cs="Simplified Arabic" w:hint="cs"/>
          <w:b/>
          <w:bCs/>
          <w:color w:val="000000" w:themeColor="text1"/>
          <w:sz w:val="36"/>
          <w:szCs w:val="36"/>
          <w:rtl/>
        </w:rPr>
        <w:t xml:space="preserve">15.1 </w:t>
      </w:r>
      <w:r w:rsidR="002D7B70" w:rsidRPr="00565106">
        <w:rPr>
          <w:rFonts w:ascii="Simplified Arabic" w:hAnsi="Simplified Arabic" w:cs="Simplified Arabic"/>
          <w:b/>
          <w:bCs/>
          <w:color w:val="000000" w:themeColor="text1"/>
          <w:sz w:val="36"/>
          <w:szCs w:val="36"/>
          <w:rtl/>
        </w:rPr>
        <w:t>حدود الدراسة</w:t>
      </w:r>
      <w:bookmarkEnd w:id="15"/>
    </w:p>
    <w:p w14:paraId="776EA59D" w14:textId="77777777" w:rsidR="002D7B70" w:rsidRPr="00565106" w:rsidRDefault="002D7B70" w:rsidP="00FB4535">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الحدود الموضوعية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سوف تقتصر الدراسة على تناول أثر برامج الدعم المالي للطلاب بأبعادها الأربعة (المنح الدراسية، والقروض الميسّرة، والمكافآت الشهرية، والإعفاءات من الرسوم) على الاستمرار الأكاديمي وتقليل التسرب، دون التطرق إلى أنواع أخرى من الدعم أو متغيرات أخرى قد ترتبط بالتسرب الجامعي</w:t>
      </w:r>
      <w:r w:rsidRPr="00565106">
        <w:rPr>
          <w:rFonts w:ascii="Simplified Arabic" w:hAnsi="Simplified Arabic" w:cs="Simplified Arabic"/>
          <w:color w:val="000000" w:themeColor="text1"/>
          <w:sz w:val="28"/>
          <w:szCs w:val="28"/>
        </w:rPr>
        <w:t>.</w:t>
      </w:r>
    </w:p>
    <w:p w14:paraId="6AD46880" w14:textId="77777777" w:rsidR="002D7B70" w:rsidRPr="00565106" w:rsidRDefault="002D7B70" w:rsidP="00FB4535">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الحدود المكانية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سوف يقتصر التطبيق الميداني للدراسة على عدد من الجامعات السعودية الحكومية والأهلية المختارة بطريقة مقصودة داخل المملكة العربية السعودية</w:t>
      </w:r>
      <w:r w:rsidRPr="00565106">
        <w:rPr>
          <w:rFonts w:ascii="Simplified Arabic" w:hAnsi="Simplified Arabic" w:cs="Simplified Arabic"/>
          <w:color w:val="000000" w:themeColor="text1"/>
          <w:sz w:val="28"/>
          <w:szCs w:val="28"/>
        </w:rPr>
        <w:t>.</w:t>
      </w:r>
    </w:p>
    <w:p w14:paraId="71B9E910" w14:textId="77777777" w:rsidR="002D7B70" w:rsidRPr="00565106" w:rsidRDefault="002D7B70" w:rsidP="00FB4535">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الحدود البشرية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سوف تشمل الدراسة طلاب المرحلة الجامعية (البكالوريوس) من الجنسين في الجامعات السعودية المستهدَفة، من المستفيدين وغير المستفيدين من برامج الدعم المالي</w:t>
      </w:r>
      <w:r w:rsidRPr="00565106">
        <w:rPr>
          <w:rFonts w:ascii="Simplified Arabic" w:hAnsi="Simplified Arabic" w:cs="Simplified Arabic"/>
          <w:color w:val="000000" w:themeColor="text1"/>
          <w:sz w:val="28"/>
          <w:szCs w:val="28"/>
        </w:rPr>
        <w:t>.</w:t>
      </w:r>
    </w:p>
    <w:p w14:paraId="042F00AE" w14:textId="77777777" w:rsidR="002D7B70" w:rsidRPr="00565106" w:rsidRDefault="002D7B70" w:rsidP="00FB4535">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الحدود الزمانية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سوف يتم تطبيق الدراسة الميدانية خلال العام الدراسي (1447هـ/1448هـ - 2026م/2027م)</w:t>
      </w:r>
      <w:r w:rsidRPr="00565106">
        <w:rPr>
          <w:rFonts w:ascii="Simplified Arabic" w:hAnsi="Simplified Arabic" w:cs="Simplified Arabic"/>
          <w:color w:val="000000" w:themeColor="text1"/>
          <w:sz w:val="28"/>
          <w:szCs w:val="28"/>
        </w:rPr>
        <w:t>.</w:t>
      </w:r>
    </w:p>
    <w:p w14:paraId="0DA8B00A" w14:textId="58BB0242" w:rsidR="00F4713C" w:rsidRPr="00565106" w:rsidRDefault="00F4713C" w:rsidP="00F4713C">
      <w:pPr>
        <w:jc w:val="center"/>
        <w:outlineLvl w:val="0"/>
        <w:rPr>
          <w:rFonts w:ascii="Simplified Arabic" w:hAnsi="Simplified Arabic" w:cs="Simplified Arabic"/>
          <w:b/>
          <w:bCs/>
          <w:color w:val="000000" w:themeColor="text1"/>
          <w:sz w:val="40"/>
          <w:szCs w:val="40"/>
          <w:rtl/>
        </w:rPr>
      </w:pPr>
      <w:r w:rsidRPr="00565106">
        <w:rPr>
          <w:rFonts w:ascii="Simplified Arabic" w:hAnsi="Simplified Arabic" w:cs="Simplified Arabic"/>
          <w:b/>
          <w:bCs/>
          <w:color w:val="000000" w:themeColor="text1"/>
          <w:sz w:val="40"/>
          <w:szCs w:val="40"/>
          <w:rtl/>
        </w:rPr>
        <w:br w:type="page"/>
      </w:r>
      <w:bookmarkStart w:id="16" w:name="_Toc234329146"/>
      <w:r w:rsidRPr="00565106">
        <w:rPr>
          <w:rFonts w:ascii="Simplified Arabic" w:hAnsi="Simplified Arabic" w:cs="Simplified Arabic" w:hint="cs"/>
          <w:b/>
          <w:bCs/>
          <w:color w:val="000000" w:themeColor="text1"/>
          <w:sz w:val="40"/>
          <w:szCs w:val="40"/>
          <w:rtl/>
        </w:rPr>
        <w:lastRenderedPageBreak/>
        <w:t>الفصل الثاني: الإطار النظري</w:t>
      </w:r>
      <w:bookmarkEnd w:id="16"/>
    </w:p>
    <w:p w14:paraId="46002D01" w14:textId="77777777" w:rsidR="002D7B70" w:rsidRPr="00565106" w:rsidRDefault="002D7B70" w:rsidP="00F4713C">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7" w:name="_Toc234329147"/>
      <w:r w:rsidRPr="00565106">
        <w:rPr>
          <w:rFonts w:ascii="Simplified Arabic" w:hAnsi="Simplified Arabic" w:cs="Simplified Arabic"/>
          <w:b/>
          <w:bCs/>
          <w:color w:val="000000" w:themeColor="text1"/>
          <w:sz w:val="36"/>
          <w:szCs w:val="36"/>
          <w:rtl/>
        </w:rPr>
        <w:t>المبحث الأول: الدعم المالي للطلاب</w:t>
      </w:r>
      <w:bookmarkEnd w:id="17"/>
    </w:p>
    <w:p w14:paraId="0FCB5C0E" w14:textId="0B16359E"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4329148"/>
      <w:r w:rsidRPr="00565106">
        <w:rPr>
          <w:rFonts w:ascii="Simplified Arabic" w:hAnsi="Simplified Arabic" w:cs="Simplified Arabic" w:hint="cs"/>
          <w:b/>
          <w:bCs/>
          <w:color w:val="000000" w:themeColor="text1"/>
          <w:sz w:val="32"/>
          <w:szCs w:val="32"/>
          <w:rtl/>
        </w:rPr>
        <w:t xml:space="preserve">1.1.2 </w:t>
      </w:r>
      <w:r w:rsidR="002D7B70" w:rsidRPr="00565106">
        <w:rPr>
          <w:rFonts w:ascii="Simplified Arabic" w:hAnsi="Simplified Arabic" w:cs="Simplified Arabic"/>
          <w:b/>
          <w:bCs/>
          <w:color w:val="000000" w:themeColor="text1"/>
          <w:sz w:val="32"/>
          <w:szCs w:val="32"/>
          <w:rtl/>
        </w:rPr>
        <w:t>تمهيد</w:t>
      </w:r>
      <w:bookmarkEnd w:id="18"/>
    </w:p>
    <w:p w14:paraId="07972CA7"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يُمثّل الدعم المالي للطلاب أحد أبرز المكوّنات الاستراتيجية في منظومة التعليم العالي الحديثة، إذ لم يعد يُنظر إليه بوصفه مجرد إعانة اقتصادية عابرة تُقدَّم لسدّ الحاجة الآنية، بل باتت الأدبيات المعاصرة تتعامل معه بوصفه أداةً سياسية وتربوية واقتصادية متكاملة، تسعى الدول من خلالها إلى تحقيق جملة من الغايات المتشابكة التي تجمع بين العدالة الاجتماعية، وتنمية رأس المال البشري، ورفع كفاءة أنظمة التعليم العالي، وضمان استدامة مسيرة الطالب الجامعي حتى إتمام مساره الأكاديمي. وقد شهد هذا المفهوم تطوراً ملحوظاً في العقود الأخيرة، انتقل به من الصورة التقليدية المحدودة القائمة على المنح غير المشروطة، إلى صور أكثر تعقيداً وتنوعاً تشمل القروض الميسّرة، والمكافآت الدورية، والإعفاءات، والدعم المشروط بالأداء الأكاديمي، وبرامج التشغيل داخل الحرم الجامعي</w:t>
      </w:r>
      <w:r w:rsidRPr="00565106">
        <w:rPr>
          <w:rFonts w:ascii="Simplified Arabic" w:hAnsi="Simplified Arabic" w:cs="Simplified Arabic"/>
          <w:color w:val="000000" w:themeColor="text1"/>
          <w:sz w:val="28"/>
          <w:szCs w:val="28"/>
        </w:rPr>
        <w:t xml:space="preserve"> (LaSota et al., 2025).</w:t>
      </w:r>
    </w:p>
    <w:p w14:paraId="4D98B28C"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ويكتسب الحديث عن الدعم المالي في السياق الجامعي أهمية مضاعفة في ضوء التحولات التي يشهدها التعليم العالي عالمياً، من ارتفاع في تكاليف الدراسة، وتنامٍ في أعداد الطلاب، وتصاعد للضغوط على الأسر ذات الدخل المحدود، وهو ما جعل توفير أنظمة دعم مالي فاعلة ومصمّمة بعناية شرطاً لازماً لضمان تكافؤ الفرص التعليمية والحيلولة دون تحوّل التعليم الجامعي إلى امتياز مقصور على فئات دون أخرى</w:t>
      </w:r>
      <w:r w:rsidRPr="00565106">
        <w:rPr>
          <w:rFonts w:ascii="Simplified Arabic" w:hAnsi="Simplified Arabic" w:cs="Simplified Arabic"/>
          <w:color w:val="000000" w:themeColor="text1"/>
          <w:sz w:val="28"/>
          <w:szCs w:val="28"/>
        </w:rPr>
        <w:t xml:space="preserve"> (Qi, Ma, &amp; Ji, 2022). </w:t>
      </w:r>
      <w:r w:rsidRPr="00565106">
        <w:rPr>
          <w:rFonts w:ascii="Simplified Arabic" w:hAnsi="Simplified Arabic" w:cs="Simplified Arabic"/>
          <w:color w:val="000000" w:themeColor="text1"/>
          <w:sz w:val="28"/>
          <w:szCs w:val="28"/>
          <w:rtl/>
        </w:rPr>
        <w:t>ومن ثَمّ يسعى هذا المبحث إلى تقديم معالجة نظرية متكاملة لمفهوم الدعم المالي للطلاب، من خلال تناول تعريفاته، وأهميته، وأهدافه، وأبعاده، واستراتيجياته، والتحديات التي تواجه تطبيقه، بما يُشكّل قاعدة معرفية موثوقة يُبنى عليها الجانب الميداني للدراسة الحالية</w:t>
      </w:r>
      <w:r w:rsidRPr="00565106">
        <w:rPr>
          <w:rFonts w:ascii="Simplified Arabic" w:hAnsi="Simplified Arabic" w:cs="Simplified Arabic"/>
          <w:color w:val="000000" w:themeColor="text1"/>
          <w:sz w:val="28"/>
          <w:szCs w:val="28"/>
        </w:rPr>
        <w:t>.</w:t>
      </w:r>
    </w:p>
    <w:p w14:paraId="76068151" w14:textId="0543167F"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4329149"/>
      <w:r w:rsidRPr="00565106">
        <w:rPr>
          <w:rFonts w:ascii="Simplified Arabic" w:hAnsi="Simplified Arabic" w:cs="Simplified Arabic" w:hint="cs"/>
          <w:b/>
          <w:bCs/>
          <w:color w:val="000000" w:themeColor="text1"/>
          <w:sz w:val="32"/>
          <w:szCs w:val="32"/>
          <w:rtl/>
        </w:rPr>
        <w:t xml:space="preserve">2.1.2 </w:t>
      </w:r>
      <w:r w:rsidR="002D7B70" w:rsidRPr="00565106">
        <w:rPr>
          <w:rFonts w:ascii="Simplified Arabic" w:hAnsi="Simplified Arabic" w:cs="Simplified Arabic"/>
          <w:b/>
          <w:bCs/>
          <w:color w:val="000000" w:themeColor="text1"/>
          <w:sz w:val="32"/>
          <w:szCs w:val="32"/>
          <w:rtl/>
        </w:rPr>
        <w:t>مفهوم الدعم المالي للطلاب</w:t>
      </w:r>
      <w:bookmarkEnd w:id="19"/>
    </w:p>
    <w:p w14:paraId="729C062C"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تعدّدت التعريفات التي قدّمها الباحثون لمفهوم الدعم المالي للطلاب، وتنوّعت زوايا معالجتها له بحسب الخلفية العلمية للباحث والسياق الذي جاء فيه التعريف. فقد ذهب فريق من الباحثين إلى تعريف الدعم المالي انطلاقاً من زاويته الاقتصادية بوصفه تحويلاً نقدياً موجّهاً، إذ عرّفه</w:t>
      </w:r>
      <w:r w:rsidRPr="00565106">
        <w:rPr>
          <w:rFonts w:ascii="Simplified Arabic" w:hAnsi="Simplified Arabic" w:cs="Simplified Arabic"/>
          <w:color w:val="000000" w:themeColor="text1"/>
          <w:sz w:val="28"/>
          <w:szCs w:val="28"/>
        </w:rPr>
        <w:t xml:space="preserve"> Chen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Smith (2024) </w:t>
      </w:r>
      <w:r w:rsidRPr="00565106">
        <w:rPr>
          <w:rFonts w:ascii="Simplified Arabic" w:hAnsi="Simplified Arabic" w:cs="Simplified Arabic"/>
          <w:color w:val="000000" w:themeColor="text1"/>
          <w:sz w:val="28"/>
          <w:szCs w:val="28"/>
          <w:rtl/>
        </w:rPr>
        <w:lastRenderedPageBreak/>
        <w:t>بأنه مجموعة الموارد المالية التي تُوجَّه إلى الطلاب الجامعيين من مصادر حكومية أو مؤسسية، بشكل مباشر أو غير مباشر، بهدف تخفيف الأعباء الاقتصادية المرتبطة بتكاليف الدراسة والمعيشة، وتمكينهم من الاستمرار في مسيرتهم الأكاديمية</w:t>
      </w:r>
      <w:r w:rsidRPr="00565106">
        <w:rPr>
          <w:rFonts w:ascii="Simplified Arabic" w:hAnsi="Simplified Arabic" w:cs="Simplified Arabic"/>
          <w:color w:val="000000" w:themeColor="text1"/>
          <w:sz w:val="28"/>
          <w:szCs w:val="28"/>
        </w:rPr>
        <w:t>.</w:t>
      </w:r>
    </w:p>
    <w:p w14:paraId="66A5A8AA"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وفي إطار مقارب لكنه أكثر شمولاً، عرّفه</w:t>
      </w:r>
      <w:r w:rsidRPr="00565106">
        <w:rPr>
          <w:rFonts w:ascii="Simplified Arabic" w:hAnsi="Simplified Arabic" w:cs="Simplified Arabic"/>
          <w:color w:val="000000" w:themeColor="text1"/>
          <w:sz w:val="28"/>
          <w:szCs w:val="28"/>
        </w:rPr>
        <w:t xml:space="preserve"> Montalb</w:t>
      </w:r>
      <w:r w:rsidRPr="00565106">
        <w:rPr>
          <w:rFonts w:ascii="Cambria" w:hAnsi="Cambria" w:cs="Cambria"/>
          <w:color w:val="000000" w:themeColor="text1"/>
          <w:sz w:val="28"/>
          <w:szCs w:val="28"/>
        </w:rPr>
        <w:t>á</w:t>
      </w:r>
      <w:r w:rsidRPr="00565106">
        <w:rPr>
          <w:rFonts w:ascii="Simplified Arabic" w:hAnsi="Simplified Arabic" w:cs="Simplified Arabic"/>
          <w:color w:val="000000" w:themeColor="text1"/>
          <w:sz w:val="28"/>
          <w:szCs w:val="28"/>
        </w:rPr>
        <w:t xml:space="preserve">n (2023) </w:t>
      </w:r>
      <w:r w:rsidRPr="00565106">
        <w:rPr>
          <w:rFonts w:ascii="Simplified Arabic" w:hAnsi="Simplified Arabic" w:cs="Simplified Arabic"/>
          <w:color w:val="000000" w:themeColor="text1"/>
          <w:sz w:val="28"/>
          <w:szCs w:val="28"/>
          <w:rtl/>
        </w:rPr>
        <w:t>بأنه منظومة متكاملة من الأدوات المالية التي تعتمدها الحكومات ومؤسسات التعليم العالي لدعم الطلاب المستحقّين وفق معايير محدّدة، سواء أكانت هذه المعايير قائمة على الحاجة أم على الاستحقاق الأكاديمي أم على مزيج منهما، بحيث تخدم هذه المنظومة أهدافاً تربوية واجتماعية واقتصادية في آنٍ واحد</w:t>
      </w:r>
      <w:r w:rsidRPr="00565106">
        <w:rPr>
          <w:rFonts w:ascii="Simplified Arabic" w:hAnsi="Simplified Arabic" w:cs="Simplified Arabic"/>
          <w:color w:val="000000" w:themeColor="text1"/>
          <w:sz w:val="28"/>
          <w:szCs w:val="28"/>
        </w:rPr>
        <w:t>.</w:t>
      </w:r>
    </w:p>
    <w:p w14:paraId="7C44642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ومن منظور أقرب إلى العدالة الاجتماعية، نظر إليه</w:t>
      </w:r>
      <w:r w:rsidRPr="00565106">
        <w:rPr>
          <w:rFonts w:ascii="Simplified Arabic" w:hAnsi="Simplified Arabic" w:cs="Simplified Arabic"/>
          <w:color w:val="000000" w:themeColor="text1"/>
          <w:sz w:val="28"/>
          <w:szCs w:val="28"/>
        </w:rPr>
        <w:t xml:space="preserve"> Moores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Burgess (2023) </w:t>
      </w:r>
      <w:r w:rsidRPr="00565106">
        <w:rPr>
          <w:rFonts w:ascii="Simplified Arabic" w:hAnsi="Simplified Arabic" w:cs="Simplified Arabic"/>
          <w:color w:val="000000" w:themeColor="text1"/>
          <w:sz w:val="28"/>
          <w:szCs w:val="28"/>
          <w:rtl/>
        </w:rPr>
        <w:t>بوصفه آلية تدخّل هادفة تعتمدها الجامعات لسدّ الفجوة الاقتصادية بين الطلاب المنتمين إلى خلفيات اجتماعية متباينة، بما يُتيح للطلاب من الأسر ذات الدخل المنخفض والمتوسط فرصةً حقيقية للاستمرار في تعليمهم على قدم المساواة مع أقرانهم من الفئات الميسورة</w:t>
      </w:r>
      <w:r w:rsidRPr="00565106">
        <w:rPr>
          <w:rFonts w:ascii="Simplified Arabic" w:hAnsi="Simplified Arabic" w:cs="Simplified Arabic"/>
          <w:color w:val="000000" w:themeColor="text1"/>
          <w:sz w:val="28"/>
          <w:szCs w:val="28"/>
        </w:rPr>
        <w:t>.</w:t>
      </w:r>
    </w:p>
    <w:p w14:paraId="66C27F82"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أما</w:t>
      </w:r>
      <w:r w:rsidRPr="00565106">
        <w:rPr>
          <w:rFonts w:ascii="Simplified Arabic" w:hAnsi="Simplified Arabic" w:cs="Simplified Arabic"/>
          <w:color w:val="000000" w:themeColor="text1"/>
          <w:sz w:val="28"/>
          <w:szCs w:val="28"/>
        </w:rPr>
        <w:t xml:space="preserve"> Qi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Ma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Ji (2022) </w:t>
      </w:r>
      <w:r w:rsidRPr="00565106">
        <w:rPr>
          <w:rFonts w:ascii="Simplified Arabic" w:hAnsi="Simplified Arabic" w:cs="Simplified Arabic"/>
          <w:color w:val="000000" w:themeColor="text1"/>
          <w:sz w:val="28"/>
          <w:szCs w:val="28"/>
          <w:rtl/>
        </w:rPr>
        <w:t>فقد قدّموا تعريفاً أكثر تركيباً، إذ وصفوه بأنه نظام متعدد المصادر والأشكال يجمع بين المنح، والقروض، والإعانات، وبرامج العمل الطلابي، والإعفاءات من الرسوم، بحيث يعمل هذا النظام بمثابة شبكة أمان اقتصادية متكاملة تضمن للطالب مواصلة تعليمه وتحقيق تطوره الأكاديمي دون أن تُشكّل التكاليف عائقاً أمامه</w:t>
      </w:r>
      <w:r w:rsidRPr="00565106">
        <w:rPr>
          <w:rFonts w:ascii="Simplified Arabic" w:hAnsi="Simplified Arabic" w:cs="Simplified Arabic"/>
          <w:color w:val="000000" w:themeColor="text1"/>
          <w:sz w:val="28"/>
          <w:szCs w:val="28"/>
        </w:rPr>
        <w:t>.</w:t>
      </w:r>
    </w:p>
    <w:p w14:paraId="4EA2948A"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ومن زاوية تنموية أوسع، عرّفه قادر وآخرون (2023) بوصفه أحد أشكال التدخل الحكومي الرامي إلى تفعيل دور الشباب في الحياة الاقتصادية والاجتماعية، من خلال توفير الموارد المالية اللازمة التي تُمكّنهم من إكمال تعليمهم أو إطلاق مشاريعهم، بما ينعكس على النشاط الاقتصادي في المجتمع بشكل عام</w:t>
      </w:r>
      <w:r w:rsidRPr="00565106">
        <w:rPr>
          <w:rFonts w:ascii="Simplified Arabic" w:hAnsi="Simplified Arabic" w:cs="Simplified Arabic"/>
          <w:color w:val="000000" w:themeColor="text1"/>
          <w:sz w:val="28"/>
          <w:szCs w:val="28"/>
        </w:rPr>
        <w:t>.</w:t>
      </w:r>
    </w:p>
    <w:p w14:paraId="4E2944B4"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كذلك أشار القطيشات و القطيشات (2023) إلى أن الدعم المالي يمثّل أحد أبرز أبعاد الدعم المؤسسي المقدَّم من الجهات المانحة، ولا يمكن النظر إليه بمعزل عن سائر أشكال الدعم الفني والإداري وبناء القدرات، إذ تتضافر هذه الأبعاد جميعها في تحقيق استدامة المؤسسات والبرامج المستفيدة</w:t>
      </w:r>
      <w:r w:rsidRPr="00565106">
        <w:rPr>
          <w:rFonts w:ascii="Simplified Arabic" w:hAnsi="Simplified Arabic" w:cs="Simplified Arabic"/>
          <w:color w:val="000000" w:themeColor="text1"/>
          <w:sz w:val="28"/>
          <w:szCs w:val="28"/>
        </w:rPr>
        <w:t>.</w:t>
      </w:r>
    </w:p>
    <w:p w14:paraId="203D8DAD"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 xml:space="preserve">ويرى الباحث </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في ضوء ما تقدّم من تعريفات – أن الدعم المالي للطلاب يمكن تعريفه بأنه منظومة متكاملة من الحوافز والمساعدات المادية، مباشرة كانت أم غير مباشرة، تُقدَّم للطلاب الجامعيين من مصادر متعددة (حكومية، ومؤسسية، وخاصة)، وبأشكال متنوعة (منح، وقروض، ومكافآت، وإعفاءات)، وفق معايير علمية واضحة، بهدف تخفيف الأعباء الاقتصادية عن الطالب وأسرته، وتحقيق العدالة في الوصول إلى التعليم العالي، ودعم استمراره الأكاديمي، وتمكينه من إتمام مسيرته الجامعية بأعلى مستوى ممكن من الأداء</w:t>
      </w:r>
      <w:r w:rsidRPr="00565106">
        <w:rPr>
          <w:rFonts w:ascii="Simplified Arabic" w:hAnsi="Simplified Arabic" w:cs="Simplified Arabic"/>
          <w:color w:val="000000" w:themeColor="text1"/>
          <w:sz w:val="28"/>
          <w:szCs w:val="28"/>
        </w:rPr>
        <w:t>.</w:t>
      </w:r>
    </w:p>
    <w:p w14:paraId="7470E8FB" w14:textId="19C1CB38"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4329150"/>
      <w:r w:rsidRPr="00565106">
        <w:rPr>
          <w:rFonts w:ascii="Simplified Arabic" w:hAnsi="Simplified Arabic" w:cs="Simplified Arabic" w:hint="cs"/>
          <w:b/>
          <w:bCs/>
          <w:color w:val="000000" w:themeColor="text1"/>
          <w:sz w:val="32"/>
          <w:szCs w:val="32"/>
          <w:rtl/>
        </w:rPr>
        <w:t xml:space="preserve">3.1.2 </w:t>
      </w:r>
      <w:r w:rsidR="002D7B70" w:rsidRPr="00565106">
        <w:rPr>
          <w:rFonts w:ascii="Simplified Arabic" w:hAnsi="Simplified Arabic" w:cs="Simplified Arabic"/>
          <w:b/>
          <w:bCs/>
          <w:color w:val="000000" w:themeColor="text1"/>
          <w:sz w:val="32"/>
          <w:szCs w:val="32"/>
          <w:rtl/>
        </w:rPr>
        <w:t>أهمية الدعم المالي للطلاب</w:t>
      </w:r>
      <w:bookmarkEnd w:id="20"/>
    </w:p>
    <w:p w14:paraId="2AA6DBCC"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تنبع أهمية الدعم المالي للطلاب من كونه أداةً محورية تُلامس أكثر من بُعد في منظومة التعليم العالي؛ فهو من جهة أداة اقتصادية تُخفّف من ثقل تكاليف الدراسة على الطالب وأسرته، ومن جهة ثانية أداة اجتماعية تُسهم في تحقيق تكافؤ الفرص وتعزيز العدالة، ومن جهة ثالثة أداة تربوية تدعم استمرار الطالب وتُحسّن أداءه الأكاديمي، ومن جهة رابعة أداة تنموية تصبّ في تكوين رأس المال البشري الذي تعوّل عليه الدول في تحقيق أهدافها الاستراتيجية. ولذلك تُوليه الحكومات ومؤسسات التعليم العالي اهتماماً متزايداً، وتُخصّص له موارد مالية ضخمة، وتعمل باستمرار على تطوير آلياته ومعاييره</w:t>
      </w:r>
      <w:r w:rsidRPr="00565106">
        <w:rPr>
          <w:rFonts w:ascii="Simplified Arabic" w:hAnsi="Simplified Arabic" w:cs="Simplified Arabic"/>
          <w:color w:val="000000" w:themeColor="text1"/>
          <w:sz w:val="28"/>
          <w:szCs w:val="28"/>
        </w:rPr>
        <w:t>.</w:t>
      </w:r>
    </w:p>
    <w:p w14:paraId="5E4AE944"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ويُشير</w:t>
      </w:r>
      <w:r w:rsidRPr="00565106">
        <w:rPr>
          <w:rFonts w:ascii="Simplified Arabic" w:hAnsi="Simplified Arabic" w:cs="Simplified Arabic"/>
          <w:b/>
          <w:bCs/>
          <w:color w:val="000000" w:themeColor="text1"/>
          <w:sz w:val="28"/>
          <w:szCs w:val="28"/>
        </w:rPr>
        <w:t xml:space="preserve"> LaSota </w:t>
      </w:r>
      <w:r w:rsidRPr="00565106">
        <w:rPr>
          <w:rFonts w:ascii="Simplified Arabic" w:hAnsi="Simplified Arabic" w:cs="Simplified Arabic"/>
          <w:b/>
          <w:bCs/>
          <w:color w:val="000000" w:themeColor="text1"/>
          <w:sz w:val="28"/>
          <w:szCs w:val="28"/>
          <w:rtl/>
        </w:rPr>
        <w:t>و آخرون (2022) إلى أن أهمية الدعم المالي للطلاب تتجلّى في جوانب متعددة، أبرزها</w:t>
      </w:r>
      <w:r w:rsidRPr="00565106">
        <w:rPr>
          <w:rFonts w:ascii="Simplified Arabic" w:hAnsi="Simplified Arabic" w:cs="Simplified Arabic"/>
          <w:b/>
          <w:bCs/>
          <w:color w:val="000000" w:themeColor="text1"/>
          <w:sz w:val="28"/>
          <w:szCs w:val="28"/>
        </w:rPr>
        <w:t>:</w:t>
      </w:r>
    </w:p>
    <w:p w14:paraId="7AE3AC78" w14:textId="77777777" w:rsidR="002D7B70" w:rsidRPr="00565106" w:rsidRDefault="002D7B70" w:rsidP="00FB4535">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تعزيز فرص الالتحاق بالتعليم العالي، لا سيّما لدى الفئات التي تعاني من قيود اقتصادية</w:t>
      </w:r>
      <w:r w:rsidRPr="00565106">
        <w:rPr>
          <w:rFonts w:ascii="Simplified Arabic" w:hAnsi="Simplified Arabic" w:cs="Simplified Arabic"/>
          <w:color w:val="000000" w:themeColor="text1"/>
          <w:sz w:val="28"/>
          <w:szCs w:val="28"/>
        </w:rPr>
        <w:t>.</w:t>
      </w:r>
    </w:p>
    <w:p w14:paraId="0B5C5E79" w14:textId="77777777" w:rsidR="002D7B70" w:rsidRPr="00565106" w:rsidRDefault="002D7B70" w:rsidP="00FB4535">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دعم الاستمرار الأكاديمي وحماية الطالب من الانقطاع القسري بفعل الضغوط المالية</w:t>
      </w:r>
      <w:r w:rsidRPr="00565106">
        <w:rPr>
          <w:rFonts w:ascii="Simplified Arabic" w:hAnsi="Simplified Arabic" w:cs="Simplified Arabic"/>
          <w:color w:val="000000" w:themeColor="text1"/>
          <w:sz w:val="28"/>
          <w:szCs w:val="28"/>
        </w:rPr>
        <w:t>.</w:t>
      </w:r>
    </w:p>
    <w:p w14:paraId="71A10A91" w14:textId="77777777" w:rsidR="002D7B70" w:rsidRPr="00565106" w:rsidRDefault="002D7B70" w:rsidP="00FB4535">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تحسين معدلات إتمام الدراسة والحصول على الشهادات الجامعية</w:t>
      </w:r>
      <w:r w:rsidRPr="00565106">
        <w:rPr>
          <w:rFonts w:ascii="Simplified Arabic" w:hAnsi="Simplified Arabic" w:cs="Simplified Arabic"/>
          <w:color w:val="000000" w:themeColor="text1"/>
          <w:sz w:val="28"/>
          <w:szCs w:val="28"/>
        </w:rPr>
        <w:t>.</w:t>
      </w:r>
    </w:p>
    <w:p w14:paraId="4A1F48DF" w14:textId="77777777" w:rsidR="002D7B70" w:rsidRPr="00565106" w:rsidRDefault="002D7B70" w:rsidP="00FB4535">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توسيع نطاق تراكم الساعات الدراسية بما يُقصّر مدة الدراسة ويرفع كفاءة النظام التعليمي</w:t>
      </w:r>
      <w:r w:rsidRPr="00565106">
        <w:rPr>
          <w:rFonts w:ascii="Simplified Arabic" w:hAnsi="Simplified Arabic" w:cs="Simplified Arabic"/>
          <w:color w:val="000000" w:themeColor="text1"/>
          <w:sz w:val="28"/>
          <w:szCs w:val="28"/>
        </w:rPr>
        <w:t>.</w:t>
      </w:r>
    </w:p>
    <w:p w14:paraId="2D3B77F1" w14:textId="77777777" w:rsidR="002D7B70" w:rsidRPr="00565106" w:rsidRDefault="002D7B70" w:rsidP="00FB4535">
      <w:pPr>
        <w:numPr>
          <w:ilvl w:val="0"/>
          <w:numId w:val="3"/>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حماية الطلاب من الاضطرار إلى الجمع بين العمل والدراسة بصورة تُضعف أداءهم الأكاديمي</w:t>
      </w:r>
      <w:r w:rsidRPr="00565106">
        <w:rPr>
          <w:rFonts w:ascii="Simplified Arabic" w:hAnsi="Simplified Arabic" w:cs="Simplified Arabic"/>
          <w:color w:val="000000" w:themeColor="text1"/>
          <w:sz w:val="28"/>
          <w:szCs w:val="28"/>
        </w:rPr>
        <w:t>.</w:t>
      </w:r>
    </w:p>
    <w:p w14:paraId="5D7525BA"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ويرى</w:t>
      </w:r>
      <w:r w:rsidRPr="00565106">
        <w:rPr>
          <w:rFonts w:ascii="Simplified Arabic" w:hAnsi="Simplified Arabic" w:cs="Simplified Arabic"/>
          <w:b/>
          <w:bCs/>
          <w:color w:val="000000" w:themeColor="text1"/>
          <w:sz w:val="28"/>
          <w:szCs w:val="28"/>
        </w:rPr>
        <w:t xml:space="preserve"> Bettinger </w:t>
      </w:r>
      <w:r w:rsidRPr="00565106">
        <w:rPr>
          <w:rFonts w:ascii="Simplified Arabic" w:hAnsi="Simplified Arabic" w:cs="Simplified Arabic"/>
          <w:b/>
          <w:bCs/>
          <w:color w:val="000000" w:themeColor="text1"/>
          <w:sz w:val="28"/>
          <w:szCs w:val="28"/>
          <w:rtl/>
        </w:rPr>
        <w:t>و آخرون (2022) أن أهمية الدعم المالي تتعدى الطالب الفرد لتشمل النظام التعليمي بأكمله، إذ يُسهم في</w:t>
      </w:r>
      <w:r w:rsidRPr="00565106">
        <w:rPr>
          <w:rFonts w:ascii="Simplified Arabic" w:hAnsi="Simplified Arabic" w:cs="Simplified Arabic"/>
          <w:b/>
          <w:bCs/>
          <w:color w:val="000000" w:themeColor="text1"/>
          <w:sz w:val="28"/>
          <w:szCs w:val="28"/>
        </w:rPr>
        <w:t>:</w:t>
      </w:r>
    </w:p>
    <w:p w14:paraId="72352DDA" w14:textId="77777777" w:rsidR="002D7B70" w:rsidRPr="00565106" w:rsidRDefault="002D7B70" w:rsidP="00FB4535">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تحقيق العدالة التعليمية عبر تمكين الفئات الأقل حظاً من الوصول إلى التعليم العالي</w:t>
      </w:r>
      <w:r w:rsidRPr="00565106">
        <w:rPr>
          <w:rFonts w:ascii="Simplified Arabic" w:hAnsi="Simplified Arabic" w:cs="Simplified Arabic"/>
          <w:color w:val="000000" w:themeColor="text1"/>
          <w:sz w:val="28"/>
          <w:szCs w:val="28"/>
        </w:rPr>
        <w:t>.</w:t>
      </w:r>
    </w:p>
    <w:p w14:paraId="7D2D09DD" w14:textId="77777777" w:rsidR="002D7B70" w:rsidRPr="00565106" w:rsidRDefault="002D7B70" w:rsidP="00FB4535">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تنشيط برامج التسجيل المزدوج وربط التعليم الثانوي بالجامعي بصورة أكثر كفاءة</w:t>
      </w:r>
      <w:r w:rsidRPr="00565106">
        <w:rPr>
          <w:rFonts w:ascii="Simplified Arabic" w:hAnsi="Simplified Arabic" w:cs="Simplified Arabic"/>
          <w:color w:val="000000" w:themeColor="text1"/>
          <w:sz w:val="28"/>
          <w:szCs w:val="28"/>
        </w:rPr>
        <w:t>.</w:t>
      </w:r>
    </w:p>
    <w:p w14:paraId="43E06549" w14:textId="77777777" w:rsidR="002D7B70" w:rsidRPr="00565106" w:rsidRDefault="002D7B70" w:rsidP="00FB4535">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تحفيز الجامعات على تطوير برامجها لاستقطاب الطلاب المستحقّين للدعم</w:t>
      </w:r>
      <w:r w:rsidRPr="00565106">
        <w:rPr>
          <w:rFonts w:ascii="Simplified Arabic" w:hAnsi="Simplified Arabic" w:cs="Simplified Arabic"/>
          <w:color w:val="000000" w:themeColor="text1"/>
          <w:sz w:val="28"/>
          <w:szCs w:val="28"/>
        </w:rPr>
        <w:t>.</w:t>
      </w:r>
    </w:p>
    <w:p w14:paraId="129A810E" w14:textId="77777777" w:rsidR="002D7B70" w:rsidRPr="00565106" w:rsidRDefault="002D7B70" w:rsidP="00FB4535">
      <w:pPr>
        <w:numPr>
          <w:ilvl w:val="0"/>
          <w:numId w:val="4"/>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تعزيز الاستقرار المالي لمؤسسات التعليم العالي من خلال ضمان استمرار الطلاب واستكمال دفعاتهم</w:t>
      </w:r>
      <w:r w:rsidRPr="00565106">
        <w:rPr>
          <w:rFonts w:ascii="Simplified Arabic" w:hAnsi="Simplified Arabic" w:cs="Simplified Arabic"/>
          <w:color w:val="000000" w:themeColor="text1"/>
          <w:sz w:val="28"/>
          <w:szCs w:val="28"/>
        </w:rPr>
        <w:t>.</w:t>
      </w:r>
    </w:p>
    <w:p w14:paraId="4C55C044"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ويُضيف</w:t>
      </w:r>
      <w:r w:rsidRPr="00565106">
        <w:rPr>
          <w:rFonts w:ascii="Simplified Arabic" w:hAnsi="Simplified Arabic" w:cs="Simplified Arabic"/>
          <w:color w:val="000000" w:themeColor="text1"/>
          <w:sz w:val="28"/>
          <w:szCs w:val="28"/>
        </w:rPr>
        <w:t xml:space="preserve"> Canaan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Deeb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Mouganie (2022) </w:t>
      </w:r>
      <w:r w:rsidRPr="00565106">
        <w:rPr>
          <w:rFonts w:ascii="Simplified Arabic" w:hAnsi="Simplified Arabic" w:cs="Simplified Arabic"/>
          <w:color w:val="000000" w:themeColor="text1"/>
          <w:sz w:val="28"/>
          <w:szCs w:val="28"/>
          <w:rtl/>
        </w:rPr>
        <w:t>بُعداً آخر لأهمية الدعم المالي حين يشيرون إلى أن قيمته تتضاعف حين يُقرَن بخدمات الإرشاد الأكاديمي والدعم غير المالي، إذ يعمل الدعم المالي على تحرير الطالب من الضغط الاقتصادي بينما يعمل الإرشاد الأكاديمي على توجيهه نحو أفضل المسارات، ومن هنا فإن أهمية الدعم المالي تتجلّى بوصفه</w:t>
      </w:r>
      <w:r w:rsidRPr="00565106">
        <w:rPr>
          <w:rFonts w:ascii="Simplified Arabic" w:hAnsi="Simplified Arabic" w:cs="Simplified Arabic"/>
          <w:color w:val="000000" w:themeColor="text1"/>
          <w:sz w:val="28"/>
          <w:szCs w:val="28"/>
        </w:rPr>
        <w:t>:</w:t>
      </w:r>
    </w:p>
    <w:p w14:paraId="10BDC3CD" w14:textId="77777777" w:rsidR="002D7B70" w:rsidRPr="00565106" w:rsidRDefault="002D7B70" w:rsidP="00FB4535">
      <w:pPr>
        <w:numPr>
          <w:ilvl w:val="0"/>
          <w:numId w:val="1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رافداً لسائر خدمات الدعم الطلابي</w:t>
      </w:r>
      <w:r w:rsidRPr="00565106">
        <w:rPr>
          <w:rFonts w:ascii="Simplified Arabic" w:hAnsi="Simplified Arabic" w:cs="Simplified Arabic"/>
          <w:color w:val="000000" w:themeColor="text1"/>
          <w:sz w:val="28"/>
          <w:szCs w:val="28"/>
        </w:rPr>
        <w:t>.</w:t>
      </w:r>
    </w:p>
    <w:p w14:paraId="5B0D53CE" w14:textId="77777777" w:rsidR="002D7B70" w:rsidRPr="00565106" w:rsidRDefault="002D7B70" w:rsidP="00FB4535">
      <w:pPr>
        <w:numPr>
          <w:ilvl w:val="0"/>
          <w:numId w:val="1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مؤشراً على التزام الجامعة بمسؤوليتها الاجتماعية</w:t>
      </w:r>
      <w:r w:rsidRPr="00565106">
        <w:rPr>
          <w:rFonts w:ascii="Simplified Arabic" w:hAnsi="Simplified Arabic" w:cs="Simplified Arabic"/>
          <w:color w:val="000000" w:themeColor="text1"/>
          <w:sz w:val="28"/>
          <w:szCs w:val="28"/>
        </w:rPr>
        <w:t>.</w:t>
      </w:r>
    </w:p>
    <w:p w14:paraId="2954F8DA" w14:textId="77777777" w:rsidR="002D7B70" w:rsidRPr="00565106" w:rsidRDefault="002D7B70" w:rsidP="00FB4535">
      <w:pPr>
        <w:numPr>
          <w:ilvl w:val="0"/>
          <w:numId w:val="1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عاملاً لبناء الثقة بين الطالب والمؤسسة التعليمية</w:t>
      </w:r>
      <w:r w:rsidRPr="00565106">
        <w:rPr>
          <w:rFonts w:ascii="Simplified Arabic" w:hAnsi="Simplified Arabic" w:cs="Simplified Arabic"/>
          <w:color w:val="000000" w:themeColor="text1"/>
          <w:sz w:val="28"/>
          <w:szCs w:val="28"/>
        </w:rPr>
        <w:t>.</w:t>
      </w:r>
    </w:p>
    <w:p w14:paraId="3BDB9611" w14:textId="77777777" w:rsidR="002D7B70" w:rsidRPr="00565106" w:rsidRDefault="002D7B70" w:rsidP="00FB4535">
      <w:pPr>
        <w:numPr>
          <w:ilvl w:val="0"/>
          <w:numId w:val="1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أداةً لجذب الكفاءات الطلابية المتميّزة والاحتفاظ بها</w:t>
      </w:r>
      <w:r w:rsidRPr="00565106">
        <w:rPr>
          <w:rFonts w:ascii="Simplified Arabic" w:hAnsi="Simplified Arabic" w:cs="Simplified Arabic"/>
          <w:color w:val="000000" w:themeColor="text1"/>
          <w:sz w:val="28"/>
          <w:szCs w:val="28"/>
        </w:rPr>
        <w:t>.</w:t>
      </w:r>
    </w:p>
    <w:p w14:paraId="7218DFF7" w14:textId="5C0B562E"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4329151"/>
      <w:r w:rsidRPr="00565106">
        <w:rPr>
          <w:rFonts w:ascii="Simplified Arabic" w:hAnsi="Simplified Arabic" w:cs="Simplified Arabic" w:hint="cs"/>
          <w:b/>
          <w:bCs/>
          <w:color w:val="000000" w:themeColor="text1"/>
          <w:sz w:val="32"/>
          <w:szCs w:val="32"/>
          <w:rtl/>
        </w:rPr>
        <w:t>4.1.2</w:t>
      </w:r>
      <w:r w:rsidR="002D7B70" w:rsidRPr="00565106">
        <w:rPr>
          <w:rFonts w:ascii="Simplified Arabic" w:hAnsi="Simplified Arabic" w:cs="Simplified Arabic"/>
          <w:b/>
          <w:bCs/>
          <w:color w:val="000000" w:themeColor="text1"/>
          <w:sz w:val="32"/>
          <w:szCs w:val="32"/>
          <w:rtl/>
        </w:rPr>
        <w:t xml:space="preserve"> أهداف الدعم المالي للطلاب</w:t>
      </w:r>
      <w:bookmarkEnd w:id="21"/>
    </w:p>
    <w:p w14:paraId="3F55061C"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يسعى الدعم المالي المقدَّم للطلاب إلى تحقيق جملة من الأهداف المتشعّبة التي تتجاوز الهدف المباشر المتمثل في التخفيف من الأعباء المالية، لتشمل أهدافاً تربوية واجتماعية واقتصادية استراتيجية. وقد تباينت آراء الباحثين في تحديد هذه الأهداف بحسب زواياهم النظرية وسياقاتهم التطبيقية</w:t>
      </w:r>
      <w:r w:rsidRPr="00565106">
        <w:rPr>
          <w:rFonts w:ascii="Simplified Arabic" w:hAnsi="Simplified Arabic" w:cs="Simplified Arabic"/>
          <w:color w:val="000000" w:themeColor="text1"/>
          <w:sz w:val="28"/>
          <w:szCs w:val="28"/>
        </w:rPr>
        <w:t>.</w:t>
      </w:r>
    </w:p>
    <w:p w14:paraId="3BD831EB"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فيرى</w:t>
      </w:r>
      <w:r w:rsidRPr="00565106">
        <w:rPr>
          <w:rFonts w:ascii="Simplified Arabic" w:hAnsi="Simplified Arabic" w:cs="Simplified Arabic"/>
          <w:b/>
          <w:bCs/>
          <w:color w:val="000000" w:themeColor="text1"/>
          <w:sz w:val="28"/>
          <w:szCs w:val="28"/>
        </w:rPr>
        <w:t xml:space="preserve"> Montalb</w:t>
      </w:r>
      <w:r w:rsidRPr="00565106">
        <w:rPr>
          <w:rFonts w:ascii="Cambria" w:hAnsi="Cambria" w:cs="Cambria"/>
          <w:b/>
          <w:bCs/>
          <w:color w:val="000000" w:themeColor="text1"/>
          <w:sz w:val="28"/>
          <w:szCs w:val="28"/>
        </w:rPr>
        <w:t>á</w:t>
      </w:r>
      <w:r w:rsidRPr="00565106">
        <w:rPr>
          <w:rFonts w:ascii="Simplified Arabic" w:hAnsi="Simplified Arabic" w:cs="Simplified Arabic"/>
          <w:b/>
          <w:bCs/>
          <w:color w:val="000000" w:themeColor="text1"/>
          <w:sz w:val="28"/>
          <w:szCs w:val="28"/>
        </w:rPr>
        <w:t xml:space="preserve">n (2023) </w:t>
      </w:r>
      <w:r w:rsidRPr="00565106">
        <w:rPr>
          <w:rFonts w:ascii="Simplified Arabic" w:hAnsi="Simplified Arabic" w:cs="Simplified Arabic"/>
          <w:b/>
          <w:bCs/>
          <w:color w:val="000000" w:themeColor="text1"/>
          <w:sz w:val="28"/>
          <w:szCs w:val="28"/>
          <w:rtl/>
        </w:rPr>
        <w:t>أن أبرز أهداف الدعم المالي تتمثل في</w:t>
      </w:r>
      <w:r w:rsidRPr="00565106">
        <w:rPr>
          <w:rFonts w:ascii="Simplified Arabic" w:hAnsi="Simplified Arabic" w:cs="Simplified Arabic"/>
          <w:b/>
          <w:bCs/>
          <w:color w:val="000000" w:themeColor="text1"/>
          <w:sz w:val="28"/>
          <w:szCs w:val="28"/>
        </w:rPr>
        <w:t>:</w:t>
      </w:r>
    </w:p>
    <w:p w14:paraId="6FFFE4BA"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الحدّ من ظاهرة الخطر الأخلاقي</w:t>
      </w:r>
      <w:r w:rsidRPr="00565106">
        <w:rPr>
          <w:rFonts w:ascii="Simplified Arabic" w:hAnsi="Simplified Arabic" w:cs="Simplified Arabic"/>
          <w:color w:val="000000" w:themeColor="text1"/>
          <w:sz w:val="28"/>
          <w:szCs w:val="28"/>
        </w:rPr>
        <w:t xml:space="preserve"> (Moral Hazard) </w:t>
      </w:r>
      <w:r w:rsidRPr="00565106">
        <w:rPr>
          <w:rFonts w:ascii="Simplified Arabic" w:hAnsi="Simplified Arabic" w:cs="Simplified Arabic"/>
          <w:color w:val="000000" w:themeColor="text1"/>
          <w:sz w:val="28"/>
          <w:szCs w:val="28"/>
          <w:rtl/>
        </w:rPr>
        <w:t>المرتبطة بالدعم غير المشروط</w:t>
      </w:r>
      <w:r w:rsidRPr="00565106">
        <w:rPr>
          <w:rFonts w:ascii="Simplified Arabic" w:hAnsi="Simplified Arabic" w:cs="Simplified Arabic"/>
          <w:color w:val="000000" w:themeColor="text1"/>
          <w:sz w:val="28"/>
          <w:szCs w:val="28"/>
        </w:rPr>
        <w:t>.</w:t>
      </w:r>
    </w:p>
    <w:p w14:paraId="46F6A40A"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ربط الدعم بمعايير أداء أكاديمي واضحة تُحفّز الطالب على التميّز</w:t>
      </w:r>
      <w:r w:rsidRPr="00565106">
        <w:rPr>
          <w:rFonts w:ascii="Simplified Arabic" w:hAnsi="Simplified Arabic" w:cs="Simplified Arabic"/>
          <w:color w:val="000000" w:themeColor="text1"/>
          <w:sz w:val="28"/>
          <w:szCs w:val="28"/>
        </w:rPr>
        <w:t>.</w:t>
      </w:r>
    </w:p>
    <w:p w14:paraId="7EFFDFD5"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تحقيق التوازن بين البُعد المساواتي والبُعد التحفيزي في السياسات التعليمية</w:t>
      </w:r>
      <w:r w:rsidRPr="00565106">
        <w:rPr>
          <w:rFonts w:ascii="Simplified Arabic" w:hAnsi="Simplified Arabic" w:cs="Simplified Arabic"/>
          <w:color w:val="000000" w:themeColor="text1"/>
          <w:sz w:val="28"/>
          <w:szCs w:val="28"/>
        </w:rPr>
        <w:t>.</w:t>
      </w:r>
    </w:p>
    <w:p w14:paraId="393AE42B"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ترشيد الإنفاق العام الموجَّه للتعليم العالي</w:t>
      </w:r>
      <w:r w:rsidRPr="00565106">
        <w:rPr>
          <w:rFonts w:ascii="Simplified Arabic" w:hAnsi="Simplified Arabic" w:cs="Simplified Arabic"/>
          <w:color w:val="000000" w:themeColor="text1"/>
          <w:sz w:val="28"/>
          <w:szCs w:val="28"/>
        </w:rPr>
        <w:t>.</w:t>
      </w:r>
    </w:p>
    <w:p w14:paraId="23500DC7"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ويُوضّح</w:t>
      </w:r>
      <w:r w:rsidRPr="00565106">
        <w:rPr>
          <w:rFonts w:ascii="Simplified Arabic" w:hAnsi="Simplified Arabic" w:cs="Simplified Arabic"/>
          <w:b/>
          <w:bCs/>
          <w:color w:val="000000" w:themeColor="text1"/>
          <w:sz w:val="28"/>
          <w:szCs w:val="28"/>
        </w:rPr>
        <w:t xml:space="preserve"> LaSota </w:t>
      </w:r>
      <w:r w:rsidRPr="00565106">
        <w:rPr>
          <w:rFonts w:ascii="Simplified Arabic" w:hAnsi="Simplified Arabic" w:cs="Simplified Arabic"/>
          <w:b/>
          <w:bCs/>
          <w:color w:val="000000" w:themeColor="text1"/>
          <w:sz w:val="28"/>
          <w:szCs w:val="28"/>
          <w:rtl/>
        </w:rPr>
        <w:t>و آخرون (2025) أن الدعم المالي يسعى إلى تحقيق أهداف متسلسلة تشمل</w:t>
      </w:r>
      <w:r w:rsidRPr="00565106">
        <w:rPr>
          <w:rFonts w:ascii="Simplified Arabic" w:hAnsi="Simplified Arabic" w:cs="Simplified Arabic"/>
          <w:b/>
          <w:bCs/>
          <w:color w:val="000000" w:themeColor="text1"/>
          <w:sz w:val="28"/>
          <w:szCs w:val="28"/>
        </w:rPr>
        <w:t>:</w:t>
      </w:r>
    </w:p>
    <w:p w14:paraId="512D620F"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زيادة معدلات الالتحاق بالتعليم العالي بين الفئات المهمَّشة اقتصادياً</w:t>
      </w:r>
      <w:r w:rsidRPr="00565106">
        <w:rPr>
          <w:rFonts w:ascii="Simplified Arabic" w:hAnsi="Simplified Arabic" w:cs="Simplified Arabic"/>
          <w:color w:val="000000" w:themeColor="text1"/>
          <w:sz w:val="28"/>
          <w:szCs w:val="28"/>
        </w:rPr>
        <w:t>.</w:t>
      </w:r>
    </w:p>
    <w:p w14:paraId="5517C053"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تعزيز تراكم الساعات الدراسية بما يقصّر مدة الدراسة</w:t>
      </w:r>
      <w:r w:rsidRPr="00565106">
        <w:rPr>
          <w:rFonts w:ascii="Simplified Arabic" w:hAnsi="Simplified Arabic" w:cs="Simplified Arabic"/>
          <w:color w:val="000000" w:themeColor="text1"/>
          <w:sz w:val="28"/>
          <w:szCs w:val="28"/>
        </w:rPr>
        <w:t>.</w:t>
      </w:r>
    </w:p>
    <w:p w14:paraId="0B3A190E"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دعم الاستمرار من فصل إلى آخر ومن سنة إلى أخرى</w:t>
      </w:r>
      <w:r w:rsidRPr="00565106">
        <w:rPr>
          <w:rFonts w:ascii="Simplified Arabic" w:hAnsi="Simplified Arabic" w:cs="Simplified Arabic"/>
          <w:color w:val="000000" w:themeColor="text1"/>
          <w:sz w:val="28"/>
          <w:szCs w:val="28"/>
        </w:rPr>
        <w:t>.</w:t>
      </w:r>
    </w:p>
    <w:p w14:paraId="4EDFECF3"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رفع نسب إتمام الدراسة والحصول على الشهادات</w:t>
      </w:r>
      <w:r w:rsidRPr="00565106">
        <w:rPr>
          <w:rFonts w:ascii="Simplified Arabic" w:hAnsi="Simplified Arabic" w:cs="Simplified Arabic"/>
          <w:color w:val="000000" w:themeColor="text1"/>
          <w:sz w:val="28"/>
          <w:szCs w:val="28"/>
        </w:rPr>
        <w:t>.</w:t>
      </w:r>
    </w:p>
    <w:p w14:paraId="7F920F53"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تقليص الفجوات المرتبطة بالخلفيات الاجتماعية والاقتصادية</w:t>
      </w:r>
      <w:r w:rsidRPr="00565106">
        <w:rPr>
          <w:rFonts w:ascii="Simplified Arabic" w:hAnsi="Simplified Arabic" w:cs="Simplified Arabic"/>
          <w:color w:val="000000" w:themeColor="text1"/>
          <w:sz w:val="28"/>
          <w:szCs w:val="28"/>
        </w:rPr>
        <w:t>.</w:t>
      </w:r>
    </w:p>
    <w:p w14:paraId="2162D652"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ويُبرز</w:t>
      </w:r>
      <w:r w:rsidRPr="00565106">
        <w:rPr>
          <w:rFonts w:ascii="Simplified Arabic" w:hAnsi="Simplified Arabic" w:cs="Simplified Arabic"/>
          <w:b/>
          <w:bCs/>
          <w:color w:val="000000" w:themeColor="text1"/>
          <w:sz w:val="28"/>
          <w:szCs w:val="28"/>
        </w:rPr>
        <w:t xml:space="preserve"> Moores </w:t>
      </w:r>
      <w:r w:rsidRPr="00565106">
        <w:rPr>
          <w:rFonts w:ascii="Simplified Arabic" w:hAnsi="Simplified Arabic" w:cs="Simplified Arabic"/>
          <w:b/>
          <w:bCs/>
          <w:color w:val="000000" w:themeColor="text1"/>
          <w:sz w:val="28"/>
          <w:szCs w:val="28"/>
          <w:rtl/>
        </w:rPr>
        <w:t>و</w:t>
      </w:r>
      <w:r w:rsidRPr="00565106">
        <w:rPr>
          <w:rFonts w:ascii="Simplified Arabic" w:hAnsi="Simplified Arabic" w:cs="Simplified Arabic"/>
          <w:b/>
          <w:bCs/>
          <w:color w:val="000000" w:themeColor="text1"/>
          <w:sz w:val="28"/>
          <w:szCs w:val="28"/>
        </w:rPr>
        <w:t xml:space="preserve"> Burgess (2023) </w:t>
      </w:r>
      <w:r w:rsidRPr="00565106">
        <w:rPr>
          <w:rFonts w:ascii="Simplified Arabic" w:hAnsi="Simplified Arabic" w:cs="Simplified Arabic"/>
          <w:b/>
          <w:bCs/>
          <w:color w:val="000000" w:themeColor="text1"/>
          <w:sz w:val="28"/>
          <w:szCs w:val="28"/>
          <w:rtl/>
        </w:rPr>
        <w:t>أن الدعم المالي يستهدف بشكل خاص</w:t>
      </w:r>
      <w:r w:rsidRPr="00565106">
        <w:rPr>
          <w:rFonts w:ascii="Simplified Arabic" w:hAnsi="Simplified Arabic" w:cs="Simplified Arabic"/>
          <w:b/>
          <w:bCs/>
          <w:color w:val="000000" w:themeColor="text1"/>
          <w:sz w:val="28"/>
          <w:szCs w:val="28"/>
        </w:rPr>
        <w:t>:</w:t>
      </w:r>
    </w:p>
    <w:p w14:paraId="67C4C24E"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توفير شبكة أمان اقتصادية للطلاب من الأسر ذات الدخل المنخفض</w:t>
      </w:r>
      <w:r w:rsidRPr="00565106">
        <w:rPr>
          <w:rFonts w:ascii="Simplified Arabic" w:hAnsi="Simplified Arabic" w:cs="Simplified Arabic"/>
          <w:color w:val="000000" w:themeColor="text1"/>
          <w:sz w:val="28"/>
          <w:szCs w:val="28"/>
        </w:rPr>
        <w:t>.</w:t>
      </w:r>
    </w:p>
    <w:p w14:paraId="025F2539"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الحدّ من الاضطرار إلى العمل الجزئي المُثقل للطالب</w:t>
      </w:r>
      <w:r w:rsidRPr="00565106">
        <w:rPr>
          <w:rFonts w:ascii="Simplified Arabic" w:hAnsi="Simplified Arabic" w:cs="Simplified Arabic"/>
          <w:color w:val="000000" w:themeColor="text1"/>
          <w:sz w:val="28"/>
          <w:szCs w:val="28"/>
        </w:rPr>
        <w:t>.</w:t>
      </w:r>
    </w:p>
    <w:p w14:paraId="1723AAFD"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تعزيز الشعور بالانتماء المؤسسي لدى الطلاب المستفيدين</w:t>
      </w:r>
      <w:r w:rsidRPr="00565106">
        <w:rPr>
          <w:rFonts w:ascii="Simplified Arabic" w:hAnsi="Simplified Arabic" w:cs="Simplified Arabic"/>
          <w:color w:val="000000" w:themeColor="text1"/>
          <w:sz w:val="28"/>
          <w:szCs w:val="28"/>
        </w:rPr>
        <w:t>.</w:t>
      </w:r>
    </w:p>
    <w:p w14:paraId="4E6376FD"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تحقيق العدالة التفاضلية في توزيع الموارد التعليمية</w:t>
      </w:r>
      <w:r w:rsidRPr="00565106">
        <w:rPr>
          <w:rFonts w:ascii="Simplified Arabic" w:hAnsi="Simplified Arabic" w:cs="Simplified Arabic"/>
          <w:color w:val="000000" w:themeColor="text1"/>
          <w:sz w:val="28"/>
          <w:szCs w:val="28"/>
        </w:rPr>
        <w:t>.</w:t>
      </w:r>
    </w:p>
    <w:p w14:paraId="58D8B8E7"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ويُضيف قادر و آخرون (2023) أهدافاً تنموية أوسع تشمل</w:t>
      </w:r>
      <w:r w:rsidRPr="00565106">
        <w:rPr>
          <w:rFonts w:ascii="Simplified Arabic" w:hAnsi="Simplified Arabic" w:cs="Simplified Arabic"/>
          <w:b/>
          <w:bCs/>
          <w:color w:val="000000" w:themeColor="text1"/>
          <w:sz w:val="28"/>
          <w:szCs w:val="28"/>
        </w:rPr>
        <w:t>:</w:t>
      </w:r>
    </w:p>
    <w:p w14:paraId="0D3A4C77"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تفعيل مشاركة الشباب في النشاط الاقتصادي</w:t>
      </w:r>
      <w:r w:rsidRPr="00565106">
        <w:rPr>
          <w:rFonts w:ascii="Simplified Arabic" w:hAnsi="Simplified Arabic" w:cs="Simplified Arabic"/>
          <w:color w:val="000000" w:themeColor="text1"/>
          <w:sz w:val="28"/>
          <w:szCs w:val="28"/>
        </w:rPr>
        <w:t>.</w:t>
      </w:r>
    </w:p>
    <w:p w14:paraId="10941CD8"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ربط التعليم بمتطلبات سوق العمل</w:t>
      </w:r>
      <w:r w:rsidRPr="00565106">
        <w:rPr>
          <w:rFonts w:ascii="Simplified Arabic" w:hAnsi="Simplified Arabic" w:cs="Simplified Arabic"/>
          <w:color w:val="000000" w:themeColor="text1"/>
          <w:sz w:val="28"/>
          <w:szCs w:val="28"/>
        </w:rPr>
        <w:t>.</w:t>
      </w:r>
    </w:p>
    <w:p w14:paraId="1D233302"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تحفيز الابتكار وريادة الأعمال بين الطلاب</w:t>
      </w:r>
      <w:r w:rsidRPr="00565106">
        <w:rPr>
          <w:rFonts w:ascii="Simplified Arabic" w:hAnsi="Simplified Arabic" w:cs="Simplified Arabic"/>
          <w:color w:val="000000" w:themeColor="text1"/>
          <w:sz w:val="28"/>
          <w:szCs w:val="28"/>
        </w:rPr>
        <w:t>.</w:t>
      </w:r>
    </w:p>
    <w:p w14:paraId="6A689177" w14:textId="77777777" w:rsidR="002D7B70" w:rsidRPr="00565106" w:rsidRDefault="002D7B70" w:rsidP="00FB4535">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الإسهام في تحقيق أهداف التنمية المستدامة</w:t>
      </w:r>
      <w:r w:rsidRPr="00565106">
        <w:rPr>
          <w:rFonts w:ascii="Simplified Arabic" w:hAnsi="Simplified Arabic" w:cs="Simplified Arabic"/>
          <w:color w:val="000000" w:themeColor="text1"/>
          <w:sz w:val="28"/>
          <w:szCs w:val="28"/>
        </w:rPr>
        <w:t>.</w:t>
      </w:r>
    </w:p>
    <w:p w14:paraId="48A175D8"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ويُشير</w:t>
      </w:r>
      <w:r w:rsidRPr="00565106">
        <w:rPr>
          <w:rFonts w:ascii="Simplified Arabic" w:hAnsi="Simplified Arabic" w:cs="Simplified Arabic"/>
          <w:b/>
          <w:bCs/>
          <w:color w:val="000000" w:themeColor="text1"/>
          <w:sz w:val="28"/>
          <w:szCs w:val="28"/>
        </w:rPr>
        <w:t xml:space="preserve"> Chen </w:t>
      </w:r>
      <w:r w:rsidRPr="00565106">
        <w:rPr>
          <w:rFonts w:ascii="Simplified Arabic" w:hAnsi="Simplified Arabic" w:cs="Simplified Arabic"/>
          <w:b/>
          <w:bCs/>
          <w:color w:val="000000" w:themeColor="text1"/>
          <w:sz w:val="28"/>
          <w:szCs w:val="28"/>
          <w:rtl/>
        </w:rPr>
        <w:t>و</w:t>
      </w:r>
      <w:r w:rsidRPr="00565106">
        <w:rPr>
          <w:rFonts w:ascii="Simplified Arabic" w:hAnsi="Simplified Arabic" w:cs="Simplified Arabic"/>
          <w:b/>
          <w:bCs/>
          <w:color w:val="000000" w:themeColor="text1"/>
          <w:sz w:val="28"/>
          <w:szCs w:val="28"/>
        </w:rPr>
        <w:t xml:space="preserve"> Smith (2024) </w:t>
      </w:r>
      <w:r w:rsidRPr="00565106">
        <w:rPr>
          <w:rFonts w:ascii="Simplified Arabic" w:hAnsi="Simplified Arabic" w:cs="Simplified Arabic"/>
          <w:b/>
          <w:bCs/>
          <w:color w:val="000000" w:themeColor="text1"/>
          <w:sz w:val="28"/>
          <w:szCs w:val="28"/>
          <w:rtl/>
        </w:rPr>
        <w:t>إلى أن القروض الفيدرالية تسعى إلى</w:t>
      </w:r>
      <w:r w:rsidRPr="00565106">
        <w:rPr>
          <w:rFonts w:ascii="Simplified Arabic" w:hAnsi="Simplified Arabic" w:cs="Simplified Arabic"/>
          <w:b/>
          <w:bCs/>
          <w:color w:val="000000" w:themeColor="text1"/>
          <w:sz w:val="28"/>
          <w:szCs w:val="28"/>
        </w:rPr>
        <w:t>:</w:t>
      </w:r>
    </w:p>
    <w:p w14:paraId="7532C3B8" w14:textId="77777777" w:rsidR="002D7B70" w:rsidRPr="00565106" w:rsidRDefault="002D7B70" w:rsidP="00FB4535">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توفير سيولة مالية للطلاب دون تحميل الدولة كامل العبء</w:t>
      </w:r>
      <w:r w:rsidRPr="00565106">
        <w:rPr>
          <w:rFonts w:ascii="Simplified Arabic" w:hAnsi="Simplified Arabic" w:cs="Simplified Arabic"/>
          <w:color w:val="000000" w:themeColor="text1"/>
          <w:sz w:val="28"/>
          <w:szCs w:val="28"/>
        </w:rPr>
        <w:t>.</w:t>
      </w:r>
    </w:p>
    <w:p w14:paraId="378B6B65" w14:textId="77777777" w:rsidR="002D7B70" w:rsidRPr="00565106" w:rsidRDefault="002D7B70" w:rsidP="00FB4535">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تقاسم مسؤولية تمويل التعليم بين الدولة والطالب</w:t>
      </w:r>
      <w:r w:rsidRPr="00565106">
        <w:rPr>
          <w:rFonts w:ascii="Simplified Arabic" w:hAnsi="Simplified Arabic" w:cs="Simplified Arabic"/>
          <w:color w:val="000000" w:themeColor="text1"/>
          <w:sz w:val="28"/>
          <w:szCs w:val="28"/>
        </w:rPr>
        <w:t>.</w:t>
      </w:r>
    </w:p>
    <w:p w14:paraId="7AA3DDC6" w14:textId="77777777" w:rsidR="002D7B70" w:rsidRPr="00565106" w:rsidRDefault="002D7B70" w:rsidP="00FB4535">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تعزيز شعور الطالب بالمسؤولية تجاه استثمار موارده التعليمية</w:t>
      </w:r>
      <w:r w:rsidRPr="00565106">
        <w:rPr>
          <w:rFonts w:ascii="Simplified Arabic" w:hAnsi="Simplified Arabic" w:cs="Simplified Arabic"/>
          <w:color w:val="000000" w:themeColor="text1"/>
          <w:sz w:val="28"/>
          <w:szCs w:val="28"/>
        </w:rPr>
        <w:t>.</w:t>
      </w:r>
    </w:p>
    <w:p w14:paraId="7B7FFE32" w14:textId="77777777" w:rsidR="002D7B70" w:rsidRPr="00565106" w:rsidRDefault="002D7B70" w:rsidP="00FB4535">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خلق حافز إضافي لإتمام الدراسة والالتحاق بسوق العمل</w:t>
      </w:r>
      <w:r w:rsidRPr="00565106">
        <w:rPr>
          <w:rFonts w:ascii="Simplified Arabic" w:hAnsi="Simplified Arabic" w:cs="Simplified Arabic"/>
          <w:color w:val="000000" w:themeColor="text1"/>
          <w:sz w:val="28"/>
          <w:szCs w:val="28"/>
        </w:rPr>
        <w:t>.</w:t>
      </w:r>
    </w:p>
    <w:p w14:paraId="7847BB5F" w14:textId="24DECEFB"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4329152"/>
      <w:r w:rsidRPr="00565106">
        <w:rPr>
          <w:rFonts w:ascii="Simplified Arabic" w:hAnsi="Simplified Arabic" w:cs="Simplified Arabic" w:hint="cs"/>
          <w:b/>
          <w:bCs/>
          <w:color w:val="000000" w:themeColor="text1"/>
          <w:sz w:val="32"/>
          <w:szCs w:val="32"/>
          <w:rtl/>
        </w:rPr>
        <w:t>5.1.2</w:t>
      </w:r>
      <w:r w:rsidR="002D7B70" w:rsidRPr="00565106">
        <w:rPr>
          <w:rFonts w:ascii="Simplified Arabic" w:hAnsi="Simplified Arabic" w:cs="Simplified Arabic"/>
          <w:b/>
          <w:bCs/>
          <w:color w:val="000000" w:themeColor="text1"/>
          <w:sz w:val="32"/>
          <w:szCs w:val="32"/>
          <w:rtl/>
        </w:rPr>
        <w:t xml:space="preserve"> أبعاد الدعم المالي للطلاب</w:t>
      </w:r>
      <w:bookmarkEnd w:id="22"/>
    </w:p>
    <w:p w14:paraId="72EC2B69"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تم تحديد أبعاد الدعم المالي للطلاب في هذه الدراسة بناءً على مراجعة معمّقة لعدد من الدراسات السابقة، أبرزها دراسة</w:t>
      </w:r>
      <w:r w:rsidRPr="00565106">
        <w:rPr>
          <w:rFonts w:ascii="Simplified Arabic" w:hAnsi="Simplified Arabic" w:cs="Simplified Arabic"/>
          <w:color w:val="000000" w:themeColor="text1"/>
          <w:sz w:val="28"/>
          <w:szCs w:val="28"/>
        </w:rPr>
        <w:t xml:space="preserve"> Qi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Ma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Ji (2022) </w:t>
      </w:r>
      <w:r w:rsidRPr="00565106">
        <w:rPr>
          <w:rFonts w:ascii="Simplified Arabic" w:hAnsi="Simplified Arabic" w:cs="Simplified Arabic"/>
          <w:color w:val="000000" w:themeColor="text1"/>
          <w:sz w:val="28"/>
          <w:szCs w:val="28"/>
          <w:rtl/>
        </w:rPr>
        <w:t xml:space="preserve">التي قدّمت تصنيفاً شاملاً لأنظمة الدعم المالي المختلطة، </w:t>
      </w:r>
      <w:r w:rsidRPr="00565106">
        <w:rPr>
          <w:rFonts w:ascii="Simplified Arabic" w:hAnsi="Simplified Arabic" w:cs="Simplified Arabic"/>
          <w:color w:val="000000" w:themeColor="text1"/>
          <w:sz w:val="28"/>
          <w:szCs w:val="28"/>
          <w:rtl/>
        </w:rPr>
        <w:lastRenderedPageBreak/>
        <w:t>ودراسة</w:t>
      </w:r>
      <w:r w:rsidRPr="00565106">
        <w:rPr>
          <w:rFonts w:ascii="Simplified Arabic" w:hAnsi="Simplified Arabic" w:cs="Simplified Arabic"/>
          <w:color w:val="000000" w:themeColor="text1"/>
          <w:sz w:val="28"/>
          <w:szCs w:val="28"/>
        </w:rPr>
        <w:t xml:space="preserve"> LaSota </w:t>
      </w:r>
      <w:r w:rsidRPr="00565106">
        <w:rPr>
          <w:rFonts w:ascii="Simplified Arabic" w:hAnsi="Simplified Arabic" w:cs="Simplified Arabic"/>
          <w:color w:val="000000" w:themeColor="text1"/>
          <w:sz w:val="28"/>
          <w:szCs w:val="28"/>
          <w:rtl/>
        </w:rPr>
        <w:t>و آخرون (2025) التي فكّكت الدعم إلى منح وقروض وإعانات، ودراسة</w:t>
      </w:r>
      <w:r w:rsidRPr="00565106">
        <w:rPr>
          <w:rFonts w:ascii="Simplified Arabic" w:hAnsi="Simplified Arabic" w:cs="Simplified Arabic"/>
          <w:color w:val="000000" w:themeColor="text1"/>
          <w:sz w:val="28"/>
          <w:szCs w:val="28"/>
        </w:rPr>
        <w:t xml:space="preserve"> Moores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Burgess (2023) </w:t>
      </w:r>
      <w:r w:rsidRPr="00565106">
        <w:rPr>
          <w:rFonts w:ascii="Simplified Arabic" w:hAnsi="Simplified Arabic" w:cs="Simplified Arabic"/>
          <w:color w:val="000000" w:themeColor="text1"/>
          <w:sz w:val="28"/>
          <w:szCs w:val="28"/>
          <w:rtl/>
        </w:rPr>
        <w:t>التي ركّزت على المنح الدراسية والمكافآت المرتبطة بالدخل، ودراسة</w:t>
      </w:r>
      <w:r w:rsidRPr="00565106">
        <w:rPr>
          <w:rFonts w:ascii="Simplified Arabic" w:hAnsi="Simplified Arabic" w:cs="Simplified Arabic"/>
          <w:color w:val="000000" w:themeColor="text1"/>
          <w:sz w:val="28"/>
          <w:szCs w:val="28"/>
        </w:rPr>
        <w:t xml:space="preserve"> Chen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Smith (2024) </w:t>
      </w:r>
      <w:r w:rsidRPr="00565106">
        <w:rPr>
          <w:rFonts w:ascii="Simplified Arabic" w:hAnsi="Simplified Arabic" w:cs="Simplified Arabic"/>
          <w:color w:val="000000" w:themeColor="text1"/>
          <w:sz w:val="28"/>
          <w:szCs w:val="28"/>
          <w:rtl/>
        </w:rPr>
        <w:t>التي تناولت القروض بمستوياتها المختلفة. وبناءً على هذه الأدبيات، تم تحديد أربعة أبعاد رئيسة للدعم المالي بما يتناسب مع السياق السعودي، وفيما يلي شرح لكلٍّ منها</w:t>
      </w:r>
      <w:r w:rsidRPr="00565106">
        <w:rPr>
          <w:rFonts w:ascii="Simplified Arabic" w:hAnsi="Simplified Arabic" w:cs="Simplified Arabic"/>
          <w:color w:val="000000" w:themeColor="text1"/>
          <w:sz w:val="28"/>
          <w:szCs w:val="28"/>
        </w:rPr>
        <w:t>:</w:t>
      </w:r>
    </w:p>
    <w:p w14:paraId="694A5DBE"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البُعد الأول: المنح الدراسية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تُعدّ المنح الدراسية أحد أعرق أشكال الدعم المالي وأكثرها انتشاراً في أنظمة التعليم العالي حول العالم، وتتميّز بكونها مبالغ مالية غير مسترجعة تُقدَّم للطالب دون التزامات مالية مستقبلية. وقد اكتسبت هذه المنح أهمية بالغة في الأدبيات الحديثة، إذ تعمل بوصفها أداةً مباشرة لتخفيف الأعباء الاقتصادية وتحقيق العدالة التعليمية. وتتنوّع المنح بحسب معايير الاستحقاق إلى منح قائمة على الحاجة، ومنح قائمة على الاستحقاق الأكاديمي، ومنح مختلطة تجمع بين المعيارين، كما تتنوّع بحسب مصادرها إلى منح حكومية ومنح مؤسسية ومنح خاصة</w:t>
      </w:r>
      <w:r w:rsidRPr="00565106">
        <w:rPr>
          <w:rFonts w:ascii="Simplified Arabic" w:hAnsi="Simplified Arabic" w:cs="Simplified Arabic"/>
          <w:color w:val="000000" w:themeColor="text1"/>
          <w:sz w:val="28"/>
          <w:szCs w:val="28"/>
        </w:rPr>
        <w:t xml:space="preserve"> (LaSota et al., 2022).</w:t>
      </w:r>
    </w:p>
    <w:p w14:paraId="64FB32F0"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البُعد الثاني: القروض الميسّرة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تمثّل القروض الميسّرة شكلاً من أشكال الدعم يقوم على مبدأ تقاسم المسؤولية بين الدولة والطالب في تمويل التعليم، إذ تُقدَّم للطالب بشروط تفضيلية تشمل انخفاض معدلات الفائدة أو انعدامها، وتأجيل السداد إلى ما بعد التخرج والالتحاق بسوق العمل. وتُثير القروض جدلاً واسعاً في الأدبيات، بين من يراها آلية فعّالة لتوسيع فرص التعليم دون إثقال كاهل الدولة، وبين من يُحذّر من أثرها السلبي حين تتراكم على الطالب وتصبح عبئاً يُهدّد استقراره المالي بعد التخرج</w:t>
      </w:r>
      <w:r w:rsidRPr="00565106">
        <w:rPr>
          <w:rFonts w:ascii="Simplified Arabic" w:hAnsi="Simplified Arabic" w:cs="Simplified Arabic"/>
          <w:color w:val="000000" w:themeColor="text1"/>
          <w:sz w:val="28"/>
          <w:szCs w:val="28"/>
        </w:rPr>
        <w:t xml:space="preserve"> (Chen &amp; Smith, 2024).</w:t>
      </w:r>
    </w:p>
    <w:p w14:paraId="13DE1721"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البُعد الثالث: المكافآت الشهرية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تُعدّ المكافآت الشهرية من أبرز أشكال الدعم المالي المعمول بها في الجامعات السعودية والعربية بوجه عام، وتقوم على صرف مبلغ مالي دوري للطالب طوال فترة دراسته، بهدف الإسهام في تغطية نفقاته المعيشية اليومية. وتتميّز المكافآت الشهرية بأنها تُوفّر تدفقاً نقدياً منتظماً يُتيح للطالب التخطيط لنفقاته بصورة أفضل، كما تُسهم في تعزيز شعوره بالاستقرار المالي والانتماء المؤسسي (قادر و آخرون، 2023)</w:t>
      </w:r>
      <w:r w:rsidRPr="00565106">
        <w:rPr>
          <w:rFonts w:ascii="Simplified Arabic" w:hAnsi="Simplified Arabic" w:cs="Simplified Arabic"/>
          <w:color w:val="000000" w:themeColor="text1"/>
          <w:sz w:val="28"/>
          <w:szCs w:val="28"/>
        </w:rPr>
        <w:t>.</w:t>
      </w:r>
    </w:p>
    <w:p w14:paraId="4A29FCB8"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البُعد الرابع: الإعفاءات من الرسوم</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 xml:space="preserve">تُشكّل الإعفاءات من الرسوم شكلاً غير مباشر من أشكال الدعم المالي، إذ لا تُقدَّم للطالب مبالغ نقدية، بل تُعفى فئات معيّنة منهم من دفع كل الرسوم الدراسية أو بعضها بناءً على معايير محدّدة. وتُعدّ الإعفاءات من الأدوات المفضّلة لدى الجامعات الخاصة والأهلية لاستقطاب </w:t>
      </w:r>
      <w:r w:rsidRPr="00565106">
        <w:rPr>
          <w:rFonts w:ascii="Simplified Arabic" w:hAnsi="Simplified Arabic" w:cs="Simplified Arabic"/>
          <w:color w:val="000000" w:themeColor="text1"/>
          <w:sz w:val="28"/>
          <w:szCs w:val="28"/>
          <w:rtl/>
        </w:rPr>
        <w:lastRenderedPageBreak/>
        <w:t>الطلاب المتفوّقين أو ذوي الاحتياج، وتتميّز بأنها أقل تكلفة إدارية مقارنة بأشكال الدعم النقدي المباشر</w:t>
      </w:r>
      <w:r w:rsidRPr="00565106">
        <w:rPr>
          <w:rFonts w:ascii="Simplified Arabic" w:hAnsi="Simplified Arabic" w:cs="Simplified Arabic"/>
          <w:color w:val="000000" w:themeColor="text1"/>
          <w:sz w:val="28"/>
          <w:szCs w:val="28"/>
        </w:rPr>
        <w:t xml:space="preserve"> (Moores &amp; Burgess, 2023).</w:t>
      </w:r>
    </w:p>
    <w:p w14:paraId="352F16C6" w14:textId="499E4828"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4329153"/>
      <w:r w:rsidRPr="00565106">
        <w:rPr>
          <w:rFonts w:ascii="Simplified Arabic" w:hAnsi="Simplified Arabic" w:cs="Simplified Arabic" w:hint="cs"/>
          <w:b/>
          <w:bCs/>
          <w:color w:val="000000" w:themeColor="text1"/>
          <w:sz w:val="32"/>
          <w:szCs w:val="32"/>
          <w:rtl/>
        </w:rPr>
        <w:t>6.1.2</w:t>
      </w:r>
      <w:r w:rsidR="002D7B70" w:rsidRPr="00565106">
        <w:rPr>
          <w:rFonts w:ascii="Simplified Arabic" w:hAnsi="Simplified Arabic" w:cs="Simplified Arabic"/>
          <w:b/>
          <w:bCs/>
          <w:color w:val="000000" w:themeColor="text1"/>
          <w:sz w:val="32"/>
          <w:szCs w:val="32"/>
          <w:rtl/>
        </w:rPr>
        <w:t xml:space="preserve"> استراتيجيات الدعم المالي للطلاب</w:t>
      </w:r>
      <w:bookmarkEnd w:id="23"/>
    </w:p>
    <w:p w14:paraId="6A898BC9"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تعتمد الجامعات والحكومات جملة من الاستراتيجيات لتصميم برامج الدعم المالي وتنفيذها بصورة فاعلة، وتتباين هذه الاستراتيجيات بحسب فلسفة النظام التعليمي وأولوياته. ومن أبرز الاستراتيجيات المعتمدة استراتيجية الدعم القائم على الحاجة</w:t>
      </w:r>
      <w:r w:rsidRPr="00565106">
        <w:rPr>
          <w:rFonts w:ascii="Simplified Arabic" w:hAnsi="Simplified Arabic" w:cs="Simplified Arabic"/>
          <w:color w:val="000000" w:themeColor="text1"/>
          <w:sz w:val="28"/>
          <w:szCs w:val="28"/>
        </w:rPr>
        <w:t xml:space="preserve"> (Need-Based Strategy) </w:t>
      </w:r>
      <w:r w:rsidRPr="00565106">
        <w:rPr>
          <w:rFonts w:ascii="Simplified Arabic" w:hAnsi="Simplified Arabic" w:cs="Simplified Arabic"/>
          <w:color w:val="000000" w:themeColor="text1"/>
          <w:sz w:val="28"/>
          <w:szCs w:val="28"/>
          <w:rtl/>
        </w:rPr>
        <w:t>التي تُوجّه الموارد إلى الطلاب من الأسر منخفضة الدخل بوصفهم الفئة الأشد احتياجاً، واستراتيجية الدعم القائم على الاستحقاق الأكاديمي</w:t>
      </w:r>
      <w:r w:rsidRPr="00565106">
        <w:rPr>
          <w:rFonts w:ascii="Simplified Arabic" w:hAnsi="Simplified Arabic" w:cs="Simplified Arabic"/>
          <w:color w:val="000000" w:themeColor="text1"/>
          <w:sz w:val="28"/>
          <w:szCs w:val="28"/>
        </w:rPr>
        <w:t xml:space="preserve"> (Merit-Based Strategy) </w:t>
      </w:r>
      <w:r w:rsidRPr="00565106">
        <w:rPr>
          <w:rFonts w:ascii="Simplified Arabic" w:hAnsi="Simplified Arabic" w:cs="Simplified Arabic"/>
          <w:color w:val="000000" w:themeColor="text1"/>
          <w:sz w:val="28"/>
          <w:szCs w:val="28"/>
          <w:rtl/>
        </w:rPr>
        <w:t>التي تربط الدعم بمستوى التميّز الأكاديمي بغية تحفيز الطلاب على الأداء العالي، والاستراتيجية المختلطة التي تجمع بين المعيارين لضمان تحقيق العدالة والتحفيز معاً</w:t>
      </w:r>
      <w:r w:rsidRPr="00565106">
        <w:rPr>
          <w:rFonts w:ascii="Simplified Arabic" w:hAnsi="Simplified Arabic" w:cs="Simplified Arabic"/>
          <w:color w:val="000000" w:themeColor="text1"/>
          <w:sz w:val="28"/>
          <w:szCs w:val="28"/>
        </w:rPr>
        <w:t xml:space="preserve"> (Montalb</w:t>
      </w:r>
      <w:r w:rsidRPr="00565106">
        <w:rPr>
          <w:rFonts w:ascii="Cambria" w:hAnsi="Cambria" w:cs="Cambria"/>
          <w:color w:val="000000" w:themeColor="text1"/>
          <w:sz w:val="28"/>
          <w:szCs w:val="28"/>
        </w:rPr>
        <w:t>á</w:t>
      </w:r>
      <w:r w:rsidRPr="00565106">
        <w:rPr>
          <w:rFonts w:ascii="Simplified Arabic" w:hAnsi="Simplified Arabic" w:cs="Simplified Arabic"/>
          <w:color w:val="000000" w:themeColor="text1"/>
          <w:sz w:val="28"/>
          <w:szCs w:val="28"/>
        </w:rPr>
        <w:t>n, 2023).</w:t>
      </w:r>
    </w:p>
    <w:p w14:paraId="39C48067"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ومن الاستراتيجيات الحديثة استراتيجية الدعم المقرون بالخدمات المساندة، التي تنطلق من رؤية شمولية ترى أن الدعم المالي وحده لا يكفي، بل ينبغي أن يُقرَن بخدمات إرشادية وأكاديمية ونفسية تُعظّم أثره على مسار الطالب. وقد كسبت هذه الاستراتيجية قبولاً واسعاً في الأدبيات الحديثة بوصفها أكثر الاستراتيجيات فاعلية في تحقيق مخرجات إيجابية مستدامة</w:t>
      </w:r>
      <w:r w:rsidRPr="00565106">
        <w:rPr>
          <w:rFonts w:ascii="Simplified Arabic" w:hAnsi="Simplified Arabic" w:cs="Simplified Arabic"/>
          <w:color w:val="000000" w:themeColor="text1"/>
          <w:sz w:val="28"/>
          <w:szCs w:val="28"/>
        </w:rPr>
        <w:t xml:space="preserve"> (Canaan, Deeb, &amp; Mouganie, 2022).</w:t>
      </w:r>
    </w:p>
    <w:p w14:paraId="427EB5DA"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كما تبرز استراتيجية الدعم التفاضلي التي تنطلق من إدراك أن الطلاب لا يتساوون في حاجاتهم، وأن الدعم الأكثر فاعلية هو الذي يُوزَّع بصورة تفاضلية بحسب خصائص الفئات المستهدَفة ومستوى احتياجها الفعلي، بحيث تحصل الفئات الأشد حرماناً على قدر أكبر من الدعم، وهي استراتيجية تنسجم مع مبدأ العدالة التوزيعية في السياسات التعليمية</w:t>
      </w:r>
      <w:r w:rsidRPr="00565106">
        <w:rPr>
          <w:rFonts w:ascii="Simplified Arabic" w:hAnsi="Simplified Arabic" w:cs="Simplified Arabic"/>
          <w:color w:val="000000" w:themeColor="text1"/>
          <w:sz w:val="28"/>
          <w:szCs w:val="28"/>
        </w:rPr>
        <w:t xml:space="preserve"> (Moores &amp; Burgess, 2023).</w:t>
      </w:r>
    </w:p>
    <w:p w14:paraId="12133C2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وتُضاف إلى ما سبق استراتيجية الدعم المشروط بالأداء التي تربط استمرار حصول الطالب على الدعم بتحقيقه لمعايير أكاديمية محدّدة كالحدّ الأدنى من المعدل التراكمي أو من الساعات المكتسبة، بهدف الحدّ من ظاهرة الخطر الأخلاقي التي قد تنشأ عن الدعم غير المشروط، وتحفيز الطلاب على الجدّية في دراستهم</w:t>
      </w:r>
      <w:r w:rsidRPr="00565106">
        <w:rPr>
          <w:rFonts w:ascii="Simplified Arabic" w:hAnsi="Simplified Arabic" w:cs="Simplified Arabic"/>
          <w:color w:val="000000" w:themeColor="text1"/>
          <w:sz w:val="28"/>
          <w:szCs w:val="28"/>
        </w:rPr>
        <w:t xml:space="preserve"> (Montalb</w:t>
      </w:r>
      <w:r w:rsidRPr="00565106">
        <w:rPr>
          <w:rFonts w:ascii="Cambria" w:hAnsi="Cambria" w:cs="Cambria"/>
          <w:color w:val="000000" w:themeColor="text1"/>
          <w:sz w:val="28"/>
          <w:szCs w:val="28"/>
        </w:rPr>
        <w:t>á</w:t>
      </w:r>
      <w:r w:rsidRPr="00565106">
        <w:rPr>
          <w:rFonts w:ascii="Simplified Arabic" w:hAnsi="Simplified Arabic" w:cs="Simplified Arabic"/>
          <w:color w:val="000000" w:themeColor="text1"/>
          <w:sz w:val="28"/>
          <w:szCs w:val="28"/>
        </w:rPr>
        <w:t>n, 2023).</w:t>
      </w:r>
    </w:p>
    <w:p w14:paraId="06F72A04" w14:textId="3101B08B"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4329154"/>
      <w:r w:rsidRPr="00565106">
        <w:rPr>
          <w:rFonts w:ascii="Simplified Arabic" w:hAnsi="Simplified Arabic" w:cs="Simplified Arabic" w:hint="cs"/>
          <w:b/>
          <w:bCs/>
          <w:color w:val="000000" w:themeColor="text1"/>
          <w:sz w:val="32"/>
          <w:szCs w:val="32"/>
          <w:rtl/>
        </w:rPr>
        <w:t>7.1.2</w:t>
      </w:r>
      <w:r w:rsidR="002D7B70" w:rsidRPr="00565106">
        <w:rPr>
          <w:rFonts w:ascii="Simplified Arabic" w:hAnsi="Simplified Arabic" w:cs="Simplified Arabic"/>
          <w:b/>
          <w:bCs/>
          <w:color w:val="000000" w:themeColor="text1"/>
          <w:sz w:val="32"/>
          <w:szCs w:val="32"/>
          <w:rtl/>
        </w:rPr>
        <w:t xml:space="preserve"> تحديات الدعم المالي للطلاب</w:t>
      </w:r>
      <w:bookmarkEnd w:id="24"/>
    </w:p>
    <w:p w14:paraId="5313955F"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على الرغم من الأهمية البالغة لبرامج الدعم المالي، إلا أنها تواجه في التطبيق جملة من التحديات التي تحدّ من فاعليتها. ومن أبرز هذه التحديات تحدّي محدودية الموارد المالية، إذ يواجه صانعو القرار معضلة الموازنة بين حجم الاحتياجات المتزايدة للطلاب ومحدودية الميزانيات المخصّصة للدعم، مما يستدعي ترشيداً دقيقاً في توجيه الموارد وتحديد الفئات الأولى بها</w:t>
      </w:r>
      <w:r w:rsidRPr="00565106">
        <w:rPr>
          <w:rFonts w:ascii="Simplified Arabic" w:hAnsi="Simplified Arabic" w:cs="Simplified Arabic"/>
          <w:color w:val="000000" w:themeColor="text1"/>
          <w:sz w:val="28"/>
          <w:szCs w:val="28"/>
        </w:rPr>
        <w:t xml:space="preserve"> (Bettinger et al., 2022).</w:t>
      </w:r>
    </w:p>
    <w:p w14:paraId="3156470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ومن التحديات كذلك تحدّي عدالة التوزيع، إذ كثيراً ما تُواجه برامج الدعم انتقادات تتصل بعدم دقة معايير الاستحقاق أو ضعف آليات الوصول إلى الفئات المستهدَفة، مما قد يُفضي إلى استفادة فئات غير مستحقّة على حساب الفئات الأشد احتياجاً. ويُضاف إلى ذلك تحدّي الاستدامة المالية لبرامج الدعم، لا سيّما في ظل التحوّلات الاقتصادية والضغوط على الميزانيات العامة، إذ تُشكّل استدامة هذه البرامج قضية جوهرية يتوقف عليها تحقيق أهدافها في المدى البعيد</w:t>
      </w:r>
      <w:r w:rsidRPr="00565106">
        <w:rPr>
          <w:rFonts w:ascii="Simplified Arabic" w:hAnsi="Simplified Arabic" w:cs="Simplified Arabic"/>
          <w:color w:val="000000" w:themeColor="text1"/>
          <w:sz w:val="28"/>
          <w:szCs w:val="28"/>
        </w:rPr>
        <w:t xml:space="preserve"> (LaSota et al., 2022).</w:t>
      </w:r>
    </w:p>
    <w:p w14:paraId="55EF0E5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كذلك تبرز تحديات مرتبطة بالوعي والمعلومات، إذ يجد كثير من الطلاب – لا سيّما القادمين من خلفيات محرومة – صعوبة في الوصول إلى معلومات كافية عن برامج الدعم المتاحة وشروط الاستفادة منها، مما يُقلّل من فاعلية هذه البرامج في الوصول إلى الفئات المستهدَفة. وتُضاف إلى ذلك تحديات إدارية وتنفيذية تتصل بتعقّد الإجراءات وطول دورة اتخاذ القرار في منح الدعم، وهو ما قد يُثبّط الطلاب عن التقدم للاستفادة من هذه البرامج</w:t>
      </w:r>
      <w:r w:rsidRPr="00565106">
        <w:rPr>
          <w:rFonts w:ascii="Simplified Arabic" w:hAnsi="Simplified Arabic" w:cs="Simplified Arabic"/>
          <w:color w:val="000000" w:themeColor="text1"/>
          <w:sz w:val="28"/>
          <w:szCs w:val="28"/>
        </w:rPr>
        <w:t xml:space="preserve"> (Chen &amp; Smith, 2024).</w:t>
      </w:r>
    </w:p>
    <w:p w14:paraId="098C894C" w14:textId="13CF4F8C" w:rsidR="002D7B70" w:rsidRPr="00565106" w:rsidRDefault="00F4713C" w:rsidP="00F4713C">
      <w:pPr>
        <w:jc w:val="center"/>
        <w:outlineLvl w:val="1"/>
        <w:rPr>
          <w:rFonts w:ascii="Simplified Arabic" w:hAnsi="Simplified Arabic" w:cs="Simplified Arabic"/>
          <w:b/>
          <w:bCs/>
          <w:color w:val="000000" w:themeColor="text1"/>
          <w:sz w:val="36"/>
          <w:szCs w:val="36"/>
        </w:rPr>
      </w:pPr>
      <w:r w:rsidRPr="00565106">
        <w:rPr>
          <w:rFonts w:ascii="Simplified Arabic" w:hAnsi="Simplified Arabic" w:cs="Simplified Arabic"/>
          <w:b/>
          <w:bCs/>
          <w:color w:val="000000" w:themeColor="text1"/>
          <w:sz w:val="36"/>
          <w:szCs w:val="36"/>
          <w:lang w:bidi="ar-EG"/>
        </w:rPr>
        <w:br w:type="page"/>
      </w:r>
      <w:bookmarkStart w:id="25" w:name="_Toc234329155"/>
      <w:r w:rsidR="002D7B70" w:rsidRPr="00565106">
        <w:rPr>
          <w:rFonts w:ascii="Simplified Arabic" w:hAnsi="Simplified Arabic" w:cs="Simplified Arabic"/>
          <w:b/>
          <w:bCs/>
          <w:color w:val="000000" w:themeColor="text1"/>
          <w:sz w:val="36"/>
          <w:szCs w:val="36"/>
          <w:rtl/>
        </w:rPr>
        <w:lastRenderedPageBreak/>
        <w:t>المبحث الثاني: التسرب الجامعي</w:t>
      </w:r>
      <w:bookmarkEnd w:id="25"/>
    </w:p>
    <w:p w14:paraId="6F7BEAC5" w14:textId="7A307D4F"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4329156"/>
      <w:r w:rsidRPr="00565106">
        <w:rPr>
          <w:rFonts w:ascii="Simplified Arabic" w:hAnsi="Simplified Arabic" w:cs="Simplified Arabic" w:hint="cs"/>
          <w:b/>
          <w:bCs/>
          <w:color w:val="000000" w:themeColor="text1"/>
          <w:sz w:val="32"/>
          <w:szCs w:val="32"/>
          <w:rtl/>
        </w:rPr>
        <w:t xml:space="preserve">1.2.2 </w:t>
      </w:r>
      <w:r w:rsidR="002D7B70" w:rsidRPr="00565106">
        <w:rPr>
          <w:rFonts w:ascii="Simplified Arabic" w:hAnsi="Simplified Arabic" w:cs="Simplified Arabic"/>
          <w:b/>
          <w:bCs/>
          <w:color w:val="000000" w:themeColor="text1"/>
          <w:sz w:val="32"/>
          <w:szCs w:val="32"/>
          <w:rtl/>
        </w:rPr>
        <w:t>تمهيد</w:t>
      </w:r>
      <w:bookmarkEnd w:id="26"/>
    </w:p>
    <w:p w14:paraId="7FEA7050"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يُعدّ التسرب الجامعي من الظواهر التربوية التي استقطبت اهتماماً واسعاً في الأدبيات المعاصرة، بوصفه ظاهرة معقّدة متعددة الأبعاد تتقاطع فيها عوامل شخصية وأكاديمية واجتماعية واقتصادية ومؤسسية، وتتوزّع آثارها بين الطالب وأسرته والمؤسسة التعليمية والمجتمع والدولة على حدٍّ سواء. ولم تعد هذه الظاهرة قاصرة على البيئات التعليمية النامية أو الأنظمة الهشة، بل باتت تُشكّل هاجساً حقيقياً حتى في أعرق الجامعات وأكثرها استقراراً، مما يعكس حجم التحدّي الذي تفرضه على أنظمة التعليم العالي في مختلف السياقات</w:t>
      </w:r>
      <w:r w:rsidRPr="00565106">
        <w:rPr>
          <w:rFonts w:ascii="Simplified Arabic" w:hAnsi="Simplified Arabic" w:cs="Simplified Arabic"/>
          <w:color w:val="000000" w:themeColor="text1"/>
          <w:sz w:val="28"/>
          <w:szCs w:val="28"/>
        </w:rPr>
        <w:t xml:space="preserve"> (Aina, Baici, Casalone, &amp; Pastore, 2022).</w:t>
      </w:r>
    </w:p>
    <w:p w14:paraId="5FE3AADE"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وقد شهد الاهتمام بدراسة التسرب الجامعي تطوراً ملحوظاً في العقدين الأخيرين، انتقل بمعالجته من الرصد الوصفي البسيط إلى بناء نماذج نظرية مركّبة تُفسّر الظاهرة بوصفها عملية تراكمية متدرّجة، تبدأ بشعور الطالب بعدم الملاءمة وتنتهي بقرار الانقطاع، مروراً بمراحل من التفكير في الانسحاب والبحث عن بدائل والمداولة. كما تعدّدت المداخل النظرية المُوظَّفة في تحليل الظاهرة، من مدخل الاندماج الاجتماعي والأكاديمي، إلى مدخل رأس المال البشري، إلى مدخل صنع القرار السلوكي، إلى المدخل الاقتصادي القائم على تحليل التكلفة والعائد</w:t>
      </w:r>
      <w:r w:rsidRPr="00565106">
        <w:rPr>
          <w:rFonts w:ascii="Simplified Arabic" w:hAnsi="Simplified Arabic" w:cs="Simplified Arabic"/>
          <w:color w:val="000000" w:themeColor="text1"/>
          <w:sz w:val="28"/>
          <w:szCs w:val="28"/>
        </w:rPr>
        <w:t xml:space="preserve"> (B</w:t>
      </w:r>
      <w:r w:rsidRPr="00565106">
        <w:rPr>
          <w:rFonts w:ascii="Cambria" w:hAnsi="Cambria" w:cs="Cambria"/>
          <w:color w:val="000000" w:themeColor="text1"/>
          <w:sz w:val="28"/>
          <w:szCs w:val="28"/>
        </w:rPr>
        <w:t>ä</w:t>
      </w:r>
      <w:r w:rsidRPr="00565106">
        <w:rPr>
          <w:rFonts w:ascii="Simplified Arabic" w:hAnsi="Simplified Arabic" w:cs="Simplified Arabic"/>
          <w:color w:val="000000" w:themeColor="text1"/>
          <w:sz w:val="28"/>
          <w:szCs w:val="28"/>
        </w:rPr>
        <w:t xml:space="preserve">ulke, Grunschel, &amp; Dresel, 2022). </w:t>
      </w:r>
      <w:r w:rsidRPr="00565106">
        <w:rPr>
          <w:rFonts w:ascii="Simplified Arabic" w:hAnsi="Simplified Arabic" w:cs="Simplified Arabic"/>
          <w:color w:val="000000" w:themeColor="text1"/>
          <w:sz w:val="28"/>
          <w:szCs w:val="28"/>
          <w:rtl/>
        </w:rPr>
        <w:t>ويسعى هذا المبحث إلى تقديم معالجة نظرية شاملة لظاهرة التسرب الجامعي من خلال تناول مفهومها، وأهميتها، وأهدافها، وأبعادها، وأنواعها، وأسبابها، وآثارها</w:t>
      </w:r>
      <w:r w:rsidRPr="00565106">
        <w:rPr>
          <w:rFonts w:ascii="Simplified Arabic" w:hAnsi="Simplified Arabic" w:cs="Simplified Arabic"/>
          <w:color w:val="000000" w:themeColor="text1"/>
          <w:sz w:val="28"/>
          <w:szCs w:val="28"/>
        </w:rPr>
        <w:t>.</w:t>
      </w:r>
    </w:p>
    <w:p w14:paraId="3C1EDF97" w14:textId="7D3A19CF"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4329157"/>
      <w:r w:rsidRPr="00565106">
        <w:rPr>
          <w:rFonts w:ascii="Simplified Arabic" w:hAnsi="Simplified Arabic" w:cs="Simplified Arabic" w:hint="cs"/>
          <w:b/>
          <w:bCs/>
          <w:color w:val="000000" w:themeColor="text1"/>
          <w:sz w:val="32"/>
          <w:szCs w:val="32"/>
          <w:rtl/>
        </w:rPr>
        <w:t>2.2.2</w:t>
      </w:r>
      <w:r w:rsidR="002D7B70" w:rsidRPr="00565106">
        <w:rPr>
          <w:rFonts w:ascii="Simplified Arabic" w:hAnsi="Simplified Arabic" w:cs="Simplified Arabic"/>
          <w:b/>
          <w:bCs/>
          <w:color w:val="000000" w:themeColor="text1"/>
          <w:sz w:val="32"/>
          <w:szCs w:val="32"/>
          <w:rtl/>
        </w:rPr>
        <w:t xml:space="preserve"> مفهوم التسرب الجامعي</w:t>
      </w:r>
      <w:bookmarkEnd w:id="27"/>
    </w:p>
    <w:p w14:paraId="07746EA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تباينت التعريفات المقدَّمة للتسرب الجامعي بحسب زاوية النظر التي انطلق منها الباحث، فمنها ما ركّز على البُعد السلوكي، ومنها ما ركّز على البُعد المؤسسي، ومنها ما جمع بين الأبعاد المتعددة في تعريف مركّب</w:t>
      </w:r>
      <w:r w:rsidRPr="00565106">
        <w:rPr>
          <w:rFonts w:ascii="Simplified Arabic" w:hAnsi="Simplified Arabic" w:cs="Simplified Arabic"/>
          <w:color w:val="000000" w:themeColor="text1"/>
          <w:sz w:val="28"/>
          <w:szCs w:val="28"/>
        </w:rPr>
        <w:t>.</w:t>
      </w:r>
    </w:p>
    <w:p w14:paraId="18C52155"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فقد عرّفه</w:t>
      </w:r>
      <w:r w:rsidRPr="00565106">
        <w:rPr>
          <w:rFonts w:ascii="Simplified Arabic" w:hAnsi="Simplified Arabic" w:cs="Simplified Arabic"/>
          <w:color w:val="000000" w:themeColor="text1"/>
          <w:sz w:val="28"/>
          <w:szCs w:val="28"/>
        </w:rPr>
        <w:t xml:space="preserve"> Behr </w:t>
      </w:r>
      <w:r w:rsidRPr="00565106">
        <w:rPr>
          <w:rFonts w:ascii="Simplified Arabic" w:hAnsi="Simplified Arabic" w:cs="Simplified Arabic"/>
          <w:color w:val="000000" w:themeColor="text1"/>
          <w:sz w:val="28"/>
          <w:szCs w:val="28"/>
          <w:rtl/>
        </w:rPr>
        <w:t>و آخرون (2020) بوصفه انقطاع الطالب عن دراسته الجامعية بشكل نهائي دون الحصول على الشهادة التي التحق ببرنامجها، وذلك لأسباب متعددة قد تكون طوعية أو قسرية، وقد تنشأ من داخل الطالب أو من خارجه</w:t>
      </w:r>
      <w:r w:rsidRPr="00565106">
        <w:rPr>
          <w:rFonts w:ascii="Simplified Arabic" w:hAnsi="Simplified Arabic" w:cs="Simplified Arabic"/>
          <w:color w:val="000000" w:themeColor="text1"/>
          <w:sz w:val="28"/>
          <w:szCs w:val="28"/>
        </w:rPr>
        <w:t>.</w:t>
      </w:r>
    </w:p>
    <w:p w14:paraId="5D9C839B"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فيما عرّفه</w:t>
      </w:r>
      <w:r w:rsidRPr="00565106">
        <w:rPr>
          <w:rFonts w:ascii="Simplified Arabic" w:hAnsi="Simplified Arabic" w:cs="Simplified Arabic"/>
          <w:color w:val="000000" w:themeColor="text1"/>
          <w:sz w:val="28"/>
          <w:szCs w:val="28"/>
        </w:rPr>
        <w:t xml:space="preserve"> B</w:t>
      </w:r>
      <w:r w:rsidRPr="00565106">
        <w:rPr>
          <w:rFonts w:ascii="Cambria" w:hAnsi="Cambria" w:cs="Cambria"/>
          <w:color w:val="000000" w:themeColor="text1"/>
          <w:sz w:val="28"/>
          <w:szCs w:val="28"/>
        </w:rPr>
        <w:t>ä</w:t>
      </w:r>
      <w:r w:rsidRPr="00565106">
        <w:rPr>
          <w:rFonts w:ascii="Simplified Arabic" w:hAnsi="Simplified Arabic" w:cs="Simplified Arabic"/>
          <w:color w:val="000000" w:themeColor="text1"/>
          <w:sz w:val="28"/>
          <w:szCs w:val="28"/>
        </w:rPr>
        <w:t xml:space="preserve">ulke </w:t>
      </w:r>
      <w:r w:rsidRPr="00565106">
        <w:rPr>
          <w:rFonts w:ascii="Simplified Arabic" w:hAnsi="Simplified Arabic" w:cs="Simplified Arabic"/>
          <w:color w:val="000000" w:themeColor="text1"/>
          <w:sz w:val="28"/>
          <w:szCs w:val="28"/>
          <w:rtl/>
        </w:rPr>
        <w:t>و آخرون (2022) من زاوية أكثر ديناميكية بوصفه عملية تراكمية متدرّجة لصنع القرار، تمرّ بعدة مراحل متتالية تبدأ من إدراك عدم الملاءمة، ثم التفكير في الانسحاب، ثم البحث عن معلومات وبدائل، ثم المداولة، وصولاً إلى اتخاذ قرار الانقطاع أو تغيير التخصص أو المؤسسة</w:t>
      </w:r>
      <w:r w:rsidRPr="00565106">
        <w:rPr>
          <w:rFonts w:ascii="Simplified Arabic" w:hAnsi="Simplified Arabic" w:cs="Simplified Arabic"/>
          <w:color w:val="000000" w:themeColor="text1"/>
          <w:sz w:val="28"/>
          <w:szCs w:val="28"/>
        </w:rPr>
        <w:t>.</w:t>
      </w:r>
    </w:p>
    <w:p w14:paraId="5871C752"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ومن منظور شمولي، عرّفه</w:t>
      </w:r>
      <w:r w:rsidRPr="00565106">
        <w:rPr>
          <w:rFonts w:ascii="Simplified Arabic" w:hAnsi="Simplified Arabic" w:cs="Simplified Arabic"/>
          <w:color w:val="000000" w:themeColor="text1"/>
          <w:sz w:val="28"/>
          <w:szCs w:val="28"/>
        </w:rPr>
        <w:t xml:space="preserve"> Lorenzo-Quiles </w:t>
      </w:r>
      <w:r w:rsidRPr="00565106">
        <w:rPr>
          <w:rFonts w:ascii="Simplified Arabic" w:hAnsi="Simplified Arabic" w:cs="Simplified Arabic"/>
          <w:color w:val="000000" w:themeColor="text1"/>
          <w:sz w:val="28"/>
          <w:szCs w:val="28"/>
          <w:rtl/>
        </w:rPr>
        <w:t>و آخرون (2023) بوصفه ظاهرة معقّدة تتقاطع فيها خمسة أبعاد رئيسة هي: تكيّف الطالب، وسمات الشخصية، والمستوى الاجتماعي والاقتصادي، والعلاقة بين المعلم والطالب، والعوامل المؤسسية، بحيث لا يمكن ردّ التسرب إلى عامل واحد</w:t>
      </w:r>
      <w:r w:rsidRPr="00565106">
        <w:rPr>
          <w:rFonts w:ascii="Simplified Arabic" w:hAnsi="Simplified Arabic" w:cs="Simplified Arabic"/>
          <w:color w:val="000000" w:themeColor="text1"/>
          <w:sz w:val="28"/>
          <w:szCs w:val="28"/>
        </w:rPr>
        <w:t>.</w:t>
      </w:r>
    </w:p>
    <w:p w14:paraId="1FF871DA"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وقد قدّم</w:t>
      </w:r>
      <w:r w:rsidRPr="00565106">
        <w:rPr>
          <w:rFonts w:ascii="Simplified Arabic" w:hAnsi="Simplified Arabic" w:cs="Simplified Arabic"/>
          <w:color w:val="000000" w:themeColor="text1"/>
          <w:sz w:val="28"/>
          <w:szCs w:val="28"/>
        </w:rPr>
        <w:t xml:space="preserve"> N</w:t>
      </w:r>
      <w:r w:rsidRPr="00565106">
        <w:rPr>
          <w:rFonts w:ascii="Cambria" w:hAnsi="Cambria" w:cs="Cambria"/>
          <w:color w:val="000000" w:themeColor="text1"/>
          <w:sz w:val="28"/>
          <w:szCs w:val="28"/>
        </w:rPr>
        <w:t>úñ</w:t>
      </w:r>
      <w:r w:rsidRPr="00565106">
        <w:rPr>
          <w:rFonts w:ascii="Simplified Arabic" w:hAnsi="Simplified Arabic" w:cs="Simplified Arabic"/>
          <w:color w:val="000000" w:themeColor="text1"/>
          <w:sz w:val="28"/>
          <w:szCs w:val="28"/>
        </w:rPr>
        <w:t xml:space="preserve">ez-Naranjo (2024) </w:t>
      </w:r>
      <w:r w:rsidRPr="00565106">
        <w:rPr>
          <w:rFonts w:ascii="Simplified Arabic" w:hAnsi="Simplified Arabic" w:cs="Simplified Arabic"/>
          <w:color w:val="000000" w:themeColor="text1"/>
          <w:sz w:val="28"/>
          <w:szCs w:val="28"/>
          <w:rtl/>
        </w:rPr>
        <w:t>تعريفاً مؤسسياً وإجرائياً للظاهرة، إذ عرّفها بوصفها التوقف الرسمي عن التسجيل في البرنامج الأكاديمي لمدة تتجاوز حدّاً زمنياً محدّداً، بحيث يُصنَّف الطالب إحصائياً ضمن فئة المتسرّبين وفق معايير مؤسسية معتمدة</w:t>
      </w:r>
      <w:r w:rsidRPr="00565106">
        <w:rPr>
          <w:rFonts w:ascii="Simplified Arabic" w:hAnsi="Simplified Arabic" w:cs="Simplified Arabic"/>
          <w:color w:val="000000" w:themeColor="text1"/>
          <w:sz w:val="28"/>
          <w:szCs w:val="28"/>
        </w:rPr>
        <w:t>.</w:t>
      </w:r>
    </w:p>
    <w:p w14:paraId="1934829A"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ومن زاوية سيكوسلوكية، عرّفه</w:t>
      </w:r>
      <w:r w:rsidRPr="00565106">
        <w:rPr>
          <w:rFonts w:ascii="Simplified Arabic" w:hAnsi="Simplified Arabic" w:cs="Simplified Arabic"/>
          <w:color w:val="000000" w:themeColor="text1"/>
          <w:sz w:val="28"/>
          <w:szCs w:val="28"/>
        </w:rPr>
        <w:t xml:space="preserve"> Mtshweni (2022) </w:t>
      </w:r>
      <w:r w:rsidRPr="00565106">
        <w:rPr>
          <w:rFonts w:ascii="Simplified Arabic" w:hAnsi="Simplified Arabic" w:cs="Simplified Arabic"/>
          <w:color w:val="000000" w:themeColor="text1"/>
          <w:sz w:val="28"/>
          <w:szCs w:val="28"/>
          <w:rtl/>
        </w:rPr>
        <w:t>بوصفه سلوكاً ناتجاً عن تفاعل بين ضعف التكيّف الجامعي بأبعاده الأكاديمية والاجتماعية والانفعالية من جهة، وضغوط الوضع الاجتماعي والاقتصادي من جهة أخرى، بحيث تتشكّل لدى الطالب نيّة التسرب التي قد تتحوّل إلى فعل تسرب حقيقي</w:t>
      </w:r>
      <w:r w:rsidRPr="00565106">
        <w:rPr>
          <w:rFonts w:ascii="Simplified Arabic" w:hAnsi="Simplified Arabic" w:cs="Simplified Arabic"/>
          <w:color w:val="000000" w:themeColor="text1"/>
          <w:sz w:val="28"/>
          <w:szCs w:val="28"/>
        </w:rPr>
        <w:t>.</w:t>
      </w:r>
    </w:p>
    <w:p w14:paraId="0E830F9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ومن منظور أوسع يتجاوز المرحلة الجامعية إلى المرحلة المدرسية بوصفها مرحلة تمهيدية للتسرب الجامعي، عرّفت عصماني (2023) التسرب بأنه ظاهرة اجتماعية تربوية تتمثل في انقطاع المتعلّم عن الدراسة قبل استكمال مرحلته التعليمية لأسباب متشابكة، وهو تعريف يمكن استعارة إطاره الفكري في فهم التسرب الجامعي بوصفه امتداداً منطقياً لظاهرة أعمّ</w:t>
      </w:r>
      <w:r w:rsidRPr="00565106">
        <w:rPr>
          <w:rFonts w:ascii="Simplified Arabic" w:hAnsi="Simplified Arabic" w:cs="Simplified Arabic"/>
          <w:color w:val="000000" w:themeColor="text1"/>
          <w:sz w:val="28"/>
          <w:szCs w:val="28"/>
        </w:rPr>
        <w:t>.</w:t>
      </w:r>
    </w:p>
    <w:p w14:paraId="54F9A57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 xml:space="preserve">ويرى الباحث </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في ضوء ما تقدّم – أن التسرب الجامعي يمكن تعريفه بأنه انقطاع الطالب الجامعي عن مواصلة دراسته قبل استكمال متطلبات الحصول على الدرجة العلمية، سواء أكان هذا الانقطاع طوعياً أم قسرياً، دائماً أم مؤقتاً، من مؤسسة إلى أخرى أم خروجاً كلياً من النظام الجامعي، وذلك نتيجة لتفاعل معقّد بين عوامل شخصية وأكاديمية وأسرية واقتصادية ومؤسسية تجعل من الاستمرار في الدراسة أمراً غير ممكن أو غير مرغوب فيه من وجهة نظر الطالب</w:t>
      </w:r>
      <w:r w:rsidRPr="00565106">
        <w:rPr>
          <w:rFonts w:ascii="Simplified Arabic" w:hAnsi="Simplified Arabic" w:cs="Simplified Arabic"/>
          <w:color w:val="000000" w:themeColor="text1"/>
          <w:sz w:val="28"/>
          <w:szCs w:val="28"/>
        </w:rPr>
        <w:t>.</w:t>
      </w:r>
    </w:p>
    <w:p w14:paraId="084D9402" w14:textId="14C71150"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4329158"/>
      <w:r w:rsidRPr="00565106">
        <w:rPr>
          <w:rFonts w:ascii="Simplified Arabic" w:hAnsi="Simplified Arabic" w:cs="Simplified Arabic" w:hint="cs"/>
          <w:b/>
          <w:bCs/>
          <w:color w:val="000000" w:themeColor="text1"/>
          <w:sz w:val="32"/>
          <w:szCs w:val="32"/>
          <w:rtl/>
        </w:rPr>
        <w:t>3.2.2</w:t>
      </w:r>
      <w:r w:rsidR="002D7B70" w:rsidRPr="00565106">
        <w:rPr>
          <w:rFonts w:ascii="Simplified Arabic" w:hAnsi="Simplified Arabic" w:cs="Simplified Arabic"/>
          <w:b/>
          <w:bCs/>
          <w:color w:val="000000" w:themeColor="text1"/>
          <w:sz w:val="32"/>
          <w:szCs w:val="32"/>
          <w:rtl/>
        </w:rPr>
        <w:t xml:space="preserve"> أهمية دراسة التسرب الجامعي</w:t>
      </w:r>
      <w:bookmarkEnd w:id="28"/>
    </w:p>
    <w:p w14:paraId="2333D909"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تكتسب دراسة ظاهرة التسرب الجامعي أهمية بالغة في الأدبيات التربوية والاقتصادية المعاصرة، لما تنطوي عليه من انعكاسات مباشرة على منظومة التعليم العالي وعلى منظومة التنمية بشكل أشمل. وتنبع هذه الأهمية من كون التسرب يمثّل خسارة مركّبة تتوزّع بين الفرد والأسرة والمؤسسة التعليمية والمجتمع، وأن فهم أسبابه ومحدّداته يُشكّل شرطاً لازماً لصياغة سياسات وقائية فاعلة</w:t>
      </w:r>
      <w:r w:rsidRPr="00565106">
        <w:rPr>
          <w:rFonts w:ascii="Simplified Arabic" w:hAnsi="Simplified Arabic" w:cs="Simplified Arabic"/>
          <w:color w:val="000000" w:themeColor="text1"/>
          <w:sz w:val="28"/>
          <w:szCs w:val="28"/>
        </w:rPr>
        <w:t>.</w:t>
      </w:r>
    </w:p>
    <w:p w14:paraId="1719EC9D"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ويُشير</w:t>
      </w:r>
      <w:r w:rsidRPr="00565106">
        <w:rPr>
          <w:rFonts w:ascii="Simplified Arabic" w:hAnsi="Simplified Arabic" w:cs="Simplified Arabic"/>
          <w:b/>
          <w:bCs/>
          <w:color w:val="000000" w:themeColor="text1"/>
          <w:sz w:val="28"/>
          <w:szCs w:val="28"/>
        </w:rPr>
        <w:t xml:space="preserve"> Behr </w:t>
      </w:r>
      <w:r w:rsidRPr="00565106">
        <w:rPr>
          <w:rFonts w:ascii="Simplified Arabic" w:hAnsi="Simplified Arabic" w:cs="Simplified Arabic"/>
          <w:b/>
          <w:bCs/>
          <w:color w:val="000000" w:themeColor="text1"/>
          <w:sz w:val="28"/>
          <w:szCs w:val="28"/>
          <w:rtl/>
        </w:rPr>
        <w:t>و آخرون (2020) إلى أن أهمية دراسة التسرب الجامعي تتجلّى في عدة جوانب، منها</w:t>
      </w:r>
      <w:r w:rsidRPr="00565106">
        <w:rPr>
          <w:rFonts w:ascii="Simplified Arabic" w:hAnsi="Simplified Arabic" w:cs="Simplified Arabic"/>
          <w:b/>
          <w:bCs/>
          <w:color w:val="000000" w:themeColor="text1"/>
          <w:sz w:val="28"/>
          <w:szCs w:val="28"/>
        </w:rPr>
        <w:t>:</w:t>
      </w:r>
    </w:p>
    <w:p w14:paraId="5896FB4E"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تشخيص حجم الظاهرة ومداها في السياقات التعليمية المختلفة</w:t>
      </w:r>
      <w:r w:rsidRPr="00565106">
        <w:rPr>
          <w:rFonts w:ascii="Simplified Arabic" w:hAnsi="Simplified Arabic" w:cs="Simplified Arabic"/>
          <w:color w:val="000000" w:themeColor="text1"/>
          <w:sz w:val="28"/>
          <w:szCs w:val="28"/>
        </w:rPr>
        <w:t>.</w:t>
      </w:r>
    </w:p>
    <w:p w14:paraId="3333C8FC"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تحديد المحدّدات الرئيسة المفسِّرة لها والعوامل الوسيطة المرتبطة بها</w:t>
      </w:r>
      <w:r w:rsidRPr="00565106">
        <w:rPr>
          <w:rFonts w:ascii="Simplified Arabic" w:hAnsi="Simplified Arabic" w:cs="Simplified Arabic"/>
          <w:color w:val="000000" w:themeColor="text1"/>
          <w:sz w:val="28"/>
          <w:szCs w:val="28"/>
        </w:rPr>
        <w:t>.</w:t>
      </w:r>
    </w:p>
    <w:p w14:paraId="64B249BB"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تقديم قاعدة معرفية علمية تُبنى عليها السياسات التعليمية الوقائية</w:t>
      </w:r>
      <w:r w:rsidRPr="00565106">
        <w:rPr>
          <w:rFonts w:ascii="Simplified Arabic" w:hAnsi="Simplified Arabic" w:cs="Simplified Arabic"/>
          <w:color w:val="000000" w:themeColor="text1"/>
          <w:sz w:val="28"/>
          <w:szCs w:val="28"/>
        </w:rPr>
        <w:t>.</w:t>
      </w:r>
    </w:p>
    <w:p w14:paraId="26C37123"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تطوير النماذج النظرية المفسِّرة للسلوك الأكاديمي للطلاب</w:t>
      </w:r>
      <w:r w:rsidRPr="00565106">
        <w:rPr>
          <w:rFonts w:ascii="Simplified Arabic" w:hAnsi="Simplified Arabic" w:cs="Simplified Arabic"/>
          <w:color w:val="000000" w:themeColor="text1"/>
          <w:sz w:val="28"/>
          <w:szCs w:val="28"/>
        </w:rPr>
        <w:t>.</w:t>
      </w:r>
    </w:p>
    <w:p w14:paraId="32D81C44"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الإسهام في تحسين كفاءة أنظمة التعليم العالي وترشيد إنفاقها</w:t>
      </w:r>
      <w:r w:rsidRPr="00565106">
        <w:rPr>
          <w:rFonts w:ascii="Simplified Arabic" w:hAnsi="Simplified Arabic" w:cs="Simplified Arabic"/>
          <w:color w:val="000000" w:themeColor="text1"/>
          <w:sz w:val="28"/>
          <w:szCs w:val="28"/>
        </w:rPr>
        <w:t>.</w:t>
      </w:r>
    </w:p>
    <w:p w14:paraId="27C11A4C"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ويُوضّح</w:t>
      </w:r>
      <w:r w:rsidRPr="00565106">
        <w:rPr>
          <w:rFonts w:ascii="Simplified Arabic" w:hAnsi="Simplified Arabic" w:cs="Simplified Arabic"/>
          <w:color w:val="000000" w:themeColor="text1"/>
          <w:sz w:val="28"/>
          <w:szCs w:val="28"/>
        </w:rPr>
        <w:t xml:space="preserve"> Aina </w:t>
      </w:r>
      <w:r w:rsidRPr="00565106">
        <w:rPr>
          <w:rFonts w:ascii="Simplified Arabic" w:hAnsi="Simplified Arabic" w:cs="Simplified Arabic"/>
          <w:color w:val="000000" w:themeColor="text1"/>
          <w:sz w:val="28"/>
          <w:szCs w:val="28"/>
          <w:rtl/>
        </w:rPr>
        <w:t>و آخرون (2022) أن أهمية دراسة التسرب تتّسع لتشمل الأبعاد الاقتصادية للظاهرة، إذ تُتيح هذه الدراسات</w:t>
      </w:r>
      <w:r w:rsidRPr="00565106">
        <w:rPr>
          <w:rFonts w:ascii="Simplified Arabic" w:hAnsi="Simplified Arabic" w:cs="Simplified Arabic"/>
          <w:color w:val="000000" w:themeColor="text1"/>
          <w:sz w:val="28"/>
          <w:szCs w:val="28"/>
        </w:rPr>
        <w:t>:</w:t>
      </w:r>
    </w:p>
    <w:p w14:paraId="361A94ED"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قياس الكلفة الاقتصادية للتسرب على المستويين الفردي والمجتمعي</w:t>
      </w:r>
      <w:r w:rsidRPr="00565106">
        <w:rPr>
          <w:rFonts w:ascii="Simplified Arabic" w:hAnsi="Simplified Arabic" w:cs="Simplified Arabic"/>
          <w:color w:val="000000" w:themeColor="text1"/>
          <w:sz w:val="28"/>
          <w:szCs w:val="28"/>
        </w:rPr>
        <w:t>.</w:t>
      </w:r>
    </w:p>
    <w:p w14:paraId="34D00E3B"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تحليل العائد على الاستثمار في التعليم العالي</w:t>
      </w:r>
      <w:r w:rsidRPr="00565106">
        <w:rPr>
          <w:rFonts w:ascii="Simplified Arabic" w:hAnsi="Simplified Arabic" w:cs="Simplified Arabic"/>
          <w:color w:val="000000" w:themeColor="text1"/>
          <w:sz w:val="28"/>
          <w:szCs w:val="28"/>
        </w:rPr>
        <w:t>.</w:t>
      </w:r>
    </w:p>
    <w:p w14:paraId="2CBEC7E0"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الكشف عن آليات إعادة إنتاج عدم المساواة الاقتصادية عبر التعليم</w:t>
      </w:r>
      <w:r w:rsidRPr="00565106">
        <w:rPr>
          <w:rFonts w:ascii="Simplified Arabic" w:hAnsi="Simplified Arabic" w:cs="Simplified Arabic"/>
          <w:color w:val="000000" w:themeColor="text1"/>
          <w:sz w:val="28"/>
          <w:szCs w:val="28"/>
        </w:rPr>
        <w:t>.</w:t>
      </w:r>
    </w:p>
    <w:p w14:paraId="2E069911"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تقييم فاعلية السياسات الاقتصادية الموجَّهة لدعم الطلاب</w:t>
      </w:r>
      <w:r w:rsidRPr="00565106">
        <w:rPr>
          <w:rFonts w:ascii="Simplified Arabic" w:hAnsi="Simplified Arabic" w:cs="Simplified Arabic"/>
          <w:color w:val="000000" w:themeColor="text1"/>
          <w:sz w:val="28"/>
          <w:szCs w:val="28"/>
        </w:rPr>
        <w:t>.</w:t>
      </w:r>
    </w:p>
    <w:p w14:paraId="4E2AFFF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ويرى</w:t>
      </w:r>
      <w:r w:rsidRPr="00565106">
        <w:rPr>
          <w:rFonts w:ascii="Simplified Arabic" w:hAnsi="Simplified Arabic" w:cs="Simplified Arabic"/>
          <w:color w:val="000000" w:themeColor="text1"/>
          <w:sz w:val="28"/>
          <w:szCs w:val="28"/>
        </w:rPr>
        <w:t xml:space="preserve"> Casanova </w:t>
      </w:r>
      <w:r w:rsidRPr="00565106">
        <w:rPr>
          <w:rFonts w:ascii="Simplified Arabic" w:hAnsi="Simplified Arabic" w:cs="Simplified Arabic"/>
          <w:color w:val="000000" w:themeColor="text1"/>
          <w:sz w:val="28"/>
          <w:szCs w:val="28"/>
          <w:rtl/>
        </w:rPr>
        <w:t>و آخرون (2021) أن أهمية دراسة التسرب تظهر بصورة خاصة في التخصصات التي تعاني من ارتفاع نسب التسرب كالتخصصات الهندسية والعلمية، وتتجلّى في</w:t>
      </w:r>
      <w:r w:rsidRPr="00565106">
        <w:rPr>
          <w:rFonts w:ascii="Simplified Arabic" w:hAnsi="Simplified Arabic" w:cs="Simplified Arabic"/>
          <w:color w:val="000000" w:themeColor="text1"/>
          <w:sz w:val="28"/>
          <w:szCs w:val="28"/>
        </w:rPr>
        <w:t>:</w:t>
      </w:r>
    </w:p>
    <w:p w14:paraId="62AA5196"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الكشف عن الدوافع الخاصة بكل تخصص</w:t>
      </w:r>
      <w:r w:rsidRPr="00565106">
        <w:rPr>
          <w:rFonts w:ascii="Simplified Arabic" w:hAnsi="Simplified Arabic" w:cs="Simplified Arabic"/>
          <w:color w:val="000000" w:themeColor="text1"/>
          <w:sz w:val="28"/>
          <w:szCs w:val="28"/>
        </w:rPr>
        <w:t>.</w:t>
      </w:r>
    </w:p>
    <w:p w14:paraId="3B08E3CD"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تحديد المسارات الطلابية المختلفة داخل التخصص الواحد</w:t>
      </w:r>
      <w:r w:rsidRPr="00565106">
        <w:rPr>
          <w:rFonts w:ascii="Simplified Arabic" w:hAnsi="Simplified Arabic" w:cs="Simplified Arabic"/>
          <w:color w:val="000000" w:themeColor="text1"/>
          <w:sz w:val="28"/>
          <w:szCs w:val="28"/>
        </w:rPr>
        <w:t>.</w:t>
      </w:r>
    </w:p>
    <w:p w14:paraId="5F17F00F"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توفير قاعدة معرفية لتطوير برامج التوجيه المهني والأكاديمي</w:t>
      </w:r>
      <w:r w:rsidRPr="00565106">
        <w:rPr>
          <w:rFonts w:ascii="Simplified Arabic" w:hAnsi="Simplified Arabic" w:cs="Simplified Arabic"/>
          <w:color w:val="000000" w:themeColor="text1"/>
          <w:sz w:val="28"/>
          <w:szCs w:val="28"/>
        </w:rPr>
        <w:t>.</w:t>
      </w:r>
    </w:p>
    <w:p w14:paraId="34615F51" w14:textId="77777777" w:rsidR="002D7B70" w:rsidRPr="00565106" w:rsidRDefault="002D7B70" w:rsidP="00FB4535">
      <w:pPr>
        <w:pStyle w:val="ListParagraph"/>
        <w:numPr>
          <w:ilvl w:val="0"/>
          <w:numId w:val="18"/>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المساعدة في تصميم برامج تدخّل مبكر مخصّصة لكل تخصص</w:t>
      </w:r>
      <w:r w:rsidRPr="00565106">
        <w:rPr>
          <w:rFonts w:ascii="Simplified Arabic" w:hAnsi="Simplified Arabic" w:cs="Simplified Arabic"/>
          <w:color w:val="000000" w:themeColor="text1"/>
          <w:sz w:val="28"/>
          <w:szCs w:val="28"/>
        </w:rPr>
        <w:t>.</w:t>
      </w:r>
    </w:p>
    <w:p w14:paraId="16928789" w14:textId="74A01C55"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4329159"/>
      <w:r w:rsidRPr="00565106">
        <w:rPr>
          <w:rFonts w:ascii="Simplified Arabic" w:hAnsi="Simplified Arabic" w:cs="Simplified Arabic" w:hint="cs"/>
          <w:b/>
          <w:bCs/>
          <w:color w:val="000000" w:themeColor="text1"/>
          <w:sz w:val="32"/>
          <w:szCs w:val="32"/>
          <w:rtl/>
        </w:rPr>
        <w:t>4.2.2</w:t>
      </w:r>
      <w:r w:rsidR="002D7B70" w:rsidRPr="00565106">
        <w:rPr>
          <w:rFonts w:ascii="Simplified Arabic" w:hAnsi="Simplified Arabic" w:cs="Simplified Arabic"/>
          <w:b/>
          <w:bCs/>
          <w:color w:val="000000" w:themeColor="text1"/>
          <w:sz w:val="32"/>
          <w:szCs w:val="32"/>
          <w:rtl/>
        </w:rPr>
        <w:t xml:space="preserve"> أهداف دراسة التسرب الجامعي</w:t>
      </w:r>
      <w:bookmarkEnd w:id="29"/>
    </w:p>
    <w:p w14:paraId="0E6655D5"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يسعى الباحثون في مجال التسرب الجامعي إلى تحقيق جملة من الأهداف العلمية والتطبيقية، تتشابك فيما بينها لتُشكّل منظومة متكاملة من غايات البحث في هذه الظاهرة</w:t>
      </w:r>
      <w:r w:rsidRPr="00565106">
        <w:rPr>
          <w:rFonts w:ascii="Simplified Arabic" w:hAnsi="Simplified Arabic" w:cs="Simplified Arabic"/>
          <w:color w:val="000000" w:themeColor="text1"/>
          <w:sz w:val="28"/>
          <w:szCs w:val="28"/>
        </w:rPr>
        <w:t>.</w:t>
      </w:r>
    </w:p>
    <w:p w14:paraId="06F795AA" w14:textId="77777777" w:rsidR="002D7B70" w:rsidRPr="00565106" w:rsidRDefault="002D7B70" w:rsidP="00A6431F">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65106">
        <w:rPr>
          <w:rFonts w:ascii="Simplified Arabic" w:hAnsi="Simplified Arabic" w:cs="Simplified Arabic"/>
          <w:b/>
          <w:bCs/>
          <w:color w:val="000000" w:themeColor="text1"/>
          <w:sz w:val="28"/>
          <w:szCs w:val="28"/>
          <w:rtl/>
        </w:rPr>
        <w:t>ويُلخّص</w:t>
      </w:r>
      <w:r w:rsidRPr="00565106">
        <w:rPr>
          <w:rFonts w:ascii="Simplified Arabic" w:hAnsi="Simplified Arabic" w:cs="Simplified Arabic"/>
          <w:b/>
          <w:bCs/>
          <w:color w:val="000000" w:themeColor="text1"/>
          <w:sz w:val="28"/>
          <w:szCs w:val="28"/>
        </w:rPr>
        <w:t xml:space="preserve"> Alsalem (2023) </w:t>
      </w:r>
      <w:r w:rsidRPr="00565106">
        <w:rPr>
          <w:rFonts w:ascii="Simplified Arabic" w:hAnsi="Simplified Arabic" w:cs="Simplified Arabic"/>
          <w:b/>
          <w:bCs/>
          <w:color w:val="000000" w:themeColor="text1"/>
          <w:sz w:val="28"/>
          <w:szCs w:val="28"/>
          <w:rtl/>
        </w:rPr>
        <w:t>أبرز الأهداف التي تسعى دراسات التسرب إلى تحقيقها في</w:t>
      </w:r>
      <w:r w:rsidRPr="00565106">
        <w:rPr>
          <w:rFonts w:ascii="Simplified Arabic" w:hAnsi="Simplified Arabic" w:cs="Simplified Arabic"/>
          <w:b/>
          <w:bCs/>
          <w:color w:val="000000" w:themeColor="text1"/>
          <w:sz w:val="28"/>
          <w:szCs w:val="28"/>
        </w:rPr>
        <w:t>:</w:t>
      </w:r>
    </w:p>
    <w:p w14:paraId="63354098"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تحديد العوامل المرتبطة بالتسرب في السياقات المحلية</w:t>
      </w:r>
      <w:r w:rsidRPr="00565106">
        <w:rPr>
          <w:rFonts w:ascii="Simplified Arabic" w:hAnsi="Simplified Arabic" w:cs="Simplified Arabic"/>
          <w:color w:val="000000" w:themeColor="text1"/>
          <w:sz w:val="28"/>
          <w:szCs w:val="28"/>
        </w:rPr>
        <w:t>.</w:t>
      </w:r>
    </w:p>
    <w:p w14:paraId="0CFBFD02"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الكشف عن الفروقات في معدلات التسرب بين التخصصات والمؤسسات</w:t>
      </w:r>
      <w:r w:rsidRPr="00565106">
        <w:rPr>
          <w:rFonts w:ascii="Simplified Arabic" w:hAnsi="Simplified Arabic" w:cs="Simplified Arabic"/>
          <w:color w:val="000000" w:themeColor="text1"/>
          <w:sz w:val="28"/>
          <w:szCs w:val="28"/>
        </w:rPr>
        <w:t>.</w:t>
      </w:r>
    </w:p>
    <w:p w14:paraId="3A25FDE2"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تصنيف الطلاب المعرَّضين لخطر التسرب</w:t>
      </w:r>
      <w:r w:rsidRPr="00565106">
        <w:rPr>
          <w:rFonts w:ascii="Simplified Arabic" w:hAnsi="Simplified Arabic" w:cs="Simplified Arabic"/>
          <w:color w:val="000000" w:themeColor="text1"/>
          <w:sz w:val="28"/>
          <w:szCs w:val="28"/>
        </w:rPr>
        <w:t>.</w:t>
      </w:r>
    </w:p>
    <w:p w14:paraId="5E899DDE"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تقديم توصيات مبنية على الأدلة لصانعي السياسات التعليمية</w:t>
      </w:r>
      <w:r w:rsidRPr="00565106">
        <w:rPr>
          <w:rFonts w:ascii="Simplified Arabic" w:hAnsi="Simplified Arabic" w:cs="Simplified Arabic"/>
          <w:color w:val="000000" w:themeColor="text1"/>
          <w:sz w:val="28"/>
          <w:szCs w:val="28"/>
        </w:rPr>
        <w:t>.</w:t>
      </w:r>
    </w:p>
    <w:p w14:paraId="607A348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ويرى</w:t>
      </w:r>
      <w:r w:rsidRPr="00565106">
        <w:rPr>
          <w:rFonts w:ascii="Simplified Arabic" w:hAnsi="Simplified Arabic" w:cs="Simplified Arabic"/>
          <w:color w:val="000000" w:themeColor="text1"/>
          <w:sz w:val="28"/>
          <w:szCs w:val="28"/>
        </w:rPr>
        <w:t xml:space="preserve"> Bernardo </w:t>
      </w:r>
      <w:r w:rsidRPr="00565106">
        <w:rPr>
          <w:rFonts w:ascii="Simplified Arabic" w:hAnsi="Simplified Arabic" w:cs="Simplified Arabic"/>
          <w:color w:val="000000" w:themeColor="text1"/>
          <w:sz w:val="28"/>
          <w:szCs w:val="28"/>
          <w:rtl/>
        </w:rPr>
        <w:t>و آخرون (2022) أن دراسة التسرب في السنة الجامعية الأولى تسعى إلى تحقيق أهداف نوعية، تشمل</w:t>
      </w:r>
      <w:r w:rsidRPr="00565106">
        <w:rPr>
          <w:rFonts w:ascii="Simplified Arabic" w:hAnsi="Simplified Arabic" w:cs="Simplified Arabic"/>
          <w:color w:val="000000" w:themeColor="text1"/>
          <w:sz w:val="28"/>
          <w:szCs w:val="28"/>
        </w:rPr>
        <w:t>:</w:t>
      </w:r>
    </w:p>
    <w:p w14:paraId="4B3DE194"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التمييز بين الأنماط المختلفة للانسحاب من البرامج الأكاديمية</w:t>
      </w:r>
      <w:r w:rsidRPr="00565106">
        <w:rPr>
          <w:rFonts w:ascii="Simplified Arabic" w:hAnsi="Simplified Arabic" w:cs="Simplified Arabic"/>
          <w:color w:val="000000" w:themeColor="text1"/>
          <w:sz w:val="28"/>
          <w:szCs w:val="28"/>
        </w:rPr>
        <w:t>.</w:t>
      </w:r>
    </w:p>
    <w:p w14:paraId="2003CFFF"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الكشف عن العلاقة بين الرضا الأكاديمي والانخراط والتسرب</w:t>
      </w:r>
      <w:r w:rsidRPr="00565106">
        <w:rPr>
          <w:rFonts w:ascii="Simplified Arabic" w:hAnsi="Simplified Arabic" w:cs="Simplified Arabic"/>
          <w:color w:val="000000" w:themeColor="text1"/>
          <w:sz w:val="28"/>
          <w:szCs w:val="28"/>
        </w:rPr>
        <w:t>.</w:t>
      </w:r>
    </w:p>
    <w:p w14:paraId="4D4F2C53"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تحديد نقاط التدخل الأكثر فاعلية في المرحلة الجامعية المبكرة</w:t>
      </w:r>
      <w:r w:rsidRPr="00565106">
        <w:rPr>
          <w:rFonts w:ascii="Simplified Arabic" w:hAnsi="Simplified Arabic" w:cs="Simplified Arabic"/>
          <w:color w:val="000000" w:themeColor="text1"/>
          <w:sz w:val="28"/>
          <w:szCs w:val="28"/>
        </w:rPr>
        <w:t>.</w:t>
      </w:r>
    </w:p>
    <w:p w14:paraId="716438F3"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تطوير أدوات تنبؤية للطلاب المعرَّضين لخطر التسرب</w:t>
      </w:r>
      <w:r w:rsidRPr="00565106">
        <w:rPr>
          <w:rFonts w:ascii="Simplified Arabic" w:hAnsi="Simplified Arabic" w:cs="Simplified Arabic"/>
          <w:color w:val="000000" w:themeColor="text1"/>
          <w:sz w:val="28"/>
          <w:szCs w:val="28"/>
        </w:rPr>
        <w:t>.</w:t>
      </w:r>
    </w:p>
    <w:p w14:paraId="2CE9C97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ويُضيف</w:t>
      </w:r>
      <w:r w:rsidRPr="00565106">
        <w:rPr>
          <w:rFonts w:ascii="Simplified Arabic" w:hAnsi="Simplified Arabic" w:cs="Simplified Arabic"/>
          <w:color w:val="000000" w:themeColor="text1"/>
          <w:sz w:val="28"/>
          <w:szCs w:val="28"/>
        </w:rPr>
        <w:t xml:space="preserve"> Villegas-Ch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Govea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Revelo-Tapia (2023) </w:t>
      </w:r>
      <w:r w:rsidRPr="00565106">
        <w:rPr>
          <w:rFonts w:ascii="Simplified Arabic" w:hAnsi="Simplified Arabic" w:cs="Simplified Arabic"/>
          <w:color w:val="000000" w:themeColor="text1"/>
          <w:sz w:val="28"/>
          <w:szCs w:val="28"/>
          <w:rtl/>
        </w:rPr>
        <w:t>أهدافاً تقنية حديثة، تتصل بتوظيف تقنيات الذكاء الاصطناعي وتعلّم الآلة في دراسة التسرب، تشمل</w:t>
      </w:r>
      <w:r w:rsidRPr="00565106">
        <w:rPr>
          <w:rFonts w:ascii="Simplified Arabic" w:hAnsi="Simplified Arabic" w:cs="Simplified Arabic"/>
          <w:color w:val="000000" w:themeColor="text1"/>
          <w:sz w:val="28"/>
          <w:szCs w:val="28"/>
        </w:rPr>
        <w:t>:</w:t>
      </w:r>
    </w:p>
    <w:p w14:paraId="1FE20E55"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بناء نماذج تنبؤية دقيقة لخطر التسرب</w:t>
      </w:r>
      <w:r w:rsidRPr="00565106">
        <w:rPr>
          <w:rFonts w:ascii="Simplified Arabic" w:hAnsi="Simplified Arabic" w:cs="Simplified Arabic"/>
          <w:color w:val="000000" w:themeColor="text1"/>
          <w:sz w:val="28"/>
          <w:szCs w:val="28"/>
        </w:rPr>
        <w:t>.</w:t>
      </w:r>
    </w:p>
    <w:p w14:paraId="3E4C8648"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تحليل البيانات الطلابية الضخمة للكشف عن الأنماط الخفية</w:t>
      </w:r>
      <w:r w:rsidRPr="00565106">
        <w:rPr>
          <w:rFonts w:ascii="Simplified Arabic" w:hAnsi="Simplified Arabic" w:cs="Simplified Arabic"/>
          <w:color w:val="000000" w:themeColor="text1"/>
          <w:sz w:val="28"/>
          <w:szCs w:val="28"/>
        </w:rPr>
        <w:t>.</w:t>
      </w:r>
    </w:p>
    <w:p w14:paraId="18C842DD"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تصميم أنظمة إنذار مبكر مؤسسية</w:t>
      </w:r>
      <w:r w:rsidRPr="00565106">
        <w:rPr>
          <w:rFonts w:ascii="Simplified Arabic" w:hAnsi="Simplified Arabic" w:cs="Simplified Arabic"/>
          <w:color w:val="000000" w:themeColor="text1"/>
          <w:sz w:val="28"/>
          <w:szCs w:val="28"/>
        </w:rPr>
        <w:t>.</w:t>
      </w:r>
    </w:p>
    <w:p w14:paraId="55B9CF6E" w14:textId="77777777" w:rsidR="002D7B70" w:rsidRPr="00565106" w:rsidRDefault="002D7B70" w:rsidP="00FB4535">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تحسين استدامة مؤسسات التعليم العالي</w:t>
      </w:r>
      <w:r w:rsidRPr="00565106">
        <w:rPr>
          <w:rFonts w:ascii="Simplified Arabic" w:hAnsi="Simplified Arabic" w:cs="Simplified Arabic"/>
          <w:color w:val="000000" w:themeColor="text1"/>
          <w:sz w:val="28"/>
          <w:szCs w:val="28"/>
        </w:rPr>
        <w:t>.</w:t>
      </w:r>
    </w:p>
    <w:p w14:paraId="5457A32C"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ويُشير</w:t>
      </w:r>
      <w:r w:rsidRPr="00565106">
        <w:rPr>
          <w:rFonts w:ascii="Simplified Arabic" w:hAnsi="Simplified Arabic" w:cs="Simplified Arabic"/>
          <w:color w:val="000000" w:themeColor="text1"/>
          <w:sz w:val="28"/>
          <w:szCs w:val="28"/>
        </w:rPr>
        <w:t xml:space="preserve"> Quincho Apumayta </w:t>
      </w:r>
      <w:r w:rsidRPr="00565106">
        <w:rPr>
          <w:rFonts w:ascii="Simplified Arabic" w:hAnsi="Simplified Arabic" w:cs="Simplified Arabic"/>
          <w:color w:val="000000" w:themeColor="text1"/>
          <w:sz w:val="28"/>
          <w:szCs w:val="28"/>
          <w:rtl/>
        </w:rPr>
        <w:t>و آخرون (2024) إلى أن الأهداف المعاصرة لدراسات التسرب تشمل كذلك</w:t>
      </w:r>
      <w:r w:rsidRPr="00565106">
        <w:rPr>
          <w:rFonts w:ascii="Simplified Arabic" w:hAnsi="Simplified Arabic" w:cs="Simplified Arabic"/>
          <w:color w:val="000000" w:themeColor="text1"/>
          <w:sz w:val="28"/>
          <w:szCs w:val="28"/>
        </w:rPr>
        <w:t>:</w:t>
      </w:r>
    </w:p>
    <w:p w14:paraId="411BC49F" w14:textId="77777777" w:rsidR="002D7B70" w:rsidRPr="00565106" w:rsidRDefault="002D7B70" w:rsidP="00FB4535">
      <w:pPr>
        <w:pStyle w:val="ListParagraph"/>
        <w:numPr>
          <w:ilvl w:val="0"/>
          <w:numId w:val="2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المراجعة المنهجية للمحدّدات المتغيّرة عبر الزمن</w:t>
      </w:r>
      <w:r w:rsidRPr="00565106">
        <w:rPr>
          <w:rFonts w:ascii="Simplified Arabic" w:hAnsi="Simplified Arabic" w:cs="Simplified Arabic"/>
          <w:color w:val="000000" w:themeColor="text1"/>
          <w:sz w:val="28"/>
          <w:szCs w:val="28"/>
        </w:rPr>
        <w:t>.</w:t>
      </w:r>
    </w:p>
    <w:p w14:paraId="6152E858" w14:textId="77777777" w:rsidR="002D7B70" w:rsidRPr="00565106" w:rsidRDefault="002D7B70" w:rsidP="00FB4535">
      <w:pPr>
        <w:pStyle w:val="ListParagraph"/>
        <w:numPr>
          <w:ilvl w:val="0"/>
          <w:numId w:val="2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توحيد المفاهيم والمصطلحات المستخدمة في الأدبيات</w:t>
      </w:r>
      <w:r w:rsidRPr="00565106">
        <w:rPr>
          <w:rFonts w:ascii="Simplified Arabic" w:hAnsi="Simplified Arabic" w:cs="Simplified Arabic"/>
          <w:color w:val="000000" w:themeColor="text1"/>
          <w:sz w:val="28"/>
          <w:szCs w:val="28"/>
        </w:rPr>
        <w:t>.</w:t>
      </w:r>
    </w:p>
    <w:p w14:paraId="44A856FA" w14:textId="77777777" w:rsidR="002D7B70" w:rsidRPr="00565106" w:rsidRDefault="002D7B70" w:rsidP="00FB4535">
      <w:pPr>
        <w:pStyle w:val="ListParagraph"/>
        <w:numPr>
          <w:ilvl w:val="0"/>
          <w:numId w:val="2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الكشف عن العوامل الناشئة في مرحلة ما بعد الجائحة</w:t>
      </w:r>
      <w:r w:rsidRPr="00565106">
        <w:rPr>
          <w:rFonts w:ascii="Simplified Arabic" w:hAnsi="Simplified Arabic" w:cs="Simplified Arabic"/>
          <w:color w:val="000000" w:themeColor="text1"/>
          <w:sz w:val="28"/>
          <w:szCs w:val="28"/>
        </w:rPr>
        <w:t>.</w:t>
      </w:r>
    </w:p>
    <w:p w14:paraId="091D9AF4" w14:textId="77777777" w:rsidR="002D7B70" w:rsidRPr="00565106" w:rsidRDefault="002D7B70" w:rsidP="00FB4535">
      <w:pPr>
        <w:pStyle w:val="ListParagraph"/>
        <w:numPr>
          <w:ilvl w:val="0"/>
          <w:numId w:val="20"/>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تقديم إطار مرجعي عالمي لدراسة الظاهرة</w:t>
      </w:r>
      <w:r w:rsidRPr="00565106">
        <w:rPr>
          <w:rFonts w:ascii="Simplified Arabic" w:hAnsi="Simplified Arabic" w:cs="Simplified Arabic"/>
          <w:color w:val="000000" w:themeColor="text1"/>
          <w:sz w:val="28"/>
          <w:szCs w:val="28"/>
        </w:rPr>
        <w:t>.</w:t>
      </w:r>
    </w:p>
    <w:p w14:paraId="4FCE25DB" w14:textId="5E9213C0"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4329160"/>
      <w:r w:rsidRPr="00565106">
        <w:rPr>
          <w:rFonts w:ascii="Simplified Arabic" w:hAnsi="Simplified Arabic" w:cs="Simplified Arabic" w:hint="cs"/>
          <w:b/>
          <w:bCs/>
          <w:color w:val="000000" w:themeColor="text1"/>
          <w:sz w:val="32"/>
          <w:szCs w:val="32"/>
          <w:rtl/>
        </w:rPr>
        <w:t>5.2.2</w:t>
      </w:r>
      <w:r w:rsidR="002D7B70" w:rsidRPr="00565106">
        <w:rPr>
          <w:rFonts w:ascii="Simplified Arabic" w:hAnsi="Simplified Arabic" w:cs="Simplified Arabic"/>
          <w:b/>
          <w:bCs/>
          <w:color w:val="000000" w:themeColor="text1"/>
          <w:sz w:val="32"/>
          <w:szCs w:val="32"/>
          <w:rtl/>
        </w:rPr>
        <w:t xml:space="preserve"> أبعاد التسرب الجامعي وأنواعه</w:t>
      </w:r>
      <w:bookmarkEnd w:id="30"/>
    </w:p>
    <w:p w14:paraId="328F2AA3"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تم تحديد أبعاد التسرب الجامعي وأنواعه في هذه الدراسة بناءً على مراجعة عدد من الدراسات السابقة، أبرزها دراسة</w:t>
      </w:r>
      <w:r w:rsidRPr="00565106">
        <w:rPr>
          <w:rFonts w:ascii="Simplified Arabic" w:hAnsi="Simplified Arabic" w:cs="Simplified Arabic"/>
          <w:color w:val="000000" w:themeColor="text1"/>
          <w:sz w:val="28"/>
          <w:szCs w:val="28"/>
        </w:rPr>
        <w:t xml:space="preserve"> Gutiérrez-de-Rozas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Carpio </w:t>
      </w:r>
      <w:r w:rsidRPr="00565106">
        <w:rPr>
          <w:rFonts w:ascii="Simplified Arabic" w:hAnsi="Simplified Arabic" w:cs="Simplified Arabic"/>
          <w:color w:val="000000" w:themeColor="text1"/>
          <w:sz w:val="28"/>
          <w:szCs w:val="28"/>
          <w:rtl/>
        </w:rPr>
        <w:t>و</w:t>
      </w:r>
      <w:r w:rsidRPr="00565106">
        <w:rPr>
          <w:rFonts w:ascii="Simplified Arabic" w:hAnsi="Simplified Arabic" w:cs="Simplified Arabic"/>
          <w:color w:val="000000" w:themeColor="text1"/>
          <w:sz w:val="28"/>
          <w:szCs w:val="28"/>
        </w:rPr>
        <w:t xml:space="preserve"> Castellanos (2024) </w:t>
      </w:r>
      <w:r w:rsidRPr="00565106">
        <w:rPr>
          <w:rFonts w:ascii="Simplified Arabic" w:hAnsi="Simplified Arabic" w:cs="Simplified Arabic"/>
          <w:color w:val="000000" w:themeColor="text1"/>
          <w:sz w:val="28"/>
          <w:szCs w:val="28"/>
          <w:rtl/>
        </w:rPr>
        <w:t>التي قدّمت مراجعة منهجية للمتنبِّئات الرئيسة للتسرب، ودراسة</w:t>
      </w:r>
      <w:r w:rsidRPr="00565106">
        <w:rPr>
          <w:rFonts w:ascii="Simplified Arabic" w:hAnsi="Simplified Arabic" w:cs="Simplified Arabic"/>
          <w:color w:val="000000" w:themeColor="text1"/>
          <w:sz w:val="28"/>
          <w:szCs w:val="28"/>
        </w:rPr>
        <w:t xml:space="preserve"> B</w:t>
      </w:r>
      <w:r w:rsidRPr="00565106">
        <w:rPr>
          <w:rFonts w:ascii="Cambria" w:hAnsi="Cambria" w:cs="Cambria"/>
          <w:color w:val="000000" w:themeColor="text1"/>
          <w:sz w:val="28"/>
          <w:szCs w:val="28"/>
        </w:rPr>
        <w:t>ä</w:t>
      </w:r>
      <w:r w:rsidRPr="00565106">
        <w:rPr>
          <w:rFonts w:ascii="Simplified Arabic" w:hAnsi="Simplified Arabic" w:cs="Simplified Arabic"/>
          <w:color w:val="000000" w:themeColor="text1"/>
          <w:sz w:val="28"/>
          <w:szCs w:val="28"/>
        </w:rPr>
        <w:t xml:space="preserve">ulke </w:t>
      </w:r>
      <w:r w:rsidRPr="00565106">
        <w:rPr>
          <w:rFonts w:ascii="Simplified Arabic" w:hAnsi="Simplified Arabic" w:cs="Simplified Arabic"/>
          <w:color w:val="000000" w:themeColor="text1"/>
          <w:sz w:val="28"/>
          <w:szCs w:val="28"/>
          <w:rtl/>
        </w:rPr>
        <w:t>و آخرون (2022) التي طرحت المنظور الطوري لعملية التسرب، ودراسة</w:t>
      </w:r>
      <w:r w:rsidRPr="00565106">
        <w:rPr>
          <w:rFonts w:ascii="Simplified Arabic" w:hAnsi="Simplified Arabic" w:cs="Simplified Arabic"/>
          <w:color w:val="000000" w:themeColor="text1"/>
          <w:sz w:val="28"/>
          <w:szCs w:val="28"/>
        </w:rPr>
        <w:t xml:space="preserve"> Bernardo </w:t>
      </w:r>
      <w:r w:rsidRPr="00565106">
        <w:rPr>
          <w:rFonts w:ascii="Simplified Arabic" w:hAnsi="Simplified Arabic" w:cs="Simplified Arabic"/>
          <w:color w:val="000000" w:themeColor="text1"/>
          <w:sz w:val="28"/>
          <w:szCs w:val="28"/>
          <w:rtl/>
        </w:rPr>
        <w:t>و آخرون (2022) التي فرّقت بين أنماط الانسحاب في السنة الأولى. وبناءً على هذه الأدبيات، يمكن تحديد الأبعاد الرئيسة على النحو الآتي</w:t>
      </w:r>
      <w:r w:rsidRPr="00565106">
        <w:rPr>
          <w:rFonts w:ascii="Simplified Arabic" w:hAnsi="Simplified Arabic" w:cs="Simplified Arabic"/>
          <w:color w:val="000000" w:themeColor="text1"/>
          <w:sz w:val="28"/>
          <w:szCs w:val="28"/>
        </w:rPr>
        <w:t>:</w:t>
      </w:r>
    </w:p>
    <w:p w14:paraId="39636E28"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البُعد الأول: البُعد الأكاديمي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يشمل كل ما يتصل بالأداء الأكاديمي للطالب ومسيرته الدراسية، من ضعف التحصيل، وصعوبة المقررات، وعدم الملاءمة بين الطالب والتخصص، وضعف مهارات الدراسة، وضعف التكيّف الأكاديمي. ويُعدّ هذا البُعد من أكثر الأبعاد ارتباطاً بالتسرب في السنوات الجامعية الأولى، إذ يمثّل الفجوة بين متطلبات المرحلة الجامعية وقدرات الطالب المكتسبة من المرحلة الثانوية</w:t>
      </w:r>
      <w:r w:rsidRPr="00565106">
        <w:rPr>
          <w:rFonts w:ascii="Simplified Arabic" w:hAnsi="Simplified Arabic" w:cs="Simplified Arabic"/>
          <w:color w:val="000000" w:themeColor="text1"/>
          <w:sz w:val="28"/>
          <w:szCs w:val="28"/>
        </w:rPr>
        <w:t xml:space="preserve"> (Casanova et al., 2021).</w:t>
      </w:r>
    </w:p>
    <w:p w14:paraId="3685BE30"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البُعد الثاني: البُعد الاجتماعي والنفسي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يتضمّن العوامل المرتبطة بشخصية الطالب واندماجه الاجتماعي، من ضعف الشعور بالانتماء المؤسسي، وضعف العلاقات مع الزملاء وأعضاء هيئة التدريس، والقلق الأكاديمي، وضعف الدافعية، وسمات الشخصية غير الملائمة للحياة الجامعية. ويعمل هذا البُعد بوصفه عاملاً وسيطاً في كثير من نماذج التسرب، إذ يُحوّل الضغوط الأكاديمية والاقتصادية إلى نيّة تسرب فعلية</w:t>
      </w:r>
      <w:r w:rsidRPr="00565106">
        <w:rPr>
          <w:rFonts w:ascii="Simplified Arabic" w:hAnsi="Simplified Arabic" w:cs="Simplified Arabic"/>
          <w:color w:val="000000" w:themeColor="text1"/>
          <w:sz w:val="28"/>
          <w:szCs w:val="28"/>
        </w:rPr>
        <w:t xml:space="preserve"> (Bernardo et al., 2022).</w:t>
      </w:r>
    </w:p>
    <w:p w14:paraId="43DE001E"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البُعد الثالث: البُعد الاقتصادي والأسري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يشمل مستوى الدخل الأسري، ومستوى تعليم الوالدين، والحالة الاجتماعية للطالب، وطبيعة المسؤوليات الأسرية والمهنية، وقدرة الأسرة على تحمّل تكاليف التعليم. ويُعدّ هذا البُعد من أقوى الأبعاد المفسِّرة للتسرب في السياقات التي تعاني من فجوات اجتماعية واقتصادية واسعة</w:t>
      </w:r>
      <w:r w:rsidRPr="00565106">
        <w:rPr>
          <w:rFonts w:ascii="Simplified Arabic" w:hAnsi="Simplified Arabic" w:cs="Simplified Arabic"/>
          <w:color w:val="000000" w:themeColor="text1"/>
          <w:sz w:val="28"/>
          <w:szCs w:val="28"/>
        </w:rPr>
        <w:t xml:space="preserve"> (Aina et al., 2022).</w:t>
      </w:r>
    </w:p>
    <w:p w14:paraId="36B76015"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lastRenderedPageBreak/>
        <w:t>البُعد الرابع: البُعد المؤسسي</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يتضمّن العوامل المرتبطة بالجامعة ذاتها، من جودة التدريس، وتوافر خدمات الإرشاد الأكاديمي والنفسي، وسياسات القبول، والبنية التحتية، وطبيعة المناهج، ومرونة الأنظمة الأكاديمية. ويُشكّل هذا البُعد مساحة التدخّل الرئيسة أمام صانعي القرار في الجامعات</w:t>
      </w:r>
      <w:r w:rsidRPr="00565106">
        <w:rPr>
          <w:rFonts w:ascii="Simplified Arabic" w:hAnsi="Simplified Arabic" w:cs="Simplified Arabic"/>
          <w:color w:val="000000" w:themeColor="text1"/>
          <w:sz w:val="28"/>
          <w:szCs w:val="28"/>
        </w:rPr>
        <w:t xml:space="preserve"> (Gutiérrez-de-Rozas et al., 2024).</w:t>
      </w:r>
    </w:p>
    <w:p w14:paraId="33EDCFA9"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أنواع التسرب</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إلى جانب هذه الأبعاد، يُمكن تصنيف التسرب إلى أنواع متعددة بحسب طبيعته وشكله. فمن حيث الديمومة، يُفرَّق بين التسرب النهائي والتسرب المؤقت. ومن حيث الشمولية، يُميَّز بين التسرب من التخصص (تغيير التخصص) والتسرب من المؤسسة (الانتقال إلى مؤسسة أخرى) والتسرب من النظام الجامعي كلياً. ومن حيث الإرادة، يُفرَّق بين التسرب الطوعي بقرار من الطالب، والتسرب القسري نتيجة الفصل الأكاديمي أو الظروف القاهرة</w:t>
      </w:r>
      <w:r w:rsidRPr="00565106">
        <w:rPr>
          <w:rFonts w:ascii="Simplified Arabic" w:hAnsi="Simplified Arabic" w:cs="Simplified Arabic"/>
          <w:color w:val="000000" w:themeColor="text1"/>
          <w:sz w:val="28"/>
          <w:szCs w:val="28"/>
        </w:rPr>
        <w:t xml:space="preserve"> (Bernardo et al., 2022).</w:t>
      </w:r>
    </w:p>
    <w:p w14:paraId="45444B8E" w14:textId="60C5F852"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1" w:name="_Toc234329161"/>
      <w:r w:rsidRPr="00565106">
        <w:rPr>
          <w:rFonts w:ascii="Simplified Arabic" w:hAnsi="Simplified Arabic" w:cs="Simplified Arabic" w:hint="cs"/>
          <w:b/>
          <w:bCs/>
          <w:color w:val="000000" w:themeColor="text1"/>
          <w:sz w:val="32"/>
          <w:szCs w:val="32"/>
          <w:rtl/>
        </w:rPr>
        <w:t>6.2.2</w:t>
      </w:r>
      <w:r w:rsidR="002D7B70" w:rsidRPr="00565106">
        <w:rPr>
          <w:rFonts w:ascii="Simplified Arabic" w:hAnsi="Simplified Arabic" w:cs="Simplified Arabic"/>
          <w:b/>
          <w:bCs/>
          <w:color w:val="000000" w:themeColor="text1"/>
          <w:sz w:val="32"/>
          <w:szCs w:val="32"/>
          <w:rtl/>
        </w:rPr>
        <w:t xml:space="preserve"> أسباب التسرب الجامعي</w:t>
      </w:r>
      <w:bookmarkEnd w:id="31"/>
    </w:p>
    <w:p w14:paraId="68135329"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تتشعّب الأسباب المفضية إلى التسرب الجامعي وتتشابك فيما بينها بصورة يصعب معها ردّ الظاهرة إلى سبب واحد. ويُمكن تصنيف هذه الأسباب إلى مجموعات رئيسة، وفيما يلي عرض لأبرزها</w:t>
      </w:r>
      <w:r w:rsidRPr="00565106">
        <w:rPr>
          <w:rFonts w:ascii="Simplified Arabic" w:hAnsi="Simplified Arabic" w:cs="Simplified Arabic"/>
          <w:color w:val="000000" w:themeColor="text1"/>
          <w:sz w:val="28"/>
          <w:szCs w:val="28"/>
        </w:rPr>
        <w:t>.</w:t>
      </w:r>
    </w:p>
    <w:p w14:paraId="486A3E29"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الأسباب الفردية والشخصية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تشمل ضعف الدافعية، وضعف الثقة بالنفس، ومشكلات إدارة الوقت، وضعف مهارات الدراسة، وسمات الشخصية غير المتوائمة مع طبيعة الدراسة الجامعية. وتتّصل هذه الأسباب بشكل مباشر بقدرة الطالب على التكيّف مع متطلبات المرحلة الجامعية والانخراط في متطلباتها الأكاديمية والاجتماعية</w:t>
      </w:r>
      <w:r w:rsidRPr="00565106">
        <w:rPr>
          <w:rFonts w:ascii="Simplified Arabic" w:hAnsi="Simplified Arabic" w:cs="Simplified Arabic"/>
          <w:color w:val="000000" w:themeColor="text1"/>
          <w:sz w:val="28"/>
          <w:szCs w:val="28"/>
        </w:rPr>
        <w:t xml:space="preserve"> (Van Rooij, Jansen, &amp; van de Grift, 2018).</w:t>
      </w:r>
    </w:p>
    <w:p w14:paraId="2EDF84CF"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الأسباب الأكاديمية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تتمثل في ضعف الإعداد الأكاديمي في المرحلة الثانوية، وعدم ملاءمة التخصص لميول الطالب وقدراته، وصعوبة المقررات الدراسية، وضعف التقدم الأكاديمي، والتعثر في اجتياز المتطلبات. ويُبرز</w:t>
      </w:r>
      <w:r w:rsidRPr="00565106">
        <w:rPr>
          <w:rFonts w:ascii="Simplified Arabic" w:hAnsi="Simplified Arabic" w:cs="Simplified Arabic"/>
          <w:color w:val="000000" w:themeColor="text1"/>
          <w:sz w:val="28"/>
          <w:szCs w:val="28"/>
        </w:rPr>
        <w:t xml:space="preserve"> Behr </w:t>
      </w:r>
      <w:r w:rsidRPr="00565106">
        <w:rPr>
          <w:rFonts w:ascii="Simplified Arabic" w:hAnsi="Simplified Arabic" w:cs="Simplified Arabic"/>
          <w:color w:val="000000" w:themeColor="text1"/>
          <w:sz w:val="28"/>
          <w:szCs w:val="28"/>
          <w:rtl/>
        </w:rPr>
        <w:t>و آخرون (2021) أن ضعف الاهتمام بالتخصص وعدم توافق التوقعات مع الواقع الجامعي يُشكّلان من أقوى الأسباب الأكاديمية للتسرب</w:t>
      </w:r>
      <w:r w:rsidRPr="00565106">
        <w:rPr>
          <w:rFonts w:ascii="Simplified Arabic" w:hAnsi="Simplified Arabic" w:cs="Simplified Arabic"/>
          <w:color w:val="000000" w:themeColor="text1"/>
          <w:sz w:val="28"/>
          <w:szCs w:val="28"/>
        </w:rPr>
        <w:t>.</w:t>
      </w:r>
    </w:p>
    <w:p w14:paraId="4FF6D1D7"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الأسباب الاقتصادية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 xml:space="preserve">تُعدّ العوامل الاقتصادية من أبرز الأسباب المفسِّرة للتسرب، ولا سيّما لدى الطلاب المنتمين إلى الأسر ذات الدخل المحدود، إذ تشمل عدم القدرة على تحمّل تكاليف الدراسة، والاضطرار إلى العمل الجزئي المُثقل، وضعف برامج الدعم المالي، وعدم الاستقرار المالي للأسرة. وقد أشارت الأدبيات </w:t>
      </w:r>
      <w:r w:rsidRPr="00565106">
        <w:rPr>
          <w:rFonts w:ascii="Simplified Arabic" w:hAnsi="Simplified Arabic" w:cs="Simplified Arabic"/>
          <w:color w:val="000000" w:themeColor="text1"/>
          <w:sz w:val="28"/>
          <w:szCs w:val="28"/>
          <w:rtl/>
        </w:rPr>
        <w:lastRenderedPageBreak/>
        <w:t>إلى أن هذه الأسباب تعمل بوصفها عوامل ضاغطة تُضعف قدرة الطالب على الاستمرار حتى وإن كان يمتلك القدرات الأكاديمية اللازمة</w:t>
      </w:r>
      <w:r w:rsidRPr="00565106">
        <w:rPr>
          <w:rFonts w:ascii="Simplified Arabic" w:hAnsi="Simplified Arabic" w:cs="Simplified Arabic"/>
          <w:color w:val="000000" w:themeColor="text1"/>
          <w:sz w:val="28"/>
          <w:szCs w:val="28"/>
        </w:rPr>
        <w:t xml:space="preserve"> (Aina et al., 2022).</w:t>
      </w:r>
    </w:p>
    <w:p w14:paraId="4ADCFA60"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الأسباب الأسرية والاجتماعية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تشمل ضعف الدعم الأسري، ومستوى تعليم الوالدين المتدنّي، والمسؤوليات الأسرية الطارئة كالزواج المبكر أو رعاية أفراد الأسرة، وضعف الشبكات الاجتماعية الداعمة. ويُشير</w:t>
      </w:r>
      <w:r w:rsidRPr="00565106">
        <w:rPr>
          <w:rFonts w:ascii="Simplified Arabic" w:hAnsi="Simplified Arabic" w:cs="Simplified Arabic"/>
          <w:color w:val="000000" w:themeColor="text1"/>
          <w:sz w:val="28"/>
          <w:szCs w:val="28"/>
        </w:rPr>
        <w:t xml:space="preserve"> Mtshweni (2022) </w:t>
      </w:r>
      <w:r w:rsidRPr="00565106">
        <w:rPr>
          <w:rFonts w:ascii="Simplified Arabic" w:hAnsi="Simplified Arabic" w:cs="Simplified Arabic"/>
          <w:color w:val="000000" w:themeColor="text1"/>
          <w:sz w:val="28"/>
          <w:szCs w:val="28"/>
          <w:rtl/>
        </w:rPr>
        <w:t>إلى أن الوضع الاجتماعي والاقتصادي للأسرة يعمل بوصفه عاملاً وسيطاً في تفسير كثير من قرارات التسرب</w:t>
      </w:r>
      <w:r w:rsidRPr="00565106">
        <w:rPr>
          <w:rFonts w:ascii="Simplified Arabic" w:hAnsi="Simplified Arabic" w:cs="Simplified Arabic"/>
          <w:color w:val="000000" w:themeColor="text1"/>
          <w:sz w:val="28"/>
          <w:szCs w:val="28"/>
        </w:rPr>
        <w:t>.</w:t>
      </w:r>
    </w:p>
    <w:p w14:paraId="1A7E037A"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الأسباب المؤسسية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تتّصل بجودة الجامعة والبيئة التعليمية، وتشمل ضعف خدمات الإرشاد، وضعف علاقة الطالب بأعضاء هيئة التدريس، وضعف البنية التحتية، وجمود الأنظمة الأكاديمية، وضعف برامج الاستقبال والدمج للطلاب الجدد</w:t>
      </w:r>
      <w:r w:rsidRPr="00565106">
        <w:rPr>
          <w:rFonts w:ascii="Simplified Arabic" w:hAnsi="Simplified Arabic" w:cs="Simplified Arabic"/>
          <w:color w:val="000000" w:themeColor="text1"/>
          <w:sz w:val="28"/>
          <w:szCs w:val="28"/>
        </w:rPr>
        <w:t xml:space="preserve"> (Gutiérrez-de-Rozas et al., 2024).</w:t>
      </w:r>
    </w:p>
    <w:p w14:paraId="6F58278C"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الأسباب المهنية والمستقبلية</w:t>
      </w:r>
      <w:r w:rsidRPr="00565106">
        <w:rPr>
          <w:rFonts w:ascii="Simplified Arabic" w:hAnsi="Simplified Arabic" w:cs="Simplified Arabic"/>
          <w:color w:val="000000" w:themeColor="text1"/>
          <w:sz w:val="28"/>
          <w:szCs w:val="28"/>
        </w:rPr>
        <w:t xml:space="preserve">: </w:t>
      </w:r>
      <w:r w:rsidRPr="00565106">
        <w:rPr>
          <w:rFonts w:ascii="Simplified Arabic" w:hAnsi="Simplified Arabic" w:cs="Simplified Arabic"/>
          <w:color w:val="000000" w:themeColor="text1"/>
          <w:sz w:val="28"/>
          <w:szCs w:val="28"/>
          <w:rtl/>
        </w:rPr>
        <w:t>ترتبط بضعف الرؤية المهنية لدى الطالب، وعدم وضوح مسارات التوظيف بعد التخرج، وتراجع القيمة الاقتصادية للشهادة الجامعية في نظر الطالب، وهي أسباب تكتسب أهمية متزايدة في ظل التحوّلات المعاصرة في سوق العمل</w:t>
      </w:r>
      <w:r w:rsidRPr="00565106">
        <w:rPr>
          <w:rFonts w:ascii="Simplified Arabic" w:hAnsi="Simplified Arabic" w:cs="Simplified Arabic"/>
          <w:color w:val="000000" w:themeColor="text1"/>
          <w:sz w:val="28"/>
          <w:szCs w:val="28"/>
        </w:rPr>
        <w:t xml:space="preserve"> (Behr et al., 2021).</w:t>
      </w:r>
    </w:p>
    <w:p w14:paraId="23F229F6" w14:textId="53FA6033" w:rsidR="002D7B70" w:rsidRPr="00565106" w:rsidRDefault="00F4713C" w:rsidP="00F4713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2" w:name="_Toc234329162"/>
      <w:r w:rsidRPr="00565106">
        <w:rPr>
          <w:rFonts w:ascii="Simplified Arabic" w:hAnsi="Simplified Arabic" w:cs="Simplified Arabic" w:hint="cs"/>
          <w:b/>
          <w:bCs/>
          <w:color w:val="000000" w:themeColor="text1"/>
          <w:sz w:val="32"/>
          <w:szCs w:val="32"/>
          <w:rtl/>
        </w:rPr>
        <w:t>7.2.2</w:t>
      </w:r>
      <w:r w:rsidR="002D7B70" w:rsidRPr="00565106">
        <w:rPr>
          <w:rFonts w:ascii="Simplified Arabic" w:hAnsi="Simplified Arabic" w:cs="Simplified Arabic"/>
          <w:b/>
          <w:bCs/>
          <w:color w:val="000000" w:themeColor="text1"/>
          <w:sz w:val="32"/>
          <w:szCs w:val="32"/>
          <w:rtl/>
        </w:rPr>
        <w:t xml:space="preserve"> آثار التسرب الجامعي وتحدياته</w:t>
      </w:r>
      <w:bookmarkEnd w:id="32"/>
    </w:p>
    <w:p w14:paraId="1C407ED6"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يُخلّف التسرب الجامعي آثاراً واسعة تتوزّع على مستويات متعددة. فعلى المستوى الفردي، يُلحق التسرب بالطالب أضراراً نفسية واقتصادية ومهنية، تشمل تراجع تقدير الذات، وضعف فرص التوظيف، وتدنّي مستوى الدخل المتوقع، وضياع الاستثمار الشخصي في التعليم. وعلى المستوى الأسري، تفقد الأسرة ما استثمرته من موارد مادية ومعنوية، وتتراجع توقعاتها بشأن مستقبل أبنائها</w:t>
      </w:r>
      <w:r w:rsidRPr="00565106">
        <w:rPr>
          <w:rFonts w:ascii="Simplified Arabic" w:hAnsi="Simplified Arabic" w:cs="Simplified Arabic"/>
          <w:color w:val="000000" w:themeColor="text1"/>
          <w:sz w:val="28"/>
          <w:szCs w:val="28"/>
        </w:rPr>
        <w:t>.</w:t>
      </w:r>
    </w:p>
    <w:p w14:paraId="714EA19E"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وعلى المستوى المؤسسي، تُهدر الجامعة جزءاً من طاقتها الاستيعابية ومواردها البشرية والمادية، وتتأثر سمعتها ومؤشرات جودتها. أما على المستوى المجتمعي والاقتصادي، فيُحرم المجتمع من كفاءات كان يُمكن أن تُسهم في تنميته، وترتفع معدلات البطالة بين الشباب، وتتّسع الفجوات الاجتماعية والاقتصادية، وتضعف قدرة الدولة على تحقيق أهداف التنمية المستدامة (عنانزة و العزام، 2024)</w:t>
      </w:r>
      <w:r w:rsidRPr="00565106">
        <w:rPr>
          <w:rFonts w:ascii="Simplified Arabic" w:hAnsi="Simplified Arabic" w:cs="Simplified Arabic"/>
          <w:color w:val="000000" w:themeColor="text1"/>
          <w:sz w:val="28"/>
          <w:szCs w:val="28"/>
        </w:rPr>
        <w:t>.</w:t>
      </w:r>
    </w:p>
    <w:p w14:paraId="709B2E58" w14:textId="77777777" w:rsidR="002D7B70" w:rsidRPr="00565106" w:rsidRDefault="002D7B70" w:rsidP="00F4713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65106">
        <w:rPr>
          <w:rFonts w:ascii="Simplified Arabic" w:hAnsi="Simplified Arabic" w:cs="Simplified Arabic"/>
          <w:color w:val="000000" w:themeColor="text1"/>
          <w:sz w:val="28"/>
          <w:szCs w:val="28"/>
          <w:rtl/>
        </w:rPr>
        <w:t xml:space="preserve">وتواجه معالجة ظاهرة التسرب جملة من التحديات، أبرزها تعقّد الظاهرة وتشعّب محدّداتها، وصعوبة رصدها إحصائياً بصورة دقيقة، وضعف البيانات المتاحة في كثير من السياقات، ومحدودية الموارد </w:t>
      </w:r>
      <w:r w:rsidRPr="00565106">
        <w:rPr>
          <w:rFonts w:ascii="Simplified Arabic" w:hAnsi="Simplified Arabic" w:cs="Simplified Arabic"/>
          <w:color w:val="000000" w:themeColor="text1"/>
          <w:sz w:val="28"/>
          <w:szCs w:val="28"/>
          <w:rtl/>
        </w:rPr>
        <w:lastRenderedPageBreak/>
        <w:t>المخصّصة لبرامج الوقاية والتدخّل، وضعف التنسيق بين الجهات المعنية داخل الجامعة وخارجها. كما يُضاف إلى ذلك تحدّي التعامل مع الفروقات الفردية بين الطلاب، إذ لا يُمكن تصميم برامج تدخّل موحّدة تصلح لجميع الحالات، مما يستدعي مقاربات مرنة ومخصّصة</w:t>
      </w:r>
      <w:r w:rsidRPr="00565106">
        <w:rPr>
          <w:rFonts w:ascii="Simplified Arabic" w:hAnsi="Simplified Arabic" w:cs="Simplified Arabic"/>
          <w:color w:val="000000" w:themeColor="text1"/>
          <w:sz w:val="28"/>
          <w:szCs w:val="28"/>
        </w:rPr>
        <w:t xml:space="preserve"> (Quincho Apumayta et al., 2024).</w:t>
      </w:r>
    </w:p>
    <w:p w14:paraId="25216584" w14:textId="43C239A8" w:rsidR="00302B10" w:rsidRPr="00565106" w:rsidRDefault="00F4713C" w:rsidP="003C6493">
      <w:pPr>
        <w:jc w:val="center"/>
        <w:outlineLvl w:val="0"/>
        <w:rPr>
          <w:rFonts w:ascii="Simplified Arabic" w:hAnsi="Simplified Arabic" w:cs="Simplified Arabic"/>
          <w:b/>
          <w:bCs/>
          <w:color w:val="000000" w:themeColor="text1"/>
          <w:szCs w:val="28"/>
          <w:rtl/>
        </w:rPr>
        <w:sectPr w:rsidR="00302B10" w:rsidRPr="00565106" w:rsidSect="00F4713C">
          <w:footerReference w:type="default" r:id="rId10"/>
          <w:pgSz w:w="11906" w:h="16838" w:code="9"/>
          <w:pgMar w:top="1134" w:right="1701" w:bottom="1134" w:left="1134" w:header="720" w:footer="720" w:gutter="0"/>
          <w:pgNumType w:start="1"/>
          <w:cols w:space="708"/>
          <w:bidi/>
          <w:rtlGutter/>
          <w:docGrid w:linePitch="360"/>
        </w:sectPr>
      </w:pPr>
      <w:r w:rsidRPr="00565106">
        <w:rPr>
          <w:rFonts w:ascii="Simplified Arabic" w:hAnsi="Simplified Arabic" w:cs="Simplified Arabic"/>
          <w:b/>
          <w:bCs/>
          <w:color w:val="000000" w:themeColor="text1"/>
          <w:sz w:val="40"/>
          <w:szCs w:val="40"/>
          <w:rtl/>
        </w:rPr>
        <w:br w:type="page"/>
      </w:r>
      <w:bookmarkStart w:id="33" w:name="_GoBack"/>
      <w:bookmarkEnd w:id="33"/>
    </w:p>
    <w:p w14:paraId="2A3D9A0C" w14:textId="77777777" w:rsidR="00DB7486" w:rsidRPr="00D41759" w:rsidRDefault="00DB7486" w:rsidP="00DB748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41759">
        <w:rPr>
          <w:rFonts w:asciiTheme="majorBidi" w:hAnsiTheme="majorBidi" w:cstheme="majorBidi"/>
          <w:b/>
          <w:bCs/>
          <w:noProof/>
          <w:color w:val="000000" w:themeColor="text1"/>
          <w:sz w:val="32"/>
          <w:szCs w:val="32"/>
        </w:rPr>
        <w:lastRenderedPageBreak/>
        <w:drawing>
          <wp:anchor distT="0" distB="0" distL="114300" distR="114300" simplePos="0" relativeHeight="251668480" behindDoc="1" locked="0" layoutInCell="1" allowOverlap="1" wp14:anchorId="2EA7E60B" wp14:editId="7A31122D">
            <wp:simplePos x="0" y="0"/>
            <wp:positionH relativeFrom="column">
              <wp:posOffset>4179570</wp:posOffset>
            </wp:positionH>
            <wp:positionV relativeFrom="paragraph">
              <wp:posOffset>0</wp:posOffset>
            </wp:positionV>
            <wp:extent cx="1461135" cy="1353185"/>
            <wp:effectExtent l="0" t="0" r="5715" b="0"/>
            <wp:wrapTight wrapText="bothSides">
              <wp:wrapPolygon edited="0">
                <wp:start x="0" y="0"/>
                <wp:lineTo x="0" y="21286"/>
                <wp:lineTo x="21403" y="21286"/>
                <wp:lineTo x="2140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1135" cy="1353185"/>
                    </a:xfrm>
                    <a:prstGeom prst="rect">
                      <a:avLst/>
                    </a:prstGeom>
                    <a:noFill/>
                  </pic:spPr>
                </pic:pic>
              </a:graphicData>
            </a:graphic>
            <wp14:sizeRelH relativeFrom="margin">
              <wp14:pctWidth>0</wp14:pctWidth>
            </wp14:sizeRelH>
            <wp14:sizeRelV relativeFrom="margin">
              <wp14:pctHeight>0</wp14:pctHeight>
            </wp14:sizeRelV>
          </wp:anchor>
        </w:drawing>
      </w:r>
      <w:r w:rsidRPr="00D41759">
        <w:rPr>
          <w:rFonts w:asciiTheme="majorBidi" w:eastAsia="Calibri" w:hAnsiTheme="majorBidi" w:cstheme="majorBidi"/>
          <w:b/>
          <w:bCs/>
          <w:color w:val="000000" w:themeColor="text1"/>
          <w:kern w:val="0"/>
          <w:sz w:val="32"/>
          <w:szCs w:val="32"/>
          <w:lang w:bidi="ar-EG"/>
          <w14:ligatures w14:val="none"/>
        </w:rPr>
        <w:t>Mid Ocean University</w:t>
      </w:r>
    </w:p>
    <w:p w14:paraId="184B7CB4" w14:textId="77777777" w:rsidR="00DB7486" w:rsidRPr="00D41759" w:rsidRDefault="00DB7486" w:rsidP="00DB748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41759">
        <w:rPr>
          <w:rFonts w:asciiTheme="majorBidi" w:eastAsia="Calibri" w:hAnsiTheme="majorBidi" w:cstheme="majorBidi"/>
          <w:b/>
          <w:bCs/>
          <w:color w:val="000000" w:themeColor="text1"/>
          <w:kern w:val="0"/>
          <w:sz w:val="32"/>
          <w:szCs w:val="32"/>
          <w:lang w:bidi="ar-EG"/>
          <w14:ligatures w14:val="none"/>
        </w:rPr>
        <w:t>College of Management</w:t>
      </w:r>
    </w:p>
    <w:p w14:paraId="22FBBDAA" w14:textId="77777777" w:rsidR="00DB7486" w:rsidRPr="00D41759" w:rsidRDefault="00DB7486" w:rsidP="00DB748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41759">
        <w:rPr>
          <w:rFonts w:asciiTheme="majorBidi" w:eastAsia="Calibri" w:hAnsiTheme="majorBidi" w:cstheme="majorBidi"/>
          <w:b/>
          <w:bCs/>
          <w:color w:val="000000" w:themeColor="text1"/>
          <w:kern w:val="0"/>
          <w:sz w:val="32"/>
          <w:szCs w:val="32"/>
          <w:lang w:bidi="ar-EG"/>
          <w14:ligatures w14:val="none"/>
        </w:rPr>
        <w:t xml:space="preserve">Department of </w:t>
      </w:r>
      <w:r w:rsidRPr="00D41759">
        <w:rPr>
          <w:rFonts w:asciiTheme="majorBidi" w:eastAsia="Calibri" w:hAnsiTheme="majorBidi" w:cstheme="majorBidi"/>
          <w:b/>
          <w:bCs/>
          <w:color w:val="000000" w:themeColor="text1"/>
          <w:kern w:val="0"/>
          <w:sz w:val="32"/>
          <w:szCs w:val="32"/>
          <w14:ligatures w14:val="none"/>
        </w:rPr>
        <w:t>Business Administration</w:t>
      </w:r>
    </w:p>
    <w:p w14:paraId="254FD8F5" w14:textId="22FB7E1A" w:rsidR="00302B10" w:rsidRPr="00DB7486" w:rsidRDefault="00302B10" w:rsidP="00DB7486">
      <w:pPr>
        <w:bidi w:val="0"/>
        <w:spacing w:before="100" w:beforeAutospacing="1" w:after="100" w:afterAutospacing="1" w:line="276" w:lineRule="auto"/>
        <w:ind w:left="720"/>
        <w:jc w:val="right"/>
        <w:rPr>
          <w:rFonts w:ascii="Simplified Arabic" w:hAnsi="Simplified Arabic" w:cs="Simplified Arabic"/>
          <w:b/>
          <w:bCs/>
          <w:color w:val="000000" w:themeColor="text1"/>
          <w:szCs w:val="28"/>
        </w:rPr>
      </w:pPr>
    </w:p>
    <w:p w14:paraId="0342E2C9" w14:textId="77777777" w:rsidR="00302B10" w:rsidRDefault="00302B10" w:rsidP="00DB7486">
      <w:pPr>
        <w:bidi w:val="0"/>
        <w:spacing w:before="100" w:beforeAutospacing="1" w:after="100" w:afterAutospacing="1"/>
        <w:ind w:left="720"/>
        <w:jc w:val="center"/>
        <w:rPr>
          <w:rFonts w:ascii="Simplified Arabic" w:hAnsi="Simplified Arabic" w:cs="Simplified Arabic"/>
          <w:b/>
          <w:bCs/>
          <w:color w:val="000000" w:themeColor="text1"/>
          <w:szCs w:val="28"/>
          <w:rtl/>
        </w:rPr>
      </w:pPr>
    </w:p>
    <w:p w14:paraId="244644FA" w14:textId="77777777" w:rsidR="00DB7486" w:rsidRPr="00DB7486" w:rsidRDefault="00DB7486" w:rsidP="00DB7486">
      <w:pPr>
        <w:bidi w:val="0"/>
        <w:spacing w:before="100" w:beforeAutospacing="1" w:after="100" w:afterAutospacing="1"/>
        <w:ind w:left="720"/>
        <w:jc w:val="center"/>
        <w:rPr>
          <w:rFonts w:asciiTheme="majorBidi" w:hAnsiTheme="majorBidi" w:cstheme="majorBidi"/>
          <w:b/>
          <w:bCs/>
          <w:color w:val="000000" w:themeColor="text1"/>
          <w:sz w:val="40"/>
          <w:szCs w:val="48"/>
        </w:rPr>
      </w:pPr>
      <w:r w:rsidRPr="00DB7486">
        <w:rPr>
          <w:rFonts w:asciiTheme="majorBidi" w:hAnsiTheme="majorBidi" w:cstheme="majorBidi"/>
          <w:b/>
          <w:bCs/>
          <w:color w:val="000000" w:themeColor="text1"/>
          <w:sz w:val="40"/>
          <w:szCs w:val="48"/>
        </w:rPr>
        <w:t>The Impact of Student Financial Support Programs on Academic Persistence and Dropout Reduction: An Applied Study on Saudi Universities</w:t>
      </w:r>
    </w:p>
    <w:p w14:paraId="36D0F5E6" w14:textId="77777777" w:rsidR="00DB7486" w:rsidRPr="00DB7486" w:rsidRDefault="00DB7486" w:rsidP="00DB7486">
      <w:pPr>
        <w:bidi w:val="0"/>
        <w:spacing w:before="100" w:beforeAutospacing="1" w:after="100" w:afterAutospacing="1"/>
        <w:ind w:left="720"/>
        <w:rPr>
          <w:rFonts w:ascii="Simplified Arabic" w:hAnsi="Simplified Arabic" w:cs="Simplified Arabic"/>
          <w:b/>
          <w:bCs/>
          <w:color w:val="000000" w:themeColor="text1"/>
          <w:szCs w:val="28"/>
          <w:rtl/>
        </w:rPr>
      </w:pPr>
    </w:p>
    <w:p w14:paraId="0976528C" w14:textId="77777777" w:rsidR="00DB7486" w:rsidRPr="00DB7486" w:rsidRDefault="00DB7486" w:rsidP="00DB7486">
      <w:pPr>
        <w:bidi w:val="0"/>
        <w:spacing w:before="100" w:beforeAutospacing="1" w:after="100" w:afterAutospacing="1"/>
        <w:ind w:left="720"/>
        <w:jc w:val="center"/>
        <w:rPr>
          <w:rFonts w:asciiTheme="majorBidi" w:hAnsiTheme="majorBidi" w:cstheme="majorBidi"/>
          <w:b/>
          <w:bCs/>
          <w:color w:val="000000" w:themeColor="text1"/>
          <w:sz w:val="36"/>
          <w:szCs w:val="36"/>
        </w:rPr>
      </w:pPr>
      <w:r w:rsidRPr="00DB7486">
        <w:rPr>
          <w:rFonts w:asciiTheme="majorBidi" w:hAnsiTheme="majorBidi" w:cstheme="majorBidi"/>
          <w:b/>
          <w:bCs/>
          <w:color w:val="000000" w:themeColor="text1"/>
          <w:sz w:val="36"/>
          <w:szCs w:val="36"/>
        </w:rPr>
        <w:t>Prepared by</w:t>
      </w:r>
      <w:r w:rsidRPr="00DB7486">
        <w:rPr>
          <w:rFonts w:asciiTheme="majorBidi" w:hAnsiTheme="majorBidi" w:cstheme="majorBidi"/>
          <w:b/>
          <w:bCs/>
          <w:color w:val="000000" w:themeColor="text1"/>
          <w:sz w:val="36"/>
          <w:szCs w:val="36"/>
          <w:rtl/>
        </w:rPr>
        <w:t>:</w:t>
      </w:r>
    </w:p>
    <w:p w14:paraId="1B497E1B" w14:textId="77777777" w:rsidR="00DB7486" w:rsidRPr="00DB7486" w:rsidRDefault="00DB7486" w:rsidP="00DB7486">
      <w:pPr>
        <w:bidi w:val="0"/>
        <w:spacing w:before="100" w:beforeAutospacing="1" w:after="100" w:afterAutospacing="1"/>
        <w:ind w:left="720"/>
        <w:jc w:val="center"/>
        <w:rPr>
          <w:rFonts w:asciiTheme="majorBidi" w:hAnsiTheme="majorBidi" w:cstheme="majorBidi"/>
          <w:color w:val="000000" w:themeColor="text1"/>
          <w:sz w:val="36"/>
          <w:szCs w:val="36"/>
        </w:rPr>
      </w:pPr>
      <w:r w:rsidRPr="00DB7486">
        <w:rPr>
          <w:rFonts w:asciiTheme="majorBidi" w:hAnsiTheme="majorBidi" w:cstheme="majorBidi"/>
          <w:color w:val="000000" w:themeColor="text1"/>
          <w:sz w:val="36"/>
          <w:szCs w:val="36"/>
        </w:rPr>
        <w:t>Yasser Mohammed Al-Harbi</w:t>
      </w:r>
    </w:p>
    <w:p w14:paraId="6D499EE2" w14:textId="6D77A2F4" w:rsidR="00DB7486" w:rsidRPr="00DB7486" w:rsidRDefault="00DB7486" w:rsidP="00DB7486">
      <w:pPr>
        <w:bidi w:val="0"/>
        <w:spacing w:before="100" w:beforeAutospacing="1" w:after="100" w:afterAutospacing="1"/>
        <w:ind w:left="720"/>
        <w:jc w:val="center"/>
        <w:rPr>
          <w:rFonts w:asciiTheme="majorBidi" w:hAnsiTheme="majorBidi" w:cstheme="majorBidi"/>
          <w:color w:val="000000" w:themeColor="text1"/>
          <w:sz w:val="36"/>
          <w:szCs w:val="36"/>
          <w:rtl/>
        </w:rPr>
      </w:pPr>
      <w:r w:rsidRPr="00DB7486">
        <w:rPr>
          <w:rFonts w:asciiTheme="majorBidi" w:hAnsiTheme="majorBidi" w:cstheme="majorBidi"/>
          <w:color w:val="000000" w:themeColor="text1"/>
          <w:sz w:val="36"/>
          <w:szCs w:val="36"/>
          <w:rtl/>
        </w:rPr>
        <w:t>253002779</w:t>
      </w:r>
    </w:p>
    <w:p w14:paraId="02A2C497" w14:textId="77777777" w:rsidR="00DB7486" w:rsidRDefault="00DB7486" w:rsidP="00DB7486">
      <w:pPr>
        <w:bidi w:val="0"/>
        <w:spacing w:before="100" w:beforeAutospacing="1" w:after="100" w:afterAutospacing="1"/>
        <w:ind w:left="720"/>
        <w:jc w:val="center"/>
        <w:rPr>
          <w:rFonts w:asciiTheme="majorBidi" w:hAnsiTheme="majorBidi" w:cstheme="majorBidi"/>
          <w:b/>
          <w:bCs/>
          <w:color w:val="000000" w:themeColor="text1"/>
          <w:sz w:val="36"/>
          <w:szCs w:val="36"/>
          <w:rt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B7486" w:rsidRPr="00D41759" w14:paraId="6E07F225" w14:textId="77777777" w:rsidTr="00A46022">
        <w:tc>
          <w:tcPr>
            <w:tcW w:w="4530" w:type="dxa"/>
          </w:tcPr>
          <w:p w14:paraId="2F7C4452" w14:textId="77777777" w:rsidR="00DB7486" w:rsidRPr="00D41759" w:rsidRDefault="00DB7486" w:rsidP="00A4602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b/>
                <w:bCs/>
                <w:color w:val="000000" w:themeColor="text1"/>
                <w:kern w:val="0"/>
                <w:sz w:val="36"/>
                <w:szCs w:val="36"/>
                <w:lang w:bidi="ar-EG"/>
                <w14:ligatures w14:val="none"/>
              </w:rPr>
              <w:t>Main supervisor</w:t>
            </w:r>
            <w:r w:rsidRPr="00D4175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D55C233" w14:textId="77777777" w:rsidR="00DB7486" w:rsidRPr="00D41759" w:rsidRDefault="00DB7486" w:rsidP="00A4602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b/>
                <w:bCs/>
                <w:color w:val="000000" w:themeColor="text1"/>
                <w:kern w:val="0"/>
                <w:sz w:val="36"/>
                <w:szCs w:val="36"/>
                <w:lang w:bidi="ar-EG"/>
                <w14:ligatures w14:val="none"/>
              </w:rPr>
              <w:t>Second supervisor</w:t>
            </w:r>
            <w:r w:rsidRPr="00D41759">
              <w:rPr>
                <w:rFonts w:asciiTheme="majorBidi" w:eastAsia="Calibri" w:hAnsiTheme="majorBidi" w:cstheme="majorBidi"/>
                <w:b/>
                <w:bCs/>
                <w:color w:val="000000" w:themeColor="text1"/>
                <w:kern w:val="0"/>
                <w:sz w:val="36"/>
                <w:szCs w:val="36"/>
                <w:rtl/>
                <w:lang w:bidi="ar-EG"/>
                <w14:ligatures w14:val="none"/>
              </w:rPr>
              <w:t>/</w:t>
            </w:r>
          </w:p>
        </w:tc>
      </w:tr>
      <w:tr w:rsidR="00DB7486" w:rsidRPr="00D41759" w14:paraId="421D647A" w14:textId="77777777" w:rsidTr="00A46022">
        <w:tc>
          <w:tcPr>
            <w:tcW w:w="4530" w:type="dxa"/>
          </w:tcPr>
          <w:p w14:paraId="41E16A8E" w14:textId="77777777" w:rsidR="00DB7486" w:rsidRPr="00D41759" w:rsidRDefault="00DB7486" w:rsidP="00A4602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FC19FD3" w14:textId="77777777" w:rsidR="00DB7486" w:rsidRPr="00D41759" w:rsidRDefault="00DB7486" w:rsidP="00A4602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color w:val="000000" w:themeColor="text1"/>
                <w:kern w:val="0"/>
                <w:sz w:val="36"/>
                <w:szCs w:val="36"/>
                <w:lang w:bidi="ar-EG"/>
                <w14:ligatures w14:val="none"/>
              </w:rPr>
              <w:t>Dr. Fayez Jarad</w:t>
            </w:r>
          </w:p>
        </w:tc>
      </w:tr>
    </w:tbl>
    <w:p w14:paraId="7CA47BDA" w14:textId="77777777" w:rsidR="00DB7486" w:rsidRPr="00D41759" w:rsidRDefault="00DB7486" w:rsidP="00DB748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41759">
        <w:rPr>
          <w:rFonts w:asciiTheme="majorBidi" w:eastAsia="Calibri" w:hAnsiTheme="majorBidi" w:cstheme="majorBidi"/>
          <w:color w:val="000000" w:themeColor="text1"/>
          <w:kern w:val="0"/>
          <w:sz w:val="36"/>
          <w:szCs w:val="36"/>
          <w:rtl/>
          <w:lang w:bidi="ar-EG"/>
          <w14:ligatures w14:val="none"/>
        </w:rPr>
        <w:t>1448 – 2026</w:t>
      </w:r>
    </w:p>
    <w:p w14:paraId="395C92E6" w14:textId="77777777" w:rsidR="00DB7486" w:rsidRPr="00DB7486" w:rsidRDefault="00DB7486" w:rsidP="00DB7486">
      <w:pPr>
        <w:bidi w:val="0"/>
        <w:spacing w:before="100" w:beforeAutospacing="1" w:after="100" w:afterAutospacing="1"/>
        <w:ind w:left="720"/>
        <w:jc w:val="center"/>
        <w:rPr>
          <w:rFonts w:asciiTheme="majorBidi" w:hAnsiTheme="majorBidi" w:cstheme="majorBidi"/>
          <w:b/>
          <w:bCs/>
          <w:color w:val="000000" w:themeColor="text1"/>
          <w:sz w:val="36"/>
          <w:szCs w:val="36"/>
        </w:rPr>
      </w:pPr>
    </w:p>
    <w:p w14:paraId="7D7EFF91" w14:textId="77777777" w:rsidR="00F4713C" w:rsidRPr="00565106" w:rsidRDefault="00F4713C" w:rsidP="00F4713C">
      <w:pPr>
        <w:spacing w:before="100" w:beforeAutospacing="1" w:after="100" w:afterAutospacing="1" w:line="276" w:lineRule="auto"/>
        <w:jc w:val="center"/>
        <w:rPr>
          <w:rFonts w:ascii="Simplified Arabic" w:hAnsi="Simplified Arabic" w:cs="Simplified Arabic"/>
          <w:color w:val="000000" w:themeColor="text1"/>
          <w:sz w:val="28"/>
          <w:szCs w:val="28"/>
        </w:rPr>
      </w:pPr>
    </w:p>
    <w:p w14:paraId="1C43CBB4" w14:textId="77777777" w:rsidR="00F4713C" w:rsidRPr="00565106" w:rsidRDefault="00F4713C" w:rsidP="00302B10">
      <w:pPr>
        <w:bidi w:val="0"/>
        <w:spacing w:before="100" w:beforeAutospacing="1" w:after="100" w:afterAutospacing="1" w:line="276" w:lineRule="auto"/>
        <w:jc w:val="both"/>
        <w:rPr>
          <w:rFonts w:ascii="Simplified Arabic" w:hAnsi="Simplified Arabic" w:cs="Simplified Arabic"/>
          <w:color w:val="000000" w:themeColor="text1"/>
          <w:sz w:val="28"/>
          <w:szCs w:val="28"/>
        </w:rPr>
      </w:pPr>
    </w:p>
    <w:sectPr w:rsidR="00F4713C" w:rsidRPr="00565106" w:rsidSect="00F4713C">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C145C6" w14:textId="77777777" w:rsidR="00FB4535" w:rsidRDefault="00FB4535" w:rsidP="009125CE">
      <w:pPr>
        <w:spacing w:after="0" w:line="240" w:lineRule="auto"/>
      </w:pPr>
      <w:r>
        <w:separator/>
      </w:r>
    </w:p>
  </w:endnote>
  <w:endnote w:type="continuationSeparator" w:id="0">
    <w:p w14:paraId="2A2A9F54" w14:textId="77777777" w:rsidR="00FB4535" w:rsidRDefault="00FB453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89838798"/>
      <w:docPartObj>
        <w:docPartGallery w:val="Page Numbers (Bottom of Page)"/>
        <w:docPartUnique/>
      </w:docPartObj>
    </w:sdtPr>
    <w:sdtEndPr>
      <w:rPr>
        <w:rFonts w:ascii="Simplified Arabic" w:hAnsi="Simplified Arabic" w:cs="Simplified Arabic"/>
        <w:b/>
        <w:bCs/>
        <w:noProof/>
        <w:sz w:val="24"/>
        <w:szCs w:val="24"/>
      </w:rPr>
    </w:sdtEndPr>
    <w:sdtContent>
      <w:p w14:paraId="2DE121B1" w14:textId="20C760E6" w:rsidR="00F4713C" w:rsidRDefault="00F4713C">
        <w:pPr>
          <w:pStyle w:val="Footer"/>
          <w:jc w:val="center"/>
        </w:pPr>
      </w:p>
      <w:p w14:paraId="0C64B6BB" w14:textId="00E353AC" w:rsidR="00F4713C" w:rsidRPr="00F4713C" w:rsidRDefault="00F4713C" w:rsidP="00F4713C">
        <w:pPr>
          <w:pStyle w:val="Footer"/>
          <w:tabs>
            <w:tab w:val="left" w:pos="4259"/>
            <w:tab w:val="left" w:pos="4500"/>
            <w:tab w:val="center" w:pos="4535"/>
          </w:tabs>
          <w:rPr>
            <w:rFonts w:ascii="Simplified Arabic" w:hAnsi="Simplified Arabic" w:cs="Simplified Arabic"/>
            <w:b/>
            <w:bCs/>
            <w:sz w:val="24"/>
            <w:szCs w:val="24"/>
          </w:rPr>
        </w:pPr>
        <w:r w:rsidRPr="00F4713C">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22438976"/>
      <w:docPartObj>
        <w:docPartGallery w:val="Page Numbers (Bottom of Page)"/>
        <w:docPartUnique/>
      </w:docPartObj>
    </w:sdtPr>
    <w:sdtEndPr>
      <w:rPr>
        <w:rFonts w:ascii="Simplified Arabic" w:hAnsi="Simplified Arabic" w:cs="Simplified Arabic"/>
        <w:b/>
        <w:bCs/>
        <w:noProof/>
        <w:sz w:val="24"/>
        <w:szCs w:val="24"/>
      </w:rPr>
    </w:sdtEndPr>
    <w:sdtContent>
      <w:p w14:paraId="7C0722EC" w14:textId="77777777" w:rsidR="00F4713C" w:rsidRDefault="00F4713C">
        <w:pPr>
          <w:pStyle w:val="Footer"/>
          <w:jc w:val="center"/>
        </w:pPr>
        <w:r>
          <w:rPr>
            <w:noProof/>
          </w:rPr>
          <mc:AlternateContent>
            <mc:Choice Requires="wps">
              <w:drawing>
                <wp:inline distT="0" distB="0" distL="0" distR="0" wp14:anchorId="2D07E6BA" wp14:editId="232B385A">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CBCC561"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38D3B65D" w14:textId="77777777" w:rsidR="00F4713C" w:rsidRPr="00F4713C" w:rsidRDefault="00F4713C" w:rsidP="00F4713C">
        <w:pPr>
          <w:pStyle w:val="Footer"/>
          <w:tabs>
            <w:tab w:val="left" w:pos="4259"/>
            <w:tab w:val="left" w:pos="4500"/>
            <w:tab w:val="center" w:pos="4535"/>
          </w:tabs>
          <w:rPr>
            <w:rFonts w:ascii="Simplified Arabic" w:hAnsi="Simplified Arabic" w:cs="Simplified Arabic"/>
            <w:b/>
            <w:bCs/>
            <w:sz w:val="24"/>
            <w:szCs w:val="24"/>
          </w:rPr>
        </w:pPr>
        <w:r w:rsidRPr="00F4713C">
          <w:rPr>
            <w:rFonts w:ascii="Simplified Arabic" w:hAnsi="Simplified Arabic" w:cs="Simplified Arabic"/>
            <w:b/>
            <w:bCs/>
            <w:sz w:val="24"/>
            <w:szCs w:val="24"/>
          </w:rPr>
          <w:tab/>
        </w:r>
        <w:r w:rsidRPr="00F4713C">
          <w:rPr>
            <w:rFonts w:ascii="Simplified Arabic" w:hAnsi="Simplified Arabic" w:cs="Simplified Arabic"/>
            <w:b/>
            <w:bCs/>
            <w:sz w:val="24"/>
            <w:szCs w:val="24"/>
          </w:rPr>
          <w:tab/>
        </w:r>
        <w:r w:rsidRPr="00F4713C">
          <w:rPr>
            <w:rFonts w:ascii="Simplified Arabic" w:hAnsi="Simplified Arabic" w:cs="Simplified Arabic"/>
            <w:b/>
            <w:bCs/>
            <w:sz w:val="24"/>
            <w:szCs w:val="24"/>
          </w:rPr>
          <w:tab/>
        </w:r>
        <w:r>
          <w:rPr>
            <w:rFonts w:ascii="Simplified Arabic" w:hAnsi="Simplified Arabic" w:cs="Simplified Arabic"/>
            <w:b/>
            <w:bCs/>
            <w:sz w:val="24"/>
            <w:szCs w:val="24"/>
          </w:rPr>
          <w:tab/>
        </w:r>
        <w:r w:rsidRPr="00F4713C">
          <w:rPr>
            <w:rFonts w:ascii="Simplified Arabic" w:hAnsi="Simplified Arabic" w:cs="Simplified Arabic"/>
            <w:b/>
            <w:bCs/>
            <w:sz w:val="24"/>
            <w:szCs w:val="24"/>
          </w:rPr>
          <w:fldChar w:fldCharType="begin"/>
        </w:r>
        <w:r w:rsidRPr="00F4713C">
          <w:rPr>
            <w:rFonts w:ascii="Simplified Arabic" w:hAnsi="Simplified Arabic" w:cs="Simplified Arabic"/>
            <w:b/>
            <w:bCs/>
            <w:sz w:val="24"/>
            <w:szCs w:val="24"/>
          </w:rPr>
          <w:instrText xml:space="preserve"> PAGE    \* MERGEFORMAT </w:instrText>
        </w:r>
        <w:r w:rsidRPr="00F4713C">
          <w:rPr>
            <w:rFonts w:ascii="Simplified Arabic" w:hAnsi="Simplified Arabic" w:cs="Simplified Arabic"/>
            <w:b/>
            <w:bCs/>
            <w:sz w:val="24"/>
            <w:szCs w:val="24"/>
          </w:rPr>
          <w:fldChar w:fldCharType="separate"/>
        </w:r>
        <w:r w:rsidR="003C6493">
          <w:rPr>
            <w:rFonts w:ascii="Simplified Arabic" w:hAnsi="Simplified Arabic" w:cs="Simplified Arabic"/>
            <w:b/>
            <w:bCs/>
            <w:noProof/>
            <w:sz w:val="24"/>
            <w:szCs w:val="24"/>
            <w:rtl/>
          </w:rPr>
          <w:t>35</w:t>
        </w:r>
        <w:r w:rsidRPr="00F4713C">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88568936"/>
      <w:docPartObj>
        <w:docPartGallery w:val="Page Numbers (Bottom of Page)"/>
        <w:docPartUnique/>
      </w:docPartObj>
    </w:sdtPr>
    <w:sdtEndPr>
      <w:rPr>
        <w:rFonts w:ascii="Simplified Arabic" w:hAnsi="Simplified Arabic" w:cs="Simplified Arabic"/>
        <w:b/>
        <w:bCs/>
        <w:noProof/>
        <w:sz w:val="24"/>
        <w:szCs w:val="24"/>
      </w:rPr>
    </w:sdtEndPr>
    <w:sdtContent>
      <w:p w14:paraId="6723774F" w14:textId="01D57CDC" w:rsidR="00302B10" w:rsidRDefault="00302B10">
        <w:pPr>
          <w:pStyle w:val="Footer"/>
          <w:jc w:val="center"/>
        </w:pPr>
      </w:p>
      <w:p w14:paraId="56A50011" w14:textId="604445C5" w:rsidR="00302B10" w:rsidRPr="00F4713C" w:rsidRDefault="00302B10" w:rsidP="00302B10">
        <w:pPr>
          <w:pStyle w:val="Footer"/>
          <w:tabs>
            <w:tab w:val="left" w:pos="4259"/>
            <w:tab w:val="left" w:pos="4500"/>
            <w:tab w:val="center" w:pos="4535"/>
          </w:tabs>
          <w:rPr>
            <w:rFonts w:ascii="Simplified Arabic" w:hAnsi="Simplified Arabic" w:cs="Simplified Arabic"/>
            <w:b/>
            <w:bCs/>
            <w:sz w:val="24"/>
            <w:szCs w:val="24"/>
          </w:rPr>
        </w:pPr>
        <w:r w:rsidRPr="00F4713C">
          <w:rPr>
            <w:rFonts w:ascii="Simplified Arabic" w:hAnsi="Simplified Arabic" w:cs="Simplified Arabic"/>
            <w:b/>
            <w:bCs/>
            <w:sz w:val="24"/>
            <w:szCs w:val="24"/>
          </w:rPr>
          <w:tab/>
        </w:r>
        <w:r w:rsidRPr="00F4713C">
          <w:rPr>
            <w:rFonts w:ascii="Simplified Arabic" w:hAnsi="Simplified Arabic" w:cs="Simplified Arabic"/>
            <w:b/>
            <w:bCs/>
            <w:sz w:val="24"/>
            <w:szCs w:val="24"/>
          </w:rPr>
          <w:tab/>
        </w:r>
        <w:r w:rsidRPr="00F4713C">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F77F1B" w14:textId="77777777" w:rsidR="00FB4535" w:rsidRDefault="00FB4535" w:rsidP="009125CE">
      <w:pPr>
        <w:spacing w:after="0" w:line="240" w:lineRule="auto"/>
      </w:pPr>
      <w:r>
        <w:separator/>
      </w:r>
    </w:p>
  </w:footnote>
  <w:footnote w:type="continuationSeparator" w:id="0">
    <w:p w14:paraId="5AA4F946" w14:textId="77777777" w:rsidR="00FB4535" w:rsidRDefault="00FB453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66622D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1B2BE6"/>
    <w:multiLevelType w:val="multilevel"/>
    <w:tmpl w:val="C2A85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FE3A83"/>
    <w:multiLevelType w:val="multilevel"/>
    <w:tmpl w:val="ED3A8A4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300D4B"/>
    <w:multiLevelType w:val="hybridMultilevel"/>
    <w:tmpl w:val="4A3C34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B0377B"/>
    <w:multiLevelType w:val="hybridMultilevel"/>
    <w:tmpl w:val="412A704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E885663"/>
    <w:multiLevelType w:val="hybridMultilevel"/>
    <w:tmpl w:val="0D1C4B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71475A"/>
    <w:multiLevelType w:val="multilevel"/>
    <w:tmpl w:val="0B78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FC6283"/>
    <w:multiLevelType w:val="multilevel"/>
    <w:tmpl w:val="ED3A8A4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52752A7"/>
    <w:multiLevelType w:val="hybridMultilevel"/>
    <w:tmpl w:val="2F4AAF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A366EFF"/>
    <w:multiLevelType w:val="hybridMultilevel"/>
    <w:tmpl w:val="02B896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82590E"/>
    <w:multiLevelType w:val="hybridMultilevel"/>
    <w:tmpl w:val="939068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421E16"/>
    <w:multiLevelType w:val="hybridMultilevel"/>
    <w:tmpl w:val="F49493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6670041"/>
    <w:multiLevelType w:val="multilevel"/>
    <w:tmpl w:val="DBF25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CB35C5"/>
    <w:multiLevelType w:val="hybridMultilevel"/>
    <w:tmpl w:val="435481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4E21AE"/>
    <w:multiLevelType w:val="hybridMultilevel"/>
    <w:tmpl w:val="9294C7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343793"/>
    <w:multiLevelType w:val="multilevel"/>
    <w:tmpl w:val="ED3A8A4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54809C3"/>
    <w:multiLevelType w:val="multilevel"/>
    <w:tmpl w:val="ED3A8A4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BD15D07"/>
    <w:multiLevelType w:val="multilevel"/>
    <w:tmpl w:val="ED3A8A4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C214481"/>
    <w:multiLevelType w:val="multilevel"/>
    <w:tmpl w:val="ED3A8A4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F1A6E3F"/>
    <w:multiLevelType w:val="hybridMultilevel"/>
    <w:tmpl w:val="63CACD4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1"/>
  </w:num>
  <w:num w:numId="4">
    <w:abstractNumId w:val="12"/>
  </w:num>
  <w:num w:numId="5">
    <w:abstractNumId w:val="8"/>
  </w:num>
  <w:num w:numId="6">
    <w:abstractNumId w:val="11"/>
  </w:num>
  <w:num w:numId="7">
    <w:abstractNumId w:val="13"/>
  </w:num>
  <w:num w:numId="8">
    <w:abstractNumId w:val="5"/>
  </w:num>
  <w:num w:numId="9">
    <w:abstractNumId w:val="9"/>
  </w:num>
  <w:num w:numId="10">
    <w:abstractNumId w:val="19"/>
  </w:num>
  <w:num w:numId="11">
    <w:abstractNumId w:val="3"/>
  </w:num>
  <w:num w:numId="12">
    <w:abstractNumId w:val="10"/>
  </w:num>
  <w:num w:numId="13">
    <w:abstractNumId w:val="4"/>
  </w:num>
  <w:num w:numId="14">
    <w:abstractNumId w:val="14"/>
  </w:num>
  <w:num w:numId="15">
    <w:abstractNumId w:val="7"/>
  </w:num>
  <w:num w:numId="16">
    <w:abstractNumId w:val="16"/>
  </w:num>
  <w:num w:numId="17">
    <w:abstractNumId w:val="18"/>
  </w:num>
  <w:num w:numId="18">
    <w:abstractNumId w:val="15"/>
  </w:num>
  <w:num w:numId="19">
    <w:abstractNumId w:val="2"/>
  </w:num>
  <w:num w:numId="20">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3F7C"/>
    <w:rsid w:val="0006219F"/>
    <w:rsid w:val="000F44B4"/>
    <w:rsid w:val="001902DB"/>
    <w:rsid w:val="001C2162"/>
    <w:rsid w:val="001C70E0"/>
    <w:rsid w:val="002D7B70"/>
    <w:rsid w:val="002E042B"/>
    <w:rsid w:val="00302B10"/>
    <w:rsid w:val="003C6493"/>
    <w:rsid w:val="003D3095"/>
    <w:rsid w:val="00565106"/>
    <w:rsid w:val="00590B27"/>
    <w:rsid w:val="0062761F"/>
    <w:rsid w:val="006948DE"/>
    <w:rsid w:val="00761FD6"/>
    <w:rsid w:val="007B0E54"/>
    <w:rsid w:val="007E3A20"/>
    <w:rsid w:val="00877AAC"/>
    <w:rsid w:val="008A0289"/>
    <w:rsid w:val="008F1EAE"/>
    <w:rsid w:val="009125CE"/>
    <w:rsid w:val="009B6888"/>
    <w:rsid w:val="009C0161"/>
    <w:rsid w:val="009D108D"/>
    <w:rsid w:val="009E1436"/>
    <w:rsid w:val="009E5668"/>
    <w:rsid w:val="00A25487"/>
    <w:rsid w:val="00A6431F"/>
    <w:rsid w:val="00A74F76"/>
    <w:rsid w:val="00A870DE"/>
    <w:rsid w:val="00AA79E9"/>
    <w:rsid w:val="00AB0A70"/>
    <w:rsid w:val="00B55620"/>
    <w:rsid w:val="00B63B0F"/>
    <w:rsid w:val="00B7678A"/>
    <w:rsid w:val="00C04621"/>
    <w:rsid w:val="00C04D0B"/>
    <w:rsid w:val="00C71E18"/>
    <w:rsid w:val="00CB2C11"/>
    <w:rsid w:val="00CB2D51"/>
    <w:rsid w:val="00D22171"/>
    <w:rsid w:val="00D47E79"/>
    <w:rsid w:val="00D83A08"/>
    <w:rsid w:val="00DB7486"/>
    <w:rsid w:val="00E00FBA"/>
    <w:rsid w:val="00E71C79"/>
    <w:rsid w:val="00E80FD9"/>
    <w:rsid w:val="00EA6B5D"/>
    <w:rsid w:val="00EB4619"/>
    <w:rsid w:val="00F37177"/>
    <w:rsid w:val="00F4713C"/>
    <w:rsid w:val="00F546CE"/>
    <w:rsid w:val="00F64761"/>
    <w:rsid w:val="00FB4535"/>
    <w:rsid w:val="00FF56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A25487"/>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2D7B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7B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25487"/>
    <w:rPr>
      <w:rFonts w:asciiTheme="majorHAnsi" w:eastAsiaTheme="majorEastAsia" w:hAnsiTheme="majorHAnsi" w:cstheme="majorBidi"/>
      <w:b/>
      <w:bCs/>
      <w:color w:val="2F5496" w:themeColor="accent1" w:themeShade="BF"/>
      <w:kern w:val="0"/>
      <w:sz w:val="28"/>
      <w:szCs w:val="28"/>
      <w14:ligatures w14:val="none"/>
    </w:rPr>
  </w:style>
  <w:style w:type="paragraph" w:styleId="TOCHeading">
    <w:name w:val="TOC Heading"/>
    <w:basedOn w:val="Heading1"/>
    <w:next w:val="Normal"/>
    <w:uiPriority w:val="39"/>
    <w:unhideWhenUsed/>
    <w:qFormat/>
    <w:rsid w:val="00F64761"/>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64761"/>
    <w:pPr>
      <w:spacing w:after="100"/>
    </w:pPr>
  </w:style>
  <w:style w:type="character" w:styleId="Hyperlink">
    <w:name w:val="Hyperlink"/>
    <w:basedOn w:val="DefaultParagraphFont"/>
    <w:uiPriority w:val="99"/>
    <w:unhideWhenUsed/>
    <w:rsid w:val="00F64761"/>
    <w:rPr>
      <w:color w:val="0563C1" w:themeColor="hyperlink"/>
      <w:u w:val="single"/>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FF5676"/>
    <w:pPr>
      <w:ind w:left="720"/>
      <w:contextualSpacing/>
    </w:pPr>
  </w:style>
  <w:style w:type="paragraph" w:styleId="ListBullet">
    <w:name w:val="List Bullet"/>
    <w:basedOn w:val="Normal"/>
    <w:uiPriority w:val="99"/>
    <w:unhideWhenUsed/>
    <w:rsid w:val="00FF5676"/>
    <w:pPr>
      <w:numPr>
        <w:numId w:val="1"/>
      </w:numPr>
      <w:contextualSpacing/>
    </w:pPr>
  </w:style>
  <w:style w:type="character" w:customStyle="1" w:styleId="UnresolvedMention">
    <w:name w:val="Unresolved Mention"/>
    <w:basedOn w:val="DefaultParagraphFont"/>
    <w:uiPriority w:val="99"/>
    <w:semiHidden/>
    <w:unhideWhenUsed/>
    <w:rsid w:val="00CB2D51"/>
    <w:rPr>
      <w:color w:val="605E5C"/>
      <w:shd w:val="clear" w:color="auto" w:fill="E1DFDD"/>
    </w:rPr>
  </w:style>
  <w:style w:type="character" w:customStyle="1" w:styleId="Heading2Char">
    <w:name w:val="Heading 2 Char"/>
    <w:basedOn w:val="DefaultParagraphFont"/>
    <w:link w:val="Heading2"/>
    <w:uiPriority w:val="9"/>
    <w:rsid w:val="002D7B7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D7B70"/>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rsid w:val="002D7B7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2D7B7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D7B70"/>
    <w:rPr>
      <w:b/>
      <w:bCs/>
    </w:rPr>
  </w:style>
  <w:style w:type="table" w:styleId="TableGrid">
    <w:name w:val="Table Grid"/>
    <w:basedOn w:val="TableNormal"/>
    <w:uiPriority w:val="39"/>
    <w:rsid w:val="00F471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5">
    <w:name w:val="Plain Table 5"/>
    <w:basedOn w:val="TableNormal"/>
    <w:uiPriority w:val="45"/>
    <w:rsid w:val="00F4713C"/>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2">
    <w:name w:val="Grid Table 1 Light Accent 2"/>
    <w:basedOn w:val="TableNormal"/>
    <w:uiPriority w:val="46"/>
    <w:rsid w:val="00F4713C"/>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02B10"/>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302B10"/>
  </w:style>
  <w:style w:type="table" w:styleId="GridTable6Colorful-Accent3">
    <w:name w:val="Grid Table 6 Colorful Accent 3"/>
    <w:basedOn w:val="TableNormal"/>
    <w:uiPriority w:val="51"/>
    <w:rsid w:val="00302B1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302B10"/>
    <w:pPr>
      <w:spacing w:after="100"/>
      <w:ind w:left="220"/>
    </w:pPr>
  </w:style>
  <w:style w:type="paragraph" w:styleId="TOC3">
    <w:name w:val="toc 3"/>
    <w:basedOn w:val="Normal"/>
    <w:next w:val="Normal"/>
    <w:autoRedefine/>
    <w:uiPriority w:val="39"/>
    <w:unhideWhenUsed/>
    <w:rsid w:val="00302B1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48129-33A6-45DA-9487-7502135B4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8718</Words>
  <Characters>49698</Characters>
  <Application>Microsoft Office Word</Application>
  <DocSecurity>0</DocSecurity>
  <Lines>414</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2026-07-07T12:18:00Z</cp:lastPrinted>
  <dcterms:created xsi:type="dcterms:W3CDTF">2026-07-07T12:17:00Z</dcterms:created>
  <dcterms:modified xsi:type="dcterms:W3CDTF">2026-07-07T12:18:00Z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